
<file path=[Content_Types].xml><?xml version="1.0" encoding="utf-8"?>
<Types xmlns="http://schemas.openxmlformats.org/package/2006/content-types">
  <Default Extension="wmf" ContentType="image/x-wmf"/>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customXml/itemProps4.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customXml/itemProps2.xml" ContentType="application/vnd.openxmlformats-officedocument.customXmlProperties+xml"/>
  <Override PartName="/word/settings.xml" ContentType="application/vnd.openxmlformats-officedocument.wordprocessingml.settings+xml"/>
  <Override PartName="/docProps/custom.xml" ContentType="application/vnd.openxmlformats-officedocument.custom-properties+xml"/>
  <Override PartName="/customXml/itemProps6.xml" ContentType="application/vnd.openxmlformats-officedocument.customXmlProperties+xml"/>
  <Override PartName="/word/commentsExtended.xml" ContentType="application/vnd.openxmlformats-officedocument.wordprocessingml.commentsExtended+xml"/>
  <Override PartName="/word/document.xml" ContentType="application/vnd.openxmlformats-officedocument.wordprocessingml.document.main+xml"/>
  <Override PartName="/word/comments.xml" ContentType="application/vnd.openxmlformats-officedocument.wordprocessingml.comments+xml"/>
  <Override PartName="/customXml/itemProps1.xml" ContentType="application/vnd.openxmlformats-officedocument.customXmlProperties+xml"/>
  <Override PartName="/word/footer2.xml" ContentType="application/vnd.openxmlformats-officedocument.wordprocessingml.footer+xml"/>
  <Override PartName="/customXml/itemProps3.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lineRule="auto" w:line="240"/>
        <w:jc w:val="center"/>
        <w:rPr>
          <w:rFonts w:ascii="Tw Cen MT" w:cs="Twentieth Century" w:eastAsia="Twentieth Century" w:hAnsi="Tw Cen MT"/>
          <w:b/>
          <w:sz w:val="32"/>
          <w:szCs w:val="32"/>
        </w:rPr>
      </w:pPr>
      <w:commentRangeStart w:id="1"/>
      <w:r>
        <w:rPr>
          <w:rFonts w:ascii="Tw Cen MT" w:cs="Twentieth Century" w:eastAsia="Twentieth Century" w:hAnsi="Tw Cen MT"/>
          <w:b/>
          <w:sz w:val="32"/>
          <w:szCs w:val="32"/>
        </w:rPr>
        <w:t>PIXEL</w:t>
      </w:r>
      <w:commentRangeEnd w:id="1"/>
      <w:r>
        <w:rPr/>
        <w:commentReference w:id="1"/>
      </w:r>
      <w:r>
        <w:rPr>
          <w:rFonts w:ascii="Tw Cen MT" w:cs="Twentieth Century" w:eastAsia="Twentieth Century" w:hAnsi="Tw Cen MT"/>
          <w:b/>
          <w:sz w:val="32"/>
          <w:szCs w:val="32"/>
        </w:rPr>
        <w:t xml:space="preserve"> VALUE ANALYSIS OF LATERAL PROJECTION OS SACRUM EXAMINATION USING VIRTUAL GRID RATIO VARIATIONS</w:t>
      </w:r>
    </w:p>
    <w:p>
      <w:pPr>
        <w:pStyle w:val="style0"/>
        <w:spacing w:after="0" w:lineRule="auto" w:line="240"/>
        <w:jc w:val="center"/>
        <w:rPr>
          <w:rFonts w:ascii="Tw Cen MT" w:cs="Twentieth Century" w:eastAsia="Twentieth Century" w:hAnsi="Tw Cen MT"/>
          <w:b/>
          <w:sz w:val="32"/>
          <w:szCs w:val="32"/>
        </w:rPr>
      </w:pPr>
    </w:p>
    <w:bookmarkStart w:id="0" w:name="_heading=h.ku3htxpixa9v" w:colFirst="0" w:colLast="0"/>
    <w:bookmarkEnd w:id="0"/>
    <w:p>
      <w:pPr>
        <w:pStyle w:val="style0"/>
        <w:spacing w:after="0" w:lineRule="auto" w:line="240"/>
        <w:jc w:val="center"/>
        <w:rPr>
          <w:rFonts w:ascii="Tw Cen MT" w:cs="Times New Roman" w:hAnsi="Tw Cen MT"/>
          <w:b/>
          <w:bCs/>
          <w:iCs/>
          <w:sz w:val="32"/>
          <w:szCs w:val="32"/>
          <w:lang w:val="en-ID"/>
        </w:rPr>
      </w:pPr>
      <w:r>
        <w:rPr>
          <w:rFonts w:ascii="Tw Cen MT" w:cs="Twentieth Century" w:eastAsia="Twentieth Century" w:hAnsi="Tw Cen MT"/>
          <w:b/>
          <w:sz w:val="32"/>
          <w:szCs w:val="32"/>
        </w:rPr>
        <w:t>ANALISIS PIXEL VALUE TERHADAP PEMERIKSAAN OS SACRUM PROYEKSI LATERAL MENGGUNAKAN VARIASI RASIO VIRTUAL GRID</w:t>
      </w:r>
    </w:p>
    <w:p>
      <w:pPr>
        <w:pStyle w:val="style0"/>
        <w:widowControl w:val="false"/>
        <w:spacing w:after="0" w:lineRule="auto" w:line="218"/>
        <w:ind w:left="7" w:right="-20"/>
        <w:jc w:val="center"/>
        <w:rPr>
          <w:rFonts w:ascii="Tw Cen MT" w:cs="Twentieth Century" w:eastAsia="Twentieth Century" w:hAnsi="Tw Cen MT"/>
          <w:sz w:val="24"/>
          <w:szCs w:val="24"/>
          <w:vertAlign w:val="superscript"/>
        </w:rPr>
      </w:pPr>
      <w:r>
        <w:rPr>
          <w:rFonts w:ascii="Tw Cen MT" w:cs="Twentieth Century" w:eastAsia="Twentieth Century" w:hAnsi="Tw Cen MT"/>
          <w:sz w:val="24"/>
          <w:szCs w:val="24"/>
        </w:rPr>
        <w:t xml:space="preserve">Rafhael </w:t>
      </w:r>
      <w:r>
        <w:rPr>
          <w:rFonts w:ascii="Tw Cen MT" w:cs="Twentieth Century" w:eastAsia="Twentieth Century" w:hAnsi="Tw Cen MT"/>
          <w:sz w:val="24"/>
          <w:szCs w:val="24"/>
        </w:rPr>
        <w:t>Reznandika</w:t>
      </w:r>
      <w:r>
        <w:rPr>
          <w:rFonts w:ascii="Tw Cen MT" w:cs="Twentieth Century" w:eastAsia="Twentieth Century" w:hAnsi="Tw Cen MT"/>
          <w:sz w:val="24"/>
          <w:szCs w:val="24"/>
        </w:rPr>
        <w:t xml:space="preserve"> Yustiyo</w:t>
      </w:r>
      <w:r>
        <w:rPr>
          <w:rFonts w:ascii="Tw Cen MT" w:cs="Twentieth Century" w:eastAsia="Twentieth Century" w:hAnsi="Tw Cen MT"/>
          <w:sz w:val="24"/>
          <w:szCs w:val="24"/>
          <w:vertAlign w:val="superscript"/>
        </w:rPr>
        <w:t>1</w:t>
      </w:r>
      <w:r>
        <w:rPr>
          <w:rFonts w:ascii="Tw Cen MT" w:cs="Twentieth Century" w:eastAsia="Twentieth Century" w:hAnsi="Tw Cen MT"/>
          <w:sz w:val="24"/>
          <w:szCs w:val="24"/>
        </w:rPr>
        <w:t xml:space="preserve">, Shinta </w:t>
      </w:r>
      <w:r>
        <w:rPr>
          <w:rFonts w:ascii="Tw Cen MT" w:cs="Twentieth Century" w:eastAsia="Twentieth Century" w:hAnsi="Tw Cen MT"/>
          <w:sz w:val="24"/>
          <w:szCs w:val="24"/>
        </w:rPr>
        <w:t>Gunawati</w:t>
      </w:r>
      <w:r>
        <w:rPr>
          <w:rFonts w:ascii="Tw Cen MT" w:cs="Twentieth Century" w:eastAsia="Twentieth Century" w:hAnsi="Tw Cen MT"/>
          <w:sz w:val="24"/>
          <w:szCs w:val="24"/>
        </w:rPr>
        <w:t xml:space="preserve"> Sutoro</w:t>
      </w:r>
      <w:r>
        <w:rPr>
          <w:rFonts w:ascii="Tw Cen MT" w:cs="Twentieth Century" w:eastAsia="Twentieth Century" w:hAnsi="Tw Cen MT"/>
          <w:sz w:val="24"/>
          <w:szCs w:val="24"/>
          <w:vertAlign w:val="superscript"/>
        </w:rPr>
        <w:t>1</w:t>
      </w:r>
      <w:r>
        <w:rPr>
          <w:rFonts w:ascii="Tw Cen MT" w:cs="Twentieth Century" w:eastAsia="Twentieth Century" w:hAnsi="Tw Cen MT"/>
          <w:sz w:val="24"/>
          <w:szCs w:val="24"/>
        </w:rPr>
        <w:t>,  Muhammad</w:t>
      </w:r>
      <w:r>
        <w:rPr>
          <w:rFonts w:ascii="Tw Cen MT" w:cs="Twentieth Century" w:eastAsia="Twentieth Century" w:hAnsi="Tw Cen MT"/>
          <w:sz w:val="24"/>
          <w:szCs w:val="24"/>
        </w:rPr>
        <w:t xml:space="preserve"> Irsal</w:t>
      </w:r>
      <w:r>
        <w:rPr>
          <w:rFonts w:ascii="Tw Cen MT" w:cs="Twentieth Century" w:eastAsia="Twentieth Century" w:hAnsi="Tw Cen MT"/>
          <w:sz w:val="24"/>
          <w:szCs w:val="24"/>
          <w:vertAlign w:val="superscript"/>
        </w:rPr>
        <w:t>1</w:t>
      </w:r>
      <w:r>
        <w:rPr>
          <w:rFonts w:ascii="Tw Cen MT" w:cs="Twentieth Century" w:eastAsia="Twentieth Century" w:hAnsi="Tw Cen MT"/>
          <w:sz w:val="24"/>
          <w:szCs w:val="24"/>
        </w:rPr>
        <w:t>, Muhammad Rizqi</w:t>
      </w:r>
      <w:r>
        <w:rPr>
          <w:rFonts w:ascii="Tw Cen MT" w:cs="Twentieth Century" w:eastAsia="Twentieth Century" w:hAnsi="Tw Cen MT"/>
          <w:sz w:val="24"/>
          <w:szCs w:val="24"/>
          <w:vertAlign w:val="superscript"/>
        </w:rPr>
        <w:t>1</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Fitrus</w:t>
      </w:r>
      <w:r>
        <w:rPr>
          <w:rFonts w:ascii="Tw Cen MT" w:cs="Twentieth Century" w:eastAsia="Twentieth Century" w:hAnsi="Tw Cen MT"/>
          <w:sz w:val="24"/>
          <w:szCs w:val="24"/>
        </w:rPr>
        <w:t xml:space="preserve"> Ardoni</w:t>
      </w:r>
      <w:r>
        <w:rPr>
          <w:rFonts w:ascii="Tw Cen MT" w:cs="Twentieth Century" w:eastAsia="Twentieth Century" w:hAnsi="Tw Cen MT"/>
          <w:sz w:val="24"/>
          <w:szCs w:val="24"/>
          <w:vertAlign w:val="superscript"/>
        </w:rPr>
        <w:t>1</w:t>
      </w:r>
    </w:p>
    <w:p>
      <w:pPr>
        <w:pStyle w:val="style0"/>
        <w:widowControl w:val="false"/>
        <w:spacing w:after="0" w:lineRule="auto" w:line="218"/>
        <w:ind w:right="-20"/>
        <w:jc w:val="center"/>
        <w:rPr>
          <w:rFonts w:ascii="Tw Cen MT" w:cs="Twentieth Century" w:eastAsia="Twentieth Century" w:hAnsi="Tw Cen MT"/>
          <w:sz w:val="20"/>
          <w:szCs w:val="20"/>
        </w:rPr>
      </w:pPr>
      <w:r>
        <w:rPr>
          <w:rFonts w:ascii="Tw Cen MT" w:cs="Twentieth Century" w:eastAsia="Twentieth Century" w:hAnsi="Tw Cen MT"/>
          <w:sz w:val="20"/>
          <w:szCs w:val="20"/>
        </w:rPr>
        <w:t>Jurusan</w:t>
      </w:r>
      <w:r>
        <w:rPr>
          <w:rFonts w:ascii="Tw Cen MT" w:cs="Twentieth Century" w:eastAsia="Twentieth Century" w:hAnsi="Tw Cen MT"/>
          <w:sz w:val="20"/>
          <w:szCs w:val="20"/>
        </w:rPr>
        <w:t xml:space="preserve"> Teknik </w:t>
      </w:r>
      <w:r>
        <w:rPr>
          <w:rFonts w:ascii="Tw Cen MT" w:cs="Twentieth Century" w:eastAsia="Twentieth Century" w:hAnsi="Tw Cen MT"/>
          <w:sz w:val="20"/>
          <w:szCs w:val="20"/>
        </w:rPr>
        <w:t>Radiodiagnostik</w:t>
      </w:r>
      <w:r>
        <w:rPr>
          <w:rFonts w:ascii="Tw Cen MT" w:cs="Twentieth Century" w:eastAsia="Twentieth Century" w:hAnsi="Tw Cen MT"/>
          <w:sz w:val="20"/>
          <w:szCs w:val="20"/>
        </w:rPr>
        <w:t xml:space="preserve"> dan </w:t>
      </w:r>
      <w:r>
        <w:rPr>
          <w:rFonts w:ascii="Tw Cen MT" w:cs="Twentieth Century" w:eastAsia="Twentieth Century" w:hAnsi="Tw Cen MT"/>
          <w:sz w:val="20"/>
          <w:szCs w:val="20"/>
        </w:rPr>
        <w:t>Radioterapi</w:t>
      </w:r>
      <w:r>
        <w:rPr>
          <w:rFonts w:ascii="Tw Cen MT" w:cs="Twentieth Century" w:eastAsia="Twentieth Century" w:hAnsi="Tw Cen MT"/>
          <w:sz w:val="20"/>
          <w:szCs w:val="20"/>
        </w:rPr>
        <w:t xml:space="preserve">, </w:t>
      </w:r>
      <w:r>
        <w:rPr>
          <w:rFonts w:ascii="Tw Cen MT" w:cs="Twentieth Century" w:eastAsia="Twentieth Century" w:hAnsi="Tw Cen MT"/>
          <w:sz w:val="20"/>
          <w:szCs w:val="20"/>
        </w:rPr>
        <w:t>Poltekkes</w:t>
      </w:r>
      <w:r>
        <w:rPr>
          <w:rFonts w:ascii="Tw Cen MT" w:cs="Twentieth Century" w:eastAsia="Twentieth Century" w:hAnsi="Tw Cen MT"/>
          <w:sz w:val="20"/>
          <w:szCs w:val="20"/>
        </w:rPr>
        <w:t xml:space="preserve"> </w:t>
      </w:r>
      <w:r>
        <w:rPr>
          <w:rFonts w:ascii="Tw Cen MT" w:cs="Twentieth Century" w:eastAsia="Twentieth Century" w:hAnsi="Tw Cen MT"/>
          <w:sz w:val="20"/>
          <w:szCs w:val="20"/>
        </w:rPr>
        <w:t>Kemenkes</w:t>
      </w:r>
      <w:r>
        <w:rPr>
          <w:rFonts w:ascii="Tw Cen MT" w:cs="Twentieth Century" w:eastAsia="Twentieth Century" w:hAnsi="Tw Cen MT"/>
          <w:sz w:val="20"/>
          <w:szCs w:val="20"/>
        </w:rPr>
        <w:t xml:space="preserve"> Jakarta 2, Jl. Hang Jebat III </w:t>
      </w:r>
      <w:r>
        <w:rPr>
          <w:rFonts w:ascii="Tw Cen MT" w:cs="Twentieth Century" w:eastAsia="Twentieth Century" w:hAnsi="Tw Cen MT"/>
          <w:sz w:val="20"/>
          <w:szCs w:val="20"/>
        </w:rPr>
        <w:t>Gunung</w:t>
      </w:r>
      <w:r>
        <w:rPr>
          <w:rFonts w:ascii="Tw Cen MT" w:cs="Twentieth Century" w:eastAsia="Twentieth Century" w:hAnsi="Tw Cen MT"/>
          <w:sz w:val="20"/>
          <w:szCs w:val="20"/>
        </w:rPr>
        <w:t xml:space="preserve"> </w:t>
      </w:r>
      <w:r>
        <w:rPr>
          <w:rFonts w:ascii="Tw Cen MT" w:cs="Twentieth Century" w:eastAsia="Twentieth Century" w:hAnsi="Tw Cen MT"/>
          <w:sz w:val="20"/>
          <w:szCs w:val="20"/>
        </w:rPr>
        <w:t>Kebayoran</w:t>
      </w:r>
      <w:r>
        <w:rPr>
          <w:rFonts w:ascii="Tw Cen MT" w:cs="Twentieth Century" w:eastAsia="Twentieth Century" w:hAnsi="Tw Cen MT"/>
          <w:sz w:val="20"/>
          <w:szCs w:val="20"/>
        </w:rPr>
        <w:t xml:space="preserve"> Baru, Jakarta Selatan, 12120, Indonesia</w:t>
      </w:r>
    </w:p>
    <w:p>
      <w:pPr>
        <w:pStyle w:val="style0"/>
        <w:widowControl w:val="false"/>
        <w:spacing w:after="0" w:lineRule="auto" w:line="218"/>
        <w:ind w:right="-20"/>
        <w:jc w:val="center"/>
        <w:rPr>
          <w:rFonts w:ascii="Tw Cen MT" w:hAnsi="Tw Cen MT"/>
          <w:sz w:val="20"/>
          <w:szCs w:val="20"/>
        </w:rPr>
      </w:pPr>
      <w:r>
        <w:rPr>
          <w:rFonts w:ascii="Tw Cen MT" w:cs="Twentieth Century" w:eastAsia="Twentieth Century" w:hAnsi="Tw Cen MT"/>
          <w:sz w:val="20"/>
          <w:szCs w:val="20"/>
        </w:rPr>
        <w:t>Email</w:t>
      </w:r>
      <w:r>
        <w:rPr>
          <w:rFonts w:ascii="Tw Cen MT" w:cs="Twentieth Century" w:eastAsia="Twentieth Century" w:hAnsi="Tw Cen MT"/>
          <w:sz w:val="20"/>
          <w:szCs w:val="20"/>
        </w:rPr>
        <w:t xml:space="preserve"> :</w:t>
      </w:r>
      <w:r>
        <w:rPr>
          <w:rFonts w:ascii="Tw Cen MT" w:cs="Twentieth Century" w:eastAsia="Twentieth Century" w:hAnsi="Tw Cen MT"/>
          <w:sz w:val="20"/>
          <w:szCs w:val="20"/>
        </w:rPr>
        <w:t xml:space="preserve"> </w:t>
      </w:r>
      <w:r>
        <w:rPr/>
        <w:fldChar w:fldCharType="begin"/>
      </w:r>
      <w:r>
        <w:instrText xml:space="preserve"> HYPERLINK "mailto:rafaelreznandikayustio@gmail.com" </w:instrText>
      </w:r>
      <w:r>
        <w:rPr/>
        <w:fldChar w:fldCharType="separate"/>
      </w:r>
      <w:r>
        <w:rPr>
          <w:rStyle w:val="style85"/>
          <w:rFonts w:ascii="Tw Cen MT" w:hAnsi="Tw Cen MT"/>
          <w:sz w:val="20"/>
          <w:szCs w:val="20"/>
        </w:rPr>
        <w:t>rafaelreznandikayustio@gmail.com</w:t>
      </w:r>
      <w:r>
        <w:rPr/>
        <w:fldChar w:fldCharType="end"/>
      </w:r>
    </w:p>
    <w:p>
      <w:pPr>
        <w:pStyle w:val="style0"/>
        <w:widowControl w:val="false"/>
        <w:spacing w:after="0" w:lineRule="auto" w:line="218"/>
        <w:ind w:right="-20"/>
        <w:jc w:val="center"/>
        <w:rPr>
          <w:rFonts w:ascii="Tw Cen MT" w:cs="Twentieth Century" w:eastAsia="Twentieth Century" w:hAnsi="Tw Cen MT"/>
        </w:rPr>
      </w:pPr>
      <w:r>
        <w:rPr>
          <w:rFonts w:ascii="Tw Cen MT" w:hAnsi="Tw Cen MT"/>
          <w:b/>
          <w:i/>
          <w:iCs/>
          <w:noProof/>
          <w:sz w:val="24"/>
          <w:szCs w:val="24"/>
        </w:rPr>
        <mc:AlternateContent>
          <mc:Choice Requires="wps">
            <w:drawing>
              <wp:anchor distT="0" distB="0" distL="0" distR="0" simplePos="false" relativeHeight="3" behindDoc="false" locked="false" layoutInCell="true" allowOverlap="true">
                <wp:simplePos x="0" y="0"/>
                <wp:positionH relativeFrom="column">
                  <wp:posOffset>17780</wp:posOffset>
                </wp:positionH>
                <wp:positionV relativeFrom="paragraph">
                  <wp:posOffset>152400</wp:posOffset>
                </wp:positionV>
                <wp:extent cx="1943100" cy="1176655"/>
                <wp:effectExtent l="0" t="0" r="0" b="4445"/>
                <wp:wrapNone/>
                <wp:docPr id="1026" name="Rectangle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943100" cy="1176655"/>
                        </a:xfrm>
                        <a:prstGeom prst="rect"/>
                        <a:solidFill>
                          <a:srgbClr val="ffffff"/>
                        </a:solidFill>
                        <a:ln>
                          <a:noFill/>
                        </a:ln>
                      </wps:spPr>
                      <wps:txbx id="1026">
                        <w:txbxContent>
                          <w:p>
                            <w:pPr>
                              <w:pStyle w:val="style0"/>
                              <w:tabs>
                                <w:tab w:val="left" w:leader="none" w:pos="567"/>
                              </w:tabs>
                              <w:spacing w:after="0"/>
                              <w:ind w:left="-85"/>
                              <w:rPr>
                                <w:rFonts w:ascii="Tw Cen MT" w:cs="Arial" w:hAnsi="Tw Cen MT"/>
                                <w:b/>
                                <w:bCs/>
                                <w:caps/>
                                <w:sz w:val="20"/>
                                <w:szCs w:val="20"/>
                                <w:lang w:val="id-ID"/>
                              </w:rPr>
                            </w:pPr>
                            <w:r>
                              <w:rPr>
                                <w:rFonts w:ascii="Tw Cen MT" w:cs="Arial" w:hAnsi="Tw Cen MT"/>
                                <w:b/>
                                <w:bCs/>
                                <w:sz w:val="20"/>
                                <w:szCs w:val="20"/>
                              </w:rPr>
                              <w:t>Article Info</w:t>
                            </w:r>
                            <w:r>
                              <w:rPr>
                                <w:rFonts w:ascii="Tw Cen MT" w:cs="Arial" w:hAnsi="Tw Cen MT"/>
                                <w:b/>
                                <w:bCs/>
                                <w:sz w:val="20"/>
                                <w:szCs w:val="20"/>
                                <w:lang w:val="id-ID"/>
                              </w:rPr>
                              <w:t xml:space="preserve"> </w:t>
                            </w:r>
                          </w:p>
                          <w:p>
                            <w:pPr>
                              <w:pStyle w:val="style0"/>
                              <w:tabs>
                                <w:tab w:val="left" w:leader="none" w:pos="567"/>
                              </w:tabs>
                              <w:spacing w:after="0"/>
                              <w:ind w:left="-85"/>
                              <w:rPr>
                                <w:rFonts w:ascii="Arial" w:cs="Arial" w:hAnsi="Arial"/>
                                <w:b/>
                                <w:bCs/>
                                <w:caps/>
                                <w:sz w:val="20"/>
                                <w:szCs w:val="20"/>
                                <w:lang w:val="id-ID"/>
                              </w:rPr>
                            </w:pPr>
                          </w:p>
                          <w:p>
                            <w:pPr>
                              <w:pStyle w:val="style0"/>
                              <w:tabs>
                                <w:tab w:val="left" w:leader="none" w:pos="567"/>
                              </w:tabs>
                              <w:spacing w:after="0"/>
                              <w:ind w:left="-85"/>
                              <w:rPr>
                                <w:rFonts w:ascii="Tw Cen MT" w:cs="Arial" w:hAnsi="Tw Cen MT"/>
                                <w:b/>
                                <w:i/>
                                <w:sz w:val="20"/>
                                <w:szCs w:val="20"/>
                              </w:rPr>
                            </w:pPr>
                            <w:r>
                              <w:rPr>
                                <w:rFonts w:ascii="Tw Cen MT" w:cs="Arial" w:hAnsi="Tw Cen MT"/>
                                <w:b/>
                                <w:i/>
                                <w:sz w:val="20"/>
                                <w:szCs w:val="20"/>
                              </w:rPr>
                              <w:t>Article history</w:t>
                            </w:r>
                          </w:p>
                          <w:p>
                            <w:pPr>
                              <w:pStyle w:val="style74"/>
                              <w:spacing w:after="0"/>
                              <w:ind w:left="-125" w:right="-57"/>
                              <w:rPr>
                                <w:rFonts w:ascii="Tw Cen MT" w:cs="Noto Sans" w:hAnsi="Tw Cen MT"/>
                                <w:sz w:val="20"/>
                                <w:szCs w:val="20"/>
                                <w:shd w:val="clear" w:color="auto" w:fill="ffffff"/>
                              </w:rPr>
                            </w:pPr>
                            <w:r>
                              <w:rPr>
                                <w:rFonts w:ascii="Tw Cen MT" w:hAnsi="Tw Cen MT"/>
                                <w:sz w:val="20"/>
                                <w:szCs w:val="20"/>
                              </w:rPr>
                              <w:t xml:space="preserve">Received </w:t>
                            </w:r>
                            <w:r>
                              <w:rPr>
                                <w:rFonts w:ascii="Tw Cen MT" w:hAnsi="Tw Cen MT"/>
                                <w:sz w:val="20"/>
                                <w:szCs w:val="20"/>
                                <w:lang w:val="id-ID"/>
                              </w:rPr>
                              <w:t>date</w:t>
                            </w:r>
                            <w:r>
                              <w:rPr>
                                <w:rFonts w:ascii="Tw Cen MT" w:hAnsi="Tw Cen MT"/>
                                <w:sz w:val="20"/>
                                <w:szCs w:val="20"/>
                              </w:rPr>
                              <w:t xml:space="preserve">: </w:t>
                            </w:r>
                            <w:r>
                              <w:rPr>
                                <w:rFonts w:ascii="Tw Cen MT" w:cs="Noto Sans" w:hAnsi="Tw Cen MT"/>
                                <w:sz w:val="20"/>
                                <w:szCs w:val="20"/>
                                <w:shd w:val="clear" w:color="auto" w:fill="ffffff"/>
                              </w:rPr>
                              <w:t>xxxx</w:t>
                            </w:r>
                            <w:r>
                              <w:rPr>
                                <w:rFonts w:ascii="Tw Cen MT" w:cs="Noto Sans" w:hAnsi="Tw Cen MT"/>
                                <w:sz w:val="20"/>
                                <w:szCs w:val="20"/>
                                <w:shd w:val="clear" w:color="auto" w:fill="ffffff"/>
                              </w:rPr>
                              <w:t>-</w:t>
                            </w:r>
                            <w:r>
                              <w:rPr>
                                <w:rFonts w:ascii="Tw Cen MT" w:cs="Noto Sans" w:hAnsi="Tw Cen MT"/>
                                <w:sz w:val="20"/>
                                <w:szCs w:val="20"/>
                                <w:shd w:val="clear" w:color="auto" w:fill="ffffff"/>
                              </w:rPr>
                              <w:t>xx</w:t>
                            </w:r>
                            <w:r>
                              <w:rPr>
                                <w:rFonts w:ascii="Tw Cen MT" w:cs="Noto Sans" w:hAnsi="Tw Cen MT"/>
                                <w:sz w:val="20"/>
                                <w:szCs w:val="20"/>
                                <w:shd w:val="clear" w:color="auto" w:fill="ffffff"/>
                              </w:rPr>
                              <w:t>-</w:t>
                            </w:r>
                            <w:r>
                              <w:rPr>
                                <w:rFonts w:ascii="Tw Cen MT" w:cs="Noto Sans" w:hAnsi="Tw Cen MT"/>
                                <w:sz w:val="20"/>
                                <w:szCs w:val="20"/>
                                <w:shd w:val="clear" w:color="auto" w:fill="ffffff"/>
                              </w:rPr>
                              <w:t>xx</w:t>
                            </w:r>
                          </w:p>
                          <w:p>
                            <w:pPr>
                              <w:pStyle w:val="style74"/>
                              <w:spacing w:after="0"/>
                              <w:ind w:left="-125" w:right="-57"/>
                              <w:rPr>
                                <w:rFonts w:ascii="Tw Cen MT" w:hAnsi="Tw Cen MT"/>
                                <w:sz w:val="20"/>
                                <w:szCs w:val="20"/>
                              </w:rPr>
                            </w:pPr>
                            <w:r>
                              <w:rPr>
                                <w:rFonts w:ascii="Tw Cen MT" w:hAnsi="Tw Cen MT"/>
                                <w:sz w:val="20"/>
                                <w:szCs w:val="20"/>
                              </w:rPr>
                              <w:t xml:space="preserve">Revised </w:t>
                            </w:r>
                            <w:r>
                              <w:rPr>
                                <w:rFonts w:ascii="Tw Cen MT" w:hAnsi="Tw Cen MT"/>
                                <w:sz w:val="20"/>
                                <w:szCs w:val="20"/>
                                <w:lang w:val="id-ID"/>
                              </w:rPr>
                              <w:t>date</w:t>
                            </w:r>
                            <w:r>
                              <w:rPr>
                                <w:rFonts w:ascii="Tw Cen MT" w:hAnsi="Tw Cen MT"/>
                                <w:sz w:val="20"/>
                                <w:szCs w:val="20"/>
                              </w:rPr>
                              <w:t xml:space="preserve">: </w:t>
                            </w:r>
                            <w:r>
                              <w:rPr>
                                <w:rFonts w:ascii="Tw Cen MT" w:cs="Noto Sans" w:hAnsi="Tw Cen MT"/>
                                <w:sz w:val="20"/>
                                <w:szCs w:val="20"/>
                                <w:shd w:val="clear" w:color="auto" w:fill="ffffff"/>
                              </w:rPr>
                              <w:t>xxxx</w:t>
                            </w:r>
                            <w:r>
                              <w:rPr>
                                <w:rFonts w:ascii="Tw Cen MT" w:cs="Noto Sans" w:hAnsi="Tw Cen MT"/>
                                <w:sz w:val="20"/>
                                <w:szCs w:val="20"/>
                                <w:shd w:val="clear" w:color="auto" w:fill="ffffff"/>
                              </w:rPr>
                              <w:t>-</w:t>
                            </w:r>
                            <w:r>
                              <w:rPr>
                                <w:rFonts w:ascii="Tw Cen MT" w:cs="Noto Sans" w:hAnsi="Tw Cen MT"/>
                                <w:sz w:val="20"/>
                                <w:szCs w:val="20"/>
                                <w:shd w:val="clear" w:color="auto" w:fill="ffffff"/>
                              </w:rPr>
                              <w:t>xx</w:t>
                            </w:r>
                            <w:r>
                              <w:rPr>
                                <w:rFonts w:ascii="Tw Cen MT" w:cs="Noto Sans" w:hAnsi="Tw Cen MT"/>
                                <w:sz w:val="20"/>
                                <w:szCs w:val="20"/>
                                <w:shd w:val="clear" w:color="auto" w:fill="ffffff"/>
                              </w:rPr>
                              <w:t>-</w:t>
                            </w:r>
                            <w:r>
                              <w:rPr>
                                <w:rFonts w:ascii="Tw Cen MT" w:cs="Noto Sans" w:hAnsi="Tw Cen MT"/>
                                <w:sz w:val="20"/>
                                <w:szCs w:val="20"/>
                                <w:shd w:val="clear" w:color="auto" w:fill="ffffff"/>
                              </w:rPr>
                              <w:t>xx</w:t>
                            </w:r>
                          </w:p>
                          <w:p>
                            <w:pPr>
                              <w:pStyle w:val="style74"/>
                              <w:spacing w:after="0"/>
                              <w:ind w:left="-125" w:right="-57"/>
                              <w:rPr>
                                <w:rFonts w:ascii="Tw Cen MT" w:hAnsi="Tw Cen MT"/>
                                <w:sz w:val="20"/>
                                <w:szCs w:val="20"/>
                              </w:rPr>
                            </w:pPr>
                            <w:r>
                              <w:rPr>
                                <w:rFonts w:ascii="Tw Cen MT" w:hAnsi="Tw Cen MT"/>
                                <w:sz w:val="20"/>
                                <w:szCs w:val="20"/>
                              </w:rPr>
                              <w:t xml:space="preserve">Accepted </w:t>
                            </w:r>
                            <w:r>
                              <w:rPr>
                                <w:rFonts w:ascii="Tw Cen MT" w:hAnsi="Tw Cen MT"/>
                                <w:sz w:val="20"/>
                                <w:szCs w:val="20"/>
                                <w:lang w:val="id-ID"/>
                              </w:rPr>
                              <w:t>date</w:t>
                            </w:r>
                            <w:r>
                              <w:rPr>
                                <w:rFonts w:ascii="Tw Cen MT" w:hAnsi="Tw Cen MT"/>
                                <w:sz w:val="20"/>
                                <w:szCs w:val="20"/>
                              </w:rPr>
                              <w:t xml:space="preserve">: </w:t>
                            </w:r>
                            <w:r>
                              <w:rPr>
                                <w:rFonts w:ascii="Tw Cen MT" w:cs="Noto Sans" w:hAnsi="Tw Cen MT"/>
                                <w:sz w:val="20"/>
                                <w:szCs w:val="20"/>
                                <w:shd w:val="clear" w:color="auto" w:fill="ffffff"/>
                              </w:rPr>
                              <w:t>xxxx</w:t>
                            </w:r>
                            <w:r>
                              <w:rPr>
                                <w:rFonts w:ascii="Tw Cen MT" w:cs="Noto Sans" w:hAnsi="Tw Cen MT"/>
                                <w:sz w:val="20"/>
                                <w:szCs w:val="20"/>
                                <w:shd w:val="clear" w:color="auto" w:fill="ffffff"/>
                              </w:rPr>
                              <w:t>-</w:t>
                            </w:r>
                            <w:r>
                              <w:rPr>
                                <w:rFonts w:ascii="Tw Cen MT" w:cs="Noto Sans" w:hAnsi="Tw Cen MT"/>
                                <w:sz w:val="20"/>
                                <w:szCs w:val="20"/>
                                <w:shd w:val="clear" w:color="auto" w:fill="ffffff"/>
                              </w:rPr>
                              <w:t>xx</w:t>
                            </w:r>
                            <w:r>
                              <w:rPr>
                                <w:rFonts w:ascii="Tw Cen MT" w:cs="Noto Sans" w:hAnsi="Tw Cen MT"/>
                                <w:sz w:val="20"/>
                                <w:szCs w:val="20"/>
                                <w:shd w:val="clear" w:color="auto" w:fill="ffffff"/>
                              </w:rPr>
                              <w:t>-</w:t>
                            </w:r>
                            <w:r>
                              <w:rPr>
                                <w:rFonts w:ascii="Tw Cen MT" w:cs="Noto Sans" w:hAnsi="Tw Cen MT"/>
                                <w:sz w:val="20"/>
                                <w:szCs w:val="20"/>
                                <w:shd w:val="clear" w:color="auto" w:fill="ffffff"/>
                              </w:rPr>
                              <w:t>xx</w:t>
                            </w:r>
                          </w:p>
                          <w:p>
                            <w:pPr>
                              <w:pStyle w:val="style0"/>
                              <w:pBdr>
                                <w:top w:val="single" w:sz="4" w:space="0" w:color="auto"/>
                              </w:pBdr>
                              <w:tabs>
                                <w:tab w:val="left" w:leader="none" w:pos="567"/>
                              </w:tabs>
                              <w:spacing w:after="0"/>
                              <w:ind w:left="-85" w:right="-57"/>
                              <w:rPr>
                                <w:rFonts w:ascii="Tw Cen MT" w:cs="Arial" w:hAnsi="Tw Cen MT"/>
                                <w:b/>
                                <w:bCs/>
                                <w:i/>
                                <w:caps/>
                                <w:sz w:val="20"/>
                                <w:szCs w:val="20"/>
                              </w:rPr>
                            </w:pPr>
                          </w:p>
                          <w:p>
                            <w:pPr>
                              <w:pStyle w:val="style0"/>
                              <w:rPr>
                                <w:rFonts w:ascii="Tw Cen MT" w:hAnsi="Tw Cen MT"/>
                                <w:sz w:val="20"/>
                                <w:szCs w:val="20"/>
                              </w:rPr>
                            </w:pPr>
                          </w:p>
                        </w:txbxContent>
                      </wps:txbx>
                      <wps:bodyPr lIns="91440" rIns="91440" tIns="45720" bIns="45720" vert="horz" anchor="ctr"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26" fillcolor="white" stroked="f" style="position:absolute;margin-left:1.4pt;margin-top:12.0pt;width:153.0pt;height:92.65pt;z-index:3;mso-position-horizontal-relative:text;mso-position-vertical-relative:text;mso-width-percent:0;mso-height-percent:0;mso-width-relative:margin;mso-height-relative:margin;mso-wrap-distance-left:0.0pt;mso-wrap-distance-right:0.0pt;visibility:visible;v-text-anchor:middle;">
                <v:stroke on="f" weight="2.0pt"/>
                <v:fill/>
                <v:textbox inset="7.2pt,3.6pt,7.2pt,3.6pt">
                  <w:txbxContent>
                    <w:p>
                      <w:pPr>
                        <w:pStyle w:val="style0"/>
                        <w:tabs>
                          <w:tab w:val="left" w:leader="none" w:pos="567"/>
                        </w:tabs>
                        <w:spacing w:after="0"/>
                        <w:ind w:left="-85"/>
                        <w:rPr>
                          <w:rFonts w:ascii="Tw Cen MT" w:cs="Arial" w:hAnsi="Tw Cen MT"/>
                          <w:b/>
                          <w:bCs/>
                          <w:caps/>
                          <w:sz w:val="20"/>
                          <w:szCs w:val="20"/>
                          <w:lang w:val="id-ID"/>
                        </w:rPr>
                      </w:pPr>
                      <w:r>
                        <w:rPr>
                          <w:rFonts w:ascii="Tw Cen MT" w:cs="Arial" w:hAnsi="Tw Cen MT"/>
                          <w:b/>
                          <w:bCs/>
                          <w:sz w:val="20"/>
                          <w:szCs w:val="20"/>
                        </w:rPr>
                        <w:t>Article Info</w:t>
                      </w:r>
                      <w:r>
                        <w:rPr>
                          <w:rFonts w:ascii="Tw Cen MT" w:cs="Arial" w:hAnsi="Tw Cen MT"/>
                          <w:b/>
                          <w:bCs/>
                          <w:sz w:val="20"/>
                          <w:szCs w:val="20"/>
                          <w:lang w:val="id-ID"/>
                        </w:rPr>
                        <w:t xml:space="preserve"> </w:t>
                      </w:r>
                    </w:p>
                    <w:p>
                      <w:pPr>
                        <w:pStyle w:val="style0"/>
                        <w:tabs>
                          <w:tab w:val="left" w:leader="none" w:pos="567"/>
                        </w:tabs>
                        <w:spacing w:after="0"/>
                        <w:ind w:left="-85"/>
                        <w:rPr>
                          <w:rFonts w:ascii="Arial" w:cs="Arial" w:hAnsi="Arial"/>
                          <w:b/>
                          <w:bCs/>
                          <w:caps/>
                          <w:sz w:val="20"/>
                          <w:szCs w:val="20"/>
                          <w:lang w:val="id-ID"/>
                        </w:rPr>
                      </w:pPr>
                    </w:p>
                    <w:p>
                      <w:pPr>
                        <w:pStyle w:val="style0"/>
                        <w:tabs>
                          <w:tab w:val="left" w:leader="none" w:pos="567"/>
                        </w:tabs>
                        <w:spacing w:after="0"/>
                        <w:ind w:left="-85"/>
                        <w:rPr>
                          <w:rFonts w:ascii="Tw Cen MT" w:cs="Arial" w:hAnsi="Tw Cen MT"/>
                          <w:b/>
                          <w:i/>
                          <w:sz w:val="20"/>
                          <w:szCs w:val="20"/>
                        </w:rPr>
                      </w:pPr>
                      <w:r>
                        <w:rPr>
                          <w:rFonts w:ascii="Tw Cen MT" w:cs="Arial" w:hAnsi="Tw Cen MT"/>
                          <w:b/>
                          <w:i/>
                          <w:sz w:val="20"/>
                          <w:szCs w:val="20"/>
                        </w:rPr>
                        <w:t>Article history</w:t>
                      </w:r>
                    </w:p>
                    <w:p>
                      <w:pPr>
                        <w:pStyle w:val="style74"/>
                        <w:spacing w:after="0"/>
                        <w:ind w:left="-125" w:right="-57"/>
                        <w:rPr>
                          <w:rFonts w:ascii="Tw Cen MT" w:cs="Noto Sans" w:hAnsi="Tw Cen MT"/>
                          <w:sz w:val="20"/>
                          <w:szCs w:val="20"/>
                          <w:shd w:val="clear" w:color="auto" w:fill="ffffff"/>
                        </w:rPr>
                      </w:pPr>
                      <w:r>
                        <w:rPr>
                          <w:rFonts w:ascii="Tw Cen MT" w:hAnsi="Tw Cen MT"/>
                          <w:sz w:val="20"/>
                          <w:szCs w:val="20"/>
                        </w:rPr>
                        <w:t xml:space="preserve">Received </w:t>
                      </w:r>
                      <w:r>
                        <w:rPr>
                          <w:rFonts w:ascii="Tw Cen MT" w:hAnsi="Tw Cen MT"/>
                          <w:sz w:val="20"/>
                          <w:szCs w:val="20"/>
                          <w:lang w:val="id-ID"/>
                        </w:rPr>
                        <w:t>date</w:t>
                      </w:r>
                      <w:r>
                        <w:rPr>
                          <w:rFonts w:ascii="Tw Cen MT" w:hAnsi="Tw Cen MT"/>
                          <w:sz w:val="20"/>
                          <w:szCs w:val="20"/>
                        </w:rPr>
                        <w:t xml:space="preserve">: </w:t>
                      </w:r>
                      <w:r>
                        <w:rPr>
                          <w:rFonts w:ascii="Tw Cen MT" w:cs="Noto Sans" w:hAnsi="Tw Cen MT"/>
                          <w:sz w:val="20"/>
                          <w:szCs w:val="20"/>
                          <w:shd w:val="clear" w:color="auto" w:fill="ffffff"/>
                        </w:rPr>
                        <w:t>xxxx</w:t>
                      </w:r>
                      <w:r>
                        <w:rPr>
                          <w:rFonts w:ascii="Tw Cen MT" w:cs="Noto Sans" w:hAnsi="Tw Cen MT"/>
                          <w:sz w:val="20"/>
                          <w:szCs w:val="20"/>
                          <w:shd w:val="clear" w:color="auto" w:fill="ffffff"/>
                        </w:rPr>
                        <w:t>-</w:t>
                      </w:r>
                      <w:r>
                        <w:rPr>
                          <w:rFonts w:ascii="Tw Cen MT" w:cs="Noto Sans" w:hAnsi="Tw Cen MT"/>
                          <w:sz w:val="20"/>
                          <w:szCs w:val="20"/>
                          <w:shd w:val="clear" w:color="auto" w:fill="ffffff"/>
                        </w:rPr>
                        <w:t>xx</w:t>
                      </w:r>
                      <w:r>
                        <w:rPr>
                          <w:rFonts w:ascii="Tw Cen MT" w:cs="Noto Sans" w:hAnsi="Tw Cen MT"/>
                          <w:sz w:val="20"/>
                          <w:szCs w:val="20"/>
                          <w:shd w:val="clear" w:color="auto" w:fill="ffffff"/>
                        </w:rPr>
                        <w:t>-</w:t>
                      </w:r>
                      <w:r>
                        <w:rPr>
                          <w:rFonts w:ascii="Tw Cen MT" w:cs="Noto Sans" w:hAnsi="Tw Cen MT"/>
                          <w:sz w:val="20"/>
                          <w:szCs w:val="20"/>
                          <w:shd w:val="clear" w:color="auto" w:fill="ffffff"/>
                        </w:rPr>
                        <w:t>xx</w:t>
                      </w:r>
                    </w:p>
                    <w:p>
                      <w:pPr>
                        <w:pStyle w:val="style74"/>
                        <w:spacing w:after="0"/>
                        <w:ind w:left="-125" w:right="-57"/>
                        <w:rPr>
                          <w:rFonts w:ascii="Tw Cen MT" w:hAnsi="Tw Cen MT"/>
                          <w:sz w:val="20"/>
                          <w:szCs w:val="20"/>
                        </w:rPr>
                      </w:pPr>
                      <w:r>
                        <w:rPr>
                          <w:rFonts w:ascii="Tw Cen MT" w:hAnsi="Tw Cen MT"/>
                          <w:sz w:val="20"/>
                          <w:szCs w:val="20"/>
                        </w:rPr>
                        <w:t xml:space="preserve">Revised </w:t>
                      </w:r>
                      <w:r>
                        <w:rPr>
                          <w:rFonts w:ascii="Tw Cen MT" w:hAnsi="Tw Cen MT"/>
                          <w:sz w:val="20"/>
                          <w:szCs w:val="20"/>
                          <w:lang w:val="id-ID"/>
                        </w:rPr>
                        <w:t>date</w:t>
                      </w:r>
                      <w:r>
                        <w:rPr>
                          <w:rFonts w:ascii="Tw Cen MT" w:hAnsi="Tw Cen MT"/>
                          <w:sz w:val="20"/>
                          <w:szCs w:val="20"/>
                        </w:rPr>
                        <w:t xml:space="preserve">: </w:t>
                      </w:r>
                      <w:r>
                        <w:rPr>
                          <w:rFonts w:ascii="Tw Cen MT" w:cs="Noto Sans" w:hAnsi="Tw Cen MT"/>
                          <w:sz w:val="20"/>
                          <w:szCs w:val="20"/>
                          <w:shd w:val="clear" w:color="auto" w:fill="ffffff"/>
                        </w:rPr>
                        <w:t>xxxx</w:t>
                      </w:r>
                      <w:r>
                        <w:rPr>
                          <w:rFonts w:ascii="Tw Cen MT" w:cs="Noto Sans" w:hAnsi="Tw Cen MT"/>
                          <w:sz w:val="20"/>
                          <w:szCs w:val="20"/>
                          <w:shd w:val="clear" w:color="auto" w:fill="ffffff"/>
                        </w:rPr>
                        <w:t>-</w:t>
                      </w:r>
                      <w:r>
                        <w:rPr>
                          <w:rFonts w:ascii="Tw Cen MT" w:cs="Noto Sans" w:hAnsi="Tw Cen MT"/>
                          <w:sz w:val="20"/>
                          <w:szCs w:val="20"/>
                          <w:shd w:val="clear" w:color="auto" w:fill="ffffff"/>
                        </w:rPr>
                        <w:t>xx</w:t>
                      </w:r>
                      <w:r>
                        <w:rPr>
                          <w:rFonts w:ascii="Tw Cen MT" w:cs="Noto Sans" w:hAnsi="Tw Cen MT"/>
                          <w:sz w:val="20"/>
                          <w:szCs w:val="20"/>
                          <w:shd w:val="clear" w:color="auto" w:fill="ffffff"/>
                        </w:rPr>
                        <w:t>-</w:t>
                      </w:r>
                      <w:r>
                        <w:rPr>
                          <w:rFonts w:ascii="Tw Cen MT" w:cs="Noto Sans" w:hAnsi="Tw Cen MT"/>
                          <w:sz w:val="20"/>
                          <w:szCs w:val="20"/>
                          <w:shd w:val="clear" w:color="auto" w:fill="ffffff"/>
                        </w:rPr>
                        <w:t>xx</w:t>
                      </w:r>
                    </w:p>
                    <w:p>
                      <w:pPr>
                        <w:pStyle w:val="style74"/>
                        <w:spacing w:after="0"/>
                        <w:ind w:left="-125" w:right="-57"/>
                        <w:rPr>
                          <w:rFonts w:ascii="Tw Cen MT" w:hAnsi="Tw Cen MT"/>
                          <w:sz w:val="20"/>
                          <w:szCs w:val="20"/>
                        </w:rPr>
                      </w:pPr>
                      <w:r>
                        <w:rPr>
                          <w:rFonts w:ascii="Tw Cen MT" w:hAnsi="Tw Cen MT"/>
                          <w:sz w:val="20"/>
                          <w:szCs w:val="20"/>
                        </w:rPr>
                        <w:t xml:space="preserve">Accepted </w:t>
                      </w:r>
                      <w:r>
                        <w:rPr>
                          <w:rFonts w:ascii="Tw Cen MT" w:hAnsi="Tw Cen MT"/>
                          <w:sz w:val="20"/>
                          <w:szCs w:val="20"/>
                          <w:lang w:val="id-ID"/>
                        </w:rPr>
                        <w:t>date</w:t>
                      </w:r>
                      <w:r>
                        <w:rPr>
                          <w:rFonts w:ascii="Tw Cen MT" w:hAnsi="Tw Cen MT"/>
                          <w:sz w:val="20"/>
                          <w:szCs w:val="20"/>
                        </w:rPr>
                        <w:t xml:space="preserve">: </w:t>
                      </w:r>
                      <w:r>
                        <w:rPr>
                          <w:rFonts w:ascii="Tw Cen MT" w:cs="Noto Sans" w:hAnsi="Tw Cen MT"/>
                          <w:sz w:val="20"/>
                          <w:szCs w:val="20"/>
                          <w:shd w:val="clear" w:color="auto" w:fill="ffffff"/>
                        </w:rPr>
                        <w:t>xxxx</w:t>
                      </w:r>
                      <w:r>
                        <w:rPr>
                          <w:rFonts w:ascii="Tw Cen MT" w:cs="Noto Sans" w:hAnsi="Tw Cen MT"/>
                          <w:sz w:val="20"/>
                          <w:szCs w:val="20"/>
                          <w:shd w:val="clear" w:color="auto" w:fill="ffffff"/>
                        </w:rPr>
                        <w:t>-</w:t>
                      </w:r>
                      <w:r>
                        <w:rPr>
                          <w:rFonts w:ascii="Tw Cen MT" w:cs="Noto Sans" w:hAnsi="Tw Cen MT"/>
                          <w:sz w:val="20"/>
                          <w:szCs w:val="20"/>
                          <w:shd w:val="clear" w:color="auto" w:fill="ffffff"/>
                        </w:rPr>
                        <w:t>xx</w:t>
                      </w:r>
                      <w:r>
                        <w:rPr>
                          <w:rFonts w:ascii="Tw Cen MT" w:cs="Noto Sans" w:hAnsi="Tw Cen MT"/>
                          <w:sz w:val="20"/>
                          <w:szCs w:val="20"/>
                          <w:shd w:val="clear" w:color="auto" w:fill="ffffff"/>
                        </w:rPr>
                        <w:t>-</w:t>
                      </w:r>
                      <w:r>
                        <w:rPr>
                          <w:rFonts w:ascii="Tw Cen MT" w:cs="Noto Sans" w:hAnsi="Tw Cen MT"/>
                          <w:sz w:val="20"/>
                          <w:szCs w:val="20"/>
                          <w:shd w:val="clear" w:color="auto" w:fill="ffffff"/>
                        </w:rPr>
                        <w:t>xx</w:t>
                      </w:r>
                    </w:p>
                    <w:p>
                      <w:pPr>
                        <w:pStyle w:val="style0"/>
                        <w:pBdr>
                          <w:top w:val="single" w:sz="4" w:space="0" w:color="auto"/>
                        </w:pBdr>
                        <w:tabs>
                          <w:tab w:val="left" w:leader="none" w:pos="567"/>
                        </w:tabs>
                        <w:spacing w:after="0"/>
                        <w:ind w:left="-85" w:right="-57"/>
                        <w:rPr>
                          <w:rFonts w:ascii="Tw Cen MT" w:cs="Arial" w:hAnsi="Tw Cen MT"/>
                          <w:b/>
                          <w:bCs/>
                          <w:i/>
                          <w:caps/>
                          <w:sz w:val="20"/>
                          <w:szCs w:val="20"/>
                        </w:rPr>
                      </w:pPr>
                    </w:p>
                    <w:p>
                      <w:pPr>
                        <w:pStyle w:val="style0"/>
                        <w:rPr>
                          <w:rFonts w:ascii="Tw Cen MT" w:hAnsi="Tw Cen MT"/>
                          <w:sz w:val="20"/>
                          <w:szCs w:val="20"/>
                        </w:rPr>
                      </w:pPr>
                    </w:p>
                  </w:txbxContent>
                </v:textbox>
              </v:rect>
            </w:pict>
          </mc:Fallback>
        </mc:AlternateContent>
      </w:r>
      <w:r>
        <w:rPr>
          <w:rFonts w:ascii="Tw Cen MT" w:hAnsi="Tw Cen MT"/>
          <w:noProof/>
        </w:rPr>
        <mc:AlternateContent>
          <mc:Choice Requires="wps">
            <w:drawing>
              <wp:anchor distT="0" distB="0" distL="0" distR="0" simplePos="false" relativeHeight="2" behindDoc="false" locked="false" layoutInCell="true" allowOverlap="true">
                <wp:simplePos x="0" y="0"/>
                <wp:positionH relativeFrom="column">
                  <wp:posOffset>9728</wp:posOffset>
                </wp:positionH>
                <wp:positionV relativeFrom="paragraph">
                  <wp:posOffset>124838</wp:posOffset>
                </wp:positionV>
                <wp:extent cx="5966257" cy="0"/>
                <wp:effectExtent l="0" t="0" r="15875" b="19050"/>
                <wp:wrapNone/>
                <wp:docPr id="1027" name="Straight Arrow Connector 6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966257" cy="0"/>
                        </a:xfrm>
                        <a:prstGeom prst="straightConnector1"/>
                        <a:ln cmpd="sng" cap="flat" w="19050">
                          <a:solidFill>
                            <a:srgbClr val="000000"/>
                          </a:solidFill>
                          <a:prstDash val="solid"/>
                          <a:round/>
                          <a:headEnd len="sm" w="sm" type="none"/>
                          <a:tailEnd len="sm" w="sm"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v:path arrowok="t" fillok="f" o:connecttype="none"/>
                <o:lock v:ext="edit" shapetype="t"/>
              </v:shapetype>
              <v:shape id="1027" type="#_x0000_t32" filled="f" style="position:absolute;margin-left:0.77pt;margin-top:9.83pt;width:469.78pt;height:0.0pt;z-index:2;mso-position-horizontal-relative:text;mso-position-vertical-relative:text;mso-width-percent:0;mso-height-percent:0;mso-width-relative:margin;mso-height-relative:margin;mso-wrap-distance-left:0.0pt;mso-wrap-distance-right:0.0pt;visibility:visible;">
                <v:stroke startarrowwidth="narrow" startarrowlength="short" endarrowwidth="narrow" endarrowlength="short" weight="1.5pt"/>
                <v:fill/>
              </v:shape>
            </w:pict>
          </mc:Fallback>
        </mc:AlternateContent>
      </w:r>
    </w:p>
    <w:p>
      <w:pPr>
        <w:pStyle w:val="style0"/>
        <w:spacing w:after="0"/>
        <w:ind w:left="2399" w:firstLine="719"/>
        <w:rPr>
          <w:rFonts w:ascii="Tw Cen MT" w:cs="Twentieth Century" w:eastAsia="Twentieth Century" w:hAnsi="Tw Cen MT"/>
        </w:rPr>
      </w:pPr>
      <w:r>
        <w:rPr>
          <w:rFonts w:ascii="Tw Cen MT" w:cs="Twentieth Century" w:eastAsia="Twentieth Century" w:hAnsi="Tw Cen MT"/>
          <w:b/>
          <w:i/>
          <w:sz w:val="20"/>
          <w:szCs w:val="20"/>
        </w:rPr>
        <w:t xml:space="preserve"> </w:t>
      </w:r>
      <w:r>
        <w:rPr>
          <w:rFonts w:ascii="Tw Cen MT" w:cs="Twentieth Century" w:eastAsia="Twentieth Century" w:hAnsi="Tw Cen MT"/>
          <w:b/>
          <w:i/>
          <w:sz w:val="20"/>
          <w:szCs w:val="20"/>
        </w:rPr>
        <w:t>Abstract</w:t>
      </w:r>
    </w:p>
    <w:p>
      <w:pPr>
        <w:pStyle w:val="style0"/>
        <w:widowControl w:val="false"/>
        <w:spacing w:after="0" w:lineRule="auto" w:line="228"/>
        <w:ind w:left="3150" w:right="-19"/>
        <w:jc w:val="both"/>
        <w:rPr>
          <w:rFonts w:ascii="Tw Cen MT" w:cs="Twentieth Century" w:eastAsia="Twentieth Century" w:hAnsi="Tw Cen MT"/>
          <w:i/>
          <w:noProof/>
          <w:color w:val="000000"/>
          <w:sz w:val="20"/>
          <w:szCs w:val="20"/>
        </w:rPr>
      </w:pPr>
      <w:r>
        <w:rPr>
          <w:rFonts w:ascii="Tw Cen MT" w:cs="Twentieth Century" w:eastAsia="Twentieth Century" w:hAnsi="Tw Cen MT"/>
          <w:i/>
          <w:noProof/>
          <w:color w:val="000000"/>
          <w:sz w:val="20"/>
          <w:szCs w:val="20"/>
        </w:rPr>
        <w:drawing>
          <wp:anchor distT="0" distB="0" distL="114300" distR="114300" simplePos="false" relativeHeight="4" behindDoc="true" locked="false" layoutInCell="true" allowOverlap="true">
            <wp:simplePos x="0" y="0"/>
            <wp:positionH relativeFrom="column">
              <wp:posOffset>45085</wp:posOffset>
            </wp:positionH>
            <wp:positionV relativeFrom="paragraph">
              <wp:posOffset>996950</wp:posOffset>
            </wp:positionV>
            <wp:extent cx="1016000" cy="358139"/>
            <wp:effectExtent l="0" t="0" r="0" b="3810"/>
            <wp:wrapThrough wrapText="bothSides">
              <wp:wrapPolygon edited="false">
                <wp:start x="0" y="0"/>
                <wp:lineTo x="0" y="20681"/>
                <wp:lineTo x="21060" y="20681"/>
                <wp:lineTo x="21060" y="0"/>
                <wp:lineTo x="0" y="0"/>
              </wp:wrapPolygon>
            </wp:wrapThrough>
            <wp:docPr id="1028" name="Picture 3" descr="D:\IRA\JURNAL PROTEKSI OJS\ccbysa1.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 cstate="print"/>
                    <a:srcRect l="0" t="0" r="0" b="0"/>
                    <a:stretch/>
                  </pic:blipFill>
                  <pic:spPr>
                    <a:xfrm rot="0">
                      <a:off x="0" y="0"/>
                      <a:ext cx="1016000" cy="358139"/>
                    </a:xfrm>
                    <a:prstGeom prst="rect"/>
                    <a:ln>
                      <a:noFill/>
                    </a:ln>
                  </pic:spPr>
                </pic:pic>
              </a:graphicData>
            </a:graphic>
            <wp14:sizeRelH relativeFrom="page">
              <wp14:pctWidth>0</wp14:pctWidth>
            </wp14:sizeRelH>
            <wp14:sizeRelV relativeFrom="page">
              <wp14:pctHeight>0</wp14:pctHeight>
            </wp14:sizeRelV>
          </wp:anchor>
        </w:drawing>
      </w:r>
      <w:r>
        <w:t xml:space="preserve"> </w:t>
      </w:r>
      <w:r>
        <w:rPr>
          <w:rFonts w:ascii="Tw Cen MT" w:cs="Twentieth Century" w:eastAsia="Twentieth Century" w:hAnsi="Tw Cen MT"/>
          <w:i/>
          <w:noProof/>
          <w:color w:val="000000"/>
          <w:sz w:val="20"/>
          <w:szCs w:val="20"/>
        </w:rPr>
        <w:t>Lumbosacral lateral projection radiography, particularly of the fifth lumbar vertebra (L5) and sacrum, often experiences a decrease in contrast due to exposure factors and object thickness. This study aims to analyze the variation in the Virtual Grid ratio of 8:1, 10:1, and 12:1 in lateral projection sacrum examinations using the Pixel Value indicator. This descriptive quantitative study was conducted in May–June 2025 at the Radiography and Physics Laboratory, Department of Radiodiagnostic and Radiotherapy Technology, Jakarta II Polytechnic. The sample consisted of lateral sacrum images with three grid ratio variations. Analysis was performed on the average Pixel Value, followed by statistical testing using SPSS 27 with the One-Way ANOVA method. The results showed the average Pixel Value: 8:1 ratio at 150.94; 10:1 ratio at 150.46; and 12:1 ratio at 152.75 with P&gt;0.05, indicating no significant difference between the grid ratio variations</w:t>
      </w:r>
      <w:r>
        <w:rPr>
          <w:rFonts w:ascii="Tw Cen MT" w:hAnsi="Tw Cen MT"/>
          <w:i/>
          <w:color w:val="000000"/>
          <w:sz w:val="20"/>
          <w:szCs w:val="20"/>
          <w:shd w:val="clear" w:color="auto" w:fill="ffffff"/>
        </w:rPr>
        <w:t>.</w:t>
      </w:r>
    </w:p>
    <w:p>
      <w:pPr>
        <w:pStyle w:val="style0"/>
        <w:widowControl w:val="false"/>
        <w:spacing w:after="0" w:lineRule="auto" w:line="228"/>
        <w:ind w:left="3150" w:right="-19"/>
        <w:jc w:val="both"/>
        <w:rPr>
          <w:rFonts w:ascii="Tw Cen MT" w:cs="Twentieth Century" w:eastAsia="Twentieth Century" w:hAnsi="Tw Cen MT"/>
          <w:b/>
          <w:i/>
          <w:sz w:val="20"/>
          <w:szCs w:val="20"/>
        </w:rPr>
      </w:pPr>
      <w:r>
        <w:rPr>
          <w:rFonts w:ascii="Tw Cen MT" w:cs="Twentieth Century" w:eastAsia="Twentieth Century" w:hAnsi="Tw Cen MT"/>
          <w:b/>
          <w:i/>
          <w:sz w:val="20"/>
          <w:szCs w:val="20"/>
        </w:rPr>
        <w:t>Keywords:</w:t>
      </w:r>
    </w:p>
    <w:p>
      <w:pPr>
        <w:pStyle w:val="style0"/>
        <w:tabs>
          <w:tab w:val="left" w:leader="none" w:pos="426"/>
        </w:tabs>
        <w:spacing w:after="0"/>
        <w:ind w:left="3150"/>
        <w:jc w:val="both"/>
        <w:rPr>
          <w:rFonts w:ascii="Tw Cen MT" w:cs="Twentieth Century" w:eastAsia="Twentieth Century" w:hAnsi="Tw Cen MT"/>
          <w:b/>
          <w:sz w:val="20"/>
          <w:szCs w:val="20"/>
        </w:rPr>
      </w:pPr>
      <w:r>
        <w:rPr>
          <w:rFonts w:ascii="Tw Cen MT" w:cs="Twentieth Century" w:eastAsia="Twentieth Century" w:hAnsi="Tw Cen MT"/>
          <w:sz w:val="20"/>
          <w:szCs w:val="20"/>
        </w:rPr>
        <w:t xml:space="preserve">Virtual </w:t>
      </w:r>
      <w:r>
        <w:rPr>
          <w:rFonts w:ascii="Tw Cen MT" w:cs="Twentieth Century" w:eastAsia="Twentieth Century" w:hAnsi="Tw Cen MT"/>
          <w:sz w:val="20"/>
          <w:szCs w:val="20"/>
        </w:rPr>
        <w:t>Grid</w:t>
      </w:r>
      <w:r>
        <w:rPr>
          <w:rFonts w:ascii="Tw Cen MT" w:cs="Twentieth Century" w:eastAsia="Twentieth Century" w:hAnsi="Tw Cen MT"/>
          <w:sz w:val="20"/>
          <w:szCs w:val="20"/>
        </w:rPr>
        <w:t xml:space="preserve"> ,</w:t>
      </w:r>
      <w:r>
        <w:rPr>
          <w:rFonts w:ascii="Tw Cen MT" w:cs="Twentieth Century" w:eastAsia="Twentieth Century" w:hAnsi="Tw Cen MT"/>
          <w:sz w:val="20"/>
          <w:szCs w:val="20"/>
        </w:rPr>
        <w:t xml:space="preserve"> </w:t>
      </w:r>
      <w:r>
        <w:rPr>
          <w:rFonts w:ascii="Tw Cen MT" w:cs="Twentieth Century" w:eastAsia="Twentieth Century" w:hAnsi="Tw Cen MT"/>
          <w:sz w:val="20"/>
          <w:szCs w:val="20"/>
        </w:rPr>
        <w:t xml:space="preserve">Pixel </w:t>
      </w:r>
      <w:r>
        <w:rPr>
          <w:rFonts w:ascii="Tw Cen MT" w:cs="Twentieth Century" w:eastAsia="Twentieth Century" w:hAnsi="Tw Cen MT"/>
          <w:sz w:val="20"/>
          <w:szCs w:val="20"/>
        </w:rPr>
        <w:t>Value</w:t>
      </w:r>
      <w:r>
        <w:rPr>
          <w:rFonts w:ascii="Tw Cen MT" w:cs="Twentieth Century" w:eastAsia="Twentieth Century" w:hAnsi="Tw Cen MT"/>
          <w:sz w:val="20"/>
          <w:szCs w:val="20"/>
        </w:rPr>
        <w:t xml:space="preserve"> ,</w:t>
      </w:r>
      <w:r>
        <w:rPr>
          <w:rFonts w:ascii="Tw Cen MT" w:cs="Twentieth Century" w:eastAsia="Twentieth Century" w:hAnsi="Tw Cen MT"/>
          <w:sz w:val="20"/>
          <w:szCs w:val="20"/>
        </w:rPr>
        <w:t xml:space="preserve"> </w:t>
      </w:r>
      <w:r>
        <w:rPr>
          <w:rFonts w:ascii="Tw Cen MT" w:cs="Twentieth Century" w:eastAsia="Twentieth Century" w:hAnsi="Tw Cen MT"/>
          <w:sz w:val="20"/>
          <w:szCs w:val="20"/>
        </w:rPr>
        <w:t>Os</w:t>
      </w:r>
      <w:r>
        <w:rPr>
          <w:rFonts w:ascii="Tw Cen MT" w:cs="Twentieth Century" w:eastAsia="Twentieth Century" w:hAnsi="Tw Cen MT"/>
          <w:sz w:val="20"/>
          <w:szCs w:val="20"/>
        </w:rPr>
        <w:t xml:space="preserve"> Sacrum</w:t>
      </w:r>
    </w:p>
    <w:p>
      <w:pPr>
        <w:pStyle w:val="style0"/>
        <w:tabs>
          <w:tab w:val="left" w:leader="none" w:pos="426"/>
        </w:tabs>
        <w:spacing w:after="0"/>
        <w:ind w:left="3150"/>
        <w:jc w:val="both"/>
        <w:rPr>
          <w:rFonts w:ascii="Tw Cen MT" w:cs="Twentieth Century" w:eastAsia="Twentieth Century" w:hAnsi="Tw Cen MT"/>
          <w:b/>
          <w:sz w:val="20"/>
          <w:szCs w:val="20"/>
        </w:rPr>
      </w:pPr>
      <w:r>
        <w:rPr>
          <w:rFonts w:ascii="Tw Cen MT" w:cs="Twentieth Century" w:eastAsia="Twentieth Century" w:hAnsi="Tw Cen MT"/>
          <w:b/>
          <w:sz w:val="20"/>
          <w:szCs w:val="20"/>
        </w:rPr>
        <w:t>Abstrak</w:t>
      </w:r>
    </w:p>
    <w:p>
      <w:pPr>
        <w:pStyle w:val="style0"/>
        <w:tabs>
          <w:tab w:val="left" w:leader="none" w:pos="426"/>
        </w:tabs>
        <w:spacing w:after="0"/>
        <w:ind w:left="3150"/>
        <w:jc w:val="both"/>
        <w:rPr>
          <w:rFonts w:ascii="Tw Cen MT" w:cs="Twentieth Century" w:eastAsia="Twentieth Century" w:hAnsi="Tw Cen MT"/>
          <w:iCs/>
          <w:color w:val="000000"/>
          <w:sz w:val="20"/>
          <w:szCs w:val="20"/>
        </w:rPr>
      </w:pPr>
      <w:r>
        <w:rPr>
          <w:rFonts w:ascii="Tw Cen MT" w:cs="Twentieth Century" w:eastAsia="Twentieth Century" w:hAnsi="Tw Cen MT"/>
          <w:iCs/>
          <w:color w:val="000000"/>
          <w:sz w:val="20"/>
          <w:szCs w:val="20"/>
        </w:rPr>
        <w:t>Pemeriksaan</w:t>
      </w:r>
      <w:r>
        <w:rPr>
          <w:rFonts w:ascii="Tw Cen MT" w:cs="Twentieth Century" w:eastAsia="Twentieth Century" w:hAnsi="Tw Cen MT"/>
          <w:iCs/>
          <w:color w:val="000000"/>
          <w:sz w:val="20"/>
          <w:szCs w:val="20"/>
        </w:rPr>
        <w:t xml:space="preserve"> </w:t>
      </w:r>
      <w:r>
        <w:rPr>
          <w:rFonts w:ascii="Tw Cen MT" w:cs="Twentieth Century" w:eastAsia="Twentieth Century" w:hAnsi="Tw Cen MT"/>
          <w:iCs/>
          <w:color w:val="000000"/>
          <w:sz w:val="20"/>
          <w:szCs w:val="20"/>
        </w:rPr>
        <w:t>radiografi</w:t>
      </w:r>
      <w:r>
        <w:rPr>
          <w:rFonts w:ascii="Tw Cen MT" w:cs="Twentieth Century" w:eastAsia="Twentieth Century" w:hAnsi="Tw Cen MT"/>
          <w:iCs/>
          <w:color w:val="000000"/>
          <w:sz w:val="20"/>
          <w:szCs w:val="20"/>
        </w:rPr>
        <w:t xml:space="preserve"> </w:t>
      </w:r>
      <w:r>
        <w:rPr>
          <w:rFonts w:ascii="Tw Cen MT" w:cs="Twentieth Century" w:eastAsia="Twentieth Century" w:hAnsi="Tw Cen MT"/>
          <w:iCs/>
          <w:color w:val="000000"/>
          <w:sz w:val="20"/>
          <w:szCs w:val="20"/>
        </w:rPr>
        <w:t>Lumbosakral</w:t>
      </w:r>
      <w:r>
        <w:rPr>
          <w:rFonts w:ascii="Tw Cen MT" w:cs="Twentieth Century" w:eastAsia="Twentieth Century" w:hAnsi="Tw Cen MT"/>
          <w:iCs/>
          <w:color w:val="000000"/>
          <w:sz w:val="20"/>
          <w:szCs w:val="20"/>
        </w:rPr>
        <w:t xml:space="preserve"> </w:t>
      </w:r>
      <w:r>
        <w:rPr>
          <w:rFonts w:ascii="Tw Cen MT" w:cs="Twentieth Century" w:eastAsia="Twentieth Century" w:hAnsi="Tw Cen MT"/>
          <w:iCs/>
          <w:color w:val="000000"/>
          <w:sz w:val="20"/>
          <w:szCs w:val="20"/>
        </w:rPr>
        <w:t>proyeksi</w:t>
      </w:r>
      <w:r>
        <w:rPr>
          <w:rFonts w:ascii="Tw Cen MT" w:cs="Twentieth Century" w:eastAsia="Twentieth Century" w:hAnsi="Tw Cen MT"/>
          <w:iCs/>
          <w:color w:val="000000"/>
          <w:sz w:val="20"/>
          <w:szCs w:val="20"/>
        </w:rPr>
        <w:t xml:space="preserve"> lateral, </w:t>
      </w:r>
      <w:r>
        <w:rPr>
          <w:rFonts w:ascii="Tw Cen MT" w:cs="Twentieth Century" w:eastAsia="Twentieth Century" w:hAnsi="Tw Cen MT"/>
          <w:iCs/>
          <w:color w:val="000000"/>
          <w:sz w:val="20"/>
          <w:szCs w:val="20"/>
        </w:rPr>
        <w:t>terutama</w:t>
      </w:r>
      <w:r>
        <w:rPr>
          <w:rFonts w:ascii="Tw Cen MT" w:cs="Twentieth Century" w:eastAsia="Twentieth Century" w:hAnsi="Tw Cen MT"/>
          <w:iCs/>
          <w:color w:val="000000"/>
          <w:sz w:val="20"/>
          <w:szCs w:val="20"/>
        </w:rPr>
        <w:t xml:space="preserve"> pada vertebra </w:t>
      </w:r>
      <w:r>
        <w:rPr>
          <w:rFonts w:ascii="Tw Cen MT" w:cs="Twentieth Century" w:eastAsia="Twentieth Century" w:hAnsi="Tw Cen MT"/>
          <w:iCs/>
          <w:color w:val="000000"/>
          <w:sz w:val="20"/>
          <w:szCs w:val="20"/>
        </w:rPr>
        <w:t>lumbalis</w:t>
      </w:r>
      <w:r>
        <w:rPr>
          <w:rFonts w:ascii="Tw Cen MT" w:cs="Twentieth Century" w:eastAsia="Twentieth Century" w:hAnsi="Tw Cen MT"/>
          <w:iCs/>
          <w:color w:val="000000"/>
          <w:sz w:val="20"/>
          <w:szCs w:val="20"/>
        </w:rPr>
        <w:t xml:space="preserve"> </w:t>
      </w:r>
      <w:r>
        <w:rPr>
          <w:rFonts w:ascii="Tw Cen MT" w:cs="Twentieth Century" w:eastAsia="Twentieth Century" w:hAnsi="Tw Cen MT"/>
          <w:iCs/>
          <w:color w:val="000000"/>
          <w:sz w:val="20"/>
          <w:szCs w:val="20"/>
        </w:rPr>
        <w:t>kelima</w:t>
      </w:r>
      <w:r>
        <w:rPr>
          <w:rFonts w:ascii="Tw Cen MT" w:cs="Twentieth Century" w:eastAsia="Twentieth Century" w:hAnsi="Tw Cen MT"/>
          <w:iCs/>
          <w:color w:val="000000"/>
          <w:sz w:val="20"/>
          <w:szCs w:val="20"/>
        </w:rPr>
        <w:t xml:space="preserve"> (L5) dan </w:t>
      </w:r>
      <w:r>
        <w:rPr>
          <w:rFonts w:ascii="Tw Cen MT" w:cs="Twentieth Century" w:eastAsia="Twentieth Century" w:hAnsi="Tw Cen MT"/>
          <w:iCs/>
          <w:color w:val="000000"/>
          <w:sz w:val="20"/>
          <w:szCs w:val="20"/>
        </w:rPr>
        <w:t>Os</w:t>
      </w:r>
      <w:r>
        <w:rPr>
          <w:rFonts w:ascii="Tw Cen MT" w:cs="Twentieth Century" w:eastAsia="Twentieth Century" w:hAnsi="Tw Cen MT"/>
          <w:iCs/>
          <w:color w:val="000000"/>
          <w:sz w:val="20"/>
          <w:szCs w:val="20"/>
        </w:rPr>
        <w:t xml:space="preserve"> Sacrum, </w:t>
      </w:r>
      <w:r>
        <w:rPr>
          <w:rFonts w:ascii="Tw Cen MT" w:cs="Twentieth Century" w:eastAsia="Twentieth Century" w:hAnsi="Tw Cen MT"/>
          <w:iCs/>
          <w:color w:val="000000"/>
          <w:sz w:val="20"/>
          <w:szCs w:val="20"/>
        </w:rPr>
        <w:t>sering</w:t>
      </w:r>
      <w:r>
        <w:rPr>
          <w:rFonts w:ascii="Tw Cen MT" w:cs="Twentieth Century" w:eastAsia="Twentieth Century" w:hAnsi="Tw Cen MT"/>
          <w:iCs/>
          <w:color w:val="000000"/>
          <w:sz w:val="20"/>
          <w:szCs w:val="20"/>
        </w:rPr>
        <w:t xml:space="preserve"> </w:t>
      </w:r>
      <w:r>
        <w:rPr>
          <w:rFonts w:ascii="Tw Cen MT" w:cs="Twentieth Century" w:eastAsia="Twentieth Century" w:hAnsi="Tw Cen MT"/>
          <w:iCs/>
          <w:color w:val="000000"/>
          <w:sz w:val="20"/>
          <w:szCs w:val="20"/>
        </w:rPr>
        <w:t>mengalami</w:t>
      </w:r>
      <w:r>
        <w:rPr>
          <w:rFonts w:ascii="Tw Cen MT" w:cs="Twentieth Century" w:eastAsia="Twentieth Century" w:hAnsi="Tw Cen MT"/>
          <w:iCs/>
          <w:color w:val="000000"/>
          <w:sz w:val="20"/>
          <w:szCs w:val="20"/>
        </w:rPr>
        <w:t xml:space="preserve"> </w:t>
      </w:r>
      <w:r>
        <w:rPr>
          <w:rFonts w:ascii="Tw Cen MT" w:cs="Twentieth Century" w:eastAsia="Twentieth Century" w:hAnsi="Tw Cen MT"/>
          <w:iCs/>
          <w:color w:val="000000"/>
          <w:sz w:val="20"/>
          <w:szCs w:val="20"/>
        </w:rPr>
        <w:t>penurunan</w:t>
      </w:r>
      <w:r>
        <w:rPr>
          <w:rFonts w:ascii="Tw Cen MT" w:cs="Twentieth Century" w:eastAsia="Twentieth Century" w:hAnsi="Tw Cen MT"/>
          <w:iCs/>
          <w:color w:val="000000"/>
          <w:sz w:val="20"/>
          <w:szCs w:val="20"/>
        </w:rPr>
        <w:t xml:space="preserve"> </w:t>
      </w:r>
      <w:r>
        <w:rPr>
          <w:rFonts w:ascii="Tw Cen MT" w:cs="Twentieth Century" w:eastAsia="Twentieth Century" w:hAnsi="Tw Cen MT"/>
          <w:iCs/>
          <w:color w:val="000000"/>
          <w:sz w:val="20"/>
          <w:szCs w:val="20"/>
        </w:rPr>
        <w:t>kontras</w:t>
      </w:r>
      <w:r>
        <w:rPr>
          <w:rFonts w:ascii="Tw Cen MT" w:cs="Twentieth Century" w:eastAsia="Twentieth Century" w:hAnsi="Tw Cen MT"/>
          <w:iCs/>
          <w:color w:val="000000"/>
          <w:sz w:val="20"/>
          <w:szCs w:val="20"/>
        </w:rPr>
        <w:t xml:space="preserve"> </w:t>
      </w:r>
      <w:r>
        <w:rPr>
          <w:rFonts w:ascii="Tw Cen MT" w:cs="Twentieth Century" w:eastAsia="Twentieth Century" w:hAnsi="Tw Cen MT"/>
          <w:iCs/>
          <w:color w:val="000000"/>
          <w:sz w:val="20"/>
          <w:szCs w:val="20"/>
        </w:rPr>
        <w:t>akibat</w:t>
      </w:r>
      <w:r>
        <w:rPr>
          <w:rFonts w:ascii="Tw Cen MT" w:cs="Twentieth Century" w:eastAsia="Twentieth Century" w:hAnsi="Tw Cen MT"/>
          <w:iCs/>
          <w:color w:val="000000"/>
          <w:sz w:val="20"/>
          <w:szCs w:val="20"/>
        </w:rPr>
        <w:t xml:space="preserve"> </w:t>
      </w:r>
      <w:r>
        <w:rPr>
          <w:rFonts w:ascii="Tw Cen MT" w:cs="Twentieth Century" w:eastAsia="Twentieth Century" w:hAnsi="Tw Cen MT"/>
          <w:iCs/>
          <w:color w:val="000000"/>
          <w:sz w:val="20"/>
          <w:szCs w:val="20"/>
        </w:rPr>
        <w:t>faktor</w:t>
      </w:r>
      <w:r>
        <w:rPr>
          <w:rFonts w:ascii="Tw Cen MT" w:cs="Twentieth Century" w:eastAsia="Twentieth Century" w:hAnsi="Tw Cen MT"/>
          <w:iCs/>
          <w:color w:val="000000"/>
          <w:sz w:val="20"/>
          <w:szCs w:val="20"/>
        </w:rPr>
        <w:t xml:space="preserve"> </w:t>
      </w:r>
      <w:r>
        <w:rPr>
          <w:rFonts w:ascii="Tw Cen MT" w:cs="Twentieth Century" w:eastAsia="Twentieth Century" w:hAnsi="Tw Cen MT"/>
          <w:iCs/>
          <w:color w:val="000000"/>
          <w:sz w:val="20"/>
          <w:szCs w:val="20"/>
        </w:rPr>
        <w:t>eksposi</w:t>
      </w:r>
      <w:r>
        <w:rPr>
          <w:rFonts w:ascii="Tw Cen MT" w:cs="Twentieth Century" w:eastAsia="Twentieth Century" w:hAnsi="Tw Cen MT"/>
          <w:iCs/>
          <w:color w:val="000000"/>
          <w:sz w:val="20"/>
          <w:szCs w:val="20"/>
        </w:rPr>
        <w:t xml:space="preserve"> dan </w:t>
      </w:r>
      <w:r>
        <w:rPr>
          <w:rFonts w:ascii="Tw Cen MT" w:cs="Twentieth Century" w:eastAsia="Twentieth Century" w:hAnsi="Tw Cen MT"/>
          <w:iCs/>
          <w:color w:val="000000"/>
          <w:sz w:val="20"/>
          <w:szCs w:val="20"/>
        </w:rPr>
        <w:t>ketebalan</w:t>
      </w:r>
      <w:r>
        <w:rPr>
          <w:rFonts w:ascii="Tw Cen MT" w:cs="Twentieth Century" w:eastAsia="Twentieth Century" w:hAnsi="Tw Cen MT"/>
          <w:iCs/>
          <w:color w:val="000000"/>
          <w:sz w:val="20"/>
          <w:szCs w:val="20"/>
        </w:rPr>
        <w:t xml:space="preserve"> </w:t>
      </w:r>
      <w:r>
        <w:rPr>
          <w:rFonts w:ascii="Tw Cen MT" w:cs="Twentieth Century" w:eastAsia="Twentieth Century" w:hAnsi="Tw Cen MT"/>
          <w:iCs/>
          <w:color w:val="000000"/>
          <w:sz w:val="20"/>
          <w:szCs w:val="20"/>
        </w:rPr>
        <w:t>objek</w:t>
      </w:r>
      <w:r>
        <w:rPr>
          <w:rFonts w:ascii="Tw Cen MT" w:cs="Twentieth Century" w:eastAsia="Twentieth Century" w:hAnsi="Tw Cen MT"/>
          <w:iCs/>
          <w:color w:val="000000"/>
          <w:sz w:val="20"/>
          <w:szCs w:val="20"/>
        </w:rPr>
        <w:t xml:space="preserve">. </w:t>
      </w:r>
      <w:r>
        <w:rPr>
          <w:rFonts w:ascii="Tw Cen MT" w:cs="Twentieth Century" w:eastAsia="Twentieth Century" w:hAnsi="Tw Cen MT"/>
          <w:iCs/>
          <w:color w:val="000000"/>
          <w:sz w:val="20"/>
          <w:szCs w:val="20"/>
        </w:rPr>
        <w:t>Penelitian</w:t>
      </w:r>
      <w:r>
        <w:rPr>
          <w:rFonts w:ascii="Tw Cen MT" w:cs="Twentieth Century" w:eastAsia="Twentieth Century" w:hAnsi="Tw Cen MT"/>
          <w:iCs/>
          <w:color w:val="000000"/>
          <w:sz w:val="20"/>
          <w:szCs w:val="20"/>
        </w:rPr>
        <w:t xml:space="preserve"> </w:t>
      </w:r>
      <w:r>
        <w:rPr>
          <w:rFonts w:ascii="Tw Cen MT" w:cs="Twentieth Century" w:eastAsia="Twentieth Century" w:hAnsi="Tw Cen MT"/>
          <w:iCs/>
          <w:color w:val="000000"/>
          <w:sz w:val="20"/>
          <w:szCs w:val="20"/>
        </w:rPr>
        <w:t>ini</w:t>
      </w:r>
      <w:r>
        <w:rPr>
          <w:rFonts w:ascii="Tw Cen MT" w:cs="Twentieth Century" w:eastAsia="Twentieth Century" w:hAnsi="Tw Cen MT"/>
          <w:iCs/>
          <w:color w:val="000000"/>
          <w:sz w:val="20"/>
          <w:szCs w:val="20"/>
        </w:rPr>
        <w:t xml:space="preserve"> </w:t>
      </w:r>
      <w:r>
        <w:rPr>
          <w:rFonts w:ascii="Tw Cen MT" w:cs="Twentieth Century" w:eastAsia="Twentieth Century" w:hAnsi="Tw Cen MT"/>
          <w:iCs/>
          <w:color w:val="000000"/>
          <w:sz w:val="20"/>
          <w:szCs w:val="20"/>
        </w:rPr>
        <w:t>bertujuan</w:t>
      </w:r>
      <w:r>
        <w:rPr>
          <w:rFonts w:ascii="Tw Cen MT" w:cs="Twentieth Century" w:eastAsia="Twentieth Century" w:hAnsi="Tw Cen MT"/>
          <w:iCs/>
          <w:color w:val="000000"/>
          <w:sz w:val="20"/>
          <w:szCs w:val="20"/>
        </w:rPr>
        <w:t xml:space="preserve"> </w:t>
      </w:r>
      <w:r>
        <w:rPr>
          <w:rFonts w:ascii="Tw Cen MT" w:cs="Twentieth Century" w:eastAsia="Twentieth Century" w:hAnsi="Tw Cen MT"/>
          <w:iCs/>
          <w:color w:val="000000"/>
          <w:sz w:val="20"/>
          <w:szCs w:val="20"/>
        </w:rPr>
        <w:t>menganalisis</w:t>
      </w:r>
      <w:r>
        <w:rPr>
          <w:rFonts w:ascii="Tw Cen MT" w:cs="Twentieth Century" w:eastAsia="Twentieth Century" w:hAnsi="Tw Cen MT"/>
          <w:iCs/>
          <w:color w:val="000000"/>
          <w:sz w:val="20"/>
          <w:szCs w:val="20"/>
        </w:rPr>
        <w:t xml:space="preserve"> </w:t>
      </w:r>
      <w:r>
        <w:rPr>
          <w:rFonts w:ascii="Tw Cen MT" w:cs="Twentieth Century" w:eastAsia="Twentieth Century" w:hAnsi="Tw Cen MT"/>
          <w:iCs/>
          <w:color w:val="000000"/>
          <w:sz w:val="20"/>
          <w:szCs w:val="20"/>
        </w:rPr>
        <w:t>variasi</w:t>
      </w:r>
      <w:r>
        <w:rPr>
          <w:rFonts w:ascii="Tw Cen MT" w:cs="Twentieth Century" w:eastAsia="Twentieth Century" w:hAnsi="Tw Cen MT"/>
          <w:iCs/>
          <w:color w:val="000000"/>
          <w:sz w:val="20"/>
          <w:szCs w:val="20"/>
        </w:rPr>
        <w:t xml:space="preserve"> </w:t>
      </w:r>
      <w:r>
        <w:rPr>
          <w:rFonts w:ascii="Tw Cen MT" w:cs="Twentieth Century" w:eastAsia="Twentieth Century" w:hAnsi="Tw Cen MT"/>
          <w:iCs/>
          <w:color w:val="000000"/>
          <w:sz w:val="20"/>
          <w:szCs w:val="20"/>
        </w:rPr>
        <w:t>rasio</w:t>
      </w:r>
      <w:r>
        <w:rPr>
          <w:rFonts w:ascii="Tw Cen MT" w:cs="Twentieth Century" w:eastAsia="Twentieth Century" w:hAnsi="Tw Cen MT"/>
          <w:iCs/>
          <w:color w:val="000000"/>
          <w:sz w:val="20"/>
          <w:szCs w:val="20"/>
        </w:rPr>
        <w:t xml:space="preserve"> Virtual Grid 8:1, 10:1, dan 12:1 pada </w:t>
      </w:r>
      <w:r>
        <w:rPr>
          <w:rFonts w:ascii="Tw Cen MT" w:cs="Twentieth Century" w:eastAsia="Twentieth Century" w:hAnsi="Tw Cen MT"/>
          <w:iCs/>
          <w:color w:val="000000"/>
          <w:sz w:val="20"/>
          <w:szCs w:val="20"/>
        </w:rPr>
        <w:t>pemeriksaan</w:t>
      </w:r>
      <w:r>
        <w:rPr>
          <w:rFonts w:ascii="Tw Cen MT" w:cs="Twentieth Century" w:eastAsia="Twentieth Century" w:hAnsi="Tw Cen MT"/>
          <w:iCs/>
          <w:color w:val="000000"/>
          <w:sz w:val="20"/>
          <w:szCs w:val="20"/>
        </w:rPr>
        <w:t xml:space="preserve"> </w:t>
      </w:r>
      <w:r>
        <w:rPr>
          <w:rFonts w:ascii="Tw Cen MT" w:cs="Twentieth Century" w:eastAsia="Twentieth Century" w:hAnsi="Tw Cen MT"/>
          <w:iCs/>
          <w:color w:val="000000"/>
          <w:sz w:val="20"/>
          <w:szCs w:val="20"/>
        </w:rPr>
        <w:t>Os</w:t>
      </w:r>
      <w:r>
        <w:rPr>
          <w:rFonts w:ascii="Tw Cen MT" w:cs="Twentieth Century" w:eastAsia="Twentieth Century" w:hAnsi="Tw Cen MT"/>
          <w:iCs/>
          <w:color w:val="000000"/>
          <w:sz w:val="20"/>
          <w:szCs w:val="20"/>
        </w:rPr>
        <w:t xml:space="preserve"> Sacrum </w:t>
      </w:r>
      <w:r>
        <w:rPr>
          <w:rFonts w:ascii="Tw Cen MT" w:cs="Twentieth Century" w:eastAsia="Twentieth Century" w:hAnsi="Tw Cen MT"/>
          <w:iCs/>
          <w:color w:val="000000"/>
          <w:sz w:val="20"/>
          <w:szCs w:val="20"/>
        </w:rPr>
        <w:t>proyeksi</w:t>
      </w:r>
      <w:r>
        <w:rPr>
          <w:rFonts w:ascii="Tw Cen MT" w:cs="Twentieth Century" w:eastAsia="Twentieth Century" w:hAnsi="Tw Cen MT"/>
          <w:iCs/>
          <w:color w:val="000000"/>
          <w:sz w:val="20"/>
          <w:szCs w:val="20"/>
        </w:rPr>
        <w:t xml:space="preserve"> lateral </w:t>
      </w:r>
      <w:r>
        <w:rPr>
          <w:rFonts w:ascii="Tw Cen MT" w:cs="Twentieth Century" w:eastAsia="Twentieth Century" w:hAnsi="Tw Cen MT"/>
          <w:iCs/>
          <w:color w:val="000000"/>
          <w:sz w:val="20"/>
          <w:szCs w:val="20"/>
        </w:rPr>
        <w:t>menggunakan</w:t>
      </w:r>
      <w:r>
        <w:rPr>
          <w:rFonts w:ascii="Tw Cen MT" w:cs="Twentieth Century" w:eastAsia="Twentieth Century" w:hAnsi="Tw Cen MT"/>
          <w:iCs/>
          <w:color w:val="000000"/>
          <w:sz w:val="20"/>
          <w:szCs w:val="20"/>
        </w:rPr>
        <w:t xml:space="preserve"> </w:t>
      </w:r>
      <w:r>
        <w:rPr>
          <w:rFonts w:ascii="Tw Cen MT" w:cs="Twentieth Century" w:eastAsia="Twentieth Century" w:hAnsi="Tw Cen MT"/>
          <w:iCs/>
          <w:color w:val="000000"/>
          <w:sz w:val="20"/>
          <w:szCs w:val="20"/>
        </w:rPr>
        <w:t>indikator</w:t>
      </w:r>
      <w:r>
        <w:rPr>
          <w:rFonts w:ascii="Tw Cen MT" w:cs="Twentieth Century" w:eastAsia="Twentieth Century" w:hAnsi="Tw Cen MT"/>
          <w:iCs/>
          <w:color w:val="000000"/>
          <w:sz w:val="20"/>
          <w:szCs w:val="20"/>
        </w:rPr>
        <w:t xml:space="preserve"> </w:t>
      </w:r>
      <w:r>
        <w:rPr>
          <w:rFonts w:ascii="Tw Cen MT" w:cs="Twentieth Century" w:eastAsia="Twentieth Century" w:hAnsi="Tw Cen MT"/>
          <w:iCs/>
          <w:color w:val="000000"/>
          <w:sz w:val="20"/>
          <w:szCs w:val="20"/>
        </w:rPr>
        <w:t>nilai</w:t>
      </w:r>
      <w:r>
        <w:rPr>
          <w:rFonts w:ascii="Tw Cen MT" w:cs="Twentieth Century" w:eastAsia="Twentieth Century" w:hAnsi="Tw Cen MT"/>
          <w:iCs/>
          <w:color w:val="000000"/>
          <w:sz w:val="20"/>
          <w:szCs w:val="20"/>
        </w:rPr>
        <w:t xml:space="preserve"> Pixel Value. Metode </w:t>
      </w:r>
      <w:r>
        <w:rPr>
          <w:rFonts w:ascii="Tw Cen MT" w:cs="Twentieth Century" w:eastAsia="Twentieth Century" w:hAnsi="Tw Cen MT"/>
          <w:iCs/>
          <w:color w:val="000000"/>
          <w:sz w:val="20"/>
          <w:szCs w:val="20"/>
        </w:rPr>
        <w:t>penelitian</w:t>
      </w:r>
      <w:r>
        <w:rPr>
          <w:rFonts w:ascii="Tw Cen MT" w:cs="Twentieth Century" w:eastAsia="Twentieth Century" w:hAnsi="Tw Cen MT"/>
          <w:iCs/>
          <w:color w:val="000000"/>
          <w:sz w:val="20"/>
          <w:szCs w:val="20"/>
        </w:rPr>
        <w:t xml:space="preserve"> </w:t>
      </w:r>
      <w:r>
        <w:rPr>
          <w:rFonts w:ascii="Tw Cen MT" w:cs="Twentieth Century" w:eastAsia="Twentieth Century" w:hAnsi="Tw Cen MT"/>
          <w:iCs/>
          <w:color w:val="000000"/>
          <w:sz w:val="20"/>
          <w:szCs w:val="20"/>
        </w:rPr>
        <w:t>kuantitatif</w:t>
      </w:r>
      <w:r>
        <w:rPr>
          <w:rFonts w:ascii="Tw Cen MT" w:cs="Twentieth Century" w:eastAsia="Twentieth Century" w:hAnsi="Tw Cen MT"/>
          <w:iCs/>
          <w:color w:val="000000"/>
          <w:sz w:val="20"/>
          <w:szCs w:val="20"/>
        </w:rPr>
        <w:t xml:space="preserve"> </w:t>
      </w:r>
      <w:r>
        <w:rPr>
          <w:rFonts w:ascii="Tw Cen MT" w:cs="Twentieth Century" w:eastAsia="Twentieth Century" w:hAnsi="Tw Cen MT"/>
          <w:iCs/>
          <w:color w:val="000000"/>
          <w:sz w:val="20"/>
          <w:szCs w:val="20"/>
        </w:rPr>
        <w:t>deskriptif</w:t>
      </w:r>
      <w:r>
        <w:rPr>
          <w:rFonts w:ascii="Tw Cen MT" w:cs="Twentieth Century" w:eastAsia="Twentieth Century" w:hAnsi="Tw Cen MT"/>
          <w:iCs/>
          <w:color w:val="000000"/>
          <w:sz w:val="20"/>
          <w:szCs w:val="20"/>
        </w:rPr>
        <w:t xml:space="preserve"> </w:t>
      </w:r>
      <w:r>
        <w:rPr>
          <w:rFonts w:ascii="Tw Cen MT" w:cs="Twentieth Century" w:eastAsia="Twentieth Century" w:hAnsi="Tw Cen MT"/>
          <w:iCs/>
          <w:color w:val="000000"/>
          <w:sz w:val="20"/>
          <w:szCs w:val="20"/>
        </w:rPr>
        <w:t>ini</w:t>
      </w:r>
      <w:r>
        <w:rPr>
          <w:rFonts w:ascii="Tw Cen MT" w:cs="Twentieth Century" w:eastAsia="Twentieth Century" w:hAnsi="Tw Cen MT"/>
          <w:iCs/>
          <w:color w:val="000000"/>
          <w:sz w:val="20"/>
          <w:szCs w:val="20"/>
        </w:rPr>
        <w:t xml:space="preserve"> </w:t>
      </w:r>
      <w:r>
        <w:rPr>
          <w:rFonts w:ascii="Tw Cen MT" w:cs="Twentieth Century" w:eastAsia="Twentieth Century" w:hAnsi="Tw Cen MT"/>
          <w:iCs/>
          <w:color w:val="000000"/>
          <w:sz w:val="20"/>
          <w:szCs w:val="20"/>
        </w:rPr>
        <w:t>dilakukan</w:t>
      </w:r>
      <w:r>
        <w:rPr>
          <w:rFonts w:ascii="Tw Cen MT" w:cs="Twentieth Century" w:eastAsia="Twentieth Century" w:hAnsi="Tw Cen MT"/>
          <w:iCs/>
          <w:color w:val="000000"/>
          <w:sz w:val="20"/>
          <w:szCs w:val="20"/>
        </w:rPr>
        <w:t xml:space="preserve"> pada Mei–Juni 2025 di </w:t>
      </w:r>
      <w:r>
        <w:rPr>
          <w:rFonts w:ascii="Tw Cen MT" w:cs="Twentieth Century" w:eastAsia="Twentieth Century" w:hAnsi="Tw Cen MT"/>
          <w:iCs/>
          <w:color w:val="000000"/>
          <w:sz w:val="20"/>
          <w:szCs w:val="20"/>
        </w:rPr>
        <w:t>Laboratorium</w:t>
      </w:r>
      <w:r>
        <w:rPr>
          <w:rFonts w:ascii="Tw Cen MT" w:cs="Twentieth Century" w:eastAsia="Twentieth Century" w:hAnsi="Tw Cen MT"/>
          <w:iCs/>
          <w:color w:val="000000"/>
          <w:sz w:val="20"/>
          <w:szCs w:val="20"/>
        </w:rPr>
        <w:t xml:space="preserve"> </w:t>
      </w:r>
      <w:r>
        <w:rPr>
          <w:rFonts w:ascii="Tw Cen MT" w:cs="Twentieth Century" w:eastAsia="Twentieth Century" w:hAnsi="Tw Cen MT"/>
          <w:iCs/>
          <w:color w:val="000000"/>
          <w:sz w:val="20"/>
          <w:szCs w:val="20"/>
        </w:rPr>
        <w:t>Praktikum</w:t>
      </w:r>
      <w:r>
        <w:rPr>
          <w:rFonts w:ascii="Tw Cen MT" w:cs="Twentieth Century" w:eastAsia="Twentieth Century" w:hAnsi="Tw Cen MT"/>
          <w:iCs/>
          <w:color w:val="000000"/>
          <w:sz w:val="20"/>
          <w:szCs w:val="20"/>
        </w:rPr>
        <w:t xml:space="preserve"> </w:t>
      </w:r>
      <w:r>
        <w:rPr>
          <w:rFonts w:ascii="Tw Cen MT" w:cs="Twentieth Century" w:eastAsia="Twentieth Century" w:hAnsi="Tw Cen MT"/>
          <w:iCs/>
          <w:color w:val="000000"/>
          <w:sz w:val="20"/>
          <w:szCs w:val="20"/>
        </w:rPr>
        <w:t>Radiografi</w:t>
      </w:r>
      <w:r>
        <w:rPr>
          <w:rFonts w:ascii="Tw Cen MT" w:cs="Twentieth Century" w:eastAsia="Twentieth Century" w:hAnsi="Tw Cen MT"/>
          <w:iCs/>
          <w:color w:val="000000"/>
          <w:sz w:val="20"/>
          <w:szCs w:val="20"/>
        </w:rPr>
        <w:t xml:space="preserve"> dan Fisika, </w:t>
      </w:r>
      <w:r>
        <w:rPr>
          <w:rFonts w:ascii="Tw Cen MT" w:cs="Twentieth Century" w:eastAsia="Twentieth Century" w:hAnsi="Tw Cen MT"/>
          <w:iCs/>
          <w:color w:val="000000"/>
          <w:sz w:val="20"/>
          <w:szCs w:val="20"/>
        </w:rPr>
        <w:t>Jurusan</w:t>
      </w:r>
      <w:r>
        <w:rPr>
          <w:rFonts w:ascii="Tw Cen MT" w:cs="Twentieth Century" w:eastAsia="Twentieth Century" w:hAnsi="Tw Cen MT"/>
          <w:iCs/>
          <w:color w:val="000000"/>
          <w:sz w:val="20"/>
          <w:szCs w:val="20"/>
        </w:rPr>
        <w:t xml:space="preserve"> Teknik </w:t>
      </w:r>
      <w:r>
        <w:rPr>
          <w:rFonts w:ascii="Tw Cen MT" w:cs="Twentieth Century" w:eastAsia="Twentieth Century" w:hAnsi="Tw Cen MT"/>
          <w:iCs/>
          <w:color w:val="000000"/>
          <w:sz w:val="20"/>
          <w:szCs w:val="20"/>
        </w:rPr>
        <w:t>Radiodiagnostik</w:t>
      </w:r>
      <w:r>
        <w:rPr>
          <w:rFonts w:ascii="Tw Cen MT" w:cs="Twentieth Century" w:eastAsia="Twentieth Century" w:hAnsi="Tw Cen MT"/>
          <w:iCs/>
          <w:color w:val="000000"/>
          <w:sz w:val="20"/>
          <w:szCs w:val="20"/>
        </w:rPr>
        <w:t xml:space="preserve"> dan </w:t>
      </w:r>
      <w:r>
        <w:rPr>
          <w:rFonts w:ascii="Tw Cen MT" w:cs="Twentieth Century" w:eastAsia="Twentieth Century" w:hAnsi="Tw Cen MT"/>
          <w:iCs/>
          <w:color w:val="000000"/>
          <w:sz w:val="20"/>
          <w:szCs w:val="20"/>
        </w:rPr>
        <w:t>Radioterapi</w:t>
      </w:r>
      <w:r>
        <w:rPr>
          <w:rFonts w:ascii="Tw Cen MT" w:cs="Twentieth Century" w:eastAsia="Twentieth Century" w:hAnsi="Tw Cen MT"/>
          <w:iCs/>
          <w:color w:val="000000"/>
          <w:sz w:val="20"/>
          <w:szCs w:val="20"/>
        </w:rPr>
        <w:t xml:space="preserve">, </w:t>
      </w:r>
      <w:r>
        <w:rPr>
          <w:rFonts w:ascii="Tw Cen MT" w:cs="Twentieth Century" w:eastAsia="Twentieth Century" w:hAnsi="Tw Cen MT"/>
          <w:iCs/>
          <w:color w:val="000000"/>
          <w:sz w:val="20"/>
          <w:szCs w:val="20"/>
        </w:rPr>
        <w:t>Poltekkes</w:t>
      </w:r>
      <w:r>
        <w:rPr>
          <w:rFonts w:ascii="Tw Cen MT" w:cs="Twentieth Century" w:eastAsia="Twentieth Century" w:hAnsi="Tw Cen MT"/>
          <w:iCs/>
          <w:color w:val="000000"/>
          <w:sz w:val="20"/>
          <w:szCs w:val="20"/>
        </w:rPr>
        <w:t xml:space="preserve"> Jakarta II. Sampel </w:t>
      </w:r>
      <w:r>
        <w:rPr>
          <w:rFonts w:ascii="Tw Cen MT" w:cs="Twentieth Century" w:eastAsia="Twentieth Century" w:hAnsi="Tw Cen MT"/>
          <w:iCs/>
          <w:color w:val="000000"/>
          <w:sz w:val="20"/>
          <w:szCs w:val="20"/>
        </w:rPr>
        <w:t>berupa</w:t>
      </w:r>
      <w:r>
        <w:rPr>
          <w:rFonts w:ascii="Tw Cen MT" w:cs="Twentieth Century" w:eastAsia="Twentieth Century" w:hAnsi="Tw Cen MT"/>
          <w:iCs/>
          <w:color w:val="000000"/>
          <w:sz w:val="20"/>
          <w:szCs w:val="20"/>
        </w:rPr>
        <w:t xml:space="preserve"> </w:t>
      </w:r>
      <w:r>
        <w:rPr>
          <w:rFonts w:ascii="Tw Cen MT" w:cs="Twentieth Century" w:eastAsia="Twentieth Century" w:hAnsi="Tw Cen MT"/>
          <w:iCs/>
          <w:color w:val="000000"/>
          <w:sz w:val="20"/>
          <w:szCs w:val="20"/>
        </w:rPr>
        <w:t>citra</w:t>
      </w:r>
      <w:r>
        <w:rPr>
          <w:rFonts w:ascii="Tw Cen MT" w:cs="Twentieth Century" w:eastAsia="Twentieth Century" w:hAnsi="Tw Cen MT"/>
          <w:iCs/>
          <w:color w:val="000000"/>
          <w:sz w:val="20"/>
          <w:szCs w:val="20"/>
        </w:rPr>
        <w:t xml:space="preserve"> </w:t>
      </w:r>
      <w:r>
        <w:rPr>
          <w:rFonts w:ascii="Tw Cen MT" w:cs="Twentieth Century" w:eastAsia="Twentieth Century" w:hAnsi="Tw Cen MT"/>
          <w:iCs/>
          <w:color w:val="000000"/>
          <w:sz w:val="20"/>
          <w:szCs w:val="20"/>
        </w:rPr>
        <w:t>Os</w:t>
      </w:r>
      <w:r>
        <w:rPr>
          <w:rFonts w:ascii="Tw Cen MT" w:cs="Twentieth Century" w:eastAsia="Twentieth Century" w:hAnsi="Tw Cen MT"/>
          <w:iCs/>
          <w:color w:val="000000"/>
          <w:sz w:val="20"/>
          <w:szCs w:val="20"/>
        </w:rPr>
        <w:t xml:space="preserve"> Sacrum lateral </w:t>
      </w:r>
      <w:r>
        <w:rPr>
          <w:rFonts w:ascii="Tw Cen MT" w:cs="Twentieth Century" w:eastAsia="Twentieth Century" w:hAnsi="Tw Cen MT"/>
          <w:iCs/>
          <w:color w:val="000000"/>
          <w:sz w:val="20"/>
          <w:szCs w:val="20"/>
        </w:rPr>
        <w:t>dengan</w:t>
      </w:r>
      <w:r>
        <w:rPr>
          <w:rFonts w:ascii="Tw Cen MT" w:cs="Twentieth Century" w:eastAsia="Twentieth Century" w:hAnsi="Tw Cen MT"/>
          <w:iCs/>
          <w:color w:val="000000"/>
          <w:sz w:val="20"/>
          <w:szCs w:val="20"/>
        </w:rPr>
        <w:t xml:space="preserve"> </w:t>
      </w:r>
      <w:r>
        <w:rPr>
          <w:rFonts w:ascii="Tw Cen MT" w:cs="Twentieth Century" w:eastAsia="Twentieth Century" w:hAnsi="Tw Cen MT"/>
          <w:iCs/>
          <w:color w:val="000000"/>
          <w:sz w:val="20"/>
          <w:szCs w:val="20"/>
        </w:rPr>
        <w:t>tiga</w:t>
      </w:r>
      <w:r>
        <w:rPr>
          <w:rFonts w:ascii="Tw Cen MT" w:cs="Twentieth Century" w:eastAsia="Twentieth Century" w:hAnsi="Tw Cen MT"/>
          <w:iCs/>
          <w:color w:val="000000"/>
          <w:sz w:val="20"/>
          <w:szCs w:val="20"/>
        </w:rPr>
        <w:t xml:space="preserve"> </w:t>
      </w:r>
      <w:r>
        <w:rPr>
          <w:rFonts w:ascii="Tw Cen MT" w:cs="Twentieth Century" w:eastAsia="Twentieth Century" w:hAnsi="Tw Cen MT"/>
          <w:iCs/>
          <w:color w:val="000000"/>
          <w:sz w:val="20"/>
          <w:szCs w:val="20"/>
        </w:rPr>
        <w:t>variasi</w:t>
      </w:r>
      <w:r>
        <w:rPr>
          <w:rFonts w:ascii="Tw Cen MT" w:cs="Twentieth Century" w:eastAsia="Twentieth Century" w:hAnsi="Tw Cen MT"/>
          <w:iCs/>
          <w:color w:val="000000"/>
          <w:sz w:val="20"/>
          <w:szCs w:val="20"/>
        </w:rPr>
        <w:t xml:space="preserve"> </w:t>
      </w:r>
      <w:r>
        <w:rPr>
          <w:rFonts w:ascii="Tw Cen MT" w:cs="Twentieth Century" w:eastAsia="Twentieth Century" w:hAnsi="Tw Cen MT"/>
          <w:iCs/>
          <w:color w:val="000000"/>
          <w:sz w:val="20"/>
          <w:szCs w:val="20"/>
        </w:rPr>
        <w:t>rasio</w:t>
      </w:r>
      <w:r>
        <w:rPr>
          <w:rFonts w:ascii="Tw Cen MT" w:cs="Twentieth Century" w:eastAsia="Twentieth Century" w:hAnsi="Tw Cen MT"/>
          <w:iCs/>
          <w:color w:val="000000"/>
          <w:sz w:val="20"/>
          <w:szCs w:val="20"/>
        </w:rPr>
        <w:t xml:space="preserve"> grid. </w:t>
      </w:r>
      <w:r>
        <w:rPr>
          <w:rFonts w:ascii="Tw Cen MT" w:cs="Twentieth Century" w:eastAsia="Twentieth Century" w:hAnsi="Tw Cen MT"/>
          <w:iCs/>
          <w:color w:val="000000"/>
          <w:sz w:val="20"/>
          <w:szCs w:val="20"/>
        </w:rPr>
        <w:t>Analisis</w:t>
      </w:r>
      <w:r>
        <w:rPr>
          <w:rFonts w:ascii="Tw Cen MT" w:cs="Twentieth Century" w:eastAsia="Twentieth Century" w:hAnsi="Tw Cen MT"/>
          <w:iCs/>
          <w:color w:val="000000"/>
          <w:sz w:val="20"/>
          <w:szCs w:val="20"/>
        </w:rPr>
        <w:t xml:space="preserve"> </w:t>
      </w:r>
      <w:r>
        <w:rPr>
          <w:rFonts w:ascii="Tw Cen MT" w:cs="Twentieth Century" w:eastAsia="Twentieth Century" w:hAnsi="Tw Cen MT"/>
          <w:iCs/>
          <w:color w:val="000000"/>
          <w:sz w:val="20"/>
          <w:szCs w:val="20"/>
        </w:rPr>
        <w:t>dilakukan</w:t>
      </w:r>
      <w:r>
        <w:rPr>
          <w:rFonts w:ascii="Tw Cen MT" w:cs="Twentieth Century" w:eastAsia="Twentieth Century" w:hAnsi="Tw Cen MT"/>
          <w:iCs/>
          <w:color w:val="000000"/>
          <w:sz w:val="20"/>
          <w:szCs w:val="20"/>
        </w:rPr>
        <w:t xml:space="preserve"> </w:t>
      </w:r>
      <w:r>
        <w:rPr>
          <w:rFonts w:ascii="Tw Cen MT" w:cs="Twentieth Century" w:eastAsia="Twentieth Century" w:hAnsi="Tw Cen MT"/>
          <w:iCs/>
          <w:color w:val="000000"/>
          <w:sz w:val="20"/>
          <w:szCs w:val="20"/>
        </w:rPr>
        <w:t>terhadap</w:t>
      </w:r>
      <w:r>
        <w:rPr>
          <w:rFonts w:ascii="Tw Cen MT" w:cs="Twentieth Century" w:eastAsia="Twentieth Century" w:hAnsi="Tw Cen MT"/>
          <w:iCs/>
          <w:color w:val="000000"/>
          <w:sz w:val="20"/>
          <w:szCs w:val="20"/>
        </w:rPr>
        <w:t xml:space="preserve"> rata-rata Pixel Value, </w:t>
      </w:r>
      <w:r>
        <w:rPr>
          <w:rFonts w:ascii="Tw Cen MT" w:cs="Twentieth Century" w:eastAsia="Twentieth Century" w:hAnsi="Tw Cen MT"/>
          <w:iCs/>
          <w:color w:val="000000"/>
          <w:sz w:val="20"/>
          <w:szCs w:val="20"/>
        </w:rPr>
        <w:t>dilanjutkan</w:t>
      </w:r>
      <w:r>
        <w:rPr>
          <w:rFonts w:ascii="Tw Cen MT" w:cs="Twentieth Century" w:eastAsia="Twentieth Century" w:hAnsi="Tw Cen MT"/>
          <w:iCs/>
          <w:color w:val="000000"/>
          <w:sz w:val="20"/>
          <w:szCs w:val="20"/>
        </w:rPr>
        <w:t xml:space="preserve"> uji </w:t>
      </w:r>
      <w:r>
        <w:rPr>
          <w:rFonts w:ascii="Tw Cen MT" w:cs="Twentieth Century" w:eastAsia="Twentieth Century" w:hAnsi="Tw Cen MT"/>
          <w:iCs/>
          <w:color w:val="000000"/>
          <w:sz w:val="20"/>
          <w:szCs w:val="20"/>
        </w:rPr>
        <w:t>statistik</w:t>
      </w:r>
      <w:r>
        <w:rPr>
          <w:rFonts w:ascii="Tw Cen MT" w:cs="Twentieth Century" w:eastAsia="Twentieth Century" w:hAnsi="Tw Cen MT"/>
          <w:iCs/>
          <w:color w:val="000000"/>
          <w:sz w:val="20"/>
          <w:szCs w:val="20"/>
        </w:rPr>
        <w:t xml:space="preserve"> </w:t>
      </w:r>
      <w:r>
        <w:rPr>
          <w:rFonts w:ascii="Tw Cen MT" w:cs="Twentieth Century" w:eastAsia="Twentieth Century" w:hAnsi="Tw Cen MT"/>
          <w:iCs/>
          <w:color w:val="000000"/>
          <w:sz w:val="20"/>
          <w:szCs w:val="20"/>
        </w:rPr>
        <w:t>dengan</w:t>
      </w:r>
      <w:r>
        <w:rPr>
          <w:rFonts w:ascii="Tw Cen MT" w:cs="Twentieth Century" w:eastAsia="Twentieth Century" w:hAnsi="Tw Cen MT"/>
          <w:iCs/>
          <w:color w:val="000000"/>
          <w:sz w:val="20"/>
          <w:szCs w:val="20"/>
        </w:rPr>
        <w:t xml:space="preserve"> SPSS 27 </w:t>
      </w:r>
      <w:r>
        <w:rPr>
          <w:rFonts w:ascii="Tw Cen MT" w:cs="Twentieth Century" w:eastAsia="Twentieth Century" w:hAnsi="Tw Cen MT"/>
          <w:iCs/>
          <w:color w:val="000000"/>
          <w:sz w:val="20"/>
          <w:szCs w:val="20"/>
        </w:rPr>
        <w:t>menggunakan</w:t>
      </w:r>
      <w:r>
        <w:rPr>
          <w:rFonts w:ascii="Tw Cen MT" w:cs="Twentieth Century" w:eastAsia="Twentieth Century" w:hAnsi="Tw Cen MT"/>
          <w:iCs/>
          <w:color w:val="000000"/>
          <w:sz w:val="20"/>
          <w:szCs w:val="20"/>
        </w:rPr>
        <w:t xml:space="preserve"> </w:t>
      </w:r>
      <w:r>
        <w:rPr>
          <w:rFonts w:ascii="Tw Cen MT" w:cs="Twentieth Century" w:eastAsia="Twentieth Century" w:hAnsi="Tw Cen MT"/>
          <w:iCs/>
          <w:color w:val="000000"/>
          <w:sz w:val="20"/>
          <w:szCs w:val="20"/>
        </w:rPr>
        <w:t>metode</w:t>
      </w:r>
      <w:r>
        <w:rPr>
          <w:rFonts w:ascii="Tw Cen MT" w:cs="Twentieth Century" w:eastAsia="Twentieth Century" w:hAnsi="Tw Cen MT"/>
          <w:iCs/>
          <w:color w:val="000000"/>
          <w:sz w:val="20"/>
          <w:szCs w:val="20"/>
        </w:rPr>
        <w:t xml:space="preserve"> One-Way ANOVA. Hasil </w:t>
      </w:r>
      <w:r>
        <w:rPr>
          <w:rFonts w:ascii="Tw Cen MT" w:cs="Twentieth Century" w:eastAsia="Twentieth Century" w:hAnsi="Tw Cen MT"/>
          <w:iCs/>
          <w:color w:val="000000"/>
          <w:sz w:val="20"/>
          <w:szCs w:val="20"/>
        </w:rPr>
        <w:t>menunjukkan</w:t>
      </w:r>
      <w:r>
        <w:rPr>
          <w:rFonts w:ascii="Tw Cen MT" w:cs="Twentieth Century" w:eastAsia="Twentieth Century" w:hAnsi="Tw Cen MT"/>
          <w:iCs/>
          <w:color w:val="000000"/>
          <w:sz w:val="20"/>
          <w:szCs w:val="20"/>
        </w:rPr>
        <w:t xml:space="preserve"> </w:t>
      </w:r>
      <w:r>
        <w:rPr>
          <w:rFonts w:ascii="Tw Cen MT" w:cs="Twentieth Century" w:eastAsia="Twentieth Century" w:hAnsi="Tw Cen MT"/>
          <w:iCs/>
          <w:color w:val="000000"/>
          <w:sz w:val="20"/>
          <w:szCs w:val="20"/>
        </w:rPr>
        <w:t>nilai</w:t>
      </w:r>
      <w:r>
        <w:rPr>
          <w:rFonts w:ascii="Tw Cen MT" w:cs="Twentieth Century" w:eastAsia="Twentieth Century" w:hAnsi="Tw Cen MT"/>
          <w:iCs/>
          <w:color w:val="000000"/>
          <w:sz w:val="20"/>
          <w:szCs w:val="20"/>
        </w:rPr>
        <w:t xml:space="preserve"> rata-rata Pixel Value: </w:t>
      </w:r>
      <w:r>
        <w:rPr>
          <w:rFonts w:ascii="Tw Cen MT" w:cs="Twentieth Century" w:eastAsia="Twentieth Century" w:hAnsi="Tw Cen MT"/>
          <w:iCs/>
          <w:color w:val="000000"/>
          <w:sz w:val="20"/>
          <w:szCs w:val="20"/>
        </w:rPr>
        <w:t>rasio</w:t>
      </w:r>
      <w:r>
        <w:rPr>
          <w:rFonts w:ascii="Tw Cen MT" w:cs="Twentieth Century" w:eastAsia="Twentieth Century" w:hAnsi="Tw Cen MT"/>
          <w:iCs/>
          <w:color w:val="000000"/>
          <w:sz w:val="20"/>
          <w:szCs w:val="20"/>
        </w:rPr>
        <w:t xml:space="preserve"> 8:1 </w:t>
      </w:r>
      <w:r>
        <w:rPr>
          <w:rFonts w:ascii="Tw Cen MT" w:cs="Twentieth Century" w:eastAsia="Twentieth Century" w:hAnsi="Tw Cen MT"/>
          <w:iCs/>
          <w:color w:val="000000"/>
          <w:sz w:val="20"/>
          <w:szCs w:val="20"/>
        </w:rPr>
        <w:t>sebesar</w:t>
      </w:r>
      <w:r>
        <w:rPr>
          <w:rFonts w:ascii="Tw Cen MT" w:cs="Twentieth Century" w:eastAsia="Twentieth Century" w:hAnsi="Tw Cen MT"/>
          <w:iCs/>
          <w:color w:val="000000"/>
          <w:sz w:val="20"/>
          <w:szCs w:val="20"/>
        </w:rPr>
        <w:t xml:space="preserve"> 150,94; 10:1 </w:t>
      </w:r>
      <w:r>
        <w:rPr>
          <w:rFonts w:ascii="Tw Cen MT" w:cs="Twentieth Century" w:eastAsia="Twentieth Century" w:hAnsi="Tw Cen MT"/>
          <w:iCs/>
          <w:color w:val="000000"/>
          <w:sz w:val="20"/>
          <w:szCs w:val="20"/>
        </w:rPr>
        <w:t>sebesar</w:t>
      </w:r>
      <w:r>
        <w:rPr>
          <w:rFonts w:ascii="Tw Cen MT" w:cs="Twentieth Century" w:eastAsia="Twentieth Century" w:hAnsi="Tw Cen MT"/>
          <w:iCs/>
          <w:color w:val="000000"/>
          <w:sz w:val="20"/>
          <w:szCs w:val="20"/>
        </w:rPr>
        <w:t xml:space="preserve"> 150,46; dan 12:1 </w:t>
      </w:r>
      <w:r>
        <w:rPr>
          <w:rFonts w:ascii="Tw Cen MT" w:cs="Twentieth Century" w:eastAsia="Twentieth Century" w:hAnsi="Tw Cen MT"/>
          <w:iCs/>
          <w:color w:val="000000"/>
          <w:sz w:val="20"/>
          <w:szCs w:val="20"/>
        </w:rPr>
        <w:t>sebesar</w:t>
      </w:r>
      <w:r>
        <w:rPr>
          <w:rFonts w:ascii="Tw Cen MT" w:cs="Twentieth Century" w:eastAsia="Twentieth Century" w:hAnsi="Tw Cen MT"/>
          <w:iCs/>
          <w:color w:val="000000"/>
          <w:sz w:val="20"/>
          <w:szCs w:val="20"/>
        </w:rPr>
        <w:t xml:space="preserve"> 152,75 </w:t>
      </w:r>
      <w:r>
        <w:rPr>
          <w:rFonts w:ascii="Tw Cen MT" w:cs="Twentieth Century" w:eastAsia="Twentieth Century" w:hAnsi="Tw Cen MT"/>
          <w:iCs/>
          <w:color w:val="000000"/>
          <w:sz w:val="20"/>
          <w:szCs w:val="20"/>
        </w:rPr>
        <w:t>dengan</w:t>
      </w:r>
      <w:r>
        <w:rPr>
          <w:rFonts w:ascii="Tw Cen MT" w:cs="Twentieth Century" w:eastAsia="Twentieth Century" w:hAnsi="Tw Cen MT"/>
          <w:iCs/>
          <w:color w:val="000000"/>
          <w:sz w:val="20"/>
          <w:szCs w:val="20"/>
        </w:rPr>
        <w:t xml:space="preserve"> P&gt;0,05, yang </w:t>
      </w:r>
      <w:r>
        <w:rPr>
          <w:rFonts w:ascii="Tw Cen MT" w:cs="Twentieth Century" w:eastAsia="Twentieth Century" w:hAnsi="Tw Cen MT"/>
          <w:iCs/>
          <w:color w:val="000000"/>
          <w:sz w:val="20"/>
          <w:szCs w:val="20"/>
        </w:rPr>
        <w:t>berarti</w:t>
      </w:r>
      <w:r>
        <w:rPr>
          <w:rFonts w:ascii="Tw Cen MT" w:cs="Twentieth Century" w:eastAsia="Twentieth Century" w:hAnsi="Tw Cen MT"/>
          <w:iCs/>
          <w:color w:val="000000"/>
          <w:sz w:val="20"/>
          <w:szCs w:val="20"/>
        </w:rPr>
        <w:t xml:space="preserve"> </w:t>
      </w:r>
      <w:r>
        <w:rPr>
          <w:rFonts w:ascii="Tw Cen MT" w:cs="Twentieth Century" w:eastAsia="Twentieth Century" w:hAnsi="Tw Cen MT"/>
          <w:iCs/>
          <w:color w:val="000000"/>
          <w:sz w:val="20"/>
          <w:szCs w:val="20"/>
        </w:rPr>
        <w:t>tidak</w:t>
      </w:r>
      <w:r>
        <w:rPr>
          <w:rFonts w:ascii="Tw Cen MT" w:cs="Twentieth Century" w:eastAsia="Twentieth Century" w:hAnsi="Tw Cen MT"/>
          <w:iCs/>
          <w:color w:val="000000"/>
          <w:sz w:val="20"/>
          <w:szCs w:val="20"/>
        </w:rPr>
        <w:t xml:space="preserve"> </w:t>
      </w:r>
      <w:r>
        <w:rPr>
          <w:rFonts w:ascii="Tw Cen MT" w:cs="Twentieth Century" w:eastAsia="Twentieth Century" w:hAnsi="Tw Cen MT"/>
          <w:iCs/>
          <w:color w:val="000000"/>
          <w:sz w:val="20"/>
          <w:szCs w:val="20"/>
        </w:rPr>
        <w:t>terdapat</w:t>
      </w:r>
      <w:r>
        <w:rPr>
          <w:rFonts w:ascii="Tw Cen MT" w:cs="Twentieth Century" w:eastAsia="Twentieth Century" w:hAnsi="Tw Cen MT"/>
          <w:iCs/>
          <w:color w:val="000000"/>
          <w:sz w:val="20"/>
          <w:szCs w:val="20"/>
        </w:rPr>
        <w:t xml:space="preserve"> </w:t>
      </w:r>
      <w:r>
        <w:rPr>
          <w:rFonts w:ascii="Tw Cen MT" w:cs="Twentieth Century" w:eastAsia="Twentieth Century" w:hAnsi="Tw Cen MT"/>
          <w:iCs/>
          <w:color w:val="000000"/>
          <w:sz w:val="20"/>
          <w:szCs w:val="20"/>
        </w:rPr>
        <w:t>perbedaan</w:t>
      </w:r>
      <w:r>
        <w:rPr>
          <w:rFonts w:ascii="Tw Cen MT" w:cs="Twentieth Century" w:eastAsia="Twentieth Century" w:hAnsi="Tw Cen MT"/>
          <w:iCs/>
          <w:color w:val="000000"/>
          <w:sz w:val="20"/>
          <w:szCs w:val="20"/>
        </w:rPr>
        <w:t xml:space="preserve"> </w:t>
      </w:r>
      <w:r>
        <w:rPr>
          <w:rFonts w:ascii="Tw Cen MT" w:cs="Twentieth Century" w:eastAsia="Twentieth Century" w:hAnsi="Tw Cen MT"/>
          <w:iCs/>
          <w:color w:val="000000"/>
          <w:sz w:val="20"/>
          <w:szCs w:val="20"/>
        </w:rPr>
        <w:t>signifikan</w:t>
      </w:r>
      <w:r>
        <w:rPr>
          <w:rFonts w:ascii="Tw Cen MT" w:cs="Twentieth Century" w:eastAsia="Twentieth Century" w:hAnsi="Tw Cen MT"/>
          <w:iCs/>
          <w:color w:val="000000"/>
          <w:sz w:val="20"/>
          <w:szCs w:val="20"/>
        </w:rPr>
        <w:t xml:space="preserve"> </w:t>
      </w:r>
      <w:r>
        <w:rPr>
          <w:rFonts w:ascii="Tw Cen MT" w:cs="Twentieth Century" w:eastAsia="Twentieth Century" w:hAnsi="Tw Cen MT"/>
          <w:iCs/>
          <w:color w:val="000000"/>
          <w:sz w:val="20"/>
          <w:szCs w:val="20"/>
        </w:rPr>
        <w:t>antar</w:t>
      </w:r>
      <w:r>
        <w:rPr>
          <w:rFonts w:ascii="Tw Cen MT" w:cs="Twentieth Century" w:eastAsia="Twentieth Century" w:hAnsi="Tw Cen MT"/>
          <w:iCs/>
          <w:color w:val="000000"/>
          <w:sz w:val="20"/>
          <w:szCs w:val="20"/>
        </w:rPr>
        <w:t xml:space="preserve"> </w:t>
      </w:r>
      <w:r>
        <w:rPr>
          <w:rFonts w:ascii="Tw Cen MT" w:cs="Twentieth Century" w:eastAsia="Twentieth Century" w:hAnsi="Tw Cen MT"/>
          <w:iCs/>
          <w:color w:val="000000"/>
          <w:sz w:val="20"/>
          <w:szCs w:val="20"/>
        </w:rPr>
        <w:t>variasi</w:t>
      </w:r>
      <w:r>
        <w:rPr>
          <w:rFonts w:ascii="Tw Cen MT" w:cs="Twentieth Century" w:eastAsia="Twentieth Century" w:hAnsi="Tw Cen MT"/>
          <w:iCs/>
          <w:color w:val="000000"/>
          <w:sz w:val="20"/>
          <w:szCs w:val="20"/>
        </w:rPr>
        <w:t xml:space="preserve"> </w:t>
      </w:r>
      <w:r>
        <w:rPr>
          <w:rFonts w:ascii="Tw Cen MT" w:cs="Twentieth Century" w:eastAsia="Twentieth Century" w:hAnsi="Tw Cen MT"/>
          <w:iCs/>
          <w:color w:val="000000"/>
          <w:sz w:val="20"/>
          <w:szCs w:val="20"/>
        </w:rPr>
        <w:t>rasio</w:t>
      </w:r>
      <w:r>
        <w:rPr>
          <w:rFonts w:ascii="Tw Cen MT" w:cs="Twentieth Century" w:eastAsia="Twentieth Century" w:hAnsi="Tw Cen MT"/>
          <w:iCs/>
          <w:color w:val="000000"/>
          <w:sz w:val="20"/>
          <w:szCs w:val="20"/>
        </w:rPr>
        <w:t>.</w:t>
      </w:r>
    </w:p>
    <w:p>
      <w:pPr>
        <w:pStyle w:val="style0"/>
        <w:tabs>
          <w:tab w:val="left" w:leader="none" w:pos="426"/>
        </w:tabs>
        <w:spacing w:after="0"/>
        <w:ind w:left="3150"/>
        <w:jc w:val="both"/>
        <w:rPr>
          <w:rFonts w:ascii="Tw Cen MT" w:cs="Twentieth Century" w:eastAsia="Twentieth Century" w:hAnsi="Tw Cen MT"/>
          <w:b/>
          <w:sz w:val="20"/>
          <w:szCs w:val="20"/>
        </w:rPr>
      </w:pPr>
      <w:r>
        <w:rPr>
          <w:rFonts w:ascii="Tw Cen MT" w:cs="Twentieth Century" w:eastAsia="Twentieth Century" w:hAnsi="Tw Cen MT"/>
          <w:b/>
          <w:sz w:val="20"/>
          <w:szCs w:val="20"/>
        </w:rPr>
        <w:t xml:space="preserve">Kata </w:t>
      </w:r>
      <w:r>
        <w:rPr>
          <w:rFonts w:ascii="Tw Cen MT" w:cs="Twentieth Century" w:eastAsia="Twentieth Century" w:hAnsi="Tw Cen MT"/>
          <w:b/>
          <w:sz w:val="20"/>
          <w:szCs w:val="20"/>
        </w:rPr>
        <w:t>Kunci</w:t>
      </w:r>
      <w:r>
        <w:rPr>
          <w:rFonts w:ascii="Tw Cen MT" w:cs="Twentieth Century" w:eastAsia="Twentieth Century" w:hAnsi="Tw Cen MT"/>
          <w:b/>
          <w:sz w:val="20"/>
          <w:szCs w:val="20"/>
        </w:rPr>
        <w:t>:</w:t>
      </w:r>
    </w:p>
    <w:p>
      <w:pPr>
        <w:pStyle w:val="style0"/>
        <w:ind w:left="3150"/>
        <w:rPr>
          <w:rFonts w:ascii="Tw Cen MT" w:cs="Twentieth Century" w:eastAsia="Twentieth Century" w:hAnsi="Tw Cen MT"/>
          <w:sz w:val="20"/>
          <w:szCs w:val="20"/>
        </w:rPr>
        <w:sectPr>
          <w:headerReference w:type="default" r:id="rId5"/>
          <w:footerReference w:type="default" r:id="rId6"/>
          <w:pgSz w:w="12240" w:h="15840" w:orient="portrait"/>
          <w:pgMar w:top="1440" w:right="1440" w:bottom="1440" w:left="1440" w:header="720" w:footer="720" w:gutter="0"/>
          <w:pgNumType w:start="1"/>
          <w:cols w:space="720"/>
        </w:sectPr>
      </w:pPr>
      <w:r>
        <w:rPr>
          <w:rFonts w:ascii="Tw Cen MT" w:hAnsi="Tw Cen MT"/>
          <w:noProof/>
        </w:rPr>
        <mc:AlternateContent>
          <mc:Choice Requires="wps">
            <w:drawing>
              <wp:anchor distT="0" distB="0" distL="0" distR="0" simplePos="false" relativeHeight="5" behindDoc="false" locked="false" layoutInCell="true" allowOverlap="true">
                <wp:simplePos x="0" y="0"/>
                <wp:positionH relativeFrom="column">
                  <wp:posOffset>-38100</wp:posOffset>
                </wp:positionH>
                <wp:positionV relativeFrom="paragraph">
                  <wp:posOffset>203835</wp:posOffset>
                </wp:positionV>
                <wp:extent cx="5975985" cy="0"/>
                <wp:effectExtent l="0" t="12700" r="18415" b="12700"/>
                <wp:wrapNone/>
                <wp:docPr id="1029" name="Straight Arrow Connector 6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975985" cy="0"/>
                        </a:xfrm>
                        <a:prstGeom prst="straightConnector1"/>
                        <a:ln cmpd="sng" cap="flat" w="19050">
                          <a:solidFill>
                            <a:srgbClr val="000000"/>
                          </a:solidFill>
                          <a:prstDash val="solid"/>
                          <a:round/>
                          <a:headEnd len="sm" w="sm" type="none"/>
                          <a:tailEnd len="sm" w="sm" type="none"/>
                        </a:ln>
                      </wps:spPr>
                      <wps:bodyPr>
                        <a:prstTxWarp prst="textNoShape"/>
                      </wps:bodyPr>
                    </wps:wsp>
                  </a:graphicData>
                </a:graphic>
                <wp14:sizeRelV relativeFrom="margin">
                  <wp14:pctHeight>0</wp14:pctHeight>
                </wp14:sizeRelV>
              </wp:anchor>
            </w:drawing>
          </mc:Choice>
          <mc:Fallback>
            <w:pict>
              <v:shape id="1029" type="#_x0000_t32" filled="f" style="position:absolute;margin-left:-3.0pt;margin-top:16.05pt;width:470.55pt;height:0.0pt;z-index:5;mso-position-horizontal-relative:text;mso-position-vertical-relative:text;mso-height-percent:0;mso-width-relative:page;mso-height-relative:margin;mso-wrap-distance-left:0.0pt;mso-wrap-distance-right:0.0pt;visibility:visible;">
                <v:stroke startarrowwidth="narrow" startarrowlength="short" endarrowwidth="narrow" endarrowlength="short" weight="1.5pt"/>
                <v:fill/>
              </v:shape>
            </w:pict>
          </mc:Fallback>
        </mc:AlternateContent>
      </w:r>
      <w:r>
        <w:rPr>
          <w:rFonts w:ascii="Tw Cen MT" w:cs="Twentieth Century" w:eastAsia="Twentieth Century" w:hAnsi="Tw Cen MT"/>
          <w:sz w:val="20"/>
          <w:szCs w:val="20"/>
        </w:rPr>
        <w:t xml:space="preserve"> </w:t>
      </w:r>
      <w:r>
        <w:rPr>
          <w:rFonts w:ascii="Tw Cen MT" w:cs="Twentieth Century" w:eastAsia="Twentieth Century" w:hAnsi="Tw Cen MT"/>
          <w:sz w:val="20"/>
          <w:szCs w:val="20"/>
        </w:rPr>
        <w:t xml:space="preserve">Virtual </w:t>
      </w:r>
      <w:r>
        <w:rPr>
          <w:rFonts w:ascii="Tw Cen MT" w:cs="Twentieth Century" w:eastAsia="Twentieth Century" w:hAnsi="Tw Cen MT"/>
          <w:sz w:val="20"/>
          <w:szCs w:val="20"/>
        </w:rPr>
        <w:t>Grid</w:t>
      </w:r>
      <w:r>
        <w:rPr>
          <w:rFonts w:ascii="Tw Cen MT" w:cs="Twentieth Century" w:eastAsia="Twentieth Century" w:hAnsi="Tw Cen MT"/>
          <w:sz w:val="20"/>
          <w:szCs w:val="20"/>
        </w:rPr>
        <w:t xml:space="preserve"> ,</w:t>
      </w:r>
      <w:r>
        <w:rPr>
          <w:rFonts w:ascii="Tw Cen MT" w:cs="Twentieth Century" w:eastAsia="Twentieth Century" w:hAnsi="Tw Cen MT"/>
          <w:sz w:val="20"/>
          <w:szCs w:val="20"/>
        </w:rPr>
        <w:t xml:space="preserve"> </w:t>
      </w:r>
      <w:r>
        <w:rPr>
          <w:rFonts w:ascii="Tw Cen MT" w:cs="Twentieth Century" w:eastAsia="Twentieth Century" w:hAnsi="Tw Cen MT"/>
          <w:sz w:val="20"/>
          <w:szCs w:val="20"/>
        </w:rPr>
        <w:t xml:space="preserve">Pixel </w:t>
      </w:r>
      <w:r>
        <w:rPr>
          <w:rFonts w:ascii="Tw Cen MT" w:cs="Twentieth Century" w:eastAsia="Twentieth Century" w:hAnsi="Tw Cen MT"/>
          <w:sz w:val="20"/>
          <w:szCs w:val="20"/>
        </w:rPr>
        <w:t>Value</w:t>
      </w:r>
      <w:r>
        <w:rPr>
          <w:rFonts w:ascii="Tw Cen MT" w:cs="Twentieth Century" w:eastAsia="Twentieth Century" w:hAnsi="Tw Cen MT"/>
          <w:sz w:val="20"/>
          <w:szCs w:val="20"/>
        </w:rPr>
        <w:t xml:space="preserve"> ,</w:t>
      </w:r>
      <w:r>
        <w:rPr>
          <w:rFonts w:ascii="Tw Cen MT" w:cs="Twentieth Century" w:eastAsia="Twentieth Century" w:hAnsi="Tw Cen MT"/>
          <w:sz w:val="20"/>
          <w:szCs w:val="20"/>
        </w:rPr>
        <w:t xml:space="preserve"> </w:t>
      </w:r>
      <w:r>
        <w:rPr>
          <w:rFonts w:ascii="Tw Cen MT" w:cs="Twentieth Century" w:eastAsia="Twentieth Century" w:hAnsi="Tw Cen MT"/>
          <w:sz w:val="20"/>
          <w:szCs w:val="20"/>
        </w:rPr>
        <w:t>Os</w:t>
      </w:r>
      <w:r>
        <w:rPr>
          <w:rFonts w:ascii="Tw Cen MT" w:cs="Twentieth Century" w:eastAsia="Twentieth Century" w:hAnsi="Tw Cen MT"/>
          <w:sz w:val="20"/>
          <w:szCs w:val="20"/>
        </w:rPr>
        <w:t xml:space="preserve"> Sacru</w:t>
      </w:r>
      <w:r>
        <w:rPr>
          <w:rFonts w:ascii="Tw Cen MT" w:cs="Twentieth Century" w:eastAsia="Twentieth Century" w:hAnsi="Tw Cen MT"/>
          <w:sz w:val="20"/>
          <w:szCs w:val="20"/>
        </w:rPr>
        <w:t>m</w:t>
      </w:r>
    </w:p>
    <w:p>
      <w:pPr>
        <w:pStyle w:val="style0"/>
        <w:tabs>
          <w:tab w:val="left" w:leader="none" w:pos="426"/>
        </w:tabs>
        <w:spacing w:after="0" w:lineRule="auto" w:line="240"/>
        <w:jc w:val="both"/>
        <w:rPr>
          <w:rFonts w:ascii="Tw Cen MT" w:cs="Twentieth Century" w:eastAsia="Twentieth Century" w:hAnsi="Tw Cen MT"/>
          <w:b/>
          <w:sz w:val="24"/>
          <w:szCs w:val="24"/>
        </w:rPr>
      </w:pPr>
      <w:r>
        <w:rPr>
          <w:rFonts w:ascii="Tw Cen MT" w:cs="Twentieth Century" w:eastAsia="Twentieth Century" w:hAnsi="Tw Cen MT"/>
          <w:b/>
          <w:sz w:val="24"/>
          <w:szCs w:val="24"/>
        </w:rPr>
        <w:t>PENDAHULUAN</w:t>
      </w:r>
    </w:p>
    <w:p>
      <w:pPr>
        <w:pStyle w:val="style0"/>
        <w:spacing w:after="0" w:lineRule="auto" w:line="240"/>
        <w:jc w:val="both"/>
        <w:rPr>
          <w:rFonts w:ascii="Tw Cen MT" w:cs="Twentieth Century" w:eastAsia="Twentieth Century" w:hAnsi="Tw Cen MT"/>
          <w:sz w:val="24"/>
          <w:szCs w:val="24"/>
        </w:rPr>
      </w:pPr>
      <w:r>
        <w:rPr>
          <w:rFonts w:ascii="Tw Cen MT" w:cs="Twentieth Century" w:eastAsia="Twentieth Century" w:hAnsi="Tw Cen MT"/>
          <w:sz w:val="24"/>
          <w:szCs w:val="24"/>
        </w:rPr>
        <w:t xml:space="preserve">Salah </w:t>
      </w:r>
      <w:r>
        <w:rPr>
          <w:rFonts w:ascii="Tw Cen MT" w:cs="Twentieth Century" w:eastAsia="Twentieth Century" w:hAnsi="Tw Cen MT"/>
          <w:sz w:val="24"/>
          <w:szCs w:val="24"/>
        </w:rPr>
        <w:t>satu</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pemeriksaan</w:t>
      </w:r>
      <w:r>
        <w:rPr>
          <w:rFonts w:ascii="Tw Cen MT" w:cs="Twentieth Century" w:eastAsia="Twentieth Century" w:hAnsi="Tw Cen MT"/>
          <w:sz w:val="24"/>
          <w:szCs w:val="24"/>
        </w:rPr>
        <w:t xml:space="preserve"> yang </w:t>
      </w:r>
      <w:r>
        <w:rPr>
          <w:rFonts w:ascii="Tw Cen MT" w:cs="Twentieth Century" w:eastAsia="Twentieth Century" w:hAnsi="Tw Cen MT"/>
          <w:sz w:val="24"/>
          <w:szCs w:val="24"/>
        </w:rPr>
        <w:t>sering</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melakukan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pengulangan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gambar</w:t>
      </w:r>
      <w:r>
        <w:rPr>
          <w:rFonts w:ascii="Tw Cen MT" w:cs="Twentieth Century" w:eastAsia="Twentieth Century" w:hAnsi="Tw Cen MT"/>
          <w:sz w:val="24"/>
          <w:szCs w:val="24"/>
        </w:rPr>
        <w:t xml:space="preserve"> di </w:t>
      </w:r>
      <w:r>
        <w:rPr>
          <w:rFonts w:ascii="Tw Cen MT" w:cs="Twentieth Century" w:eastAsia="Twentieth Century" w:hAnsi="Tw Cen MT"/>
          <w:sz w:val="24"/>
          <w:szCs w:val="24"/>
        </w:rPr>
        <w:t>rumah</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sakit</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yaitu</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pemeriksaan</w:t>
      </w:r>
      <w:r>
        <w:rPr>
          <w:rFonts w:ascii="Tw Cen MT" w:cs="Twentieth Century" w:eastAsia="Twentieth Century" w:hAnsi="Tw Cen MT"/>
          <w:sz w:val="24"/>
          <w:szCs w:val="24"/>
        </w:rPr>
        <w:t xml:space="preserve"> sacrum, </w:t>
      </w:r>
      <w:r>
        <w:rPr>
          <w:rFonts w:ascii="Tw Cen MT" w:cs="Twentieth Century" w:eastAsia="Twentieth Century" w:hAnsi="Tw Cen MT"/>
          <w:sz w:val="24"/>
          <w:szCs w:val="24"/>
        </w:rPr>
        <w:t>hasil</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penelitian</w:t>
      </w:r>
      <w:r>
        <w:rPr>
          <w:rFonts w:ascii="Tw Cen MT" w:cs="Twentieth Century" w:eastAsia="Twentieth Century" w:hAnsi="Tw Cen MT"/>
          <w:sz w:val="24"/>
          <w:szCs w:val="24"/>
        </w:rPr>
        <w:t xml:space="preserve"> yang </w:t>
      </w:r>
      <w:r>
        <w:rPr>
          <w:rFonts w:ascii="Tw Cen MT" w:cs="Twentieth Century" w:eastAsia="Twentieth Century" w:hAnsi="Tw Cen MT"/>
          <w:sz w:val="24"/>
          <w:szCs w:val="24"/>
        </w:rPr>
        <w:t>dilakukan</w:t>
      </w:r>
      <w:r>
        <w:rPr>
          <w:rFonts w:ascii="Tw Cen MT" w:cs="Twentieth Century" w:eastAsia="Twentieth Century" w:hAnsi="Tw Cen MT"/>
          <w:sz w:val="24"/>
          <w:szCs w:val="24"/>
        </w:rPr>
        <w:t xml:space="preserve"> oleh Steffen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 xml:space="preserve">A (2006), yang </w:t>
      </w:r>
      <w:r>
        <w:rPr>
          <w:rFonts w:ascii="Tw Cen MT" w:cs="Twentieth Century" w:eastAsia="Twentieth Century" w:hAnsi="Tw Cen MT"/>
          <w:sz w:val="24"/>
          <w:szCs w:val="24"/>
        </w:rPr>
        <w:t>dimana</w:t>
      </w:r>
      <w:r>
        <w:rPr>
          <w:rFonts w:ascii="Tw Cen MT" w:cs="Twentieth Century" w:eastAsia="Twentieth Century" w:hAnsi="Tw Cen MT"/>
          <w:sz w:val="24"/>
          <w:szCs w:val="24"/>
        </w:rPr>
        <w:t xml:space="preserve"> salah </w:t>
      </w:r>
      <w:r>
        <w:rPr>
          <w:rFonts w:ascii="Tw Cen MT" w:cs="Twentieth Century" w:eastAsia="Twentieth Century" w:hAnsi="Tw Cen MT"/>
          <w:sz w:val="24"/>
          <w:szCs w:val="24"/>
        </w:rPr>
        <w:t>satu</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pemeriksaan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Os</w:t>
      </w:r>
      <w:r>
        <w:rPr>
          <w:rFonts w:ascii="Tw Cen MT" w:cs="Twentieth Century" w:eastAsia="Twentieth Century" w:hAnsi="Tw Cen MT"/>
          <w:sz w:val="24"/>
          <w:szCs w:val="24"/>
        </w:rPr>
        <w:t xml:space="preserve"> Sacrum </w:t>
      </w:r>
      <w:r>
        <w:rPr>
          <w:rFonts w:ascii="Tw Cen MT" w:cs="Twentieth Century" w:eastAsia="Twentieth Century" w:hAnsi="Tw Cen MT"/>
          <w:sz w:val="24"/>
          <w:szCs w:val="24"/>
        </w:rPr>
        <w:t>mempunyai</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persentas</w:t>
      </w:r>
      <w:r>
        <w:rPr>
          <w:rFonts w:ascii="Tw Cen MT" w:cs="Twentieth Century" w:eastAsia="Twentieth Century" w:hAnsi="Tw Cen MT"/>
          <w:sz w:val="24"/>
          <w:szCs w:val="24"/>
        </w:rPr>
        <w:t xml:space="preserve"> 24,5% pada </w:t>
      </w:r>
      <w:r>
        <w:rPr>
          <w:rFonts w:ascii="Tw Cen MT" w:cs="Twentieth Century" w:eastAsia="Twentieth Century" w:hAnsi="Tw Cen MT"/>
          <w:sz w:val="24"/>
          <w:szCs w:val="24"/>
        </w:rPr>
        <w:t>prosedur</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radiografi</w:t>
      </w:r>
      <w:r>
        <w:rPr>
          <w:rFonts w:ascii="Tw Cen MT" w:cs="Twentieth Century" w:eastAsia="Twentieth Century" w:hAnsi="Tw Cen MT"/>
          <w:sz w:val="24"/>
          <w:szCs w:val="24"/>
        </w:rPr>
        <w:t xml:space="preserve"> digital</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fldChar w:fldCharType="begin"/>
      </w:r>
      <w:r>
        <w:rPr>
          <w:rFonts w:ascii="Tw Cen MT" w:cs="Twentieth Century" w:eastAsia="Twentieth Century" w:hAnsi="Tw Cen MT"/>
          <w:sz w:val="24"/>
          <w:szCs w:val="24"/>
        </w:rPr>
        <w:instrText>ADDIN CSL_CITATION {"citationItems":[{"id":"ITEM-1","itemData":{"author":[{"dropping-particle":"","family":"Steffen","given":"A","non-dropping-particle":"","parse-names":false,"suffix":""},{"dropping-particle":"","family":"Neitzel","given":"U","non-dropping-particle":"","parse-names":false,"suffix":""},{"dropping-particle":"","family":"Förger","given":"K","non-dropping-particle":"","parse-names":false,"suffix":""},{"dropping-particle":"","family":"De","given":"Hamburg","non-dropping-particle":"","parse-names":false,"suffix":""}],"id":"ITEM-1","issued":{"date-parts":[["2006"]]},"page":"1-6","title":"Image repeat analysis for a digital radiography system Poster : Congress : Type : Topic : Authors : Physics in Radiology","type":"article-journal"},"uris":["http://www.mendeley.com/documents/?uuid=c4ab8b2e-5abc-4004-8e6e-abbde98134c7"]}],"mendeley":{"formattedCitation":"[1]","plainTextFormattedCitation":"[1]","previouslyFormattedCitation":"[1]"},"properties":{"noteIndex":0},"schema":"https://github.com/citation-style-language/schema/raw/master/csl-citation.json"}</w:instrText>
      </w:r>
      <w:r>
        <w:rPr>
          <w:rFonts w:ascii="Tw Cen MT" w:cs="Twentieth Century" w:eastAsia="Twentieth Century" w:hAnsi="Tw Cen MT"/>
          <w:sz w:val="24"/>
          <w:szCs w:val="24"/>
        </w:rPr>
        <w:fldChar w:fldCharType="separate"/>
      </w:r>
      <w:r>
        <w:rPr>
          <w:rFonts w:ascii="Tw Cen MT" w:cs="Twentieth Century" w:eastAsia="Twentieth Century" w:hAnsi="Tw Cen MT"/>
          <w:noProof/>
          <w:sz w:val="24"/>
          <w:szCs w:val="24"/>
        </w:rPr>
        <w:t>[1]</w:t>
      </w:r>
      <w:r>
        <w:rPr>
          <w:rFonts w:ascii="Tw Cen MT" w:cs="Twentieth Century" w:eastAsia="Twentieth Century" w:hAnsi="Tw Cen MT"/>
          <w:sz w:val="24"/>
          <w:szCs w:val="24"/>
        </w:rPr>
        <w:fldChar w:fldCharType="end"/>
      </w:r>
      <w:r>
        <w:rPr>
          <w:rFonts w:ascii="Tw Cen MT" w:cs="Twentieth Century" w:eastAsia="Twentieth Century" w:hAnsi="Tw Cen MT"/>
          <w:sz w:val="24"/>
          <w:szCs w:val="24"/>
        </w:rPr>
        <w:t xml:space="preserve">. Di </w:t>
      </w:r>
      <w:r>
        <w:rPr>
          <w:rFonts w:ascii="Tw Cen MT" w:cs="Twentieth Century" w:eastAsia="Twentieth Century" w:hAnsi="Tw Cen MT"/>
          <w:sz w:val="24"/>
          <w:szCs w:val="24"/>
        </w:rPr>
        <w:t xml:space="preserve">Indonesia </w:t>
      </w:r>
      <w:r>
        <w:rPr>
          <w:rFonts w:ascii="Tw Cen MT" w:cs="Twentieth Century" w:eastAsia="Twentieth Century" w:hAnsi="Tw Cen MT"/>
          <w:sz w:val="24"/>
          <w:szCs w:val="24"/>
        </w:rPr>
        <w:t>pemeriksaan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tulang</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belakang</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posisi</w:t>
      </w:r>
      <w:r>
        <w:rPr>
          <w:rFonts w:ascii="Tw Cen MT" w:cs="Twentieth Century" w:eastAsia="Twentieth Century" w:hAnsi="Tw Cen MT"/>
          <w:sz w:val="24"/>
          <w:szCs w:val="24"/>
        </w:rPr>
        <w:t xml:space="preserve"> lateral </w:t>
      </w:r>
      <w:r>
        <w:rPr>
          <w:rFonts w:ascii="Tw Cen MT" w:cs="Twentieth Century" w:eastAsia="Twentieth Century" w:hAnsi="Tw Cen MT"/>
          <w:sz w:val="24"/>
          <w:szCs w:val="24"/>
        </w:rPr>
        <w:t>termasuk</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dalam</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potensi</w:t>
      </w:r>
      <w:r>
        <w:rPr>
          <w:rFonts w:ascii="Tw Cen MT" w:cs="Twentieth Century" w:eastAsia="Twentieth Century" w:hAnsi="Tw Cen MT"/>
          <w:sz w:val="24"/>
          <w:szCs w:val="24"/>
        </w:rPr>
        <w:t xml:space="preserve"> Unnecessary Exposure </w:t>
      </w:r>
      <w:r>
        <w:rPr>
          <w:rFonts w:ascii="Tw Cen MT" w:cs="Twentieth Century" w:eastAsia="Twentieth Century" w:hAnsi="Tw Cen MT"/>
          <w:sz w:val="24"/>
          <w:szCs w:val="24"/>
        </w:rPr>
        <w:t>sebesar</w:t>
      </w:r>
      <w:r>
        <w:rPr>
          <w:rFonts w:ascii="Tw Cen MT" w:cs="Twentieth Century" w:eastAsia="Twentieth Century" w:hAnsi="Tw Cen MT"/>
          <w:sz w:val="24"/>
          <w:szCs w:val="24"/>
        </w:rPr>
        <w:t xml:space="preserve"> -80 % </w:t>
      </w:r>
      <w:r>
        <w:rPr>
          <w:rFonts w:ascii="Tw Cen MT" w:cs="Twentieth Century" w:eastAsia="Twentieth Century" w:hAnsi="Tw Cen MT"/>
          <w:sz w:val="24"/>
          <w:szCs w:val="24"/>
        </w:rPr>
        <w:t>hal</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ini</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menunjukkan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bahwa</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sebagian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besar</w:t>
      </w:r>
      <w:r>
        <w:rPr>
          <w:rFonts w:ascii="Tw Cen MT" w:cs="Twentieth Century" w:eastAsia="Twentieth Century" w:hAnsi="Tw Cen MT"/>
          <w:sz w:val="24"/>
          <w:szCs w:val="24"/>
        </w:rPr>
        <w:t xml:space="preserve"> (di </w:t>
      </w:r>
      <w:r>
        <w:rPr>
          <w:rFonts w:ascii="Tw Cen MT" w:cs="Twentieth Century" w:eastAsia="Twentieth Century" w:hAnsi="Tw Cen MT"/>
          <w:sz w:val="24"/>
          <w:szCs w:val="24"/>
        </w:rPr>
        <w:t>atas</w:t>
      </w:r>
      <w:r>
        <w:rPr>
          <w:rFonts w:ascii="Tw Cen MT" w:cs="Twentieth Century" w:eastAsia="Twentieth Century" w:hAnsi="Tw Cen MT"/>
          <w:sz w:val="24"/>
          <w:szCs w:val="24"/>
        </w:rPr>
        <w:t xml:space="preserve"> 50%) </w:t>
      </w:r>
      <w:r>
        <w:rPr>
          <w:rFonts w:ascii="Tw Cen MT" w:cs="Twentieth Century" w:eastAsia="Twentieth Century" w:hAnsi="Tw Cen MT"/>
          <w:sz w:val="24"/>
          <w:szCs w:val="24"/>
        </w:rPr>
        <w:t>nilai</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dosis</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tiap</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jenis</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pemeriksaan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berada</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melebihi</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nilai</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toleransi</w:t>
      </w:r>
      <w:r>
        <w:rPr>
          <w:rFonts w:ascii="Tw Cen MT" w:cs="Twentieth Century" w:eastAsia="Twentieth Century" w:hAnsi="Tw Cen MT"/>
          <w:sz w:val="24"/>
          <w:szCs w:val="24"/>
        </w:rPr>
        <w:t xml:space="preserve"> ±20%, yang </w:t>
      </w:r>
      <w:r>
        <w:rPr>
          <w:rFonts w:ascii="Tw Cen MT" w:cs="Twentieth Century" w:eastAsia="Twentieth Century" w:hAnsi="Tw Cen MT"/>
          <w:sz w:val="24"/>
          <w:szCs w:val="24"/>
        </w:rPr>
        <w:t>disebabkan</w:t>
      </w:r>
      <w:r>
        <w:rPr>
          <w:rFonts w:ascii="Tw Cen MT" w:cs="Twentieth Century" w:eastAsia="Twentieth Century" w:hAnsi="Tw Cen MT"/>
          <w:sz w:val="24"/>
          <w:szCs w:val="24"/>
        </w:rPr>
        <w:t xml:space="preserve"> salah </w:t>
      </w:r>
      <w:r>
        <w:rPr>
          <w:rFonts w:ascii="Tw Cen MT" w:cs="Twentieth Century" w:eastAsia="Twentieth Century" w:hAnsi="Tw Cen MT"/>
          <w:sz w:val="24"/>
          <w:szCs w:val="24"/>
        </w:rPr>
        <w:t>satunya</w:t>
      </w:r>
      <w:r>
        <w:rPr>
          <w:rFonts w:ascii="Tw Cen MT" w:cs="Twentieth Century" w:eastAsia="Twentieth Century" w:hAnsi="Tw Cen MT"/>
          <w:sz w:val="24"/>
          <w:szCs w:val="24"/>
        </w:rPr>
        <w:t xml:space="preserve"> oleh </w:t>
      </w:r>
      <w:r>
        <w:rPr>
          <w:rFonts w:ascii="Tw Cen MT" w:cs="Twentieth Century" w:eastAsia="Twentieth Century" w:hAnsi="Tw Cen MT"/>
          <w:sz w:val="24"/>
          <w:szCs w:val="24"/>
        </w:rPr>
        <w:t>faktor</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eksposi</w:t>
      </w:r>
      <w:r>
        <w:rPr>
          <w:rFonts w:ascii="Tw Cen MT" w:cs="Twentieth Century" w:eastAsia="Twentieth Century" w:hAnsi="Tw Cen MT"/>
          <w:sz w:val="24"/>
          <w:szCs w:val="24"/>
        </w:rPr>
        <w:t xml:space="preserve"> yang </w:t>
      </w:r>
      <w:r>
        <w:rPr>
          <w:rFonts w:ascii="Tw Cen MT" w:cs="Twentieth Century" w:eastAsia="Twentieth Century" w:hAnsi="Tw Cen MT"/>
          <w:sz w:val="24"/>
          <w:szCs w:val="24"/>
        </w:rPr>
        <w:t>berlebih</w:t>
      </w:r>
      <w:r>
        <w:rPr>
          <w:rFonts w:ascii="Tw Cen MT" w:cs="Twentieth Century" w:eastAsia="Twentieth Century" w:hAnsi="Tw Cen MT"/>
          <w:sz w:val="24"/>
          <w:szCs w:val="24"/>
        </w:rPr>
        <w:t xml:space="preserve"> dan </w:t>
      </w:r>
      <w:r>
        <w:rPr>
          <w:rFonts w:ascii="Tw Cen MT" w:cs="Twentieth Century" w:eastAsia="Twentieth Century" w:hAnsi="Tw Cen MT"/>
          <w:sz w:val="24"/>
          <w:szCs w:val="24"/>
        </w:rPr>
        <w:t>Kesalahan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dalam</w:t>
      </w:r>
      <w:r>
        <w:rPr>
          <w:rFonts w:ascii="Tw Cen MT" w:cs="Twentieth Century" w:eastAsia="Twentieth Century" w:hAnsi="Tw Cen MT"/>
          <w:sz w:val="24"/>
          <w:szCs w:val="24"/>
        </w:rPr>
        <w:t xml:space="preserve"> </w:t>
      </w:r>
      <w:r>
        <w:rPr>
          <w:rFonts w:ascii="Perpetua" w:hAnsi="Perpetua"/>
          <w:noProof/>
        </w:rPr>
        <mc:AlternateContent>
          <mc:Choice Requires="wps">
            <w:drawing>
              <wp:anchor distT="45720" distB="45720" distL="114300" distR="114300" simplePos="false" relativeHeight="6" behindDoc="false" locked="false" layoutInCell="true" allowOverlap="true">
                <wp:simplePos x="0" y="0"/>
                <wp:positionH relativeFrom="column">
                  <wp:posOffset>3390900</wp:posOffset>
                </wp:positionH>
                <wp:positionV relativeFrom="paragraph">
                  <wp:posOffset>1459230</wp:posOffset>
                </wp:positionV>
                <wp:extent cx="2375535" cy="3057525"/>
                <wp:effectExtent l="0" t="0" r="5715" b="9525"/>
                <wp:wrapSquare wrapText="bothSides"/>
                <wp:docPr id="1030" name="Text Box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375535" cy="3057525"/>
                        </a:xfrm>
                        <a:prstGeom prst="rect"/>
                        <a:solidFill>
                          <a:srgbClr val="ffffff"/>
                        </a:solidFill>
                        <a:ln>
                          <a:noFill/>
                        </a:ln>
                      </wps:spPr>
                      <wps:txbx id="1030">
                        <w:txbxContent>
                          <w:tbl>
                            <w:tblPr>
                              <w:tblStyle w:val="style15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16"/>
                              <w:gridCol w:w="1716"/>
                            </w:tblGrid>
                            <w:tr>
                              <w:trPr>
                                <w:jc w:val="center"/>
                              </w:trPr>
                              <w:tc>
                                <w:tcPr>
                                  <w:tcW w:w="1647" w:type="dxa"/>
                                  <w:tcBorders/>
                                  <w:vAlign w:val="center"/>
                                </w:tcPr>
                                <w:p>
                                  <w:pPr>
                                    <w:pStyle w:val="style0"/>
                                    <w:jc w:val="center"/>
                                    <w:rPr>
                                      <w:rFonts w:ascii="Tw Cen MT" w:hAnsi="Tw Cen MT"/>
                                      <w:sz w:val="20"/>
                                      <w:szCs w:val="20"/>
                                    </w:rPr>
                                  </w:pPr>
                                  <w:r>
                                    <w:rPr>
                                      <w:rFonts w:ascii="Tw Cen MT" w:hAnsi="Tw Cen MT"/>
                                      <w:noProof/>
                                      <w:sz w:val="20"/>
                                      <w:szCs w:val="20"/>
                                    </w:rPr>
                                    <w:drawing>
                                      <wp:inline distL="0" distT="0" distB="0" distR="0">
                                        <wp:extent cx="941182" cy="1080000"/>
                                        <wp:effectExtent l="0" t="0" r="0" b="6350"/>
                                        <wp:docPr id="204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srcRect l="0" t="0" r="0" b="0"/>
                                                <a:stretch/>
                                              </pic:blipFill>
                                              <pic:spPr>
                                                <a:xfrm rot="0">
                                                  <a:off x="0" y="0"/>
                                                  <a:ext cx="941182" cy="1080000"/>
                                                </a:xfrm>
                                                <a:prstGeom prst="rect"/>
                                                <a:ln>
                                                  <a:noFill/>
                                                </a:ln>
                                              </pic:spPr>
                                            </pic:pic>
                                          </a:graphicData>
                                        </a:graphic>
                                      </wp:inline>
                                    </w:drawing>
                                  </w:r>
                                </w:p>
                              </w:tc>
                              <w:tc>
                                <w:tcPr>
                                  <w:tcW w:w="1648" w:type="dxa"/>
                                  <w:tcBorders/>
                                  <w:vAlign w:val="center"/>
                                </w:tcPr>
                                <w:p>
                                  <w:pPr>
                                    <w:pStyle w:val="style0"/>
                                    <w:jc w:val="center"/>
                                    <w:rPr>
                                      <w:rFonts w:ascii="Tw Cen MT" w:hAnsi="Tw Cen MT"/>
                                      <w:sz w:val="20"/>
                                      <w:szCs w:val="20"/>
                                    </w:rPr>
                                  </w:pPr>
                                  <w:r>
                                    <w:rPr>
                                      <w:rFonts w:ascii="Tw Cen MT" w:hAnsi="Tw Cen MT"/>
                                      <w:noProof/>
                                      <w:sz w:val="20"/>
                                      <w:szCs w:val="20"/>
                                    </w:rPr>
                                    <w:drawing>
                                      <wp:inline distL="0" distT="0" distB="0" distR="0">
                                        <wp:extent cx="1080000" cy="1080000"/>
                                        <wp:effectExtent l="0" t="0" r="6350" b="6350"/>
                                        <wp:docPr id="2050"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8" cstate="print"/>
                                                <a:srcRect l="23347" t="10746" r="36349" b="0"/>
                                                <a:stretch/>
                                              </pic:blipFill>
                                              <pic:spPr>
                                                <a:xfrm rot="16200000">
                                                  <a:off x="0" y="0"/>
                                                  <a:ext cx="1080000" cy="1080000"/>
                                                </a:xfrm>
                                                <a:prstGeom prst="rect"/>
                                                <a:ln>
                                                  <a:noFill/>
                                                </a:ln>
                                              </pic:spPr>
                                            </pic:pic>
                                          </a:graphicData>
                                        </a:graphic>
                                      </wp:inline>
                                    </w:drawing>
                                  </w:r>
                                </w:p>
                              </w:tc>
                            </w:tr>
                            <w:tr>
                              <w:tblPrEx/>
                              <w:trPr>
                                <w:jc w:val="center"/>
                              </w:trPr>
                              <w:tc>
                                <w:tcPr>
                                  <w:tcW w:w="1647" w:type="dxa"/>
                                  <w:tcBorders/>
                                  <w:vAlign w:val="center"/>
                                </w:tcPr>
                                <w:p>
                                  <w:pPr>
                                    <w:pStyle w:val="style0"/>
                                    <w:ind w:right="114"/>
                                    <w:jc w:val="center"/>
                                    <w:rPr>
                                      <w:rFonts w:ascii="Tw Cen MT" w:hAnsi="Tw Cen MT"/>
                                      <w:sz w:val="20"/>
                                      <w:szCs w:val="20"/>
                                    </w:rPr>
                                  </w:pPr>
                                  <w:r>
                                    <w:rPr>
                                      <w:rFonts w:ascii="Tw Cen MT" w:hAnsi="Tw Cen MT"/>
                                      <w:sz w:val="20"/>
                                      <w:szCs w:val="20"/>
                                    </w:rPr>
                                    <w:t>(a)</w:t>
                                  </w:r>
                                </w:p>
                              </w:tc>
                              <w:tc>
                                <w:tcPr>
                                  <w:tcW w:w="1648" w:type="dxa"/>
                                  <w:tcBorders/>
                                  <w:vAlign w:val="center"/>
                                </w:tcPr>
                                <w:p>
                                  <w:pPr>
                                    <w:pStyle w:val="style0"/>
                                    <w:ind w:right="114"/>
                                    <w:jc w:val="center"/>
                                    <w:rPr>
                                      <w:rFonts w:ascii="Tw Cen MT" w:hAnsi="Tw Cen MT"/>
                                      <w:sz w:val="20"/>
                                      <w:szCs w:val="20"/>
                                    </w:rPr>
                                  </w:pPr>
                                  <w:r>
                                    <w:rPr>
                                      <w:rFonts w:ascii="Tw Cen MT" w:hAnsi="Tw Cen MT"/>
                                      <w:sz w:val="20"/>
                                      <w:szCs w:val="20"/>
                                    </w:rPr>
                                    <w:t>(b)</w:t>
                                  </w:r>
                                </w:p>
                              </w:tc>
                            </w:tr>
                            <w:tr>
                              <w:tblPrEx/>
                              <w:trPr>
                                <w:jc w:val="center"/>
                              </w:trPr>
                              <w:tc>
                                <w:tcPr>
                                  <w:tcW w:w="1647" w:type="dxa"/>
                                  <w:tcBorders/>
                                  <w:vAlign w:val="center"/>
                                </w:tcPr>
                                <w:p>
                                  <w:pPr>
                                    <w:pStyle w:val="style0"/>
                                    <w:jc w:val="center"/>
                                    <w:rPr>
                                      <w:rFonts w:ascii="Tw Cen MT" w:hAnsi="Tw Cen MT"/>
                                      <w:sz w:val="20"/>
                                      <w:szCs w:val="20"/>
                                    </w:rPr>
                                  </w:pPr>
                                  <w:r>
                                    <w:rPr>
                                      <w:rFonts w:ascii="Tw Cen MT" w:hAnsi="Tw Cen MT"/>
                                      <w:noProof/>
                                      <w:sz w:val="20"/>
                                      <w:szCs w:val="20"/>
                                    </w:rPr>
                                    <w:drawing>
                                      <wp:inline distL="0" distT="0" distB="0" distR="0">
                                        <wp:extent cx="1080000" cy="1080000"/>
                                        <wp:effectExtent l="0" t="0" r="6350" b="6350"/>
                                        <wp:docPr id="2051" name="Picture 3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6"/>
                                                <pic:cNvPicPr/>
                                              </pic:nvPicPr>
                                              <pic:blipFill>
                                                <a:blip r:embed="rId9" cstate="print"/>
                                                <a:srcRect l="0" t="23957" r="0" b="19644"/>
                                                <a:stretch/>
                                              </pic:blipFill>
                                              <pic:spPr>
                                                <a:xfrm rot="0">
                                                  <a:off x="0" y="0"/>
                                                  <a:ext cx="1080000" cy="1080000"/>
                                                </a:xfrm>
                                                <a:prstGeom prst="rect"/>
                                                <a:ln>
                                                  <a:noFill/>
                                                </a:ln>
                                              </pic:spPr>
                                            </pic:pic>
                                          </a:graphicData>
                                        </a:graphic>
                                      </wp:inline>
                                    </w:drawing>
                                  </w:r>
                                </w:p>
                              </w:tc>
                              <w:tc>
                                <w:tcPr>
                                  <w:tcW w:w="1648" w:type="dxa"/>
                                  <w:tcBorders/>
                                  <w:vAlign w:val="center"/>
                                </w:tcPr>
                                <w:p>
                                  <w:pPr>
                                    <w:pStyle w:val="style0"/>
                                    <w:ind w:right="59"/>
                                    <w:jc w:val="center"/>
                                    <w:rPr>
                                      <w:rFonts w:ascii="Tw Cen MT" w:hAnsi="Tw Cen MT"/>
                                      <w:sz w:val="20"/>
                                      <w:szCs w:val="20"/>
                                    </w:rPr>
                                  </w:pPr>
                                  <w:r>
                                    <w:rPr>
                                      <w:rFonts w:ascii="Tw Cen MT" w:hAnsi="Tw Cen MT"/>
                                      <w:noProof/>
                                      <w:sz w:val="20"/>
                                      <w:szCs w:val="20"/>
                                    </w:rPr>
                                    <w:drawing>
                                      <wp:inline distL="0" distT="0" distB="0" distR="0">
                                        <wp:extent cx="885064" cy="1080000"/>
                                        <wp:effectExtent l="0" t="0" r="0" b="6350"/>
                                        <wp:docPr id="2052" name="Picture 3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37"/>
                                                <pic:cNvPicPr/>
                                              </pic:nvPicPr>
                                              <pic:blipFill>
                                                <a:blip r:embed="rId10" cstate="print"/>
                                                <a:srcRect l="0" t="0" r="0" b="0"/>
                                                <a:stretch/>
                                              </pic:blipFill>
                                              <pic:spPr>
                                                <a:xfrm rot="0">
                                                  <a:off x="0" y="0"/>
                                                  <a:ext cx="885064" cy="1080000"/>
                                                </a:xfrm>
                                                <a:prstGeom prst="rect"/>
                                              </pic:spPr>
                                            </pic:pic>
                                          </a:graphicData>
                                        </a:graphic>
                                      </wp:inline>
                                    </w:drawing>
                                  </w:r>
                                </w:p>
                              </w:tc>
                            </w:tr>
                            <w:tr>
                              <w:tblPrEx/>
                              <w:trPr>
                                <w:jc w:val="center"/>
                              </w:trPr>
                              <w:tc>
                                <w:tcPr>
                                  <w:tcW w:w="1647" w:type="dxa"/>
                                  <w:tcBorders/>
                                  <w:vAlign w:val="center"/>
                                </w:tcPr>
                                <w:p>
                                  <w:pPr>
                                    <w:pStyle w:val="style0"/>
                                    <w:ind w:right="114"/>
                                    <w:jc w:val="center"/>
                                    <w:rPr>
                                      <w:rFonts w:ascii="Tw Cen MT" w:hAnsi="Tw Cen MT"/>
                                      <w:sz w:val="20"/>
                                      <w:szCs w:val="20"/>
                                    </w:rPr>
                                  </w:pPr>
                                  <w:r>
                                    <w:rPr>
                                      <w:rFonts w:ascii="Tw Cen MT" w:hAnsi="Tw Cen MT"/>
                                      <w:sz w:val="20"/>
                                      <w:szCs w:val="20"/>
                                    </w:rPr>
                                    <w:t>(c)</w:t>
                                  </w:r>
                                </w:p>
                              </w:tc>
                              <w:tc>
                                <w:tcPr>
                                  <w:tcW w:w="1648" w:type="dxa"/>
                                  <w:tcBorders/>
                                  <w:vAlign w:val="center"/>
                                </w:tcPr>
                                <w:p>
                                  <w:pPr>
                                    <w:pStyle w:val="style0"/>
                                    <w:ind w:right="114"/>
                                    <w:jc w:val="center"/>
                                    <w:rPr>
                                      <w:rFonts w:ascii="Tw Cen MT" w:hAnsi="Tw Cen MT"/>
                                      <w:sz w:val="20"/>
                                      <w:szCs w:val="20"/>
                                    </w:rPr>
                                  </w:pPr>
                                  <w:r>
                                    <w:rPr>
                                      <w:rFonts w:ascii="Tw Cen MT" w:hAnsi="Tw Cen MT"/>
                                      <w:sz w:val="20"/>
                                      <w:szCs w:val="20"/>
                                    </w:rPr>
                                    <w:t>(d)</w:t>
                                  </w:r>
                                </w:p>
                              </w:tc>
                            </w:tr>
                          </w:tbl>
                          <w:p>
                            <w:pPr>
                              <w:pStyle w:val="style0"/>
                              <w:ind w:right="114"/>
                              <w:jc w:val="center"/>
                              <w:rPr>
                                <w:rFonts w:ascii="Tw Cen MT" w:hAnsi="Tw Cen MT"/>
                                <w:sz w:val="20"/>
                                <w:szCs w:val="20"/>
                              </w:rPr>
                            </w:pPr>
                            <w:r>
                              <w:rPr>
                                <w:rFonts w:ascii="Tw Cen MT" w:hAnsi="Tw Cen MT"/>
                                <w:sz w:val="20"/>
                                <w:szCs w:val="20"/>
                              </w:rPr>
                              <w:t xml:space="preserve">Gambar 1. Alat dan Bahan: (a) </w:t>
                            </w:r>
                            <w:r>
                              <w:rPr>
                                <w:rFonts w:ascii="Tw Cen MT" w:hAnsi="Tw Cen MT"/>
                                <w:sz w:val="20"/>
                                <w:szCs w:val="20"/>
                              </w:rPr>
                              <w:t>Pesawat</w:t>
                            </w:r>
                            <w:r>
                              <w:rPr>
                                <w:rFonts w:ascii="Tw Cen MT" w:hAnsi="Tw Cen MT"/>
                                <w:sz w:val="20"/>
                                <w:szCs w:val="20"/>
                              </w:rPr>
                              <w:t xml:space="preserve"> </w:t>
                            </w:r>
                            <w:r>
                              <w:rPr>
                                <w:rFonts w:ascii="Tw Cen MT" w:hAnsi="Tw Cen MT"/>
                                <w:sz w:val="20"/>
                                <w:szCs w:val="20"/>
                              </w:rPr>
                              <w:t>sinar</w:t>
                            </w:r>
                            <w:r>
                              <w:rPr>
                                <w:rFonts w:ascii="Tw Cen MT" w:hAnsi="Tw Cen MT"/>
                                <w:sz w:val="20"/>
                                <w:szCs w:val="20"/>
                              </w:rPr>
                              <w:t xml:space="preserve">-X, (b) Phantom </w:t>
                            </w:r>
                            <w:r>
                              <w:rPr>
                                <w:rFonts w:ascii="Tw Cen MT" w:hAnsi="Tw Cen MT"/>
                                <w:sz w:val="20"/>
                                <w:szCs w:val="20"/>
                              </w:rPr>
                              <w:t>Anthromorphic</w:t>
                            </w:r>
                            <w:r>
                              <w:rPr>
                                <w:rFonts w:ascii="Tw Cen MT" w:hAnsi="Tw Cen MT"/>
                                <w:sz w:val="20"/>
                                <w:szCs w:val="20"/>
                              </w:rPr>
                              <w:t>, (c) Workstation dan (d) Detector</w:t>
                            </w:r>
                          </w:p>
                        </w:txbxContent>
                      </wps:txbx>
                      <wps:bodyPr lIns="91440" rIns="91440" tIns="45720" bIns="45720" vert="horz" anchor="t"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30" fillcolor="white" stroked="f" style="position:absolute;margin-left:267.0pt;margin-top:114.9pt;width:187.05pt;height:240.75pt;z-index:6;mso-position-horizontal-relative:text;mso-position-vertical-relative:text;mso-width-percent:0;mso-height-percent:0;mso-width-relative:margin;mso-height-relative:margin;mso-wrap-distance-top:3.6000001pt;mso-wrap-distance-bottom:3.6000001pt;visibility:visible;">
                <v:stroke on="f" joinstyle="miter"/>
                <w10:wrap type="square"/>
                <v:fill/>
                <v:textbox inset="7.2pt,3.6pt,7.2pt,3.6pt">
                  <w:txbxContent>
                    <w:tbl>
                      <w:tblPr>
                        <w:tblStyle w:val="style15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16"/>
                        <w:gridCol w:w="1716"/>
                      </w:tblGrid>
                      <w:tr>
                        <w:trPr>
                          <w:jc w:val="center"/>
                        </w:trPr>
                        <w:tc>
                          <w:tcPr>
                            <w:tcW w:w="1647" w:type="dxa"/>
                            <w:tcBorders/>
                            <w:vAlign w:val="center"/>
                          </w:tcPr>
                          <w:p>
                            <w:pPr>
                              <w:pStyle w:val="style0"/>
                              <w:jc w:val="center"/>
                              <w:rPr>
                                <w:rFonts w:ascii="Tw Cen MT" w:hAnsi="Tw Cen MT"/>
                                <w:sz w:val="20"/>
                                <w:szCs w:val="20"/>
                              </w:rPr>
                            </w:pPr>
                            <w:r>
                              <w:rPr>
                                <w:rFonts w:ascii="Tw Cen MT" w:hAnsi="Tw Cen MT"/>
                                <w:noProof/>
                                <w:sz w:val="20"/>
                                <w:szCs w:val="20"/>
                              </w:rPr>
                              <w:drawing>
                                <wp:inline distL="0" distT="0" distB="0" distR="0">
                                  <wp:extent cx="941182" cy="1080000"/>
                                  <wp:effectExtent l="0" t="0" r="0" b="6350"/>
                                  <wp:docPr id="204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srcRect l="0" t="0" r="0" b="0"/>
                                          <a:stretch/>
                                        </pic:blipFill>
                                        <pic:spPr>
                                          <a:xfrm rot="0">
                                            <a:off x="0" y="0"/>
                                            <a:ext cx="941182" cy="1080000"/>
                                          </a:xfrm>
                                          <a:prstGeom prst="rect"/>
                                          <a:ln>
                                            <a:noFill/>
                                          </a:ln>
                                        </pic:spPr>
                                      </pic:pic>
                                    </a:graphicData>
                                  </a:graphic>
                                </wp:inline>
                              </w:drawing>
                            </w:r>
                          </w:p>
                        </w:tc>
                        <w:tc>
                          <w:tcPr>
                            <w:tcW w:w="1648" w:type="dxa"/>
                            <w:tcBorders/>
                            <w:vAlign w:val="center"/>
                          </w:tcPr>
                          <w:p>
                            <w:pPr>
                              <w:pStyle w:val="style0"/>
                              <w:jc w:val="center"/>
                              <w:rPr>
                                <w:rFonts w:ascii="Tw Cen MT" w:hAnsi="Tw Cen MT"/>
                                <w:sz w:val="20"/>
                                <w:szCs w:val="20"/>
                              </w:rPr>
                            </w:pPr>
                            <w:r>
                              <w:rPr>
                                <w:rFonts w:ascii="Tw Cen MT" w:hAnsi="Tw Cen MT"/>
                                <w:noProof/>
                                <w:sz w:val="20"/>
                                <w:szCs w:val="20"/>
                              </w:rPr>
                              <w:drawing>
                                <wp:inline distL="0" distT="0" distB="0" distR="0">
                                  <wp:extent cx="1080000" cy="1080000"/>
                                  <wp:effectExtent l="0" t="0" r="6350" b="6350"/>
                                  <wp:docPr id="2050"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8" cstate="print"/>
                                          <a:srcRect l="23347" t="10746" r="36349" b="0"/>
                                          <a:stretch/>
                                        </pic:blipFill>
                                        <pic:spPr>
                                          <a:xfrm rot="16200000">
                                            <a:off x="0" y="0"/>
                                            <a:ext cx="1080000" cy="1080000"/>
                                          </a:xfrm>
                                          <a:prstGeom prst="rect"/>
                                          <a:ln>
                                            <a:noFill/>
                                          </a:ln>
                                        </pic:spPr>
                                      </pic:pic>
                                    </a:graphicData>
                                  </a:graphic>
                                </wp:inline>
                              </w:drawing>
                            </w:r>
                          </w:p>
                        </w:tc>
                      </w:tr>
                      <w:tr>
                        <w:tblPrEx/>
                        <w:trPr>
                          <w:jc w:val="center"/>
                        </w:trPr>
                        <w:tc>
                          <w:tcPr>
                            <w:tcW w:w="1647" w:type="dxa"/>
                            <w:tcBorders/>
                            <w:vAlign w:val="center"/>
                          </w:tcPr>
                          <w:p>
                            <w:pPr>
                              <w:pStyle w:val="style0"/>
                              <w:ind w:right="114"/>
                              <w:jc w:val="center"/>
                              <w:rPr>
                                <w:rFonts w:ascii="Tw Cen MT" w:hAnsi="Tw Cen MT"/>
                                <w:sz w:val="20"/>
                                <w:szCs w:val="20"/>
                              </w:rPr>
                            </w:pPr>
                            <w:r>
                              <w:rPr>
                                <w:rFonts w:ascii="Tw Cen MT" w:hAnsi="Tw Cen MT"/>
                                <w:sz w:val="20"/>
                                <w:szCs w:val="20"/>
                              </w:rPr>
                              <w:t>(a)</w:t>
                            </w:r>
                          </w:p>
                        </w:tc>
                        <w:tc>
                          <w:tcPr>
                            <w:tcW w:w="1648" w:type="dxa"/>
                            <w:tcBorders/>
                            <w:vAlign w:val="center"/>
                          </w:tcPr>
                          <w:p>
                            <w:pPr>
                              <w:pStyle w:val="style0"/>
                              <w:ind w:right="114"/>
                              <w:jc w:val="center"/>
                              <w:rPr>
                                <w:rFonts w:ascii="Tw Cen MT" w:hAnsi="Tw Cen MT"/>
                                <w:sz w:val="20"/>
                                <w:szCs w:val="20"/>
                              </w:rPr>
                            </w:pPr>
                            <w:r>
                              <w:rPr>
                                <w:rFonts w:ascii="Tw Cen MT" w:hAnsi="Tw Cen MT"/>
                                <w:sz w:val="20"/>
                                <w:szCs w:val="20"/>
                              </w:rPr>
                              <w:t>(b)</w:t>
                            </w:r>
                          </w:p>
                        </w:tc>
                      </w:tr>
                      <w:tr>
                        <w:tblPrEx/>
                        <w:trPr>
                          <w:jc w:val="center"/>
                        </w:trPr>
                        <w:tc>
                          <w:tcPr>
                            <w:tcW w:w="1647" w:type="dxa"/>
                            <w:tcBorders/>
                            <w:vAlign w:val="center"/>
                          </w:tcPr>
                          <w:p>
                            <w:pPr>
                              <w:pStyle w:val="style0"/>
                              <w:jc w:val="center"/>
                              <w:rPr>
                                <w:rFonts w:ascii="Tw Cen MT" w:hAnsi="Tw Cen MT"/>
                                <w:sz w:val="20"/>
                                <w:szCs w:val="20"/>
                              </w:rPr>
                            </w:pPr>
                            <w:r>
                              <w:rPr>
                                <w:rFonts w:ascii="Tw Cen MT" w:hAnsi="Tw Cen MT"/>
                                <w:noProof/>
                                <w:sz w:val="20"/>
                                <w:szCs w:val="20"/>
                              </w:rPr>
                              <w:drawing>
                                <wp:inline distL="0" distT="0" distB="0" distR="0">
                                  <wp:extent cx="1080000" cy="1080000"/>
                                  <wp:effectExtent l="0" t="0" r="6350" b="6350"/>
                                  <wp:docPr id="2051" name="Picture 3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6"/>
                                          <pic:cNvPicPr/>
                                        </pic:nvPicPr>
                                        <pic:blipFill>
                                          <a:blip r:embed="rId9" cstate="print"/>
                                          <a:srcRect l="0" t="23957" r="0" b="19644"/>
                                          <a:stretch/>
                                        </pic:blipFill>
                                        <pic:spPr>
                                          <a:xfrm rot="0">
                                            <a:off x="0" y="0"/>
                                            <a:ext cx="1080000" cy="1080000"/>
                                          </a:xfrm>
                                          <a:prstGeom prst="rect"/>
                                          <a:ln>
                                            <a:noFill/>
                                          </a:ln>
                                        </pic:spPr>
                                      </pic:pic>
                                    </a:graphicData>
                                  </a:graphic>
                                </wp:inline>
                              </w:drawing>
                            </w:r>
                          </w:p>
                        </w:tc>
                        <w:tc>
                          <w:tcPr>
                            <w:tcW w:w="1648" w:type="dxa"/>
                            <w:tcBorders/>
                            <w:vAlign w:val="center"/>
                          </w:tcPr>
                          <w:p>
                            <w:pPr>
                              <w:pStyle w:val="style0"/>
                              <w:ind w:right="59"/>
                              <w:jc w:val="center"/>
                              <w:rPr>
                                <w:rFonts w:ascii="Tw Cen MT" w:hAnsi="Tw Cen MT"/>
                                <w:sz w:val="20"/>
                                <w:szCs w:val="20"/>
                              </w:rPr>
                            </w:pPr>
                            <w:r>
                              <w:rPr>
                                <w:rFonts w:ascii="Tw Cen MT" w:hAnsi="Tw Cen MT"/>
                                <w:noProof/>
                                <w:sz w:val="20"/>
                                <w:szCs w:val="20"/>
                              </w:rPr>
                              <w:drawing>
                                <wp:inline distL="0" distT="0" distB="0" distR="0">
                                  <wp:extent cx="885064" cy="1080000"/>
                                  <wp:effectExtent l="0" t="0" r="0" b="6350"/>
                                  <wp:docPr id="2052" name="Picture 3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37"/>
                                          <pic:cNvPicPr/>
                                        </pic:nvPicPr>
                                        <pic:blipFill>
                                          <a:blip r:embed="rId10" cstate="print"/>
                                          <a:srcRect l="0" t="0" r="0" b="0"/>
                                          <a:stretch/>
                                        </pic:blipFill>
                                        <pic:spPr>
                                          <a:xfrm rot="0">
                                            <a:off x="0" y="0"/>
                                            <a:ext cx="885064" cy="1080000"/>
                                          </a:xfrm>
                                          <a:prstGeom prst="rect"/>
                                        </pic:spPr>
                                      </pic:pic>
                                    </a:graphicData>
                                  </a:graphic>
                                </wp:inline>
                              </w:drawing>
                            </w:r>
                          </w:p>
                        </w:tc>
                      </w:tr>
                      <w:tr>
                        <w:tblPrEx/>
                        <w:trPr>
                          <w:jc w:val="center"/>
                        </w:trPr>
                        <w:tc>
                          <w:tcPr>
                            <w:tcW w:w="1647" w:type="dxa"/>
                            <w:tcBorders/>
                            <w:vAlign w:val="center"/>
                          </w:tcPr>
                          <w:p>
                            <w:pPr>
                              <w:pStyle w:val="style0"/>
                              <w:ind w:right="114"/>
                              <w:jc w:val="center"/>
                              <w:rPr>
                                <w:rFonts w:ascii="Tw Cen MT" w:hAnsi="Tw Cen MT"/>
                                <w:sz w:val="20"/>
                                <w:szCs w:val="20"/>
                              </w:rPr>
                            </w:pPr>
                            <w:r>
                              <w:rPr>
                                <w:rFonts w:ascii="Tw Cen MT" w:hAnsi="Tw Cen MT"/>
                                <w:sz w:val="20"/>
                                <w:szCs w:val="20"/>
                              </w:rPr>
                              <w:t>(c)</w:t>
                            </w:r>
                          </w:p>
                        </w:tc>
                        <w:tc>
                          <w:tcPr>
                            <w:tcW w:w="1648" w:type="dxa"/>
                            <w:tcBorders/>
                            <w:vAlign w:val="center"/>
                          </w:tcPr>
                          <w:p>
                            <w:pPr>
                              <w:pStyle w:val="style0"/>
                              <w:ind w:right="114"/>
                              <w:jc w:val="center"/>
                              <w:rPr>
                                <w:rFonts w:ascii="Tw Cen MT" w:hAnsi="Tw Cen MT"/>
                                <w:sz w:val="20"/>
                                <w:szCs w:val="20"/>
                              </w:rPr>
                            </w:pPr>
                            <w:r>
                              <w:rPr>
                                <w:rFonts w:ascii="Tw Cen MT" w:hAnsi="Tw Cen MT"/>
                                <w:sz w:val="20"/>
                                <w:szCs w:val="20"/>
                              </w:rPr>
                              <w:t>(d)</w:t>
                            </w:r>
                          </w:p>
                        </w:tc>
                      </w:tr>
                    </w:tbl>
                    <w:p>
                      <w:pPr>
                        <w:pStyle w:val="style0"/>
                        <w:ind w:right="114"/>
                        <w:jc w:val="center"/>
                        <w:rPr>
                          <w:rFonts w:ascii="Tw Cen MT" w:hAnsi="Tw Cen MT"/>
                          <w:sz w:val="20"/>
                          <w:szCs w:val="20"/>
                        </w:rPr>
                      </w:pPr>
                      <w:r>
                        <w:rPr>
                          <w:rFonts w:ascii="Tw Cen MT" w:hAnsi="Tw Cen MT"/>
                          <w:sz w:val="20"/>
                          <w:szCs w:val="20"/>
                        </w:rPr>
                        <w:t xml:space="preserve">Gambar 1. Alat dan Bahan: (a) </w:t>
                      </w:r>
                      <w:r>
                        <w:rPr>
                          <w:rFonts w:ascii="Tw Cen MT" w:hAnsi="Tw Cen MT"/>
                          <w:sz w:val="20"/>
                          <w:szCs w:val="20"/>
                        </w:rPr>
                        <w:t>Pesawat</w:t>
                      </w:r>
                      <w:r>
                        <w:rPr>
                          <w:rFonts w:ascii="Tw Cen MT" w:hAnsi="Tw Cen MT"/>
                          <w:sz w:val="20"/>
                          <w:szCs w:val="20"/>
                        </w:rPr>
                        <w:t xml:space="preserve"> </w:t>
                      </w:r>
                      <w:r>
                        <w:rPr>
                          <w:rFonts w:ascii="Tw Cen MT" w:hAnsi="Tw Cen MT"/>
                          <w:sz w:val="20"/>
                          <w:szCs w:val="20"/>
                        </w:rPr>
                        <w:t>sinar</w:t>
                      </w:r>
                      <w:r>
                        <w:rPr>
                          <w:rFonts w:ascii="Tw Cen MT" w:hAnsi="Tw Cen MT"/>
                          <w:sz w:val="20"/>
                          <w:szCs w:val="20"/>
                        </w:rPr>
                        <w:t xml:space="preserve">-X, (b) Phantom </w:t>
                      </w:r>
                      <w:r>
                        <w:rPr>
                          <w:rFonts w:ascii="Tw Cen MT" w:hAnsi="Tw Cen MT"/>
                          <w:sz w:val="20"/>
                          <w:szCs w:val="20"/>
                        </w:rPr>
                        <w:t>Anthromorphic</w:t>
                      </w:r>
                      <w:r>
                        <w:rPr>
                          <w:rFonts w:ascii="Tw Cen MT" w:hAnsi="Tw Cen MT"/>
                          <w:sz w:val="20"/>
                          <w:szCs w:val="20"/>
                        </w:rPr>
                        <w:t>, (c) Workstation dan (d) Detector</w:t>
                      </w:r>
                    </w:p>
                  </w:txbxContent>
                </v:textbox>
              </v:rect>
            </w:pict>
          </mc:Fallback>
        </mc:AlternateContent>
      </w:r>
      <w:r>
        <w:rPr>
          <w:rFonts w:ascii="Tw Cen MT" w:cs="Twentieth Century" w:eastAsia="Twentieth Century" w:hAnsi="Tw Cen MT"/>
          <w:sz w:val="24"/>
          <w:szCs w:val="24"/>
        </w:rPr>
        <w:t>menetapkan</w:t>
      </w:r>
      <w:r>
        <w:rPr>
          <w:rFonts w:ascii="Tw Cen MT" w:cs="Twentieth Century" w:eastAsia="Twentieth Century" w:hAnsi="Tw Cen MT"/>
          <w:sz w:val="24"/>
          <w:szCs w:val="24"/>
        </w:rPr>
        <w:t xml:space="preserve"> target/</w:t>
      </w:r>
      <w:r>
        <w:rPr>
          <w:rFonts w:ascii="Tw Cen MT" w:cs="Twentieth Century" w:eastAsia="Twentieth Century" w:hAnsi="Tw Cen MT"/>
          <w:sz w:val="24"/>
          <w:szCs w:val="24"/>
        </w:rPr>
        <w:t>lokasi</w:t>
      </w:r>
      <w:r>
        <w:rPr>
          <w:rFonts w:ascii="Tw Cen MT" w:cs="Twentieth Century" w:eastAsia="Twentieth Century" w:hAnsi="Tw Cen MT"/>
          <w:sz w:val="24"/>
          <w:szCs w:val="24"/>
        </w:rPr>
        <w:t>/</w:t>
      </w:r>
      <w:r>
        <w:rPr>
          <w:rFonts w:ascii="Tw Cen MT" w:cs="Twentieth Century" w:eastAsia="Twentieth Century" w:hAnsi="Tw Cen MT"/>
          <w:sz w:val="24"/>
          <w:szCs w:val="24"/>
        </w:rPr>
        <w:t>posisi</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penyinaran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fldChar w:fldCharType="begin"/>
      </w:r>
      <w:r>
        <w:rPr>
          <w:rFonts w:ascii="Tw Cen MT" w:cs="Twentieth Century" w:eastAsia="Twentieth Century" w:hAnsi="Tw Cen MT"/>
          <w:sz w:val="24"/>
          <w:szCs w:val="24"/>
        </w:rPr>
        <w:instrText>ADDIN CSL_CITATION {"citationItems":[{"id":"ITEM-1","itemData":{"DOI":"10.53862/jupeten.v4i2.011","author":[{"dropping-particle":"","family":"Kunarsih","given":"Endang","non-dropping-particle":"","parse-names":false,"suffix":""},{"dropping-particle":"","family":"Bagus","given":"Ida","non-dropping-particle":"","parse-names":false,"suffix":""},{"dropping-particle":"","family":"Putra","given":"Gede","non-dropping-particle":"","parse-names":false,"suffix":""}],"id":"ITEM-1","issue":"2","issued":{"date-parts":[["2024"]]},"page":"73-80","title":"Jurnal Pengawasan Tenaga Nuklir Pemetaan Profil Potensi Unnecessary Exposure pada Pasien CT-Scan dan Radiografi Umum di Indonesia","type":"article-journal","volume":"4"},"uris":["http://www.mendeley.com/documents/?uuid=2ae0f139-0ad9-40ba-903e-1138de06d1fe"]}],"mendeley":{"formattedCitation":"[2]","plainTextFormattedCitation":"[2]","previouslyFormattedCitation":"[2]"},"properties":{"noteIndex":0},"schema":"https://github.com/citation-style-language/schema/raw/master/csl-citation.json"}</w:instrText>
      </w:r>
      <w:r>
        <w:rPr>
          <w:rFonts w:ascii="Tw Cen MT" w:cs="Twentieth Century" w:eastAsia="Twentieth Century" w:hAnsi="Tw Cen MT"/>
          <w:sz w:val="24"/>
          <w:szCs w:val="24"/>
        </w:rPr>
        <w:fldChar w:fldCharType="separate"/>
      </w:r>
      <w:r>
        <w:rPr>
          <w:rFonts w:ascii="Tw Cen MT" w:cs="Twentieth Century" w:eastAsia="Twentieth Century" w:hAnsi="Tw Cen MT"/>
          <w:noProof/>
          <w:sz w:val="24"/>
          <w:szCs w:val="24"/>
        </w:rPr>
        <w:t>[2]</w:t>
      </w:r>
      <w:r>
        <w:rPr>
          <w:rFonts w:ascii="Tw Cen MT" w:cs="Twentieth Century" w:eastAsia="Twentieth Century" w:hAnsi="Tw Cen MT"/>
          <w:sz w:val="24"/>
          <w:szCs w:val="24"/>
        </w:rPr>
        <w:fldChar w:fldCharType="end"/>
      </w:r>
      <w:r>
        <w:rPr>
          <w:rFonts w:ascii="Tw Cen MT" w:cs="Twentieth Century" w:eastAsia="Twentieth Century" w:hAnsi="Tw Cen MT"/>
          <w:sz w:val="24"/>
          <w:szCs w:val="24"/>
        </w:rPr>
        <w:t xml:space="preserve">. </w:t>
      </w:r>
    </w:p>
    <w:p>
      <w:pPr>
        <w:pStyle w:val="style0"/>
        <w:spacing w:after="0" w:lineRule="auto" w:line="240"/>
        <w:jc w:val="both"/>
        <w:rPr>
          <w:rFonts w:ascii="Tw Cen MT" w:cs="Twentieth Century" w:eastAsia="Twentieth Century" w:hAnsi="Tw Cen MT"/>
          <w:sz w:val="24"/>
          <w:szCs w:val="24"/>
        </w:rPr>
      </w:pPr>
      <w:r>
        <w:rPr>
          <w:rFonts w:ascii="Tw Cen MT" w:cs="Twentieth Century" w:eastAsia="Twentieth Century" w:hAnsi="Tw Cen MT"/>
          <w:sz w:val="24"/>
          <w:szCs w:val="24"/>
        </w:rPr>
        <w:t>Pemeriksaan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radiografi</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Lumbosakral</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proyeksi</w:t>
      </w:r>
      <w:r>
        <w:rPr>
          <w:rFonts w:ascii="Tw Cen MT" w:cs="Twentieth Century" w:eastAsia="Twentieth Century" w:hAnsi="Tw Cen MT"/>
          <w:sz w:val="24"/>
          <w:szCs w:val="24"/>
        </w:rPr>
        <w:t xml:space="preserve"> lateral, </w:t>
      </w:r>
      <w:r>
        <w:rPr>
          <w:rFonts w:ascii="Tw Cen MT" w:cs="Twentieth Century" w:eastAsia="Twentieth Century" w:hAnsi="Tw Cen MT"/>
          <w:sz w:val="24"/>
          <w:szCs w:val="24"/>
        </w:rPr>
        <w:t>bagian</w:t>
      </w:r>
      <w:r>
        <w:rPr>
          <w:rFonts w:ascii="Tw Cen MT" w:cs="Twentieth Century" w:eastAsia="Twentieth Century" w:hAnsi="Tw Cen MT"/>
          <w:sz w:val="24"/>
          <w:szCs w:val="24"/>
        </w:rPr>
        <w:t xml:space="preserve"> vertebra </w:t>
      </w:r>
      <w:r>
        <w:rPr>
          <w:rFonts w:ascii="Tw Cen MT" w:cs="Twentieth Century" w:eastAsia="Twentieth Century" w:hAnsi="Tw Cen MT"/>
          <w:sz w:val="24"/>
          <w:szCs w:val="24"/>
        </w:rPr>
        <w:t>lumbalis</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kelima</w:t>
      </w:r>
      <w:r>
        <w:rPr>
          <w:rFonts w:ascii="Tw Cen MT" w:cs="Twentieth Century" w:eastAsia="Twentieth Century" w:hAnsi="Tw Cen MT"/>
          <w:sz w:val="24"/>
          <w:szCs w:val="24"/>
        </w:rPr>
        <w:t xml:space="preserve"> (L5) dan </w:t>
      </w:r>
      <w:r>
        <w:rPr>
          <w:rFonts w:ascii="Tw Cen MT" w:cs="Twentieth Century" w:eastAsia="Twentieth Century" w:hAnsi="Tw Cen MT"/>
          <w:sz w:val="24"/>
          <w:szCs w:val="24"/>
        </w:rPr>
        <w:t>Os</w:t>
      </w:r>
      <w:r>
        <w:rPr>
          <w:rFonts w:ascii="Tw Cen MT" w:cs="Twentieth Century" w:eastAsia="Twentieth Century" w:hAnsi="Tw Cen MT"/>
          <w:sz w:val="24"/>
          <w:szCs w:val="24"/>
        </w:rPr>
        <w:t xml:space="preserve"> Sacrum </w:t>
      </w:r>
      <w:r>
        <w:rPr>
          <w:rFonts w:ascii="Tw Cen MT" w:cs="Twentieth Century" w:eastAsia="Twentieth Century" w:hAnsi="Tw Cen MT"/>
          <w:sz w:val="24"/>
          <w:szCs w:val="24"/>
        </w:rPr>
        <w:t>merupakan</w:t>
      </w:r>
      <w:r>
        <w:rPr>
          <w:rFonts w:ascii="Tw Cen MT" w:cs="Twentieth Century" w:eastAsia="Twentieth Century" w:hAnsi="Tw Cen MT"/>
          <w:sz w:val="24"/>
          <w:szCs w:val="24"/>
        </w:rPr>
        <w:t xml:space="preserve"> area yang paling </w:t>
      </w:r>
      <w:r>
        <w:rPr>
          <w:rFonts w:ascii="Tw Cen MT" w:cs="Twentieth Century" w:eastAsia="Twentieth Century" w:hAnsi="Tw Cen MT"/>
          <w:sz w:val="24"/>
          <w:szCs w:val="24"/>
        </w:rPr>
        <w:t>sering</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mengalami</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penurunan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kontras</w:t>
      </w:r>
      <w:r>
        <w:rPr>
          <w:rFonts w:ascii="Tw Cen MT" w:cs="Twentieth Century" w:eastAsia="Twentieth Century" w:hAnsi="Tw Cen MT"/>
          <w:sz w:val="24"/>
          <w:szCs w:val="24"/>
        </w:rPr>
        <w:t xml:space="preserve"> yang </w:t>
      </w:r>
      <w:r>
        <w:rPr>
          <w:rFonts w:ascii="Tw Cen MT" w:cs="Twentieth Century" w:eastAsia="Twentieth Century" w:hAnsi="Tw Cen MT"/>
          <w:sz w:val="24"/>
          <w:szCs w:val="24"/>
        </w:rPr>
        <w:t>disebabkan</w:t>
      </w:r>
      <w:r>
        <w:rPr>
          <w:rFonts w:ascii="Tw Cen MT" w:cs="Twentieth Century" w:eastAsia="Twentieth Century" w:hAnsi="Tw Cen MT"/>
          <w:sz w:val="24"/>
          <w:szCs w:val="24"/>
        </w:rPr>
        <w:t xml:space="preserve"> oleh </w:t>
      </w:r>
      <w:r>
        <w:rPr>
          <w:rFonts w:ascii="Tw Cen MT" w:cs="Twentieth Century" w:eastAsia="Twentieth Century" w:hAnsi="Tw Cen MT"/>
          <w:sz w:val="24"/>
          <w:szCs w:val="24"/>
        </w:rPr>
        <w:t>penggunaan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faktor</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eksposi</w:t>
      </w:r>
      <w:r>
        <w:rPr>
          <w:rFonts w:ascii="Tw Cen MT" w:cs="Twentieth Century" w:eastAsia="Twentieth Century" w:hAnsi="Tw Cen MT"/>
          <w:sz w:val="24"/>
          <w:szCs w:val="24"/>
        </w:rPr>
        <w:t xml:space="preserve"> dan </w:t>
      </w:r>
      <w:r>
        <w:rPr>
          <w:rFonts w:ascii="Tw Cen MT" w:cs="Twentieth Century" w:eastAsia="Twentieth Century" w:hAnsi="Tw Cen MT"/>
          <w:sz w:val="24"/>
          <w:szCs w:val="24"/>
        </w:rPr>
        <w:t>ketebalan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objek</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fldChar w:fldCharType="begin"/>
      </w:r>
      <w:r>
        <w:rPr>
          <w:rFonts w:ascii="Tw Cen MT" w:cs="Twentieth Century" w:eastAsia="Twentieth Century" w:hAnsi="Tw Cen MT"/>
          <w:sz w:val="24"/>
          <w:szCs w:val="24"/>
        </w:rPr>
        <w:instrText>ADDIN CSL_CITATION {"citationItems":[{"id":"ITEM-1","itemData":{"DOI":"10.1063/1.5097487","ISBN":"9780735418240","ISSN":"15517616","abstract":"This study aims to obtain an optimum design of the aluminum filter for producing a better X-ray contrast film of the lateral projection of Lumbosacral. The additional filter thickness was in accordance with the lumbosacral vertebral density. This study was conducted using the Quantum CS 2 X-ray equipment in Room 2 of the Radio Diagnostic Unit of Margono Soekarjo Hospital (RSMS) Purwokerto with the PBU-50 Phantom object. The aluminum filter was inserted gradually from 1mm to 15mm and followed by contrast film calculation. The radiographs were processed by CR reader and imported into Weasis version 2.0.7 software for pixel value analysis. The result shows different compensation filter thicknesses in the lumbar and sacral regions to improve the image quality of the lateral projection lumbosacral vertebrae radiography. The aluminum filters for the exposure factor of 85kV and 25 mAs with a thickness of 13.3mm and 2.8mm were considered optimal for compensating for the lumbar region (L1-L4) and the sacrum area (L5-S2), respectively.","author":[{"dropping-particle":"","family":"Effendi","given":"Mukhtar","non-dropping-particle":"","parse-names":false,"suffix":""},{"dropping-particle":"","family":"Fatimah","given":"Ratna Umi","non-dropping-particle":"","parse-names":false,"suffix":""},{"dropping-particle":"","family":"Sholeh","given":"Agus","non-dropping-particle":"","parse-names":false,"suffix":""},{"dropping-particle":"","family":"Fatchurohmah","given":"Wiwiek","non-dropping-particle":"","parse-names":false,"suffix":""}],"container-title":"AIP Conference Proceedings","id":"ITEM-1","issue":"April","issued":{"date-parts":[["2019"]]},"title":"Design of the aluminum compensating filter to improve the image quality in the lateral projection of lumbosacral vertebrae","type":"article-journal","volume":"2094"},"uris":["http://www.mendeley.com/documents/?uuid=25956f8d-b268-4e5d-9544-e4b07b249b77"]}],"mendeley":{"formattedCitation":"[3]","plainTextFormattedCitation":"[3]","previouslyFormattedCitation":"[3]"},"properties":{"noteIndex":0},"schema":"https://github.com/citation-style-language/schema/raw/master/csl-citation.json"}</w:instrText>
      </w:r>
      <w:r>
        <w:rPr>
          <w:rFonts w:ascii="Tw Cen MT" w:cs="Twentieth Century" w:eastAsia="Twentieth Century" w:hAnsi="Tw Cen MT"/>
          <w:sz w:val="24"/>
          <w:szCs w:val="24"/>
        </w:rPr>
        <w:fldChar w:fldCharType="separate"/>
      </w:r>
      <w:r>
        <w:rPr>
          <w:rFonts w:ascii="Tw Cen MT" w:cs="Twentieth Century" w:eastAsia="Twentieth Century" w:hAnsi="Tw Cen MT"/>
          <w:noProof/>
          <w:sz w:val="24"/>
          <w:szCs w:val="24"/>
        </w:rPr>
        <w:t>[3]</w:t>
      </w:r>
      <w:r>
        <w:rPr>
          <w:rFonts w:ascii="Tw Cen MT" w:cs="Twentieth Century" w:eastAsia="Twentieth Century" w:hAnsi="Tw Cen MT"/>
          <w:sz w:val="24"/>
          <w:szCs w:val="24"/>
        </w:rPr>
        <w:fldChar w:fldCharType="end"/>
      </w:r>
      <w:r>
        <w:rPr>
          <w:rFonts w:ascii="Tw Cen MT" w:cs="Twentieth Century" w:eastAsia="Twentieth Century" w:hAnsi="Tw Cen MT"/>
          <w:sz w:val="24"/>
          <w:szCs w:val="24"/>
        </w:rPr>
        <w:t>.</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Selama</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ini</w:t>
      </w:r>
      <w:r>
        <w:rPr>
          <w:rFonts w:ascii="Tw Cen MT" w:cs="Twentieth Century" w:eastAsia="Twentieth Century" w:hAnsi="Tw Cen MT"/>
          <w:sz w:val="24"/>
          <w:szCs w:val="24"/>
        </w:rPr>
        <w:t xml:space="preserve">, grid </w:t>
      </w:r>
      <w:r>
        <w:rPr>
          <w:rFonts w:ascii="Tw Cen MT" w:cs="Twentieth Century" w:eastAsia="Twentieth Century" w:hAnsi="Tw Cen MT"/>
          <w:sz w:val="24"/>
          <w:szCs w:val="24"/>
        </w:rPr>
        <w:t>fisik</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sering</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digunakan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untuk</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mengurangi</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efek</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tersebut</w:t>
      </w:r>
      <w:r>
        <w:rPr>
          <w:rFonts w:ascii="Tw Cen MT" w:cs="Twentieth Century" w:eastAsia="Twentieth Century" w:hAnsi="Tw Cen MT"/>
          <w:sz w:val="24"/>
          <w:szCs w:val="24"/>
        </w:rPr>
        <w:t xml:space="preserve">, Salah </w:t>
      </w:r>
      <w:r>
        <w:rPr>
          <w:rFonts w:ascii="Tw Cen MT" w:cs="Twentieth Century" w:eastAsia="Twentieth Century" w:hAnsi="Tw Cen MT"/>
          <w:sz w:val="24"/>
          <w:szCs w:val="24"/>
        </w:rPr>
        <w:t>satu</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solusi</w:t>
      </w:r>
      <w:r>
        <w:rPr>
          <w:rFonts w:ascii="Tw Cen MT" w:cs="Twentieth Century" w:eastAsia="Twentieth Century" w:hAnsi="Tw Cen MT"/>
          <w:sz w:val="24"/>
          <w:szCs w:val="24"/>
        </w:rPr>
        <w:t xml:space="preserve"> modern </w:t>
      </w:r>
      <w:r>
        <w:rPr>
          <w:rFonts w:ascii="Tw Cen MT" w:cs="Twentieth Century" w:eastAsia="Twentieth Century" w:hAnsi="Tw Cen MT"/>
          <w:sz w:val="24"/>
          <w:szCs w:val="24"/>
        </w:rPr>
        <w:t>yaitu</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penggunaan</w:t>
      </w:r>
      <w:r>
        <w:rPr>
          <w:rFonts w:ascii="Tw Cen MT" w:cs="Twentieth Century" w:eastAsia="Twentieth Century" w:hAnsi="Tw Cen MT"/>
          <w:sz w:val="24"/>
          <w:szCs w:val="24"/>
        </w:rPr>
        <w:t xml:space="preserve"> Virtual Grid, </w:t>
      </w:r>
      <w:r>
        <w:rPr>
          <w:rFonts w:ascii="Tw Cen MT" w:cs="Twentieth Century" w:eastAsia="Twentieth Century" w:hAnsi="Tw Cen MT"/>
          <w:sz w:val="24"/>
          <w:szCs w:val="24"/>
        </w:rPr>
        <w:t>yaitu</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teknologi</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berbasis</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perangkat</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lunak</w:t>
      </w:r>
      <w:r>
        <w:rPr>
          <w:rFonts w:ascii="Tw Cen MT" w:cs="Twentieth Century" w:eastAsia="Twentieth Century" w:hAnsi="Tw Cen MT"/>
          <w:sz w:val="24"/>
          <w:szCs w:val="24"/>
        </w:rPr>
        <w:t xml:space="preserve"> yang </w:t>
      </w:r>
      <w:r>
        <w:rPr>
          <w:rFonts w:ascii="Tw Cen MT" w:cs="Twentieth Century" w:eastAsia="Twentieth Century" w:hAnsi="Tw Cen MT"/>
          <w:sz w:val="24"/>
          <w:szCs w:val="24"/>
        </w:rPr>
        <w:t>bekerja</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seperti</w:t>
      </w:r>
      <w:r>
        <w:rPr>
          <w:rFonts w:ascii="Tw Cen MT" w:cs="Twentieth Century" w:eastAsia="Twentieth Century" w:hAnsi="Tw Cen MT"/>
          <w:sz w:val="24"/>
          <w:szCs w:val="24"/>
        </w:rPr>
        <w:t xml:space="preserve"> grid </w:t>
      </w:r>
      <w:r>
        <w:rPr>
          <w:rFonts w:ascii="Tw Cen MT" w:cs="Twentieth Century" w:eastAsia="Twentieth Century" w:hAnsi="Tw Cen MT"/>
          <w:sz w:val="24"/>
          <w:szCs w:val="24"/>
        </w:rPr>
        <w:t>fisik</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tetapi</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dalam</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bentuk</w:t>
      </w:r>
      <w:r>
        <w:rPr>
          <w:rFonts w:ascii="Tw Cen MT" w:cs="Twentieth Century" w:eastAsia="Twentieth Century" w:hAnsi="Tw Cen MT"/>
          <w:sz w:val="24"/>
          <w:szCs w:val="24"/>
        </w:rPr>
        <w:t xml:space="preserve"> digital. </w:t>
      </w:r>
    </w:p>
    <w:commentRangeStart w:id="2"/>
    <w:p>
      <w:pPr>
        <w:pStyle w:val="style0"/>
        <w:spacing w:after="0" w:lineRule="auto" w:line="240"/>
        <w:jc w:val="both"/>
        <w:rPr>
          <w:rFonts w:ascii="Tw Cen MT" w:cs="Twentieth Century" w:eastAsia="Twentieth Century" w:hAnsi="Tw Cen MT"/>
          <w:sz w:val="24"/>
          <w:szCs w:val="24"/>
        </w:rPr>
      </w:pPr>
      <w:r>
        <w:rPr>
          <w:rFonts w:ascii="Tw Cen MT" w:cs="Twentieth Century" w:eastAsia="Twentieth Century" w:hAnsi="Tw Cen MT"/>
          <w:sz w:val="24"/>
          <w:szCs w:val="24"/>
        </w:rPr>
        <w:t>Virtual</w:t>
      </w:r>
      <w:commentRangeEnd w:id="2"/>
      <w:r>
        <w:rPr/>
        <w:commentReference w:id="2"/>
      </w:r>
      <w:r>
        <w:rPr>
          <w:rFonts w:ascii="Tw Cen MT" w:cs="Twentieth Century" w:eastAsia="Twentieth Century" w:hAnsi="Tw Cen MT"/>
          <w:sz w:val="24"/>
          <w:szCs w:val="24"/>
        </w:rPr>
        <w:t xml:space="preserve"> Grid </w:t>
      </w:r>
      <w:r>
        <w:rPr>
          <w:rFonts w:ascii="Tw Cen MT" w:cs="Twentieth Century" w:eastAsia="Twentieth Century" w:hAnsi="Tw Cen MT"/>
          <w:sz w:val="24"/>
          <w:szCs w:val="24"/>
        </w:rPr>
        <w:t>ini</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mampu</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mengolah</w:t>
      </w:r>
      <w:r>
        <w:rPr>
          <w:rFonts w:ascii="Tw Cen MT" w:cs="Twentieth Century" w:eastAsia="Twentieth Century" w:hAnsi="Tw Cen MT"/>
          <w:sz w:val="24"/>
          <w:szCs w:val="24"/>
        </w:rPr>
        <w:t xml:space="preserve"> data </w:t>
      </w:r>
      <w:r>
        <w:rPr>
          <w:rFonts w:ascii="Tw Cen MT" w:cs="Twentieth Century" w:eastAsia="Twentieth Century" w:hAnsi="Tw Cen MT"/>
          <w:sz w:val="24"/>
          <w:szCs w:val="24"/>
        </w:rPr>
        <w:t>gambar</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secara</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otomatis</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untuk</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mengurangi</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efek</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radiasi</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hambur</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fldChar w:fldCharType="begin"/>
      </w:r>
      <w:r>
        <w:rPr>
          <w:rFonts w:ascii="Tw Cen MT" w:cs="Twentieth Century" w:eastAsia="Twentieth Century" w:hAnsi="Tw Cen MT"/>
          <w:sz w:val="24"/>
          <w:szCs w:val="24"/>
        </w:rPr>
        <w:instrText>ADDIN CSL_CITATION {"citationItems":[{"id":"ITEM-1","itemData":{"abstract":"We have developed a new image processing method “Virtual Grid Technology” to improve the quality of degraded image due to scattered radiation. This technology improves the quality of images taken without an anti-scatter grid at bedside or emergency radiography. Conventionally, grids are commonly used to reduce the influence of scattered radiation. However, due to the positioning difficulties, images are often acquired without a grid for mobile examinations, which results in images with low contrast. Virtual Grid calculates the component of the scattered radiation from an image exposed without a grid and improves the contrast and granularity to replicate that of an image exposed with a grid. This technology resolves the problem of artifacts caused by misalignment when using a grid, and enables a more efficient radiographic workflow. This report will describe an outline of Virtual Grid and explain its usefulness by using the experimental results.","author":[{"dropping-particle":"","family":"Kawamura","given":"Takahiro","non-dropping-particle":"","parse-names":false,"suffix":""},{"dropping-particle":"","family":"Naito","given":"Satoshi","non-dropping-particle":"","parse-names":false,"suffix":""},{"dropping-particle":"","family":"Okano","given":"Kayo","non-dropping-particle":"","parse-names":false,"suffix":""},{"dropping-particle":"","family":"Yamada","given":"Masahiko","non-dropping-particle":"","parse-names":false,"suffix":""}],"container-title":"FUJIFILM Research &amp; Development","id":"ITEM-1","issue":"60","issued":{"date-parts":[["2015"]]},"page":"21-27","title":"Improvement in Image Quality and Workflow of X-ray Examination Using a New Image Processing Method, “Virtual Grid Technology”","type":"article-journal"},"uris":["http://www.mendeley.com/documents/?uuid=1258424d-039d-408d-a1b3-fae52d98b216"]}],"mendeley":{"formattedCitation":"[4]","plainTextFormattedCitation":"[4]","previouslyFormattedCitation":"[4]"},"properties":{"noteIndex":0},"schema":"https://github.com/citation-style-language/schema/raw/master/csl-citation.json"}</w:instrText>
      </w:r>
      <w:r>
        <w:rPr>
          <w:rFonts w:ascii="Tw Cen MT" w:cs="Twentieth Century" w:eastAsia="Twentieth Century" w:hAnsi="Tw Cen MT"/>
          <w:sz w:val="24"/>
          <w:szCs w:val="24"/>
        </w:rPr>
        <w:fldChar w:fldCharType="separate"/>
      </w:r>
      <w:r>
        <w:rPr>
          <w:rFonts w:ascii="Tw Cen MT" w:cs="Twentieth Century" w:eastAsia="Twentieth Century" w:hAnsi="Tw Cen MT"/>
          <w:noProof/>
          <w:sz w:val="24"/>
          <w:szCs w:val="24"/>
        </w:rPr>
        <w:t>[4]</w:t>
      </w:r>
      <w:r>
        <w:rPr>
          <w:rFonts w:ascii="Tw Cen MT" w:cs="Twentieth Century" w:eastAsia="Twentieth Century" w:hAnsi="Tw Cen MT"/>
          <w:sz w:val="24"/>
          <w:szCs w:val="24"/>
        </w:rPr>
        <w:fldChar w:fldCharType="end"/>
      </w:r>
      <w:r>
        <w:rPr>
          <w:rFonts w:ascii="Tw Cen MT" w:cs="Twentieth Century" w:eastAsia="Twentieth Century" w:hAnsi="Tw Cen MT"/>
          <w:sz w:val="24"/>
          <w:szCs w:val="24"/>
        </w:rPr>
        <w:t xml:space="preserve">. Selain </w:t>
      </w:r>
      <w:r>
        <w:rPr>
          <w:rFonts w:ascii="Tw Cen MT" w:cs="Twentieth Century" w:eastAsia="Twentieth Century" w:hAnsi="Tw Cen MT"/>
          <w:sz w:val="24"/>
          <w:szCs w:val="24"/>
        </w:rPr>
        <w:t>itu</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menurut</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sebuah</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hasil</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studi</w:t>
      </w:r>
      <w:r>
        <w:rPr>
          <w:rFonts w:ascii="Tw Cen MT" w:cs="Twentieth Century" w:eastAsia="Twentieth Century" w:hAnsi="Tw Cen MT"/>
          <w:sz w:val="24"/>
          <w:szCs w:val="24"/>
        </w:rPr>
        <w:t xml:space="preserve"> Virtual Grid </w:t>
      </w:r>
      <w:r>
        <w:rPr>
          <w:rFonts w:ascii="Tw Cen MT" w:cs="Twentieth Century" w:eastAsia="Twentieth Century" w:hAnsi="Tw Cen MT"/>
          <w:sz w:val="24"/>
          <w:szCs w:val="24"/>
        </w:rPr>
        <w:t>mempunyai</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keunggulan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dibandingkan</w:t>
      </w:r>
      <w:r>
        <w:rPr>
          <w:rFonts w:ascii="Tw Cen MT" w:cs="Twentieth Century" w:eastAsia="Twentieth Century" w:hAnsi="Tw Cen MT"/>
          <w:sz w:val="24"/>
          <w:szCs w:val="24"/>
        </w:rPr>
        <w:t xml:space="preserve"> grid </w:t>
      </w:r>
      <w:r>
        <w:rPr>
          <w:rFonts w:ascii="Tw Cen MT" w:cs="Twentieth Century" w:eastAsia="Twentieth Century" w:hAnsi="Tw Cen MT"/>
          <w:sz w:val="24"/>
          <w:szCs w:val="24"/>
        </w:rPr>
        <w:t>fisik</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dalam</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hal</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memperbaiki</w:t>
      </w:r>
      <w:r>
        <w:rPr>
          <w:rFonts w:ascii="Tw Cen MT" w:cs="Twentieth Century" w:eastAsia="Twentieth Century" w:hAnsi="Tw Cen MT"/>
          <w:sz w:val="24"/>
          <w:szCs w:val="24"/>
        </w:rPr>
        <w:t xml:space="preserve"> dan </w:t>
      </w:r>
      <w:r>
        <w:rPr>
          <w:rFonts w:ascii="Tw Cen MT" w:cs="Twentieth Century" w:eastAsia="Twentieth Century" w:hAnsi="Tw Cen MT"/>
          <w:sz w:val="24"/>
          <w:szCs w:val="24"/>
        </w:rPr>
        <w:t>meningkatkan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kualitas</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citra</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serta</w:t>
      </w:r>
      <w:r>
        <w:rPr>
          <w:rFonts w:ascii="Tw Cen MT" w:cs="Twentieth Century" w:eastAsia="Twentieth Century" w:hAnsi="Tw Cen MT"/>
          <w:sz w:val="24"/>
          <w:szCs w:val="24"/>
        </w:rPr>
        <w:t xml:space="preserve"> proses  </w:t>
      </w:r>
      <w:r>
        <w:rPr>
          <w:rFonts w:ascii="Tw Cen MT" w:cs="Twentieth Century" w:eastAsia="Twentieth Century" w:hAnsi="Tw Cen MT"/>
          <w:sz w:val="24"/>
          <w:szCs w:val="24"/>
        </w:rPr>
        <w:t>pemeriksaan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menjadi</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lebih</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cepat</w:t>
      </w:r>
      <w:r>
        <w:rPr>
          <w:rFonts w:ascii="Tw Cen MT" w:cs="Twentieth Century" w:eastAsia="Twentieth Century" w:hAnsi="Tw Cen MT"/>
          <w:sz w:val="24"/>
          <w:szCs w:val="24"/>
        </w:rPr>
        <w:t xml:space="preserve"> dan </w:t>
      </w:r>
      <w:r>
        <w:rPr>
          <w:rFonts w:ascii="Tw Cen MT" w:cs="Twentieth Century" w:eastAsia="Twentieth Century" w:hAnsi="Tw Cen MT"/>
          <w:sz w:val="24"/>
          <w:szCs w:val="24"/>
        </w:rPr>
        <w:t>lebih</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efisien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fldChar w:fldCharType="begin"/>
      </w:r>
      <w:r>
        <w:rPr>
          <w:rFonts w:ascii="Tw Cen MT" w:cs="Twentieth Century" w:eastAsia="Twentieth Century" w:hAnsi="Tw Cen MT"/>
          <w:sz w:val="24"/>
          <w:szCs w:val="24"/>
        </w:rPr>
        <w:instrText>ADDIN CSL_CITATION {"citationItems":[{"id":"ITEM-1","itemData":{"DOI":"https://doi.org/10.32628/IJSRST52310649 Radiation","author":[{"dropping-particle":"","family":"Ardoni","given":"Fitrus","non-dropping-particle":"","parse-names":false,"suffix":""},{"dropping-particle":"","family":"Choridah","given":"Lina","non-dropping-particle":"","parse-names":false,"suffix":""},{"dropping-particle":"","family":"Susanto","given":"Edy","non-dropping-particle":"","parse-names":false,"suffix":""},{"dropping-particle":"","family":"Irsal","given":"Muhammad","non-dropping-particle":"","parse-names":false,"suffix":""}],"id":"ITEM-1","issued":{"date-parts":[["2023"]]},"page":"323-331","title":"Radiation Dose and Image Quality with Exposure Factor Variation Using a Virtual Grid in Digital Radiography","type":"article-journal"},"uris":["http://www.mendeley.com/documents/?uuid=c75df915-4120-4dbd-90df-63253ab84030"]}],"mendeley":{"formattedCitation":"[5]","plainTextFormattedCitation":"[5]","previouslyFormattedCitation":"[5]"},"properties":{"noteIndex":0},"schema":"https://github.com/citation-style-language/schema/raw/master/csl-citation.json"}</w:instrText>
      </w:r>
      <w:r>
        <w:rPr>
          <w:rFonts w:ascii="Tw Cen MT" w:cs="Twentieth Century" w:eastAsia="Twentieth Century" w:hAnsi="Tw Cen MT"/>
          <w:sz w:val="24"/>
          <w:szCs w:val="24"/>
        </w:rPr>
        <w:fldChar w:fldCharType="separate"/>
      </w:r>
      <w:r>
        <w:rPr>
          <w:rFonts w:ascii="Tw Cen MT" w:cs="Twentieth Century" w:eastAsia="Twentieth Century" w:hAnsi="Tw Cen MT"/>
          <w:noProof/>
          <w:sz w:val="24"/>
          <w:szCs w:val="24"/>
        </w:rPr>
        <w:t>[5]</w:t>
      </w:r>
      <w:r>
        <w:rPr>
          <w:rFonts w:ascii="Tw Cen MT" w:cs="Twentieth Century" w:eastAsia="Twentieth Century" w:hAnsi="Tw Cen MT"/>
          <w:sz w:val="24"/>
          <w:szCs w:val="24"/>
        </w:rPr>
        <w:fldChar w:fldCharType="end"/>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Berdasarkan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observasi</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peneliti</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dirumah</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sakit</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pemeriksaan</w:t>
      </w:r>
      <w:r>
        <w:rPr>
          <w:rFonts w:ascii="Tw Cen MT" w:cs="Twentieth Century" w:eastAsia="Twentieth Century" w:hAnsi="Tw Cen MT"/>
          <w:sz w:val="24"/>
          <w:szCs w:val="24"/>
        </w:rPr>
        <w:t xml:space="preserve"> sacrum lateral </w:t>
      </w:r>
      <w:r>
        <w:rPr>
          <w:rFonts w:ascii="Tw Cen MT" w:cs="Twentieth Century" w:eastAsia="Twentieth Century" w:hAnsi="Tw Cen MT"/>
          <w:sz w:val="24"/>
          <w:szCs w:val="24"/>
        </w:rPr>
        <w:t>sering</w:t>
      </w:r>
      <w:r>
        <w:rPr>
          <w:rFonts w:ascii="Tw Cen MT" w:cs="Twentieth Century" w:eastAsia="Twentieth Century" w:hAnsi="Tw Cen MT"/>
          <w:sz w:val="24"/>
          <w:szCs w:val="24"/>
        </w:rPr>
        <w:t xml:space="preserve"> kali </w:t>
      </w:r>
      <w:r>
        <w:rPr>
          <w:rFonts w:ascii="Tw Cen MT" w:cs="Twentieth Century" w:eastAsia="Twentieth Century" w:hAnsi="Tw Cen MT"/>
          <w:sz w:val="24"/>
          <w:szCs w:val="24"/>
        </w:rPr>
        <w:t>mengalami</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penurun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kontras</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radiografi</w:t>
      </w:r>
      <w:r>
        <w:rPr>
          <w:rFonts w:ascii="Tw Cen MT" w:cs="Twentieth Century" w:eastAsia="Twentieth Century" w:hAnsi="Tw Cen MT"/>
          <w:sz w:val="24"/>
          <w:szCs w:val="24"/>
        </w:rPr>
        <w:t xml:space="preserve"> yang </w:t>
      </w:r>
      <w:r>
        <w:rPr>
          <w:rFonts w:ascii="Tw Cen MT" w:cs="Twentieth Century" w:eastAsia="Twentieth Century" w:hAnsi="Tw Cen MT"/>
          <w:sz w:val="24"/>
          <w:szCs w:val="24"/>
        </w:rPr>
        <w:t>mengakibatkan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pengulangan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pemeriksaan</w:t>
      </w:r>
      <w:r>
        <w:rPr>
          <w:rFonts w:ascii="Tw Cen MT" w:cs="Twentieth Century" w:eastAsia="Twentieth Century" w:hAnsi="Tw Cen MT"/>
          <w:sz w:val="24"/>
          <w:szCs w:val="24"/>
        </w:rPr>
        <w:t xml:space="preserve"> dan </w:t>
      </w:r>
      <w:r>
        <w:rPr>
          <w:rFonts w:ascii="Tw Cen MT" w:cs="Twentieth Century" w:eastAsia="Twentieth Century" w:hAnsi="Tw Cen MT"/>
          <w:sz w:val="24"/>
          <w:szCs w:val="24"/>
        </w:rPr>
        <w:t>menurunkan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akurasi</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diagnosa</w:t>
      </w:r>
      <w:r>
        <w:rPr>
          <w:rFonts w:ascii="Tw Cen MT" w:cs="Twentieth Century" w:eastAsia="Twentieth Century" w:hAnsi="Tw Cen MT"/>
          <w:sz w:val="24"/>
          <w:szCs w:val="24"/>
        </w:rPr>
        <w:t xml:space="preserve">. Oleh </w:t>
      </w:r>
      <w:r>
        <w:rPr>
          <w:rFonts w:ascii="Tw Cen MT" w:cs="Twentieth Century" w:eastAsia="Twentieth Century" w:hAnsi="Tw Cen MT"/>
          <w:sz w:val="24"/>
          <w:szCs w:val="24"/>
        </w:rPr>
        <w:t>sebab</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itu</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peneliti</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tertarik</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untuk</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melakukan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analisis</w:t>
      </w:r>
      <w:r>
        <w:rPr>
          <w:rFonts w:ascii="Tw Cen MT" w:cs="Twentieth Century" w:eastAsia="Twentieth Century" w:hAnsi="Tw Cen MT"/>
          <w:sz w:val="24"/>
          <w:szCs w:val="24"/>
        </w:rPr>
        <w:t xml:space="preserve">  pada</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pemeriksaan</w:t>
      </w:r>
      <w:r>
        <w:rPr>
          <w:rFonts w:ascii="Tw Cen MT" w:cs="Twentieth Century" w:eastAsia="Twentieth Century" w:hAnsi="Tw Cen MT"/>
          <w:sz w:val="24"/>
          <w:szCs w:val="24"/>
        </w:rPr>
        <w:t xml:space="preserve"> OS Sacrum lateral </w:t>
      </w:r>
      <w:r>
        <w:rPr>
          <w:rFonts w:ascii="Tw Cen MT" w:cs="Twentieth Century" w:eastAsia="Twentieth Century" w:hAnsi="Tw Cen MT"/>
          <w:sz w:val="24"/>
          <w:szCs w:val="24"/>
        </w:rPr>
        <w:t>dengan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variasi</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rasio</w:t>
      </w:r>
      <w:r>
        <w:rPr>
          <w:rFonts w:ascii="Tw Cen MT" w:cs="Twentieth Century" w:eastAsia="Twentieth Century" w:hAnsi="Tw Cen MT"/>
          <w:sz w:val="24"/>
          <w:szCs w:val="24"/>
        </w:rPr>
        <w:t xml:space="preserve"> Virtual Grid </w:t>
      </w:r>
      <w:r>
        <w:rPr>
          <w:rFonts w:ascii="Tw Cen MT" w:cs="Twentieth Century" w:eastAsia="Twentieth Century" w:hAnsi="Tw Cen MT"/>
          <w:sz w:val="24"/>
          <w:szCs w:val="24"/>
        </w:rPr>
        <w:t>untuk</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mengetahui</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pengaruh</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penggunaan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rasio</w:t>
      </w:r>
      <w:r>
        <w:rPr>
          <w:rFonts w:ascii="Tw Cen MT" w:cs="Twentieth Century" w:eastAsia="Twentieth Century" w:hAnsi="Tw Cen MT"/>
          <w:sz w:val="24"/>
          <w:szCs w:val="24"/>
        </w:rPr>
        <w:t xml:space="preserve"> Virtual Grid </w:t>
      </w:r>
      <w:r>
        <w:rPr>
          <w:rFonts w:ascii="Tw Cen MT" w:cs="Twentieth Century" w:eastAsia="Twentieth Century" w:hAnsi="Tw Cen MT"/>
          <w:sz w:val="24"/>
          <w:szCs w:val="24"/>
        </w:rPr>
        <w:t>terhadap</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nilai</w:t>
      </w:r>
      <w:r>
        <w:rPr>
          <w:rFonts w:ascii="Tw Cen MT" w:cs="Twentieth Century" w:eastAsia="Twentieth Century" w:hAnsi="Tw Cen MT"/>
          <w:sz w:val="24"/>
          <w:szCs w:val="24"/>
        </w:rPr>
        <w:t xml:space="preserve"> pixel value yang </w:t>
      </w:r>
      <w:r>
        <w:rPr>
          <w:rFonts w:ascii="Tw Cen MT" w:cs="Twentieth Century" w:eastAsia="Twentieth Century" w:hAnsi="Tw Cen MT"/>
          <w:sz w:val="24"/>
          <w:szCs w:val="24"/>
        </w:rPr>
        <w:t>dihasilkan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w:t>
      </w:r>
    </w:p>
    <w:p>
      <w:pPr>
        <w:pStyle w:val="style0"/>
        <w:spacing w:after="0" w:lineRule="auto" w:line="240"/>
        <w:jc w:val="both"/>
        <w:rPr>
          <w:rFonts w:ascii="Tw Cen MT" w:cs="Twentieth Century" w:eastAsia="Twentieth Century" w:hAnsi="Tw Cen MT"/>
          <w:color w:val="000000"/>
          <w:sz w:val="24"/>
          <w:szCs w:val="24"/>
        </w:rPr>
      </w:pPr>
    </w:p>
    <w:p>
      <w:pPr>
        <w:pStyle w:val="style0"/>
        <w:spacing w:after="0" w:lineRule="auto" w:line="240"/>
        <w:jc w:val="both"/>
        <w:rPr>
          <w:rFonts w:ascii="Tw Cen MT" w:cs="Twentieth Century" w:eastAsia="Twentieth Century" w:hAnsi="Tw Cen MT"/>
          <w:b/>
          <w:sz w:val="24"/>
          <w:szCs w:val="24"/>
        </w:rPr>
      </w:pPr>
      <w:r>
        <w:rPr>
          <w:rFonts w:ascii="Tw Cen MT" w:cs="Twentieth Century" w:eastAsia="Twentieth Century" w:hAnsi="Tw Cen MT"/>
          <w:b/>
          <w:sz w:val="24"/>
          <w:szCs w:val="24"/>
        </w:rPr>
        <w:t>METODE</w:t>
      </w:r>
    </w:p>
    <w:p>
      <w:pPr>
        <w:pStyle w:val="style0"/>
        <w:tabs>
          <w:tab w:val="left" w:leader="none" w:pos="426"/>
        </w:tabs>
        <w:spacing w:after="0"/>
        <w:jc w:val="both"/>
        <w:rPr>
          <w:rFonts w:ascii="Tw Cen MT" w:cs="Twentieth Century" w:eastAsia="Twentieth Century" w:hAnsi="Tw Cen MT"/>
          <w:sz w:val="24"/>
          <w:szCs w:val="24"/>
        </w:rPr>
      </w:pPr>
      <w:r>
        <w:rPr>
          <w:rFonts w:ascii="Tw Cen MT" w:cs="Twentieth Century" w:eastAsia="Twentieth Century" w:hAnsi="Tw Cen MT"/>
          <w:sz w:val="24"/>
          <w:szCs w:val="24"/>
        </w:rPr>
        <w:t>P</w:t>
      </w:r>
      <w:r>
        <w:rPr>
          <w:rFonts w:ascii="Tw Cen MT" w:cs="Twentieth Century" w:eastAsia="Twentieth Century" w:hAnsi="Tw Cen MT"/>
          <w:sz w:val="24"/>
          <w:szCs w:val="24"/>
        </w:rPr>
        <w:t>enelitian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ini</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merupakan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penelitian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deskriptif</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kuantitatif</w:t>
      </w:r>
      <w:r>
        <w:rPr>
          <w:rFonts w:ascii="Tw Cen MT" w:cs="Twentieth Century" w:eastAsia="Twentieth Century" w:hAnsi="Tw Cen MT"/>
          <w:sz w:val="24"/>
          <w:szCs w:val="24"/>
        </w:rPr>
        <w:t xml:space="preserve"> yang </w:t>
      </w:r>
      <w:r>
        <w:rPr>
          <w:rFonts w:ascii="Tw Cen MT" w:cs="Twentieth Century" w:eastAsia="Twentieth Century" w:hAnsi="Tw Cen MT"/>
          <w:sz w:val="24"/>
          <w:szCs w:val="24"/>
        </w:rPr>
        <w:t>dilakukan</w:t>
      </w:r>
      <w:r>
        <w:rPr>
          <w:rFonts w:ascii="Tw Cen MT" w:cs="Twentieth Century" w:eastAsia="Twentieth Century" w:hAnsi="Tw Cen MT"/>
          <w:sz w:val="24"/>
          <w:szCs w:val="24"/>
        </w:rPr>
        <w:t xml:space="preserve"> pada </w:t>
      </w:r>
      <w:r>
        <w:rPr>
          <w:rFonts w:ascii="Tw Cen MT" w:cs="Twentieth Century" w:eastAsia="Twentieth Century" w:hAnsi="Tw Cen MT"/>
          <w:sz w:val="24"/>
          <w:szCs w:val="24"/>
        </w:rPr>
        <w:t>bulan</w:t>
      </w:r>
      <w:r>
        <w:rPr>
          <w:rFonts w:ascii="Tw Cen MT" w:cs="Twentieth Century" w:eastAsia="Twentieth Century" w:hAnsi="Tw Cen MT"/>
          <w:sz w:val="24"/>
          <w:szCs w:val="24"/>
        </w:rPr>
        <w:t xml:space="preserve"> Mei </w:t>
      </w:r>
      <w:r>
        <w:rPr>
          <w:rFonts w:ascii="Tw Cen MT" w:cs="Twentieth Century" w:eastAsia="Twentieth Century" w:hAnsi="Tw Cen MT"/>
          <w:sz w:val="24"/>
          <w:szCs w:val="24"/>
        </w:rPr>
        <w:t>sampai</w:t>
      </w:r>
      <w:r>
        <w:rPr>
          <w:rFonts w:ascii="Tw Cen MT" w:cs="Twentieth Century" w:eastAsia="Twentieth Century" w:hAnsi="Tw Cen MT"/>
          <w:sz w:val="24"/>
          <w:szCs w:val="24"/>
        </w:rPr>
        <w:t xml:space="preserve"> Juni 2025 di </w:t>
      </w:r>
      <w:r>
        <w:rPr>
          <w:rFonts w:ascii="Tw Cen MT" w:cs="Twentieth Century" w:eastAsia="Twentieth Century" w:hAnsi="Tw Cen MT"/>
          <w:sz w:val="24"/>
          <w:szCs w:val="24"/>
        </w:rPr>
        <w:t>Laboratorium</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Praktikum</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Radiografi</w:t>
      </w:r>
      <w:r>
        <w:rPr>
          <w:rFonts w:ascii="Tw Cen MT" w:cs="Twentieth Century" w:eastAsia="Twentieth Century" w:hAnsi="Tw Cen MT"/>
          <w:sz w:val="24"/>
          <w:szCs w:val="24"/>
        </w:rPr>
        <w:t xml:space="preserve"> dan Fisika </w:t>
      </w:r>
      <w:r>
        <w:rPr>
          <w:rFonts w:ascii="Tw Cen MT" w:cs="Twentieth Century" w:eastAsia="Twentieth Century" w:hAnsi="Tw Cen MT"/>
          <w:sz w:val="24"/>
          <w:szCs w:val="24"/>
        </w:rPr>
        <w:t>Jurusan</w:t>
      </w:r>
      <w:r>
        <w:rPr>
          <w:rFonts w:ascii="Tw Cen MT" w:cs="Twentieth Century" w:eastAsia="Twentieth Century" w:hAnsi="Tw Cen MT"/>
          <w:sz w:val="24"/>
          <w:szCs w:val="24"/>
        </w:rPr>
        <w:t xml:space="preserve"> Teknik </w:t>
      </w:r>
      <w:r>
        <w:rPr>
          <w:rFonts w:ascii="Tw Cen MT" w:cs="Twentieth Century" w:eastAsia="Twentieth Century" w:hAnsi="Tw Cen MT"/>
          <w:sz w:val="24"/>
          <w:szCs w:val="24"/>
        </w:rPr>
        <w:t>Radiologi</w:t>
      </w:r>
      <w:r>
        <w:rPr>
          <w:rFonts w:ascii="Tw Cen MT" w:cs="Twentieth Century" w:eastAsia="Twentieth Century" w:hAnsi="Tw Cen MT"/>
          <w:sz w:val="24"/>
          <w:szCs w:val="24"/>
        </w:rPr>
        <w:t xml:space="preserve">. Sampel </w:t>
      </w:r>
      <w:r>
        <w:rPr>
          <w:rFonts w:ascii="Tw Cen MT" w:cs="Twentieth Century" w:eastAsia="Twentieth Century" w:hAnsi="Tw Cen MT"/>
          <w:sz w:val="24"/>
          <w:szCs w:val="24"/>
        </w:rPr>
        <w:t>dalam</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penelitian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adalah</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hasil</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citra</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Os</w:t>
      </w:r>
      <w:r>
        <w:rPr>
          <w:rFonts w:ascii="Tw Cen MT" w:cs="Twentieth Century" w:eastAsia="Twentieth Century" w:hAnsi="Tw Cen MT"/>
          <w:sz w:val="24"/>
          <w:szCs w:val="24"/>
        </w:rPr>
        <w:t xml:space="preserve"> Sacrum </w:t>
      </w:r>
      <w:r>
        <w:rPr>
          <w:rFonts w:ascii="Tw Cen MT" w:cs="Twentieth Century" w:eastAsia="Twentieth Century" w:hAnsi="Tw Cen MT"/>
          <w:sz w:val="24"/>
          <w:szCs w:val="24"/>
        </w:rPr>
        <w:t>proyeksi</w:t>
      </w:r>
      <w:r>
        <w:rPr>
          <w:rFonts w:ascii="Tw Cen MT" w:cs="Twentieth Century" w:eastAsia="Twentieth Century" w:hAnsi="Tw Cen MT"/>
          <w:sz w:val="24"/>
          <w:szCs w:val="24"/>
        </w:rPr>
        <w:t xml:space="preserve"> lateral </w:t>
      </w:r>
      <w:r>
        <w:rPr>
          <w:rFonts w:ascii="Tw Cen MT" w:cs="Twentieth Century" w:eastAsia="Twentieth Century" w:hAnsi="Tw Cen MT"/>
          <w:sz w:val="24"/>
          <w:szCs w:val="24"/>
        </w:rPr>
        <w:t>menggunakan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variasi</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rasio</w:t>
      </w:r>
      <w:r>
        <w:rPr>
          <w:rFonts w:ascii="Tw Cen MT" w:cs="Twentieth Century" w:eastAsia="Twentieth Century" w:hAnsi="Tw Cen MT"/>
          <w:sz w:val="24"/>
          <w:szCs w:val="24"/>
        </w:rPr>
        <w:t xml:space="preserve"> virtual grid 8:1, 10:1, dan 12:1 </w:t>
      </w:r>
      <w:r>
        <w:rPr>
          <w:rFonts w:ascii="Tw Cen MT" w:cs="Twentieth Century" w:eastAsia="Twentieth Century" w:hAnsi="Tw Cen MT"/>
          <w:sz w:val="24"/>
          <w:szCs w:val="24"/>
        </w:rPr>
        <w:t>dengan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objek</w:t>
      </w:r>
      <w:r>
        <w:rPr>
          <w:rFonts w:ascii="Tw Cen MT" w:cs="Twentieth Century" w:eastAsia="Twentieth Century" w:hAnsi="Tw Cen MT"/>
          <w:sz w:val="24"/>
          <w:szCs w:val="24"/>
        </w:rPr>
        <w:t xml:space="preserve"> phantom anthropomorphic. </w:t>
      </w:r>
      <w:r>
        <w:rPr>
          <w:rFonts w:ascii="Tw Cen MT" w:cs="Twentieth Century" w:eastAsia="Twentieth Century" w:hAnsi="Tw Cen MT"/>
          <w:sz w:val="24"/>
          <w:szCs w:val="24"/>
        </w:rPr>
        <w:t>menggunakan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faktor</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eksposi</w:t>
      </w:r>
      <w:r>
        <w:rPr>
          <w:rFonts w:ascii="Tw Cen MT" w:cs="Twentieth Century" w:eastAsia="Twentieth Century" w:hAnsi="Tw Cen MT"/>
          <w:sz w:val="24"/>
          <w:szCs w:val="24"/>
        </w:rPr>
        <w:t xml:space="preserve"> 95 kV dan 45 </w:t>
      </w:r>
      <w:r>
        <w:rPr>
          <w:rFonts w:ascii="Tw Cen MT" w:cs="Twentieth Century" w:eastAsia="Twentieth Century" w:hAnsi="Tw Cen MT"/>
          <w:sz w:val="24"/>
          <w:szCs w:val="24"/>
        </w:rPr>
        <w:t>mAs</w:t>
      </w:r>
      <w:r>
        <w:rPr>
          <w:rFonts w:ascii="Tw Cen MT" w:cs="Twentieth Century" w:eastAsia="Twentieth Century" w:hAnsi="Tw Cen MT"/>
          <w:sz w:val="24"/>
          <w:szCs w:val="24"/>
        </w:rPr>
        <w:t>.</w:t>
      </w:r>
      <w:r>
        <w:rPr>
          <w:rFonts w:ascii="Tw Cen MT" w:cs="Twentieth Century" w:eastAsia="Twentieth Century" w:hAnsi="Tw Cen MT"/>
          <w:sz w:val="24"/>
          <w:szCs w:val="24"/>
        </w:rPr>
        <w:t xml:space="preserve"> </w:t>
      </w:r>
    </w:p>
    <w:p>
      <w:pPr>
        <w:pStyle w:val="style0"/>
        <w:tabs>
          <w:tab w:val="left" w:leader="none" w:pos="426"/>
        </w:tabs>
        <w:spacing w:after="0"/>
        <w:jc w:val="both"/>
        <w:rPr>
          <w:rFonts w:ascii="Tw Cen MT" w:cs="Twentieth Century" w:eastAsia="Twentieth Century" w:hAnsi="Tw Cen MT"/>
          <w:sz w:val="24"/>
          <w:szCs w:val="24"/>
          <w:lang w:val="en-AU"/>
        </w:rPr>
      </w:pPr>
      <w:r>
        <w:rPr>
          <w:rFonts w:ascii="Tw Cen MT" w:cs="Twentieth Century" w:eastAsia="Twentieth Century" w:hAnsi="Tw Cen MT"/>
          <w:sz w:val="24"/>
          <w:szCs w:val="24"/>
          <w:lang w:val="en-AU"/>
        </w:rPr>
        <w:t xml:space="preserve">Alat dan </w:t>
      </w:r>
      <w:r>
        <w:rPr>
          <w:rFonts w:ascii="Tw Cen MT" w:cs="Twentieth Century" w:eastAsia="Twentieth Century" w:hAnsi="Tw Cen MT"/>
          <w:sz w:val="24"/>
          <w:szCs w:val="24"/>
          <w:lang w:val="en-AU"/>
        </w:rPr>
        <w:t>bahan</w:t>
      </w:r>
      <w:r>
        <w:rPr>
          <w:rFonts w:ascii="Tw Cen MT" w:cs="Twentieth Century" w:eastAsia="Twentieth Century" w:hAnsi="Tw Cen MT"/>
          <w:sz w:val="24"/>
          <w:szCs w:val="24"/>
          <w:lang w:val="en-AU"/>
        </w:rPr>
        <w:t xml:space="preserve"> yang </w:t>
      </w:r>
      <w:r>
        <w:rPr>
          <w:rFonts w:ascii="Tw Cen MT" w:cs="Twentieth Century" w:eastAsia="Twentieth Century" w:hAnsi="Tw Cen MT"/>
          <w:sz w:val="24"/>
          <w:szCs w:val="24"/>
          <w:lang w:val="en-AU"/>
        </w:rPr>
        <w:t>digunakan</w:t>
      </w:r>
      <w:r>
        <w:rPr>
          <w:rFonts w:ascii="Tw Cen MT" w:cs="Twentieth Century" w:eastAsia="Twentieth Century" w:hAnsi="Tw Cen MT"/>
          <w:sz w:val="24"/>
          <w:szCs w:val="24"/>
          <w:lang w:val="en-AU"/>
        </w:rPr>
        <w:t xml:space="preserve"> </w:t>
      </w:r>
      <w:r>
        <w:rPr>
          <w:rFonts w:ascii="Tw Cen MT" w:cs="Twentieth Century" w:eastAsia="Twentieth Century" w:hAnsi="Tw Cen MT"/>
          <w:sz w:val="24"/>
          <w:szCs w:val="24"/>
          <w:lang w:val="en-AU"/>
        </w:rPr>
        <w:t>pesawat</w:t>
      </w:r>
      <w:r>
        <w:rPr>
          <w:rFonts w:ascii="Tw Cen MT" w:cs="Twentieth Century" w:eastAsia="Twentieth Century" w:hAnsi="Tw Cen MT"/>
          <w:sz w:val="24"/>
          <w:szCs w:val="24"/>
          <w:lang w:val="en-AU"/>
        </w:rPr>
        <w:t xml:space="preserve"> </w:t>
      </w:r>
      <w:r>
        <w:rPr>
          <w:rFonts w:ascii="Tw Cen MT" w:cs="Twentieth Century" w:eastAsia="Twentieth Century" w:hAnsi="Tw Cen MT"/>
          <w:sz w:val="24"/>
          <w:szCs w:val="24"/>
          <w:lang w:val="en-AU"/>
        </w:rPr>
        <w:t>sinar</w:t>
      </w:r>
      <w:r>
        <w:rPr>
          <w:rFonts w:ascii="Tw Cen MT" w:cs="Twentieth Century" w:eastAsia="Twentieth Century" w:hAnsi="Tw Cen MT"/>
          <w:sz w:val="24"/>
          <w:szCs w:val="24"/>
          <w:lang w:val="en-AU"/>
        </w:rPr>
        <w:t xml:space="preserve">-X merk GE Healthcare </w:t>
      </w:r>
      <w:r>
        <w:rPr>
          <w:rFonts w:ascii="Tw Cen MT" w:cs="Twentieth Century" w:eastAsia="Twentieth Century" w:hAnsi="Tw Cen MT"/>
          <w:sz w:val="24"/>
          <w:szCs w:val="24"/>
          <w:lang w:val="en-AU"/>
        </w:rPr>
        <w:t>tipe</w:t>
      </w:r>
      <w:r>
        <w:rPr>
          <w:rFonts w:ascii="Tw Cen MT" w:cs="Twentieth Century" w:eastAsia="Twentieth Century" w:hAnsi="Tw Cen MT"/>
          <w:sz w:val="24"/>
          <w:szCs w:val="24"/>
          <w:lang w:val="en-AU"/>
        </w:rPr>
        <w:t xml:space="preserve"> stationary </w:t>
      </w:r>
      <w:r>
        <w:rPr>
          <w:rFonts w:ascii="Tw Cen MT" w:cs="Twentieth Century" w:eastAsia="Twentieth Century" w:hAnsi="Tw Cen MT"/>
          <w:sz w:val="24"/>
          <w:szCs w:val="24"/>
          <w:lang w:val="en-AU"/>
        </w:rPr>
        <w:t>dengan</w:t>
      </w:r>
      <w:r>
        <w:rPr>
          <w:rFonts w:ascii="Tw Cen MT" w:cs="Twentieth Century" w:eastAsia="Twentieth Century" w:hAnsi="Tw Cen MT"/>
          <w:sz w:val="24"/>
          <w:szCs w:val="24"/>
          <w:lang w:val="en-AU"/>
        </w:rPr>
        <w:t xml:space="preserve"> </w:t>
      </w:r>
      <w:r>
        <w:rPr>
          <w:rFonts w:ascii="Tw Cen MT" w:cs="Twentieth Century" w:eastAsia="Twentieth Century" w:hAnsi="Tw Cen MT"/>
          <w:sz w:val="24"/>
          <w:szCs w:val="24"/>
          <w:lang w:val="en-AU"/>
        </w:rPr>
        <w:t>spesifikasi</w:t>
      </w:r>
      <w:r>
        <w:rPr>
          <w:rFonts w:ascii="Tw Cen MT" w:cs="Twentieth Century" w:eastAsia="Twentieth Century" w:hAnsi="Tw Cen MT"/>
          <w:sz w:val="24"/>
          <w:szCs w:val="24"/>
          <w:lang w:val="en-AU"/>
        </w:rPr>
        <w:t xml:space="preserve"> 150 kV dan 500 mA. Image Detector yang </w:t>
      </w:r>
      <w:r>
        <w:rPr>
          <w:rFonts w:ascii="Tw Cen MT" w:cs="Twentieth Century" w:eastAsia="Twentieth Century" w:hAnsi="Tw Cen MT"/>
          <w:sz w:val="24"/>
          <w:szCs w:val="24"/>
          <w:lang w:val="en-AU"/>
        </w:rPr>
        <w:t>digunakan</w:t>
      </w:r>
      <w:r>
        <w:rPr>
          <w:rFonts w:ascii="Tw Cen MT" w:cs="Twentieth Century" w:eastAsia="Twentieth Century" w:hAnsi="Tw Cen MT"/>
          <w:sz w:val="24"/>
          <w:szCs w:val="24"/>
          <w:lang w:val="en-AU"/>
        </w:rPr>
        <w:t xml:space="preserve"> </w:t>
      </w:r>
      <w:r>
        <w:rPr>
          <w:rFonts w:ascii="Tw Cen MT" w:cs="Twentieth Century" w:eastAsia="Twentieth Century" w:hAnsi="Tw Cen MT"/>
          <w:sz w:val="24"/>
          <w:szCs w:val="24"/>
          <w:lang w:val="en-AU"/>
        </w:rPr>
        <w:t>adalah</w:t>
      </w:r>
      <w:r>
        <w:rPr>
          <w:rFonts w:ascii="Tw Cen MT" w:cs="Twentieth Century" w:eastAsia="Twentieth Century" w:hAnsi="Tw Cen MT"/>
          <w:sz w:val="24"/>
          <w:szCs w:val="24"/>
          <w:lang w:val="en-AU"/>
        </w:rPr>
        <w:t xml:space="preserve"> Flat Panel Detector (FPD) </w:t>
      </w:r>
      <w:r>
        <w:rPr>
          <w:rFonts w:ascii="Tw Cen MT" w:cs="Twentieth Century" w:eastAsia="Twentieth Century" w:hAnsi="Tw Cen MT"/>
          <w:sz w:val="24"/>
          <w:szCs w:val="24"/>
          <w:lang w:val="en-AU"/>
        </w:rPr>
        <w:t>dari</w:t>
      </w:r>
      <w:r>
        <w:rPr>
          <w:rFonts w:ascii="Tw Cen MT" w:cs="Twentieth Century" w:eastAsia="Twentieth Century" w:hAnsi="Tw Cen MT"/>
          <w:sz w:val="24"/>
          <w:szCs w:val="24"/>
          <w:lang w:val="en-AU"/>
        </w:rPr>
        <w:t xml:space="preserve"> FUJIFILM </w:t>
      </w:r>
      <w:r>
        <w:rPr>
          <w:rFonts w:ascii="Tw Cen MT" w:cs="Twentieth Century" w:eastAsia="Twentieth Century" w:hAnsi="Tw Cen MT"/>
          <w:sz w:val="24"/>
          <w:szCs w:val="24"/>
          <w:lang w:val="en-AU"/>
        </w:rPr>
        <w:t>bertipe</w:t>
      </w:r>
      <w:r>
        <w:rPr>
          <w:rFonts w:ascii="Tw Cen MT" w:cs="Twentieth Century" w:eastAsia="Twentieth Century" w:hAnsi="Tw Cen MT"/>
          <w:sz w:val="24"/>
          <w:szCs w:val="24"/>
          <w:lang w:val="en-AU"/>
        </w:rPr>
        <w:t xml:space="preserve"> FDR D-EVO II C35 </w:t>
      </w:r>
      <w:r>
        <w:rPr>
          <w:rFonts w:ascii="Tw Cen MT" w:cs="Twentieth Century" w:eastAsia="Twentieth Century" w:hAnsi="Tw Cen MT"/>
          <w:sz w:val="24"/>
          <w:szCs w:val="24"/>
          <w:lang w:val="en-AU"/>
        </w:rPr>
        <w:t>ukuran</w:t>
      </w:r>
      <w:r>
        <w:rPr>
          <w:rFonts w:ascii="Tw Cen MT" w:cs="Twentieth Century" w:eastAsia="Twentieth Century" w:hAnsi="Tw Cen MT"/>
          <w:sz w:val="24"/>
          <w:szCs w:val="24"/>
          <w:lang w:val="en-AU"/>
        </w:rPr>
        <w:t xml:space="preserve"> 35 x 43 cm </w:t>
      </w:r>
      <w:r>
        <w:rPr>
          <w:rFonts w:ascii="Tw Cen MT" w:cs="Twentieth Century" w:eastAsia="Twentieth Century" w:hAnsi="Tw Cen MT"/>
          <w:sz w:val="24"/>
          <w:szCs w:val="24"/>
          <w:lang w:val="en-AU"/>
        </w:rPr>
        <w:t>dengan</w:t>
      </w:r>
      <w:r>
        <w:rPr>
          <w:rFonts w:ascii="Tw Cen MT" w:cs="Twentieth Century" w:eastAsia="Twentieth Century" w:hAnsi="Tw Cen MT"/>
          <w:sz w:val="24"/>
          <w:szCs w:val="24"/>
          <w:lang w:val="en-AU"/>
        </w:rPr>
        <w:t xml:space="preserve"> </w:t>
      </w:r>
      <w:r>
        <w:rPr>
          <w:rFonts w:ascii="Tw Cen MT" w:cs="Twentieth Century" w:eastAsia="Twentieth Century" w:hAnsi="Tw Cen MT"/>
          <w:sz w:val="24"/>
          <w:szCs w:val="24"/>
          <w:lang w:val="en-AU"/>
        </w:rPr>
        <w:t>sistem</w:t>
      </w:r>
      <w:r>
        <w:rPr>
          <w:rFonts w:ascii="Tw Cen MT" w:cs="Twentieth Century" w:eastAsia="Twentieth Century" w:hAnsi="Tw Cen MT"/>
          <w:sz w:val="24"/>
          <w:szCs w:val="24"/>
          <w:lang w:val="en-AU"/>
        </w:rPr>
        <w:t xml:space="preserve"> Indirect-Conversion pada </w:t>
      </w:r>
      <w:r>
        <w:rPr>
          <w:rFonts w:ascii="Tw Cen MT" w:cs="Twentieth Century" w:eastAsia="Twentieth Century" w:hAnsi="Tw Cen MT"/>
          <w:sz w:val="24"/>
          <w:szCs w:val="24"/>
          <w:lang w:val="en-AU"/>
        </w:rPr>
        <w:t>gambar</w:t>
      </w:r>
      <w:r>
        <w:rPr>
          <w:rFonts w:ascii="Tw Cen MT" w:cs="Twentieth Century" w:eastAsia="Twentieth Century" w:hAnsi="Tw Cen MT"/>
          <w:sz w:val="24"/>
          <w:szCs w:val="24"/>
          <w:lang w:val="en-AU"/>
        </w:rPr>
        <w:t xml:space="preserve"> 1. </w:t>
      </w:r>
      <w:r>
        <w:rPr>
          <w:rFonts w:ascii="Tw Cen MT" w:cs="Twentieth Century" w:eastAsia="Twentieth Century" w:hAnsi="Tw Cen MT"/>
          <w:sz w:val="24"/>
          <w:szCs w:val="24"/>
          <w:lang w:val="en-AU"/>
        </w:rPr>
        <w:t>Analisis</w:t>
      </w:r>
      <w:r>
        <w:rPr>
          <w:rFonts w:ascii="Tw Cen MT" w:cs="Twentieth Century" w:eastAsia="Twentieth Century" w:hAnsi="Tw Cen MT"/>
          <w:sz w:val="24"/>
          <w:szCs w:val="24"/>
          <w:lang w:val="en-AU"/>
        </w:rPr>
        <w:t xml:space="preserve"> pixel value </w:t>
      </w:r>
      <w:r>
        <w:rPr>
          <w:rFonts w:ascii="Tw Cen MT" w:cs="Twentieth Century" w:eastAsia="Twentieth Century" w:hAnsi="Tw Cen MT"/>
          <w:sz w:val="24"/>
          <w:szCs w:val="24"/>
          <w:lang w:val="en-AU"/>
        </w:rPr>
        <w:t>menggunakan</w:t>
      </w:r>
      <w:r>
        <w:rPr>
          <w:rFonts w:ascii="Tw Cen MT" w:cs="Twentieth Century" w:eastAsia="Twentieth Century" w:hAnsi="Tw Cen MT"/>
          <w:sz w:val="24"/>
          <w:szCs w:val="24"/>
          <w:lang w:val="en-AU"/>
        </w:rPr>
        <w:t xml:space="preserve"> software </w:t>
      </w:r>
      <w:r>
        <w:rPr>
          <w:rFonts w:ascii="Tw Cen MT" w:cs="Twentieth Century" w:eastAsia="Twentieth Century" w:hAnsi="Tw Cen MT"/>
          <w:sz w:val="24"/>
          <w:szCs w:val="24"/>
          <w:lang w:val="en-AU"/>
        </w:rPr>
        <w:t>imageJ</w:t>
      </w:r>
      <w:r>
        <w:rPr>
          <w:rFonts w:ascii="Tw Cen MT" w:cs="Twentieth Century" w:eastAsia="Twentieth Century" w:hAnsi="Tw Cen MT"/>
          <w:sz w:val="24"/>
          <w:szCs w:val="24"/>
          <w:lang w:val="en-AU"/>
        </w:rPr>
        <w:t xml:space="preserve"> pada sacral </w:t>
      </w:r>
      <w:r>
        <w:rPr>
          <w:rFonts w:ascii="Tw Cen MT" w:cs="Twentieth Century" w:eastAsia="Twentieth Century" w:hAnsi="Tw Cen MT"/>
          <w:sz w:val="24"/>
          <w:szCs w:val="24"/>
          <w:lang w:val="en-AU"/>
        </w:rPr>
        <w:t>pertama</w:t>
      </w:r>
      <w:r>
        <w:rPr>
          <w:rFonts w:ascii="Tw Cen MT" w:cs="Twentieth Century" w:eastAsia="Twentieth Century" w:hAnsi="Tw Cen MT"/>
          <w:sz w:val="24"/>
          <w:szCs w:val="24"/>
          <w:lang w:val="en-AU"/>
        </w:rPr>
        <w:t xml:space="preserve">, sacral </w:t>
      </w:r>
      <w:r>
        <w:rPr>
          <w:rFonts w:ascii="Tw Cen MT" w:cs="Twentieth Century" w:eastAsia="Twentieth Century" w:hAnsi="Tw Cen MT"/>
          <w:sz w:val="24"/>
          <w:szCs w:val="24"/>
          <w:lang w:val="en-AU"/>
        </w:rPr>
        <w:t>kedua</w:t>
      </w:r>
      <w:r>
        <w:rPr>
          <w:rFonts w:ascii="Tw Cen MT" w:cs="Twentieth Century" w:eastAsia="Twentieth Century" w:hAnsi="Tw Cen MT"/>
          <w:sz w:val="24"/>
          <w:szCs w:val="24"/>
          <w:lang w:val="en-AU"/>
        </w:rPr>
        <w:t xml:space="preserve">, sacral </w:t>
      </w:r>
      <w:r>
        <w:rPr>
          <w:rFonts w:ascii="Tw Cen MT" w:cs="Twentieth Century" w:eastAsia="Twentieth Century" w:hAnsi="Tw Cen MT"/>
          <w:sz w:val="24"/>
          <w:szCs w:val="24"/>
          <w:lang w:val="en-AU"/>
        </w:rPr>
        <w:t>ketiga</w:t>
      </w:r>
      <w:r>
        <w:rPr>
          <w:rFonts w:ascii="Tw Cen MT" w:cs="Twentieth Century" w:eastAsia="Twentieth Century" w:hAnsi="Tw Cen MT"/>
          <w:sz w:val="24"/>
          <w:szCs w:val="24"/>
          <w:lang w:val="en-AU"/>
        </w:rPr>
        <w:t xml:space="preserve">, sacral </w:t>
      </w:r>
      <w:r>
        <w:rPr>
          <w:rFonts w:ascii="Tw Cen MT" w:cs="Twentieth Century" w:eastAsia="Twentieth Century" w:hAnsi="Tw Cen MT"/>
          <w:sz w:val="24"/>
          <w:szCs w:val="24"/>
          <w:lang w:val="en-AU"/>
        </w:rPr>
        <w:t>keempat</w:t>
      </w:r>
      <w:r>
        <w:rPr>
          <w:rFonts w:ascii="Tw Cen MT" w:cs="Twentieth Century" w:eastAsia="Twentieth Century" w:hAnsi="Tw Cen MT"/>
          <w:sz w:val="24"/>
          <w:szCs w:val="24"/>
          <w:lang w:val="en-AU"/>
        </w:rPr>
        <w:t xml:space="preserve">, sacral </w:t>
      </w:r>
      <w:r>
        <w:rPr>
          <w:rFonts w:ascii="Tw Cen MT" w:cs="Twentieth Century" w:eastAsia="Twentieth Century" w:hAnsi="Tw Cen MT"/>
          <w:sz w:val="24"/>
          <w:szCs w:val="24"/>
          <w:lang w:val="en-AU"/>
        </w:rPr>
        <w:t>kelima</w:t>
      </w:r>
      <w:r>
        <w:rPr>
          <w:rFonts w:ascii="Tw Cen MT" w:cs="Twentieth Century" w:eastAsia="Twentieth Century" w:hAnsi="Tw Cen MT"/>
          <w:sz w:val="24"/>
          <w:szCs w:val="24"/>
          <w:lang w:val="en-AU"/>
        </w:rPr>
        <w:t xml:space="preserve">, coccyx </w:t>
      </w:r>
      <w:r>
        <w:rPr>
          <w:rFonts w:ascii="Tw Cen MT" w:cs="Twentieth Century" w:eastAsia="Twentieth Century" w:hAnsi="Tw Cen MT"/>
          <w:sz w:val="24"/>
          <w:szCs w:val="24"/>
          <w:lang w:val="en-AU"/>
        </w:rPr>
        <w:t>pertama</w:t>
      </w:r>
      <w:r>
        <w:rPr>
          <w:rFonts w:ascii="Tw Cen MT" w:cs="Twentieth Century" w:eastAsia="Twentieth Century" w:hAnsi="Tw Cen MT"/>
          <w:sz w:val="24"/>
          <w:szCs w:val="24"/>
          <w:lang w:val="en-AU"/>
        </w:rPr>
        <w:t xml:space="preserve"> dan coccyx </w:t>
      </w:r>
      <w:r>
        <w:rPr>
          <w:rFonts w:ascii="Tw Cen MT" w:cs="Twentieth Century" w:eastAsia="Twentieth Century" w:hAnsi="Tw Cen MT"/>
          <w:sz w:val="24"/>
          <w:szCs w:val="24"/>
          <w:lang w:val="en-AU"/>
        </w:rPr>
        <w:t>kedua</w:t>
      </w:r>
      <w:r>
        <w:rPr>
          <w:rFonts w:ascii="Tw Cen MT" w:cs="Twentieth Century" w:eastAsia="Twentieth Century" w:hAnsi="Tw Cen MT"/>
          <w:sz w:val="24"/>
          <w:szCs w:val="24"/>
          <w:lang w:val="en-AU"/>
        </w:rPr>
        <w:t xml:space="preserve"> </w:t>
      </w:r>
      <w:r>
        <w:rPr>
          <w:rFonts w:ascii="Tw Cen MT" w:cs="Twentieth Century" w:eastAsia="Twentieth Century" w:hAnsi="Tw Cen MT"/>
          <w:sz w:val="24"/>
          <w:szCs w:val="24"/>
          <w:lang w:val="en-AU"/>
        </w:rPr>
        <w:t>dengan</w:t>
      </w:r>
      <w:r>
        <w:rPr>
          <w:rFonts w:ascii="Tw Cen MT" w:cs="Twentieth Century" w:eastAsia="Twentieth Century" w:hAnsi="Tw Cen MT"/>
          <w:sz w:val="24"/>
          <w:szCs w:val="24"/>
          <w:lang w:val="en-AU"/>
        </w:rPr>
        <w:t xml:space="preserve"> ROI (region of interest) </w:t>
      </w:r>
      <w:r>
        <w:rPr>
          <w:rFonts w:ascii="Tw Cen MT" w:cs="Twentieth Century" w:eastAsia="Twentieth Century" w:hAnsi="Tw Cen MT"/>
          <w:sz w:val="24"/>
          <w:szCs w:val="24"/>
          <w:lang w:val="en-AU"/>
        </w:rPr>
        <w:t>berbentuk</w:t>
      </w:r>
      <w:r>
        <w:rPr>
          <w:rFonts w:ascii="Tw Cen MT" w:cs="Twentieth Century" w:eastAsia="Twentieth Century" w:hAnsi="Tw Cen MT"/>
          <w:sz w:val="24"/>
          <w:szCs w:val="24"/>
          <w:lang w:val="en-AU"/>
        </w:rPr>
        <w:t xml:space="preserve"> oval </w:t>
      </w:r>
      <w:r>
        <w:rPr>
          <w:rFonts w:ascii="Tw Cen MT" w:cs="Twentieth Century" w:eastAsia="Twentieth Century" w:hAnsi="Tw Cen MT"/>
          <w:sz w:val="24"/>
          <w:szCs w:val="24"/>
          <w:lang w:val="en-AU"/>
        </w:rPr>
        <w:t>dengan</w:t>
      </w:r>
      <w:r>
        <w:rPr>
          <w:rFonts w:ascii="Tw Cen MT" w:cs="Twentieth Century" w:eastAsia="Twentieth Century" w:hAnsi="Tw Cen MT"/>
          <w:sz w:val="24"/>
          <w:szCs w:val="24"/>
          <w:lang w:val="en-AU"/>
        </w:rPr>
        <w:t xml:space="preserve"> </w:t>
      </w:r>
      <w:r>
        <w:rPr>
          <w:rFonts w:ascii="Tw Cen MT" w:cs="Twentieth Century" w:eastAsia="Twentieth Century" w:hAnsi="Tw Cen MT"/>
          <w:sz w:val="24"/>
          <w:szCs w:val="24"/>
          <w:lang w:val="en-AU"/>
        </w:rPr>
        <w:t>ukuran</w:t>
      </w:r>
      <w:r>
        <w:rPr>
          <w:rFonts w:ascii="Tw Cen MT" w:cs="Twentieth Century" w:eastAsia="Twentieth Century" w:hAnsi="Tw Cen MT"/>
          <w:sz w:val="24"/>
          <w:szCs w:val="24"/>
          <w:lang w:val="en-AU"/>
        </w:rPr>
        <w:t xml:space="preserve"> diameter 8 mm yang </w:t>
      </w:r>
      <w:r>
        <w:rPr>
          <w:rFonts w:ascii="Tw Cen MT" w:cs="Twentieth Century" w:eastAsia="Twentieth Century" w:hAnsi="Tw Cen MT"/>
          <w:sz w:val="24"/>
          <w:szCs w:val="24"/>
          <w:lang w:val="en-AU"/>
        </w:rPr>
        <w:t>ditunjukkan</w:t>
      </w:r>
      <w:r>
        <w:rPr>
          <w:rFonts w:ascii="Tw Cen MT" w:cs="Twentieth Century" w:eastAsia="Twentieth Century" w:hAnsi="Tw Cen MT"/>
          <w:sz w:val="24"/>
          <w:szCs w:val="24"/>
          <w:lang w:val="en-AU"/>
        </w:rPr>
        <w:t xml:space="preserve"> pada </w:t>
      </w:r>
      <w:r>
        <w:rPr>
          <w:rFonts w:ascii="Tw Cen MT" w:cs="Twentieth Century" w:eastAsia="Twentieth Century" w:hAnsi="Tw Cen MT"/>
          <w:sz w:val="24"/>
          <w:szCs w:val="24"/>
          <w:lang w:val="en-AU"/>
        </w:rPr>
        <w:t>gambar</w:t>
      </w:r>
      <w:r>
        <w:rPr>
          <w:rFonts w:ascii="Tw Cen MT" w:cs="Twentieth Century" w:eastAsia="Twentieth Century" w:hAnsi="Tw Cen MT"/>
          <w:sz w:val="24"/>
          <w:szCs w:val="24"/>
          <w:lang w:val="en-AU"/>
        </w:rPr>
        <w:t xml:space="preserve"> 2. </w:t>
      </w:r>
      <w:r>
        <w:rPr>
          <w:rFonts w:ascii="Tw Cen MT" w:cs="Twentieth Century" w:eastAsia="Twentieth Century" w:hAnsi="Tw Cen MT"/>
          <w:sz w:val="24"/>
          <w:szCs w:val="24"/>
          <w:lang w:val="en-AU"/>
        </w:rPr>
        <w:t>Kemudian</w:t>
      </w:r>
      <w:r>
        <w:rPr>
          <w:rFonts w:ascii="Tw Cen MT" w:cs="Twentieth Century" w:eastAsia="Twentieth Century" w:hAnsi="Tw Cen MT"/>
          <w:sz w:val="24"/>
          <w:szCs w:val="24"/>
          <w:lang w:val="en-AU"/>
        </w:rPr>
        <w:t xml:space="preserve"> </w:t>
      </w:r>
      <w:r>
        <w:rPr>
          <w:rFonts w:ascii="Tw Cen MT" w:cs="Twentieth Century" w:eastAsia="Twentieth Century" w:hAnsi="Tw Cen MT"/>
          <w:sz w:val="24"/>
          <w:szCs w:val="24"/>
          <w:lang w:val="en-AU"/>
        </w:rPr>
        <w:t>dianalisis</w:t>
      </w:r>
      <w:r>
        <w:rPr>
          <w:rFonts w:ascii="Tw Cen MT" w:cs="Twentieth Century" w:eastAsia="Twentieth Century" w:hAnsi="Tw Cen MT"/>
          <w:sz w:val="24"/>
          <w:szCs w:val="24"/>
          <w:lang w:val="en-AU"/>
        </w:rPr>
        <w:t xml:space="preserve"> </w:t>
      </w:r>
      <w:r>
        <w:rPr>
          <w:rFonts w:ascii="Tw Cen MT" w:cs="Twentieth Century" w:eastAsia="Twentieth Century" w:hAnsi="Tw Cen MT"/>
          <w:sz w:val="24"/>
          <w:szCs w:val="24"/>
          <w:lang w:val="en-AU"/>
        </w:rPr>
        <w:t>dengan</w:t>
      </w:r>
      <w:r>
        <w:rPr>
          <w:rFonts w:ascii="Tw Cen MT" w:cs="Twentieth Century" w:eastAsia="Twentieth Century" w:hAnsi="Tw Cen MT"/>
          <w:sz w:val="24"/>
          <w:szCs w:val="24"/>
          <w:lang w:val="en-AU"/>
        </w:rPr>
        <w:t xml:space="preserve"> </w:t>
      </w:r>
      <w:r>
        <w:rPr>
          <w:rFonts w:ascii="Tw Cen MT" w:cs="Twentieth Century" w:eastAsia="Twentieth Century" w:hAnsi="Tw Cen MT"/>
          <w:sz w:val="24"/>
          <w:szCs w:val="24"/>
          <w:lang w:val="en-AU"/>
        </w:rPr>
        <w:t>menghitung</w:t>
      </w:r>
      <w:r>
        <w:rPr>
          <w:rFonts w:ascii="Tw Cen MT" w:cs="Twentieth Century" w:eastAsia="Twentieth Century" w:hAnsi="Tw Cen MT"/>
          <w:sz w:val="24"/>
          <w:szCs w:val="24"/>
          <w:lang w:val="en-AU"/>
        </w:rPr>
        <w:t xml:space="preserve"> </w:t>
      </w:r>
      <w:r>
        <w:rPr>
          <w:rFonts w:ascii="Tw Cen MT" w:cs="Twentieth Century" w:eastAsia="Twentieth Century" w:hAnsi="Tw Cen MT"/>
          <w:sz w:val="24"/>
          <w:szCs w:val="24"/>
          <w:lang w:val="en-AU"/>
        </w:rPr>
        <w:t>perbedaan</w:t>
      </w:r>
      <w:r>
        <w:rPr>
          <w:rFonts w:ascii="Tw Cen MT" w:cs="Twentieth Century" w:eastAsia="Twentieth Century" w:hAnsi="Tw Cen MT"/>
          <w:sz w:val="24"/>
          <w:szCs w:val="24"/>
          <w:lang w:val="en-AU"/>
        </w:rPr>
        <w:t xml:space="preserve"> </w:t>
      </w:r>
      <w:r>
        <w:rPr>
          <w:rFonts w:ascii="Tw Cen MT" w:cs="Twentieth Century" w:eastAsia="Twentieth Century" w:hAnsi="Tw Cen MT"/>
          <w:sz w:val="24"/>
          <w:szCs w:val="24"/>
          <w:lang w:val="en-AU"/>
        </w:rPr>
        <w:t>hasil</w:t>
      </w:r>
      <w:r>
        <w:rPr>
          <w:rFonts w:ascii="Tw Cen MT" w:cs="Twentieth Century" w:eastAsia="Twentieth Century" w:hAnsi="Tw Cen MT"/>
          <w:sz w:val="24"/>
          <w:szCs w:val="24"/>
          <w:lang w:val="en-AU"/>
        </w:rPr>
        <w:t xml:space="preserve"> rata – rata </w:t>
      </w:r>
      <w:r>
        <w:rPr>
          <w:rFonts w:ascii="Tw Cen MT" w:cs="Twentieth Century" w:eastAsia="Twentieth Century" w:hAnsi="Tw Cen MT"/>
          <w:sz w:val="24"/>
          <w:szCs w:val="24"/>
          <w:lang w:val="en-AU"/>
        </w:rPr>
        <w:t>nilai</w:t>
      </w:r>
      <w:r>
        <w:rPr>
          <w:rFonts w:ascii="Tw Cen MT" w:cs="Twentieth Century" w:eastAsia="Twentieth Century" w:hAnsi="Tw Cen MT"/>
          <w:sz w:val="24"/>
          <w:szCs w:val="24"/>
          <w:lang w:val="en-AU"/>
        </w:rPr>
        <w:t xml:space="preserve"> pixel value </w:t>
      </w:r>
      <w:r>
        <w:rPr>
          <w:rFonts w:ascii="Tw Cen MT" w:cs="Twentieth Century" w:eastAsia="Twentieth Century" w:hAnsi="Tw Cen MT"/>
          <w:sz w:val="24"/>
          <w:szCs w:val="24"/>
          <w:lang w:val="en-AU"/>
        </w:rPr>
        <w:t>antara</w:t>
      </w:r>
      <w:r>
        <w:rPr>
          <w:rFonts w:ascii="Tw Cen MT" w:cs="Twentieth Century" w:eastAsia="Twentieth Century" w:hAnsi="Tw Cen MT"/>
          <w:sz w:val="24"/>
          <w:szCs w:val="24"/>
          <w:lang w:val="en-AU"/>
        </w:rPr>
        <w:t xml:space="preserve"> </w:t>
      </w:r>
      <w:r>
        <w:rPr>
          <w:rFonts w:ascii="Tw Cen MT" w:cs="Twentieth Century" w:eastAsia="Twentieth Century" w:hAnsi="Tw Cen MT"/>
          <w:sz w:val="24"/>
          <w:szCs w:val="24"/>
          <w:lang w:val="en-AU"/>
        </w:rPr>
        <w:t>penggunaan</w:t>
      </w:r>
      <w:r>
        <w:rPr>
          <w:rFonts w:ascii="Tw Cen MT" w:cs="Twentieth Century" w:eastAsia="Twentieth Century" w:hAnsi="Tw Cen MT"/>
          <w:sz w:val="24"/>
          <w:szCs w:val="24"/>
          <w:lang w:val="en-AU"/>
        </w:rPr>
        <w:t xml:space="preserve"> </w:t>
      </w:r>
      <w:r>
        <w:rPr>
          <w:rFonts w:ascii="Tw Cen MT" w:cs="Twentieth Century" w:eastAsia="Twentieth Century" w:hAnsi="Tw Cen MT"/>
          <w:sz w:val="24"/>
          <w:szCs w:val="24"/>
          <w:lang w:val="en-AU"/>
        </w:rPr>
        <w:t>variasi</w:t>
      </w:r>
      <w:r>
        <w:rPr>
          <w:rFonts w:ascii="Tw Cen MT" w:cs="Twentieth Century" w:eastAsia="Twentieth Century" w:hAnsi="Tw Cen MT"/>
          <w:sz w:val="24"/>
          <w:szCs w:val="24"/>
          <w:lang w:val="en-AU"/>
        </w:rPr>
        <w:t xml:space="preserve"> </w:t>
      </w:r>
      <w:r>
        <w:rPr>
          <w:rFonts w:ascii="Tw Cen MT" w:cs="Twentieth Century" w:eastAsia="Twentieth Century" w:hAnsi="Tw Cen MT"/>
          <w:sz w:val="24"/>
          <w:szCs w:val="24"/>
          <w:lang w:val="en-AU"/>
        </w:rPr>
        <w:t>rasio</w:t>
      </w:r>
      <w:r>
        <w:rPr>
          <w:rFonts w:ascii="Tw Cen MT" w:cs="Twentieth Century" w:eastAsia="Twentieth Century" w:hAnsi="Tw Cen MT"/>
          <w:sz w:val="24"/>
          <w:szCs w:val="24"/>
          <w:lang w:val="en-AU"/>
        </w:rPr>
        <w:t xml:space="preserve"> virtual grid 8:1, 10:1 dan 12:1 </w:t>
      </w:r>
      <w:r>
        <w:rPr>
          <w:rFonts w:ascii="Tw Cen MT" w:cs="Twentieth Century" w:eastAsia="Twentieth Century" w:hAnsi="Tw Cen MT"/>
          <w:sz w:val="24"/>
          <w:szCs w:val="24"/>
          <w:lang w:val="en-AU"/>
        </w:rPr>
        <w:t>serta</w:t>
      </w:r>
      <w:r>
        <w:rPr>
          <w:rFonts w:ascii="Tw Cen MT" w:cs="Twentieth Century" w:eastAsia="Twentieth Century" w:hAnsi="Tw Cen MT"/>
          <w:sz w:val="24"/>
          <w:szCs w:val="24"/>
          <w:lang w:val="en-AU"/>
        </w:rPr>
        <w:t xml:space="preserve"> </w:t>
      </w:r>
      <w:r>
        <w:rPr>
          <w:rFonts w:ascii="Tw Cen MT" w:cs="Twentieth Century" w:eastAsia="Twentieth Century" w:hAnsi="Tw Cen MT"/>
          <w:sz w:val="24"/>
          <w:szCs w:val="24"/>
          <w:lang w:val="en-AU"/>
        </w:rPr>
        <w:t>untuk</w:t>
      </w:r>
      <w:r>
        <w:rPr>
          <w:rFonts w:ascii="Tw Cen MT" w:cs="Twentieth Century" w:eastAsia="Twentieth Century" w:hAnsi="Tw Cen MT"/>
          <w:sz w:val="24"/>
          <w:szCs w:val="24"/>
          <w:lang w:val="en-AU"/>
        </w:rPr>
        <w:t xml:space="preserve"> </w:t>
      </w:r>
      <w:r>
        <w:rPr>
          <w:rFonts w:ascii="Tw Cen MT" w:cs="Twentieth Century" w:eastAsia="Twentieth Century" w:hAnsi="Tw Cen MT"/>
          <w:sz w:val="24"/>
          <w:szCs w:val="24"/>
          <w:lang w:val="en-AU"/>
        </w:rPr>
        <w:t>mengetahui</w:t>
      </w:r>
      <w:r>
        <w:rPr>
          <w:rFonts w:ascii="Tw Cen MT" w:cs="Twentieth Century" w:eastAsia="Twentieth Century" w:hAnsi="Tw Cen MT"/>
          <w:sz w:val="24"/>
          <w:szCs w:val="24"/>
          <w:lang w:val="en-AU"/>
        </w:rPr>
        <w:t xml:space="preserve"> </w:t>
      </w:r>
      <w:r>
        <w:rPr>
          <w:rFonts w:ascii="Tw Cen MT" w:cs="Twentieth Century" w:eastAsia="Twentieth Century" w:hAnsi="Tw Cen MT"/>
          <w:sz w:val="24"/>
          <w:szCs w:val="24"/>
          <w:lang w:val="en-AU"/>
        </w:rPr>
        <w:t>secara</w:t>
      </w:r>
      <w:r>
        <w:rPr>
          <w:rFonts w:ascii="Tw Cen MT" w:cs="Twentieth Century" w:eastAsia="Twentieth Century" w:hAnsi="Tw Cen MT"/>
          <w:sz w:val="24"/>
          <w:szCs w:val="24"/>
          <w:lang w:val="en-AU"/>
        </w:rPr>
        <w:t xml:space="preserve"> </w:t>
      </w:r>
      <w:r>
        <w:rPr>
          <w:rFonts w:ascii="Tw Cen MT" w:cs="Twentieth Century" w:eastAsia="Twentieth Century" w:hAnsi="Tw Cen MT"/>
          <w:sz w:val="24"/>
          <w:szCs w:val="24"/>
          <w:lang w:val="en-AU"/>
        </w:rPr>
        <w:t>statistik</w:t>
      </w:r>
      <w:r>
        <w:rPr>
          <w:rFonts w:ascii="Tw Cen MT" w:cs="Twentieth Century" w:eastAsia="Twentieth Century" w:hAnsi="Tw Cen MT"/>
          <w:sz w:val="24"/>
          <w:szCs w:val="24"/>
          <w:lang w:val="en-AU"/>
        </w:rPr>
        <w:t xml:space="preserve"> </w:t>
      </w:r>
      <w:r>
        <w:rPr>
          <w:rFonts w:ascii="Tw Cen MT" w:cs="Twentieth Century" w:eastAsia="Twentieth Century" w:hAnsi="Tw Cen MT"/>
          <w:sz w:val="24"/>
          <w:szCs w:val="24"/>
          <w:lang w:val="en-AU"/>
        </w:rPr>
        <w:t>adanya</w:t>
      </w:r>
      <w:r>
        <w:rPr>
          <w:rFonts w:ascii="Tw Cen MT" w:cs="Twentieth Century" w:eastAsia="Twentieth Century" w:hAnsi="Tw Cen MT"/>
          <w:sz w:val="24"/>
          <w:szCs w:val="24"/>
          <w:lang w:val="en-AU"/>
        </w:rPr>
        <w:t xml:space="preserve"> </w:t>
      </w:r>
      <w:r>
        <w:rPr>
          <w:rFonts w:ascii="Tw Cen MT" w:cs="Twentieth Century" w:eastAsia="Twentieth Century" w:hAnsi="Tw Cen MT"/>
          <w:sz w:val="24"/>
          <w:szCs w:val="24"/>
          <w:lang w:val="en-AU"/>
        </w:rPr>
        <w:t>perbedaan</w:t>
      </w:r>
      <w:r>
        <w:rPr>
          <w:rFonts w:ascii="Tw Cen MT" w:cs="Twentieth Century" w:eastAsia="Twentieth Century" w:hAnsi="Tw Cen MT"/>
          <w:sz w:val="24"/>
          <w:szCs w:val="24"/>
          <w:lang w:val="en-AU"/>
        </w:rPr>
        <w:t xml:space="preserve"> </w:t>
      </w:r>
      <w:r>
        <w:rPr>
          <w:rFonts w:ascii="Tw Cen MT" w:cs="Twentieth Century" w:eastAsia="Twentieth Century" w:hAnsi="Tw Cen MT"/>
          <w:sz w:val="24"/>
          <w:szCs w:val="24"/>
          <w:lang w:val="en-AU"/>
        </w:rPr>
        <w:t>dengan</w:t>
      </w:r>
      <w:r>
        <w:rPr>
          <w:rFonts w:ascii="Tw Cen MT" w:cs="Twentieth Century" w:eastAsia="Twentieth Century" w:hAnsi="Tw Cen MT"/>
          <w:sz w:val="24"/>
          <w:szCs w:val="24"/>
          <w:lang w:val="en-AU"/>
        </w:rPr>
        <w:t xml:space="preserve"> </w:t>
      </w:r>
      <w:r>
        <w:rPr>
          <w:rFonts w:ascii="Tw Cen MT" w:cs="Twentieth Century" w:eastAsia="Twentieth Century" w:hAnsi="Tw Cen MT"/>
          <w:sz w:val="24"/>
          <w:szCs w:val="24"/>
          <w:lang w:val="en-AU"/>
        </w:rPr>
        <w:t>membandingkan</w:t>
      </w:r>
      <w:r>
        <w:rPr>
          <w:rFonts w:ascii="Tw Cen MT" w:cs="Twentieth Century" w:eastAsia="Twentieth Century" w:hAnsi="Tw Cen MT"/>
          <w:sz w:val="24"/>
          <w:szCs w:val="24"/>
          <w:lang w:val="en-AU"/>
        </w:rPr>
        <w:t xml:space="preserve"> </w:t>
      </w:r>
      <w:r>
        <w:rPr>
          <w:rFonts w:ascii="Tw Cen MT" w:cs="Twentieth Century" w:eastAsia="Twentieth Century" w:hAnsi="Tw Cen MT"/>
          <w:sz w:val="24"/>
          <w:szCs w:val="24"/>
          <w:lang w:val="en-AU"/>
        </w:rPr>
        <w:t>nilai</w:t>
      </w:r>
      <w:r>
        <w:rPr>
          <w:rFonts w:ascii="Tw Cen MT" w:cs="Twentieth Century" w:eastAsia="Twentieth Century" w:hAnsi="Tw Cen MT"/>
          <w:sz w:val="24"/>
          <w:szCs w:val="24"/>
          <w:lang w:val="en-AU"/>
        </w:rPr>
        <w:t xml:space="preserve"> rata-rata pixel value pada </w:t>
      </w:r>
      <w:r>
        <w:rPr>
          <w:rFonts w:ascii="Tw Cen MT" w:cs="Twentieth Century" w:eastAsia="Twentieth Century" w:hAnsi="Tw Cen MT"/>
          <w:sz w:val="24"/>
          <w:szCs w:val="24"/>
          <w:lang w:val="en-AU"/>
        </w:rPr>
        <w:t>variasi</w:t>
      </w:r>
      <w:r>
        <w:rPr>
          <w:rFonts w:ascii="Tw Cen MT" w:cs="Twentieth Century" w:eastAsia="Twentieth Century" w:hAnsi="Tw Cen MT"/>
          <w:sz w:val="24"/>
          <w:szCs w:val="24"/>
          <w:lang w:val="en-AU"/>
        </w:rPr>
        <w:t xml:space="preserve"> </w:t>
      </w:r>
      <w:r>
        <w:rPr>
          <w:rFonts w:ascii="Tw Cen MT" w:cs="Twentieth Century" w:eastAsia="Twentieth Century" w:hAnsi="Tw Cen MT"/>
          <w:sz w:val="24"/>
          <w:szCs w:val="24"/>
          <w:lang w:val="en-AU"/>
        </w:rPr>
        <w:t>rasio</w:t>
      </w:r>
      <w:r>
        <w:rPr>
          <w:rFonts w:ascii="Tw Cen MT" w:cs="Twentieth Century" w:eastAsia="Twentieth Century" w:hAnsi="Tw Cen MT"/>
          <w:sz w:val="24"/>
          <w:szCs w:val="24"/>
          <w:lang w:val="en-AU"/>
        </w:rPr>
        <w:t xml:space="preserve"> virtual grid </w:t>
      </w:r>
      <w:r>
        <w:rPr>
          <w:rFonts w:ascii="Tw Cen MT" w:cs="Twentieth Century" w:eastAsia="Twentieth Century" w:hAnsi="Tw Cen MT"/>
          <w:sz w:val="24"/>
          <w:szCs w:val="24"/>
          <w:lang w:val="en-AU"/>
        </w:rPr>
        <w:t>menggunakan</w:t>
      </w:r>
      <w:r>
        <w:rPr>
          <w:rFonts w:ascii="Tw Cen MT" w:cs="Twentieth Century" w:eastAsia="Twentieth Century" w:hAnsi="Tw Cen MT"/>
          <w:sz w:val="24"/>
          <w:szCs w:val="24"/>
          <w:lang w:val="en-AU"/>
        </w:rPr>
        <w:t xml:space="preserve"> uji One-Way ANOVA </w:t>
      </w:r>
      <w:r>
        <w:rPr>
          <w:rFonts w:ascii="Tw Cen MT" w:cs="Twentieth Century" w:eastAsia="Twentieth Century" w:hAnsi="Tw Cen MT"/>
          <w:sz w:val="24"/>
          <w:szCs w:val="24"/>
          <w:lang w:val="en-AU"/>
        </w:rPr>
        <w:t>dengan</w:t>
      </w:r>
      <w:r>
        <w:rPr>
          <w:rFonts w:ascii="Tw Cen MT" w:cs="Twentieth Century" w:eastAsia="Twentieth Century" w:hAnsi="Tw Cen MT"/>
          <w:sz w:val="24"/>
          <w:szCs w:val="24"/>
          <w:lang w:val="en-AU"/>
        </w:rPr>
        <w:t xml:space="preserve"> </w:t>
      </w:r>
      <w:r>
        <w:rPr>
          <w:rFonts w:ascii="Tw Cen MT" w:cs="Twentieth Century" w:eastAsia="Twentieth Century" w:hAnsi="Tw Cen MT"/>
          <w:sz w:val="24"/>
          <w:szCs w:val="24"/>
          <w:lang w:val="en-AU"/>
        </w:rPr>
        <w:t>nilai</w:t>
      </w:r>
      <w:r>
        <w:rPr>
          <w:rFonts w:ascii="Tw Cen MT" w:cs="Twentieth Century" w:eastAsia="Twentieth Century" w:hAnsi="Tw Cen MT"/>
          <w:sz w:val="24"/>
          <w:szCs w:val="24"/>
          <w:lang w:val="en-AU"/>
        </w:rPr>
        <w:t xml:space="preserve"> p-value 0,05</w:t>
      </w:r>
      <w:r>
        <w:rPr>
          <w:rFonts w:ascii="Tw Cen MT" w:cs="Twentieth Century" w:eastAsia="Twentieth Century" w:hAnsi="Tw Cen MT"/>
          <w:sz w:val="24"/>
          <w:szCs w:val="24"/>
          <w:lang w:val="en-AU"/>
        </w:rPr>
        <w:t>.</w:t>
      </w:r>
    </w:p>
    <w:p>
      <w:pPr>
        <w:pStyle w:val="style0"/>
        <w:tabs>
          <w:tab w:val="left" w:leader="none" w:pos="426"/>
        </w:tabs>
        <w:spacing w:after="0"/>
        <w:jc w:val="center"/>
        <w:rPr>
          <w:rFonts w:ascii="Tw Cen MT" w:cs="Twentieth Century" w:eastAsia="Twentieth Century" w:hAnsi="Tw Cen MT"/>
          <w:sz w:val="24"/>
          <w:szCs w:val="24"/>
          <w:lang w:val="en-AU"/>
        </w:rPr>
      </w:pPr>
      <w:r>
        <w:rPr>
          <w:noProof/>
        </w:rPr>
        <w:drawing>
          <wp:inline distL="0" distT="0" distB="0" distR="0">
            <wp:extent cx="1440000" cy="1440000"/>
            <wp:effectExtent l="0" t="0" r="8255" b="8255"/>
            <wp:docPr id="1031"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6"/>
                    <pic:cNvPicPr/>
                  </pic:nvPicPr>
                  <pic:blipFill>
                    <a:blip r:embed="rId11" cstate="print"/>
                    <a:srcRect l="30723" t="16552" r="49422" b="48133"/>
                    <a:stretch/>
                  </pic:blipFill>
                  <pic:spPr>
                    <a:xfrm rot="0">
                      <a:off x="0" y="0"/>
                      <a:ext cx="1440000" cy="1440000"/>
                    </a:xfrm>
                    <a:prstGeom prst="rect"/>
                    <a:ln>
                      <a:noFill/>
                    </a:ln>
                  </pic:spPr>
                </pic:pic>
              </a:graphicData>
            </a:graphic>
          </wp:inline>
        </w:drawing>
      </w:r>
    </w:p>
    <w:p>
      <w:pPr>
        <w:pStyle w:val="style0"/>
        <w:tabs>
          <w:tab w:val="left" w:leader="none" w:pos="426"/>
        </w:tabs>
        <w:spacing w:after="0"/>
        <w:jc w:val="center"/>
        <w:rPr>
          <w:rFonts w:ascii="Tw Cen MT" w:cs="Twentieth Century" w:eastAsia="Twentieth Century" w:hAnsi="Tw Cen MT"/>
          <w:sz w:val="20"/>
          <w:szCs w:val="20"/>
          <w:lang w:val="id-ID"/>
        </w:rPr>
      </w:pPr>
      <w:r>
        <w:rPr>
          <w:rFonts w:ascii="Tw Cen MT" w:cs="Twentieth Century" w:eastAsia="Twentieth Century" w:hAnsi="Tw Cen MT"/>
          <w:sz w:val="20"/>
          <w:szCs w:val="20"/>
          <w:lang w:val="id-ID"/>
        </w:rPr>
        <w:t>Gambar 2. Pengukuran Pixel Value Pada Citra OS Sacrum proyeksi Lateral</w:t>
      </w:r>
    </w:p>
    <w:p>
      <w:pPr>
        <w:pStyle w:val="style0"/>
        <w:tabs>
          <w:tab w:val="left" w:leader="none" w:pos="426"/>
        </w:tabs>
        <w:spacing w:after="0"/>
        <w:jc w:val="center"/>
        <w:rPr>
          <w:rFonts w:ascii="Tw Cen MT" w:cs="Twentieth Century" w:eastAsia="Twentieth Century" w:hAnsi="Tw Cen MT"/>
          <w:sz w:val="20"/>
          <w:szCs w:val="20"/>
          <w:lang w:val="id-ID"/>
        </w:rPr>
      </w:pPr>
    </w:p>
    <w:p>
      <w:pPr>
        <w:pStyle w:val="style0"/>
        <w:tabs>
          <w:tab w:val="left" w:leader="none" w:pos="426"/>
        </w:tabs>
        <w:spacing w:after="0"/>
        <w:jc w:val="both"/>
        <w:rPr>
          <w:rFonts w:ascii="Tw Cen MT" w:cs="Twentieth Century" w:eastAsia="Twentieth Century" w:hAnsi="Tw Cen MT"/>
          <w:b/>
          <w:sz w:val="24"/>
          <w:szCs w:val="24"/>
        </w:rPr>
      </w:pPr>
      <w:r>
        <w:rPr>
          <w:rFonts w:ascii="Tw Cen MT" w:cs="Twentieth Century" w:eastAsia="Twentieth Century" w:hAnsi="Tw Cen MT"/>
          <w:b/>
          <w:sz w:val="24"/>
          <w:szCs w:val="24"/>
        </w:rPr>
        <w:t xml:space="preserve">HASIL DAN </w:t>
      </w:r>
      <w:commentRangeStart w:id="3"/>
      <w:r>
        <w:rPr>
          <w:rFonts w:ascii="Tw Cen MT" w:cs="Twentieth Century" w:eastAsia="Twentieth Century" w:hAnsi="Tw Cen MT"/>
          <w:b/>
          <w:sz w:val="24"/>
          <w:szCs w:val="24"/>
        </w:rPr>
        <w:t>PEMBAHASAN</w:t>
      </w:r>
      <w:commentRangeEnd w:id="3"/>
      <w:r>
        <w:rPr/>
        <w:commentReference w:id="3"/>
      </w:r>
    </w:p>
    <w:p>
      <w:pPr>
        <w:pStyle w:val="style0"/>
        <w:tabs>
          <w:tab w:val="left" w:leader="none" w:pos="426"/>
        </w:tabs>
        <w:spacing w:after="0" w:lineRule="auto" w:line="240"/>
        <w:jc w:val="both"/>
        <w:rPr>
          <w:rFonts w:ascii="Tw Cen MT" w:cs="Twentieth Century" w:eastAsia="Twentieth Century" w:hAnsi="Tw Cen MT"/>
          <w:sz w:val="24"/>
          <w:szCs w:val="24"/>
        </w:rPr>
      </w:pPr>
      <w:r>
        <w:rPr>
          <w:rFonts w:ascii="Tw Cen MT" w:cs="Twentieth Century" w:eastAsia="Twentieth Century" w:hAnsi="Tw Cen MT"/>
          <w:sz w:val="24"/>
          <w:szCs w:val="24"/>
        </w:rPr>
        <w:t xml:space="preserve">Pada </w:t>
      </w:r>
      <w:r>
        <w:rPr>
          <w:rFonts w:ascii="Tw Cen MT" w:cs="Twentieth Century" w:eastAsia="Twentieth Century" w:hAnsi="Tw Cen MT"/>
          <w:sz w:val="24"/>
          <w:szCs w:val="24"/>
        </w:rPr>
        <w:t>penelitian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ini</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dilakukan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pengujian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kesesuaian</w:t>
      </w:r>
      <w:r>
        <w:rPr>
          <w:rFonts w:ascii="Tw Cen MT" w:cs="Twentieth Century" w:eastAsia="Twentieth Century" w:hAnsi="Tw Cen MT"/>
          <w:sz w:val="24"/>
          <w:szCs w:val="24"/>
        </w:rPr>
        <w:t xml:space="preserve"> pada </w:t>
      </w:r>
      <w:r>
        <w:rPr>
          <w:rFonts w:ascii="Tw Cen MT" w:cs="Twentieth Century" w:eastAsia="Twentieth Century" w:hAnsi="Tw Cen MT"/>
          <w:sz w:val="24"/>
          <w:szCs w:val="24"/>
        </w:rPr>
        <w:t>peralatan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pesawat</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sinar</w:t>
      </w:r>
      <w:r>
        <w:rPr>
          <w:rFonts w:ascii="Tw Cen MT" w:cs="Twentieth Century" w:eastAsia="Twentieth Century" w:hAnsi="Tw Cen MT"/>
          <w:sz w:val="24"/>
          <w:szCs w:val="24"/>
        </w:rPr>
        <w:t xml:space="preserve">-X dan </w:t>
      </w:r>
      <w:r>
        <w:rPr>
          <w:rFonts w:ascii="Tw Cen MT" w:cs="Twentieth Century" w:eastAsia="Twentieth Century" w:hAnsi="Tw Cen MT"/>
          <w:sz w:val="24"/>
          <w:szCs w:val="24"/>
        </w:rPr>
        <w:t>detektor</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untuk</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memastikan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keandalan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peralatan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berdasarkan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rekomendasi</w:t>
      </w:r>
      <w:r>
        <w:rPr>
          <w:rFonts w:ascii="Tw Cen MT" w:cs="Twentieth Century" w:eastAsia="Twentieth Century" w:hAnsi="Tw Cen MT"/>
          <w:sz w:val="24"/>
          <w:szCs w:val="24"/>
        </w:rPr>
        <w:t xml:space="preserve"> BAPETEN dan AAPM TG 150, </w:t>
      </w:r>
      <w:r>
        <w:rPr>
          <w:rFonts w:ascii="Tw Cen MT" w:cs="Twentieth Century" w:eastAsia="Twentieth Century" w:hAnsi="Tw Cen MT"/>
          <w:sz w:val="24"/>
          <w:szCs w:val="24"/>
        </w:rPr>
        <w:t>dengan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hasil</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pengujian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menunjukkan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setiap</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peralatan</w:t>
      </w:r>
      <w:r>
        <w:rPr>
          <w:rFonts w:ascii="Tw Cen MT" w:cs="Twentieth Century" w:eastAsia="Twentieth Century" w:hAnsi="Tw Cen MT"/>
          <w:sz w:val="24"/>
          <w:szCs w:val="24"/>
        </w:rPr>
        <w:t xml:space="preserve"> yang </w:t>
      </w:r>
      <w:r>
        <w:rPr>
          <w:rFonts w:ascii="Tw Cen MT" w:cs="Twentieth Century" w:eastAsia="Twentieth Century" w:hAnsi="Tw Cen MT"/>
          <w:sz w:val="24"/>
          <w:szCs w:val="24"/>
        </w:rPr>
        <w:t>digunakan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dalam</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penelitian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ini</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peralatan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dalam</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kondisi</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andal</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fldChar w:fldCharType="begin"/>
      </w:r>
      <w:r>
        <w:rPr>
          <w:rFonts w:ascii="Tw Cen MT" w:cs="Twentieth Century" w:eastAsia="Twentieth Century" w:hAnsi="Tw Cen MT"/>
          <w:sz w:val="24"/>
          <w:szCs w:val="24"/>
        </w:rPr>
        <w:instrText>ADDIN CSL_CITATION {"citationItems":[{"id":"ITEM-1","itemData":{"abstract":"Peraturan Badan ini mengatur tentang kewajiban uji kesesuaian, lembaga uji kesesuaian, tata laksana penunjukan lembaga uji kesesuaian, survailen, pelatihan uji kesesuaian, rekaman dan laporan, dan sanksi administrastif","author":[{"dropping-particle":"","family":"BAPETEN REPUBLIK INDONESIA","given":"","non-dropping-particle":"","parse-names":false,"suffix":""}],"container-title":"Bapeten Republik Indonesia","id":"ITEM-1","issued":{"date-parts":[["2018"]]},"page":"1-73","title":"Peraturan Badan Pengawas Tenaga Nuklir Republik Indonesia Nomor 2 Tahun 2Oi8\nTentang Uji Kesesuaian Pesawat Sinar-X Radiologi Diagnostik Dan in Tervensional","type":"article-journal"},"uris":["http://www.mendeley.com/documents/?uuid=14607e1d-7a68-42db-b550-4605ca699ba0"]},{"id":"ITEM-2","itemData":{"ISBN":"9781936366200","author":[{"dropping-particle":"","family":"Report","given":"The","non-dropping-particle":"","parse-names":false,"suffix":""},{"dropping-particle":"","family":"Group","given":"Aapm Task","non-dropping-particle":"","parse-names":false,"suffix":""}],"id":"ITEM-2","issue":"150","issued":{"date-parts":[["2024"]]},"title":"Acceptance Testing and Quality Control of Digital Radiographic Imaging Systems The Report of AAPM Task Group 150","type":"book"},"uris":["http://www.mendeley.com/documents/?uuid=9bddea38-969a-4250-bfda-a80e53630569"]}],"mendeley":{"formattedCitation":"[6], [7]","plainTextFormattedCitation":"[6], [7]","previouslyFormattedCitation":"[6], [7]"},"properties":{"noteIndex":0},"schema":"https://github.com/citation-style-language/schema/raw/master/csl-citation.json"}</w:instrText>
      </w:r>
      <w:r>
        <w:rPr>
          <w:rFonts w:ascii="Tw Cen MT" w:cs="Twentieth Century" w:eastAsia="Twentieth Century" w:hAnsi="Tw Cen MT"/>
          <w:sz w:val="24"/>
          <w:szCs w:val="24"/>
        </w:rPr>
        <w:fldChar w:fldCharType="separate"/>
      </w:r>
      <w:r>
        <w:rPr>
          <w:rFonts w:ascii="Tw Cen MT" w:cs="Twentieth Century" w:eastAsia="Twentieth Century" w:hAnsi="Tw Cen MT"/>
          <w:noProof/>
          <w:sz w:val="24"/>
          <w:szCs w:val="24"/>
        </w:rPr>
        <w:t>[6], [7]</w:t>
      </w:r>
      <w:r>
        <w:rPr>
          <w:rFonts w:ascii="Tw Cen MT" w:cs="Twentieth Century" w:eastAsia="Twentieth Century" w:hAnsi="Tw Cen MT"/>
          <w:sz w:val="24"/>
          <w:szCs w:val="24"/>
        </w:rPr>
        <w:fldChar w:fldCharType="end"/>
      </w:r>
      <w:r>
        <w:rPr>
          <w:rFonts w:ascii="Tw Cen MT" w:cs="Twentieth Century" w:eastAsia="Twentieth Century" w:hAnsi="Tw Cen MT"/>
          <w:sz w:val="24"/>
          <w:szCs w:val="24"/>
        </w:rPr>
        <w:t xml:space="preserve">. </w:t>
      </w:r>
    </w:p>
    <w:p>
      <w:pPr>
        <w:pStyle w:val="style0"/>
        <w:tabs>
          <w:tab w:val="left" w:leader="none" w:pos="426"/>
        </w:tabs>
        <w:spacing w:after="0" w:lineRule="auto" w:line="240"/>
        <w:jc w:val="both"/>
        <w:rPr>
          <w:rFonts w:ascii="Tw Cen MT" w:cs="Twentieth Century" w:eastAsia="Twentieth Century" w:hAnsi="Tw Cen MT"/>
          <w:sz w:val="24"/>
          <w:szCs w:val="24"/>
        </w:rPr>
      </w:pPr>
      <w:r>
        <w:rPr>
          <w:noProof/>
          <w:sz w:val="20"/>
          <w:szCs w:val="20"/>
          <w:lang w:val="sv-SE"/>
        </w:rPr>
        <w:drawing>
          <wp:inline distL="0" distT="0" distB="0" distR="0">
            <wp:extent cx="2695021" cy="1620000"/>
            <wp:effectExtent l="0" t="0" r="0" b="0"/>
            <wp:docPr id="1032"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2"/>
                    <pic:cNvPicPr/>
                  </pic:nvPicPr>
                  <pic:blipFill>
                    <a:blip r:embed="rId12" cstate="print"/>
                    <a:srcRect l="0" t="0" r="0" b="0"/>
                    <a:stretch/>
                  </pic:blipFill>
                  <pic:spPr>
                    <a:xfrm rot="0">
                      <a:off x="0" y="0"/>
                      <a:ext cx="2695021" cy="1620000"/>
                    </a:xfrm>
                    <a:prstGeom prst="rect"/>
                  </pic:spPr>
                </pic:pic>
              </a:graphicData>
            </a:graphic>
          </wp:inline>
        </w:drawing>
      </w:r>
    </w:p>
    <w:p>
      <w:pPr>
        <w:pStyle w:val="style0"/>
        <w:tabs>
          <w:tab w:val="left" w:leader="none" w:pos="426"/>
        </w:tabs>
        <w:spacing w:after="0"/>
        <w:jc w:val="center"/>
        <w:rPr>
          <w:rFonts w:ascii="Tw Cen MT" w:cs="Twentieth Century" w:eastAsia="Twentieth Century" w:hAnsi="Tw Cen MT"/>
          <w:sz w:val="20"/>
          <w:szCs w:val="20"/>
          <w:lang w:val="sv-SE"/>
        </w:rPr>
      </w:pPr>
      <w:r>
        <w:rPr>
          <w:rFonts w:ascii="Tw Cen MT" w:cs="Twentieth Century" w:eastAsia="Twentieth Century" w:hAnsi="Tw Cen MT"/>
          <w:sz w:val="20"/>
          <w:szCs w:val="20"/>
          <w:lang w:val="sv-SE"/>
        </w:rPr>
        <w:t>Gambar 3. Nilai Pixel Value pada penggunaan Variasi rasio virtual grid</w:t>
      </w:r>
    </w:p>
    <w:p>
      <w:pPr>
        <w:pStyle w:val="style0"/>
        <w:tabs>
          <w:tab w:val="left" w:leader="none" w:pos="426"/>
        </w:tabs>
        <w:spacing w:after="0" w:lineRule="auto" w:line="240"/>
        <w:jc w:val="both"/>
        <w:rPr>
          <w:rFonts w:ascii="Tw Cen MT" w:cs="Twentieth Century" w:eastAsia="Twentieth Century" w:hAnsi="Tw Cen MT"/>
          <w:sz w:val="24"/>
          <w:szCs w:val="24"/>
          <w:lang w:val="sv-SE"/>
        </w:rPr>
      </w:pPr>
    </w:p>
    <w:p>
      <w:pPr>
        <w:pStyle w:val="style0"/>
        <w:tabs>
          <w:tab w:val="left" w:leader="none" w:pos="426"/>
        </w:tabs>
        <w:spacing w:after="0" w:lineRule="auto" w:line="240"/>
        <w:jc w:val="both"/>
        <w:rPr>
          <w:rFonts w:ascii="Tw Cen MT" w:cs="Twentieth Century" w:eastAsia="Twentieth Century" w:hAnsi="Tw Cen MT"/>
          <w:sz w:val="24"/>
          <w:szCs w:val="24"/>
          <w:lang w:val="sv-SE"/>
        </w:rPr>
      </w:pPr>
      <w:r>
        <w:rPr>
          <w:rFonts w:ascii="Tw Cen MT" w:cs="Twentieth Century" w:eastAsia="Twentieth Century" w:hAnsi="Tw Cen MT"/>
          <w:sz w:val="24"/>
          <w:szCs w:val="24"/>
        </w:rPr>
        <w:t>Berdasarkan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hasil</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penelitian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ini</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dapat</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dilihat</w:t>
      </w:r>
      <w:r>
        <w:rPr>
          <w:rFonts w:ascii="Tw Cen MT" w:cs="Twentieth Century" w:eastAsia="Twentieth Century" w:hAnsi="Tw Cen MT"/>
          <w:sz w:val="24"/>
          <w:szCs w:val="24"/>
        </w:rPr>
        <w:t xml:space="preserve"> pada Gambar </w:t>
      </w:r>
      <w:r>
        <w:rPr>
          <w:rFonts w:ascii="Tw Cen MT" w:cs="Twentieth Century" w:eastAsia="Twentieth Century" w:hAnsi="Tw Cen MT"/>
          <w:sz w:val="24"/>
          <w:szCs w:val="24"/>
        </w:rPr>
        <w:t>3,  pada</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penggunaan</w:t>
      </w:r>
      <w:r>
        <w:rPr>
          <w:rFonts w:ascii="Tw Cen MT" w:cs="Twentieth Century" w:eastAsia="Twentieth Century" w:hAnsi="Tw Cen MT"/>
          <w:sz w:val="24"/>
          <w:szCs w:val="24"/>
        </w:rPr>
        <w:t xml:space="preserve"> Virtual </w:t>
      </w:r>
      <w:r>
        <w:rPr>
          <w:rFonts w:ascii="Tw Cen MT" w:cs="Twentieth Century" w:eastAsia="Twentieth Century" w:hAnsi="Tw Cen MT"/>
          <w:sz w:val="24"/>
          <w:szCs w:val="24"/>
        </w:rPr>
        <w:t xml:space="preserve">Grid </w:t>
      </w:r>
      <w:r>
        <w:rPr>
          <w:rFonts w:ascii="Tw Cen MT" w:cs="Twentieth Century" w:eastAsia="Twentieth Century" w:hAnsi="Tw Cen MT"/>
          <w:sz w:val="24"/>
          <w:szCs w:val="24"/>
        </w:rPr>
        <w:t>rasio</w:t>
      </w:r>
      <w:r>
        <w:rPr>
          <w:rFonts w:ascii="Tw Cen MT" w:cs="Twentieth Century" w:eastAsia="Twentieth Century" w:hAnsi="Tw Cen MT"/>
          <w:sz w:val="24"/>
          <w:szCs w:val="24"/>
        </w:rPr>
        <w:t xml:space="preserve"> 8:1 </w:t>
      </w:r>
      <w:r>
        <w:rPr>
          <w:rFonts w:ascii="Tw Cen MT" w:cs="Twentieth Century" w:eastAsia="Twentieth Century" w:hAnsi="Tw Cen MT"/>
          <w:sz w:val="24"/>
          <w:szCs w:val="24"/>
        </w:rPr>
        <w:t>didapatkan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hasil</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rerata</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nilai</w:t>
      </w:r>
      <w:r>
        <w:rPr>
          <w:rFonts w:ascii="Tw Cen MT" w:cs="Twentieth Century" w:eastAsia="Twentieth Century" w:hAnsi="Tw Cen MT"/>
          <w:sz w:val="24"/>
          <w:szCs w:val="24"/>
        </w:rPr>
        <w:t xml:space="preserve"> pixel value 150,94. pada </w:t>
      </w:r>
      <w:r>
        <w:rPr>
          <w:rFonts w:ascii="Tw Cen MT" w:cs="Twentieth Century" w:eastAsia="Twentieth Century" w:hAnsi="Tw Cen MT"/>
          <w:sz w:val="24"/>
          <w:szCs w:val="24"/>
        </w:rPr>
        <w:t>penggunaan</w:t>
      </w:r>
      <w:r>
        <w:rPr>
          <w:rFonts w:ascii="Tw Cen MT" w:cs="Twentieth Century" w:eastAsia="Twentieth Century" w:hAnsi="Tw Cen MT"/>
          <w:sz w:val="24"/>
          <w:szCs w:val="24"/>
        </w:rPr>
        <w:t xml:space="preserve"> Virtual Grid </w:t>
      </w:r>
      <w:r>
        <w:rPr>
          <w:rFonts w:ascii="Tw Cen MT" w:cs="Twentieth Century" w:eastAsia="Twentieth Century" w:hAnsi="Tw Cen MT"/>
          <w:sz w:val="24"/>
          <w:szCs w:val="24"/>
        </w:rPr>
        <w:t>rasio</w:t>
      </w:r>
      <w:r>
        <w:rPr>
          <w:rFonts w:ascii="Tw Cen MT" w:cs="Twentieth Century" w:eastAsia="Twentieth Century" w:hAnsi="Tw Cen MT"/>
          <w:sz w:val="24"/>
          <w:szCs w:val="24"/>
        </w:rPr>
        <w:t xml:space="preserve"> 10:1 </w:t>
      </w:r>
      <w:r>
        <w:rPr>
          <w:rFonts w:ascii="Tw Cen MT" w:cs="Twentieth Century" w:eastAsia="Twentieth Century" w:hAnsi="Tw Cen MT"/>
          <w:sz w:val="24"/>
          <w:szCs w:val="24"/>
        </w:rPr>
        <w:t>didapatkan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hasil</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rerata</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nilai</w:t>
      </w:r>
      <w:r>
        <w:rPr>
          <w:rFonts w:ascii="Tw Cen MT" w:cs="Twentieth Century" w:eastAsia="Twentieth Century" w:hAnsi="Tw Cen MT"/>
          <w:sz w:val="24"/>
          <w:szCs w:val="24"/>
        </w:rPr>
        <w:t xml:space="preserve"> pixel value 150,46. Pada </w:t>
      </w:r>
      <w:r>
        <w:rPr>
          <w:rFonts w:ascii="Tw Cen MT" w:cs="Twentieth Century" w:eastAsia="Twentieth Century" w:hAnsi="Tw Cen MT"/>
          <w:sz w:val="24"/>
          <w:szCs w:val="24"/>
        </w:rPr>
        <w:t>penggunaan</w:t>
      </w:r>
      <w:r>
        <w:rPr>
          <w:rFonts w:ascii="Tw Cen MT" w:cs="Twentieth Century" w:eastAsia="Twentieth Century" w:hAnsi="Tw Cen MT"/>
          <w:sz w:val="24"/>
          <w:szCs w:val="24"/>
        </w:rPr>
        <w:t xml:space="preserve"> Virtual Grid </w:t>
      </w:r>
      <w:r>
        <w:rPr>
          <w:rFonts w:ascii="Tw Cen MT" w:cs="Twentieth Century" w:eastAsia="Twentieth Century" w:hAnsi="Tw Cen MT"/>
          <w:sz w:val="24"/>
          <w:szCs w:val="24"/>
        </w:rPr>
        <w:t>rasio</w:t>
      </w:r>
      <w:r>
        <w:rPr>
          <w:rFonts w:ascii="Tw Cen MT" w:cs="Twentieth Century" w:eastAsia="Twentieth Century" w:hAnsi="Tw Cen MT"/>
          <w:sz w:val="24"/>
          <w:szCs w:val="24"/>
        </w:rPr>
        <w:t xml:space="preserve"> 12:1 </w:t>
      </w:r>
      <w:r>
        <w:rPr>
          <w:rFonts w:ascii="Tw Cen MT" w:cs="Twentieth Century" w:eastAsia="Twentieth Century" w:hAnsi="Tw Cen MT"/>
          <w:sz w:val="24"/>
          <w:szCs w:val="24"/>
        </w:rPr>
        <w:t>didapatkan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hasil</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rerata</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nilai</w:t>
      </w:r>
      <w:r>
        <w:rPr>
          <w:rFonts w:ascii="Tw Cen MT" w:cs="Twentieth Century" w:eastAsia="Twentieth Century" w:hAnsi="Tw Cen MT"/>
          <w:sz w:val="24"/>
          <w:szCs w:val="24"/>
        </w:rPr>
        <w:t xml:space="preserve"> pixel value 152, 75.</w:t>
      </w:r>
    </w:p>
    <w:p>
      <w:pPr>
        <w:pStyle w:val="style0"/>
        <w:tabs>
          <w:tab w:val="left" w:leader="none" w:pos="426"/>
        </w:tabs>
        <w:spacing w:after="0"/>
        <w:jc w:val="both"/>
        <w:rPr>
          <w:rFonts w:ascii="Tw Cen MT" w:cs="Twentieth Century" w:eastAsia="Twentieth Century" w:hAnsi="Tw Cen MT"/>
          <w:sz w:val="24"/>
          <w:szCs w:val="24"/>
          <w:lang w:val="sv-SE"/>
        </w:rPr>
      </w:pPr>
      <w:r>
        <w:rPr>
          <w:rFonts w:ascii="Tw Cen MT" w:cs="Twentieth Century" w:eastAsia="Twentieth Century" w:hAnsi="Tw Cen MT"/>
          <w:sz w:val="24"/>
          <w:szCs w:val="24"/>
          <w:lang w:val="sv-SE"/>
        </w:rPr>
        <w:t>Untuk mengetahui perbedaan rerata nilai pixel value pada variasi virtual grid maka dilakukan uji statistik pada ketiga Virtual Grid Rasio 8:1, 10:1 dan 12:1. Peneliti melakukan uji normalitas dan homogenitas, dilanjutkan uji One-Way ANOVA. Dalam menguji normalitas peneliti menggunakan jenis Shapiro-Wilk menurut Dodiet Aditya setyawan (2021) Shapiro-Wilk digunakan untuk sampel kecil (≤50), data dapat dikatakan berdistribusi normal apabila nilai     P (Sig.) &gt; 0,05</w:t>
      </w:r>
      <w:r>
        <w:rPr>
          <w:rFonts w:ascii="Tw Cen MT" w:cs="Twentieth Century" w:eastAsia="Twentieth Century" w:hAnsi="Tw Cen MT"/>
          <w:sz w:val="24"/>
          <w:szCs w:val="24"/>
          <w:lang w:val="sv-SE"/>
        </w:rPr>
        <w:t xml:space="preserve"> </w:t>
      </w:r>
      <w:r>
        <w:rPr>
          <w:rFonts w:ascii="Tw Cen MT" w:cs="Twentieth Century" w:eastAsia="Twentieth Century" w:hAnsi="Tw Cen MT"/>
          <w:sz w:val="24"/>
          <w:szCs w:val="24"/>
          <w:lang w:val="sv-SE"/>
        </w:rPr>
        <w:fldChar w:fldCharType="begin"/>
      </w:r>
      <w:r>
        <w:rPr>
          <w:rFonts w:ascii="Tw Cen MT" w:cs="Twentieth Century" w:eastAsia="Twentieth Century" w:hAnsi="Tw Cen MT"/>
          <w:sz w:val="24"/>
          <w:szCs w:val="24"/>
          <w:lang w:val="sv-SE"/>
        </w:rPr>
        <w:instrText>ADDIN CSL_CITATION {"citationItems":[{"id":"ITEM-1","itemData":{"ISBN":"9786239662394","author":[{"dropping-particle":"","family":"Setyawan Dodiet Aditya","given":"","non-dropping-particle":"","parse-names":false,"suffix":""}],"container-title":"PENERBIT TAHTA MEDIA (Grup Penerbitan CV TAHTA MEDIA GROUP)","id":"ITEM-1","issue":"July","issued":{"date-parts":[["2021"]]},"number-of-pages":"34","title":"Petunjuk Praktikum-Uji Normalitas dan Homogenitas Data dengan SPSS","type":"book"},"uris":["http://www.mendeley.com/documents/?uuid=35a80ac5-ab94-4b42-8d23-93ececa22ab0"]}],"mendeley":{"formattedCitation":"[8]","plainTextFormattedCitation":"[8]","previouslyFormattedCitation":"[8]"},"properties":{"noteIndex":0},"schema":"https://github.com/citation-style-language/schema/raw/master/csl-citation.json"}</w:instrText>
      </w:r>
      <w:r>
        <w:rPr>
          <w:rFonts w:ascii="Tw Cen MT" w:cs="Twentieth Century" w:eastAsia="Twentieth Century" w:hAnsi="Tw Cen MT"/>
          <w:sz w:val="24"/>
          <w:szCs w:val="24"/>
          <w:lang w:val="sv-SE"/>
        </w:rPr>
        <w:fldChar w:fldCharType="separate"/>
      </w:r>
      <w:r>
        <w:rPr>
          <w:rFonts w:ascii="Tw Cen MT" w:cs="Twentieth Century" w:eastAsia="Twentieth Century" w:hAnsi="Tw Cen MT"/>
          <w:noProof/>
          <w:sz w:val="24"/>
          <w:szCs w:val="24"/>
          <w:lang w:val="sv-SE"/>
        </w:rPr>
        <w:t>[8]</w:t>
      </w:r>
      <w:r>
        <w:rPr>
          <w:rFonts w:ascii="Tw Cen MT" w:cs="Twentieth Century" w:eastAsia="Twentieth Century" w:hAnsi="Tw Cen MT"/>
          <w:sz w:val="24"/>
          <w:szCs w:val="24"/>
          <w:lang w:val="sv-SE"/>
        </w:rPr>
        <w:fldChar w:fldCharType="end"/>
      </w:r>
      <w:r>
        <w:rPr>
          <w:rFonts w:ascii="Tw Cen MT" w:cs="Twentieth Century" w:eastAsia="Twentieth Century" w:hAnsi="Tw Cen MT"/>
          <w:sz w:val="24"/>
          <w:szCs w:val="24"/>
          <w:lang w:val="sv-SE"/>
        </w:rPr>
        <w:t>. Selanjutnya didapatkan hasil pada tabel 1.</w:t>
      </w:r>
    </w:p>
    <w:p>
      <w:pPr>
        <w:pStyle w:val="style0"/>
        <w:tabs>
          <w:tab w:val="left" w:leader="none" w:pos="426"/>
        </w:tabs>
        <w:spacing w:after="0"/>
        <w:jc w:val="both"/>
        <w:rPr>
          <w:rFonts w:ascii="Tw Cen MT" w:cs="Twentieth Century" w:eastAsia="Twentieth Century" w:hAnsi="Tw Cen MT"/>
          <w:sz w:val="24"/>
          <w:szCs w:val="24"/>
          <w:lang w:val="sv-SE"/>
        </w:rPr>
      </w:pPr>
    </w:p>
    <w:p>
      <w:pPr>
        <w:pStyle w:val="style0"/>
        <w:tabs>
          <w:tab w:val="left" w:leader="none" w:pos="426"/>
        </w:tabs>
        <w:spacing w:after="0"/>
        <w:jc w:val="center"/>
        <w:rPr>
          <w:rFonts w:ascii="Tw Cen MT" w:cs="Twentieth Century" w:eastAsia="Twentieth Century" w:hAnsi="Tw Cen MT"/>
          <w:sz w:val="20"/>
          <w:szCs w:val="20"/>
          <w:lang w:val="sv-SE"/>
        </w:rPr>
      </w:pPr>
      <w:r>
        <w:rPr>
          <w:rFonts w:ascii="Tw Cen MT" w:cs="Twentieth Century" w:eastAsia="Twentieth Century" w:hAnsi="Tw Cen MT"/>
          <w:sz w:val="20"/>
          <w:szCs w:val="20"/>
          <w:lang w:val="sv-SE"/>
        </w:rPr>
        <w:t>Tabel 1. Hasil Uji Statistik</w:t>
      </w:r>
    </w:p>
    <w:tbl>
      <w:tblPr>
        <w:tblStyle w:val="style4112"/>
        <w:tblW w:w="0" w:type="auto"/>
        <w:jc w:val="center"/>
        <w:tblCellMar>
          <w:left w:w="0" w:type="dxa"/>
          <w:right w:w="0" w:type="dxa"/>
        </w:tblCellMar>
        <w:tblLook w:val="04A0" w:firstRow="1" w:lastRow="0" w:firstColumn="1" w:lastColumn="0" w:noHBand="0" w:noVBand="1"/>
      </w:tblPr>
      <w:tblGrid>
        <w:gridCol w:w="1463"/>
        <w:gridCol w:w="1156"/>
        <w:gridCol w:w="1405"/>
      </w:tblGrid>
      <w:tr>
        <w:trPr>
          <w:trHeight w:val="77" w:hRule="atLeast"/>
          <w:jc w:val="center"/>
        </w:trPr>
        <w:tc>
          <w:tcPr>
            <w:tcW w:w="1463" w:type="dxa"/>
            <w:tcBorders/>
            <w:vAlign w:val="center"/>
          </w:tcPr>
          <w:p>
            <w:pPr>
              <w:pStyle w:val="style0"/>
              <w:adjustRightInd w:val="false"/>
              <w:snapToGrid w:val="false"/>
              <w:jc w:val="center"/>
              <w:rPr>
                <w:rFonts w:ascii="Tw Cen MT" w:eastAsia="SimSun" w:hAnsi="Tw Cen MT"/>
                <w:lang w:val="id-ID" w:eastAsia="zh-CN"/>
              </w:rPr>
            </w:pPr>
            <w:r>
              <w:rPr>
                <w:rFonts w:ascii="Tw Cen MT" w:eastAsia="SimSun" w:hAnsi="Tw Cen MT"/>
                <w:lang w:val="id-ID" w:eastAsia="zh-CN"/>
              </w:rPr>
              <w:t>Rasio Virtual Grid</w:t>
            </w:r>
          </w:p>
        </w:tc>
        <w:tc>
          <w:tcPr>
            <w:tcW w:w="1156" w:type="dxa"/>
            <w:tcBorders/>
            <w:vAlign w:val="center"/>
          </w:tcPr>
          <w:p>
            <w:pPr>
              <w:pStyle w:val="style0"/>
              <w:adjustRightInd w:val="false"/>
              <w:snapToGrid w:val="false"/>
              <w:jc w:val="center"/>
              <w:rPr>
                <w:rFonts w:ascii="Tw Cen MT" w:eastAsia="SimSun" w:hAnsi="Tw Cen MT"/>
                <w:lang w:val="id-ID" w:eastAsia="zh-CN"/>
              </w:rPr>
            </w:pPr>
            <w:r>
              <w:rPr>
                <w:rFonts w:ascii="Tw Cen MT" w:eastAsia="SimSun" w:hAnsi="Tw Cen MT"/>
                <w:lang w:val="id-ID" w:eastAsia="zh-CN"/>
              </w:rPr>
              <w:t>Shapiro-Wilk</w:t>
            </w:r>
          </w:p>
        </w:tc>
        <w:tc>
          <w:tcPr>
            <w:tcW w:w="1405" w:type="dxa"/>
            <w:tcBorders/>
            <w:vAlign w:val="center"/>
          </w:tcPr>
          <w:p>
            <w:pPr>
              <w:pStyle w:val="style0"/>
              <w:adjustRightInd w:val="false"/>
              <w:snapToGrid w:val="false"/>
              <w:jc w:val="center"/>
              <w:rPr>
                <w:rFonts w:ascii="Tw Cen MT" w:eastAsia="SimSun" w:hAnsi="Tw Cen MT"/>
                <w:lang w:val="id-ID" w:eastAsia="zh-CN"/>
              </w:rPr>
            </w:pPr>
            <w:r>
              <w:rPr>
                <w:rFonts w:ascii="Tw Cen MT" w:eastAsia="SimSun" w:hAnsi="Tw Cen MT"/>
                <w:lang w:val="id-ID" w:eastAsia="zh-CN"/>
              </w:rPr>
              <w:t>One-Way Anova</w:t>
            </w:r>
          </w:p>
        </w:tc>
      </w:tr>
      <w:tr>
        <w:tblPrEx/>
        <w:trPr>
          <w:jc w:val="center"/>
        </w:trPr>
        <w:tc>
          <w:tcPr>
            <w:tcW w:w="1463" w:type="dxa"/>
            <w:tcBorders/>
            <w:vAlign w:val="center"/>
          </w:tcPr>
          <w:p>
            <w:pPr>
              <w:pStyle w:val="style0"/>
              <w:adjustRightInd w:val="false"/>
              <w:snapToGrid w:val="false"/>
              <w:jc w:val="center"/>
              <w:rPr>
                <w:rFonts w:ascii="Tw Cen MT" w:eastAsia="SimSun" w:hAnsi="Tw Cen MT"/>
                <w:lang w:val="id-ID" w:eastAsia="zh-CN"/>
              </w:rPr>
            </w:pPr>
            <w:r>
              <w:rPr>
                <w:rFonts w:ascii="Tw Cen MT" w:eastAsia="SimSun" w:hAnsi="Tw Cen MT"/>
                <w:lang w:val="id-ID" w:eastAsia="zh-CN"/>
              </w:rPr>
              <w:t>8:1</w:t>
            </w:r>
          </w:p>
        </w:tc>
        <w:tc>
          <w:tcPr>
            <w:tcW w:w="1156" w:type="dxa"/>
            <w:tcBorders/>
            <w:vAlign w:val="center"/>
          </w:tcPr>
          <w:p>
            <w:pPr>
              <w:pStyle w:val="style0"/>
              <w:adjustRightInd w:val="false"/>
              <w:snapToGrid w:val="false"/>
              <w:jc w:val="center"/>
              <w:rPr>
                <w:rFonts w:ascii="Tw Cen MT" w:eastAsia="SimSun" w:hAnsi="Tw Cen MT"/>
                <w:lang w:val="id-ID" w:eastAsia="zh-CN"/>
              </w:rPr>
            </w:pPr>
            <w:r>
              <w:rPr>
                <w:rFonts w:ascii="Tw Cen MT" w:eastAsia="SimSun" w:hAnsi="Tw Cen MT"/>
                <w:lang w:val="id-ID" w:eastAsia="zh-CN"/>
              </w:rPr>
              <w:t>0,874</w:t>
            </w:r>
          </w:p>
        </w:tc>
        <w:tc>
          <w:tcPr>
            <w:tcW w:w="1405" w:type="dxa"/>
            <w:vMerge w:val="restart"/>
            <w:tcBorders/>
            <w:vAlign w:val="center"/>
          </w:tcPr>
          <w:p>
            <w:pPr>
              <w:pStyle w:val="style0"/>
              <w:adjustRightInd w:val="false"/>
              <w:snapToGrid w:val="false"/>
              <w:jc w:val="center"/>
              <w:rPr>
                <w:rFonts w:ascii="Tw Cen MT" w:eastAsia="SimSun" w:hAnsi="Tw Cen MT"/>
                <w:lang w:val="id-ID" w:eastAsia="zh-CN"/>
              </w:rPr>
            </w:pPr>
            <w:r>
              <w:rPr>
                <w:rFonts w:ascii="Tw Cen MT" w:eastAsia="SimSun" w:hAnsi="Tw Cen MT"/>
                <w:lang w:val="id-ID" w:eastAsia="zh-CN"/>
              </w:rPr>
              <w:t>0,789</w:t>
            </w:r>
          </w:p>
        </w:tc>
      </w:tr>
      <w:tr>
        <w:tblPrEx/>
        <w:trPr>
          <w:jc w:val="center"/>
        </w:trPr>
        <w:tc>
          <w:tcPr>
            <w:tcW w:w="1463" w:type="dxa"/>
            <w:tcBorders/>
            <w:vAlign w:val="center"/>
          </w:tcPr>
          <w:p>
            <w:pPr>
              <w:pStyle w:val="style0"/>
              <w:adjustRightInd w:val="false"/>
              <w:snapToGrid w:val="false"/>
              <w:jc w:val="center"/>
              <w:rPr>
                <w:rFonts w:ascii="Tw Cen MT" w:eastAsia="SimSun" w:hAnsi="Tw Cen MT"/>
                <w:lang w:val="id-ID" w:eastAsia="zh-CN"/>
              </w:rPr>
            </w:pPr>
            <w:r>
              <w:rPr>
                <w:rFonts w:ascii="Tw Cen MT" w:eastAsia="SimSun" w:hAnsi="Tw Cen MT"/>
                <w:lang w:val="id-ID" w:eastAsia="zh-CN"/>
              </w:rPr>
              <w:t>10:1</w:t>
            </w:r>
          </w:p>
        </w:tc>
        <w:tc>
          <w:tcPr>
            <w:tcW w:w="1156" w:type="dxa"/>
            <w:tcBorders/>
            <w:vAlign w:val="center"/>
          </w:tcPr>
          <w:p>
            <w:pPr>
              <w:pStyle w:val="style0"/>
              <w:adjustRightInd w:val="false"/>
              <w:snapToGrid w:val="false"/>
              <w:jc w:val="center"/>
              <w:rPr>
                <w:rFonts w:ascii="Tw Cen MT" w:eastAsia="SimSun" w:hAnsi="Tw Cen MT"/>
                <w:lang w:val="id-ID" w:eastAsia="zh-CN"/>
              </w:rPr>
            </w:pPr>
            <w:r>
              <w:rPr>
                <w:rFonts w:ascii="Tw Cen MT" w:eastAsia="SimSun" w:hAnsi="Tw Cen MT"/>
                <w:lang w:val="id-ID" w:eastAsia="zh-CN"/>
              </w:rPr>
              <w:t>0,837</w:t>
            </w:r>
          </w:p>
        </w:tc>
        <w:tc>
          <w:tcPr>
            <w:tcW w:w="1405" w:type="dxa"/>
            <w:vMerge w:val="continue"/>
            <w:tcBorders/>
            <w:vAlign w:val="center"/>
          </w:tcPr>
          <w:p>
            <w:pPr>
              <w:pStyle w:val="style0"/>
              <w:adjustRightInd w:val="false"/>
              <w:snapToGrid w:val="false"/>
              <w:jc w:val="center"/>
              <w:rPr>
                <w:rFonts w:ascii="Tw Cen MT" w:eastAsia="SimSun" w:hAnsi="Tw Cen MT"/>
                <w:lang w:val="id-ID" w:eastAsia="zh-CN"/>
              </w:rPr>
            </w:pPr>
          </w:p>
        </w:tc>
      </w:tr>
      <w:tr>
        <w:tblPrEx/>
        <w:trPr>
          <w:jc w:val="center"/>
        </w:trPr>
        <w:tc>
          <w:tcPr>
            <w:tcW w:w="1463" w:type="dxa"/>
            <w:tcBorders/>
            <w:vAlign w:val="center"/>
          </w:tcPr>
          <w:p>
            <w:pPr>
              <w:pStyle w:val="style0"/>
              <w:adjustRightInd w:val="false"/>
              <w:snapToGrid w:val="false"/>
              <w:jc w:val="center"/>
              <w:rPr>
                <w:rFonts w:ascii="Tw Cen MT" w:eastAsia="SimSun" w:hAnsi="Tw Cen MT"/>
                <w:lang w:val="id-ID" w:eastAsia="zh-CN"/>
              </w:rPr>
            </w:pPr>
            <w:r>
              <w:rPr>
                <w:rFonts w:ascii="Tw Cen MT" w:eastAsia="SimSun" w:hAnsi="Tw Cen MT"/>
                <w:lang w:val="id-ID" w:eastAsia="zh-CN"/>
              </w:rPr>
              <w:t>12:1</w:t>
            </w:r>
          </w:p>
        </w:tc>
        <w:tc>
          <w:tcPr>
            <w:tcW w:w="1156" w:type="dxa"/>
            <w:tcBorders/>
            <w:vAlign w:val="center"/>
          </w:tcPr>
          <w:p>
            <w:pPr>
              <w:pStyle w:val="style0"/>
              <w:adjustRightInd w:val="false"/>
              <w:snapToGrid w:val="false"/>
              <w:jc w:val="center"/>
              <w:rPr>
                <w:rFonts w:ascii="Tw Cen MT" w:eastAsia="SimSun" w:hAnsi="Tw Cen MT"/>
                <w:lang w:val="id-ID" w:eastAsia="zh-CN"/>
              </w:rPr>
            </w:pPr>
            <w:r>
              <w:rPr>
                <w:rFonts w:ascii="Tw Cen MT" w:eastAsia="SimSun" w:hAnsi="Tw Cen MT"/>
                <w:lang w:val="id-ID" w:eastAsia="zh-CN"/>
              </w:rPr>
              <w:t>0,829</w:t>
            </w:r>
          </w:p>
        </w:tc>
        <w:tc>
          <w:tcPr>
            <w:tcW w:w="1405" w:type="dxa"/>
            <w:vMerge w:val="continue"/>
            <w:tcBorders/>
            <w:vAlign w:val="center"/>
          </w:tcPr>
          <w:p>
            <w:pPr>
              <w:pStyle w:val="style0"/>
              <w:adjustRightInd w:val="false"/>
              <w:snapToGrid w:val="false"/>
              <w:jc w:val="center"/>
              <w:rPr>
                <w:rFonts w:ascii="Tw Cen MT" w:eastAsia="SimSun" w:hAnsi="Tw Cen MT"/>
                <w:lang w:val="id-ID" w:eastAsia="zh-CN"/>
              </w:rPr>
            </w:pPr>
          </w:p>
        </w:tc>
      </w:tr>
    </w:tbl>
    <w:p>
      <w:pPr>
        <w:pStyle w:val="style0"/>
        <w:spacing w:after="0" w:lineRule="auto" w:line="240"/>
        <w:jc w:val="both"/>
        <w:rPr>
          <w:rFonts w:ascii="Tw Cen MT" w:cs="Twentieth Century" w:eastAsia="Twentieth Century" w:hAnsi="Tw Cen MT"/>
          <w:b/>
          <w:sz w:val="20"/>
          <w:szCs w:val="20"/>
        </w:rPr>
      </w:pPr>
    </w:p>
    <w:p>
      <w:pPr>
        <w:pStyle w:val="style0"/>
        <w:spacing w:after="0" w:lineRule="auto" w:line="240"/>
        <w:jc w:val="both"/>
        <w:rPr>
          <w:rFonts w:ascii="Tw Cen MT" w:cs="Twentieth Century" w:eastAsia="Twentieth Century" w:hAnsi="Tw Cen MT"/>
          <w:bCs/>
          <w:sz w:val="24"/>
          <w:szCs w:val="24"/>
          <w:lang w:val="sv-SE"/>
        </w:rPr>
      </w:pPr>
      <w:r>
        <w:rPr>
          <w:rFonts w:ascii="Tw Cen MT" w:cs="Twentieth Century" w:eastAsia="Twentieth Century" w:hAnsi="Tw Cen MT"/>
          <w:bCs/>
          <w:sz w:val="24"/>
          <w:szCs w:val="24"/>
          <w:lang w:val="sv-SE"/>
        </w:rPr>
        <w:t>Hasil uji menunjukan nilai p &gt; 0,05  sehingga data dapat dinyatakan normal dan homogen ,selanjutnya dilakukan Uji Anova yang Dapat dilihat pada Tabel 1 didapatkan hasil Sig.(P-Value) = 789. Hal ini menunjukan bahwa nilai P &gt; 0,05. Dengan demikian dapat dikatakan bahwa tidak ada perbedaan hasil nilai pixel value terhadap pemeriksaaan Os Sacrum proyeksi lateral menggunakan variasi rasio virtual grid 8:1, 10 dan 12:1.</w:t>
      </w:r>
    </w:p>
    <w:p>
      <w:pPr>
        <w:pStyle w:val="style0"/>
        <w:spacing w:after="0" w:lineRule="auto" w:line="240"/>
        <w:jc w:val="both"/>
        <w:rPr>
          <w:rFonts w:ascii="Tw Cen MT" w:cs="Twentieth Century" w:eastAsia="Twentieth Century" w:hAnsi="Tw Cen MT"/>
          <w:bCs/>
          <w:sz w:val="24"/>
          <w:szCs w:val="24"/>
          <w:lang w:val="sv-SE"/>
        </w:rPr>
      </w:pPr>
      <w:r>
        <w:rPr>
          <w:rFonts w:ascii="Tw Cen MT" w:cs="Twentieth Century" w:eastAsia="Twentieth Century" w:hAnsi="Tw Cen MT"/>
          <w:bCs/>
          <w:sz w:val="24"/>
          <w:szCs w:val="24"/>
          <w:lang w:val="sv-SE"/>
        </w:rPr>
        <w:t xml:space="preserve">Radiasi hambur dihasilkan ketika sinar-X memasuki tubuh pasien, di mana sebagian besar foton mengalami interaksi Compton. Interaksi ini menghasilkan radiasi hambur yang dapat menurunkan kontras gambar serta mengurangi kualitas citra secara </w:t>
      </w:r>
      <w:r>
        <w:rPr>
          <w:rFonts w:ascii="Tw Cen MT" w:cs="Twentieth Century" w:eastAsia="Twentieth Century" w:hAnsi="Tw Cen MT"/>
          <w:bCs/>
          <w:sz w:val="24"/>
          <w:szCs w:val="24"/>
          <w:lang w:val="sv-SE"/>
        </w:rPr>
        <w:t>keseluruhan</w:t>
      </w:r>
      <w:r>
        <w:rPr>
          <w:rFonts w:ascii="Tw Cen MT" w:cs="Twentieth Century" w:eastAsia="Twentieth Century" w:hAnsi="Tw Cen MT"/>
          <w:bCs/>
          <w:sz w:val="24"/>
          <w:szCs w:val="24"/>
          <w:lang w:val="sv-SE"/>
        </w:rPr>
        <w:t xml:space="preserve"> </w:t>
      </w:r>
      <w:r>
        <w:rPr>
          <w:rFonts w:ascii="Tw Cen MT" w:cs="Twentieth Century" w:eastAsia="Twentieth Century" w:hAnsi="Tw Cen MT"/>
          <w:bCs/>
          <w:sz w:val="24"/>
          <w:szCs w:val="24"/>
          <w:lang w:val="sv-SE"/>
        </w:rPr>
        <w:fldChar w:fldCharType="begin"/>
      </w:r>
      <w:r>
        <w:rPr>
          <w:rFonts w:ascii="Tw Cen MT" w:cs="Twentieth Century" w:eastAsia="Twentieth Century" w:hAnsi="Tw Cen MT"/>
          <w:bCs/>
          <w:sz w:val="24"/>
          <w:szCs w:val="24"/>
          <w:lang w:val="sv-SE"/>
        </w:rPr>
        <w:instrText>ADDIN CSL_CITATION {"citationItems":[{"id":"ITEM-1","itemData":{"DOI":"10.1148/radiology.200.2.504","ISBN":"0944838545","ISSN":"0033-8419","abstract":"2nd ed. Includes index. Image characteristics and quality -- Energy and radiation -- Radiation quantities and units -- Characteristics and structure of matter -- Radioactive transitions -- Radioactivity -- X-ray production -- Energizing and controlling the X-ray tube -- X-ray tube heating and cooling -- Interaction of radiation with matter -- Radiation penetration -- X-ray image formation and contrast -- Scattered radiation and contrast -- Radiographic receptors -- Photographic process and film sensitivity -- Film contrast characteristics -- Radiographic density control -- Blur, resolution, and visibilty of detail -- Radiographic detail -- Fluoroscopic imaging systems -- Image noise -- Digital imaging systems and image processing -- Computed tomography image formation -- Computed tomography image quality -- Ultrasound production and interactions -- Ultrasound imaging -- Ultrasound imaging of cardiac motion and flowing blood -- Magnetic resonance image -- Nuclear magnetic resonance -- Magnetic characteristics of tissue -- Imaging methods -- Spatial characteristics of the magnetic resonance image -- Image detail, noise, and acquisition speed -- Magnetic resonance imaging of flowing blood -- MRI artifacts -- Gamma camera -- Radionuclide image quality -- Radionuclide tomographic imaging -- Statistics -- Patient exposure and protection -- Personnel exposure and protection -- Radiation measurement.","author":[{"dropping-particle":"","family":"Sprawls. Jr","given":"Perry","non-dropping-particle":"","parse-names":false,"suffix":""}],"container-title":"Radiology","id":"ITEM-1","issue":"2","issued":{"date-parts":[["1996"]]},"number-of-pages":"504-504","title":"Physical Principles of Medical Imaging. 2nd ed","type":"book","volume":"200"},"uris":["http://www.mendeley.com/documents/?uuid=83ad3d4e-df34-4326-b643-6bb6ac186cc4"]},{"id":"ITEM-2","itemData":{"ISBN":"9780323399661","author":[{"dropping-particle":"","family":"Lampignano","given":"John P","non-dropping-particle":"","parse-names":false,"suffix":""},{"dropping-particle":"","family":"Kendrick","given":"Leslie E","non-dropping-particle":"","parse-names":false,"suffix":""}],"edition":"NINTH EDIT","id":"ITEM-2","issued":{"date-parts":[["2018"]]},"title":"Bontrager’s TEXTBOOK of RADIOGRAPHIC POSITIONING and RELATED ANATOMY","type":"book"},"uris":["http://www.mendeley.com/documents/?uuid=8c83b0e0-8079-416f-a4da-89bf6ef1b3d6"]}],"mendeley":{"formattedCitation":"[9], [10]","plainTextFormattedCitation":"[9], [10]","previouslyFormattedCitation":"[9], [10]"},"properties":{"noteIndex":0},"schema":"https://github.com/citation-style-language/schema/raw/master/csl-citation.json"}</w:instrText>
      </w:r>
      <w:r>
        <w:rPr>
          <w:rFonts w:ascii="Tw Cen MT" w:cs="Twentieth Century" w:eastAsia="Twentieth Century" w:hAnsi="Tw Cen MT"/>
          <w:bCs/>
          <w:sz w:val="24"/>
          <w:szCs w:val="24"/>
          <w:lang w:val="sv-SE"/>
        </w:rPr>
        <w:fldChar w:fldCharType="separate"/>
      </w:r>
      <w:r>
        <w:rPr>
          <w:rFonts w:ascii="Tw Cen MT" w:cs="Twentieth Century" w:eastAsia="Twentieth Century" w:hAnsi="Tw Cen MT"/>
          <w:bCs/>
          <w:noProof/>
          <w:sz w:val="24"/>
          <w:szCs w:val="24"/>
          <w:lang w:val="sv-SE"/>
        </w:rPr>
        <w:t>[9], [10]</w:t>
      </w:r>
      <w:r>
        <w:rPr>
          <w:rFonts w:ascii="Tw Cen MT" w:cs="Twentieth Century" w:eastAsia="Twentieth Century" w:hAnsi="Tw Cen MT"/>
          <w:bCs/>
          <w:sz w:val="24"/>
          <w:szCs w:val="24"/>
          <w:lang w:val="sv-SE"/>
        </w:rPr>
        <w:fldChar w:fldCharType="end"/>
      </w:r>
      <w:r>
        <w:rPr>
          <w:rFonts w:ascii="Tw Cen MT" w:cs="Twentieth Century" w:eastAsia="Twentieth Century" w:hAnsi="Tw Cen MT"/>
          <w:bCs/>
          <w:sz w:val="24"/>
          <w:szCs w:val="24"/>
          <w:lang w:val="sv-SE"/>
        </w:rPr>
        <w:t>. Untuk mengurangi efek radiasi hambur tersebut, digunakan alat bantu berupa grid yang berfungsi menyerap sebagian besar radiasi hambur sebelum mencapai detektor, sehingga dapat meningkatkan kontras radiograf</w:t>
      </w:r>
      <w:r>
        <w:rPr>
          <w:rFonts w:ascii="Tw Cen MT" w:cs="Twentieth Century" w:eastAsia="Twentieth Century" w:hAnsi="Tw Cen MT"/>
          <w:bCs/>
          <w:sz w:val="24"/>
          <w:szCs w:val="24"/>
          <w:lang w:val="sv-SE"/>
        </w:rPr>
        <w:t xml:space="preserve"> </w:t>
      </w:r>
      <w:r>
        <w:rPr>
          <w:rFonts w:ascii="Tw Cen MT" w:cs="Twentieth Century" w:eastAsia="Twentieth Century" w:hAnsi="Tw Cen MT"/>
          <w:bCs/>
          <w:sz w:val="24"/>
          <w:szCs w:val="24"/>
          <w:lang w:val="sv-SE"/>
        </w:rPr>
        <w:fldChar w:fldCharType="begin"/>
      </w:r>
      <w:r>
        <w:rPr>
          <w:rFonts w:ascii="Tw Cen MT" w:cs="Twentieth Century" w:eastAsia="Twentieth Century" w:hAnsi="Tw Cen MT"/>
          <w:bCs/>
          <w:sz w:val="24"/>
          <w:szCs w:val="24"/>
          <w:lang w:val="sv-SE"/>
        </w:rPr>
        <w:instrText>ADDIN CSL_CITATION {"citationItems":[{"id":"ITEM-1","itemData":{"ISBN":"978-0-323-35624-4","ISSN":"1463-9084","PMID":"23674245","abstract":"With comprehensive coverage of both digital radiography and conventional film-screen radiography, RADIOGRAPHIC IMAGING AND EXPOSURE, 4th Edition helps you master the fundamental principles of imaging, produce clear images, and reduce the number of repeat radiographs. This practical text also includes Important Relationship, Mathematical Application, and Patient Protection Alert features throughout to provide helpful information every step of the way.Comprehensive coverage of both digital radiography and conventional film-screen radiography helps students and radiographers master the fundamental principles of imaging, produce clear images, and reduce the number of repeat radiographs. UNIQUE! Integrated digital radiography coverage includes information on how to acquire, process, and display digital images. UNIQUE! Patient Protection Alerts highlight the variables that impact patient exposure and how to control them. UNIQUE! Important Relationships boxes call attention to the fundamentals of radiographic imaging and exposure. UNIQUE! Mathematical Applications boxes familiarize you with the mathematical formulas needed in the clinical setting.NEW! Updated information reflects the latest advances in digital imaging, fluoroscopy, and the X-ray beam with added x-ray emission graphs. NEW! Image receptor and image acquisition coverage describes the construction of image receptors and how the latent (invisible) image is captured, and addresses the advantages and limitations of digital vs. conventional imaging processes. NEW! Image Evaluation chapter allows you to practice applying what you’ve learned about image quality and exposure technique factors.","author":[{"dropping-particle":"","family":"Fauber","given":"Terri L.","non-dropping-particle":"","parse-names":false,"suffix":""}],"container-title":"Radiographic Imaging and Exposure","edition":"Fifth edit","id":"ITEM-1","issued":{"date-parts":[["2016"]]},"number-of-pages":"324","publisher":"Elsevier Inc.","title":"Radiographic Imaging and Exposure","type":"book"},"uris":["http://www.mendeley.com/documents/?uuid=56cbc2c2-b01b-4403-a1f4-f8dd6dd2c86e"]}],"mendeley":{"formattedCitation":"[11]","plainTextFormattedCitation":"[11]","previouslyFormattedCitation":"[11]"},"properties":{"noteIndex":0},"schema":"https://github.com/citation-style-language/schema/raw/master/csl-citation.json"}</w:instrText>
      </w:r>
      <w:r>
        <w:rPr>
          <w:rFonts w:ascii="Tw Cen MT" w:cs="Twentieth Century" w:eastAsia="Twentieth Century" w:hAnsi="Tw Cen MT"/>
          <w:bCs/>
          <w:sz w:val="24"/>
          <w:szCs w:val="24"/>
          <w:lang w:val="sv-SE"/>
        </w:rPr>
        <w:fldChar w:fldCharType="separate"/>
      </w:r>
      <w:r>
        <w:rPr>
          <w:rFonts w:ascii="Tw Cen MT" w:cs="Twentieth Century" w:eastAsia="Twentieth Century" w:hAnsi="Tw Cen MT"/>
          <w:bCs/>
          <w:noProof/>
          <w:sz w:val="24"/>
          <w:szCs w:val="24"/>
          <w:lang w:val="sv-SE"/>
        </w:rPr>
        <w:t>[11]</w:t>
      </w:r>
      <w:r>
        <w:rPr>
          <w:rFonts w:ascii="Tw Cen MT" w:cs="Twentieth Century" w:eastAsia="Twentieth Century" w:hAnsi="Tw Cen MT"/>
          <w:bCs/>
          <w:sz w:val="24"/>
          <w:szCs w:val="24"/>
          <w:lang w:val="sv-SE"/>
        </w:rPr>
        <w:fldChar w:fldCharType="end"/>
      </w:r>
      <w:r>
        <w:rPr>
          <w:rFonts w:ascii="Tw Cen MT" w:cs="Twentieth Century" w:eastAsia="Twentieth Century" w:hAnsi="Tw Cen MT"/>
          <w:bCs/>
          <w:sz w:val="24"/>
          <w:szCs w:val="24"/>
          <w:lang w:val="sv-SE"/>
        </w:rPr>
        <w:t>. Penggunaan grid dalam praktik klinis memiliki keterbatasan, terutama pada prosedur pemeriksaan pasien di tempat tidur, di unit gawat darurat, atau pada prosedur mobile yang membutuhkan fleksibilitas dan ketepatan arah sinar-X. Untuk mengatasi keterbatasan ini, pada tahun 2010 perusahaan FujiMed mengembangkan perangkat lunak bernama Virtual Grid yang diklaim merupakan teknologi yang dapat meningkatkan degradasi kontras dan granularitas yang disebabkan oleh sinar-X yang tersebar, sehingga dapat menghilangkan kesalahan akibat ketidaksejajaran antara grid dan arah sinar-X. Selain itu, memungkinkan penyesuaian terhadap berbagai jarak dan sudut penyinaran sesuai kebutuhan klinis</w:t>
      </w:r>
      <w:r>
        <w:rPr>
          <w:rFonts w:ascii="Tw Cen MT" w:cs="Twentieth Century" w:eastAsia="Twentieth Century" w:hAnsi="Tw Cen MT"/>
          <w:bCs/>
          <w:sz w:val="24"/>
          <w:szCs w:val="24"/>
          <w:lang w:val="sv-SE"/>
        </w:rPr>
        <w:t xml:space="preserve"> </w:t>
      </w:r>
      <w:r>
        <w:rPr>
          <w:rFonts w:ascii="Tw Cen MT" w:cs="Twentieth Century" w:eastAsia="Twentieth Century" w:hAnsi="Tw Cen MT"/>
          <w:bCs/>
          <w:sz w:val="24"/>
          <w:szCs w:val="24"/>
          <w:lang w:val="sv-SE"/>
        </w:rPr>
        <w:fldChar w:fldCharType="begin"/>
      </w:r>
      <w:r>
        <w:rPr>
          <w:rFonts w:ascii="Tw Cen MT" w:cs="Twentieth Century" w:eastAsia="Twentieth Century" w:hAnsi="Tw Cen MT"/>
          <w:bCs/>
          <w:sz w:val="24"/>
          <w:szCs w:val="24"/>
          <w:lang w:val="sv-SE"/>
        </w:rPr>
        <w:instrText>ADDIN CSL_CITATION {"citationItems":[{"id":"ITEM-1","itemData":{"abstract":"We have developed a new image processing method “Virtual Grid Technology” to improve the quality of degraded image due to scattered radiation. This technology improves the quality of images taken without an anti-scatter grid at bedside or emergency radiography. Conventionally, grids are commonly used to reduce the influence of scattered radiation. However, due to the positioning difficulties, images are often acquired without a grid for mobile examinations, which results in images with low contrast. Virtual Grid calculates the component of the scattered radiation from an image exposed without a grid and improves the contrast and granularity to replicate that of an image exposed with a grid. This technology resolves the problem of artifacts caused by misalignment when using a grid, and enables a more efficient radiographic workflow. This report will describe an outline of Virtual Grid and explain its usefulness by using the experimental results.","author":[{"dropping-particle":"","family":"Kawamura","given":"Takahiro","non-dropping-particle":"","parse-names":false,"suffix":""},{"dropping-particle":"","family":"Naito","given":"Satoshi","non-dropping-particle":"","parse-names":false,"suffix":""},{"dropping-particle":"","family":"Okano","given":"Kayo","non-dropping-particle":"","parse-names":false,"suffix":""},{"dropping-particle":"","family":"Yamada","given":"Masahiko","non-dropping-particle":"","parse-names":false,"suffix":""}],"container-title":"FUJIFILM Research &amp; Development","id":"ITEM-1","issue":"60","issued":{"date-parts":[["2015"]]},"page":"21-27","title":"Improvement in Image Quality and Workflow of X-ray Examination Using a New Image Processing Method, “Virtual Grid Technology”","type":"article-journal"},"uris":["http://www.mendeley.com/documents/?uuid=1258424d-039d-408d-a1b3-fae52d98b216"]}],"mendeley":{"formattedCitation":"[4]","plainTextFormattedCitation":"[4]","previouslyFormattedCitation":"[4]"},"properties":{"noteIndex":0},"schema":"https://github.com/citation-style-language/schema/raw/master/csl-citation.json"}</w:instrText>
      </w:r>
      <w:r>
        <w:rPr>
          <w:rFonts w:ascii="Tw Cen MT" w:cs="Twentieth Century" w:eastAsia="Twentieth Century" w:hAnsi="Tw Cen MT"/>
          <w:bCs/>
          <w:sz w:val="24"/>
          <w:szCs w:val="24"/>
          <w:lang w:val="sv-SE"/>
        </w:rPr>
        <w:fldChar w:fldCharType="separate"/>
      </w:r>
      <w:r>
        <w:rPr>
          <w:rFonts w:ascii="Tw Cen MT" w:cs="Twentieth Century" w:eastAsia="Twentieth Century" w:hAnsi="Tw Cen MT"/>
          <w:bCs/>
          <w:noProof/>
          <w:sz w:val="24"/>
          <w:szCs w:val="24"/>
          <w:lang w:val="sv-SE"/>
        </w:rPr>
        <w:t>[4]</w:t>
      </w:r>
      <w:r>
        <w:rPr>
          <w:rFonts w:ascii="Tw Cen MT" w:cs="Twentieth Century" w:eastAsia="Twentieth Century" w:hAnsi="Tw Cen MT"/>
          <w:bCs/>
          <w:sz w:val="24"/>
          <w:szCs w:val="24"/>
          <w:lang w:val="sv-SE"/>
        </w:rPr>
        <w:fldChar w:fldCharType="end"/>
      </w:r>
      <w:r>
        <w:rPr>
          <w:rFonts w:ascii="Tw Cen MT" w:cs="Twentieth Century" w:eastAsia="Twentieth Century" w:hAnsi="Tw Cen MT"/>
          <w:bCs/>
          <w:sz w:val="24"/>
          <w:szCs w:val="24"/>
          <w:lang w:val="sv-SE"/>
        </w:rPr>
        <w:t>.</w:t>
      </w:r>
    </w:p>
    <w:p>
      <w:pPr>
        <w:pStyle w:val="style0"/>
        <w:spacing w:after="0" w:lineRule="auto" w:line="240"/>
        <w:jc w:val="both"/>
        <w:rPr>
          <w:rFonts w:ascii="Tw Cen MT" w:cs="Twentieth Century" w:eastAsia="Twentieth Century" w:hAnsi="Tw Cen MT"/>
          <w:bCs/>
          <w:sz w:val="24"/>
          <w:szCs w:val="24"/>
          <w:lang w:val="sv-SE"/>
        </w:rPr>
      </w:pPr>
      <w:r>
        <w:rPr>
          <w:rFonts w:ascii="Tw Cen MT" w:cs="Twentieth Century" w:eastAsia="Twentieth Century" w:hAnsi="Tw Cen MT"/>
          <w:bCs/>
          <w:sz w:val="24"/>
          <w:szCs w:val="24"/>
          <w:lang w:val="sv-SE"/>
        </w:rPr>
        <w:t xml:space="preserve">Menurut peneliti rerata nilai Pixel Value pada penggunaan ketiga Virtual Grid rasio 8:1, 10:1, dan 12:1 tidak jauh berbeda atau cenderung sama. Dalam prosedur penelitian citra yang digunakan merupakan hasil duplikasi, sehingga tidak dapat mempengaruhi nilai piksel. Hasil ini didukung oleh penelitian yang dilakukan oleh Pascoal, A et all, (2005). Pengukuran piksel dan noise yang pada gambar duplikasi yang diperoleh dengan Flat Panel Detector menunjukan nilai perbedaan yang kecil pada piksel dan noise </w:t>
      </w:r>
      <w:r>
        <w:rPr>
          <w:rFonts w:ascii="Tw Cen MT" w:cs="Twentieth Century" w:eastAsia="Twentieth Century" w:hAnsi="Tw Cen MT"/>
          <w:bCs/>
          <w:sz w:val="24"/>
          <w:szCs w:val="24"/>
          <w:lang w:val="sv-SE"/>
        </w:rPr>
        <w:fldChar w:fldCharType="begin"/>
      </w:r>
      <w:r>
        <w:rPr>
          <w:rFonts w:ascii="Tw Cen MT" w:cs="Twentieth Century" w:eastAsia="Twentieth Century" w:hAnsi="Tw Cen MT"/>
          <w:bCs/>
          <w:sz w:val="24"/>
          <w:szCs w:val="24"/>
          <w:lang w:val="sv-SE"/>
        </w:rPr>
        <w:instrText>ADDIN CSL_CITATION {"citationItems":[{"id":"ITEM-1","itemData":{"DOI":"10.1088/0031-9155/50/23/023","ISSN":"00319155","PMID":"16306665","abstract":"Contrast detail analysis is commonly used to assess image quality (IQ) associated with diagnostic imaging systems. Applications include routine assessment of equipment performance and optimization studies. Most frequently, the evaluation of contrast detail images involves human observers visually detecting the threshold contrast detail combinations in the image. However, the subjective nature of human perception and the variations in the decision threshold pose limits to the minimum image quality variations detectable with reliability. Objective methods of assessment of image quality such as automated scoring have the potential to overcome the above limitations. A software package (CDRAD analyser) developed for automated scoring of images produced with the CDRAD test object was evaluated. Its performance to assess absolute and relative IQ was compared with that of an average observer. Results show that the software does not mimic the absolute performance of the average observer. The software proved more sensitive and was able to detect smaller low-contrast variations. The observer's performance was superior to the software's in the detection of smaller details. Both scoring methods showed frequent agreement in the detection of image quality variations resulting from changes in kVp and KERMAdetector, which indicates the potential to use the software CDRAD analyser for assessment of relative IQ. © 2005 IOP Publishing Ltd.","author":[{"dropping-particle":"","family":"Pascoal","given":"A.","non-dropping-particle":"","parse-names":false,"suffix":""},{"dropping-particle":"","family":"Lawinski","given":"C. P.","non-dropping-particle":"","parse-names":false,"suffix":""},{"dropping-particle":"","family":"Honey","given":"I.","non-dropping-particle":"","parse-names":false,"suffix":""},{"dropping-particle":"","family":"Blake","given":"P.","non-dropping-particle":"","parse-names":false,"suffix":""}],"container-title":"Physics in Medicine and Biology","id":"ITEM-1","issue":"23","issued":{"date-parts":[["2005"]]},"page":"5743-5757","title":"Evaluation of a software package for automated quality assessment of contrast detail images - Comparison with subjective visual assessment","type":"article-journal","volume":"50"},"uris":["http://www.mendeley.com/documents/?uuid=772598a9-d1c8-446a-816a-1d8d71e9b547"]}],"mendeley":{"formattedCitation":"[12]","plainTextFormattedCitation":"[12]","previouslyFormattedCitation":"[12]"},"properties":{"noteIndex":0},"schema":"https://github.com/citation-style-language/schema/raw/master/csl-citation.json"}</w:instrText>
      </w:r>
      <w:r>
        <w:rPr>
          <w:rFonts w:ascii="Tw Cen MT" w:cs="Twentieth Century" w:eastAsia="Twentieth Century" w:hAnsi="Tw Cen MT"/>
          <w:bCs/>
          <w:sz w:val="24"/>
          <w:szCs w:val="24"/>
          <w:lang w:val="sv-SE"/>
        </w:rPr>
        <w:fldChar w:fldCharType="separate"/>
      </w:r>
      <w:r>
        <w:rPr>
          <w:rFonts w:ascii="Tw Cen MT" w:cs="Twentieth Century" w:eastAsia="Twentieth Century" w:hAnsi="Tw Cen MT"/>
          <w:bCs/>
          <w:noProof/>
          <w:sz w:val="24"/>
          <w:szCs w:val="24"/>
          <w:lang w:val="sv-SE"/>
        </w:rPr>
        <w:t>[12]</w:t>
      </w:r>
      <w:r>
        <w:rPr>
          <w:rFonts w:ascii="Tw Cen MT" w:cs="Twentieth Century" w:eastAsia="Twentieth Century" w:hAnsi="Tw Cen MT"/>
          <w:bCs/>
          <w:sz w:val="24"/>
          <w:szCs w:val="24"/>
          <w:lang w:val="sv-SE"/>
        </w:rPr>
        <w:fldChar w:fldCharType="end"/>
      </w:r>
      <w:r>
        <w:rPr>
          <w:rFonts w:ascii="Tw Cen MT" w:cs="Twentieth Century" w:eastAsia="Twentieth Century" w:hAnsi="Tw Cen MT"/>
          <w:bCs/>
          <w:sz w:val="24"/>
          <w:szCs w:val="24"/>
          <w:lang w:val="sv-SE"/>
        </w:rPr>
        <w:t xml:space="preserve">. Dari hasil uji One-Way Anova, nilai p-value&gt;0,05 dengan demikian dapat dikatakan H0 diterima atau dengan kata lain tidak ada perbedaan hasil nilai pixel value terhadap pemeriksaaan Os Sacrum proyeksi lateral menggunakan variasi Virtual Grid Rasio 8:1, 10 dan 12:1. Hasil yang sama juga ditunjukan oleh Gossey, et all (2022). Pada hasil pengukuran kualitas citra secara objektif pada proyeksi radiografi pelvis dengan </w:t>
      </w:r>
      <w:r>
        <w:rPr>
          <w:rFonts w:ascii="Tw Cen MT" w:cs="Twentieth Century" w:eastAsia="Twentieth Century" w:hAnsi="Tw Cen MT"/>
          <w:bCs/>
          <w:sz w:val="24"/>
          <w:szCs w:val="24"/>
          <w:lang w:val="sv-SE"/>
        </w:rPr>
        <w:t>variasi penggunaan Virtual Grid rasio 6:1, 10:1, 13:1, 17:1, dan 20:1 tidak mengalami perubahan signifikan secara statistic</w:t>
      </w:r>
      <w:r>
        <w:rPr>
          <w:rFonts w:ascii="Tw Cen MT" w:cs="Twentieth Century" w:eastAsia="Twentieth Century" w:hAnsi="Tw Cen MT"/>
          <w:bCs/>
          <w:sz w:val="24"/>
          <w:szCs w:val="24"/>
          <w:lang w:val="sv-SE"/>
        </w:rPr>
        <w:t xml:space="preserve"> </w:t>
      </w:r>
      <w:r>
        <w:rPr>
          <w:rFonts w:ascii="Tw Cen MT" w:cs="Twentieth Century" w:eastAsia="Twentieth Century" w:hAnsi="Tw Cen MT"/>
          <w:bCs/>
          <w:sz w:val="24"/>
          <w:szCs w:val="24"/>
          <w:lang w:val="sv-SE"/>
        </w:rPr>
        <w:fldChar w:fldCharType="begin"/>
      </w:r>
      <w:r>
        <w:rPr>
          <w:rFonts w:ascii="Tw Cen MT" w:cs="Twentieth Century" w:eastAsia="Twentieth Century" w:hAnsi="Tw Cen MT"/>
          <w:bCs/>
          <w:sz w:val="24"/>
          <w:szCs w:val="24"/>
          <w:lang w:val="sv-SE"/>
        </w:rPr>
        <w:instrText>ADDIN CSL_CITATION {"citationItems":[{"id":"ITEM-1","itemData":{"DOI":"10.1002/acm2.14353","ISSN":"15269914","PMID":"38693646","abstract":"Background: A physical scatter grid is not often used in pelvic bedside examinations. However, multiple studies regarding scatter correction software (SC SW) are available for mobile chest radiography but the results are unclear for pelvic radiography. Purpose: We evaluated SC SW of Fujifilm (Virtual Grid) on gridless pelvic radiographs obtained from a human Thiel-embalmed body to investigate the potential of Virtual Grid in pelvic bedside examinations. Methods: Gridless, Virtual Grid, and physical grid pelvic radiographs of a female Thiel-embalmed body were collected with a broad range of tube loads. Different software (SW) grid ratios—6:1, 10:1, 13:1, 17:1, and 20:1—were applied on the gridless radiographs to investigate the image quality (IQ) improvement of 13 IQ criteria in a visual grading analysis (VGA) setup. Results: Gridless radiograph scores are significantly lower (p &lt; 0.001) than Virtual Grid and physical grid scores obtained with the same tube load. Virtual Grid radiographs score better than gridless radiographs obtained with a higher tube load which makes a dose reduction possible. The averaged ratings of the IQ criteria processed with different SW ratios increase with increasing SW grid ratios. However, no statistically significant differences were found between the SW grid ratios. The scores of the physical grid radiographs are higher than those of the Virtual Grid radiographs when they are obtained with the same tube load. Conclusion: We conclude that Virtual Grid with an SW ratio of 6:1 improves the IQ of gridless pelvic radiographs in such a manner that a dose reduction is possible. However, physical grid radiograph ratings are higher compared to those of Virtual Grid radiographs.","author":[{"dropping-particle":"","family":"Gossye","given":"Tim","non-dropping-particle":"","parse-names":false,"suffix":""},{"dropping-particle":"","family":"Buytaert","given":"Dimitri","non-dropping-particle":"","parse-names":false,"suffix":""},{"dropping-particle":"V.","family":"Smeets","given":"Peter","non-dropping-particle":"","parse-names":false,"suffix":""},{"dropping-particle":"","family":"Morbée","given":"Lieve","non-dropping-particle":"","parse-names":false,"suffix":""},{"dropping-particle":"","family":"Vereecke","given":"Elke","non-dropping-particle":"","parse-names":false,"suffix":""},{"dropping-particle":"","family":"Kellens","given":"Pieter Jan","non-dropping-particle":"","parse-names":false,"suffix":""},{"dropping-particle":"","family":"Achten","given":"Eric","non-dropping-particle":"","parse-names":false,"suffix":""},{"dropping-particle":"","family":"Bacher","given":"Klaus","non-dropping-particle":"","parse-names":false,"suffix":""}],"container-title":"Journal of Applied Clinical Medical Physics","id":"ITEM-1","issue":"6","issued":{"date-parts":[["2024"]]},"page":"1-8","title":"Evaluation of Virtual Grid processed clinical pelvic radiographs","type":"article-journal","volume":"25"},"uris":["http://www.mendeley.com/documents/?uuid=cb516a56-5c5a-4eab-9973-e31588517c16"]}],"mendeley":{"formattedCitation":"[13]","plainTextFormattedCitation":"[13]","previouslyFormattedCitation":"[13]"},"properties":{"noteIndex":0},"schema":"https://github.com/citation-style-language/schema/raw/master/csl-citation.json"}</w:instrText>
      </w:r>
      <w:r>
        <w:rPr>
          <w:rFonts w:ascii="Tw Cen MT" w:cs="Twentieth Century" w:eastAsia="Twentieth Century" w:hAnsi="Tw Cen MT"/>
          <w:bCs/>
          <w:sz w:val="24"/>
          <w:szCs w:val="24"/>
          <w:lang w:val="sv-SE"/>
        </w:rPr>
        <w:fldChar w:fldCharType="separate"/>
      </w:r>
      <w:r>
        <w:rPr>
          <w:rFonts w:ascii="Tw Cen MT" w:cs="Twentieth Century" w:eastAsia="Twentieth Century" w:hAnsi="Tw Cen MT"/>
          <w:bCs/>
          <w:noProof/>
          <w:sz w:val="24"/>
          <w:szCs w:val="24"/>
          <w:lang w:val="sv-SE"/>
        </w:rPr>
        <w:t>[13]</w:t>
      </w:r>
      <w:r>
        <w:rPr>
          <w:rFonts w:ascii="Tw Cen MT" w:cs="Twentieth Century" w:eastAsia="Twentieth Century" w:hAnsi="Tw Cen MT"/>
          <w:bCs/>
          <w:sz w:val="24"/>
          <w:szCs w:val="24"/>
          <w:lang w:val="sv-SE"/>
        </w:rPr>
        <w:fldChar w:fldCharType="end"/>
      </w:r>
      <w:r>
        <w:rPr>
          <w:rFonts w:ascii="Tw Cen MT" w:cs="Twentieth Century" w:eastAsia="Twentieth Century" w:hAnsi="Tw Cen MT"/>
          <w:bCs/>
          <w:sz w:val="24"/>
          <w:szCs w:val="24"/>
          <w:lang w:val="sv-SE"/>
        </w:rPr>
        <w:t xml:space="preserve">. Menurut penulis ketiga rasio Virtual Grid yang digunakkan pada penelitian sudah optimal pada pemeriksaan os sacrum proyeksi lateral. </w:t>
      </w:r>
    </w:p>
    <w:p>
      <w:pPr>
        <w:pStyle w:val="style0"/>
        <w:spacing w:after="0" w:lineRule="auto" w:line="240"/>
        <w:jc w:val="both"/>
        <w:rPr>
          <w:rFonts w:ascii="Tw Cen MT" w:cs="Twentieth Century" w:eastAsia="Twentieth Century" w:hAnsi="Tw Cen MT"/>
          <w:bCs/>
          <w:sz w:val="24"/>
          <w:szCs w:val="24"/>
          <w:lang w:val="sv-SE"/>
        </w:rPr>
      </w:pPr>
      <w:r>
        <w:rPr>
          <w:rFonts w:ascii="Tw Cen MT" w:cs="Twentieth Century" w:eastAsia="Twentieth Century" w:hAnsi="Tw Cen MT"/>
          <w:bCs/>
          <w:sz w:val="24"/>
          <w:szCs w:val="24"/>
          <w:lang w:val="sv-SE"/>
        </w:rPr>
        <w:t>Pada penelitian ini mempunyai keterbatasan yaitu yang pertama penggunaan Faktor eksposi pada penelitian ini menggunakan 96 kVp, 45 mAs me</w:t>
      </w:r>
      <w:r>
        <w:rPr>
          <w:rFonts w:ascii="Tw Cen MT" w:cs="Twentieth Century" w:eastAsia="Twentieth Century" w:hAnsi="Tw Cen MT"/>
          <w:bCs/>
          <w:sz w:val="24"/>
          <w:szCs w:val="24"/>
          <w:lang w:val="sv-SE"/>
        </w:rPr>
        <w:t xml:space="preserve">nurut Long, B.W (2023)  </w:t>
      </w:r>
      <w:r>
        <w:rPr>
          <w:rFonts w:ascii="Tw Cen MT" w:cs="Twentieth Century" w:eastAsia="Twentieth Century" w:hAnsi="Tw Cen MT"/>
          <w:bCs/>
          <w:sz w:val="24"/>
          <w:szCs w:val="24"/>
          <w:lang w:val="sv-SE"/>
        </w:rPr>
        <w:fldChar w:fldCharType="begin"/>
      </w:r>
      <w:r>
        <w:rPr>
          <w:rFonts w:ascii="Tw Cen MT" w:cs="Twentieth Century" w:eastAsia="Twentieth Century" w:hAnsi="Tw Cen MT"/>
          <w:bCs/>
          <w:sz w:val="24"/>
          <w:szCs w:val="24"/>
          <w:lang w:val="sv-SE"/>
        </w:rPr>
        <w:instrText>ADDIN CSL_CITATION {"citationItems":[{"id":"ITEM-1","itemData":{"ISBN":"9780323263429","author":[{"dropping-particle":"","family":"Long","given":"Bruce W","non-dropping-particle":"","parse-names":false,"suffix":""},{"dropping-particle":"","family":"Rollins","given":"Jeannean Hall","non-dropping-particle":"","parse-names":false,"suffix":""},{"dropping-particle":"","family":"Smith","given":"Barbara J.","non-dropping-particle":"","parse-names":false,"suffix":""}],"edition":"FIFTEENTH","id":"ITEM-1","issued":{"date-parts":[["2023"]]},"title":"Merrill ’ S Atlas of, Radiographic Positioning dan Procedures","type":"book"},"uris":["http://www.mendeley.com/documents/?uuid=1a5fde92-26d9-46c4-81b9-0b9fb7f2dcd5"]}],"mendeley":{"formattedCitation":"[14]","plainTextFormattedCitation":"[14]","previouslyFormattedCitation":"[14]"},"properties":{"noteIndex":0},"schema":"https://github.com/citation-style-language/schema/raw/master/csl-citation.json"}</w:instrText>
      </w:r>
      <w:r>
        <w:rPr>
          <w:rFonts w:ascii="Tw Cen MT" w:cs="Twentieth Century" w:eastAsia="Twentieth Century" w:hAnsi="Tw Cen MT"/>
          <w:bCs/>
          <w:sz w:val="24"/>
          <w:szCs w:val="24"/>
          <w:lang w:val="sv-SE"/>
        </w:rPr>
        <w:fldChar w:fldCharType="separate"/>
      </w:r>
      <w:r>
        <w:rPr>
          <w:rFonts w:ascii="Tw Cen MT" w:cs="Twentieth Century" w:eastAsia="Twentieth Century" w:hAnsi="Tw Cen MT"/>
          <w:bCs/>
          <w:noProof/>
          <w:sz w:val="24"/>
          <w:szCs w:val="24"/>
          <w:lang w:val="sv-SE"/>
        </w:rPr>
        <w:t>[14]</w:t>
      </w:r>
      <w:r>
        <w:rPr>
          <w:rFonts w:ascii="Tw Cen MT" w:cs="Twentieth Century" w:eastAsia="Twentieth Century" w:hAnsi="Tw Cen MT"/>
          <w:bCs/>
          <w:sz w:val="24"/>
          <w:szCs w:val="24"/>
          <w:lang w:val="sv-SE"/>
        </w:rPr>
        <w:fldChar w:fldCharType="end"/>
      </w:r>
      <w:r>
        <w:rPr>
          <w:rFonts w:ascii="Tw Cen MT" w:cs="Twentieth Century" w:eastAsia="Twentieth Century" w:hAnsi="Tw Cen MT"/>
          <w:bCs/>
          <w:sz w:val="24"/>
          <w:szCs w:val="24"/>
          <w:lang w:val="sv-SE"/>
        </w:rPr>
        <w:t>, yang menurut peneliti tidak diimplementasikan untuk objek dan klinis di rumah sakit, yang kedua Penggunaan variasi rasio Virtual Grid 8:1, 10:1, dan 12:1 yang dimana pengunaan variasi tersebut menurut peneliti terlalu dekat, yang ketiga penggunaan kolimasi dengan luas lapangan seluas penampang panel detektor Digital Radiography yang dimana menurut penulis dapat mempengaruhi jumlah radiasi hambur.. Namun, peningkatan radiasi hambur tidak terjadi secara linear tanpa batas, setelah luas lapangan kolimasi mencapai ukuran sekitar 30 hingga 40 cm, jumlah radiasi hambur yang dihasilkan cenderung stabil atau mengalami peningkatan yang sangat kecil. Kondisi ini dikenal sebagai titik jenuh (saturation point)</w:t>
      </w:r>
      <w:r>
        <w:rPr>
          <w:rFonts w:ascii="Tw Cen MT" w:cs="Twentieth Century" w:eastAsia="Twentieth Century" w:hAnsi="Tw Cen MT"/>
          <w:bCs/>
          <w:sz w:val="24"/>
          <w:szCs w:val="24"/>
          <w:lang w:val="sv-SE"/>
        </w:rPr>
        <w:t xml:space="preserve"> </w:t>
      </w:r>
      <w:r>
        <w:rPr>
          <w:rFonts w:ascii="Tw Cen MT" w:cs="Twentieth Century" w:eastAsia="Twentieth Century" w:hAnsi="Tw Cen MT"/>
          <w:bCs/>
          <w:sz w:val="24"/>
          <w:szCs w:val="24"/>
          <w:lang w:val="sv-SE"/>
        </w:rPr>
        <w:fldChar w:fldCharType="begin"/>
      </w:r>
      <w:r>
        <w:rPr>
          <w:rFonts w:ascii="Tw Cen MT" w:cs="Twentieth Century" w:eastAsia="Twentieth Century" w:hAnsi="Tw Cen MT"/>
          <w:bCs/>
          <w:sz w:val="24"/>
          <w:szCs w:val="24"/>
          <w:lang w:val="sv-SE"/>
        </w:rPr>
        <w:instrText>ADDIN CSL_CITATION {"citationItems":[{"id":"ITEM-1","itemData":{"DOI":"10.1201/9781482266641-12","ISBN":"978–92–131010–1","author":[{"dropping-particle":"","family":"Dance","given":"D.R.","non-dropping-particle":"","parse-names":false,"suffix":""},{"dropping-particle":"","family":"Christofides","given":"S.","non-dropping-particle":"","parse-names":false,"suffix":""},{"dropping-particle":"","family":"Maidment","given":"A.D.A.","non-dropping-particle":"","parse-names":false,"suffix":""},{"dropping-particle":"","family":"McLean","given":"I.D.","non-dropping-particle":"","parse-names":false,"suffix":""},{"dropping-particle":"","family":"Ng","given":"K.H.","non-dropping-particle":"","parse-names":false,"suffix":""}],"editor":[{"dropping-particle":"","family":"Technical","given":"","non-dropping-particle":"","parse-names":false,"suffix":""}],"id":"ITEM-1","issued":{"date-parts":[["2014"]]},"number-of-pages":"681","title":"DIAGNOSTIC RADIOLOGY PHYSICS: A HANDBOOK FOR TEACHERS AND STUDENTS","type":"book"},"uris":["http://www.mendeley.com/documents/?uuid=3f94d9db-f197-43d1-91ba-4eaced144106"]}],"mendeley":{"formattedCitation":"[15]","plainTextFormattedCitation":"[15]","previouslyFormattedCitation":"[15]"},"properties":{"noteIndex":0},"schema":"https://github.com/citation-style-language/schema/raw/master/csl-citation.json"}</w:instrText>
      </w:r>
      <w:r>
        <w:rPr>
          <w:rFonts w:ascii="Tw Cen MT" w:cs="Twentieth Century" w:eastAsia="Twentieth Century" w:hAnsi="Tw Cen MT"/>
          <w:bCs/>
          <w:sz w:val="24"/>
          <w:szCs w:val="24"/>
          <w:lang w:val="sv-SE"/>
        </w:rPr>
        <w:fldChar w:fldCharType="separate"/>
      </w:r>
      <w:r>
        <w:rPr>
          <w:rFonts w:ascii="Tw Cen MT" w:cs="Twentieth Century" w:eastAsia="Twentieth Century" w:hAnsi="Tw Cen MT"/>
          <w:bCs/>
          <w:noProof/>
          <w:sz w:val="24"/>
          <w:szCs w:val="24"/>
          <w:lang w:val="sv-SE"/>
        </w:rPr>
        <w:t>[15]</w:t>
      </w:r>
      <w:r>
        <w:rPr>
          <w:rFonts w:ascii="Tw Cen MT" w:cs="Twentieth Century" w:eastAsia="Twentieth Century" w:hAnsi="Tw Cen MT"/>
          <w:bCs/>
          <w:sz w:val="24"/>
          <w:szCs w:val="24"/>
          <w:lang w:val="sv-SE"/>
        </w:rPr>
        <w:fldChar w:fldCharType="end"/>
      </w:r>
      <w:r>
        <w:rPr>
          <w:rFonts w:ascii="Tw Cen MT" w:cs="Twentieth Century" w:eastAsia="Twentieth Century" w:hAnsi="Tw Cen MT"/>
          <w:bCs/>
          <w:sz w:val="24"/>
          <w:szCs w:val="24"/>
          <w:lang w:val="sv-SE"/>
        </w:rPr>
        <w:t>. Kemudian disarankan penggunaan rasio Virtual Grid dengan rentang yang lebih tinggi nilainya dari penelitian yang telah dilakukan.</w:t>
      </w:r>
    </w:p>
    <w:p>
      <w:pPr>
        <w:pStyle w:val="style0"/>
        <w:spacing w:after="0" w:lineRule="auto" w:line="240"/>
        <w:jc w:val="both"/>
        <w:rPr>
          <w:rFonts w:ascii="Tw Cen MT" w:cs="Twentieth Century" w:eastAsia="Twentieth Century" w:hAnsi="Tw Cen MT"/>
          <w:b/>
          <w:sz w:val="20"/>
          <w:szCs w:val="20"/>
        </w:rPr>
      </w:pPr>
    </w:p>
    <w:p>
      <w:pPr>
        <w:pStyle w:val="style0"/>
        <w:spacing w:after="0" w:lineRule="auto" w:line="240"/>
        <w:jc w:val="both"/>
        <w:rPr>
          <w:rFonts w:ascii="Tw Cen MT" w:cs="Twentieth Century" w:eastAsia="Twentieth Century" w:hAnsi="Tw Cen MT"/>
          <w:b/>
          <w:sz w:val="24"/>
          <w:szCs w:val="24"/>
        </w:rPr>
      </w:pPr>
      <w:r>
        <w:rPr>
          <w:rFonts w:ascii="Tw Cen MT" w:cs="Twentieth Century" w:eastAsia="Twentieth Century" w:hAnsi="Tw Cen MT"/>
          <w:b/>
          <w:sz w:val="24"/>
          <w:szCs w:val="24"/>
        </w:rPr>
        <w:t>SIMPULAN</w:t>
      </w:r>
    </w:p>
    <w:p>
      <w:pPr>
        <w:pStyle w:val="style0"/>
        <w:tabs>
          <w:tab w:val="left" w:leader="none" w:pos="426"/>
        </w:tabs>
        <w:spacing w:after="0" w:lineRule="auto" w:line="240"/>
        <w:jc w:val="both"/>
        <w:rPr>
          <w:rFonts w:ascii="Tw Cen MT" w:cs="Twentieth Century" w:eastAsia="Twentieth Century" w:hAnsi="Tw Cen MT"/>
          <w:sz w:val="24"/>
          <w:szCs w:val="24"/>
        </w:rPr>
      </w:pPr>
      <w:r>
        <w:rPr>
          <w:rFonts w:ascii="Tw Cen MT" w:cs="Twentieth Century" w:eastAsia="Twentieth Century" w:hAnsi="Tw Cen MT"/>
          <w:sz w:val="24"/>
          <w:szCs w:val="24"/>
        </w:rPr>
        <w:t xml:space="preserve">Hasil </w:t>
      </w:r>
      <w:r>
        <w:rPr>
          <w:rFonts w:ascii="Tw Cen MT" w:cs="Twentieth Century" w:eastAsia="Twentieth Century" w:hAnsi="Tw Cen MT"/>
          <w:sz w:val="24"/>
          <w:szCs w:val="24"/>
        </w:rPr>
        <w:t>analisis</w:t>
      </w:r>
      <w:r>
        <w:rPr>
          <w:rFonts w:ascii="Tw Cen MT" w:cs="Twentieth Century" w:eastAsia="Twentieth Century" w:hAnsi="Tw Cen MT"/>
          <w:sz w:val="24"/>
          <w:szCs w:val="24"/>
        </w:rPr>
        <w:t xml:space="preserve"> Pixel Value </w:t>
      </w:r>
      <w:r>
        <w:rPr>
          <w:rFonts w:ascii="Tw Cen MT" w:cs="Twentieth Century" w:eastAsia="Twentieth Century" w:hAnsi="Tw Cen MT"/>
          <w:sz w:val="24"/>
          <w:szCs w:val="24"/>
        </w:rPr>
        <w:t>terhadap</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pemeriksaan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Os</w:t>
      </w:r>
      <w:r>
        <w:rPr>
          <w:rFonts w:ascii="Tw Cen MT" w:cs="Twentieth Century" w:eastAsia="Twentieth Century" w:hAnsi="Tw Cen MT"/>
          <w:sz w:val="24"/>
          <w:szCs w:val="24"/>
        </w:rPr>
        <w:t xml:space="preserve"> Sacrum </w:t>
      </w:r>
      <w:r>
        <w:rPr>
          <w:rFonts w:ascii="Tw Cen MT" w:cs="Twentieth Century" w:eastAsia="Twentieth Century" w:hAnsi="Tw Cen MT"/>
          <w:sz w:val="24"/>
          <w:szCs w:val="24"/>
        </w:rPr>
        <w:t>proyeksi</w:t>
      </w:r>
      <w:r>
        <w:rPr>
          <w:rFonts w:ascii="Tw Cen MT" w:cs="Twentieth Century" w:eastAsia="Twentieth Century" w:hAnsi="Tw Cen MT"/>
          <w:sz w:val="24"/>
          <w:szCs w:val="24"/>
        </w:rPr>
        <w:t xml:space="preserve"> lateral </w:t>
      </w:r>
      <w:r>
        <w:rPr>
          <w:rFonts w:ascii="Tw Cen MT" w:cs="Twentieth Century" w:eastAsia="Twentieth Century" w:hAnsi="Tw Cen MT"/>
          <w:sz w:val="24"/>
          <w:szCs w:val="24"/>
        </w:rPr>
        <w:t>menggunakan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variasi</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rasio</w:t>
      </w:r>
      <w:r>
        <w:rPr>
          <w:rFonts w:ascii="Tw Cen MT" w:cs="Twentieth Century" w:eastAsia="Twentieth Century" w:hAnsi="Tw Cen MT"/>
          <w:sz w:val="24"/>
          <w:szCs w:val="24"/>
        </w:rPr>
        <w:t xml:space="preserve"> Virtual Grid 8:1, 10:1 dan 12:1 </w:t>
      </w:r>
      <w:r>
        <w:rPr>
          <w:rFonts w:ascii="Tw Cen MT" w:cs="Twentieth Century" w:eastAsia="Twentieth Century" w:hAnsi="Tw Cen MT"/>
          <w:sz w:val="24"/>
          <w:szCs w:val="24"/>
        </w:rPr>
        <w:t>diperoleh</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rerata</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nilai</w:t>
      </w:r>
      <w:r>
        <w:rPr>
          <w:rFonts w:ascii="Tw Cen MT" w:cs="Twentieth Century" w:eastAsia="Twentieth Century" w:hAnsi="Tw Cen MT"/>
          <w:sz w:val="24"/>
          <w:szCs w:val="24"/>
        </w:rPr>
        <w:t xml:space="preserve"> Pixel Value </w:t>
      </w:r>
      <w:r>
        <w:rPr>
          <w:rFonts w:ascii="Tw Cen MT" w:cs="Twentieth Century" w:eastAsia="Twentieth Century" w:hAnsi="Tw Cen MT"/>
          <w:sz w:val="24"/>
          <w:szCs w:val="24"/>
        </w:rPr>
        <w:t>tidak</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ada</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perbedaan</w:t>
      </w:r>
      <w:r>
        <w:rPr>
          <w:rFonts w:ascii="Tw Cen MT" w:cs="Twentieth Century" w:eastAsia="Twentieth Century" w:hAnsi="Tw Cen MT"/>
          <w:sz w:val="24"/>
          <w:szCs w:val="24"/>
        </w:rPr>
        <w:t xml:space="preserve"> dan </w:t>
      </w:r>
      <w:r>
        <w:rPr>
          <w:rFonts w:ascii="Tw Cen MT" w:cs="Twentieth Century" w:eastAsia="Twentieth Century" w:hAnsi="Tw Cen MT"/>
          <w:sz w:val="24"/>
          <w:szCs w:val="24"/>
        </w:rPr>
        <w:t>hasil</w:t>
      </w:r>
      <w:r>
        <w:rPr>
          <w:rFonts w:ascii="Tw Cen MT" w:cs="Twentieth Century" w:eastAsia="Twentieth Century" w:hAnsi="Tw Cen MT"/>
          <w:sz w:val="24"/>
          <w:szCs w:val="24"/>
        </w:rPr>
        <w:t xml:space="preserve"> uji </w:t>
      </w:r>
      <w:r>
        <w:rPr>
          <w:rFonts w:ascii="Tw Cen MT" w:cs="Twentieth Century" w:eastAsia="Twentieth Century" w:hAnsi="Tw Cen MT"/>
          <w:sz w:val="24"/>
          <w:szCs w:val="24"/>
        </w:rPr>
        <w:t>statistik</w:t>
      </w:r>
      <w:r>
        <w:rPr>
          <w:rFonts w:ascii="Tw Cen MT" w:cs="Twentieth Century" w:eastAsia="Twentieth Century" w:hAnsi="Tw Cen MT"/>
          <w:sz w:val="24"/>
          <w:szCs w:val="24"/>
        </w:rPr>
        <w:t xml:space="preserve"> one-way ANOVA </w:t>
      </w:r>
      <w:r>
        <w:rPr>
          <w:rFonts w:ascii="Tw Cen MT" w:cs="Twentieth Century" w:eastAsia="Twentieth Century" w:hAnsi="Tw Cen MT"/>
          <w:sz w:val="24"/>
          <w:szCs w:val="24"/>
        </w:rPr>
        <w:t>diperoleh</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nilai</w:t>
      </w:r>
      <w:r>
        <w:rPr>
          <w:rFonts w:ascii="Tw Cen MT" w:cs="Twentieth Century" w:eastAsia="Twentieth Century" w:hAnsi="Tw Cen MT"/>
          <w:sz w:val="24"/>
          <w:szCs w:val="24"/>
        </w:rPr>
        <w:t xml:space="preserve"> p &gt; 0,05, yang </w:t>
      </w:r>
      <w:r>
        <w:rPr>
          <w:rFonts w:ascii="Tw Cen MT" w:cs="Twentieth Century" w:eastAsia="Twentieth Century" w:hAnsi="Tw Cen MT"/>
          <w:sz w:val="24"/>
          <w:szCs w:val="24"/>
        </w:rPr>
        <w:t>menunjukkan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bahwa</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tidak</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terdapat</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perbedaan</w:t>
      </w:r>
      <w:r>
        <w:rPr>
          <w:rFonts w:ascii="Tw Cen MT" w:cs="Twentieth Century" w:eastAsia="Twentieth Century" w:hAnsi="Tw Cen MT"/>
          <w:sz w:val="24"/>
          <w:szCs w:val="24"/>
        </w:rPr>
        <w:t xml:space="preserve"> yang </w:t>
      </w:r>
      <w:r>
        <w:rPr>
          <w:rFonts w:ascii="Tw Cen MT" w:cs="Twentieth Century" w:eastAsia="Twentieth Century" w:hAnsi="Tw Cen MT"/>
          <w:sz w:val="24"/>
          <w:szCs w:val="24"/>
        </w:rPr>
        <w:t>signifikan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terhadap</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nilai</w:t>
      </w:r>
      <w:r>
        <w:rPr>
          <w:rFonts w:ascii="Tw Cen MT" w:cs="Twentieth Century" w:eastAsia="Twentieth Century" w:hAnsi="Tw Cen MT"/>
          <w:sz w:val="24"/>
          <w:szCs w:val="24"/>
        </w:rPr>
        <w:t xml:space="preserve"> Pixel Value pada </w:t>
      </w:r>
      <w:r>
        <w:rPr>
          <w:rFonts w:ascii="Tw Cen MT" w:cs="Twentieth Century" w:eastAsia="Twentieth Century" w:hAnsi="Tw Cen MT"/>
          <w:sz w:val="24"/>
          <w:szCs w:val="24"/>
        </w:rPr>
        <w:t>pemeriksaan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Os</w:t>
      </w:r>
      <w:r>
        <w:rPr>
          <w:rFonts w:ascii="Tw Cen MT" w:cs="Twentieth Century" w:eastAsia="Twentieth Century" w:hAnsi="Tw Cen MT"/>
          <w:sz w:val="24"/>
          <w:szCs w:val="24"/>
        </w:rPr>
        <w:t xml:space="preserve"> Sacrum </w:t>
      </w:r>
      <w:r>
        <w:rPr>
          <w:rFonts w:ascii="Tw Cen MT" w:cs="Twentieth Century" w:eastAsia="Twentieth Century" w:hAnsi="Tw Cen MT"/>
          <w:sz w:val="24"/>
          <w:szCs w:val="24"/>
        </w:rPr>
        <w:t>proyeksi</w:t>
      </w:r>
      <w:r>
        <w:rPr>
          <w:rFonts w:ascii="Tw Cen MT" w:cs="Twentieth Century" w:eastAsia="Twentieth Century" w:hAnsi="Tw Cen MT"/>
          <w:sz w:val="24"/>
          <w:szCs w:val="24"/>
        </w:rPr>
        <w:t xml:space="preserve"> lateral </w:t>
      </w:r>
      <w:r>
        <w:rPr>
          <w:rFonts w:ascii="Tw Cen MT" w:cs="Twentieth Century" w:eastAsia="Twentieth Century" w:hAnsi="Tw Cen MT"/>
          <w:sz w:val="24"/>
          <w:szCs w:val="24"/>
        </w:rPr>
        <w:t>menggunakan</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variasi</w:t>
      </w:r>
      <w:r>
        <w:rPr>
          <w:rFonts w:ascii="Tw Cen MT" w:cs="Twentieth Century" w:eastAsia="Twentieth Century" w:hAnsi="Tw Cen MT"/>
          <w:sz w:val="24"/>
          <w:szCs w:val="24"/>
        </w:rPr>
        <w:t xml:space="preserve"> </w:t>
      </w:r>
      <w:r>
        <w:rPr>
          <w:rFonts w:ascii="Tw Cen MT" w:cs="Twentieth Century" w:eastAsia="Twentieth Century" w:hAnsi="Tw Cen MT"/>
          <w:sz w:val="24"/>
          <w:szCs w:val="24"/>
        </w:rPr>
        <w:t>rasio</w:t>
      </w:r>
      <w:r>
        <w:rPr>
          <w:rFonts w:ascii="Tw Cen MT" w:cs="Twentieth Century" w:eastAsia="Twentieth Century" w:hAnsi="Tw Cen MT"/>
          <w:sz w:val="24"/>
          <w:szCs w:val="24"/>
        </w:rPr>
        <w:t xml:space="preserve"> Virtual Grid 8:1, 10:1, dan 12:1. </w:t>
      </w:r>
    </w:p>
    <w:p>
      <w:pPr>
        <w:pStyle w:val="style0"/>
        <w:tabs>
          <w:tab w:val="left" w:leader="none" w:pos="426"/>
        </w:tabs>
        <w:spacing w:after="0" w:lineRule="auto" w:line="240"/>
        <w:jc w:val="both"/>
        <w:rPr>
          <w:rFonts w:ascii="Tw Cen MT" w:cs="Twentieth Century" w:eastAsia="Twentieth Century" w:hAnsi="Tw Cen MT"/>
          <w:sz w:val="24"/>
          <w:szCs w:val="24"/>
        </w:rPr>
      </w:pPr>
    </w:p>
    <w:p>
      <w:pPr>
        <w:pStyle w:val="style0"/>
        <w:tabs>
          <w:tab w:val="left" w:leader="none" w:pos="426"/>
        </w:tabs>
        <w:spacing w:after="0" w:lineRule="auto" w:line="240"/>
        <w:jc w:val="both"/>
        <w:rPr>
          <w:rFonts w:ascii="Tw Cen MT" w:cs="Twentieth Century" w:eastAsia="Twentieth Century" w:hAnsi="Tw Cen MT"/>
          <w:b/>
          <w:sz w:val="24"/>
          <w:szCs w:val="24"/>
        </w:rPr>
      </w:pPr>
    </w:p>
    <w:commentRangeStart w:id="4"/>
    <w:p>
      <w:pPr>
        <w:pStyle w:val="style0"/>
        <w:tabs>
          <w:tab w:val="left" w:leader="none" w:pos="426"/>
        </w:tabs>
        <w:spacing w:after="0" w:lineRule="auto" w:line="240"/>
        <w:jc w:val="both"/>
        <w:rPr>
          <w:rFonts w:ascii="Tw Cen MT" w:cs="Twentieth Century" w:eastAsia="Twentieth Century" w:hAnsi="Tw Cen MT"/>
          <w:b/>
          <w:sz w:val="24"/>
          <w:szCs w:val="24"/>
        </w:rPr>
      </w:pPr>
      <w:r>
        <w:rPr>
          <w:rFonts w:ascii="Tw Cen MT" w:cs="Twentieth Century" w:eastAsia="Twentieth Century" w:hAnsi="Tw Cen MT"/>
          <w:b/>
          <w:sz w:val="24"/>
          <w:szCs w:val="24"/>
        </w:rPr>
        <w:t>DAFTAR</w:t>
      </w:r>
      <w:commentRangeEnd w:id="4"/>
      <w:r>
        <w:rPr/>
        <w:commentReference w:id="4"/>
      </w:r>
      <w:r>
        <w:rPr>
          <w:rFonts w:ascii="Tw Cen MT" w:cs="Twentieth Century" w:eastAsia="Twentieth Century" w:hAnsi="Tw Cen MT"/>
          <w:b/>
          <w:sz w:val="24"/>
          <w:szCs w:val="24"/>
        </w:rPr>
        <w:t xml:space="preserve"> PUSTAKA</w:t>
      </w:r>
    </w:p>
    <w:p>
      <w:pPr>
        <w:pStyle w:val="style0"/>
        <w:widowControl w:val="false"/>
        <w:autoSpaceDE w:val="false"/>
        <w:autoSpaceDN w:val="false"/>
        <w:adjustRightInd w:val="false"/>
        <w:spacing w:after="0" w:lineRule="auto" w:line="240"/>
        <w:ind w:left="640" w:hanging="640"/>
        <w:jc w:val="both"/>
        <w:rPr>
          <w:rFonts w:ascii="Tw Cen MT" w:cs="Times New Roman" w:hAnsi="Tw Cen MT"/>
          <w:noProof/>
          <w:sz w:val="24"/>
        </w:rPr>
      </w:pPr>
      <w:r>
        <w:rPr>
          <w:rFonts w:ascii="Tw Cen MT" w:cs="Twentieth Century" w:eastAsia="Twentieth Century" w:hAnsi="Tw Cen MT"/>
          <w:b/>
          <w:sz w:val="24"/>
          <w:szCs w:val="24"/>
        </w:rPr>
        <w:fldChar w:fldCharType="begin"/>
      </w:r>
      <w:r>
        <w:rPr>
          <w:rFonts w:ascii="Tw Cen MT" w:cs="Twentieth Century" w:eastAsia="Twentieth Century" w:hAnsi="Tw Cen MT"/>
          <w:b/>
          <w:sz w:val="24"/>
          <w:szCs w:val="24"/>
        </w:rPr>
        <w:instrText xml:space="preserve">ADDIN Mendeley Bibliography CSL_BIBLIOGRAPHY </w:instrText>
      </w:r>
      <w:r>
        <w:rPr>
          <w:rFonts w:ascii="Tw Cen MT" w:cs="Twentieth Century" w:eastAsia="Twentieth Century" w:hAnsi="Tw Cen MT"/>
          <w:b/>
          <w:sz w:val="24"/>
          <w:szCs w:val="24"/>
        </w:rPr>
        <w:fldChar w:fldCharType="separate"/>
      </w:r>
      <w:r>
        <w:rPr>
          <w:rFonts w:ascii="Tw Cen MT" w:cs="Times New Roman" w:hAnsi="Tw Cen MT"/>
          <w:noProof/>
          <w:sz w:val="24"/>
        </w:rPr>
        <w:t>[1]</w:t>
      </w:r>
      <w:r>
        <w:rPr>
          <w:rFonts w:ascii="Tw Cen MT" w:cs="Times New Roman" w:hAnsi="Tw Cen MT"/>
          <w:noProof/>
          <w:sz w:val="24"/>
        </w:rPr>
        <w:tab/>
      </w:r>
      <w:r>
        <w:rPr>
          <w:rFonts w:ascii="Tw Cen MT" w:cs="Times New Roman" w:hAnsi="Tw Cen MT"/>
          <w:noProof/>
          <w:sz w:val="24"/>
        </w:rPr>
        <w:t>A. Steffen, U. Neitzel, K. Förger, and H. De, “Image repeat analysis for a digital radiography system Poster</w:t>
      </w:r>
      <w:r>
        <w:rPr>
          <w:rFonts w:ascii="Arial" w:cs="Arial" w:hAnsi="Arial"/>
          <w:noProof/>
          <w:sz w:val="24"/>
        </w:rPr>
        <w:t> </w:t>
      </w:r>
      <w:r>
        <w:rPr>
          <w:rFonts w:ascii="Tw Cen MT" w:cs="Times New Roman" w:hAnsi="Tw Cen MT"/>
          <w:noProof/>
          <w:sz w:val="24"/>
        </w:rPr>
        <w:t>: Congress</w:t>
      </w:r>
      <w:r>
        <w:rPr>
          <w:rFonts w:ascii="Arial" w:cs="Arial" w:hAnsi="Arial"/>
          <w:noProof/>
          <w:sz w:val="24"/>
        </w:rPr>
        <w:t> </w:t>
      </w:r>
      <w:r>
        <w:rPr>
          <w:rFonts w:ascii="Tw Cen MT" w:cs="Times New Roman" w:hAnsi="Tw Cen MT"/>
          <w:noProof/>
          <w:sz w:val="24"/>
        </w:rPr>
        <w:t>: Type</w:t>
      </w:r>
      <w:r>
        <w:rPr>
          <w:rFonts w:ascii="Arial" w:cs="Arial" w:hAnsi="Arial"/>
          <w:noProof/>
          <w:sz w:val="24"/>
        </w:rPr>
        <w:t> </w:t>
      </w:r>
      <w:r>
        <w:rPr>
          <w:rFonts w:ascii="Tw Cen MT" w:cs="Times New Roman" w:hAnsi="Tw Cen MT"/>
          <w:noProof/>
          <w:sz w:val="24"/>
        </w:rPr>
        <w:t>: Topic</w:t>
      </w:r>
      <w:r>
        <w:rPr>
          <w:rFonts w:ascii="Arial" w:cs="Arial" w:hAnsi="Arial"/>
          <w:noProof/>
          <w:sz w:val="24"/>
        </w:rPr>
        <w:t> </w:t>
      </w:r>
      <w:r>
        <w:rPr>
          <w:rFonts w:ascii="Tw Cen MT" w:cs="Times New Roman" w:hAnsi="Tw Cen MT"/>
          <w:noProof/>
          <w:sz w:val="24"/>
        </w:rPr>
        <w:t>: Authors</w:t>
      </w:r>
      <w:r>
        <w:rPr>
          <w:rFonts w:ascii="Arial" w:cs="Arial" w:hAnsi="Arial"/>
          <w:noProof/>
          <w:sz w:val="24"/>
        </w:rPr>
        <w:t> </w:t>
      </w:r>
      <w:r>
        <w:rPr>
          <w:rFonts w:ascii="Tw Cen MT" w:cs="Times New Roman" w:hAnsi="Tw Cen MT"/>
          <w:noProof/>
          <w:sz w:val="24"/>
        </w:rPr>
        <w:t>: Physics in Radiology,” pp. 1–6, 2006.</w:t>
      </w:r>
    </w:p>
    <w:p>
      <w:pPr>
        <w:pStyle w:val="style0"/>
        <w:widowControl w:val="false"/>
        <w:autoSpaceDE w:val="false"/>
        <w:autoSpaceDN w:val="false"/>
        <w:adjustRightInd w:val="false"/>
        <w:spacing w:after="0" w:lineRule="auto" w:line="240"/>
        <w:ind w:left="640" w:hanging="640"/>
        <w:jc w:val="both"/>
        <w:rPr>
          <w:rFonts w:ascii="Tw Cen MT" w:cs="Times New Roman" w:hAnsi="Tw Cen MT"/>
          <w:noProof/>
          <w:sz w:val="24"/>
        </w:rPr>
      </w:pPr>
      <w:r>
        <w:rPr>
          <w:rFonts w:ascii="Tw Cen MT" w:cs="Times New Roman" w:hAnsi="Tw Cen MT"/>
          <w:noProof/>
          <w:sz w:val="24"/>
        </w:rPr>
        <w:t>[2]</w:t>
      </w:r>
      <w:r>
        <w:rPr>
          <w:rFonts w:ascii="Tw Cen MT" w:cs="Times New Roman" w:hAnsi="Tw Cen MT"/>
          <w:noProof/>
          <w:sz w:val="24"/>
        </w:rPr>
        <w:tab/>
      </w:r>
      <w:r>
        <w:rPr>
          <w:rFonts w:ascii="Tw Cen MT" w:cs="Times New Roman" w:hAnsi="Tw Cen MT"/>
          <w:noProof/>
          <w:sz w:val="24"/>
        </w:rPr>
        <w:t>E. Kunarsih, I. Bagus, and G. Putra, “Jurnal Pengawasan Tenaga Nuklir Pemetaan Profil Potensi Unnecessary Exposure pada Pasien CT-Scan dan Radiografi Umum di Indonesia,” vol. 4, no. 2, pp. 73–80, 2024, doi: 10.53862/jupeten.v4i2.011.</w:t>
      </w:r>
    </w:p>
    <w:p>
      <w:pPr>
        <w:pStyle w:val="style0"/>
        <w:widowControl w:val="false"/>
        <w:autoSpaceDE w:val="false"/>
        <w:autoSpaceDN w:val="false"/>
        <w:adjustRightInd w:val="false"/>
        <w:spacing w:after="0" w:lineRule="auto" w:line="240"/>
        <w:ind w:left="640" w:hanging="640"/>
        <w:jc w:val="both"/>
        <w:rPr>
          <w:rFonts w:ascii="Tw Cen MT" w:cs="Times New Roman" w:hAnsi="Tw Cen MT"/>
          <w:noProof/>
          <w:sz w:val="24"/>
        </w:rPr>
      </w:pPr>
      <w:r>
        <w:rPr>
          <w:rFonts w:ascii="Tw Cen MT" w:cs="Times New Roman" w:hAnsi="Tw Cen MT"/>
          <w:noProof/>
          <w:sz w:val="24"/>
        </w:rPr>
        <w:t>[3]</w:t>
      </w:r>
      <w:r>
        <w:rPr>
          <w:rFonts w:ascii="Tw Cen MT" w:cs="Times New Roman" w:hAnsi="Tw Cen MT"/>
          <w:noProof/>
          <w:sz w:val="24"/>
        </w:rPr>
        <w:tab/>
      </w:r>
      <w:r>
        <w:rPr>
          <w:rFonts w:ascii="Tw Cen MT" w:cs="Times New Roman" w:hAnsi="Tw Cen MT"/>
          <w:noProof/>
          <w:sz w:val="24"/>
        </w:rPr>
        <w:t xml:space="preserve">M. Effendi, R. U. Fatimah, A. Sholeh, and W. Fatchurohmah, “Design of the aluminum compensating filter to improve the image quality in the lateral projection of lumbosacral vertebrae,” </w:t>
      </w:r>
      <w:r>
        <w:rPr>
          <w:rFonts w:ascii="Tw Cen MT" w:cs="Times New Roman" w:hAnsi="Tw Cen MT"/>
          <w:i/>
          <w:iCs/>
          <w:noProof/>
          <w:sz w:val="24"/>
        </w:rPr>
        <w:t>AIP Conf. Proc.</w:t>
      </w:r>
      <w:r>
        <w:rPr>
          <w:rFonts w:ascii="Tw Cen MT" w:cs="Times New Roman" w:hAnsi="Tw Cen MT"/>
          <w:noProof/>
          <w:sz w:val="24"/>
        </w:rPr>
        <w:t>, vol. 2094, no. April, 2019, doi: 10.1063/1.5097487.</w:t>
      </w:r>
    </w:p>
    <w:p>
      <w:pPr>
        <w:pStyle w:val="style0"/>
        <w:widowControl w:val="false"/>
        <w:autoSpaceDE w:val="false"/>
        <w:autoSpaceDN w:val="false"/>
        <w:adjustRightInd w:val="false"/>
        <w:spacing w:after="0" w:lineRule="auto" w:line="240"/>
        <w:ind w:left="640" w:hanging="640"/>
        <w:jc w:val="both"/>
        <w:rPr>
          <w:rFonts w:ascii="Tw Cen MT" w:cs="Times New Roman" w:hAnsi="Tw Cen MT"/>
          <w:noProof/>
          <w:sz w:val="24"/>
        </w:rPr>
      </w:pPr>
      <w:r>
        <w:rPr>
          <w:rFonts w:ascii="Tw Cen MT" w:cs="Times New Roman" w:hAnsi="Tw Cen MT"/>
          <w:noProof/>
          <w:sz w:val="24"/>
        </w:rPr>
        <w:t>[4]</w:t>
      </w:r>
      <w:r>
        <w:rPr>
          <w:rFonts w:ascii="Tw Cen MT" w:cs="Times New Roman" w:hAnsi="Tw Cen MT"/>
          <w:noProof/>
          <w:sz w:val="24"/>
        </w:rPr>
        <w:tab/>
      </w:r>
      <w:r>
        <w:rPr>
          <w:rFonts w:ascii="Tw Cen MT" w:cs="Times New Roman" w:hAnsi="Tw Cen MT"/>
          <w:noProof/>
          <w:sz w:val="24"/>
        </w:rPr>
        <w:t xml:space="preserve">T. Kawamura, S. Naito, K. Okano, and M. Yamada, “Improvement in Image Quality and Workflow of X-ray Examination Using a New Image Processing Method, ‘Virtual Grid Technology,’” </w:t>
      </w:r>
      <w:r>
        <w:rPr>
          <w:rFonts w:ascii="Tw Cen MT" w:cs="Times New Roman" w:hAnsi="Tw Cen MT"/>
          <w:i/>
          <w:iCs/>
          <w:noProof/>
          <w:sz w:val="24"/>
        </w:rPr>
        <w:t>FUJIFILM Res. Dev.</w:t>
      </w:r>
      <w:r>
        <w:rPr>
          <w:rFonts w:ascii="Tw Cen MT" w:cs="Times New Roman" w:hAnsi="Tw Cen MT"/>
          <w:noProof/>
          <w:sz w:val="24"/>
        </w:rPr>
        <w:t>, no. 60, pp. 21–27, 2015.</w:t>
      </w:r>
    </w:p>
    <w:p>
      <w:pPr>
        <w:pStyle w:val="style0"/>
        <w:widowControl w:val="false"/>
        <w:autoSpaceDE w:val="false"/>
        <w:autoSpaceDN w:val="false"/>
        <w:adjustRightInd w:val="false"/>
        <w:spacing w:after="0" w:lineRule="auto" w:line="240"/>
        <w:ind w:left="640" w:hanging="640"/>
        <w:jc w:val="both"/>
        <w:rPr>
          <w:rFonts w:ascii="Tw Cen MT" w:cs="Times New Roman" w:hAnsi="Tw Cen MT"/>
          <w:noProof/>
          <w:sz w:val="24"/>
        </w:rPr>
      </w:pPr>
      <w:r>
        <w:rPr>
          <w:rFonts w:ascii="Tw Cen MT" w:cs="Times New Roman" w:hAnsi="Tw Cen MT"/>
          <w:noProof/>
          <w:sz w:val="24"/>
        </w:rPr>
        <w:t>[5]</w:t>
      </w:r>
      <w:r>
        <w:rPr>
          <w:rFonts w:ascii="Tw Cen MT" w:cs="Times New Roman" w:hAnsi="Tw Cen MT"/>
          <w:noProof/>
          <w:sz w:val="24"/>
        </w:rPr>
        <w:tab/>
      </w:r>
      <w:r>
        <w:rPr>
          <w:rFonts w:ascii="Tw Cen MT" w:cs="Times New Roman" w:hAnsi="Tw Cen MT"/>
          <w:noProof/>
          <w:sz w:val="24"/>
        </w:rPr>
        <w:t>F. Ardoni, L. Choridah, E. Susanto, and M. Irsal, “Radiation Dose and Image Quality with Exposure Factor Variation Using a Virtual Grid in Digital Radiography,” pp. 323–331, 2023, doi: https://doi.org/10.32628/IJSRST52310649 Radiation.</w:t>
      </w:r>
    </w:p>
    <w:p>
      <w:pPr>
        <w:pStyle w:val="style0"/>
        <w:widowControl w:val="false"/>
        <w:autoSpaceDE w:val="false"/>
        <w:autoSpaceDN w:val="false"/>
        <w:adjustRightInd w:val="false"/>
        <w:spacing w:after="0" w:lineRule="auto" w:line="240"/>
        <w:ind w:left="640" w:hanging="640"/>
        <w:jc w:val="both"/>
        <w:rPr>
          <w:rFonts w:ascii="Tw Cen MT" w:cs="Times New Roman" w:hAnsi="Tw Cen MT"/>
          <w:noProof/>
          <w:sz w:val="24"/>
        </w:rPr>
      </w:pPr>
      <w:r>
        <w:rPr>
          <w:rFonts w:ascii="Tw Cen MT" w:cs="Times New Roman" w:hAnsi="Tw Cen MT"/>
          <w:noProof/>
          <w:sz w:val="24"/>
        </w:rPr>
        <w:t>[6]</w:t>
      </w:r>
      <w:r>
        <w:rPr>
          <w:rFonts w:ascii="Tw Cen MT" w:cs="Times New Roman" w:hAnsi="Tw Cen MT"/>
          <w:noProof/>
          <w:sz w:val="24"/>
        </w:rPr>
        <w:tab/>
      </w:r>
      <w:r>
        <w:rPr>
          <w:rFonts w:ascii="Tw Cen MT" w:cs="Times New Roman" w:hAnsi="Tw Cen MT"/>
          <w:noProof/>
          <w:sz w:val="24"/>
        </w:rPr>
        <w:t xml:space="preserve">BAPETEN REPUBLIK INDONESIA, “Peraturan Badan Pengawas Tenaga Nuklir Republik Indonesia Nomor 2 Tahun 2Oi8Tentang Uji Kesesuaian Pesawat Sinar-X Radiologi Diagnostik Dan in Tervensional,” </w:t>
      </w:r>
      <w:r>
        <w:rPr>
          <w:rFonts w:ascii="Tw Cen MT" w:cs="Times New Roman" w:hAnsi="Tw Cen MT"/>
          <w:i/>
          <w:iCs/>
          <w:noProof/>
          <w:sz w:val="24"/>
        </w:rPr>
        <w:t>Bapeten Republik Indones.</w:t>
      </w:r>
      <w:r>
        <w:rPr>
          <w:rFonts w:ascii="Tw Cen MT" w:cs="Times New Roman" w:hAnsi="Tw Cen MT"/>
          <w:noProof/>
          <w:sz w:val="24"/>
        </w:rPr>
        <w:t>, pp. 1–73, 2018.</w:t>
      </w:r>
    </w:p>
    <w:p>
      <w:pPr>
        <w:pStyle w:val="style0"/>
        <w:widowControl w:val="false"/>
        <w:autoSpaceDE w:val="false"/>
        <w:autoSpaceDN w:val="false"/>
        <w:adjustRightInd w:val="false"/>
        <w:spacing w:after="0" w:lineRule="auto" w:line="240"/>
        <w:ind w:left="640" w:hanging="640"/>
        <w:jc w:val="both"/>
        <w:rPr>
          <w:rFonts w:ascii="Tw Cen MT" w:cs="Times New Roman" w:hAnsi="Tw Cen MT"/>
          <w:noProof/>
          <w:sz w:val="24"/>
        </w:rPr>
      </w:pPr>
      <w:r>
        <w:rPr>
          <w:rFonts w:ascii="Tw Cen MT" w:cs="Times New Roman" w:hAnsi="Tw Cen MT"/>
          <w:noProof/>
          <w:sz w:val="24"/>
        </w:rPr>
        <w:t>[7]</w:t>
      </w:r>
      <w:r>
        <w:rPr>
          <w:rFonts w:ascii="Tw Cen MT" w:cs="Times New Roman" w:hAnsi="Tw Cen MT"/>
          <w:noProof/>
          <w:sz w:val="24"/>
        </w:rPr>
        <w:tab/>
      </w:r>
      <w:r>
        <w:rPr>
          <w:rFonts w:ascii="Tw Cen MT" w:cs="Times New Roman" w:hAnsi="Tw Cen MT"/>
          <w:noProof/>
          <w:sz w:val="24"/>
        </w:rPr>
        <w:t xml:space="preserve">T. Report and A. T. Group, </w:t>
      </w:r>
      <w:r>
        <w:rPr>
          <w:rFonts w:ascii="Tw Cen MT" w:cs="Times New Roman" w:hAnsi="Tw Cen MT"/>
          <w:i/>
          <w:iCs/>
          <w:noProof/>
          <w:sz w:val="24"/>
        </w:rPr>
        <w:t>Acceptance Testing and Quality Control of Digital Radiographic Imaging Systems The Report of AAPM Task Group 150</w:t>
      </w:r>
      <w:r>
        <w:rPr>
          <w:rFonts w:ascii="Tw Cen MT" w:cs="Times New Roman" w:hAnsi="Tw Cen MT"/>
          <w:noProof/>
          <w:sz w:val="24"/>
        </w:rPr>
        <w:t>, no. 150. 2024.</w:t>
      </w:r>
    </w:p>
    <w:p>
      <w:pPr>
        <w:pStyle w:val="style0"/>
        <w:widowControl w:val="false"/>
        <w:autoSpaceDE w:val="false"/>
        <w:autoSpaceDN w:val="false"/>
        <w:adjustRightInd w:val="false"/>
        <w:spacing w:after="0" w:lineRule="auto" w:line="240"/>
        <w:ind w:left="640" w:hanging="640"/>
        <w:jc w:val="both"/>
        <w:rPr>
          <w:rFonts w:ascii="Tw Cen MT" w:cs="Times New Roman" w:hAnsi="Tw Cen MT"/>
          <w:noProof/>
          <w:sz w:val="24"/>
        </w:rPr>
      </w:pPr>
      <w:r>
        <w:rPr>
          <w:rFonts w:ascii="Tw Cen MT" w:cs="Times New Roman" w:hAnsi="Tw Cen MT"/>
          <w:noProof/>
          <w:sz w:val="24"/>
        </w:rPr>
        <w:t>[8]</w:t>
      </w:r>
      <w:r>
        <w:rPr>
          <w:rFonts w:ascii="Tw Cen MT" w:cs="Times New Roman" w:hAnsi="Tw Cen MT"/>
          <w:noProof/>
          <w:sz w:val="24"/>
        </w:rPr>
        <w:tab/>
      </w:r>
      <w:r>
        <w:rPr>
          <w:rFonts w:ascii="Tw Cen MT" w:cs="Times New Roman" w:hAnsi="Tw Cen MT"/>
          <w:noProof/>
          <w:sz w:val="24"/>
        </w:rPr>
        <w:t xml:space="preserve">Setyawan Dodiet Aditya, </w:t>
      </w:r>
      <w:r>
        <w:rPr>
          <w:rFonts w:ascii="Tw Cen MT" w:cs="Times New Roman" w:hAnsi="Tw Cen MT"/>
          <w:i/>
          <w:iCs/>
          <w:noProof/>
          <w:sz w:val="24"/>
        </w:rPr>
        <w:t>Petunjuk Praktikum-Uji Normalitas dan Homogenitas Data dengan SPSS</w:t>
      </w:r>
      <w:r>
        <w:rPr>
          <w:rFonts w:ascii="Tw Cen MT" w:cs="Times New Roman" w:hAnsi="Tw Cen MT"/>
          <w:noProof/>
          <w:sz w:val="24"/>
        </w:rPr>
        <w:t>, no. July. 2021. [Online]. Available: https://www.researchgate.net/publication/350480720</w:t>
      </w:r>
    </w:p>
    <w:p>
      <w:pPr>
        <w:pStyle w:val="style0"/>
        <w:widowControl w:val="false"/>
        <w:autoSpaceDE w:val="false"/>
        <w:autoSpaceDN w:val="false"/>
        <w:adjustRightInd w:val="false"/>
        <w:spacing w:after="0" w:lineRule="auto" w:line="240"/>
        <w:ind w:left="640" w:hanging="640"/>
        <w:jc w:val="both"/>
        <w:rPr>
          <w:rFonts w:ascii="Tw Cen MT" w:cs="Times New Roman" w:hAnsi="Tw Cen MT"/>
          <w:noProof/>
          <w:sz w:val="24"/>
        </w:rPr>
      </w:pPr>
      <w:r>
        <w:rPr>
          <w:rFonts w:ascii="Tw Cen MT" w:cs="Times New Roman" w:hAnsi="Tw Cen MT"/>
          <w:noProof/>
          <w:sz w:val="24"/>
        </w:rPr>
        <w:t>[9]</w:t>
      </w:r>
      <w:r>
        <w:rPr>
          <w:rFonts w:ascii="Tw Cen MT" w:cs="Times New Roman" w:hAnsi="Tw Cen MT"/>
          <w:noProof/>
          <w:sz w:val="24"/>
        </w:rPr>
        <w:tab/>
      </w:r>
      <w:r>
        <w:rPr>
          <w:rFonts w:ascii="Tw Cen MT" w:cs="Times New Roman" w:hAnsi="Tw Cen MT"/>
          <w:noProof/>
          <w:sz w:val="24"/>
        </w:rPr>
        <w:t xml:space="preserve">P. Sprawls. Jr, </w:t>
      </w:r>
      <w:r>
        <w:rPr>
          <w:rFonts w:ascii="Tw Cen MT" w:cs="Times New Roman" w:hAnsi="Tw Cen MT"/>
          <w:i/>
          <w:iCs/>
          <w:noProof/>
          <w:sz w:val="24"/>
        </w:rPr>
        <w:t>Physical Principles of Medical Imaging. 2nd ed</w:t>
      </w:r>
      <w:r>
        <w:rPr>
          <w:rFonts w:ascii="Tw Cen MT" w:cs="Times New Roman" w:hAnsi="Tw Cen MT"/>
          <w:noProof/>
          <w:sz w:val="24"/>
        </w:rPr>
        <w:t>, vol. 200, no. 2. 1996. doi: 10.1148/radiology.200.2.504.</w:t>
      </w:r>
    </w:p>
    <w:p>
      <w:pPr>
        <w:pStyle w:val="style0"/>
        <w:widowControl w:val="false"/>
        <w:autoSpaceDE w:val="false"/>
        <w:autoSpaceDN w:val="false"/>
        <w:adjustRightInd w:val="false"/>
        <w:spacing w:after="0" w:lineRule="auto" w:line="240"/>
        <w:ind w:left="640" w:hanging="640"/>
        <w:jc w:val="both"/>
        <w:rPr>
          <w:rFonts w:ascii="Tw Cen MT" w:cs="Times New Roman" w:hAnsi="Tw Cen MT"/>
          <w:noProof/>
          <w:sz w:val="24"/>
        </w:rPr>
      </w:pPr>
      <w:r>
        <w:rPr>
          <w:rFonts w:ascii="Tw Cen MT" w:cs="Times New Roman" w:hAnsi="Tw Cen MT"/>
          <w:noProof/>
          <w:sz w:val="24"/>
        </w:rPr>
        <w:t>[10]</w:t>
      </w:r>
      <w:r>
        <w:rPr>
          <w:rFonts w:ascii="Tw Cen MT" w:cs="Times New Roman" w:hAnsi="Tw Cen MT"/>
          <w:noProof/>
          <w:sz w:val="24"/>
        </w:rPr>
        <w:tab/>
      </w:r>
      <w:r>
        <w:rPr>
          <w:rFonts w:ascii="Tw Cen MT" w:cs="Times New Roman" w:hAnsi="Tw Cen MT"/>
          <w:noProof/>
          <w:sz w:val="24"/>
        </w:rPr>
        <w:t xml:space="preserve">J. P. Lampignano and L. E. Kendrick, </w:t>
      </w:r>
      <w:r>
        <w:rPr>
          <w:rFonts w:ascii="Tw Cen MT" w:cs="Times New Roman" w:hAnsi="Tw Cen MT"/>
          <w:i/>
          <w:iCs/>
          <w:noProof/>
          <w:sz w:val="24"/>
        </w:rPr>
        <w:t>Bontrager’s TEXTBOOK of RADIOGRAPHIC POSITIONING and RELATED ANATOMY</w:t>
      </w:r>
      <w:r>
        <w:rPr>
          <w:rFonts w:ascii="Tw Cen MT" w:cs="Times New Roman" w:hAnsi="Tw Cen MT"/>
          <w:noProof/>
          <w:sz w:val="24"/>
        </w:rPr>
        <w:t>, NINTH EDIT. 2018.</w:t>
      </w:r>
    </w:p>
    <w:p>
      <w:pPr>
        <w:pStyle w:val="style0"/>
        <w:widowControl w:val="false"/>
        <w:autoSpaceDE w:val="false"/>
        <w:autoSpaceDN w:val="false"/>
        <w:adjustRightInd w:val="false"/>
        <w:spacing w:after="0" w:lineRule="auto" w:line="240"/>
        <w:ind w:left="640" w:hanging="640"/>
        <w:jc w:val="both"/>
        <w:rPr>
          <w:rFonts w:ascii="Tw Cen MT" w:cs="Times New Roman" w:hAnsi="Tw Cen MT"/>
          <w:noProof/>
          <w:sz w:val="24"/>
        </w:rPr>
      </w:pPr>
      <w:r>
        <w:rPr>
          <w:rFonts w:ascii="Tw Cen MT" w:cs="Times New Roman" w:hAnsi="Tw Cen MT"/>
          <w:noProof/>
          <w:sz w:val="24"/>
        </w:rPr>
        <w:t>[11]</w:t>
      </w:r>
      <w:r>
        <w:rPr>
          <w:rFonts w:ascii="Tw Cen MT" w:cs="Times New Roman" w:hAnsi="Tw Cen MT"/>
          <w:noProof/>
          <w:sz w:val="24"/>
        </w:rPr>
        <w:tab/>
      </w:r>
      <w:r>
        <w:rPr>
          <w:rFonts w:ascii="Tw Cen MT" w:cs="Times New Roman" w:hAnsi="Tw Cen MT"/>
          <w:noProof/>
          <w:sz w:val="24"/>
        </w:rPr>
        <w:t xml:space="preserve">T. L. Fauber, </w:t>
      </w:r>
      <w:r>
        <w:rPr>
          <w:rFonts w:ascii="Tw Cen MT" w:cs="Times New Roman" w:hAnsi="Tw Cen MT"/>
          <w:i/>
          <w:iCs/>
          <w:noProof/>
          <w:sz w:val="24"/>
        </w:rPr>
        <w:t>Radiographic Imaging and Exposure</w:t>
      </w:r>
      <w:r>
        <w:rPr>
          <w:rFonts w:ascii="Tw Cen MT" w:cs="Times New Roman" w:hAnsi="Tw Cen MT"/>
          <w:noProof/>
          <w:sz w:val="24"/>
        </w:rPr>
        <w:t>, Fifth edit. Elsevier Inc., 2016.</w:t>
      </w:r>
    </w:p>
    <w:p>
      <w:pPr>
        <w:pStyle w:val="style0"/>
        <w:widowControl w:val="false"/>
        <w:autoSpaceDE w:val="false"/>
        <w:autoSpaceDN w:val="false"/>
        <w:adjustRightInd w:val="false"/>
        <w:spacing w:after="0" w:lineRule="auto" w:line="240"/>
        <w:ind w:left="640" w:hanging="640"/>
        <w:jc w:val="both"/>
        <w:rPr>
          <w:rFonts w:ascii="Tw Cen MT" w:cs="Times New Roman" w:hAnsi="Tw Cen MT"/>
          <w:noProof/>
          <w:sz w:val="24"/>
        </w:rPr>
      </w:pPr>
      <w:r>
        <w:rPr>
          <w:rFonts w:ascii="Tw Cen MT" w:cs="Times New Roman" w:hAnsi="Tw Cen MT"/>
          <w:noProof/>
          <w:sz w:val="24"/>
        </w:rPr>
        <w:t>[12]</w:t>
      </w:r>
      <w:r>
        <w:rPr>
          <w:rFonts w:ascii="Tw Cen MT" w:cs="Times New Roman" w:hAnsi="Tw Cen MT"/>
          <w:noProof/>
          <w:sz w:val="24"/>
        </w:rPr>
        <w:tab/>
      </w:r>
      <w:r>
        <w:rPr>
          <w:rFonts w:ascii="Tw Cen MT" w:cs="Times New Roman" w:hAnsi="Tw Cen MT"/>
          <w:noProof/>
          <w:sz w:val="24"/>
        </w:rPr>
        <w:t xml:space="preserve">A. Pascoal, C. P. Lawinski, I. Honey, and P. Blake, “Evaluation of a software package for automated quality assessment of contrast detail images - Comparison with subjective visual assessment,” </w:t>
      </w:r>
      <w:r>
        <w:rPr>
          <w:rFonts w:ascii="Tw Cen MT" w:cs="Times New Roman" w:hAnsi="Tw Cen MT"/>
          <w:i/>
          <w:iCs/>
          <w:noProof/>
          <w:sz w:val="24"/>
        </w:rPr>
        <w:t>Phys. Med. Biol.</w:t>
      </w:r>
      <w:r>
        <w:rPr>
          <w:rFonts w:ascii="Tw Cen MT" w:cs="Times New Roman" w:hAnsi="Tw Cen MT"/>
          <w:noProof/>
          <w:sz w:val="24"/>
        </w:rPr>
        <w:t>, vol. 50, no. 23, pp. 5743–5757, 2005, doi: 10.1088/0031-9155/50/23/023.</w:t>
      </w:r>
    </w:p>
    <w:p>
      <w:pPr>
        <w:pStyle w:val="style0"/>
        <w:widowControl w:val="false"/>
        <w:autoSpaceDE w:val="false"/>
        <w:autoSpaceDN w:val="false"/>
        <w:adjustRightInd w:val="false"/>
        <w:spacing w:after="0" w:lineRule="auto" w:line="240"/>
        <w:ind w:left="640" w:hanging="640"/>
        <w:jc w:val="both"/>
        <w:rPr>
          <w:rFonts w:ascii="Tw Cen MT" w:cs="Times New Roman" w:hAnsi="Tw Cen MT"/>
          <w:noProof/>
          <w:sz w:val="24"/>
        </w:rPr>
      </w:pPr>
      <w:r>
        <w:rPr>
          <w:rFonts w:ascii="Tw Cen MT" w:cs="Times New Roman" w:hAnsi="Tw Cen MT"/>
          <w:noProof/>
          <w:sz w:val="24"/>
        </w:rPr>
        <w:t>[13]</w:t>
      </w:r>
      <w:r>
        <w:rPr>
          <w:rFonts w:ascii="Tw Cen MT" w:cs="Times New Roman" w:hAnsi="Tw Cen MT"/>
          <w:noProof/>
          <w:sz w:val="24"/>
        </w:rPr>
        <w:tab/>
      </w:r>
      <w:r>
        <w:rPr>
          <w:rFonts w:ascii="Tw Cen MT" w:cs="Times New Roman" w:hAnsi="Tw Cen MT"/>
          <w:noProof/>
          <w:sz w:val="24"/>
        </w:rPr>
        <w:t xml:space="preserve">T. Gossye </w:t>
      </w:r>
      <w:r>
        <w:rPr>
          <w:rFonts w:ascii="Tw Cen MT" w:cs="Times New Roman" w:hAnsi="Tw Cen MT"/>
          <w:i/>
          <w:iCs/>
          <w:noProof/>
          <w:sz w:val="24"/>
        </w:rPr>
        <w:t>et al.</w:t>
      </w:r>
      <w:r>
        <w:rPr>
          <w:rFonts w:ascii="Tw Cen MT" w:cs="Times New Roman" w:hAnsi="Tw Cen MT"/>
          <w:noProof/>
          <w:sz w:val="24"/>
        </w:rPr>
        <w:t xml:space="preserve">, “Evaluation of Virtual Grid processed clinical pelvic radiographs,” </w:t>
      </w:r>
      <w:r>
        <w:rPr>
          <w:rFonts w:ascii="Tw Cen MT" w:cs="Times New Roman" w:hAnsi="Tw Cen MT"/>
          <w:i/>
          <w:iCs/>
          <w:noProof/>
          <w:sz w:val="24"/>
        </w:rPr>
        <w:t>J. Appl. Clin. Med. Phys.</w:t>
      </w:r>
      <w:r>
        <w:rPr>
          <w:rFonts w:ascii="Tw Cen MT" w:cs="Times New Roman" w:hAnsi="Tw Cen MT"/>
          <w:noProof/>
          <w:sz w:val="24"/>
        </w:rPr>
        <w:t>, vol. 25, no. 6, pp. 1–8, 2024, doi: 10.1002/acm2.14353.</w:t>
      </w:r>
    </w:p>
    <w:p>
      <w:pPr>
        <w:pStyle w:val="style0"/>
        <w:widowControl w:val="false"/>
        <w:autoSpaceDE w:val="false"/>
        <w:autoSpaceDN w:val="false"/>
        <w:adjustRightInd w:val="false"/>
        <w:spacing w:after="0" w:lineRule="auto" w:line="240"/>
        <w:ind w:left="640" w:hanging="640"/>
        <w:jc w:val="both"/>
        <w:rPr>
          <w:rFonts w:ascii="Tw Cen MT" w:cs="Times New Roman" w:hAnsi="Tw Cen MT"/>
          <w:noProof/>
          <w:sz w:val="24"/>
        </w:rPr>
      </w:pPr>
      <w:r>
        <w:rPr>
          <w:rFonts w:ascii="Tw Cen MT" w:cs="Times New Roman" w:hAnsi="Tw Cen MT"/>
          <w:noProof/>
          <w:sz w:val="24"/>
        </w:rPr>
        <w:t>[14]</w:t>
      </w:r>
      <w:r>
        <w:rPr>
          <w:rFonts w:ascii="Tw Cen MT" w:cs="Times New Roman" w:hAnsi="Tw Cen MT"/>
          <w:noProof/>
          <w:sz w:val="24"/>
        </w:rPr>
        <w:tab/>
      </w:r>
      <w:r>
        <w:rPr>
          <w:rFonts w:ascii="Tw Cen MT" w:cs="Times New Roman" w:hAnsi="Tw Cen MT"/>
          <w:noProof/>
          <w:sz w:val="24"/>
        </w:rPr>
        <w:t xml:space="preserve">B. W. Long, J. H. Rollins, and B. J. Smith, </w:t>
      </w:r>
      <w:r>
        <w:rPr>
          <w:rFonts w:ascii="Tw Cen MT" w:cs="Times New Roman" w:hAnsi="Tw Cen MT"/>
          <w:i/>
          <w:iCs/>
          <w:noProof/>
          <w:sz w:val="24"/>
        </w:rPr>
        <w:t>Merrill ’ S Atlas of, Radiographic Positioning dan Procedures</w:t>
      </w:r>
      <w:r>
        <w:rPr>
          <w:rFonts w:ascii="Tw Cen MT" w:cs="Times New Roman" w:hAnsi="Tw Cen MT"/>
          <w:noProof/>
          <w:sz w:val="24"/>
        </w:rPr>
        <w:t>, FIFTEENTH. 2023.</w:t>
      </w:r>
    </w:p>
    <w:p>
      <w:pPr>
        <w:pStyle w:val="style0"/>
        <w:widowControl w:val="false"/>
        <w:autoSpaceDE w:val="false"/>
        <w:autoSpaceDN w:val="false"/>
        <w:adjustRightInd w:val="false"/>
        <w:spacing w:after="0" w:lineRule="auto" w:line="240"/>
        <w:ind w:left="640" w:hanging="640"/>
        <w:jc w:val="both"/>
        <w:rPr>
          <w:rFonts w:ascii="Tw Cen MT" w:hAnsi="Tw Cen MT"/>
          <w:noProof/>
          <w:sz w:val="24"/>
        </w:rPr>
      </w:pPr>
      <w:r>
        <w:rPr>
          <w:rFonts w:ascii="Tw Cen MT" w:cs="Times New Roman" w:hAnsi="Tw Cen MT"/>
          <w:noProof/>
          <w:sz w:val="24"/>
        </w:rPr>
        <w:t>[15]</w:t>
      </w:r>
      <w:r>
        <w:rPr>
          <w:rFonts w:ascii="Tw Cen MT" w:cs="Times New Roman" w:hAnsi="Tw Cen MT"/>
          <w:noProof/>
          <w:sz w:val="24"/>
        </w:rPr>
        <w:tab/>
      </w:r>
      <w:r>
        <w:rPr>
          <w:rFonts w:ascii="Tw Cen MT" w:cs="Times New Roman" w:hAnsi="Tw Cen MT"/>
          <w:noProof/>
          <w:sz w:val="24"/>
        </w:rPr>
        <w:t xml:space="preserve">D. R. Dance, S. Christofides, A. D. A. Maidment, I. D. McLean, and K. H. Ng, </w:t>
      </w:r>
      <w:r>
        <w:rPr>
          <w:rFonts w:ascii="Tw Cen MT" w:cs="Times New Roman" w:hAnsi="Tw Cen MT"/>
          <w:i/>
          <w:iCs/>
          <w:noProof/>
          <w:sz w:val="24"/>
        </w:rPr>
        <w:t>DIAGNOSTIC RADIOLOGY PHYSICS: A HANDBOOK FOR TEACHERS AND STUDENTS</w:t>
      </w:r>
      <w:r>
        <w:rPr>
          <w:rFonts w:ascii="Tw Cen MT" w:cs="Times New Roman" w:hAnsi="Tw Cen MT"/>
          <w:noProof/>
          <w:sz w:val="24"/>
        </w:rPr>
        <w:t>. 2014. doi: 10.1201/9781482266641-12.</w:t>
      </w:r>
    </w:p>
    <w:p>
      <w:pPr>
        <w:pStyle w:val="style0"/>
        <w:tabs>
          <w:tab w:val="left" w:leader="none" w:pos="426"/>
        </w:tabs>
        <w:spacing w:after="0" w:lineRule="auto" w:line="240"/>
        <w:jc w:val="both"/>
        <w:rPr>
          <w:rFonts w:ascii="Tw Cen MT" w:cs="Twentieth Century" w:eastAsia="Twentieth Century" w:hAnsi="Tw Cen MT"/>
          <w:b/>
          <w:sz w:val="24"/>
          <w:szCs w:val="24"/>
        </w:rPr>
        <w:sectPr>
          <w:type w:val="continuous"/>
          <w:pgSz w:w="12240" w:h="15840" w:orient="portrait"/>
          <w:pgMar w:top="1440" w:right="1440" w:bottom="1440" w:left="1440" w:header="720" w:footer="720" w:gutter="0"/>
          <w:cols w:equalWidth="0" w:space="720" w:num="2">
            <w:col w:w="4320" w:space="720"/>
            <w:col w:w="4320"/>
          </w:cols>
        </w:sectPr>
      </w:pPr>
      <w:r>
        <w:rPr>
          <w:rFonts w:ascii="Tw Cen MT" w:cs="Twentieth Century" w:eastAsia="Twentieth Century" w:hAnsi="Tw Cen MT"/>
          <w:b/>
          <w:sz w:val="24"/>
          <w:szCs w:val="24"/>
        </w:rPr>
        <w:fldChar w:fldCharType="end"/>
      </w:r>
    </w:p>
    <w:p>
      <w:pPr>
        <w:pStyle w:val="style0"/>
        <w:spacing w:after="0" w:lineRule="auto" w:line="240"/>
        <w:ind w:right="-1"/>
        <w:jc w:val="both"/>
        <w:rPr>
          <w:rFonts w:ascii="Tw Cen MT" w:cs="Twentieth Century" w:eastAsia="Twentieth Century" w:hAnsi="Tw Cen MT"/>
          <w:sz w:val="24"/>
          <w:szCs w:val="24"/>
        </w:rPr>
      </w:pPr>
    </w:p>
    <w:sectPr>
      <w:type w:val="continuous"/>
      <w:pgSz w:w="12240" w:h="15840" w:orient="portrait"/>
      <w:pgMar w:top="1440" w:right="1440" w:bottom="1440" w:left="1440" w:header="720" w:footer="720" w:gutter="0"/>
      <w:cols w:equalWidth="0" w:space="369" w:num="2">
        <w:col w:w="4496" w:space="369"/>
        <w:col w:w="4495"/>
      </w:cols>
    </w:sectPr>
  </w:body>
</w:document>
</file>

<file path=word/comments.xml><?xml version="1.0" encoding="utf-8"?>
<w:comments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comment w:id="1" w:author="findy" w:date="2025-06-24T21:01:00Z" w:initials="findy">
    <w:p w14:paraId="1">
      <w:r>
        <w:rPr/>
        <w:annotationRef/>
      </w:r>
      <w:r>
        <w:t>perbaiki cara penulisan judul sesuai template</w:t>
      </w:r>
    </w:p>
  </w:comment>
  <w:comment w:id="2" w:author="findy" w:date="2025-06-24T21:03:00Z" w:initials="findy">
    <w:p w14:paraId="2">
      <w:r>
        <w:rPr/>
        <w:annotationRef/>
      </w:r>
      <w:r>
        <w:t>untuk penulisan kata dri bahasa asing dibuat miring, perbaiki semua kata</w:t>
      </w:r>
    </w:p>
  </w:comment>
  <w:comment w:id="3" w:author="findy" w:date="2025-06-24T21:06:00Z" w:initials="findy">
    <w:p w14:paraId="3">
      <w:r>
        <w:rPr/>
        <w:annotationRef/>
      </w:r>
      <w:r>
        <w:t>perdalam lagi pembahsan, tambahkan artikel lainnya sebagai pembanding dri penelitian ini,bila memungkin artikel yg terdapat pd jurnal ini</w:t>
      </w:r>
    </w:p>
  </w:comment>
  <w:comment w:id="4" w:author="findy" w:date="2025-06-24T21:04:00Z" w:initials="findy">
    <w:p w14:paraId="4">
      <w:r>
        <w:rPr/>
        <w:annotationRef/>
      </w:r>
      <w:r>
        <w:t>daftar pustaka minimal 20 buah, penulisan dg IEEE style
perhatikan penulisan DP dri jurnal, buku, dsb, sesuaikan dg template</w:t>
      </w:r>
    </w:p>
  </w:comment>
</w:comments>
</file>

<file path=word/commentsExtended.xml><?xml version="1.0" encoding="utf-8"?>
<w15:commentsEx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w15="http://schemas.microsoft.com/office/word/2012/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ne="http://schemas.microsoft.com/office/word/2006/wordml" mc:Ignorable="w15 w14 wp14">
  <w15:commentEx w15:paraId="1"/>
  <w15:commentEx w15:paraId="2"/>
  <w15:commentEx w15:paraId="3"/>
  <w15:commentEx w15:paraId="4"/>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w Cen MT">
    <w:altName w:val="Tw Cen MT"/>
    <w:panose1 w:val="020b0602020001020603"/>
    <w:charset w:val="00"/>
    <w:family w:val="swiss"/>
    <w:pitch w:val="variable"/>
    <w:sig w:usb0="00000007" w:usb1="00000000" w:usb2="00000000" w:usb3="00000000" w:csb0="00000003"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00"/>
    <w:family w:val="swiss"/>
    <w:pitch w:val="variable"/>
    <w:sig w:usb0="E4002EFF" w:usb1="C000247B" w:usb2="00000009" w:usb3="00000000" w:csb0="000001FF" w:csb1="00000000"/>
  </w:font>
  <w:font w:name="MS Mincho">
    <w:altName w:val="ＭＳ 明朝"/>
    <w:panose1 w:val="02020609040002080304"/>
    <w:charset w:val="80"/>
    <w:family w:val="modern"/>
    <w:pitch w:val="fixed"/>
    <w:sig w:usb0="E00002FF" w:usb1="6AC7FDFB" w:usb2="08000012" w:usb3="00000000" w:csb0="0002009F" w:csb1="00000000"/>
  </w:font>
  <w:font w:name="Tahoma">
    <w:altName w:val="Tahoma"/>
    <w:panose1 w:val="020b0604030005040204"/>
    <w:charset w:val="00"/>
    <w:family w:val="swiss"/>
    <w:pitch w:val="variable"/>
    <w:sig w:usb0="E1002EFF" w:usb1="C000605B" w:usb2="00000029" w:usb3="00000000" w:csb0="000101FF" w:csb1="00000000"/>
  </w:font>
  <w:font w:name="Cambria">
    <w:altName w:val="Cambria"/>
    <w:panose1 w:val="02040503050004030204"/>
    <w:charset w:val="00"/>
    <w:family w:val="roman"/>
    <w:pitch w:val="variable"/>
    <w:sig w:usb0="E00006FF" w:usb1="420024FF" w:usb2="02000000" w:usb3="00000000" w:csb0="0000019F" w:csb1="00000000"/>
  </w:font>
  <w:font w:name="MS Gothic">
    <w:altName w:val="ＭＳ ゴシック"/>
    <w:panose1 w:val="020b0609070002080204"/>
    <w:charset w:val="80"/>
    <w:family w:val="modern"/>
    <w:pitch w:val="fixed"/>
    <w:sig w:usb0="E00002FF" w:usb1="6AC7FDFB" w:usb2="08000012" w:usb3="00000000" w:csb0="0002009F" w:csb1="00000000"/>
  </w:font>
  <w:font w:name="Angsana New">
    <w:altName w:val="Angsana New"/>
    <w:panose1 w:val="02020603050004020304"/>
    <w:charset w:val="de"/>
    <w:family w:val="roman"/>
    <w:pitch w:val="variable"/>
    <w:sig w:usb0="81000003" w:usb1="00000000" w:usb2="00000000" w:usb3="00000000" w:csb0="00010001" w:csb1="00000000"/>
  </w:font>
  <w:font w:name="SimSun">
    <w:altName w:val="宋体"/>
    <w:panose1 w:val="02010600030001010101"/>
    <w:charset w:val="86"/>
    <w:family w:val="auto"/>
    <w:pitch w:val="variable"/>
    <w:sig w:usb0="00000203" w:usb1="288F0000" w:usb2="00000016" w:usb3="00000000" w:csb0="00040001" w:csb1="00000000"/>
  </w:font>
  <w:font w:name="Arial">
    <w:altName w:val="Arial"/>
    <w:panose1 w:val="020b0604020002020204"/>
    <w:charset w:val="00"/>
    <w:family w:val="swiss"/>
    <w:pitch w:val="variable"/>
    <w:sig w:usb0="E0002EFF" w:usb1="C000785B" w:usb2="00000009" w:usb3="00000000" w:csb0="000001FF" w:csb1="00000000"/>
  </w:font>
  <w:font w:name="Noto Sans">
    <w:altName w:val="Noto Sans"/>
    <w:panose1 w:val="00000000000000000000"/>
    <w:charset w:val="00"/>
    <w:family w:val="swiss"/>
    <w:pitch w:val="variable"/>
    <w:sig w:usb0="E00082FF" w:usb1="400078FF" w:usb2="00000021" w:usb3="00000000" w:csb0="0000019F" w:csb1="00000000"/>
  </w:font>
  <w:font w:name="Perpetua">
    <w:altName w:val="Perpetua"/>
    <w:panose1 w:val="02020502060004020303"/>
    <w:charset w:val="00"/>
    <w:family w:val="roman"/>
    <w:pitch w:val="variable"/>
    <w:sig w:usb0="00000003" w:usb1="00000000" w:usb2="00000000" w:usb3="00000000" w:csb0="00000001" w:csb1="00000000"/>
  </w:font>
  <w:font w:name="ＭＳ 明朝">
    <w:altName w:val=""/>
    <w:panose1 w:val="00000000000000000000"/>
    <w:charset w:val="00"/>
    <w:family w:val="auto"/>
    <w:pitch w:val="default"/>
    <w:sig w:usb0="E0002AFF" w:usb1="C0007841" w:usb2="00000009" w:usb3="00000000" w:csb0="000001FF" w:csb1="00000000"/>
  </w:font>
  <w:font w:name="ＭＳ ゴシック">
    <w:altName w:val=""/>
    <w:panose1 w:val="00000000000000000000"/>
    <w:charset w:val="00"/>
    <w:family w:val="auto"/>
    <w:pitch w:val="default"/>
    <w:sig w:usb0="E0002AFF" w:usb1="C0007841" w:usb2="00000009" w:usb3="00000000" w:csb0="000001F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rFonts w:ascii="Tw Cen MT" w:hAnsi="Tw Cen MT"/>
        <w:color w:val="000000"/>
        <w:sz w:val="20"/>
        <w:szCs w:val="24"/>
      </w:rPr>
    </w:pPr>
    <w:r>
      <w:rPr>
        <w:rFonts w:ascii="Tw Cen MT" w:hAnsi="Tw Cen MT"/>
        <w:noProof/>
        <w:color w:val="000000"/>
        <w:sz w:val="20"/>
        <w:szCs w:val="24"/>
      </w:rPr>
      <mc:AlternateContent>
        <mc:Choice Requires="wps">
          <w:drawing>
            <wp:anchor distT="0" distB="0" distL="0" distR="0" simplePos="false" relativeHeight="3" behindDoc="false" locked="false" layoutInCell="true" allowOverlap="true">
              <wp:simplePos x="0" y="0"/>
              <wp:positionH relativeFrom="column">
                <wp:posOffset>-8890</wp:posOffset>
              </wp:positionH>
              <wp:positionV relativeFrom="paragraph">
                <wp:posOffset>-14808</wp:posOffset>
              </wp:positionV>
              <wp:extent cx="5956935" cy="0"/>
              <wp:effectExtent l="0" t="19050" r="5715" b="19050"/>
              <wp:wrapNone/>
              <wp:docPr id="4098" name="Straight Connector 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956935" cy="0"/>
                      </a:xfrm>
                      <a:prstGeom prst="line"/>
                      <a:ln cmpd="sng" cap="flat" w="28575">
                        <a:solidFill>
                          <a:srgbClr val="000000"/>
                        </a:solidFill>
                        <a:prstDash val="solid"/>
                        <a:round/>
                        <a:headEnd/>
                        <a:tailEnd/>
                      </a:ln>
                    </wps:spPr>
                    <wps:bodyPr>
                      <a:prstTxWarp prst="textNoShape"/>
                    </wps:bodyPr>
                  </wps:wsp>
                </a:graphicData>
              </a:graphic>
              <wp14:sizeRelH relativeFrom="margin">
                <wp14:pctWidth>0</wp14:pctWidth>
              </wp14:sizeRelH>
            </wp:anchor>
          </w:drawing>
        </mc:Choice>
        <mc:Fallback>
          <w:pict>
            <v:line id="4098" filled="f" stroked="t" from="-0.70000005pt,-1.1659843pt" to="468.34998pt,-1.1659843pt" style="position:absolute;z-index:3;mso-position-horizontal-relative:text;mso-position-vertical-relative:text;mso-width-percent:0;mso-width-relative:margin;mso-height-relative:page;mso-wrap-distance-left:0.0pt;mso-wrap-distance-right:0.0pt;visibility:visible;">
              <v:stroke weight="2.25pt"/>
              <v:fill/>
            </v:line>
          </w:pict>
        </mc:Fallback>
      </mc:AlternateContent>
    </w:r>
    <w:r>
      <w:rPr>
        <w:rFonts w:ascii="Tw Cen MT" w:hAnsi="Tw Cen MT"/>
        <w:color w:val="000000"/>
        <w:sz w:val="20"/>
        <w:szCs w:val="24"/>
        <w:lang w:val="en-ID"/>
      </w:rPr>
      <w:t xml:space="preserve">Rafhael </w:t>
    </w:r>
    <w:r>
      <w:rPr>
        <w:rFonts w:ascii="Tw Cen MT" w:hAnsi="Tw Cen MT"/>
        <w:color w:val="000000"/>
        <w:sz w:val="20"/>
        <w:szCs w:val="24"/>
        <w:lang w:val="en-ID"/>
      </w:rPr>
      <w:t>Reznandika</w:t>
    </w:r>
    <w:r>
      <w:rPr>
        <w:rFonts w:ascii="Tw Cen MT" w:hAnsi="Tw Cen MT"/>
        <w:color w:val="000000"/>
        <w:sz w:val="20"/>
        <w:szCs w:val="24"/>
        <w:lang w:val="en-ID"/>
      </w:rPr>
      <w:t xml:space="preserve"> Yustiyo, rafaelreznandikayustio@gmail.com</w:t>
    </w:r>
  </w:p>
  <w:p>
    <w:pPr>
      <w:pStyle w:val="style32"/>
      <w:jc w:val="right"/>
      <w:rPr/>
    </w:pPr>
    <w:r>
      <w:rPr>
        <w:rFonts w:ascii="Tw Cen MT" w:hAnsi="Tw Cen MT"/>
        <w:noProof/>
        <w:color w:val="000000"/>
        <w:sz w:val="20"/>
        <w:szCs w:val="24"/>
      </w:rPr>
      <w:t xml:space="preserve"> </w:t>
    </w:r>
    <w:r>
      <w:rPr>
        <w:rFonts w:ascii="Tw Cen MT" w:hAnsi="Tw Cen MT"/>
        <w:sz w:val="24"/>
        <w:szCs w:val="24"/>
      </w:rPr>
      <w:fldChar w:fldCharType="begin"/>
    </w:r>
    <w:r>
      <w:rPr>
        <w:rFonts w:ascii="Tw Cen MT" w:hAnsi="Tw Cen MT"/>
        <w:sz w:val="24"/>
        <w:szCs w:val="24"/>
      </w:rPr>
      <w:instrText xml:space="preserve"> PAGE   \* MERGEFORMAT </w:instrText>
    </w:r>
    <w:r>
      <w:rPr>
        <w:rFonts w:ascii="Tw Cen MT" w:hAnsi="Tw Cen MT"/>
        <w:sz w:val="24"/>
        <w:szCs w:val="24"/>
      </w:rPr>
      <w:fldChar w:fldCharType="separate"/>
    </w:r>
    <w:r>
      <w:rPr>
        <w:rFonts w:ascii="Tw Cen MT" w:hAnsi="Tw Cen MT"/>
        <w:noProof/>
        <w:sz w:val="24"/>
        <w:szCs w:val="24"/>
      </w:rPr>
      <w:t>86</w:t>
    </w:r>
    <w:r>
      <w:rPr>
        <w:rFonts w:ascii="Tw Cen MT" w:hAnsi="Tw Cen MT"/>
        <w:noProof/>
        <w:sz w:val="24"/>
        <w:szCs w:val="24"/>
      </w:rPr>
      <w:fldChar w:fldCharType="end"/>
    </w:r>
  </w:p>
  <w:p>
    <w:pPr>
      <w:pStyle w:val="style0"/>
      <w:pBdr>
        <w:left w:val="nil"/>
        <w:right w:val="nil"/>
        <w:top w:val="nil"/>
        <w:bottom w:val="nil"/>
        <w:between w:val="nil"/>
      </w:pBdr>
      <w:tabs>
        <w:tab w:val="center" w:leader="none" w:pos="4680"/>
        <w:tab w:val="right" w:leader="none" w:pos="9360"/>
      </w:tabs>
      <w:spacing w:after="0" w:lineRule="auto" w:line="240"/>
      <w:rPr>
        <w:rFonts w:ascii="Twentieth Century" w:cs="Twentieth Century" w:eastAsia="Twentieth Century" w:hAnsi="Twentieth Century"/>
        <w:color w:val="000000"/>
        <w:sz w:val="18"/>
        <w:szCs w:val="18"/>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tabs>
        <w:tab w:val="clear" w:pos="4680"/>
        <w:tab w:val="clear" w:pos="9360"/>
      </w:tabs>
      <w:spacing w:after="120" w:lineRule="auto" w:line="276"/>
      <w:rPr>
        <w:b/>
        <w:bCs/>
        <w:color w:val="1f497d"/>
        <w:sz w:val="28"/>
        <w:szCs w:val="28"/>
      </w:rPr>
    </w:pPr>
    <w:r>
      <w:rPr>
        <w:rFonts w:ascii="Tw Cen MT" w:cs="宋体" w:hAnsi="Tw Cen MT"/>
        <w:sz w:val="20"/>
        <w:szCs w:val="20"/>
      </w:rPr>
      <w:t>Jurnal</w:t>
    </w:r>
    <w:r>
      <w:rPr>
        <w:rFonts w:ascii="Tw Cen MT" w:cs="宋体" w:hAnsi="Tw Cen MT"/>
        <w:sz w:val="20"/>
        <w:szCs w:val="20"/>
      </w:rPr>
      <w:t xml:space="preserve"> </w:t>
    </w:r>
    <w:r>
      <w:rPr>
        <w:rFonts w:ascii="Tw Cen MT" w:cs="宋体" w:hAnsi="Tw Cen MT"/>
        <w:sz w:val="20"/>
        <w:szCs w:val="20"/>
      </w:rPr>
      <w:t>Proteksi</w:t>
    </w:r>
    <w:r>
      <w:rPr>
        <w:rFonts w:ascii="Tw Cen MT" w:cs="宋体" w:hAnsi="Tw Cen MT"/>
        <w:sz w:val="20"/>
        <w:szCs w:val="20"/>
      </w:rPr>
      <w:t xml:space="preserve"> Kesehatan                                                                                                                                   Vo</w:t>
    </w:r>
    <w:r>
      <w:rPr>
        <w:rFonts w:ascii="Tw Cen MT" w:cs="宋体" w:hAnsi="Tw Cen MT"/>
        <w:sz w:val="20"/>
        <w:szCs w:val="20"/>
      </w:rPr>
      <w:t>l.1</w:t>
    </w:r>
    <w:r>
      <w:rPr>
        <w:rFonts w:ascii="Tw Cen MT" w:cs="宋体" w:hAnsi="Tw Cen MT"/>
        <w:sz w:val="20"/>
        <w:szCs w:val="20"/>
      </w:rPr>
      <w:t>2</w:t>
    </w:r>
    <w:r>
      <w:rPr>
        <w:rFonts w:ascii="Tw Cen MT" w:cs="宋体" w:hAnsi="Tw Cen MT"/>
        <w:sz w:val="20"/>
        <w:szCs w:val="20"/>
      </w:rPr>
      <w:t>, N</w:t>
    </w:r>
    <w:r>
      <w:rPr>
        <w:rFonts w:ascii="Tw Cen MT" w:cs="宋体" w:hAnsi="Tw Cen MT"/>
        <w:sz w:val="20"/>
        <w:szCs w:val="20"/>
      </w:rPr>
      <w:t>o.</w:t>
    </w:r>
    <w:r>
      <w:rPr>
        <w:rFonts w:ascii="Tw Cen MT" w:cs="宋体" w:hAnsi="Tw Cen MT"/>
        <w:sz w:val="20"/>
        <w:szCs w:val="20"/>
      </w:rPr>
      <w:t>1</w:t>
    </w:r>
    <w:r>
      <w:rPr>
        <w:rFonts w:ascii="Tw Cen MT" w:cs="宋体" w:hAnsi="Tw Cen MT"/>
        <w:sz w:val="20"/>
        <w:szCs w:val="20"/>
      </w:rPr>
      <w:t xml:space="preserve">, </w:t>
    </w:r>
    <w:r>
      <w:rPr>
        <w:rFonts w:ascii="Tw Cen MT" w:cs="宋体" w:hAnsi="Tw Cen MT"/>
        <w:sz w:val="20"/>
        <w:szCs w:val="20"/>
      </w:rPr>
      <w:t>Mei</w:t>
    </w:r>
    <w:r>
      <w:rPr>
        <w:rFonts w:ascii="Tw Cen MT" w:cs="宋体" w:hAnsi="Tw Cen MT"/>
        <w:sz w:val="20"/>
        <w:szCs w:val="20"/>
      </w:rPr>
      <w:t xml:space="preserve"> 202</w:t>
    </w:r>
    <w:r>
      <w:rPr>
        <w:rFonts w:ascii="Tw Cen MT" w:cs="宋体" w:hAnsi="Tw Cen MT"/>
        <w:sz w:val="20"/>
        <w:szCs w:val="20"/>
      </w:rPr>
      <w:t>3</w:t>
    </w:r>
    <w:r>
      <w:rPr>
        <w:rFonts w:ascii="Tw Cen MT" w:cs="宋体" w:hAnsi="Tw Cen MT"/>
        <w:sz w:val="20"/>
        <w:szCs w:val="20"/>
      </w:rPr>
      <w:t xml:space="preserve">, pp. </w:t>
    </w:r>
    <w:r>
      <w:rPr>
        <w:rFonts w:ascii="Tw Cen MT" w:cs="宋体" w:hAnsi="Tw Cen MT"/>
        <w:sz w:val="20"/>
        <w:szCs w:val="20"/>
      </w:rPr>
      <w:t>1-6</w:t>
    </w:r>
    <w:r>
      <w:rPr>
        <w:rFonts w:ascii="Tw Cen MT" w:cs="宋体" w:hAnsi="Tw Cen MT"/>
        <w:sz w:val="20"/>
        <w:szCs w:val="20"/>
      </w:rPr>
      <w:tab/>
    </w:r>
    <w:r>
      <w:rPr>
        <w:rFonts w:ascii="Tw Cen MT" w:cs="宋体" w:hAnsi="Tw Cen MT"/>
        <w:sz w:val="20"/>
        <w:szCs w:val="20"/>
      </w:rPr>
      <w:tab/>
    </w:r>
    <w:r>
      <w:rPr>
        <w:rFonts w:ascii="Tw Cen MT" w:cs="宋体" w:hAnsi="Tw Cen MT"/>
        <w:sz w:val="20"/>
        <w:szCs w:val="20"/>
      </w:rPr>
      <w:t xml:space="preserve">                                                                                                        ISSN 2715-1115 (Online), ISSN 2302 – 8610 (Print)</w:t>
    </w:r>
  </w:p>
  <w:p>
    <w:pPr>
      <w:pStyle w:val="style0"/>
      <w:pBdr>
        <w:left w:val="nil"/>
        <w:right w:val="nil"/>
        <w:top w:val="nil"/>
        <w:bottom w:val="single" w:sz="4" w:space="1" w:color="a5a5a5"/>
        <w:between w:val="nil"/>
      </w:pBdr>
      <w:tabs>
        <w:tab w:val="left" w:leader="none" w:pos="2580"/>
        <w:tab w:val="left" w:leader="none" w:pos="2985"/>
        <w:tab w:val="center" w:leader="none" w:pos="4680"/>
        <w:tab w:val="right" w:leader="none" w:pos="9360"/>
      </w:tabs>
      <w:spacing w:after="120" w:lineRule="auto" w:line="276"/>
      <w:rPr>
        <w:color w:val="7f7f7f"/>
      </w:rPr>
    </w:pPr>
    <w:r>
      <w:rPr>
        <w:noProof/>
      </w:rPr>
      <mc:AlternateContent>
        <mc:Choice Requires="wps">
          <w:drawing>
            <wp:anchor distT="0" distB="0" distL="0" distR="0" simplePos="false" relativeHeight="2" behindDoc="false" locked="false" layoutInCell="true" allowOverlap="true">
              <wp:simplePos x="0" y="0"/>
              <wp:positionH relativeFrom="column">
                <wp:posOffset>0</wp:posOffset>
              </wp:positionH>
              <wp:positionV relativeFrom="paragraph">
                <wp:posOffset>213995</wp:posOffset>
              </wp:positionV>
              <wp:extent cx="5975985" cy="0"/>
              <wp:effectExtent l="0" t="12700" r="18415" b="12700"/>
              <wp:wrapNone/>
              <wp:docPr id="4097" name="Straight Arrow Connector 6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975985" cy="0"/>
                      </a:xfrm>
                      <a:prstGeom prst="straightConnector1"/>
                      <a:ln cmpd="sng" cap="flat" w="19050">
                        <a:solidFill>
                          <a:srgbClr val="000000"/>
                        </a:solidFill>
                        <a:prstDash val="solid"/>
                        <a:round/>
                        <a:headEnd len="sm" w="sm" type="none"/>
                        <a:tailEnd len="sm" w="sm" type="none"/>
                      </a:ln>
                    </wps:spPr>
                    <wps:bodyPr>
                      <a:prstTxWarp prst="textNoShape"/>
                    </wps:bodyPr>
                  </wps:wsp>
                </a:graphicData>
              </a:graphic>
              <wp14:sizeRelV relativeFrom="margin">
                <wp14:pctHeight>0</wp14:pctHeight>
              </wp14:sizeRelV>
            </wp:anchor>
          </w:drawing>
        </mc:Choice>
        <mc:Fallback>
          <w:pict>
            <v:shape id="4097" type="#_x0000_t32" filled="f" style="position:absolute;margin-left:0.0pt;margin-top:16.85pt;width:470.55pt;height:0.0pt;z-index:2;mso-position-horizontal-relative:text;mso-position-vertical-relative:text;mso-height-percent:0;mso-width-relative:page;mso-height-relative:margin;mso-wrap-distance-left:0.0pt;mso-wrap-distance-right:0.0pt;visibility:visible;">
              <v:stroke startarrowwidth="narrow" startarrowlength="short" endarrowwidth="narrow" endarrowlength="short" weight="1.5pt"/>
              <v:fill/>
            </v:shape>
          </w:pict>
        </mc:Fallback>
      </mc:AlternateContent>
    </w:r>
  </w:p>
  <w:p>
    <w:pPr>
      <w:pStyle w:val="style0"/>
      <w:pBdr>
        <w:left w:val="nil"/>
        <w:right w:val="nil"/>
        <w:top w:val="nil"/>
        <w:bottom w:val="nil"/>
        <w:between w:val="nil"/>
      </w:pBdr>
      <w:tabs>
        <w:tab w:val="center" w:leader="none" w:pos="4680"/>
        <w:tab w:val="right" w:leader="none" w:pos="9360"/>
      </w:tabs>
      <w:spacing w:after="0" w:lineRule="auto" w:line="240"/>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67443C9A"/>
    <w:lvl w:ilvl="0" w:tplc="4686F57C">
      <w:start w:val="1"/>
      <w:numFmt w:val="decimal"/>
      <w:lvlText w:val="[%1]"/>
      <w:lvlJc w:val="left"/>
      <w:pPr>
        <w:ind w:left="720" w:hanging="360"/>
      </w:pPr>
      <w:rPr>
        <w:rFonts w:ascii="Tw Cen MT" w:hAnsi="Tw Cen MT"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hybridMultilevel"/>
    <w:tmpl w:val="439ACB02"/>
    <w:lvl w:ilvl="0" w:tplc="4C5E4AEA">
      <w:start w:val="1"/>
      <w:numFmt w:val="lowerLetter"/>
      <w:lvlText w:val="%1."/>
      <w:lvlJc w:val="left"/>
      <w:pPr>
        <w:ind w:left="786" w:hanging="360"/>
      </w:pPr>
      <w:rPr>
        <w:rFonts w:hint="default"/>
        <w:b w:val="false"/>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00000002"/>
    <w:multiLevelType w:val="hybridMultilevel"/>
    <w:tmpl w:val="7DEE8B1C"/>
    <w:lvl w:ilvl="0" w:tplc="4CAE0A36">
      <w:start w:val="1"/>
      <w:numFmt w:val="decimal"/>
      <w:lvlText w:val="%1."/>
      <w:lvlJc w:val="left"/>
      <w:pPr>
        <w:ind w:left="720" w:hanging="360"/>
      </w:pPr>
      <w:rPr>
        <w:rFonts w:hint="default"/>
        <w:b w:val="fals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3"/>
    <w:multiLevelType w:val="hybridMultilevel"/>
    <w:tmpl w:val="80803088"/>
    <w:lvl w:ilvl="0" w:tplc="DBA29166">
      <w:start w:val="1"/>
      <w:numFmt w:val="bullet"/>
      <w:lvlText w:val="-"/>
      <w:lvlJc w:val="left"/>
      <w:pPr>
        <w:ind w:left="786" w:hanging="360"/>
      </w:pPr>
      <w:rPr>
        <w:rFonts w:ascii="Tw Cen MT" w:cs="Times New Roman" w:eastAsia="Times New Roman" w:hAnsi="Tw Cen MT" w:hint="default"/>
      </w:rPr>
    </w:lvl>
    <w:lvl w:ilvl="1" w:tplc="04090003" w:tentative="1">
      <w:start w:val="1"/>
      <w:numFmt w:val="bullet"/>
      <w:lvlText w:val="o"/>
      <w:lvlJc w:val="left"/>
      <w:pPr>
        <w:ind w:left="1506" w:hanging="360"/>
      </w:pPr>
      <w:rPr>
        <w:rFonts w:ascii="Courier New" w:cs="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cs="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cs="Courier New" w:hAnsi="Courier New" w:hint="default"/>
      </w:rPr>
    </w:lvl>
    <w:lvl w:ilvl="8" w:tplc="04090005" w:tentative="1">
      <w:start w:val="1"/>
      <w:numFmt w:val="bullet"/>
      <w:lvlText w:val=""/>
      <w:lvlJc w:val="left"/>
      <w:pPr>
        <w:ind w:left="6546"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Calibri" w:eastAsia="Calibri" w:hAnsi="Calibri"/>
        <w:sz w:val="21"/>
        <w:szCs w:val="21"/>
        <w:lang w:val="en-US" w:bidi="ar-SA" w:eastAsia="en-US"/>
      </w:rPr>
    </w:rPrDefault>
    <w:pPrDefault>
      <w:pPr>
        <w:spacing w:after="200" w:lineRule="auto" w:line="288"/>
      </w:pPr>
    </w:pPrDefault>
  </w:docDefaults>
  <w:style w:type="paragraph" w:default="1" w:styleId="style0">
    <w:name w:val="Normal"/>
    <w:next w:val="style0"/>
    <w:qFormat/>
    <w:pPr/>
    <w:rPr>
      <w:rFonts w:eastAsia="ＭＳ 明朝"/>
    </w:rPr>
  </w:style>
  <w:style w:type="paragraph" w:styleId="style1">
    <w:name w:val="heading 1"/>
    <w:basedOn w:val="style0"/>
    <w:next w:val="style0"/>
    <w:link w:val="style4110"/>
    <w:qFormat/>
    <w:uiPriority w:val="9"/>
    <w:pPr>
      <w:keepNext/>
      <w:keepLines/>
      <w:spacing w:before="480" w:after="120"/>
      <w:outlineLvl w:val="0"/>
    </w:pPr>
    <w:rPr>
      <w:b/>
      <w:sz w:val="48"/>
      <w:szCs w:val="48"/>
    </w:rPr>
  </w:style>
  <w:style w:type="paragraph" w:styleId="style2">
    <w:name w:val="heading 2"/>
    <w:basedOn w:val="style0"/>
    <w:next w:val="style0"/>
    <w:qFormat/>
    <w:uiPriority w:val="9"/>
    <w:pPr>
      <w:keepNext/>
      <w:keepLines/>
      <w:spacing w:before="360" w:after="80"/>
      <w:outlineLvl w:val="1"/>
    </w:pPr>
    <w:rPr>
      <w:b/>
      <w:sz w:val="36"/>
      <w:szCs w:val="36"/>
    </w:rPr>
  </w:style>
  <w:style w:type="paragraph" w:styleId="style3">
    <w:name w:val="heading 3"/>
    <w:basedOn w:val="style0"/>
    <w:next w:val="style0"/>
    <w:qFormat/>
    <w:uiPriority w:val="9"/>
    <w:pPr>
      <w:keepNext/>
      <w:keepLines/>
      <w:spacing w:before="280" w:after="80"/>
      <w:outlineLvl w:val="2"/>
    </w:pPr>
    <w:rPr>
      <w:b/>
      <w:sz w:val="28"/>
      <w:szCs w:val="28"/>
    </w:rPr>
  </w:style>
  <w:style w:type="paragraph" w:styleId="style4">
    <w:name w:val="heading 4"/>
    <w:basedOn w:val="style0"/>
    <w:next w:val="style0"/>
    <w:qFormat/>
    <w:uiPriority w:val="9"/>
    <w:pPr>
      <w:keepNext/>
      <w:keepLines/>
      <w:spacing w:before="240" w:after="40"/>
      <w:outlineLvl w:val="3"/>
    </w:pPr>
    <w:rPr>
      <w:b/>
      <w:sz w:val="24"/>
      <w:szCs w:val="24"/>
    </w:rPr>
  </w:style>
  <w:style w:type="paragraph" w:styleId="style5">
    <w:name w:val="heading 5"/>
    <w:basedOn w:val="style0"/>
    <w:next w:val="style0"/>
    <w:qFormat/>
    <w:uiPriority w:val="9"/>
    <w:pPr>
      <w:keepNext/>
      <w:keepLines/>
      <w:spacing w:before="220" w:after="40"/>
      <w:outlineLvl w:val="4"/>
    </w:pPr>
    <w:rPr>
      <w:b/>
      <w:sz w:val="22"/>
      <w:szCs w:val="22"/>
    </w:rPr>
  </w:style>
  <w:style w:type="paragraph" w:styleId="style6">
    <w:name w:val="heading 6"/>
    <w:basedOn w:val="style0"/>
    <w:next w:val="style0"/>
    <w:qFormat/>
    <w:uiPriority w:val="9"/>
    <w:pPr>
      <w:keepNext/>
      <w:keepLines/>
      <w:spacing w:before="200" w:after="40"/>
      <w:outlineLvl w:val="5"/>
    </w:pPr>
    <w:rPr>
      <w:b/>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62">
    <w:name w:val="Title"/>
    <w:basedOn w:val="style0"/>
    <w:next w:val="style0"/>
    <w:qFormat/>
    <w:uiPriority w:val="10"/>
    <w:pPr>
      <w:keepNext/>
      <w:keepLines/>
      <w:spacing w:before="480" w:after="120"/>
    </w:pPr>
    <w:rPr>
      <w:b/>
      <w:sz w:val="72"/>
      <w:szCs w:val="72"/>
    </w:r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6b6eb0ed-a042-4988-990a-144cb0e69c4d"/>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a462a740-f6d8-4b25-9bda-7a4a2549285e"/>
    <w:basedOn w:val="style65"/>
    <w:next w:val="style4098"/>
    <w:link w:val="style32"/>
    <w:uiPriority w:val="99"/>
  </w:style>
  <w:style w:type="paragraph" w:styleId="style153">
    <w:name w:val="Balloon Text"/>
    <w:basedOn w:val="style0"/>
    <w:next w:val="style153"/>
    <w:link w:val="style4099"/>
    <w:uiPriority w:val="99"/>
    <w:pPr>
      <w:spacing w:after="0" w:lineRule="auto" w:line="240"/>
    </w:pPr>
    <w:rPr>
      <w:rFonts w:ascii="Tahoma" w:cs="Tahoma" w:hAnsi="Tahoma"/>
      <w:sz w:val="16"/>
      <w:szCs w:val="16"/>
    </w:rPr>
  </w:style>
  <w:style w:type="character" w:customStyle="1" w:styleId="style4099">
    <w:name w:val="Balloon Text Char"/>
    <w:basedOn w:val="style65"/>
    <w:next w:val="style4099"/>
    <w:link w:val="style153"/>
    <w:uiPriority w:val="99"/>
    <w:rPr>
      <w:rFonts w:ascii="Tahoma" w:cs="Tahoma" w:hAnsi="Tahoma"/>
      <w:sz w:val="16"/>
      <w:szCs w:val="16"/>
    </w:rPr>
  </w:style>
  <w:style w:type="character" w:styleId="style85">
    <w:name w:val="Hyperlink"/>
    <w:next w:val="style85"/>
    <w:rPr>
      <w:color w:val="0000ff"/>
      <w:u w:val="single"/>
    </w:rPr>
  </w:style>
  <w:style w:type="paragraph" w:customStyle="1" w:styleId="style4100">
    <w:name w:val="3CBD5A742C28424DA5172AD252E32316"/>
    <w:next w:val="style4100"/>
    <w:pPr/>
    <w:rPr>
      <w:rFonts w:eastAsia="ＭＳ 明朝"/>
      <w:lang w:eastAsia="ja-JP"/>
    </w:rPr>
  </w:style>
  <w:style w:type="paragraph" w:styleId="style74">
    <w:name w:val="Subtitle"/>
    <w:basedOn w:val="style0"/>
    <w:next w:val="style0"/>
    <w:link w:val="style4101"/>
    <w:qFormat/>
    <w:pPr>
      <w:spacing w:lineRule="auto" w:line="240"/>
    </w:pPr>
    <w:rPr>
      <w:rFonts w:ascii="Cambria" w:cs="Cambria" w:eastAsia="Cambria" w:hAnsi="Cambria"/>
      <w:sz w:val="30"/>
      <w:szCs w:val="30"/>
    </w:rPr>
  </w:style>
  <w:style w:type="character" w:customStyle="1" w:styleId="style4101">
    <w:name w:val="Subtitle Char"/>
    <w:basedOn w:val="style65"/>
    <w:next w:val="style4101"/>
    <w:link w:val="style74"/>
    <w:rPr>
      <w:rFonts w:ascii="Cambria" w:cs="宋体" w:eastAsia="ＭＳ ゴシック" w:hAnsi="Cambria"/>
      <w:sz w:val="30"/>
      <w:szCs w:val="30"/>
    </w:rPr>
  </w:style>
  <w:style w:type="character" w:styleId="style40">
    <w:name w:val="line number"/>
    <w:basedOn w:val="style65"/>
    <w:next w:val="style40"/>
    <w:uiPriority w:val="99"/>
  </w:style>
  <w:style w:type="paragraph" w:styleId="style179">
    <w:name w:val="List Paragraph"/>
    <w:basedOn w:val="style0"/>
    <w:next w:val="style179"/>
    <w:qFormat/>
    <w:uiPriority w:val="34"/>
    <w:pPr>
      <w:spacing w:lineRule="auto" w:line="276"/>
      <w:ind w:left="720"/>
      <w:contextualSpacing/>
    </w:pPr>
    <w:rPr>
      <w:rFonts w:cs="Times New Roman" w:eastAsia="Times New Roman"/>
      <w:sz w:val="22"/>
      <w:szCs w:val="22"/>
      <w:lang w:val="en-GB" w:eastAsia="en-GB"/>
    </w:rPr>
  </w:style>
  <w:style w:type="paragraph" w:customStyle="1" w:styleId="style4102">
    <w:name w:val="Default"/>
    <w:next w:val="style4102"/>
    <w:pPr>
      <w:widowControl w:val="false"/>
      <w:autoSpaceDE w:val="false"/>
      <w:autoSpaceDN w:val="false"/>
      <w:adjustRightInd w:val="false"/>
      <w:spacing w:after="0" w:lineRule="auto" w:line="240"/>
    </w:pPr>
    <w:rPr>
      <w:rFonts w:ascii="Times New Roman" w:cs="Angsana New" w:eastAsia="Times New Roman" w:hAnsi="Times New Roman"/>
      <w:color w:val="000000"/>
      <w:sz w:val="24"/>
      <w:szCs w:val="24"/>
    </w:rPr>
  </w:style>
  <w:style w:type="table" w:customStyle="1" w:styleId="style4103">
    <w:basedOn w:val="style105"/>
    <w:next w:val="style4103"/>
    <w:pPr/>
    <w:rPr/>
    <w:tblPr>
      <w:tblStyleRowBandSize w:val="1"/>
      <w:tblStyleColBandSize w:val="1"/>
      <w:tblCellMar>
        <w:left w:w="115" w:type="dxa"/>
        <w:right w:w="115" w:type="dxa"/>
      </w:tblCellMar>
    </w:tblPr>
    <w:tcPr>
      <w:tcBorders/>
    </w:tcPr>
  </w:style>
  <w:style w:type="table" w:customStyle="1" w:styleId="style4104">
    <w:basedOn w:val="style105"/>
    <w:next w:val="style4104"/>
    <w:pPr/>
    <w:rPr/>
    <w:tblPr>
      <w:tblStyleRowBandSize w:val="1"/>
      <w:tblStyleColBandSize w:val="1"/>
      <w:tblCellMar>
        <w:left w:w="115" w:type="dxa"/>
        <w:right w:w="115" w:type="dxa"/>
      </w:tblCellMar>
    </w:tblPr>
    <w:tcPr>
      <w:tcBorders/>
    </w:tcPr>
  </w:style>
  <w:style w:type="character" w:customStyle="1" w:styleId="style4105">
    <w:name w:val="Unresolved Mention1"/>
    <w:basedOn w:val="style65"/>
    <w:next w:val="style4105"/>
    <w:uiPriority w:val="99"/>
    <w:rPr>
      <w:color w:val="605e5c"/>
      <w:shd w:val="clear" w:color="auto" w:fill="e1dfdd"/>
    </w:rPr>
  </w:style>
  <w:style w:type="table" w:styleId="style154">
    <w:name w:val="Table Grid"/>
    <w:basedOn w:val="style105"/>
    <w:next w:val="style154"/>
    <w:uiPriority w:val="59"/>
    <w:pPr>
      <w:spacing w:after="0" w:lineRule="auto" w:line="240"/>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styleId="style39">
    <w:name w:val="annotation reference"/>
    <w:basedOn w:val="style65"/>
    <w:next w:val="style39"/>
    <w:uiPriority w:val="99"/>
    <w:rPr>
      <w:sz w:val="16"/>
      <w:szCs w:val="16"/>
    </w:rPr>
  </w:style>
  <w:style w:type="paragraph" w:styleId="style30">
    <w:name w:val="annotation text"/>
    <w:basedOn w:val="style0"/>
    <w:next w:val="style30"/>
    <w:link w:val="style4106"/>
    <w:uiPriority w:val="99"/>
    <w:pPr>
      <w:spacing w:lineRule="auto" w:line="240"/>
    </w:pPr>
    <w:rPr>
      <w:sz w:val="20"/>
      <w:szCs w:val="20"/>
    </w:rPr>
  </w:style>
  <w:style w:type="character" w:customStyle="1" w:styleId="style4106">
    <w:name w:val="Comment Text Char"/>
    <w:basedOn w:val="style65"/>
    <w:next w:val="style4106"/>
    <w:link w:val="style30"/>
    <w:uiPriority w:val="99"/>
    <w:rPr>
      <w:rFonts w:eastAsia="ＭＳ 明朝"/>
      <w:sz w:val="20"/>
      <w:szCs w:val="20"/>
    </w:rPr>
  </w:style>
  <w:style w:type="paragraph" w:styleId="style106">
    <w:name w:val="annotation subject"/>
    <w:basedOn w:val="style30"/>
    <w:next w:val="style30"/>
    <w:link w:val="style4107"/>
    <w:uiPriority w:val="99"/>
    <w:pPr/>
    <w:rPr>
      <w:b/>
      <w:bCs/>
    </w:rPr>
  </w:style>
  <w:style w:type="character" w:customStyle="1" w:styleId="style4107">
    <w:name w:val="Comment Subject Char"/>
    <w:basedOn w:val="style4106"/>
    <w:next w:val="style4107"/>
    <w:link w:val="style106"/>
    <w:uiPriority w:val="99"/>
    <w:rPr>
      <w:rFonts w:eastAsia="ＭＳ 明朝"/>
      <w:b/>
      <w:bCs/>
      <w:sz w:val="20"/>
      <w:szCs w:val="20"/>
    </w:rPr>
  </w:style>
  <w:style w:type="character" w:customStyle="1" w:styleId="style4108">
    <w:name w:val="y2iqfc"/>
    <w:basedOn w:val="style65"/>
    <w:next w:val="style4108"/>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lang w:val="en-ID" w:eastAsia="en-ID"/>
    </w:rPr>
  </w:style>
  <w:style w:type="table" w:customStyle="1" w:styleId="style4109">
    <w:name w:val="Plain Table 21"/>
    <w:basedOn w:val="style105"/>
    <w:next w:val="style4109"/>
    <w:uiPriority w:val="42"/>
    <w:pPr>
      <w:spacing w:after="0" w:lineRule="auto" w:line="240"/>
    </w:pPr>
    <w:rPr>
      <w:lang w:eastAsia="en-ID"/>
    </w:rPr>
    <w:tblPr>
      <w:tblStyleRowBandSize w:val="1"/>
      <w:tblStyleColBandSize w:val="1"/>
      <w:tblBorders>
        <w:top w:val="single" w:sz="4" w:space="0" w:color="7f7f7f"/>
        <w:bottom w:val="single" w:sz="4" w:space="0" w:color="7f7f7f"/>
      </w:tblBorders>
    </w:tblPr>
    <w:tblStylePr w:type="firstRow">
      <w:pPr/>
      <w:rPr>
        <w:b/>
        <w:bCs/>
      </w:rPr>
      <w:tblPr/>
      <w:tcPr>
        <w:tcBorders>
          <w:bottom w:val="single" w:sz="4" w:space="0" w:color="7f7f7f"/>
        </w:tcBorders>
      </w:tcPr>
    </w:tblStylePr>
    <w:tblStylePr w:type="lastRow">
      <w:pPr/>
      <w:rPr>
        <w:b/>
        <w:bCs/>
      </w:rPr>
      <w:tblPr/>
      <w:tcPr>
        <w:tcBorders>
          <w:top w:val="single" w:sz="4" w:space="0" w:color="7f7f7f"/>
        </w:tcBorders>
      </w:tcPr>
    </w:tblStylePr>
    <w:tblStylePr w:type="band1Horz">
      <w:pPr/>
      <w:tblPr/>
      <w:tcPr>
        <w:tcBorders>
          <w:top w:val="single" w:sz="4" w:space="0" w:color="7f7f7f"/>
          <w:bottom w:val="single" w:sz="4" w:space="0" w:color="7f7f7f"/>
        </w:tcBorders>
      </w:tcPr>
    </w:tblStylePr>
    <w:tblStylePr w:type="firstCol">
      <w:pPr/>
      <w:rPr>
        <w:b/>
        <w:bCs/>
      </w:rPr>
      <w:tcPr>
        <w:tcBorders/>
      </w:tcPr>
    </w:tblStylePr>
    <w:tblStylePr w:type="lastCol">
      <w:pPr/>
      <w:rPr>
        <w:b/>
        <w:bCs/>
      </w:rPr>
      <w:tcPr>
        <w:tcBorders/>
      </w:tcPr>
    </w:tblStylePr>
    <w:tblStylePr w:type="band1Vert">
      <w:pPr/>
      <w:tblPr/>
      <w:tcPr>
        <w:tcBorders>
          <w:left w:val="single" w:sz="4" w:space="0" w:color="7f7f7f"/>
          <w:right w:val="single" w:sz="4" w:space="0" w:color="7f7f7f"/>
        </w:tcBorders>
      </w:tcPr>
    </w:tblStylePr>
    <w:tblStylePr w:type="band2Vert">
      <w:pPr/>
      <w:tblPr/>
      <w:tcPr>
        <w:tcBorders>
          <w:left w:val="single" w:sz="4" w:space="0" w:color="7f7f7f"/>
          <w:right w:val="single" w:sz="4" w:space="0" w:color="7f7f7f"/>
        </w:tcBorders>
      </w:tcPr>
    </w:tblStylePr>
    <w:tcPr>
      <w:tcBorders/>
    </w:tcPr>
  </w:style>
  <w:style w:type="character" w:customStyle="1" w:styleId="style4110">
    <w:name w:val="Heading 1 Char_e6aba996-b1ee-4ff5-8c7d-0eeafc9c5211"/>
    <w:basedOn w:val="style65"/>
    <w:next w:val="style4110"/>
    <w:link w:val="style1"/>
    <w:uiPriority w:val="9"/>
    <w:rPr>
      <w:rFonts w:eastAsia="ＭＳ 明朝"/>
      <w:b/>
      <w:sz w:val="48"/>
      <w:szCs w:val="48"/>
    </w:rPr>
  </w:style>
  <w:style w:type="character" w:customStyle="1" w:styleId="style4111">
    <w:name w:val="Unresolved Mention"/>
    <w:basedOn w:val="style65"/>
    <w:next w:val="style4111"/>
    <w:uiPriority w:val="99"/>
    <w:rPr>
      <w:color w:val="605e5c"/>
      <w:shd w:val="clear" w:color="auto" w:fill="e1dfdd"/>
    </w:rPr>
  </w:style>
  <w:style w:type="table" w:customStyle="1" w:styleId="style4112">
    <w:name w:val="Plain Table 22"/>
    <w:basedOn w:val="style105"/>
    <w:next w:val="style4113"/>
    <w:uiPriority w:val="42"/>
    <w:pPr>
      <w:spacing w:after="0" w:lineRule="auto" w:line="240"/>
    </w:pPr>
    <w:rPr>
      <w:rFonts w:ascii="Times New Roman" w:cs="Times New Roman" w:eastAsia="SimSun" w:hAnsi="Times New Roman"/>
      <w:sz w:val="20"/>
      <w:szCs w:val="20"/>
    </w:rPr>
    <w:tblPr>
      <w:tblStyleRowBandSize w:val="1"/>
      <w:tblStyleColBandSize w:val="1"/>
      <w:tblBorders>
        <w:top w:val="single" w:sz="4" w:space="0" w:color="7f7f7f"/>
        <w:bottom w:val="single" w:sz="4" w:space="0" w:color="7f7f7f"/>
      </w:tblBorders>
    </w:tblPr>
    <w:tblStylePr w:type="firstRow">
      <w:pPr/>
      <w:rPr>
        <w:b/>
        <w:bCs/>
      </w:rPr>
      <w:tblPr/>
      <w:tcPr>
        <w:tcBorders>
          <w:bottom w:val="single" w:sz="4" w:space="0" w:color="7f7f7f"/>
        </w:tcBorders>
      </w:tcPr>
    </w:tblStylePr>
    <w:tblStylePr w:type="lastRow">
      <w:pPr/>
      <w:rPr>
        <w:b/>
        <w:bCs/>
      </w:rPr>
      <w:tblPr/>
      <w:tcPr>
        <w:tcBorders>
          <w:top w:val="single" w:sz="4" w:space="0" w:color="7f7f7f"/>
        </w:tcBorders>
      </w:tcPr>
    </w:tblStylePr>
    <w:tblStylePr w:type="band1Horz">
      <w:pPr/>
      <w:tblPr/>
      <w:tcPr>
        <w:tcBorders>
          <w:top w:val="single" w:sz="4" w:space="0" w:color="7f7f7f"/>
          <w:bottom w:val="single" w:sz="4" w:space="0" w:color="7f7f7f"/>
        </w:tcBorders>
      </w:tcPr>
    </w:tblStylePr>
    <w:tblStylePr w:type="firstCol">
      <w:pPr/>
      <w:rPr>
        <w:b/>
        <w:bCs/>
      </w:rPr>
      <w:tcPr>
        <w:tcBorders/>
      </w:tcPr>
    </w:tblStylePr>
    <w:tblStylePr w:type="lastCol">
      <w:pPr/>
      <w:rPr>
        <w:b/>
        <w:bCs/>
      </w:rPr>
      <w:tcPr>
        <w:tcBorders/>
      </w:tcPr>
    </w:tblStylePr>
    <w:tblStylePr w:type="band1Vert">
      <w:pPr/>
      <w:tblPr/>
      <w:tcPr>
        <w:tcBorders>
          <w:left w:val="single" w:sz="4" w:space="0" w:color="7f7f7f"/>
          <w:right w:val="single" w:sz="4" w:space="0" w:color="7f7f7f"/>
        </w:tcBorders>
      </w:tcPr>
    </w:tblStylePr>
    <w:tblStylePr w:type="band2Vert">
      <w:pPr/>
      <w:tblPr/>
      <w:tcPr>
        <w:tcBorders>
          <w:left w:val="single" w:sz="4" w:space="0" w:color="7f7f7f"/>
          <w:right w:val="single" w:sz="4" w:space="0" w:color="7f7f7f"/>
        </w:tcBorders>
      </w:tcPr>
    </w:tblStylePr>
    <w:tcPr>
      <w:tcBorders/>
    </w:tcPr>
  </w:style>
  <w:style w:type="table" w:customStyle="1" w:styleId="style4113">
    <w:name w:val="Plain Table 2"/>
    <w:basedOn w:val="style105"/>
    <w:next w:val="style4113"/>
    <w:uiPriority w:val="42"/>
    <w:pPr>
      <w:spacing w:after="0" w:lineRule="auto" w:line="240"/>
    </w:pPr>
    <w:rPr/>
    <w:tblPr>
      <w:tblStyleRowBandSize w:val="1"/>
      <w:tblStyleColBandSize w:val="1"/>
      <w:tblBorders>
        <w:top w:val="single" w:sz="4" w:space="0" w:color="7f7f7f"/>
        <w:bottom w:val="single" w:sz="4" w:space="0" w:color="7f7f7f"/>
      </w:tblBorders>
    </w:tblPr>
    <w:tblStylePr w:type="firstRow">
      <w:pPr/>
      <w:rPr>
        <w:b/>
        <w:bCs/>
      </w:rPr>
      <w:tblPr/>
      <w:tcPr>
        <w:tcBorders>
          <w:bottom w:val="single" w:sz="4" w:space="0" w:color="7f7f7f"/>
        </w:tcBorders>
      </w:tcPr>
    </w:tblStylePr>
    <w:tblStylePr w:type="lastRow">
      <w:pPr/>
      <w:rPr>
        <w:b/>
        <w:bCs/>
      </w:rPr>
      <w:tblPr/>
      <w:tcPr>
        <w:tcBorders>
          <w:top w:val="single" w:sz="4" w:space="0" w:color="7f7f7f"/>
        </w:tcBorders>
      </w:tcPr>
    </w:tblStylePr>
    <w:tblStylePr w:type="band1Horz">
      <w:pPr/>
      <w:tblPr/>
      <w:tcPr>
        <w:tcBorders>
          <w:top w:val="single" w:sz="4" w:space="0" w:color="7f7f7f"/>
          <w:bottom w:val="single" w:sz="4" w:space="0" w:color="7f7f7f"/>
        </w:tcBorders>
      </w:tcPr>
    </w:tblStylePr>
    <w:tblStylePr w:type="firstCol">
      <w:pPr/>
      <w:rPr>
        <w:b/>
        <w:bCs/>
      </w:rPr>
      <w:tcPr>
        <w:tcBorders/>
      </w:tcPr>
    </w:tblStylePr>
    <w:tblStylePr w:type="lastCol">
      <w:pPr/>
      <w:rPr>
        <w:b/>
        <w:bCs/>
      </w:rPr>
      <w:tcPr>
        <w:tcBorders/>
      </w:tcPr>
    </w:tblStylePr>
    <w:tblStylePr w:type="band1Vert">
      <w:pPr/>
      <w:tblPr/>
      <w:tcPr>
        <w:tcBorders>
          <w:left w:val="single" w:sz="4" w:space="0" w:color="7f7f7f"/>
          <w:right w:val="single" w:sz="4" w:space="0" w:color="7f7f7f"/>
        </w:tcBorders>
      </w:tcPr>
    </w:tblStylePr>
    <w:tblStylePr w:type="band2Vert">
      <w:pPr/>
      <w:tblPr/>
      <w:tcPr>
        <w:tcBorders>
          <w:left w:val="single" w:sz="4" w:space="0" w:color="7f7f7f"/>
          <w:right w:val="single" w:sz="4" w:space="0" w:color="7f7f7f"/>
        </w:tcBorders>
      </w:tcPr>
    </w:tblStylePr>
    <w:tcPr>
      <w:tcBorders/>
    </w:tcPr>
  </w:style>
</w:styles>
</file>

<file path=word/_rels/document.xml.rels><?xml version="1.0" encoding="UTF-8"?>
<Relationships xmlns="http://schemas.openxmlformats.org/package/2006/relationships"><Relationship Id="rId20" Type="http://schemas.openxmlformats.org/officeDocument/2006/relationships/customXml" Target="../customXml/item4.xml"/><Relationship Id="rId11" Type="http://schemas.openxmlformats.org/officeDocument/2006/relationships/image" Target="media/image2.png"/><Relationship Id="rId22" Type="http://schemas.openxmlformats.org/officeDocument/2006/relationships/customXml" Target="../customXml/item6.xml"/><Relationship Id="rId10" Type="http://schemas.openxmlformats.org/officeDocument/2006/relationships/image" Target="media/image4.jpeg"/><Relationship Id="rId21" Type="http://schemas.openxmlformats.org/officeDocument/2006/relationships/customXml" Target="../customXml/item5.xml"/><Relationship Id="rId13" Type="http://schemas.openxmlformats.org/officeDocument/2006/relationships/styles" Target="styles.xml"/><Relationship Id="rId12" Type="http://schemas.openxmlformats.org/officeDocument/2006/relationships/image" Target="media/image3.png"/><Relationship Id="rId1" Type="http://schemas.openxmlformats.org/officeDocument/2006/relationships/numbering" Target="numbering.xml"/><Relationship Id="rId2" Type="http://schemas.microsoft.com/office/2011/relationships/commentsExtended" Target="commentsExtended.xml"/><Relationship Id="rId3" Type="http://schemas.openxmlformats.org/officeDocument/2006/relationships/comments" Target="comments.xml"/><Relationship Id="rId4" Type="http://schemas.openxmlformats.org/officeDocument/2006/relationships/image" Target="media/image1.png"/><Relationship Id="rId9" Type="http://schemas.openxmlformats.org/officeDocument/2006/relationships/image" Target="media/image3.jpeg"/><Relationship Id="rId15" Type="http://schemas.openxmlformats.org/officeDocument/2006/relationships/settings" Target="settings.xml"/><Relationship Id="rId14"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theme" Target="theme/theme1.xml"/><Relationship Id="rId5" Type="http://schemas.openxmlformats.org/officeDocument/2006/relationships/header" Target="header1.xml"/><Relationship Id="rId19" Type="http://schemas.openxmlformats.org/officeDocument/2006/relationships/customXml" Target="../customXml/item3.xml"/><Relationship Id="rId6" Type="http://schemas.openxmlformats.org/officeDocument/2006/relationships/footer" Target="footer2.xml"/><Relationship Id="rId18" Type="http://schemas.openxmlformats.org/officeDocument/2006/relationships/customXml" Target="../customXml/item2.xml"/><Relationship Id="rId7" Type="http://schemas.openxmlformats.org/officeDocument/2006/relationships/image" Target="media/image2.wmf"/><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_rels/item2.xml.rels><?xml version="1.0" encoding="UTF-8"?>
<Relationships xmlns="http://schemas.openxmlformats.org/package/2006/relationships"><Relationship Id="rId1" Type="http://schemas.openxmlformats.org/officeDocument/2006/relationships/customXmlProps" Target="itemProps2.xml"/></Relationships>
</file>

<file path=customXml/_rels/item3.xml.rels><?xml version="1.0" encoding="UTF-8"?>
<Relationships xmlns="http://schemas.openxmlformats.org/package/2006/relationships"><Relationship Id="rId1" Type="http://schemas.openxmlformats.org/officeDocument/2006/relationships/customXmlProps" Target="itemProps3.xml"/></Relationships>
</file>

<file path=customXml/_rels/item4.xml.rels><?xml version="1.0" encoding="UTF-8"?>
<Relationships xmlns="http://schemas.openxmlformats.org/package/2006/relationships"><Relationship Id="rId1" Type="http://schemas.openxmlformats.org/officeDocument/2006/relationships/customXmlProps" Target="itemProps4.xml"/></Relationships>
</file>

<file path=customXml/_rels/item5.xml.rels><?xml version="1.0" encoding="UTF-8"?>
<Relationships xmlns="http://schemas.openxmlformats.org/package/2006/relationships"><Relationship Id="rId1" Type="http://schemas.openxmlformats.org/officeDocument/2006/relationships/customXmlProps" Target="itemProps5.xml"/></Relationships>
</file>

<file path=customXml/_rels/item6.xml.rels><?xml version="1.0" encoding="UTF-8"?>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ixdiawdkHswRpX/Npa2WA2FECghg==">AMUW2mUGDW45paz/2X2+dPyrXkH3EEVpUjOJxJgjgL7E9v7P55jFdkbYvO7lTWw97s/2DBuN1dEZlVZ5wziaNPpCx5QlzpUElszIZj7WuPJBABgseSzLbvmSdKyitLHVrAp1ve5axYGpmpYARiwsNLDH6aMX5ipe2CF42hJ3MULA8IpgAYLEXgM2lwaFcTbP75VEdZOBxZNX</go:docsCustomData>
</go:gDocsCustomXmlDataStorage>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5C262F01-5A75-415C-975B-C84CC57EF37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a422a42-8b06-4554-8697-3b40c8121470}">
  <ds:schemaRefs>
    <ds:schemaRef ds:uri="http://www.wps.cn/android/officeDocument/2013/mofficeCustomData"/>
  </ds:schemaRefs>
</ds:datastoreItem>
</file>

<file path=customXml/itemProps4.xml><?xml version="1.0" encoding="utf-8"?>
<ds:datastoreItem xmlns:ds="http://schemas.openxmlformats.org/officeDocument/2006/customXml" ds:itemID="{d7dd9160-00a6-47ba-905a-a61473296381}">
  <ds:schemaRefs>
    <ds:schemaRef ds:uri="http://www.wps.cn/android/officeDocument/2013/mofficeCustomData"/>
  </ds:schemaRefs>
</ds:datastoreItem>
</file>

<file path=customXml/itemProps5.xml><?xml version="1.0" encoding="utf-8"?>
<ds:datastoreItem xmlns:ds="http://schemas.openxmlformats.org/officeDocument/2006/customXml" ds:itemID="{accd5837-4183-4387-b297-7893a9f3d04c}">
  <ds:schemaRefs>
    <ds:schemaRef ds:uri="http://www.wps.cn/android/officeDocument/2013/mofficeCustomData"/>
  </ds:schemaRefs>
</ds:datastoreItem>
</file>

<file path=customXml/itemProps6.xml><?xml version="1.0" encoding="utf-8"?>
<ds:datastoreItem xmlns:ds="http://schemas.openxmlformats.org/officeDocument/2006/customXml" ds:itemID="{143ea90a-d1fc-4867-ad87-6a7c36ae70ec}">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2109</Words>
  <Pages>6</Pages>
  <Characters>12911</Characters>
  <Application>WPS Office</Application>
  <DocSecurity>0</DocSecurity>
  <Paragraphs>114</Paragraphs>
  <ScaleCrop>false</ScaleCrop>
  <Company>HP</Company>
  <LinksUpToDate>false</LinksUpToDate>
  <CharactersWithSpaces>15194</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2025-06-24T14:06:54Z</dcterms:created>
  <dc:creator>Rafhael Reznandika Yustiyo, rafaelreznandikayustio@gmail.com</dc:creator>
  <lastModifiedBy>findy</lastModifiedBy>
  <lastPrinted>2023-05-02T07:00:00Z</lastPrinted>
  <dcterms:modified xsi:type="dcterms:W3CDTF">2025-06-24T14:06:54Z</dcterms:modified>
  <revision>2</revision>
  <dc:title>Jurnal Proteksi Kesehatan Vol.12, No.1, Mei 2023, pp. 1-6 ISSN 2715-1115 (Online), ISSN 2302 – 8610 (Print)</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4th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d85b67b5-876f-376d-b695-f4f617aac800</vt:lpwstr>
  </property>
  <property fmtid="{D5CDD505-2E9C-101B-9397-08002B2CF9AE}" pid="24" name="Mendeley Citation Style_1">
    <vt:lpwstr>http://www.zotero.org/styles/ieee</vt:lpwstr>
  </property>
  <property fmtid="{D5CDD505-2E9C-101B-9397-08002B2CF9AE}" pid="25" name="ICV">
    <vt:lpwstr>2f4adbb6f83f41c9b8b85b374b8e1295</vt:lpwstr>
  </property>
</Properties>
</file>