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9BCD4" w14:textId="49FDB0AD" w:rsidR="009428F2" w:rsidRPr="009428F2" w:rsidRDefault="009428F2" w:rsidP="009428F2">
      <w:pPr>
        <w:spacing w:after="0" w:line="240" w:lineRule="auto"/>
        <w:jc w:val="center"/>
        <w:rPr>
          <w:rFonts w:ascii="Tw Cen MT" w:eastAsia="Twentieth Century" w:hAnsi="Tw Cen MT" w:cs="Twentieth Century"/>
          <w:b/>
          <w:i/>
          <w:sz w:val="32"/>
          <w:szCs w:val="32"/>
        </w:rPr>
      </w:pPr>
      <w:bookmarkStart w:id="0" w:name="_heading=h.ku3htxpixa9v" w:colFirst="0" w:colLast="0"/>
      <w:bookmarkEnd w:id="0"/>
      <w:r w:rsidRPr="009428F2">
        <w:rPr>
          <w:rFonts w:ascii="Tw Cen MT" w:eastAsia="Twentieth Century" w:hAnsi="Tw Cen MT" w:cs="Twentieth Century"/>
          <w:b/>
          <w:i/>
          <w:sz w:val="32"/>
          <w:szCs w:val="32"/>
        </w:rPr>
        <w:t xml:space="preserve">Analysis Of Pixel Value </w:t>
      </w:r>
      <w:proofErr w:type="gramStart"/>
      <w:r w:rsidRPr="009428F2">
        <w:rPr>
          <w:rFonts w:ascii="Tw Cen MT" w:eastAsia="Twentieth Century" w:hAnsi="Tw Cen MT" w:cs="Twentieth Century"/>
          <w:b/>
          <w:i/>
          <w:sz w:val="32"/>
          <w:szCs w:val="32"/>
        </w:rPr>
        <w:t>In</w:t>
      </w:r>
      <w:proofErr w:type="gramEnd"/>
      <w:r w:rsidRPr="009428F2">
        <w:rPr>
          <w:rFonts w:ascii="Tw Cen MT" w:eastAsia="Twentieth Century" w:hAnsi="Tw Cen MT" w:cs="Twentieth Century"/>
          <w:b/>
          <w:i/>
          <w:sz w:val="32"/>
          <w:szCs w:val="32"/>
        </w:rPr>
        <w:t xml:space="preserve"> Lateral Projection </w:t>
      </w:r>
      <w:proofErr w:type="gramStart"/>
      <w:r w:rsidRPr="009428F2">
        <w:rPr>
          <w:rFonts w:ascii="Tw Cen MT" w:eastAsia="Twentieth Century" w:hAnsi="Tw Cen MT" w:cs="Twentieth Century"/>
          <w:b/>
          <w:i/>
          <w:sz w:val="32"/>
          <w:szCs w:val="32"/>
        </w:rPr>
        <w:t>Of</w:t>
      </w:r>
      <w:proofErr w:type="gramEnd"/>
      <w:r w:rsidRPr="009428F2">
        <w:rPr>
          <w:rFonts w:ascii="Tw Cen MT" w:eastAsia="Twentieth Century" w:hAnsi="Tw Cen MT" w:cs="Twentieth Century"/>
          <w:b/>
          <w:i/>
          <w:sz w:val="32"/>
          <w:szCs w:val="32"/>
        </w:rPr>
        <w:t xml:space="preserve"> Sacrum</w:t>
      </w:r>
    </w:p>
    <w:p w14:paraId="6DFDCBA7" w14:textId="6DC02419" w:rsidR="009428F2" w:rsidRDefault="009428F2" w:rsidP="009428F2">
      <w:pPr>
        <w:spacing w:after="0" w:line="240" w:lineRule="auto"/>
        <w:jc w:val="center"/>
        <w:rPr>
          <w:rFonts w:ascii="Tw Cen MT" w:eastAsia="Twentieth Century" w:hAnsi="Tw Cen MT" w:cs="Twentieth Century"/>
          <w:b/>
          <w:i/>
          <w:sz w:val="32"/>
          <w:szCs w:val="32"/>
        </w:rPr>
      </w:pPr>
      <w:r w:rsidRPr="009428F2">
        <w:rPr>
          <w:rFonts w:ascii="Tw Cen MT" w:eastAsia="Twentieth Century" w:hAnsi="Tw Cen MT" w:cs="Twentieth Century"/>
          <w:b/>
          <w:i/>
          <w:sz w:val="32"/>
          <w:szCs w:val="32"/>
        </w:rPr>
        <w:t xml:space="preserve">Examination Using Variations </w:t>
      </w:r>
      <w:proofErr w:type="gramStart"/>
      <w:r w:rsidRPr="009428F2">
        <w:rPr>
          <w:rFonts w:ascii="Tw Cen MT" w:eastAsia="Twentieth Century" w:hAnsi="Tw Cen MT" w:cs="Twentieth Century"/>
          <w:b/>
          <w:i/>
          <w:sz w:val="32"/>
          <w:szCs w:val="32"/>
        </w:rPr>
        <w:t>Of</w:t>
      </w:r>
      <w:proofErr w:type="gramEnd"/>
      <w:r w:rsidRPr="009428F2">
        <w:rPr>
          <w:rFonts w:ascii="Tw Cen MT" w:eastAsia="Twentieth Century" w:hAnsi="Tw Cen MT" w:cs="Twentieth Century"/>
          <w:b/>
          <w:i/>
          <w:sz w:val="32"/>
          <w:szCs w:val="32"/>
        </w:rPr>
        <w:t xml:space="preserve"> Virtual Grid Ratios</w:t>
      </w:r>
    </w:p>
    <w:p w14:paraId="33533611" w14:textId="6C7F62CA" w:rsidR="007E6AEC" w:rsidRDefault="00A51FB1" w:rsidP="009428F2">
      <w:pPr>
        <w:spacing w:after="0" w:line="240" w:lineRule="auto"/>
        <w:jc w:val="center"/>
        <w:rPr>
          <w:rFonts w:ascii="Tw Cen MT" w:hAnsi="Tw Cen MT" w:cs="Times New Roman"/>
          <w:b/>
          <w:bCs/>
          <w:iCs/>
          <w:sz w:val="32"/>
          <w:szCs w:val="32"/>
          <w:lang w:val="en-ID"/>
        </w:rPr>
      </w:pPr>
      <w:proofErr w:type="spellStart"/>
      <w:r>
        <w:rPr>
          <w:rFonts w:ascii="Tw Cen MT" w:eastAsia="Twentieth Century" w:hAnsi="Tw Cen MT" w:cs="Twentieth Century"/>
          <w:b/>
          <w:sz w:val="32"/>
          <w:szCs w:val="32"/>
        </w:rPr>
        <w:t>Analisis</w:t>
      </w:r>
      <w:proofErr w:type="spellEnd"/>
      <w:r>
        <w:rPr>
          <w:rFonts w:ascii="Tw Cen MT" w:eastAsia="Twentieth Century" w:hAnsi="Tw Cen MT" w:cs="Twentieth Century"/>
          <w:b/>
          <w:sz w:val="32"/>
          <w:szCs w:val="32"/>
        </w:rPr>
        <w:t xml:space="preserve"> </w:t>
      </w:r>
      <w:r w:rsidR="00FD7CA4" w:rsidRPr="00FD7CA4">
        <w:rPr>
          <w:rFonts w:ascii="Tw Cen MT" w:eastAsia="Twentieth Century" w:hAnsi="Tw Cen MT" w:cs="Twentieth Century"/>
          <w:b/>
          <w:i/>
          <w:iCs/>
          <w:sz w:val="32"/>
          <w:szCs w:val="32"/>
        </w:rPr>
        <w:t>Pixel Value</w:t>
      </w:r>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Terhadap</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Pemeriksaan</w:t>
      </w:r>
      <w:proofErr w:type="spellEnd"/>
      <w:r>
        <w:rPr>
          <w:rFonts w:ascii="Tw Cen MT" w:eastAsia="Twentieth Century" w:hAnsi="Tw Cen MT" w:cs="Twentieth Century"/>
          <w:b/>
          <w:sz w:val="32"/>
          <w:szCs w:val="32"/>
        </w:rPr>
        <w:t xml:space="preserve"> </w:t>
      </w:r>
      <w:proofErr w:type="spellStart"/>
      <w:r w:rsidR="00FD7CA4" w:rsidRPr="00FD7CA4">
        <w:rPr>
          <w:rFonts w:ascii="Tw Cen MT" w:eastAsia="Twentieth Century" w:hAnsi="Tw Cen MT" w:cs="Twentieth Century"/>
          <w:b/>
          <w:i/>
          <w:iCs/>
          <w:sz w:val="32"/>
          <w:szCs w:val="32"/>
        </w:rPr>
        <w:t>Os</w:t>
      </w:r>
      <w:proofErr w:type="spellEnd"/>
      <w:r w:rsidR="00FD7CA4" w:rsidRPr="00FD7CA4">
        <w:rPr>
          <w:rFonts w:ascii="Tw Cen MT" w:eastAsia="Twentieth Century" w:hAnsi="Tw Cen MT" w:cs="Twentieth Century"/>
          <w:b/>
          <w:i/>
          <w:iCs/>
          <w:sz w:val="32"/>
          <w:szCs w:val="32"/>
        </w:rPr>
        <w:t xml:space="preserve"> Sacrum</w:t>
      </w:r>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Proyeksi</w:t>
      </w:r>
      <w:proofErr w:type="spellEnd"/>
      <w:r>
        <w:rPr>
          <w:rFonts w:ascii="Tw Cen MT" w:eastAsia="Twentieth Century" w:hAnsi="Tw Cen MT" w:cs="Twentieth Century"/>
          <w:b/>
          <w:sz w:val="32"/>
          <w:szCs w:val="32"/>
        </w:rPr>
        <w:t xml:space="preserve"> Lateral </w:t>
      </w:r>
      <w:proofErr w:type="spellStart"/>
      <w:r>
        <w:rPr>
          <w:rFonts w:ascii="Tw Cen MT" w:eastAsia="Twentieth Century" w:hAnsi="Tw Cen MT" w:cs="Twentieth Century"/>
          <w:b/>
          <w:sz w:val="32"/>
          <w:szCs w:val="32"/>
        </w:rPr>
        <w:t>Menggunakan</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Variasi</w:t>
      </w:r>
      <w:proofErr w:type="spellEnd"/>
      <w:r>
        <w:rPr>
          <w:rFonts w:ascii="Tw Cen MT" w:eastAsia="Twentieth Century" w:hAnsi="Tw Cen MT" w:cs="Twentieth Century"/>
          <w:b/>
          <w:sz w:val="32"/>
          <w:szCs w:val="32"/>
        </w:rPr>
        <w:t xml:space="preserve"> </w:t>
      </w:r>
      <w:proofErr w:type="spellStart"/>
      <w:r>
        <w:rPr>
          <w:rFonts w:ascii="Tw Cen MT" w:eastAsia="Twentieth Century" w:hAnsi="Tw Cen MT" w:cs="Twentieth Century"/>
          <w:b/>
          <w:sz w:val="32"/>
          <w:szCs w:val="32"/>
        </w:rPr>
        <w:t>Rasio</w:t>
      </w:r>
      <w:proofErr w:type="spellEnd"/>
      <w:r>
        <w:rPr>
          <w:rFonts w:ascii="Tw Cen MT" w:eastAsia="Twentieth Century" w:hAnsi="Tw Cen MT" w:cs="Twentieth Century"/>
          <w:b/>
          <w:sz w:val="32"/>
          <w:szCs w:val="32"/>
        </w:rPr>
        <w:t xml:space="preserve"> </w:t>
      </w:r>
      <w:r w:rsidR="00FD7CA4" w:rsidRPr="00FD7CA4">
        <w:rPr>
          <w:rFonts w:ascii="Tw Cen MT" w:eastAsia="Twentieth Century" w:hAnsi="Tw Cen MT" w:cs="Twentieth Century"/>
          <w:b/>
          <w:i/>
          <w:iCs/>
          <w:sz w:val="32"/>
          <w:szCs w:val="32"/>
        </w:rPr>
        <w:t>Virtual Grid</w:t>
      </w:r>
    </w:p>
    <w:p w14:paraId="1A4DEFB6" w14:textId="2B4BC755" w:rsidR="007E6AEC" w:rsidRDefault="00000000">
      <w:pPr>
        <w:widowControl w:val="0"/>
        <w:spacing w:after="0" w:line="218" w:lineRule="auto"/>
        <w:ind w:left="7" w:right="-20"/>
        <w:jc w:val="center"/>
        <w:rPr>
          <w:rFonts w:ascii="Tw Cen MT" w:eastAsia="Twentieth Century" w:hAnsi="Tw Cen MT" w:cs="Twentieth Century"/>
          <w:sz w:val="24"/>
          <w:szCs w:val="24"/>
          <w:vertAlign w:val="superscript"/>
        </w:rPr>
      </w:pPr>
      <w:r>
        <w:rPr>
          <w:rFonts w:ascii="Tw Cen MT" w:eastAsia="Twentieth Century" w:hAnsi="Tw Cen MT" w:cs="Twentieth Century"/>
          <w:sz w:val="24"/>
          <w:szCs w:val="24"/>
        </w:rPr>
        <w:t xml:space="preserve">Rafhael </w:t>
      </w:r>
      <w:proofErr w:type="spellStart"/>
      <w:r>
        <w:rPr>
          <w:rFonts w:ascii="Tw Cen MT" w:eastAsia="Twentieth Century" w:hAnsi="Tw Cen MT" w:cs="Twentieth Century"/>
          <w:sz w:val="24"/>
          <w:szCs w:val="24"/>
        </w:rPr>
        <w:t>Reznandika</w:t>
      </w:r>
      <w:proofErr w:type="spellEnd"/>
      <w:r>
        <w:rPr>
          <w:rFonts w:ascii="Tw Cen MT" w:eastAsia="Twentieth Century" w:hAnsi="Tw Cen MT" w:cs="Twentieth Century"/>
          <w:sz w:val="24"/>
          <w:szCs w:val="24"/>
        </w:rPr>
        <w:t xml:space="preserve"> Yustiyo</w:t>
      </w:r>
      <w:r>
        <w:rPr>
          <w:rFonts w:ascii="Tw Cen MT" w:eastAsia="Twentieth Century" w:hAnsi="Tw Cen MT" w:cs="Twentieth Century"/>
          <w:sz w:val="24"/>
          <w:szCs w:val="24"/>
          <w:vertAlign w:val="superscript"/>
        </w:rPr>
        <w:t>1</w:t>
      </w:r>
      <w:r>
        <w:rPr>
          <w:rFonts w:ascii="Tw Cen MT" w:eastAsia="Twentieth Century" w:hAnsi="Tw Cen MT" w:cs="Twentieth Century"/>
          <w:sz w:val="24"/>
          <w:szCs w:val="24"/>
        </w:rPr>
        <w:t xml:space="preserve">, Shinta </w:t>
      </w:r>
      <w:proofErr w:type="spellStart"/>
      <w:r>
        <w:rPr>
          <w:rFonts w:ascii="Tw Cen MT" w:eastAsia="Twentieth Century" w:hAnsi="Tw Cen MT" w:cs="Twentieth Century"/>
          <w:sz w:val="24"/>
          <w:szCs w:val="24"/>
        </w:rPr>
        <w:t>Gunawati</w:t>
      </w:r>
      <w:proofErr w:type="spellEnd"/>
      <w:r>
        <w:rPr>
          <w:rFonts w:ascii="Tw Cen MT" w:eastAsia="Twentieth Century" w:hAnsi="Tw Cen MT" w:cs="Twentieth Century"/>
          <w:sz w:val="24"/>
          <w:szCs w:val="24"/>
        </w:rPr>
        <w:t xml:space="preserve"> Sutoro</w:t>
      </w:r>
      <w:proofErr w:type="gramStart"/>
      <w:r>
        <w:rPr>
          <w:rFonts w:ascii="Tw Cen MT" w:eastAsia="Twentieth Century" w:hAnsi="Tw Cen MT" w:cs="Twentieth Century"/>
          <w:sz w:val="24"/>
          <w:szCs w:val="24"/>
          <w:vertAlign w:val="superscript"/>
        </w:rPr>
        <w:t>1</w:t>
      </w:r>
      <w:r>
        <w:rPr>
          <w:rFonts w:ascii="Tw Cen MT" w:eastAsia="Twentieth Century" w:hAnsi="Tw Cen MT" w:cs="Twentieth Century"/>
          <w:sz w:val="24"/>
          <w:szCs w:val="24"/>
        </w:rPr>
        <w:t>,  Muhammad</w:t>
      </w:r>
      <w:proofErr w:type="gramEnd"/>
      <w:r>
        <w:rPr>
          <w:rFonts w:ascii="Tw Cen MT" w:eastAsia="Twentieth Century" w:hAnsi="Tw Cen MT" w:cs="Twentieth Century"/>
          <w:sz w:val="24"/>
          <w:szCs w:val="24"/>
        </w:rPr>
        <w:t xml:space="preserve"> Irsal</w:t>
      </w:r>
      <w:r>
        <w:rPr>
          <w:rFonts w:ascii="Tw Cen MT" w:eastAsia="Twentieth Century" w:hAnsi="Tw Cen MT" w:cs="Twentieth Century"/>
          <w:sz w:val="24"/>
          <w:szCs w:val="24"/>
          <w:vertAlign w:val="superscript"/>
        </w:rPr>
        <w:t>1</w:t>
      </w:r>
      <w:r>
        <w:rPr>
          <w:rFonts w:ascii="Tw Cen MT" w:eastAsia="Twentieth Century" w:hAnsi="Tw Cen MT" w:cs="Twentieth Century"/>
          <w:sz w:val="24"/>
          <w:szCs w:val="24"/>
        </w:rPr>
        <w:t>, Muhammad Rizqi</w:t>
      </w:r>
      <w:r>
        <w:rPr>
          <w:rFonts w:ascii="Tw Cen MT" w:eastAsia="Twentieth Century" w:hAnsi="Tw Cen MT" w:cs="Twentieth Century"/>
          <w:sz w:val="24"/>
          <w:szCs w:val="24"/>
          <w:vertAlign w:val="superscript"/>
        </w:rPr>
        <w:t>1</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Fitrus</w:t>
      </w:r>
      <w:proofErr w:type="spellEnd"/>
      <w:r>
        <w:rPr>
          <w:rFonts w:ascii="Tw Cen MT" w:eastAsia="Twentieth Century" w:hAnsi="Tw Cen MT" w:cs="Twentieth Century"/>
          <w:sz w:val="24"/>
          <w:szCs w:val="24"/>
        </w:rPr>
        <w:t xml:space="preserve"> Ardoni</w:t>
      </w:r>
      <w:r>
        <w:rPr>
          <w:rFonts w:ascii="Tw Cen MT" w:eastAsia="Twentieth Century" w:hAnsi="Tw Cen MT" w:cs="Twentieth Century"/>
          <w:sz w:val="24"/>
          <w:szCs w:val="24"/>
          <w:vertAlign w:val="superscript"/>
        </w:rPr>
        <w:t>1</w:t>
      </w:r>
    </w:p>
    <w:p w14:paraId="3AF1E22C" w14:textId="77777777" w:rsidR="007E6AEC" w:rsidRDefault="00000000">
      <w:pPr>
        <w:widowControl w:val="0"/>
        <w:spacing w:after="0" w:line="218" w:lineRule="auto"/>
        <w:ind w:right="-20"/>
        <w:jc w:val="center"/>
        <w:rPr>
          <w:rFonts w:ascii="Tw Cen MT" w:eastAsia="Twentieth Century" w:hAnsi="Tw Cen MT" w:cs="Twentieth Century"/>
          <w:sz w:val="20"/>
          <w:szCs w:val="20"/>
        </w:rPr>
      </w:pPr>
      <w:proofErr w:type="spellStart"/>
      <w:r>
        <w:rPr>
          <w:rFonts w:ascii="Tw Cen MT" w:eastAsia="Twentieth Century" w:hAnsi="Tw Cen MT" w:cs="Twentieth Century"/>
          <w:sz w:val="20"/>
          <w:szCs w:val="20"/>
        </w:rPr>
        <w:t>Jurusan</w:t>
      </w:r>
      <w:proofErr w:type="spellEnd"/>
      <w:r>
        <w:rPr>
          <w:rFonts w:ascii="Tw Cen MT" w:eastAsia="Twentieth Century" w:hAnsi="Tw Cen MT" w:cs="Twentieth Century"/>
          <w:sz w:val="20"/>
          <w:szCs w:val="20"/>
        </w:rPr>
        <w:t xml:space="preserve"> Teknik </w:t>
      </w:r>
      <w:proofErr w:type="spellStart"/>
      <w:r>
        <w:rPr>
          <w:rFonts w:ascii="Tw Cen MT" w:eastAsia="Twentieth Century" w:hAnsi="Tw Cen MT" w:cs="Twentieth Century"/>
          <w:sz w:val="20"/>
          <w:szCs w:val="20"/>
        </w:rPr>
        <w:t>Radiodiagnostik</w:t>
      </w:r>
      <w:proofErr w:type="spellEnd"/>
      <w:r>
        <w:rPr>
          <w:rFonts w:ascii="Tw Cen MT" w:eastAsia="Twentieth Century" w:hAnsi="Tw Cen MT" w:cs="Twentieth Century"/>
          <w:sz w:val="20"/>
          <w:szCs w:val="20"/>
        </w:rPr>
        <w:t xml:space="preserve"> dan </w:t>
      </w:r>
      <w:proofErr w:type="spellStart"/>
      <w:r>
        <w:rPr>
          <w:rFonts w:ascii="Tw Cen MT" w:eastAsia="Twentieth Century" w:hAnsi="Tw Cen MT" w:cs="Twentieth Century"/>
          <w:sz w:val="20"/>
          <w:szCs w:val="20"/>
        </w:rPr>
        <w:t>Radioterapi</w:t>
      </w:r>
      <w:proofErr w:type="spellEnd"/>
      <w:r>
        <w:rPr>
          <w:rFonts w:ascii="Tw Cen MT" w:eastAsia="Twentieth Century" w:hAnsi="Tw Cen MT" w:cs="Twentieth Century"/>
          <w:sz w:val="20"/>
          <w:szCs w:val="20"/>
        </w:rPr>
        <w:t xml:space="preserve">, </w:t>
      </w:r>
      <w:proofErr w:type="spellStart"/>
      <w:r>
        <w:rPr>
          <w:rFonts w:ascii="Tw Cen MT" w:eastAsia="Twentieth Century" w:hAnsi="Tw Cen MT" w:cs="Twentieth Century"/>
          <w:sz w:val="20"/>
          <w:szCs w:val="20"/>
        </w:rPr>
        <w:t>Poltekkes</w:t>
      </w:r>
      <w:proofErr w:type="spellEnd"/>
      <w:r>
        <w:rPr>
          <w:rFonts w:ascii="Tw Cen MT" w:eastAsia="Twentieth Century" w:hAnsi="Tw Cen MT" w:cs="Twentieth Century"/>
          <w:sz w:val="20"/>
          <w:szCs w:val="20"/>
        </w:rPr>
        <w:t xml:space="preserve"> </w:t>
      </w:r>
      <w:proofErr w:type="spellStart"/>
      <w:r>
        <w:rPr>
          <w:rFonts w:ascii="Tw Cen MT" w:eastAsia="Twentieth Century" w:hAnsi="Tw Cen MT" w:cs="Twentieth Century"/>
          <w:sz w:val="20"/>
          <w:szCs w:val="20"/>
        </w:rPr>
        <w:t>Kemenkes</w:t>
      </w:r>
      <w:proofErr w:type="spellEnd"/>
      <w:r>
        <w:rPr>
          <w:rFonts w:ascii="Tw Cen MT" w:eastAsia="Twentieth Century" w:hAnsi="Tw Cen MT" w:cs="Twentieth Century"/>
          <w:sz w:val="20"/>
          <w:szCs w:val="20"/>
        </w:rPr>
        <w:t xml:space="preserve"> Jakarta 2, Jl. Hang Jebat III </w:t>
      </w:r>
      <w:proofErr w:type="spellStart"/>
      <w:r>
        <w:rPr>
          <w:rFonts w:ascii="Tw Cen MT" w:eastAsia="Twentieth Century" w:hAnsi="Tw Cen MT" w:cs="Twentieth Century"/>
          <w:sz w:val="20"/>
          <w:szCs w:val="20"/>
        </w:rPr>
        <w:t>Gunung</w:t>
      </w:r>
      <w:proofErr w:type="spellEnd"/>
      <w:r>
        <w:rPr>
          <w:rFonts w:ascii="Tw Cen MT" w:eastAsia="Twentieth Century" w:hAnsi="Tw Cen MT" w:cs="Twentieth Century"/>
          <w:sz w:val="20"/>
          <w:szCs w:val="20"/>
        </w:rPr>
        <w:t xml:space="preserve"> </w:t>
      </w:r>
      <w:proofErr w:type="spellStart"/>
      <w:r>
        <w:rPr>
          <w:rFonts w:ascii="Tw Cen MT" w:eastAsia="Twentieth Century" w:hAnsi="Tw Cen MT" w:cs="Twentieth Century"/>
          <w:sz w:val="20"/>
          <w:szCs w:val="20"/>
        </w:rPr>
        <w:t>Kebayoran</w:t>
      </w:r>
      <w:proofErr w:type="spellEnd"/>
      <w:r>
        <w:rPr>
          <w:rFonts w:ascii="Tw Cen MT" w:eastAsia="Twentieth Century" w:hAnsi="Tw Cen MT" w:cs="Twentieth Century"/>
          <w:sz w:val="20"/>
          <w:szCs w:val="20"/>
        </w:rPr>
        <w:t xml:space="preserve"> Baru, Jakarta Selatan, 12120, Indonesia</w:t>
      </w:r>
    </w:p>
    <w:p w14:paraId="6C7E8FA4" w14:textId="77777777" w:rsidR="007E6AEC" w:rsidRDefault="00000000">
      <w:pPr>
        <w:widowControl w:val="0"/>
        <w:spacing w:after="0" w:line="218" w:lineRule="auto"/>
        <w:ind w:right="-20"/>
        <w:jc w:val="center"/>
        <w:rPr>
          <w:rFonts w:ascii="Tw Cen MT" w:hAnsi="Tw Cen MT"/>
          <w:sz w:val="20"/>
          <w:szCs w:val="20"/>
        </w:rPr>
      </w:pPr>
      <w:proofErr w:type="gramStart"/>
      <w:r>
        <w:rPr>
          <w:rFonts w:ascii="Tw Cen MT" w:eastAsia="Twentieth Century" w:hAnsi="Tw Cen MT" w:cs="Twentieth Century"/>
          <w:sz w:val="20"/>
          <w:szCs w:val="20"/>
        </w:rPr>
        <w:t>Email :</w:t>
      </w:r>
      <w:proofErr w:type="gramEnd"/>
      <w:r>
        <w:rPr>
          <w:rFonts w:ascii="Tw Cen MT" w:eastAsia="Twentieth Century" w:hAnsi="Tw Cen MT" w:cs="Twentieth Century"/>
          <w:sz w:val="20"/>
          <w:szCs w:val="20"/>
        </w:rPr>
        <w:t xml:space="preserve"> </w:t>
      </w:r>
      <w:hyperlink r:id="rId13" w:history="1">
        <w:r w:rsidR="007E6AEC">
          <w:rPr>
            <w:rStyle w:val="Hyperlink"/>
            <w:rFonts w:ascii="Tw Cen MT" w:hAnsi="Tw Cen MT"/>
            <w:sz w:val="20"/>
            <w:szCs w:val="20"/>
          </w:rPr>
          <w:t>rafaelreznandikayustio@gmail.com</w:t>
        </w:r>
      </w:hyperlink>
    </w:p>
    <w:p w14:paraId="4E5988BA" w14:textId="77777777" w:rsidR="007E6AEC" w:rsidRDefault="00000000">
      <w:pPr>
        <w:widowControl w:val="0"/>
        <w:spacing w:after="0" w:line="218" w:lineRule="auto"/>
        <w:ind w:right="-20"/>
        <w:jc w:val="center"/>
        <w:rPr>
          <w:rFonts w:ascii="Tw Cen MT" w:eastAsia="Twentieth Century" w:hAnsi="Tw Cen MT" w:cs="Twentieth Century"/>
        </w:rPr>
      </w:pPr>
      <w:r>
        <w:rPr>
          <w:rFonts w:ascii="Tw Cen MT" w:hAnsi="Tw Cen MT"/>
          <w:b/>
          <w:i/>
          <w:iCs/>
          <w:noProof/>
          <w:sz w:val="24"/>
          <w:szCs w:val="24"/>
        </w:rPr>
        <mc:AlternateContent>
          <mc:Choice Requires="wps">
            <w:drawing>
              <wp:anchor distT="0" distB="0" distL="0" distR="0" simplePos="0" relativeHeight="3" behindDoc="0" locked="0" layoutInCell="1" allowOverlap="1" wp14:anchorId="56364BD5" wp14:editId="7C0807D9">
                <wp:simplePos x="0" y="0"/>
                <wp:positionH relativeFrom="column">
                  <wp:posOffset>17780</wp:posOffset>
                </wp:positionH>
                <wp:positionV relativeFrom="paragraph">
                  <wp:posOffset>152400</wp:posOffset>
                </wp:positionV>
                <wp:extent cx="1943100" cy="1176655"/>
                <wp:effectExtent l="0" t="0" r="0" b="444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176655"/>
                        </a:xfrm>
                        <a:prstGeom prst="rect">
                          <a:avLst/>
                        </a:prstGeom>
                        <a:solidFill>
                          <a:srgbClr val="FFFFFF"/>
                        </a:solidFill>
                        <a:ln>
                          <a:noFill/>
                        </a:ln>
                      </wps:spPr>
                      <wps:txbx>
                        <w:txbxContent>
                          <w:p w14:paraId="4947FFC7" w14:textId="77777777" w:rsidR="007E6AEC" w:rsidRDefault="00000000">
                            <w:pPr>
                              <w:tabs>
                                <w:tab w:val="left" w:pos="567"/>
                              </w:tabs>
                              <w:spacing w:after="0"/>
                              <w:ind w:left="-85"/>
                              <w:rPr>
                                <w:rFonts w:ascii="Tw Cen MT" w:hAnsi="Tw Cen MT" w:cs="Arial"/>
                                <w:b/>
                                <w:bCs/>
                                <w:caps/>
                                <w:sz w:val="20"/>
                                <w:szCs w:val="20"/>
                                <w:lang w:val="id-ID"/>
                              </w:rPr>
                            </w:pPr>
                            <w:r>
                              <w:rPr>
                                <w:rFonts w:ascii="Tw Cen MT" w:hAnsi="Tw Cen MT" w:cs="Arial"/>
                                <w:b/>
                                <w:bCs/>
                                <w:sz w:val="20"/>
                                <w:szCs w:val="20"/>
                              </w:rPr>
                              <w:t>Article Info</w:t>
                            </w:r>
                            <w:r>
                              <w:rPr>
                                <w:rFonts w:ascii="Tw Cen MT" w:hAnsi="Tw Cen MT" w:cs="Arial"/>
                                <w:b/>
                                <w:bCs/>
                                <w:sz w:val="20"/>
                                <w:szCs w:val="20"/>
                                <w:lang w:val="id-ID"/>
                              </w:rPr>
                              <w:t xml:space="preserve"> </w:t>
                            </w:r>
                          </w:p>
                          <w:p w14:paraId="6A2C3F18" w14:textId="77777777" w:rsidR="007E6AEC" w:rsidRDefault="007E6AEC">
                            <w:pPr>
                              <w:tabs>
                                <w:tab w:val="left" w:pos="567"/>
                              </w:tabs>
                              <w:spacing w:after="0"/>
                              <w:ind w:left="-85"/>
                              <w:rPr>
                                <w:rFonts w:ascii="Arial" w:hAnsi="Arial" w:cs="Arial"/>
                                <w:b/>
                                <w:bCs/>
                                <w:caps/>
                                <w:sz w:val="20"/>
                                <w:szCs w:val="20"/>
                                <w:lang w:val="id-ID"/>
                              </w:rPr>
                            </w:pPr>
                          </w:p>
                          <w:p w14:paraId="3E7D78B3" w14:textId="77777777" w:rsidR="007E6AEC" w:rsidRDefault="00000000">
                            <w:pPr>
                              <w:tabs>
                                <w:tab w:val="left" w:pos="567"/>
                              </w:tabs>
                              <w:spacing w:after="0"/>
                              <w:ind w:left="-85"/>
                              <w:rPr>
                                <w:rFonts w:ascii="Tw Cen MT" w:hAnsi="Tw Cen MT" w:cs="Arial"/>
                                <w:b/>
                                <w:i/>
                                <w:sz w:val="20"/>
                                <w:szCs w:val="20"/>
                              </w:rPr>
                            </w:pPr>
                            <w:r>
                              <w:rPr>
                                <w:rFonts w:ascii="Tw Cen MT" w:hAnsi="Tw Cen MT" w:cs="Arial"/>
                                <w:b/>
                                <w:i/>
                                <w:sz w:val="20"/>
                                <w:szCs w:val="20"/>
                              </w:rPr>
                              <w:t>Article history</w:t>
                            </w:r>
                          </w:p>
                          <w:p w14:paraId="6E8C43F7" w14:textId="77777777" w:rsidR="007E6AEC" w:rsidRDefault="00000000">
                            <w:pPr>
                              <w:pStyle w:val="Subtitle"/>
                              <w:spacing w:after="0"/>
                              <w:ind w:left="-125" w:right="-57"/>
                              <w:rPr>
                                <w:rFonts w:ascii="Tw Cen MT" w:hAnsi="Tw Cen MT" w:cs="Noto Sans"/>
                                <w:sz w:val="20"/>
                                <w:szCs w:val="20"/>
                                <w:shd w:val="clear" w:color="auto" w:fill="FFFFFF"/>
                              </w:rPr>
                            </w:pPr>
                            <w:r>
                              <w:rPr>
                                <w:rFonts w:ascii="Tw Cen MT" w:hAnsi="Tw Cen MT"/>
                                <w:sz w:val="20"/>
                                <w:szCs w:val="20"/>
                              </w:rPr>
                              <w:t xml:space="preserve">Received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16184BE0" w14:textId="77777777" w:rsidR="007E6AEC" w:rsidRDefault="00000000">
                            <w:pPr>
                              <w:pStyle w:val="Subtitle"/>
                              <w:spacing w:after="0"/>
                              <w:ind w:left="-125" w:right="-57"/>
                              <w:rPr>
                                <w:rFonts w:ascii="Tw Cen MT" w:hAnsi="Tw Cen MT"/>
                                <w:sz w:val="20"/>
                                <w:szCs w:val="20"/>
                              </w:rPr>
                            </w:pPr>
                            <w:r>
                              <w:rPr>
                                <w:rFonts w:ascii="Tw Cen MT" w:hAnsi="Tw Cen MT"/>
                                <w:sz w:val="20"/>
                                <w:szCs w:val="20"/>
                              </w:rPr>
                              <w:t xml:space="preserve">Revised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3D238EA4" w14:textId="77777777" w:rsidR="007E6AEC" w:rsidRDefault="00000000">
                            <w:pPr>
                              <w:pStyle w:val="Subtitle"/>
                              <w:spacing w:after="0"/>
                              <w:ind w:left="-125" w:right="-57"/>
                              <w:rPr>
                                <w:rFonts w:ascii="Tw Cen MT" w:hAnsi="Tw Cen MT"/>
                                <w:sz w:val="20"/>
                                <w:szCs w:val="20"/>
                              </w:rPr>
                            </w:pPr>
                            <w:r>
                              <w:rPr>
                                <w:rFonts w:ascii="Tw Cen MT" w:hAnsi="Tw Cen MT"/>
                                <w:sz w:val="20"/>
                                <w:szCs w:val="20"/>
                              </w:rPr>
                              <w:t xml:space="preserve">Accepted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1824013F" w14:textId="77777777" w:rsidR="007E6AEC" w:rsidRDefault="007E6AEC">
                            <w:pPr>
                              <w:pBdr>
                                <w:top w:val="single" w:sz="4" w:space="0" w:color="auto"/>
                              </w:pBdr>
                              <w:tabs>
                                <w:tab w:val="left" w:pos="567"/>
                              </w:tabs>
                              <w:spacing w:after="0"/>
                              <w:ind w:left="-85" w:right="-57"/>
                              <w:rPr>
                                <w:rFonts w:ascii="Tw Cen MT" w:hAnsi="Tw Cen MT" w:cs="Arial"/>
                                <w:b/>
                                <w:bCs/>
                                <w:i/>
                                <w:caps/>
                                <w:sz w:val="20"/>
                                <w:szCs w:val="20"/>
                              </w:rPr>
                            </w:pPr>
                          </w:p>
                          <w:p w14:paraId="3850954B" w14:textId="77777777" w:rsidR="007E6AEC" w:rsidRDefault="007E6AEC">
                            <w:pPr>
                              <w:rPr>
                                <w:rFonts w:ascii="Tw Cen MT" w:hAnsi="Tw Cen MT"/>
                                <w:sz w:val="20"/>
                                <w:szCs w:val="20"/>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64BD5" id="Rectangle 7" o:spid="_x0000_s1026" style="position:absolute;left:0;text-align:left;margin-left:1.4pt;margin-top:12pt;width:153pt;height:92.6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" stroked="f">
                <v:textbox>
                  <w:txbxContent>
                    <w:p w14:paraId="4947FFC7" w14:textId="77777777" w:rsidR="007E6AEC" w:rsidRDefault="00000000">
                      <w:pPr>
                        <w:tabs>
                          <w:tab w:val="left" w:pos="567"/>
                        </w:tabs>
                        <w:spacing w:after="0"/>
                        <w:ind w:left="-85"/>
                        <w:rPr>
                          <w:rFonts w:ascii="Tw Cen MT" w:hAnsi="Tw Cen MT" w:cs="Arial"/>
                          <w:b/>
                          <w:bCs/>
                          <w:caps/>
                          <w:sz w:val="20"/>
                          <w:szCs w:val="20"/>
                          <w:lang w:val="id-ID"/>
                        </w:rPr>
                      </w:pPr>
                      <w:r>
                        <w:rPr>
                          <w:rFonts w:ascii="Tw Cen MT" w:hAnsi="Tw Cen MT" w:cs="Arial"/>
                          <w:b/>
                          <w:bCs/>
                          <w:sz w:val="20"/>
                          <w:szCs w:val="20"/>
                        </w:rPr>
                        <w:t>Article Info</w:t>
                      </w:r>
                      <w:r>
                        <w:rPr>
                          <w:rFonts w:ascii="Tw Cen MT" w:hAnsi="Tw Cen MT" w:cs="Arial"/>
                          <w:b/>
                          <w:bCs/>
                          <w:sz w:val="20"/>
                          <w:szCs w:val="20"/>
                          <w:lang w:val="id-ID"/>
                        </w:rPr>
                        <w:t xml:space="preserve"> </w:t>
                      </w:r>
                    </w:p>
                    <w:p w14:paraId="6A2C3F18" w14:textId="77777777" w:rsidR="007E6AEC" w:rsidRDefault="007E6AEC">
                      <w:pPr>
                        <w:tabs>
                          <w:tab w:val="left" w:pos="567"/>
                        </w:tabs>
                        <w:spacing w:after="0"/>
                        <w:ind w:left="-85"/>
                        <w:rPr>
                          <w:rFonts w:ascii="Arial" w:hAnsi="Arial" w:cs="Arial"/>
                          <w:b/>
                          <w:bCs/>
                          <w:caps/>
                          <w:sz w:val="20"/>
                          <w:szCs w:val="20"/>
                          <w:lang w:val="id-ID"/>
                        </w:rPr>
                      </w:pPr>
                    </w:p>
                    <w:p w14:paraId="3E7D78B3" w14:textId="77777777" w:rsidR="007E6AEC" w:rsidRDefault="00000000">
                      <w:pPr>
                        <w:tabs>
                          <w:tab w:val="left" w:pos="567"/>
                        </w:tabs>
                        <w:spacing w:after="0"/>
                        <w:ind w:left="-85"/>
                        <w:rPr>
                          <w:rFonts w:ascii="Tw Cen MT" w:hAnsi="Tw Cen MT" w:cs="Arial"/>
                          <w:b/>
                          <w:i/>
                          <w:sz w:val="20"/>
                          <w:szCs w:val="20"/>
                        </w:rPr>
                      </w:pPr>
                      <w:r>
                        <w:rPr>
                          <w:rFonts w:ascii="Tw Cen MT" w:hAnsi="Tw Cen MT" w:cs="Arial"/>
                          <w:b/>
                          <w:i/>
                          <w:sz w:val="20"/>
                          <w:szCs w:val="20"/>
                        </w:rPr>
                        <w:t>Article history</w:t>
                      </w:r>
                    </w:p>
                    <w:p w14:paraId="6E8C43F7" w14:textId="77777777" w:rsidR="007E6AEC" w:rsidRDefault="00000000">
                      <w:pPr>
                        <w:pStyle w:val="Subtitle"/>
                        <w:spacing w:after="0"/>
                        <w:ind w:left="-125" w:right="-57"/>
                        <w:rPr>
                          <w:rFonts w:ascii="Tw Cen MT" w:hAnsi="Tw Cen MT" w:cs="Noto Sans"/>
                          <w:sz w:val="20"/>
                          <w:szCs w:val="20"/>
                          <w:shd w:val="clear" w:color="auto" w:fill="FFFFFF"/>
                        </w:rPr>
                      </w:pPr>
                      <w:r>
                        <w:rPr>
                          <w:rFonts w:ascii="Tw Cen MT" w:hAnsi="Tw Cen MT"/>
                          <w:sz w:val="20"/>
                          <w:szCs w:val="20"/>
                        </w:rPr>
                        <w:t xml:space="preserve">Received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16184BE0" w14:textId="77777777" w:rsidR="007E6AEC" w:rsidRDefault="00000000">
                      <w:pPr>
                        <w:pStyle w:val="Subtitle"/>
                        <w:spacing w:after="0"/>
                        <w:ind w:left="-125" w:right="-57"/>
                        <w:rPr>
                          <w:rFonts w:ascii="Tw Cen MT" w:hAnsi="Tw Cen MT"/>
                          <w:sz w:val="20"/>
                          <w:szCs w:val="20"/>
                        </w:rPr>
                      </w:pPr>
                      <w:r>
                        <w:rPr>
                          <w:rFonts w:ascii="Tw Cen MT" w:hAnsi="Tw Cen MT"/>
                          <w:sz w:val="20"/>
                          <w:szCs w:val="20"/>
                        </w:rPr>
                        <w:t xml:space="preserve">Revised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3D238EA4" w14:textId="77777777" w:rsidR="007E6AEC" w:rsidRDefault="00000000">
                      <w:pPr>
                        <w:pStyle w:val="Subtitle"/>
                        <w:spacing w:after="0"/>
                        <w:ind w:left="-125" w:right="-57"/>
                        <w:rPr>
                          <w:rFonts w:ascii="Tw Cen MT" w:hAnsi="Tw Cen MT"/>
                          <w:sz w:val="20"/>
                          <w:szCs w:val="20"/>
                        </w:rPr>
                      </w:pPr>
                      <w:r>
                        <w:rPr>
                          <w:rFonts w:ascii="Tw Cen MT" w:hAnsi="Tw Cen MT"/>
                          <w:sz w:val="20"/>
                          <w:szCs w:val="20"/>
                        </w:rPr>
                        <w:t xml:space="preserve">Accepted </w:t>
                      </w:r>
                      <w:r>
                        <w:rPr>
                          <w:rFonts w:ascii="Tw Cen MT" w:hAnsi="Tw Cen MT"/>
                          <w:sz w:val="20"/>
                          <w:szCs w:val="20"/>
                          <w:lang w:val="id-ID"/>
                        </w:rPr>
                        <w:t>date</w:t>
                      </w:r>
                      <w:r>
                        <w:rPr>
                          <w:rFonts w:ascii="Tw Cen MT" w:hAnsi="Tw Cen MT"/>
                          <w:sz w:val="20"/>
                          <w:szCs w:val="20"/>
                        </w:rPr>
                        <w:t xml:space="preserve">: </w:t>
                      </w:r>
                      <w:r>
                        <w:rPr>
                          <w:rFonts w:ascii="Tw Cen MT" w:hAnsi="Tw Cen MT" w:cs="Noto Sans"/>
                          <w:sz w:val="20"/>
                          <w:szCs w:val="20"/>
                          <w:shd w:val="clear" w:color="auto" w:fill="FFFFFF"/>
                        </w:rPr>
                        <w:t>xxxx-xx-xx</w:t>
                      </w:r>
                    </w:p>
                    <w:p w14:paraId="1824013F" w14:textId="77777777" w:rsidR="007E6AEC" w:rsidRDefault="007E6AEC">
                      <w:pPr>
                        <w:pBdr>
                          <w:top w:val="single" w:sz="4" w:space="0" w:color="auto"/>
                        </w:pBdr>
                        <w:tabs>
                          <w:tab w:val="left" w:pos="567"/>
                        </w:tabs>
                        <w:spacing w:after="0"/>
                        <w:ind w:left="-85" w:right="-57"/>
                        <w:rPr>
                          <w:rFonts w:ascii="Tw Cen MT" w:hAnsi="Tw Cen MT" w:cs="Arial"/>
                          <w:b/>
                          <w:bCs/>
                          <w:i/>
                          <w:caps/>
                          <w:sz w:val="20"/>
                          <w:szCs w:val="20"/>
                        </w:rPr>
                      </w:pPr>
                    </w:p>
                    <w:p w14:paraId="3850954B" w14:textId="77777777" w:rsidR="007E6AEC" w:rsidRDefault="007E6AEC">
                      <w:pPr>
                        <w:rPr>
                          <w:rFonts w:ascii="Tw Cen MT" w:hAnsi="Tw Cen MT"/>
                          <w:sz w:val="20"/>
                          <w:szCs w:val="20"/>
                        </w:rPr>
                      </w:pPr>
                    </w:p>
                  </w:txbxContent>
                </v:textbox>
              </v:rect>
            </w:pict>
          </mc:Fallback>
        </mc:AlternateContent>
      </w:r>
      <w:r>
        <w:rPr>
          <w:rFonts w:ascii="Tw Cen MT" w:hAnsi="Tw Cen MT"/>
          <w:noProof/>
        </w:rPr>
        <mc:AlternateContent>
          <mc:Choice Requires="wps">
            <w:drawing>
              <wp:anchor distT="0" distB="0" distL="0" distR="0" simplePos="0" relativeHeight="2" behindDoc="0" locked="0" layoutInCell="1" allowOverlap="1" wp14:anchorId="5B2213B4" wp14:editId="455AD49B">
                <wp:simplePos x="0" y="0"/>
                <wp:positionH relativeFrom="column">
                  <wp:posOffset>9728</wp:posOffset>
                </wp:positionH>
                <wp:positionV relativeFrom="paragraph">
                  <wp:posOffset>124838</wp:posOffset>
                </wp:positionV>
                <wp:extent cx="5966257" cy="0"/>
                <wp:effectExtent l="0" t="0" r="15875" b="19050"/>
                <wp:wrapNone/>
                <wp:docPr id="1027"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257" cy="0"/>
                        </a:xfrm>
                        <a:prstGeom prst="straightConnector1">
                          <a:avLst/>
                        </a:prstGeom>
                        <a:ln w="1905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shapetype id="_x0000_t32" coordsize="21600,21600" o:spt="32" o:oned="t" path="m,l21600,21600e">
                <v:path arrowok="t" fillok="f" o:connecttype="none"/>
                <o:lock v:ext="edit" shapetype="t"/>
              </v:shapetype>
              <v:shape id="1027" type="#_x0000_t32" filled="f" style="position:absolute;margin-left:0.77pt;margin-top:9.83pt;width:469.78pt;height:0.0pt;z-index:2;mso-position-horizontal-relative:text;mso-position-vertical-relative:text;mso-width-percent:0;mso-height-percent:0;mso-width-relative:margin;mso-height-relative:margin;mso-wrap-distance-left:0.0pt;mso-wrap-distance-right:0.0pt;visibility:visible;">
                <v:stroke startarrowwidth="narrow" startarrowlength="short" endarrowwidth="narrow" endarrowlength="short" weight="1.5pt"/>
                <v:fill/>
              </v:shape>
            </w:pict>
          </mc:Fallback>
        </mc:AlternateContent>
      </w:r>
    </w:p>
    <w:p w14:paraId="067C3C0F" w14:textId="77777777" w:rsidR="007E6AEC" w:rsidRDefault="00000000">
      <w:pPr>
        <w:spacing w:after="0"/>
        <w:ind w:left="2399" w:firstLine="719"/>
        <w:rPr>
          <w:rFonts w:ascii="Tw Cen MT" w:eastAsia="Twentieth Century" w:hAnsi="Tw Cen MT" w:cs="Twentieth Century"/>
        </w:rPr>
      </w:pPr>
      <w:r>
        <w:rPr>
          <w:rFonts w:ascii="Tw Cen MT" w:eastAsia="Twentieth Century" w:hAnsi="Tw Cen MT" w:cs="Twentieth Century"/>
          <w:b/>
          <w:i/>
          <w:sz w:val="20"/>
          <w:szCs w:val="20"/>
        </w:rPr>
        <w:t xml:space="preserve"> Abstract</w:t>
      </w:r>
    </w:p>
    <w:p w14:paraId="6718CECF" w14:textId="6C2F7AF3" w:rsidR="007E6AEC" w:rsidRPr="00FD7CA4" w:rsidRDefault="00000000">
      <w:pPr>
        <w:widowControl w:val="0"/>
        <w:spacing w:after="0" w:line="228" w:lineRule="auto"/>
        <w:ind w:left="3150" w:right="-19"/>
        <w:jc w:val="both"/>
        <w:rPr>
          <w:rFonts w:ascii="Tw Cen MT" w:eastAsia="Twentieth Century" w:hAnsi="Tw Cen MT" w:cs="Twentieth Century"/>
          <w:i/>
          <w:noProof/>
          <w:color w:val="000000"/>
          <w:sz w:val="20"/>
          <w:szCs w:val="20"/>
        </w:rPr>
      </w:pPr>
      <w:r>
        <w:rPr>
          <w:rFonts w:ascii="Tw Cen MT" w:eastAsia="Twentieth Century" w:hAnsi="Tw Cen MT" w:cs="Twentieth Century"/>
          <w:i/>
          <w:noProof/>
          <w:color w:val="000000"/>
          <w:sz w:val="20"/>
          <w:szCs w:val="20"/>
        </w:rPr>
        <w:drawing>
          <wp:anchor distT="0" distB="0" distL="114300" distR="114300" simplePos="0" relativeHeight="4" behindDoc="1" locked="0" layoutInCell="1" allowOverlap="1" wp14:anchorId="489B0D95" wp14:editId="7F64EDB5">
            <wp:simplePos x="0" y="0"/>
            <wp:positionH relativeFrom="column">
              <wp:posOffset>45085</wp:posOffset>
            </wp:positionH>
            <wp:positionV relativeFrom="paragraph">
              <wp:posOffset>996950</wp:posOffset>
            </wp:positionV>
            <wp:extent cx="1016000" cy="358139"/>
            <wp:effectExtent l="0" t="0" r="0" b="3810"/>
            <wp:wrapThrough wrapText="bothSides">
              <wp:wrapPolygon edited="0">
                <wp:start x="0" y="0"/>
                <wp:lineTo x="0" y="20681"/>
                <wp:lineTo x="21060" y="20681"/>
                <wp:lineTo x="21060" y="0"/>
                <wp:lineTo x="0" y="0"/>
              </wp:wrapPolygon>
            </wp:wrapThrough>
            <wp:docPr id="1028" name="Picture 3" descr="D:\IRA\JURNAL PROTEKSI OJS\ccbysa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srcRect/>
                    <a:stretch/>
                  </pic:blipFill>
                  <pic:spPr>
                    <a:xfrm>
                      <a:off x="0" y="0"/>
                      <a:ext cx="1016000" cy="358139"/>
                    </a:xfrm>
                    <a:prstGeom prst="rect">
                      <a:avLst/>
                    </a:prstGeom>
                    <a:ln>
                      <a:noFill/>
                    </a:ln>
                  </pic:spPr>
                </pic:pic>
              </a:graphicData>
            </a:graphic>
            <wp14:sizeRelH relativeFrom="page">
              <wp14:pctWidth>0</wp14:pctWidth>
            </wp14:sizeRelH>
            <wp14:sizeRelV relativeFrom="page">
              <wp14:pctHeight>0</wp14:pctHeight>
            </wp14:sizeRelV>
          </wp:anchor>
        </w:drawing>
      </w:r>
      <w:r w:rsidRPr="00FD7CA4">
        <w:rPr>
          <w:rFonts w:ascii="Tw Cen MT" w:eastAsia="Twentieth Century" w:hAnsi="Tw Cen MT" w:cs="Twentieth Century"/>
          <w:i/>
          <w:noProof/>
          <w:color w:val="000000"/>
          <w:sz w:val="20"/>
          <w:szCs w:val="20"/>
        </w:rPr>
        <w:t xml:space="preserve">Lumbosacral lateral projection radiography, particularly of the fifth lumbar vertebra (L5) and </w:t>
      </w:r>
      <w:r w:rsidR="00182EFC" w:rsidRPr="00FD7CA4">
        <w:rPr>
          <w:rFonts w:ascii="Tw Cen MT" w:eastAsia="Twentieth Century" w:hAnsi="Tw Cen MT" w:cs="Twentieth Century"/>
          <w:i/>
          <w:noProof/>
          <w:color w:val="000000"/>
          <w:sz w:val="20"/>
          <w:szCs w:val="20"/>
        </w:rPr>
        <w:t>S</w:t>
      </w:r>
      <w:r w:rsidRPr="00FD7CA4">
        <w:rPr>
          <w:rFonts w:ascii="Tw Cen MT" w:eastAsia="Twentieth Century" w:hAnsi="Tw Cen MT" w:cs="Twentieth Century"/>
          <w:i/>
          <w:noProof/>
          <w:color w:val="000000"/>
          <w:sz w:val="20"/>
          <w:szCs w:val="20"/>
        </w:rPr>
        <w:t xml:space="preserve">acrum, often experiences a decrease in contrast due to exposure factors and object thickness. This study aims to analyze the variation in the </w:t>
      </w:r>
      <w:r w:rsidR="00FD7CA4" w:rsidRPr="00FD7CA4">
        <w:rPr>
          <w:rFonts w:ascii="Tw Cen MT" w:eastAsia="Twentieth Century" w:hAnsi="Tw Cen MT" w:cs="Twentieth Century"/>
          <w:i/>
          <w:noProof/>
          <w:color w:val="000000"/>
          <w:sz w:val="20"/>
          <w:szCs w:val="20"/>
        </w:rPr>
        <w:t>Virtual Grid</w:t>
      </w:r>
      <w:r w:rsidRPr="00FD7CA4">
        <w:rPr>
          <w:rFonts w:ascii="Tw Cen MT" w:eastAsia="Twentieth Century" w:hAnsi="Tw Cen MT" w:cs="Twentieth Century"/>
          <w:i/>
          <w:noProof/>
          <w:color w:val="000000"/>
          <w:sz w:val="20"/>
          <w:szCs w:val="20"/>
        </w:rPr>
        <w:t xml:space="preserve"> ratio of 8:1, 10:1, and 12:1 in lateral projection sacrum examinations using the </w:t>
      </w:r>
      <w:r w:rsidR="00FD7CA4" w:rsidRPr="00FD7CA4">
        <w:rPr>
          <w:rFonts w:ascii="Tw Cen MT" w:eastAsia="Twentieth Century" w:hAnsi="Tw Cen MT" w:cs="Twentieth Century"/>
          <w:i/>
          <w:noProof/>
          <w:color w:val="000000"/>
          <w:sz w:val="20"/>
          <w:szCs w:val="20"/>
        </w:rPr>
        <w:t>Pixel Value</w:t>
      </w:r>
      <w:r w:rsidRPr="00FD7CA4">
        <w:rPr>
          <w:rFonts w:ascii="Tw Cen MT" w:eastAsia="Twentieth Century" w:hAnsi="Tw Cen MT" w:cs="Twentieth Century"/>
          <w:i/>
          <w:noProof/>
          <w:color w:val="000000"/>
          <w:sz w:val="20"/>
          <w:szCs w:val="20"/>
        </w:rPr>
        <w:t xml:space="preserve"> indicator. This descriptive quantitative study was conducted in May–June 2025 at the Radiography and Physics Laboratory, Department of Radiodiagnostic and Radiotherapy Technology, Jakarta II Polytechnic. The sample consisted of lateral sacrum images with three grid ratio variations. Analysis was performed on the average </w:t>
      </w:r>
      <w:r w:rsidR="00FD7CA4" w:rsidRPr="00FD7CA4">
        <w:rPr>
          <w:rFonts w:ascii="Tw Cen MT" w:eastAsia="Twentieth Century" w:hAnsi="Tw Cen MT" w:cs="Twentieth Century"/>
          <w:i/>
          <w:noProof/>
          <w:color w:val="000000"/>
          <w:sz w:val="20"/>
          <w:szCs w:val="20"/>
        </w:rPr>
        <w:t>Pixel Value</w:t>
      </w:r>
      <w:r w:rsidRPr="00FD7CA4">
        <w:rPr>
          <w:rFonts w:ascii="Tw Cen MT" w:eastAsia="Twentieth Century" w:hAnsi="Tw Cen MT" w:cs="Twentieth Century"/>
          <w:i/>
          <w:noProof/>
          <w:color w:val="000000"/>
          <w:sz w:val="20"/>
          <w:szCs w:val="20"/>
        </w:rPr>
        <w:t xml:space="preserve">, followed by statistical testing using SPSS 27 with the One-Way ANOVA method. The results showed the average </w:t>
      </w:r>
      <w:r w:rsidR="00FD7CA4" w:rsidRPr="00FD7CA4">
        <w:rPr>
          <w:rFonts w:ascii="Tw Cen MT" w:eastAsia="Twentieth Century" w:hAnsi="Tw Cen MT" w:cs="Twentieth Century"/>
          <w:i/>
          <w:noProof/>
          <w:color w:val="000000"/>
          <w:sz w:val="20"/>
          <w:szCs w:val="20"/>
        </w:rPr>
        <w:t>Pixel Value</w:t>
      </w:r>
      <w:r w:rsidRPr="00FD7CA4">
        <w:rPr>
          <w:rFonts w:ascii="Tw Cen MT" w:eastAsia="Twentieth Century" w:hAnsi="Tw Cen MT" w:cs="Twentieth Century"/>
          <w:i/>
          <w:noProof/>
          <w:color w:val="000000"/>
          <w:sz w:val="20"/>
          <w:szCs w:val="20"/>
        </w:rPr>
        <w:t>: 8:1 ratio at 150.94; 10:1 ratio at 150.46; and 12:1 ratio at 152.75 with P&gt;0.05, indicating no significant difference between the grid ratio variations</w:t>
      </w:r>
      <w:r w:rsidRPr="00FD7CA4">
        <w:rPr>
          <w:rFonts w:ascii="Tw Cen MT" w:hAnsi="Tw Cen MT"/>
          <w:i/>
          <w:color w:val="000000"/>
          <w:sz w:val="20"/>
          <w:szCs w:val="20"/>
          <w:shd w:val="clear" w:color="auto" w:fill="FFFFFF"/>
        </w:rPr>
        <w:t>.</w:t>
      </w:r>
    </w:p>
    <w:p w14:paraId="3DC2C05A" w14:textId="77777777" w:rsidR="007E6AEC" w:rsidRPr="00FD7CA4" w:rsidRDefault="00000000">
      <w:pPr>
        <w:widowControl w:val="0"/>
        <w:spacing w:after="0" w:line="228" w:lineRule="auto"/>
        <w:ind w:left="3150" w:right="-19"/>
        <w:jc w:val="both"/>
        <w:rPr>
          <w:rFonts w:ascii="Tw Cen MT" w:eastAsia="Twentieth Century" w:hAnsi="Tw Cen MT" w:cs="Twentieth Century"/>
          <w:b/>
          <w:i/>
          <w:sz w:val="20"/>
          <w:szCs w:val="20"/>
        </w:rPr>
      </w:pPr>
      <w:r w:rsidRPr="00FD7CA4">
        <w:rPr>
          <w:rFonts w:ascii="Tw Cen MT" w:eastAsia="Twentieth Century" w:hAnsi="Tw Cen MT" w:cs="Twentieth Century"/>
          <w:b/>
          <w:i/>
          <w:sz w:val="20"/>
          <w:szCs w:val="20"/>
        </w:rPr>
        <w:t>Keywords:</w:t>
      </w:r>
    </w:p>
    <w:p w14:paraId="735A1EC6" w14:textId="544A61E6" w:rsidR="007E6AEC" w:rsidRPr="00FD7CA4" w:rsidRDefault="00FD7CA4">
      <w:pPr>
        <w:tabs>
          <w:tab w:val="left" w:pos="426"/>
        </w:tabs>
        <w:spacing w:after="0"/>
        <w:ind w:left="3150"/>
        <w:jc w:val="both"/>
        <w:rPr>
          <w:rFonts w:ascii="Tw Cen MT" w:eastAsia="Twentieth Century" w:hAnsi="Tw Cen MT" w:cs="Twentieth Century"/>
          <w:b/>
          <w:i/>
          <w:iCs/>
          <w:sz w:val="20"/>
          <w:szCs w:val="20"/>
        </w:rPr>
      </w:pPr>
      <w:r w:rsidRPr="00FD7CA4">
        <w:rPr>
          <w:rFonts w:ascii="Tw Cen MT" w:eastAsia="Twentieth Century" w:hAnsi="Tw Cen MT" w:cs="Twentieth Century"/>
          <w:i/>
          <w:iCs/>
          <w:sz w:val="20"/>
          <w:szCs w:val="20"/>
        </w:rPr>
        <w:t xml:space="preserve">Virtual </w:t>
      </w:r>
      <w:proofErr w:type="gramStart"/>
      <w:r w:rsidRPr="00FD7CA4">
        <w:rPr>
          <w:rFonts w:ascii="Tw Cen MT" w:eastAsia="Twentieth Century" w:hAnsi="Tw Cen MT" w:cs="Twentieth Century"/>
          <w:i/>
          <w:iCs/>
          <w:sz w:val="20"/>
          <w:szCs w:val="20"/>
        </w:rPr>
        <w:t>Grid ,</w:t>
      </w:r>
      <w:proofErr w:type="gramEnd"/>
      <w:r w:rsidRPr="00FD7CA4">
        <w:rPr>
          <w:rFonts w:ascii="Tw Cen MT" w:eastAsia="Twentieth Century" w:hAnsi="Tw Cen MT" w:cs="Twentieth Century"/>
          <w:i/>
          <w:iCs/>
          <w:sz w:val="20"/>
          <w:szCs w:val="20"/>
        </w:rPr>
        <w:t xml:space="preserve"> Pixel </w:t>
      </w:r>
      <w:proofErr w:type="gramStart"/>
      <w:r w:rsidRPr="00FD7CA4">
        <w:rPr>
          <w:rFonts w:ascii="Tw Cen MT" w:eastAsia="Twentieth Century" w:hAnsi="Tw Cen MT" w:cs="Twentieth Century"/>
          <w:i/>
          <w:iCs/>
          <w:sz w:val="20"/>
          <w:szCs w:val="20"/>
        </w:rPr>
        <w:t>Value ,</w:t>
      </w:r>
      <w:proofErr w:type="gramEnd"/>
      <w:r w:rsidRPr="00FD7CA4">
        <w:rPr>
          <w:rFonts w:ascii="Tw Cen MT" w:eastAsia="Twentieth Century" w:hAnsi="Tw Cen MT" w:cs="Twentieth Century"/>
          <w:i/>
          <w:iCs/>
          <w:sz w:val="20"/>
          <w:szCs w:val="20"/>
        </w:rPr>
        <w:t xml:space="preserve"> </w:t>
      </w:r>
      <w:proofErr w:type="spellStart"/>
      <w:r w:rsidRPr="00FD7CA4">
        <w:rPr>
          <w:rFonts w:ascii="Tw Cen MT" w:eastAsia="Twentieth Century" w:hAnsi="Tw Cen MT" w:cs="Twentieth Century"/>
          <w:i/>
          <w:iCs/>
          <w:sz w:val="20"/>
          <w:szCs w:val="20"/>
        </w:rPr>
        <w:t>Os</w:t>
      </w:r>
      <w:proofErr w:type="spellEnd"/>
      <w:r w:rsidRPr="00FD7CA4">
        <w:rPr>
          <w:rFonts w:ascii="Tw Cen MT" w:eastAsia="Twentieth Century" w:hAnsi="Tw Cen MT" w:cs="Twentieth Century"/>
          <w:i/>
          <w:iCs/>
          <w:sz w:val="20"/>
          <w:szCs w:val="20"/>
        </w:rPr>
        <w:t xml:space="preserve"> Sacrum</w:t>
      </w:r>
    </w:p>
    <w:p w14:paraId="635B8937" w14:textId="77777777" w:rsidR="007E6AEC" w:rsidRDefault="00000000">
      <w:pPr>
        <w:tabs>
          <w:tab w:val="left" w:pos="426"/>
        </w:tabs>
        <w:spacing w:after="0"/>
        <w:ind w:left="3150"/>
        <w:jc w:val="both"/>
        <w:rPr>
          <w:rFonts w:ascii="Tw Cen MT" w:eastAsia="Twentieth Century" w:hAnsi="Tw Cen MT" w:cs="Twentieth Century"/>
          <w:b/>
          <w:sz w:val="20"/>
          <w:szCs w:val="20"/>
        </w:rPr>
      </w:pPr>
      <w:proofErr w:type="spellStart"/>
      <w:r>
        <w:rPr>
          <w:rFonts w:ascii="Tw Cen MT" w:eastAsia="Twentieth Century" w:hAnsi="Tw Cen MT" w:cs="Twentieth Century"/>
          <w:b/>
          <w:sz w:val="20"/>
          <w:szCs w:val="20"/>
        </w:rPr>
        <w:t>Abstrak</w:t>
      </w:r>
      <w:proofErr w:type="spellEnd"/>
    </w:p>
    <w:p w14:paraId="49ABE36A" w14:textId="4DBCE436" w:rsidR="007E6AEC" w:rsidRDefault="00000000">
      <w:pPr>
        <w:tabs>
          <w:tab w:val="left" w:pos="426"/>
        </w:tabs>
        <w:spacing w:after="0"/>
        <w:ind w:left="3150"/>
        <w:jc w:val="both"/>
        <w:rPr>
          <w:rFonts w:ascii="Tw Cen MT" w:eastAsia="Twentieth Century" w:hAnsi="Tw Cen MT" w:cs="Twentieth Century"/>
          <w:iCs/>
          <w:color w:val="000000"/>
          <w:sz w:val="20"/>
          <w:szCs w:val="20"/>
        </w:rPr>
      </w:pPr>
      <w:proofErr w:type="spellStart"/>
      <w:r>
        <w:rPr>
          <w:rFonts w:ascii="Tw Cen MT" w:eastAsia="Twentieth Century" w:hAnsi="Tw Cen MT" w:cs="Twentieth Century"/>
          <w:iCs/>
          <w:color w:val="000000"/>
          <w:sz w:val="20"/>
          <w:szCs w:val="20"/>
        </w:rPr>
        <w:t>Pemeriksaan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radiografi</w:t>
      </w:r>
      <w:proofErr w:type="spellEnd"/>
      <w:r>
        <w:rPr>
          <w:rFonts w:ascii="Tw Cen MT" w:eastAsia="Twentieth Century" w:hAnsi="Tw Cen MT" w:cs="Twentieth Century"/>
          <w:iCs/>
          <w:color w:val="000000"/>
          <w:sz w:val="20"/>
          <w:szCs w:val="20"/>
        </w:rPr>
        <w:t xml:space="preserve"> </w:t>
      </w:r>
      <w:proofErr w:type="spellStart"/>
      <w:r w:rsidRPr="00E07645">
        <w:rPr>
          <w:rFonts w:ascii="Tw Cen MT" w:eastAsia="Twentieth Century" w:hAnsi="Tw Cen MT" w:cs="Twentieth Century"/>
          <w:i/>
          <w:color w:val="000000"/>
          <w:sz w:val="20"/>
          <w:szCs w:val="20"/>
        </w:rPr>
        <w:t>Lumbosakral</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proyeksi</w:t>
      </w:r>
      <w:proofErr w:type="spellEnd"/>
      <w:r>
        <w:rPr>
          <w:rFonts w:ascii="Tw Cen MT" w:eastAsia="Twentieth Century" w:hAnsi="Tw Cen MT" w:cs="Twentieth Century"/>
          <w:iCs/>
          <w:color w:val="000000"/>
          <w:sz w:val="20"/>
          <w:szCs w:val="20"/>
        </w:rPr>
        <w:t xml:space="preserve"> lateral, </w:t>
      </w:r>
      <w:proofErr w:type="spellStart"/>
      <w:r>
        <w:rPr>
          <w:rFonts w:ascii="Tw Cen MT" w:eastAsia="Twentieth Century" w:hAnsi="Tw Cen MT" w:cs="Twentieth Century"/>
          <w:iCs/>
          <w:color w:val="000000"/>
          <w:sz w:val="20"/>
          <w:szCs w:val="20"/>
        </w:rPr>
        <w:t>terutama</w:t>
      </w:r>
      <w:proofErr w:type="spellEnd"/>
      <w:r>
        <w:rPr>
          <w:rFonts w:ascii="Tw Cen MT" w:eastAsia="Twentieth Century" w:hAnsi="Tw Cen MT" w:cs="Twentieth Century"/>
          <w:iCs/>
          <w:color w:val="000000"/>
          <w:sz w:val="20"/>
          <w:szCs w:val="20"/>
        </w:rPr>
        <w:t xml:space="preserve"> pada vertebra </w:t>
      </w:r>
      <w:proofErr w:type="spellStart"/>
      <w:r>
        <w:rPr>
          <w:rFonts w:ascii="Tw Cen MT" w:eastAsia="Twentieth Century" w:hAnsi="Tw Cen MT" w:cs="Twentieth Century"/>
          <w:iCs/>
          <w:color w:val="000000"/>
          <w:sz w:val="20"/>
          <w:szCs w:val="20"/>
        </w:rPr>
        <w:t>lumbalis</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kelima</w:t>
      </w:r>
      <w:proofErr w:type="spellEnd"/>
      <w:r>
        <w:rPr>
          <w:rFonts w:ascii="Tw Cen MT" w:eastAsia="Twentieth Century" w:hAnsi="Tw Cen MT" w:cs="Twentieth Century"/>
          <w:iCs/>
          <w:color w:val="000000"/>
          <w:sz w:val="20"/>
          <w:szCs w:val="20"/>
        </w:rPr>
        <w:t xml:space="preserve"> (L5) dan </w:t>
      </w:r>
      <w:proofErr w:type="spellStart"/>
      <w:r w:rsidR="00FD7CA4" w:rsidRPr="00FD7CA4">
        <w:rPr>
          <w:rFonts w:ascii="Tw Cen MT" w:eastAsia="Twentieth Century" w:hAnsi="Tw Cen MT" w:cs="Twentieth Century"/>
          <w:i/>
          <w:color w:val="000000"/>
          <w:sz w:val="20"/>
          <w:szCs w:val="20"/>
        </w:rPr>
        <w:t>Os</w:t>
      </w:r>
      <w:proofErr w:type="spellEnd"/>
      <w:r w:rsidR="00FD7CA4" w:rsidRPr="00FD7CA4">
        <w:rPr>
          <w:rFonts w:ascii="Tw Cen MT" w:eastAsia="Twentieth Century" w:hAnsi="Tw Cen MT" w:cs="Twentieth Century"/>
          <w:i/>
          <w:color w:val="000000"/>
          <w:sz w:val="20"/>
          <w:szCs w:val="20"/>
        </w:rPr>
        <w:t xml:space="preserve"> Sacrum</w:t>
      </w:r>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sering</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mengalami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penurunan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kontras</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akibat</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faktor</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eksposi</w:t>
      </w:r>
      <w:proofErr w:type="spellEnd"/>
      <w:r>
        <w:rPr>
          <w:rFonts w:ascii="Tw Cen MT" w:eastAsia="Twentieth Century" w:hAnsi="Tw Cen MT" w:cs="Twentieth Century"/>
          <w:iCs/>
          <w:color w:val="000000"/>
          <w:sz w:val="20"/>
          <w:szCs w:val="20"/>
        </w:rPr>
        <w:t xml:space="preserve"> dan </w:t>
      </w:r>
      <w:proofErr w:type="spellStart"/>
      <w:r>
        <w:rPr>
          <w:rFonts w:ascii="Tw Cen MT" w:eastAsia="Twentieth Century" w:hAnsi="Tw Cen MT" w:cs="Twentieth Century"/>
          <w:iCs/>
          <w:color w:val="000000"/>
          <w:sz w:val="20"/>
          <w:szCs w:val="20"/>
        </w:rPr>
        <w:t>ketebalan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objek</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Penelitian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ini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bertujuan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menganalisis</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variasi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rasio</w:t>
      </w:r>
      <w:proofErr w:type="spellEnd"/>
      <w:r>
        <w:rPr>
          <w:rFonts w:ascii="Tw Cen MT" w:eastAsia="Twentieth Century" w:hAnsi="Tw Cen MT" w:cs="Twentieth Century"/>
          <w:iCs/>
          <w:color w:val="000000"/>
          <w:sz w:val="20"/>
          <w:szCs w:val="20"/>
        </w:rPr>
        <w:t xml:space="preserve"> </w:t>
      </w:r>
      <w:r w:rsidR="00FD7CA4" w:rsidRPr="00FD7CA4">
        <w:rPr>
          <w:rFonts w:ascii="Tw Cen MT" w:eastAsia="Twentieth Century" w:hAnsi="Tw Cen MT" w:cs="Twentieth Century"/>
          <w:i/>
          <w:color w:val="000000"/>
          <w:sz w:val="24"/>
          <w:szCs w:val="20"/>
        </w:rPr>
        <w:t>Virtual Grid</w:t>
      </w:r>
      <w:r>
        <w:rPr>
          <w:rFonts w:ascii="Tw Cen MT" w:eastAsia="Twentieth Century" w:hAnsi="Tw Cen MT" w:cs="Twentieth Century"/>
          <w:iCs/>
          <w:color w:val="000000"/>
          <w:sz w:val="20"/>
          <w:szCs w:val="20"/>
        </w:rPr>
        <w:t xml:space="preserve"> 8:1, 10:1, dan 12:1 pada </w:t>
      </w:r>
      <w:proofErr w:type="spellStart"/>
      <w:r>
        <w:rPr>
          <w:rFonts w:ascii="Tw Cen MT" w:eastAsia="Twentieth Century" w:hAnsi="Tw Cen MT" w:cs="Twentieth Century"/>
          <w:iCs/>
          <w:color w:val="000000"/>
          <w:sz w:val="20"/>
          <w:szCs w:val="20"/>
        </w:rPr>
        <w:t>pemeriksaan</w:t>
      </w:r>
      <w:proofErr w:type="spellEnd"/>
      <w:r>
        <w:rPr>
          <w:rFonts w:ascii="Tw Cen MT" w:eastAsia="Twentieth Century" w:hAnsi="Tw Cen MT" w:cs="Twentieth Century"/>
          <w:iCs/>
          <w:color w:val="000000"/>
          <w:sz w:val="20"/>
          <w:szCs w:val="20"/>
        </w:rPr>
        <w:t xml:space="preserve"> </w:t>
      </w:r>
      <w:proofErr w:type="spellStart"/>
      <w:r w:rsidR="00FD7CA4" w:rsidRPr="00FD7CA4">
        <w:rPr>
          <w:rFonts w:ascii="Tw Cen MT" w:eastAsia="Twentieth Century" w:hAnsi="Tw Cen MT" w:cs="Twentieth Century"/>
          <w:i/>
          <w:color w:val="000000"/>
          <w:sz w:val="20"/>
          <w:szCs w:val="20"/>
        </w:rPr>
        <w:t>Os</w:t>
      </w:r>
      <w:proofErr w:type="spellEnd"/>
      <w:r w:rsidR="00FD7CA4" w:rsidRPr="00FD7CA4">
        <w:rPr>
          <w:rFonts w:ascii="Tw Cen MT" w:eastAsia="Twentieth Century" w:hAnsi="Tw Cen MT" w:cs="Twentieth Century"/>
          <w:i/>
          <w:color w:val="000000"/>
          <w:sz w:val="20"/>
          <w:szCs w:val="20"/>
        </w:rPr>
        <w:t xml:space="preserve"> Sacrum</w:t>
      </w:r>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proyeksi</w:t>
      </w:r>
      <w:proofErr w:type="spellEnd"/>
      <w:r>
        <w:rPr>
          <w:rFonts w:ascii="Tw Cen MT" w:eastAsia="Twentieth Century" w:hAnsi="Tw Cen MT" w:cs="Twentieth Century"/>
          <w:iCs/>
          <w:color w:val="000000"/>
          <w:sz w:val="20"/>
          <w:szCs w:val="20"/>
        </w:rPr>
        <w:t xml:space="preserve"> lateral </w:t>
      </w:r>
      <w:proofErr w:type="spellStart"/>
      <w:r>
        <w:rPr>
          <w:rFonts w:ascii="Tw Cen MT" w:eastAsia="Twentieth Century" w:hAnsi="Tw Cen MT" w:cs="Twentieth Century"/>
          <w:iCs/>
          <w:color w:val="000000"/>
          <w:sz w:val="20"/>
          <w:szCs w:val="20"/>
        </w:rPr>
        <w:t>menggunakan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indikator</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nilai</w:t>
      </w:r>
      <w:proofErr w:type="spellEnd"/>
      <w:r>
        <w:rPr>
          <w:rFonts w:ascii="Tw Cen MT" w:eastAsia="Twentieth Century" w:hAnsi="Tw Cen MT" w:cs="Twentieth Century"/>
          <w:iCs/>
          <w:color w:val="000000"/>
          <w:sz w:val="20"/>
          <w:szCs w:val="20"/>
        </w:rPr>
        <w:t xml:space="preserve"> </w:t>
      </w:r>
      <w:r w:rsidR="00FD7CA4" w:rsidRPr="00FD7CA4">
        <w:rPr>
          <w:rFonts w:ascii="Tw Cen MT" w:eastAsia="Twentieth Century" w:hAnsi="Tw Cen MT" w:cs="Twentieth Century"/>
          <w:i/>
          <w:color w:val="000000"/>
          <w:sz w:val="20"/>
          <w:szCs w:val="20"/>
        </w:rPr>
        <w:t>Pixel Value</w:t>
      </w:r>
      <w:r>
        <w:rPr>
          <w:rFonts w:ascii="Tw Cen MT" w:eastAsia="Twentieth Century" w:hAnsi="Tw Cen MT" w:cs="Twentieth Century"/>
          <w:iCs/>
          <w:color w:val="000000"/>
          <w:sz w:val="20"/>
          <w:szCs w:val="20"/>
        </w:rPr>
        <w:t xml:space="preserve">. Metode </w:t>
      </w:r>
      <w:proofErr w:type="spellStart"/>
      <w:r>
        <w:rPr>
          <w:rFonts w:ascii="Tw Cen MT" w:eastAsia="Twentieth Century" w:hAnsi="Tw Cen MT" w:cs="Twentieth Century"/>
          <w:iCs/>
          <w:color w:val="000000"/>
          <w:sz w:val="20"/>
          <w:szCs w:val="20"/>
        </w:rPr>
        <w:t>penelitian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kuantitatif</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deskriptif</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ini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dilakukan</w:t>
      </w:r>
      <w:proofErr w:type="spellEnd"/>
      <w:r>
        <w:rPr>
          <w:rFonts w:ascii="Tw Cen MT" w:eastAsia="Twentieth Century" w:hAnsi="Tw Cen MT" w:cs="Twentieth Century"/>
          <w:iCs/>
          <w:color w:val="000000"/>
          <w:sz w:val="20"/>
          <w:szCs w:val="20"/>
        </w:rPr>
        <w:t xml:space="preserve"> pada Mei–Juni 2025 di </w:t>
      </w:r>
      <w:proofErr w:type="spellStart"/>
      <w:r>
        <w:rPr>
          <w:rFonts w:ascii="Tw Cen MT" w:eastAsia="Twentieth Century" w:hAnsi="Tw Cen MT" w:cs="Twentieth Century"/>
          <w:iCs/>
          <w:color w:val="000000"/>
          <w:sz w:val="20"/>
          <w:szCs w:val="20"/>
        </w:rPr>
        <w:t>Laboratorium</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Praktikum</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Radiografi</w:t>
      </w:r>
      <w:proofErr w:type="spellEnd"/>
      <w:r>
        <w:rPr>
          <w:rFonts w:ascii="Tw Cen MT" w:eastAsia="Twentieth Century" w:hAnsi="Tw Cen MT" w:cs="Twentieth Century"/>
          <w:iCs/>
          <w:color w:val="000000"/>
          <w:sz w:val="20"/>
          <w:szCs w:val="20"/>
        </w:rPr>
        <w:t xml:space="preserve"> dan Fisika, </w:t>
      </w:r>
      <w:proofErr w:type="spellStart"/>
      <w:r>
        <w:rPr>
          <w:rFonts w:ascii="Tw Cen MT" w:eastAsia="Twentieth Century" w:hAnsi="Tw Cen MT" w:cs="Twentieth Century"/>
          <w:iCs/>
          <w:color w:val="000000"/>
          <w:sz w:val="20"/>
          <w:szCs w:val="20"/>
        </w:rPr>
        <w:t>Jurusan</w:t>
      </w:r>
      <w:proofErr w:type="spellEnd"/>
      <w:r>
        <w:rPr>
          <w:rFonts w:ascii="Tw Cen MT" w:eastAsia="Twentieth Century" w:hAnsi="Tw Cen MT" w:cs="Twentieth Century"/>
          <w:iCs/>
          <w:color w:val="000000"/>
          <w:sz w:val="20"/>
          <w:szCs w:val="20"/>
        </w:rPr>
        <w:t xml:space="preserve"> Teknik </w:t>
      </w:r>
      <w:proofErr w:type="spellStart"/>
      <w:r>
        <w:rPr>
          <w:rFonts w:ascii="Tw Cen MT" w:eastAsia="Twentieth Century" w:hAnsi="Tw Cen MT" w:cs="Twentieth Century"/>
          <w:iCs/>
          <w:color w:val="000000"/>
          <w:sz w:val="20"/>
          <w:szCs w:val="20"/>
        </w:rPr>
        <w:t>Radiodiagnostik</w:t>
      </w:r>
      <w:proofErr w:type="spellEnd"/>
      <w:r>
        <w:rPr>
          <w:rFonts w:ascii="Tw Cen MT" w:eastAsia="Twentieth Century" w:hAnsi="Tw Cen MT" w:cs="Twentieth Century"/>
          <w:iCs/>
          <w:color w:val="000000"/>
          <w:sz w:val="20"/>
          <w:szCs w:val="20"/>
        </w:rPr>
        <w:t xml:space="preserve"> dan </w:t>
      </w:r>
      <w:proofErr w:type="spellStart"/>
      <w:r>
        <w:rPr>
          <w:rFonts w:ascii="Tw Cen MT" w:eastAsia="Twentieth Century" w:hAnsi="Tw Cen MT" w:cs="Twentieth Century"/>
          <w:iCs/>
          <w:color w:val="000000"/>
          <w:sz w:val="20"/>
          <w:szCs w:val="20"/>
        </w:rPr>
        <w:t>Radioterapi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Poltekkes</w:t>
      </w:r>
      <w:proofErr w:type="spellEnd"/>
      <w:r>
        <w:rPr>
          <w:rFonts w:ascii="Tw Cen MT" w:eastAsia="Twentieth Century" w:hAnsi="Tw Cen MT" w:cs="Twentieth Century"/>
          <w:iCs/>
          <w:color w:val="000000"/>
          <w:sz w:val="20"/>
          <w:szCs w:val="20"/>
        </w:rPr>
        <w:t xml:space="preserve"> Jakarta II. Sampel </w:t>
      </w:r>
      <w:proofErr w:type="spellStart"/>
      <w:r>
        <w:rPr>
          <w:rFonts w:ascii="Tw Cen MT" w:eastAsia="Twentieth Century" w:hAnsi="Tw Cen MT" w:cs="Twentieth Century"/>
          <w:iCs/>
          <w:color w:val="000000"/>
          <w:sz w:val="20"/>
          <w:szCs w:val="20"/>
        </w:rPr>
        <w:t>berupa</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citra</w:t>
      </w:r>
      <w:proofErr w:type="spellEnd"/>
      <w:r>
        <w:rPr>
          <w:rFonts w:ascii="Tw Cen MT" w:eastAsia="Twentieth Century" w:hAnsi="Tw Cen MT" w:cs="Twentieth Century"/>
          <w:iCs/>
          <w:color w:val="000000"/>
          <w:sz w:val="20"/>
          <w:szCs w:val="20"/>
        </w:rPr>
        <w:t xml:space="preserve"> </w:t>
      </w:r>
      <w:proofErr w:type="spellStart"/>
      <w:r w:rsidR="00FD7CA4" w:rsidRPr="00FD7CA4">
        <w:rPr>
          <w:rFonts w:ascii="Tw Cen MT" w:eastAsia="Twentieth Century" w:hAnsi="Tw Cen MT" w:cs="Twentieth Century"/>
          <w:i/>
          <w:color w:val="000000"/>
          <w:sz w:val="20"/>
          <w:szCs w:val="20"/>
        </w:rPr>
        <w:t>Os</w:t>
      </w:r>
      <w:proofErr w:type="spellEnd"/>
      <w:r w:rsidR="00FD7CA4" w:rsidRPr="00FD7CA4">
        <w:rPr>
          <w:rFonts w:ascii="Tw Cen MT" w:eastAsia="Twentieth Century" w:hAnsi="Tw Cen MT" w:cs="Twentieth Century"/>
          <w:i/>
          <w:color w:val="000000"/>
          <w:sz w:val="20"/>
          <w:szCs w:val="20"/>
        </w:rPr>
        <w:t xml:space="preserve"> Sacrum</w:t>
      </w:r>
      <w:r>
        <w:rPr>
          <w:rFonts w:ascii="Tw Cen MT" w:eastAsia="Twentieth Century" w:hAnsi="Tw Cen MT" w:cs="Twentieth Century"/>
          <w:iCs/>
          <w:color w:val="000000"/>
          <w:sz w:val="20"/>
          <w:szCs w:val="20"/>
        </w:rPr>
        <w:t xml:space="preserve"> lateral </w:t>
      </w:r>
      <w:proofErr w:type="spellStart"/>
      <w:r>
        <w:rPr>
          <w:rFonts w:ascii="Tw Cen MT" w:eastAsia="Twentieth Century" w:hAnsi="Tw Cen MT" w:cs="Twentieth Century"/>
          <w:iCs/>
          <w:color w:val="000000"/>
          <w:sz w:val="20"/>
          <w:szCs w:val="20"/>
        </w:rPr>
        <w:t>dengan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tiga</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variasi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rasio</w:t>
      </w:r>
      <w:proofErr w:type="spellEnd"/>
      <w:r w:rsidR="00E07645">
        <w:rPr>
          <w:rFonts w:ascii="Tw Cen MT" w:eastAsia="Twentieth Century" w:hAnsi="Tw Cen MT" w:cs="Twentieth Century"/>
          <w:iCs/>
          <w:color w:val="000000"/>
          <w:sz w:val="20"/>
          <w:szCs w:val="20"/>
        </w:rPr>
        <w:t xml:space="preserve"> </w:t>
      </w:r>
      <w:proofErr w:type="spellStart"/>
      <w:r w:rsidR="00E07645" w:rsidRPr="00E07645">
        <w:rPr>
          <w:rFonts w:ascii="Tw Cen MT" w:eastAsia="Twentieth Century" w:hAnsi="Tw Cen MT" w:cs="Twentieth Century"/>
          <w:i/>
          <w:color w:val="000000"/>
          <w:sz w:val="20"/>
          <w:szCs w:val="20"/>
        </w:rPr>
        <w:t>Vitual</w:t>
      </w:r>
      <w:proofErr w:type="spellEnd"/>
      <w:r w:rsidRPr="00E07645">
        <w:rPr>
          <w:rFonts w:ascii="Tw Cen MT" w:eastAsia="Twentieth Century" w:hAnsi="Tw Cen MT" w:cs="Twentieth Century"/>
          <w:i/>
          <w:color w:val="000000"/>
          <w:sz w:val="20"/>
          <w:szCs w:val="20"/>
        </w:rPr>
        <w:t xml:space="preserve"> </w:t>
      </w:r>
      <w:r w:rsidR="00E07645" w:rsidRPr="00E07645">
        <w:rPr>
          <w:rFonts w:ascii="Tw Cen MT" w:eastAsia="Twentieth Century" w:hAnsi="Tw Cen MT" w:cs="Twentieth Century"/>
          <w:i/>
          <w:color w:val="000000"/>
          <w:sz w:val="20"/>
          <w:szCs w:val="20"/>
        </w:rPr>
        <w:t>G</w:t>
      </w:r>
      <w:r w:rsidRPr="00E07645">
        <w:rPr>
          <w:rFonts w:ascii="Tw Cen MT" w:eastAsia="Twentieth Century" w:hAnsi="Tw Cen MT" w:cs="Twentieth Century"/>
          <w:i/>
          <w:color w:val="000000"/>
          <w:sz w:val="20"/>
          <w:szCs w:val="20"/>
        </w:rPr>
        <w:t>rid</w:t>
      </w:r>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Analisis</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dilakukan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terhadap</w:t>
      </w:r>
      <w:proofErr w:type="spellEnd"/>
      <w:r>
        <w:rPr>
          <w:rFonts w:ascii="Tw Cen MT" w:eastAsia="Twentieth Century" w:hAnsi="Tw Cen MT" w:cs="Twentieth Century"/>
          <w:iCs/>
          <w:color w:val="000000"/>
          <w:sz w:val="20"/>
          <w:szCs w:val="20"/>
        </w:rPr>
        <w:t xml:space="preserve"> rata-rata </w:t>
      </w:r>
      <w:r w:rsidR="00FD7CA4" w:rsidRPr="00FD7CA4">
        <w:rPr>
          <w:rFonts w:ascii="Tw Cen MT" w:eastAsia="Twentieth Century" w:hAnsi="Tw Cen MT" w:cs="Twentieth Century"/>
          <w:i/>
          <w:color w:val="000000"/>
          <w:sz w:val="20"/>
          <w:szCs w:val="20"/>
        </w:rPr>
        <w:t>Pixel Value</w:t>
      </w:r>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dilanjutkan</w:t>
      </w:r>
      <w:proofErr w:type="spellEnd"/>
      <w:r>
        <w:rPr>
          <w:rFonts w:ascii="Tw Cen MT" w:eastAsia="Twentieth Century" w:hAnsi="Tw Cen MT" w:cs="Twentieth Century"/>
          <w:iCs/>
          <w:color w:val="000000"/>
          <w:sz w:val="20"/>
          <w:szCs w:val="20"/>
        </w:rPr>
        <w:t xml:space="preserve"> uji </w:t>
      </w:r>
      <w:proofErr w:type="spellStart"/>
      <w:r>
        <w:rPr>
          <w:rFonts w:ascii="Tw Cen MT" w:eastAsia="Twentieth Century" w:hAnsi="Tw Cen MT" w:cs="Twentieth Century"/>
          <w:iCs/>
          <w:color w:val="000000"/>
          <w:sz w:val="20"/>
          <w:szCs w:val="20"/>
        </w:rPr>
        <w:t>statistik</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dengan</w:t>
      </w:r>
      <w:proofErr w:type="spellEnd"/>
      <w:r>
        <w:rPr>
          <w:rFonts w:ascii="Tw Cen MT" w:eastAsia="Twentieth Century" w:hAnsi="Tw Cen MT" w:cs="Twentieth Century"/>
          <w:iCs/>
          <w:color w:val="000000"/>
          <w:sz w:val="20"/>
          <w:szCs w:val="20"/>
        </w:rPr>
        <w:t xml:space="preserve"> SPSS 27 </w:t>
      </w:r>
      <w:proofErr w:type="spellStart"/>
      <w:r>
        <w:rPr>
          <w:rFonts w:ascii="Tw Cen MT" w:eastAsia="Twentieth Century" w:hAnsi="Tw Cen MT" w:cs="Twentieth Century"/>
          <w:iCs/>
          <w:color w:val="000000"/>
          <w:sz w:val="20"/>
          <w:szCs w:val="20"/>
        </w:rPr>
        <w:t>menggunakan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metode</w:t>
      </w:r>
      <w:proofErr w:type="spellEnd"/>
      <w:r>
        <w:rPr>
          <w:rFonts w:ascii="Tw Cen MT" w:eastAsia="Twentieth Century" w:hAnsi="Tw Cen MT" w:cs="Twentieth Century"/>
          <w:iCs/>
          <w:color w:val="000000"/>
          <w:sz w:val="20"/>
          <w:szCs w:val="20"/>
        </w:rPr>
        <w:t xml:space="preserve"> </w:t>
      </w:r>
      <w:r w:rsidRPr="0081067B">
        <w:rPr>
          <w:rFonts w:ascii="Tw Cen MT" w:eastAsia="Twentieth Century" w:hAnsi="Tw Cen MT" w:cs="Twentieth Century"/>
          <w:i/>
          <w:color w:val="000000"/>
          <w:sz w:val="20"/>
          <w:szCs w:val="20"/>
        </w:rPr>
        <w:t>One-Way ANOVA</w:t>
      </w:r>
      <w:r>
        <w:rPr>
          <w:rFonts w:ascii="Tw Cen MT" w:eastAsia="Twentieth Century" w:hAnsi="Tw Cen MT" w:cs="Twentieth Century"/>
          <w:iCs/>
          <w:color w:val="000000"/>
          <w:sz w:val="20"/>
          <w:szCs w:val="20"/>
        </w:rPr>
        <w:t xml:space="preserve">. Hasil </w:t>
      </w:r>
      <w:proofErr w:type="spellStart"/>
      <w:r>
        <w:rPr>
          <w:rFonts w:ascii="Tw Cen MT" w:eastAsia="Twentieth Century" w:hAnsi="Tw Cen MT" w:cs="Twentieth Century"/>
          <w:iCs/>
          <w:color w:val="000000"/>
          <w:sz w:val="20"/>
          <w:szCs w:val="20"/>
        </w:rPr>
        <w:t>menunjukkan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nilai</w:t>
      </w:r>
      <w:proofErr w:type="spellEnd"/>
      <w:r>
        <w:rPr>
          <w:rFonts w:ascii="Tw Cen MT" w:eastAsia="Twentieth Century" w:hAnsi="Tw Cen MT" w:cs="Twentieth Century"/>
          <w:iCs/>
          <w:color w:val="000000"/>
          <w:sz w:val="20"/>
          <w:szCs w:val="20"/>
        </w:rPr>
        <w:t xml:space="preserve"> rata-rata </w:t>
      </w:r>
      <w:r w:rsidR="00FD7CA4" w:rsidRPr="00FD7CA4">
        <w:rPr>
          <w:rFonts w:ascii="Tw Cen MT" w:eastAsia="Twentieth Century" w:hAnsi="Tw Cen MT" w:cs="Twentieth Century"/>
          <w:i/>
          <w:color w:val="000000"/>
          <w:sz w:val="20"/>
          <w:szCs w:val="20"/>
        </w:rPr>
        <w:t xml:space="preserve">Pixel </w:t>
      </w:r>
      <w:proofErr w:type="gramStart"/>
      <w:r w:rsidR="00FD7CA4" w:rsidRPr="00FD7CA4">
        <w:rPr>
          <w:rFonts w:ascii="Tw Cen MT" w:eastAsia="Twentieth Century" w:hAnsi="Tw Cen MT" w:cs="Twentieth Century"/>
          <w:i/>
          <w:color w:val="000000"/>
          <w:sz w:val="20"/>
          <w:szCs w:val="20"/>
        </w:rPr>
        <w:t>Value</w:t>
      </w:r>
      <w:r w:rsidR="003C65B1">
        <w:rPr>
          <w:rFonts w:ascii="Tw Cen MT" w:eastAsia="Twentieth Century" w:hAnsi="Tw Cen MT" w:cs="Twentieth Century"/>
          <w:i/>
          <w:color w:val="000000"/>
          <w:sz w:val="20"/>
          <w:szCs w:val="20"/>
        </w:rPr>
        <w:t xml:space="preserve"> </w:t>
      </w:r>
      <w:r>
        <w:rPr>
          <w:rFonts w:ascii="Tw Cen MT" w:eastAsia="Twentieth Century" w:hAnsi="Tw Cen MT" w:cs="Twentieth Century"/>
          <w:iCs/>
          <w:color w:val="000000"/>
          <w:sz w:val="20"/>
          <w:szCs w:val="20"/>
        </w:rPr>
        <w:t>:</w:t>
      </w:r>
      <w:proofErr w:type="gram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rasio</w:t>
      </w:r>
      <w:proofErr w:type="spellEnd"/>
      <w:r>
        <w:rPr>
          <w:rFonts w:ascii="Tw Cen MT" w:eastAsia="Twentieth Century" w:hAnsi="Tw Cen MT" w:cs="Twentieth Century"/>
          <w:iCs/>
          <w:color w:val="000000"/>
          <w:sz w:val="20"/>
          <w:szCs w:val="20"/>
        </w:rPr>
        <w:t xml:space="preserve"> 8:1 </w:t>
      </w:r>
      <w:proofErr w:type="spellStart"/>
      <w:r>
        <w:rPr>
          <w:rFonts w:ascii="Tw Cen MT" w:eastAsia="Twentieth Century" w:hAnsi="Tw Cen MT" w:cs="Twentieth Century"/>
          <w:iCs/>
          <w:color w:val="000000"/>
          <w:sz w:val="20"/>
          <w:szCs w:val="20"/>
        </w:rPr>
        <w:t>sebesar</w:t>
      </w:r>
      <w:proofErr w:type="spellEnd"/>
      <w:r>
        <w:rPr>
          <w:rFonts w:ascii="Tw Cen MT" w:eastAsia="Twentieth Century" w:hAnsi="Tw Cen MT" w:cs="Twentieth Century"/>
          <w:iCs/>
          <w:color w:val="000000"/>
          <w:sz w:val="20"/>
          <w:szCs w:val="20"/>
        </w:rPr>
        <w:t xml:space="preserve"> 150,94; 10:1 </w:t>
      </w:r>
      <w:proofErr w:type="spellStart"/>
      <w:r>
        <w:rPr>
          <w:rFonts w:ascii="Tw Cen MT" w:eastAsia="Twentieth Century" w:hAnsi="Tw Cen MT" w:cs="Twentieth Century"/>
          <w:iCs/>
          <w:color w:val="000000"/>
          <w:sz w:val="20"/>
          <w:szCs w:val="20"/>
        </w:rPr>
        <w:t>sebesar</w:t>
      </w:r>
      <w:proofErr w:type="spellEnd"/>
      <w:r>
        <w:rPr>
          <w:rFonts w:ascii="Tw Cen MT" w:eastAsia="Twentieth Century" w:hAnsi="Tw Cen MT" w:cs="Twentieth Century"/>
          <w:iCs/>
          <w:color w:val="000000"/>
          <w:sz w:val="20"/>
          <w:szCs w:val="20"/>
        </w:rPr>
        <w:t xml:space="preserve"> 150,46; dan 12:1 </w:t>
      </w:r>
      <w:proofErr w:type="spellStart"/>
      <w:r>
        <w:rPr>
          <w:rFonts w:ascii="Tw Cen MT" w:eastAsia="Twentieth Century" w:hAnsi="Tw Cen MT" w:cs="Twentieth Century"/>
          <w:iCs/>
          <w:color w:val="000000"/>
          <w:sz w:val="20"/>
          <w:szCs w:val="20"/>
        </w:rPr>
        <w:t>sebesar</w:t>
      </w:r>
      <w:proofErr w:type="spellEnd"/>
      <w:r>
        <w:rPr>
          <w:rFonts w:ascii="Tw Cen MT" w:eastAsia="Twentieth Century" w:hAnsi="Tw Cen MT" w:cs="Twentieth Century"/>
          <w:iCs/>
          <w:color w:val="000000"/>
          <w:sz w:val="20"/>
          <w:szCs w:val="20"/>
        </w:rPr>
        <w:t xml:space="preserve"> 152,75 </w:t>
      </w:r>
      <w:proofErr w:type="spellStart"/>
      <w:r>
        <w:rPr>
          <w:rFonts w:ascii="Tw Cen MT" w:eastAsia="Twentieth Century" w:hAnsi="Tw Cen MT" w:cs="Twentieth Century"/>
          <w:iCs/>
          <w:color w:val="000000"/>
          <w:sz w:val="20"/>
          <w:szCs w:val="20"/>
        </w:rPr>
        <w:t>dengan</w:t>
      </w:r>
      <w:proofErr w:type="spellEnd"/>
      <w:r>
        <w:rPr>
          <w:rFonts w:ascii="Tw Cen MT" w:eastAsia="Twentieth Century" w:hAnsi="Tw Cen MT" w:cs="Twentieth Century"/>
          <w:iCs/>
          <w:color w:val="000000"/>
          <w:sz w:val="20"/>
          <w:szCs w:val="20"/>
        </w:rPr>
        <w:t xml:space="preserve"> </w:t>
      </w:r>
      <w:r w:rsidRPr="0081067B">
        <w:rPr>
          <w:rFonts w:ascii="Tw Cen MT" w:eastAsia="Twentieth Century" w:hAnsi="Tw Cen MT" w:cs="Twentieth Century"/>
          <w:i/>
          <w:color w:val="000000"/>
          <w:sz w:val="20"/>
          <w:szCs w:val="20"/>
        </w:rPr>
        <w:t>P</w:t>
      </w:r>
      <w:r w:rsidR="003C65B1" w:rsidRPr="0081067B">
        <w:rPr>
          <w:rFonts w:ascii="Tw Cen MT" w:eastAsia="Twentieth Century" w:hAnsi="Tw Cen MT" w:cs="Twentieth Century"/>
          <w:i/>
          <w:color w:val="000000"/>
          <w:sz w:val="20"/>
          <w:szCs w:val="20"/>
        </w:rPr>
        <w:t>-Value</w:t>
      </w:r>
      <w:r w:rsidR="003C65B1">
        <w:rPr>
          <w:rFonts w:ascii="Tw Cen MT" w:eastAsia="Twentieth Century" w:hAnsi="Tw Cen MT" w:cs="Twentieth Century"/>
          <w:iCs/>
          <w:color w:val="000000"/>
          <w:sz w:val="20"/>
          <w:szCs w:val="20"/>
        </w:rPr>
        <w:t xml:space="preserve"> </w:t>
      </w:r>
      <w:r>
        <w:rPr>
          <w:rFonts w:ascii="Tw Cen MT" w:eastAsia="Twentieth Century" w:hAnsi="Tw Cen MT" w:cs="Twentieth Century"/>
          <w:iCs/>
          <w:color w:val="000000"/>
          <w:sz w:val="20"/>
          <w:szCs w:val="20"/>
        </w:rPr>
        <w:t>&gt;</w:t>
      </w:r>
      <w:r w:rsidR="003C65B1">
        <w:rPr>
          <w:rFonts w:ascii="Tw Cen MT" w:eastAsia="Twentieth Century" w:hAnsi="Tw Cen MT" w:cs="Twentieth Century"/>
          <w:iCs/>
          <w:color w:val="000000"/>
          <w:sz w:val="20"/>
          <w:szCs w:val="20"/>
        </w:rPr>
        <w:t xml:space="preserve"> </w:t>
      </w:r>
      <w:r>
        <w:rPr>
          <w:rFonts w:ascii="Tw Cen MT" w:eastAsia="Twentieth Century" w:hAnsi="Tw Cen MT" w:cs="Twentieth Century"/>
          <w:iCs/>
          <w:color w:val="000000"/>
          <w:sz w:val="20"/>
          <w:szCs w:val="20"/>
        </w:rPr>
        <w:t xml:space="preserve">0,05, yang </w:t>
      </w:r>
      <w:proofErr w:type="spellStart"/>
      <w:r>
        <w:rPr>
          <w:rFonts w:ascii="Tw Cen MT" w:eastAsia="Twentieth Century" w:hAnsi="Tw Cen MT" w:cs="Twentieth Century"/>
          <w:iCs/>
          <w:color w:val="000000"/>
          <w:sz w:val="20"/>
          <w:szCs w:val="20"/>
        </w:rPr>
        <w:t>berarti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tidak</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terdapat</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perbedaan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signifikan</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antar</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variasi</w:t>
      </w:r>
      <w:proofErr w:type="spellEnd"/>
      <w:r>
        <w:rPr>
          <w:rFonts w:ascii="Tw Cen MT" w:eastAsia="Twentieth Century" w:hAnsi="Tw Cen MT" w:cs="Twentieth Century"/>
          <w:iCs/>
          <w:color w:val="000000"/>
          <w:sz w:val="20"/>
          <w:szCs w:val="20"/>
        </w:rPr>
        <w:t xml:space="preserve"> </w:t>
      </w:r>
      <w:proofErr w:type="spellStart"/>
      <w:r>
        <w:rPr>
          <w:rFonts w:ascii="Tw Cen MT" w:eastAsia="Twentieth Century" w:hAnsi="Tw Cen MT" w:cs="Twentieth Century"/>
          <w:iCs/>
          <w:color w:val="000000"/>
          <w:sz w:val="20"/>
          <w:szCs w:val="20"/>
        </w:rPr>
        <w:t>rasio</w:t>
      </w:r>
      <w:proofErr w:type="spellEnd"/>
      <w:r>
        <w:rPr>
          <w:rFonts w:ascii="Tw Cen MT" w:eastAsia="Twentieth Century" w:hAnsi="Tw Cen MT" w:cs="Twentieth Century"/>
          <w:iCs/>
          <w:color w:val="000000"/>
          <w:sz w:val="20"/>
          <w:szCs w:val="20"/>
        </w:rPr>
        <w:t>.</w:t>
      </w:r>
    </w:p>
    <w:p w14:paraId="62402A94" w14:textId="77777777" w:rsidR="007E6AEC" w:rsidRDefault="00000000">
      <w:pPr>
        <w:tabs>
          <w:tab w:val="left" w:pos="426"/>
        </w:tabs>
        <w:spacing w:after="0"/>
        <w:ind w:left="3150"/>
        <w:jc w:val="both"/>
        <w:rPr>
          <w:rFonts w:ascii="Tw Cen MT" w:eastAsia="Twentieth Century" w:hAnsi="Tw Cen MT" w:cs="Twentieth Century"/>
          <w:b/>
          <w:sz w:val="20"/>
          <w:szCs w:val="20"/>
        </w:rPr>
      </w:pPr>
      <w:r>
        <w:rPr>
          <w:rFonts w:ascii="Tw Cen MT" w:eastAsia="Twentieth Century" w:hAnsi="Tw Cen MT" w:cs="Twentieth Century"/>
          <w:b/>
          <w:sz w:val="20"/>
          <w:szCs w:val="20"/>
        </w:rPr>
        <w:t xml:space="preserve">Kata </w:t>
      </w:r>
      <w:proofErr w:type="spellStart"/>
      <w:r>
        <w:rPr>
          <w:rFonts w:ascii="Tw Cen MT" w:eastAsia="Twentieth Century" w:hAnsi="Tw Cen MT" w:cs="Twentieth Century"/>
          <w:b/>
          <w:sz w:val="20"/>
          <w:szCs w:val="20"/>
        </w:rPr>
        <w:t>Kunci</w:t>
      </w:r>
      <w:proofErr w:type="spellEnd"/>
      <w:r>
        <w:rPr>
          <w:rFonts w:ascii="Tw Cen MT" w:eastAsia="Twentieth Century" w:hAnsi="Tw Cen MT" w:cs="Twentieth Century"/>
          <w:b/>
          <w:sz w:val="20"/>
          <w:szCs w:val="20"/>
        </w:rPr>
        <w:t>:</w:t>
      </w:r>
    </w:p>
    <w:p w14:paraId="3C3967CA" w14:textId="28CF37E8" w:rsidR="007E6AEC" w:rsidRPr="00FD7CA4" w:rsidRDefault="00000000">
      <w:pPr>
        <w:ind w:left="3150"/>
        <w:rPr>
          <w:rFonts w:ascii="Tw Cen MT" w:eastAsia="Twentieth Century" w:hAnsi="Tw Cen MT" w:cs="Twentieth Century"/>
          <w:sz w:val="20"/>
          <w:szCs w:val="20"/>
        </w:rPr>
        <w:sectPr w:rsidR="007E6AEC" w:rsidRPr="00FD7CA4">
          <w:headerReference w:type="default" r:id="rId15"/>
          <w:footerReference w:type="default" r:id="rId16"/>
          <w:pgSz w:w="12240" w:h="15840"/>
          <w:pgMar w:top="1440" w:right="1440" w:bottom="1440" w:left="1440" w:header="720" w:footer="720" w:gutter="0"/>
          <w:pgNumType w:start="1"/>
          <w:cols w:space="720"/>
        </w:sectPr>
      </w:pPr>
      <w:r w:rsidRPr="00182EFC">
        <w:rPr>
          <w:rFonts w:ascii="Tw Cen MT" w:hAnsi="Tw Cen MT"/>
          <w:i/>
          <w:iCs/>
          <w:noProof/>
        </w:rPr>
        <mc:AlternateContent>
          <mc:Choice Requires="wps">
            <w:drawing>
              <wp:anchor distT="0" distB="0" distL="0" distR="0" simplePos="0" relativeHeight="5" behindDoc="0" locked="0" layoutInCell="1" allowOverlap="1" wp14:anchorId="5E003E20" wp14:editId="4A5C37C1">
                <wp:simplePos x="0" y="0"/>
                <wp:positionH relativeFrom="column">
                  <wp:posOffset>-38100</wp:posOffset>
                </wp:positionH>
                <wp:positionV relativeFrom="paragraph">
                  <wp:posOffset>203835</wp:posOffset>
                </wp:positionV>
                <wp:extent cx="5975985" cy="0"/>
                <wp:effectExtent l="0" t="12700" r="18415" b="12700"/>
                <wp:wrapNone/>
                <wp:docPr id="1029"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5985" cy="0"/>
                        </a:xfrm>
                        <a:prstGeom prst="straightConnector1">
                          <a:avLst/>
                        </a:prstGeom>
                        <a:ln w="19050" cap="flat" cmpd="sng">
                          <a:solidFill>
                            <a:srgbClr val="000000"/>
                          </a:solidFill>
                          <a:prstDash val="solid"/>
                          <a:round/>
                          <a:headEnd type="none" w="sm" len="sm"/>
                          <a:tailEnd type="none" w="sm" len="sm"/>
                        </a:ln>
                      </wps:spPr>
                      <wps:bodyPr/>
                    </wps:wsp>
                  </a:graphicData>
                </a:graphic>
                <wp14:sizeRelV relativeFrom="margin">
                  <wp14:pctHeight>0</wp14:pctHeight>
                </wp14:sizeRelV>
              </wp:anchor>
            </w:drawing>
          </mc:Choice>
          <mc:Fallback xmlns:wpsCustomData="http://www.wps.cn/officeDocument/2013/wpsCustomData">
            <w:pict>
              <v:shape id="1029" type="#_x0000_t32" filled="f" style="position:absolute;margin-left:-3.0pt;margin-top:16.05pt;width:470.55pt;height:0.0pt;z-index:5;mso-position-horizontal-relative:text;mso-position-vertical-relative:text;mso-height-percent:0;mso-width-relative:page;mso-height-relative:margin;mso-wrap-distance-left:0.0pt;mso-wrap-distance-right:0.0pt;visibility:visible;">
                <v:stroke startarrowwidth="narrow" startarrowlength="short" endarrowwidth="narrow" endarrowlength="short" weight="1.5pt"/>
                <v:fill/>
              </v:shape>
            </w:pict>
          </mc:Fallback>
        </mc:AlternateContent>
      </w:r>
      <w:r w:rsidRPr="00182EFC">
        <w:rPr>
          <w:rFonts w:ascii="Tw Cen MT" w:eastAsia="Twentieth Century" w:hAnsi="Tw Cen MT" w:cs="Twentieth Century"/>
          <w:i/>
          <w:iCs/>
          <w:sz w:val="20"/>
          <w:szCs w:val="20"/>
        </w:rPr>
        <w:t xml:space="preserve"> </w:t>
      </w:r>
      <w:r w:rsidR="00FD7CA4" w:rsidRPr="00FD7CA4">
        <w:rPr>
          <w:rFonts w:ascii="Tw Cen MT" w:eastAsia="Twentieth Century" w:hAnsi="Tw Cen MT" w:cs="Twentieth Century"/>
          <w:i/>
          <w:iCs/>
          <w:sz w:val="20"/>
          <w:szCs w:val="20"/>
        </w:rPr>
        <w:t xml:space="preserve">Virtual </w:t>
      </w:r>
      <w:proofErr w:type="gramStart"/>
      <w:r w:rsidR="00FD7CA4" w:rsidRPr="00FD7CA4">
        <w:rPr>
          <w:rFonts w:ascii="Tw Cen MT" w:eastAsia="Twentieth Century" w:hAnsi="Tw Cen MT" w:cs="Twentieth Century"/>
          <w:i/>
          <w:iCs/>
          <w:sz w:val="20"/>
          <w:szCs w:val="20"/>
        </w:rPr>
        <w:t>Grid</w:t>
      </w:r>
      <w:r w:rsidRPr="00FD7CA4">
        <w:rPr>
          <w:rFonts w:ascii="Tw Cen MT" w:eastAsia="Twentieth Century" w:hAnsi="Tw Cen MT" w:cs="Twentieth Century"/>
          <w:sz w:val="20"/>
          <w:szCs w:val="20"/>
        </w:rPr>
        <w:t xml:space="preserve"> ,</w:t>
      </w:r>
      <w:proofErr w:type="gramEnd"/>
      <w:r w:rsidRPr="00FD7CA4">
        <w:rPr>
          <w:rFonts w:ascii="Tw Cen MT" w:eastAsia="Twentieth Century" w:hAnsi="Tw Cen MT" w:cs="Twentieth Century"/>
          <w:sz w:val="20"/>
          <w:szCs w:val="20"/>
        </w:rPr>
        <w:t xml:space="preserve"> </w:t>
      </w:r>
      <w:r w:rsidR="00FD7CA4" w:rsidRPr="00FD7CA4">
        <w:rPr>
          <w:rFonts w:ascii="Tw Cen MT" w:eastAsia="Twentieth Century" w:hAnsi="Tw Cen MT" w:cs="Twentieth Century"/>
          <w:i/>
          <w:iCs/>
          <w:sz w:val="20"/>
          <w:szCs w:val="20"/>
        </w:rPr>
        <w:t xml:space="preserve">Pixel </w:t>
      </w:r>
      <w:proofErr w:type="gramStart"/>
      <w:r w:rsidR="00FD7CA4" w:rsidRPr="00FD7CA4">
        <w:rPr>
          <w:rFonts w:ascii="Tw Cen MT" w:eastAsia="Twentieth Century" w:hAnsi="Tw Cen MT" w:cs="Twentieth Century"/>
          <w:i/>
          <w:iCs/>
          <w:sz w:val="20"/>
          <w:szCs w:val="20"/>
        </w:rPr>
        <w:t>Value</w:t>
      </w:r>
      <w:r w:rsidRPr="00FD7CA4">
        <w:rPr>
          <w:rFonts w:ascii="Tw Cen MT" w:eastAsia="Twentieth Century" w:hAnsi="Tw Cen MT" w:cs="Twentieth Century"/>
          <w:i/>
          <w:iCs/>
          <w:sz w:val="20"/>
          <w:szCs w:val="20"/>
        </w:rPr>
        <w:t xml:space="preserve"> </w:t>
      </w:r>
      <w:r w:rsidRPr="00FD7CA4">
        <w:rPr>
          <w:rFonts w:ascii="Tw Cen MT" w:eastAsia="Twentieth Century" w:hAnsi="Tw Cen MT" w:cs="Twentieth Century"/>
          <w:sz w:val="20"/>
          <w:szCs w:val="20"/>
        </w:rPr>
        <w:t>,</w:t>
      </w:r>
      <w:proofErr w:type="gramEnd"/>
      <w:r w:rsidRPr="00FD7CA4">
        <w:rPr>
          <w:rFonts w:ascii="Tw Cen MT" w:eastAsia="Twentieth Century" w:hAnsi="Tw Cen MT" w:cs="Twentieth Century"/>
          <w:sz w:val="20"/>
          <w:szCs w:val="20"/>
        </w:rPr>
        <w:t xml:space="preserve"> </w:t>
      </w:r>
      <w:proofErr w:type="spellStart"/>
      <w:r w:rsidR="00FD7CA4" w:rsidRPr="00FD7CA4">
        <w:rPr>
          <w:rFonts w:ascii="Tw Cen MT" w:eastAsia="Twentieth Century" w:hAnsi="Tw Cen MT" w:cs="Twentieth Century"/>
          <w:i/>
          <w:iCs/>
          <w:sz w:val="20"/>
          <w:szCs w:val="20"/>
        </w:rPr>
        <w:t>Os</w:t>
      </w:r>
      <w:proofErr w:type="spellEnd"/>
      <w:r w:rsidR="00FD7CA4" w:rsidRPr="00FD7CA4">
        <w:rPr>
          <w:rFonts w:ascii="Tw Cen MT" w:eastAsia="Twentieth Century" w:hAnsi="Tw Cen MT" w:cs="Twentieth Century"/>
          <w:i/>
          <w:iCs/>
          <w:sz w:val="20"/>
          <w:szCs w:val="20"/>
        </w:rPr>
        <w:t xml:space="preserve"> Sacrum</w:t>
      </w:r>
    </w:p>
    <w:p w14:paraId="014F8954" w14:textId="77777777" w:rsidR="007E6AEC" w:rsidRDefault="00000000">
      <w:pPr>
        <w:tabs>
          <w:tab w:val="left" w:pos="426"/>
        </w:tabs>
        <w:spacing w:after="0" w:line="240" w:lineRule="auto"/>
        <w:jc w:val="both"/>
        <w:rPr>
          <w:rFonts w:ascii="Tw Cen MT" w:eastAsia="Twentieth Century" w:hAnsi="Tw Cen MT" w:cs="Twentieth Century"/>
          <w:b/>
          <w:sz w:val="24"/>
          <w:szCs w:val="24"/>
        </w:rPr>
      </w:pPr>
      <w:r>
        <w:rPr>
          <w:rFonts w:ascii="Tw Cen MT" w:eastAsia="Twentieth Century" w:hAnsi="Tw Cen MT" w:cs="Twentieth Century"/>
          <w:b/>
          <w:sz w:val="24"/>
          <w:szCs w:val="24"/>
        </w:rPr>
        <w:t>PENDAHULUAN</w:t>
      </w:r>
    </w:p>
    <w:p w14:paraId="6353FFEE" w14:textId="2313076A" w:rsidR="007E6AEC" w:rsidRDefault="00000000">
      <w:pPr>
        <w:spacing w:after="0" w:line="240" w:lineRule="auto"/>
        <w:jc w:val="both"/>
        <w:rPr>
          <w:rFonts w:ascii="Tw Cen MT" w:eastAsia="Twentieth Century" w:hAnsi="Tw Cen MT" w:cs="Twentieth Century"/>
          <w:sz w:val="24"/>
          <w:szCs w:val="24"/>
        </w:rPr>
      </w:pPr>
      <w:r>
        <w:rPr>
          <w:rFonts w:ascii="Tw Cen MT" w:eastAsia="Twentieth Century" w:hAnsi="Tw Cen MT" w:cs="Twentieth Century"/>
          <w:sz w:val="24"/>
          <w:szCs w:val="24"/>
        </w:rPr>
        <w:t xml:space="preserve">Salah </w:t>
      </w:r>
      <w:proofErr w:type="spellStart"/>
      <w:r>
        <w:rPr>
          <w:rFonts w:ascii="Tw Cen MT" w:eastAsia="Twentieth Century" w:hAnsi="Tw Cen MT" w:cs="Twentieth Century"/>
          <w:sz w:val="24"/>
          <w:szCs w:val="24"/>
        </w:rPr>
        <w:t>satu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melakukan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pengulangan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gambar</w:t>
      </w:r>
      <w:proofErr w:type="spellEnd"/>
      <w:r>
        <w:rPr>
          <w:rFonts w:ascii="Tw Cen MT" w:eastAsia="Twentieth Century" w:hAnsi="Tw Cen MT" w:cs="Twentieth Century"/>
          <w:sz w:val="24"/>
          <w:szCs w:val="24"/>
        </w:rPr>
        <w:t xml:space="preserve"> di </w:t>
      </w:r>
      <w:proofErr w:type="spellStart"/>
      <w:r>
        <w:rPr>
          <w:rFonts w:ascii="Tw Cen MT" w:eastAsia="Twentieth Century" w:hAnsi="Tw Cen MT" w:cs="Twentieth Century"/>
          <w:sz w:val="24"/>
          <w:szCs w:val="24"/>
        </w:rPr>
        <w:t>rumah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sakit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yaitu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r w:rsidRPr="000B6B0E">
        <w:rPr>
          <w:rFonts w:ascii="Tw Cen MT" w:eastAsia="Twentieth Century" w:hAnsi="Tw Cen MT" w:cs="Twentieth Century"/>
          <w:i/>
          <w:iCs/>
          <w:sz w:val="24"/>
          <w:szCs w:val="24"/>
        </w:rPr>
        <w:t>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dilakukan</w:t>
      </w:r>
      <w:proofErr w:type="spellEnd"/>
      <w:r>
        <w:rPr>
          <w:rFonts w:ascii="Tw Cen MT" w:eastAsia="Twentieth Century" w:hAnsi="Tw Cen MT" w:cs="Twentieth Century"/>
          <w:sz w:val="24"/>
          <w:szCs w:val="24"/>
        </w:rPr>
        <w:t xml:space="preserve"> oleh Steffen A </w:t>
      </w:r>
      <w:r>
        <w:rPr>
          <w:rFonts w:ascii="Tw Cen MT" w:eastAsia="Twentieth Century" w:hAnsi="Tw Cen MT" w:cs="Twentieth Century"/>
          <w:sz w:val="24"/>
          <w:szCs w:val="24"/>
        </w:rPr>
        <w:t xml:space="preserve">(2006), yang </w:t>
      </w:r>
      <w:proofErr w:type="spellStart"/>
      <w:r>
        <w:rPr>
          <w:rFonts w:ascii="Tw Cen MT" w:eastAsia="Twentieth Century" w:hAnsi="Tw Cen MT" w:cs="Twentieth Century"/>
          <w:sz w:val="24"/>
          <w:szCs w:val="24"/>
        </w:rPr>
        <w:t>dimana</w:t>
      </w:r>
      <w:proofErr w:type="spellEnd"/>
      <w:r>
        <w:rPr>
          <w:rFonts w:ascii="Tw Cen MT" w:eastAsia="Twentieth Century" w:hAnsi="Tw Cen MT" w:cs="Twentieth Century"/>
          <w:sz w:val="24"/>
          <w:szCs w:val="24"/>
        </w:rPr>
        <w:t xml:space="preserve"> salah </w:t>
      </w:r>
      <w:proofErr w:type="spellStart"/>
      <w:r>
        <w:rPr>
          <w:rFonts w:ascii="Tw Cen MT" w:eastAsia="Twentieth Century" w:hAnsi="Tw Cen MT" w:cs="Twentieth Century"/>
          <w:sz w:val="24"/>
          <w:szCs w:val="24"/>
        </w:rPr>
        <w:t>satu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00FD7CA4" w:rsidRPr="00FD7CA4">
        <w:rPr>
          <w:rFonts w:ascii="Tw Cen MT" w:eastAsia="Twentieth Century" w:hAnsi="Tw Cen MT" w:cs="Twentieth Century"/>
          <w:i/>
          <w:iCs/>
          <w:sz w:val="24"/>
          <w:szCs w:val="24"/>
        </w:rPr>
        <w:t>Os</w:t>
      </w:r>
      <w:proofErr w:type="spellEnd"/>
      <w:r w:rsidR="00FD7CA4" w:rsidRPr="00FD7CA4">
        <w:rPr>
          <w:rFonts w:ascii="Tw Cen MT" w:eastAsia="Twentieth Century" w:hAnsi="Tw Cen MT" w:cs="Twentieth Century"/>
          <w:i/>
          <w:iCs/>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mempunyai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persentas</w:t>
      </w:r>
      <w:proofErr w:type="spellEnd"/>
      <w:r>
        <w:rPr>
          <w:rFonts w:ascii="Tw Cen MT" w:eastAsia="Twentieth Century" w:hAnsi="Tw Cen MT" w:cs="Twentieth Century"/>
          <w:sz w:val="24"/>
          <w:szCs w:val="24"/>
        </w:rPr>
        <w:t xml:space="preserve"> 24,5% pada </w:t>
      </w:r>
      <w:proofErr w:type="spellStart"/>
      <w:r>
        <w:rPr>
          <w:rFonts w:ascii="Tw Cen MT" w:eastAsia="Twentieth Century" w:hAnsi="Tw Cen MT" w:cs="Twentieth Century"/>
          <w:sz w:val="24"/>
          <w:szCs w:val="24"/>
        </w:rPr>
        <w:t>prosedur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radiografi</w:t>
      </w:r>
      <w:proofErr w:type="spellEnd"/>
      <w:r>
        <w:rPr>
          <w:rFonts w:ascii="Tw Cen MT" w:eastAsia="Twentieth Century" w:hAnsi="Tw Cen MT" w:cs="Twentieth Century"/>
          <w:sz w:val="24"/>
          <w:szCs w:val="24"/>
        </w:rPr>
        <w:t xml:space="preserve"> digital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author":[{"dropping-particle":"","family":"Steffen","given":"A","non-dropping-particle":"","parse-names":false,"suffix":""},{"dropping-particle":"","family":"Neitzel","given":"U","non-dropping-particle":"","parse-names":false,"suffix":""},{"dropping-particle":"","family":"Förger","given":"K","non-dropping-particle":"","parse-names":false,"suffix":""},{"dropping-particle":"","family":"De","given":"Hamburg","non-dropping-particle":"","parse-names":false,"suffix":""}],"id":"ITEM-1","issued":{"date-parts":[["2006"]]},"page":"1-6","title":"Image repeat analysis for a digital radiography system Poster : Congress : Type : Topic : Authors : Physics in Radiology","type":"article-journal"},"uris":["http://www.mendeley.com/documents/?uuid=c4ab8b2e-5abc-4004-8e6e-abbde98134c7"]}],"mendeley":{"formattedCitation":"[1]","plainTextFormattedCitation":"[1]","previouslyFormattedCitation":"[1]"},"properties":{"noteIndex":0},"schema":"https://github.com/citation-style-language/schema/raw/master/csl-citation.json"}</w:instrText>
      </w:r>
      <w:r>
        <w:rPr>
          <w:rFonts w:ascii="Tw Cen MT" w:eastAsia="Twentieth Century" w:hAnsi="Tw Cen MT" w:cs="Twentieth Century"/>
          <w:sz w:val="24"/>
          <w:szCs w:val="24"/>
        </w:rPr>
        <w:fldChar w:fldCharType="separate"/>
      </w:r>
      <w:r>
        <w:rPr>
          <w:rFonts w:ascii="Tw Cen MT" w:eastAsia="Twentieth Century" w:hAnsi="Tw Cen MT" w:cs="Twentieth Century"/>
          <w:noProof/>
          <w:sz w:val="24"/>
          <w:szCs w:val="24"/>
        </w:rPr>
        <w:t>[1]</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Di Indonesia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tulang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belakang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posisi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termasuk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potensi</w:t>
      </w:r>
      <w:proofErr w:type="spellEnd"/>
      <w:r>
        <w:rPr>
          <w:rFonts w:ascii="Tw Cen MT" w:eastAsia="Twentieth Century" w:hAnsi="Tw Cen MT" w:cs="Twentieth Century"/>
          <w:sz w:val="24"/>
          <w:szCs w:val="24"/>
        </w:rPr>
        <w:t xml:space="preserve"> </w:t>
      </w:r>
      <w:r w:rsidRPr="000B6B0E">
        <w:rPr>
          <w:rFonts w:ascii="Tw Cen MT" w:eastAsia="Twentieth Century" w:hAnsi="Tw Cen MT" w:cs="Twentieth Century"/>
          <w:i/>
          <w:iCs/>
          <w:sz w:val="24"/>
          <w:szCs w:val="24"/>
        </w:rPr>
        <w:lastRenderedPageBreak/>
        <w:t>Unnecessary Exposure</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sebesar</w:t>
      </w:r>
      <w:proofErr w:type="spellEnd"/>
      <w:r>
        <w:rPr>
          <w:rFonts w:ascii="Tw Cen MT" w:eastAsia="Twentieth Century" w:hAnsi="Tw Cen MT" w:cs="Twentieth Century"/>
          <w:sz w:val="24"/>
          <w:szCs w:val="24"/>
        </w:rPr>
        <w:t xml:space="preserve"> -80 % </w:t>
      </w:r>
      <w:proofErr w:type="spellStart"/>
      <w:r>
        <w:rPr>
          <w:rFonts w:ascii="Tw Cen MT" w:eastAsia="Twentieth Century" w:hAnsi="Tw Cen MT" w:cs="Twentieth Century"/>
          <w:sz w:val="24"/>
          <w:szCs w:val="24"/>
        </w:rPr>
        <w:t>hal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menunjukkan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bahwa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sebagian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besar</w:t>
      </w:r>
      <w:proofErr w:type="spellEnd"/>
      <w:r>
        <w:rPr>
          <w:rFonts w:ascii="Tw Cen MT" w:eastAsia="Twentieth Century" w:hAnsi="Tw Cen MT" w:cs="Twentieth Century"/>
          <w:sz w:val="24"/>
          <w:szCs w:val="24"/>
        </w:rPr>
        <w:t xml:space="preserve"> (di </w:t>
      </w:r>
      <w:proofErr w:type="spellStart"/>
      <w:r>
        <w:rPr>
          <w:rFonts w:ascii="Tw Cen MT" w:eastAsia="Twentieth Century" w:hAnsi="Tw Cen MT" w:cs="Twentieth Century"/>
          <w:sz w:val="24"/>
          <w:szCs w:val="24"/>
        </w:rPr>
        <w:t>atas</w:t>
      </w:r>
      <w:proofErr w:type="spellEnd"/>
      <w:r>
        <w:rPr>
          <w:rFonts w:ascii="Tw Cen MT" w:eastAsia="Twentieth Century" w:hAnsi="Tw Cen MT" w:cs="Twentieth Century"/>
          <w:sz w:val="24"/>
          <w:szCs w:val="24"/>
        </w:rPr>
        <w:t xml:space="preserve"> 50%)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dosis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tiap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jenis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berada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melebihi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toleransi</w:t>
      </w:r>
      <w:proofErr w:type="spellEnd"/>
      <w:r>
        <w:rPr>
          <w:rFonts w:ascii="Tw Cen MT" w:eastAsia="Twentieth Century" w:hAnsi="Tw Cen MT" w:cs="Twentieth Century"/>
          <w:sz w:val="24"/>
          <w:szCs w:val="24"/>
        </w:rPr>
        <w:t xml:space="preserve"> ±20%, yang </w:t>
      </w:r>
      <w:r w:rsidR="00F2206C">
        <w:rPr>
          <w:rFonts w:ascii="Perpetua" w:hAnsi="Perpetua"/>
          <w:noProof/>
        </w:rPr>
        <mc:AlternateContent>
          <mc:Choice Requires="wps">
            <w:drawing>
              <wp:anchor distT="45720" distB="45720" distL="114300" distR="114300" simplePos="0" relativeHeight="6" behindDoc="0" locked="0" layoutInCell="1" allowOverlap="1" wp14:anchorId="4ED3B0B1" wp14:editId="5DA06398">
                <wp:simplePos x="0" y="0"/>
                <wp:positionH relativeFrom="column">
                  <wp:posOffset>3242310</wp:posOffset>
                </wp:positionH>
                <wp:positionV relativeFrom="paragraph">
                  <wp:posOffset>1457325</wp:posOffset>
                </wp:positionV>
                <wp:extent cx="2733040" cy="3057525"/>
                <wp:effectExtent l="0" t="0" r="0" b="9525"/>
                <wp:wrapSquare wrapText="bothSides"/>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040" cy="3057525"/>
                        </a:xfrm>
                        <a:prstGeom prst="rect">
                          <a:avLst/>
                        </a:prstGeom>
                        <a:solidFill>
                          <a:srgbClr val="FFFFFF"/>
                        </a:solidFill>
                        <a:ln>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1710"/>
                            </w:tblGrid>
                            <w:tr w:rsidR="007E6AEC" w14:paraId="5C25C4FB" w14:textId="77777777">
                              <w:trPr>
                                <w:jc w:val="center"/>
                              </w:trPr>
                              <w:tc>
                                <w:tcPr>
                                  <w:tcW w:w="1647" w:type="dxa"/>
                                  <w:vAlign w:val="center"/>
                                </w:tcPr>
                                <w:p w14:paraId="20AECA05"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04CB1E66" wp14:editId="7F59E513">
                                        <wp:extent cx="941182" cy="1080000"/>
                                        <wp:effectExtent l="0" t="0" r="0" b="6350"/>
                                        <wp:docPr id="15242516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srcRect/>
                                                <a:stretch/>
                                              </pic:blipFill>
                                              <pic:spPr>
                                                <a:xfrm>
                                                  <a:off x="0" y="0"/>
                                                  <a:ext cx="941182" cy="1080000"/>
                                                </a:xfrm>
                                                <a:prstGeom prst="rect">
                                                  <a:avLst/>
                                                </a:prstGeom>
                                                <a:ln>
                                                  <a:noFill/>
                                                </a:ln>
                                              </pic:spPr>
                                            </pic:pic>
                                          </a:graphicData>
                                        </a:graphic>
                                      </wp:inline>
                                    </w:drawing>
                                  </w:r>
                                </w:p>
                              </w:tc>
                              <w:tc>
                                <w:tcPr>
                                  <w:tcW w:w="1648" w:type="dxa"/>
                                  <w:vAlign w:val="center"/>
                                </w:tcPr>
                                <w:p w14:paraId="6C88EE2A"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36B608AF" wp14:editId="0077E1F1">
                                        <wp:extent cx="1080000" cy="1080000"/>
                                        <wp:effectExtent l="0" t="0" r="6350" b="6350"/>
                                        <wp:docPr id="10632517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8" cstate="print"/>
                                                <a:srcRect l="23347" t="10746" r="36349"/>
                                                <a:stretch/>
                                              </pic:blipFill>
                                              <pic:spPr>
                                                <a:xfrm rot="16200000">
                                                  <a:off x="0" y="0"/>
                                                  <a:ext cx="1080000" cy="1080000"/>
                                                </a:xfrm>
                                                <a:prstGeom prst="rect">
                                                  <a:avLst/>
                                                </a:prstGeom>
                                                <a:ln>
                                                  <a:noFill/>
                                                </a:ln>
                                              </pic:spPr>
                                            </pic:pic>
                                          </a:graphicData>
                                        </a:graphic>
                                      </wp:inline>
                                    </w:drawing>
                                  </w:r>
                                </w:p>
                              </w:tc>
                            </w:tr>
                            <w:tr w:rsidR="007E6AEC" w14:paraId="15DFC038" w14:textId="77777777">
                              <w:trPr>
                                <w:jc w:val="center"/>
                              </w:trPr>
                              <w:tc>
                                <w:tcPr>
                                  <w:tcW w:w="1647" w:type="dxa"/>
                                  <w:vAlign w:val="center"/>
                                </w:tcPr>
                                <w:p w14:paraId="3002B79D" w14:textId="77777777" w:rsidR="007E6AEC" w:rsidRDefault="00000000">
                                  <w:pPr>
                                    <w:ind w:right="114"/>
                                    <w:jc w:val="center"/>
                                    <w:rPr>
                                      <w:rFonts w:ascii="Tw Cen MT" w:hAnsi="Tw Cen MT"/>
                                      <w:sz w:val="20"/>
                                      <w:szCs w:val="20"/>
                                    </w:rPr>
                                  </w:pPr>
                                  <w:r>
                                    <w:rPr>
                                      <w:rFonts w:ascii="Tw Cen MT" w:hAnsi="Tw Cen MT"/>
                                      <w:sz w:val="20"/>
                                      <w:szCs w:val="20"/>
                                    </w:rPr>
                                    <w:t>(a)</w:t>
                                  </w:r>
                                </w:p>
                              </w:tc>
                              <w:tc>
                                <w:tcPr>
                                  <w:tcW w:w="1648" w:type="dxa"/>
                                  <w:vAlign w:val="center"/>
                                </w:tcPr>
                                <w:p w14:paraId="734AC11F" w14:textId="77777777" w:rsidR="007E6AEC" w:rsidRDefault="00000000">
                                  <w:pPr>
                                    <w:ind w:right="114"/>
                                    <w:jc w:val="center"/>
                                    <w:rPr>
                                      <w:rFonts w:ascii="Tw Cen MT" w:hAnsi="Tw Cen MT"/>
                                      <w:sz w:val="20"/>
                                      <w:szCs w:val="20"/>
                                    </w:rPr>
                                  </w:pPr>
                                  <w:r>
                                    <w:rPr>
                                      <w:rFonts w:ascii="Tw Cen MT" w:hAnsi="Tw Cen MT"/>
                                      <w:sz w:val="20"/>
                                      <w:szCs w:val="20"/>
                                    </w:rPr>
                                    <w:t>(b)</w:t>
                                  </w:r>
                                </w:p>
                              </w:tc>
                            </w:tr>
                            <w:tr w:rsidR="007E6AEC" w14:paraId="7AE303BB" w14:textId="77777777">
                              <w:trPr>
                                <w:jc w:val="center"/>
                              </w:trPr>
                              <w:tc>
                                <w:tcPr>
                                  <w:tcW w:w="1647" w:type="dxa"/>
                                  <w:vAlign w:val="center"/>
                                </w:tcPr>
                                <w:p w14:paraId="43DDE4DB"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12238F27" wp14:editId="79379246">
                                        <wp:extent cx="1080000" cy="1080000"/>
                                        <wp:effectExtent l="0" t="0" r="6350" b="6350"/>
                                        <wp:docPr id="106050338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6"/>
                                                <pic:cNvPicPr/>
                                              </pic:nvPicPr>
                                              <pic:blipFill>
                                                <a:blip r:embed="rId19" cstate="print"/>
                                                <a:srcRect t="23957" b="19644"/>
                                                <a:stretch/>
                                              </pic:blipFill>
                                              <pic:spPr>
                                                <a:xfrm>
                                                  <a:off x="0" y="0"/>
                                                  <a:ext cx="1080000" cy="1080000"/>
                                                </a:xfrm>
                                                <a:prstGeom prst="rect">
                                                  <a:avLst/>
                                                </a:prstGeom>
                                                <a:ln>
                                                  <a:noFill/>
                                                </a:ln>
                                              </pic:spPr>
                                            </pic:pic>
                                          </a:graphicData>
                                        </a:graphic>
                                      </wp:inline>
                                    </w:drawing>
                                  </w:r>
                                </w:p>
                              </w:tc>
                              <w:tc>
                                <w:tcPr>
                                  <w:tcW w:w="1648" w:type="dxa"/>
                                  <w:vAlign w:val="center"/>
                                </w:tcPr>
                                <w:p w14:paraId="32A18E76" w14:textId="77777777" w:rsidR="007E6AEC" w:rsidRDefault="00000000">
                                  <w:pPr>
                                    <w:ind w:right="59"/>
                                    <w:jc w:val="center"/>
                                    <w:rPr>
                                      <w:rFonts w:ascii="Tw Cen MT" w:hAnsi="Tw Cen MT"/>
                                      <w:sz w:val="20"/>
                                      <w:szCs w:val="20"/>
                                    </w:rPr>
                                  </w:pPr>
                                  <w:r>
                                    <w:rPr>
                                      <w:rFonts w:ascii="Tw Cen MT" w:hAnsi="Tw Cen MT"/>
                                      <w:noProof/>
                                      <w:sz w:val="20"/>
                                      <w:szCs w:val="20"/>
                                    </w:rPr>
                                    <w:drawing>
                                      <wp:inline distT="0" distB="0" distL="0" distR="0" wp14:anchorId="63F37B3B" wp14:editId="0ECB68F8">
                                        <wp:extent cx="885064" cy="1080000"/>
                                        <wp:effectExtent l="0" t="0" r="0" b="6350"/>
                                        <wp:docPr id="125588129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7"/>
                                                <pic:cNvPicPr/>
                                              </pic:nvPicPr>
                                              <pic:blipFill>
                                                <a:blip r:embed="rId20" cstate="print"/>
                                                <a:srcRect/>
                                                <a:stretch/>
                                              </pic:blipFill>
                                              <pic:spPr>
                                                <a:xfrm>
                                                  <a:off x="0" y="0"/>
                                                  <a:ext cx="885064" cy="1080000"/>
                                                </a:xfrm>
                                                <a:prstGeom prst="rect">
                                                  <a:avLst/>
                                                </a:prstGeom>
                                              </pic:spPr>
                                            </pic:pic>
                                          </a:graphicData>
                                        </a:graphic>
                                      </wp:inline>
                                    </w:drawing>
                                  </w:r>
                                </w:p>
                              </w:tc>
                            </w:tr>
                            <w:tr w:rsidR="007E6AEC" w14:paraId="547E33F4" w14:textId="77777777">
                              <w:trPr>
                                <w:jc w:val="center"/>
                              </w:trPr>
                              <w:tc>
                                <w:tcPr>
                                  <w:tcW w:w="1647" w:type="dxa"/>
                                  <w:vAlign w:val="center"/>
                                </w:tcPr>
                                <w:p w14:paraId="721305FB" w14:textId="77777777" w:rsidR="007E6AEC" w:rsidRDefault="00000000">
                                  <w:pPr>
                                    <w:ind w:right="114"/>
                                    <w:jc w:val="center"/>
                                    <w:rPr>
                                      <w:rFonts w:ascii="Tw Cen MT" w:hAnsi="Tw Cen MT"/>
                                      <w:sz w:val="20"/>
                                      <w:szCs w:val="20"/>
                                    </w:rPr>
                                  </w:pPr>
                                  <w:r>
                                    <w:rPr>
                                      <w:rFonts w:ascii="Tw Cen MT" w:hAnsi="Tw Cen MT"/>
                                      <w:sz w:val="20"/>
                                      <w:szCs w:val="20"/>
                                    </w:rPr>
                                    <w:t>(c)</w:t>
                                  </w:r>
                                </w:p>
                              </w:tc>
                              <w:tc>
                                <w:tcPr>
                                  <w:tcW w:w="1648" w:type="dxa"/>
                                  <w:vAlign w:val="center"/>
                                </w:tcPr>
                                <w:p w14:paraId="5ED9617F" w14:textId="77777777" w:rsidR="007E6AEC" w:rsidRDefault="00000000">
                                  <w:pPr>
                                    <w:ind w:right="114"/>
                                    <w:jc w:val="center"/>
                                    <w:rPr>
                                      <w:rFonts w:ascii="Tw Cen MT" w:hAnsi="Tw Cen MT"/>
                                      <w:sz w:val="20"/>
                                      <w:szCs w:val="20"/>
                                    </w:rPr>
                                  </w:pPr>
                                  <w:r>
                                    <w:rPr>
                                      <w:rFonts w:ascii="Tw Cen MT" w:hAnsi="Tw Cen MT"/>
                                      <w:sz w:val="20"/>
                                      <w:szCs w:val="20"/>
                                    </w:rPr>
                                    <w:t>(d)</w:t>
                                  </w:r>
                                </w:p>
                              </w:tc>
                            </w:tr>
                          </w:tbl>
                          <w:p w14:paraId="089C0A49" w14:textId="77777777" w:rsidR="007E6AEC" w:rsidRDefault="00000000">
                            <w:pPr>
                              <w:ind w:right="114"/>
                              <w:jc w:val="center"/>
                              <w:rPr>
                                <w:rFonts w:ascii="Tw Cen MT" w:hAnsi="Tw Cen MT"/>
                                <w:sz w:val="20"/>
                                <w:szCs w:val="20"/>
                              </w:rPr>
                            </w:pPr>
                            <w:r>
                              <w:rPr>
                                <w:rFonts w:ascii="Tw Cen MT" w:hAnsi="Tw Cen MT"/>
                                <w:sz w:val="20"/>
                                <w:szCs w:val="20"/>
                              </w:rPr>
                              <w:t xml:space="preserve">Gambar 1. Alat dan Bahan: (a) Pesawat sinar-X, (b) </w:t>
                            </w:r>
                            <w:r w:rsidRPr="00C063BE">
                              <w:rPr>
                                <w:rFonts w:ascii="Tw Cen MT" w:hAnsi="Tw Cen MT"/>
                                <w:i/>
                                <w:iCs/>
                                <w:sz w:val="20"/>
                                <w:szCs w:val="20"/>
                              </w:rPr>
                              <w:t>Phantom Anthromorphic</w:t>
                            </w:r>
                            <w:r>
                              <w:rPr>
                                <w:rFonts w:ascii="Tw Cen MT" w:hAnsi="Tw Cen MT"/>
                                <w:sz w:val="20"/>
                                <w:szCs w:val="20"/>
                              </w:rPr>
                              <w:t xml:space="preserve">, (c) </w:t>
                            </w:r>
                            <w:r w:rsidRPr="00C063BE">
                              <w:rPr>
                                <w:rFonts w:ascii="Tw Cen MT" w:hAnsi="Tw Cen MT"/>
                                <w:i/>
                                <w:iCs/>
                                <w:sz w:val="20"/>
                                <w:szCs w:val="20"/>
                              </w:rPr>
                              <w:t>Workstation</w:t>
                            </w:r>
                            <w:r>
                              <w:rPr>
                                <w:rFonts w:ascii="Tw Cen MT" w:hAnsi="Tw Cen MT"/>
                                <w:sz w:val="20"/>
                                <w:szCs w:val="20"/>
                              </w:rPr>
                              <w:t xml:space="preserve"> dan (d) Detector</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3B0B1" id="Text Box 2" o:spid="_x0000_s1027" style="position:absolute;left:0;text-align:left;margin-left:255.3pt;margin-top:114.75pt;width:215.2pt;height:240.75pt;z-index: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" stroked="f">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1710"/>
                      </w:tblGrid>
                      <w:tr w:rsidR="007E6AEC" w14:paraId="5C25C4FB" w14:textId="77777777">
                        <w:trPr>
                          <w:jc w:val="center"/>
                        </w:trPr>
                        <w:tc>
                          <w:tcPr>
                            <w:tcW w:w="1647" w:type="dxa"/>
                            <w:vAlign w:val="center"/>
                          </w:tcPr>
                          <w:p w14:paraId="20AECA05"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04CB1E66" wp14:editId="7F59E513">
                                  <wp:extent cx="941182" cy="1080000"/>
                                  <wp:effectExtent l="0" t="0" r="0" b="6350"/>
                                  <wp:docPr id="15242516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srcRect/>
                                          <a:stretch/>
                                        </pic:blipFill>
                                        <pic:spPr>
                                          <a:xfrm>
                                            <a:off x="0" y="0"/>
                                            <a:ext cx="941182" cy="1080000"/>
                                          </a:xfrm>
                                          <a:prstGeom prst="rect">
                                            <a:avLst/>
                                          </a:prstGeom>
                                          <a:ln>
                                            <a:noFill/>
                                          </a:ln>
                                        </pic:spPr>
                                      </pic:pic>
                                    </a:graphicData>
                                  </a:graphic>
                                </wp:inline>
                              </w:drawing>
                            </w:r>
                          </w:p>
                        </w:tc>
                        <w:tc>
                          <w:tcPr>
                            <w:tcW w:w="1648" w:type="dxa"/>
                            <w:vAlign w:val="center"/>
                          </w:tcPr>
                          <w:p w14:paraId="6C88EE2A"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36B608AF" wp14:editId="0077E1F1">
                                  <wp:extent cx="1080000" cy="1080000"/>
                                  <wp:effectExtent l="0" t="0" r="6350" b="6350"/>
                                  <wp:docPr id="10632517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8" cstate="print"/>
                                          <a:srcRect l="23347" t="10746" r="36349"/>
                                          <a:stretch/>
                                        </pic:blipFill>
                                        <pic:spPr>
                                          <a:xfrm rot="16200000">
                                            <a:off x="0" y="0"/>
                                            <a:ext cx="1080000" cy="1080000"/>
                                          </a:xfrm>
                                          <a:prstGeom prst="rect">
                                            <a:avLst/>
                                          </a:prstGeom>
                                          <a:ln>
                                            <a:noFill/>
                                          </a:ln>
                                        </pic:spPr>
                                      </pic:pic>
                                    </a:graphicData>
                                  </a:graphic>
                                </wp:inline>
                              </w:drawing>
                            </w:r>
                          </w:p>
                        </w:tc>
                      </w:tr>
                      <w:tr w:rsidR="007E6AEC" w14:paraId="15DFC038" w14:textId="77777777">
                        <w:trPr>
                          <w:jc w:val="center"/>
                        </w:trPr>
                        <w:tc>
                          <w:tcPr>
                            <w:tcW w:w="1647" w:type="dxa"/>
                            <w:vAlign w:val="center"/>
                          </w:tcPr>
                          <w:p w14:paraId="3002B79D" w14:textId="77777777" w:rsidR="007E6AEC" w:rsidRDefault="00000000">
                            <w:pPr>
                              <w:ind w:right="114"/>
                              <w:jc w:val="center"/>
                              <w:rPr>
                                <w:rFonts w:ascii="Tw Cen MT" w:hAnsi="Tw Cen MT"/>
                                <w:sz w:val="20"/>
                                <w:szCs w:val="20"/>
                              </w:rPr>
                            </w:pPr>
                            <w:r>
                              <w:rPr>
                                <w:rFonts w:ascii="Tw Cen MT" w:hAnsi="Tw Cen MT"/>
                                <w:sz w:val="20"/>
                                <w:szCs w:val="20"/>
                              </w:rPr>
                              <w:t>(a)</w:t>
                            </w:r>
                          </w:p>
                        </w:tc>
                        <w:tc>
                          <w:tcPr>
                            <w:tcW w:w="1648" w:type="dxa"/>
                            <w:vAlign w:val="center"/>
                          </w:tcPr>
                          <w:p w14:paraId="734AC11F" w14:textId="77777777" w:rsidR="007E6AEC" w:rsidRDefault="00000000">
                            <w:pPr>
                              <w:ind w:right="114"/>
                              <w:jc w:val="center"/>
                              <w:rPr>
                                <w:rFonts w:ascii="Tw Cen MT" w:hAnsi="Tw Cen MT"/>
                                <w:sz w:val="20"/>
                                <w:szCs w:val="20"/>
                              </w:rPr>
                            </w:pPr>
                            <w:r>
                              <w:rPr>
                                <w:rFonts w:ascii="Tw Cen MT" w:hAnsi="Tw Cen MT"/>
                                <w:sz w:val="20"/>
                                <w:szCs w:val="20"/>
                              </w:rPr>
                              <w:t>(b)</w:t>
                            </w:r>
                          </w:p>
                        </w:tc>
                      </w:tr>
                      <w:tr w:rsidR="007E6AEC" w14:paraId="7AE303BB" w14:textId="77777777">
                        <w:trPr>
                          <w:jc w:val="center"/>
                        </w:trPr>
                        <w:tc>
                          <w:tcPr>
                            <w:tcW w:w="1647" w:type="dxa"/>
                            <w:vAlign w:val="center"/>
                          </w:tcPr>
                          <w:p w14:paraId="43DDE4DB" w14:textId="77777777" w:rsidR="007E6AEC" w:rsidRDefault="00000000">
                            <w:pPr>
                              <w:jc w:val="center"/>
                              <w:rPr>
                                <w:rFonts w:ascii="Tw Cen MT" w:hAnsi="Tw Cen MT"/>
                                <w:sz w:val="20"/>
                                <w:szCs w:val="20"/>
                              </w:rPr>
                            </w:pPr>
                            <w:r>
                              <w:rPr>
                                <w:rFonts w:ascii="Tw Cen MT" w:hAnsi="Tw Cen MT"/>
                                <w:noProof/>
                                <w:sz w:val="20"/>
                                <w:szCs w:val="20"/>
                              </w:rPr>
                              <w:drawing>
                                <wp:inline distT="0" distB="0" distL="0" distR="0" wp14:anchorId="12238F27" wp14:editId="79379246">
                                  <wp:extent cx="1080000" cy="1080000"/>
                                  <wp:effectExtent l="0" t="0" r="6350" b="6350"/>
                                  <wp:docPr id="106050338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6"/>
                                          <pic:cNvPicPr/>
                                        </pic:nvPicPr>
                                        <pic:blipFill>
                                          <a:blip r:embed="rId19" cstate="print"/>
                                          <a:srcRect t="23957" b="19644"/>
                                          <a:stretch/>
                                        </pic:blipFill>
                                        <pic:spPr>
                                          <a:xfrm>
                                            <a:off x="0" y="0"/>
                                            <a:ext cx="1080000" cy="1080000"/>
                                          </a:xfrm>
                                          <a:prstGeom prst="rect">
                                            <a:avLst/>
                                          </a:prstGeom>
                                          <a:ln>
                                            <a:noFill/>
                                          </a:ln>
                                        </pic:spPr>
                                      </pic:pic>
                                    </a:graphicData>
                                  </a:graphic>
                                </wp:inline>
                              </w:drawing>
                            </w:r>
                          </w:p>
                        </w:tc>
                        <w:tc>
                          <w:tcPr>
                            <w:tcW w:w="1648" w:type="dxa"/>
                            <w:vAlign w:val="center"/>
                          </w:tcPr>
                          <w:p w14:paraId="32A18E76" w14:textId="77777777" w:rsidR="007E6AEC" w:rsidRDefault="00000000">
                            <w:pPr>
                              <w:ind w:right="59"/>
                              <w:jc w:val="center"/>
                              <w:rPr>
                                <w:rFonts w:ascii="Tw Cen MT" w:hAnsi="Tw Cen MT"/>
                                <w:sz w:val="20"/>
                                <w:szCs w:val="20"/>
                              </w:rPr>
                            </w:pPr>
                            <w:r>
                              <w:rPr>
                                <w:rFonts w:ascii="Tw Cen MT" w:hAnsi="Tw Cen MT"/>
                                <w:noProof/>
                                <w:sz w:val="20"/>
                                <w:szCs w:val="20"/>
                              </w:rPr>
                              <w:drawing>
                                <wp:inline distT="0" distB="0" distL="0" distR="0" wp14:anchorId="63F37B3B" wp14:editId="0ECB68F8">
                                  <wp:extent cx="885064" cy="1080000"/>
                                  <wp:effectExtent l="0" t="0" r="0" b="6350"/>
                                  <wp:docPr id="125588129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7"/>
                                          <pic:cNvPicPr/>
                                        </pic:nvPicPr>
                                        <pic:blipFill>
                                          <a:blip r:embed="rId20" cstate="print"/>
                                          <a:srcRect/>
                                          <a:stretch/>
                                        </pic:blipFill>
                                        <pic:spPr>
                                          <a:xfrm>
                                            <a:off x="0" y="0"/>
                                            <a:ext cx="885064" cy="1080000"/>
                                          </a:xfrm>
                                          <a:prstGeom prst="rect">
                                            <a:avLst/>
                                          </a:prstGeom>
                                        </pic:spPr>
                                      </pic:pic>
                                    </a:graphicData>
                                  </a:graphic>
                                </wp:inline>
                              </w:drawing>
                            </w:r>
                          </w:p>
                        </w:tc>
                      </w:tr>
                      <w:tr w:rsidR="007E6AEC" w14:paraId="547E33F4" w14:textId="77777777">
                        <w:trPr>
                          <w:jc w:val="center"/>
                        </w:trPr>
                        <w:tc>
                          <w:tcPr>
                            <w:tcW w:w="1647" w:type="dxa"/>
                            <w:vAlign w:val="center"/>
                          </w:tcPr>
                          <w:p w14:paraId="721305FB" w14:textId="77777777" w:rsidR="007E6AEC" w:rsidRDefault="00000000">
                            <w:pPr>
                              <w:ind w:right="114"/>
                              <w:jc w:val="center"/>
                              <w:rPr>
                                <w:rFonts w:ascii="Tw Cen MT" w:hAnsi="Tw Cen MT"/>
                                <w:sz w:val="20"/>
                                <w:szCs w:val="20"/>
                              </w:rPr>
                            </w:pPr>
                            <w:r>
                              <w:rPr>
                                <w:rFonts w:ascii="Tw Cen MT" w:hAnsi="Tw Cen MT"/>
                                <w:sz w:val="20"/>
                                <w:szCs w:val="20"/>
                              </w:rPr>
                              <w:t>(c)</w:t>
                            </w:r>
                          </w:p>
                        </w:tc>
                        <w:tc>
                          <w:tcPr>
                            <w:tcW w:w="1648" w:type="dxa"/>
                            <w:vAlign w:val="center"/>
                          </w:tcPr>
                          <w:p w14:paraId="5ED9617F" w14:textId="77777777" w:rsidR="007E6AEC" w:rsidRDefault="00000000">
                            <w:pPr>
                              <w:ind w:right="114"/>
                              <w:jc w:val="center"/>
                              <w:rPr>
                                <w:rFonts w:ascii="Tw Cen MT" w:hAnsi="Tw Cen MT"/>
                                <w:sz w:val="20"/>
                                <w:szCs w:val="20"/>
                              </w:rPr>
                            </w:pPr>
                            <w:r>
                              <w:rPr>
                                <w:rFonts w:ascii="Tw Cen MT" w:hAnsi="Tw Cen MT"/>
                                <w:sz w:val="20"/>
                                <w:szCs w:val="20"/>
                              </w:rPr>
                              <w:t>(d)</w:t>
                            </w:r>
                          </w:p>
                        </w:tc>
                      </w:tr>
                    </w:tbl>
                    <w:p w14:paraId="089C0A49" w14:textId="77777777" w:rsidR="007E6AEC" w:rsidRDefault="00000000">
                      <w:pPr>
                        <w:ind w:right="114"/>
                        <w:jc w:val="center"/>
                        <w:rPr>
                          <w:rFonts w:ascii="Tw Cen MT" w:hAnsi="Tw Cen MT"/>
                          <w:sz w:val="20"/>
                          <w:szCs w:val="20"/>
                        </w:rPr>
                      </w:pPr>
                      <w:r>
                        <w:rPr>
                          <w:rFonts w:ascii="Tw Cen MT" w:hAnsi="Tw Cen MT"/>
                          <w:sz w:val="20"/>
                          <w:szCs w:val="20"/>
                        </w:rPr>
                        <w:t xml:space="preserve">Gambar 1. Alat dan Bahan: (a) Pesawat sinar-X, (b) </w:t>
                      </w:r>
                      <w:r w:rsidRPr="00C063BE">
                        <w:rPr>
                          <w:rFonts w:ascii="Tw Cen MT" w:hAnsi="Tw Cen MT"/>
                          <w:i/>
                          <w:iCs/>
                          <w:sz w:val="20"/>
                          <w:szCs w:val="20"/>
                        </w:rPr>
                        <w:t>Phantom Anthromorphic</w:t>
                      </w:r>
                      <w:r>
                        <w:rPr>
                          <w:rFonts w:ascii="Tw Cen MT" w:hAnsi="Tw Cen MT"/>
                          <w:sz w:val="20"/>
                          <w:szCs w:val="20"/>
                        </w:rPr>
                        <w:t xml:space="preserve">, (c) </w:t>
                      </w:r>
                      <w:r w:rsidRPr="00C063BE">
                        <w:rPr>
                          <w:rFonts w:ascii="Tw Cen MT" w:hAnsi="Tw Cen MT"/>
                          <w:i/>
                          <w:iCs/>
                          <w:sz w:val="20"/>
                          <w:szCs w:val="20"/>
                        </w:rPr>
                        <w:t>Workstation</w:t>
                      </w:r>
                      <w:r>
                        <w:rPr>
                          <w:rFonts w:ascii="Tw Cen MT" w:hAnsi="Tw Cen MT"/>
                          <w:sz w:val="20"/>
                          <w:szCs w:val="20"/>
                        </w:rPr>
                        <w:t xml:space="preserve"> dan (d) Detector</w:t>
                      </w:r>
                    </w:p>
                  </w:txbxContent>
                </v:textbox>
                <w10:wrap type="square"/>
              </v:rect>
            </w:pict>
          </mc:Fallback>
        </mc:AlternateContent>
      </w:r>
      <w:proofErr w:type="spellStart"/>
      <w:r>
        <w:rPr>
          <w:rFonts w:ascii="Tw Cen MT" w:eastAsia="Twentieth Century" w:hAnsi="Tw Cen MT" w:cs="Twentieth Century"/>
          <w:sz w:val="24"/>
          <w:szCs w:val="24"/>
        </w:rPr>
        <w:t>disebabkan</w:t>
      </w:r>
      <w:proofErr w:type="spellEnd"/>
      <w:r>
        <w:rPr>
          <w:rFonts w:ascii="Tw Cen MT" w:eastAsia="Twentieth Century" w:hAnsi="Tw Cen MT" w:cs="Twentieth Century"/>
          <w:sz w:val="24"/>
          <w:szCs w:val="24"/>
        </w:rPr>
        <w:t xml:space="preserve"> salah </w:t>
      </w:r>
      <w:proofErr w:type="spellStart"/>
      <w:r>
        <w:rPr>
          <w:rFonts w:ascii="Tw Cen MT" w:eastAsia="Twentieth Century" w:hAnsi="Tw Cen MT" w:cs="Twentieth Century"/>
          <w:sz w:val="24"/>
          <w:szCs w:val="24"/>
        </w:rPr>
        <w:t>satunya</w:t>
      </w:r>
      <w:proofErr w:type="spellEnd"/>
      <w:r>
        <w:rPr>
          <w:rFonts w:ascii="Tw Cen MT" w:eastAsia="Twentieth Century" w:hAnsi="Tw Cen MT" w:cs="Twentieth Century"/>
          <w:sz w:val="24"/>
          <w:szCs w:val="24"/>
        </w:rPr>
        <w:t xml:space="preserve"> oleh </w:t>
      </w:r>
      <w:proofErr w:type="spellStart"/>
      <w:r>
        <w:rPr>
          <w:rFonts w:ascii="Tw Cen MT" w:eastAsia="Twentieth Century" w:hAnsi="Tw Cen MT" w:cs="Twentieth Century"/>
          <w:sz w:val="24"/>
          <w:szCs w:val="24"/>
        </w:rPr>
        <w:t>faktor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eksposi</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berlebih</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Kesalahan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menetapkan</w:t>
      </w:r>
      <w:proofErr w:type="spellEnd"/>
      <w:r>
        <w:rPr>
          <w:rFonts w:ascii="Tw Cen MT" w:eastAsia="Twentieth Century" w:hAnsi="Tw Cen MT" w:cs="Twentieth Century"/>
          <w:sz w:val="24"/>
          <w:szCs w:val="24"/>
        </w:rPr>
        <w:t xml:space="preserve"> target/</w:t>
      </w:r>
      <w:proofErr w:type="spellStart"/>
      <w:r>
        <w:rPr>
          <w:rFonts w:ascii="Tw Cen MT" w:eastAsia="Twentieth Century" w:hAnsi="Tw Cen MT" w:cs="Twentieth Century"/>
          <w:sz w:val="24"/>
          <w:szCs w:val="24"/>
        </w:rPr>
        <w:t>lokasi</w:t>
      </w:r>
      <w:proofErr w:type="spellEnd"/>
      <w:r>
        <w:rPr>
          <w:rFonts w:ascii="Tw Cen MT" w:eastAsia="Twentieth Century" w:hAnsi="Tw Cen MT" w:cs="Twentieth Century"/>
          <w:sz w:val="24"/>
          <w:szCs w:val="24"/>
        </w:rPr>
        <w:t>/</w:t>
      </w:r>
      <w:proofErr w:type="spellStart"/>
      <w:r>
        <w:rPr>
          <w:rFonts w:ascii="Tw Cen MT" w:eastAsia="Twentieth Century" w:hAnsi="Tw Cen MT" w:cs="Twentieth Century"/>
          <w:sz w:val="24"/>
          <w:szCs w:val="24"/>
        </w:rPr>
        <w:t>posisi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penyinaran</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DOI":"10.53862/jupeten.v4i2.011","author":[{"dropping-particle":"","family":"Kunarsih","given":"Endang","non-dropping-particle":"","parse-names":false,"suffix":""},{"dropping-particle":"","family":"Bagus","given":"Ida","non-dropping-particle":"","parse-names":false,"suffix":""},{"dropping-particle":"","family":"Putra","given":"Gede","non-dropping-particle":"","parse-names":false,"suffix":""}],"id":"ITEM-1","issue":"2","issued":{"date-parts":[["2024"]]},"page":"73-80","title":"Jurnal Pengawasan Tenaga Nuklir Pemetaan Profil Potensi Unnecessary Exposure pada Pasien CT-Scan dan Radiografi Umum di Indonesia","type":"article-journal","volume":"4"},"uris":["http://www.mendeley.com/documents/?uuid=2ae0f139-0ad9-40ba-903e-1138de06d1fe"]}],"mendeley":{"formattedCitation":"[2]","plainTextFormattedCitation":"[2]","previouslyFormattedCitation":"[2]"},"properties":{"noteIndex":0},"schema":"https://github.com/citation-style-language/schema/raw/master/csl-citation.json"}</w:instrText>
      </w:r>
      <w:r>
        <w:rPr>
          <w:rFonts w:ascii="Tw Cen MT" w:eastAsia="Twentieth Century" w:hAnsi="Tw Cen MT" w:cs="Twentieth Century"/>
          <w:sz w:val="24"/>
          <w:szCs w:val="24"/>
        </w:rPr>
        <w:fldChar w:fldCharType="separate"/>
      </w:r>
      <w:r>
        <w:rPr>
          <w:rFonts w:ascii="Tw Cen MT" w:eastAsia="Twentieth Century" w:hAnsi="Tw Cen MT" w:cs="Twentieth Century"/>
          <w:noProof/>
          <w:sz w:val="24"/>
          <w:szCs w:val="24"/>
        </w:rPr>
        <w:t>[2]</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
    <w:p w14:paraId="6543428C" w14:textId="7A614194" w:rsidR="007E6AEC" w:rsidRDefault="00000000">
      <w:pPr>
        <w:spacing w:after="0" w:line="240" w:lineRule="auto"/>
        <w:jc w:val="both"/>
        <w:rPr>
          <w:rFonts w:ascii="Tw Cen MT" w:eastAsia="Twentieth Century" w:hAnsi="Tw Cen MT" w:cs="Twentieth Century"/>
          <w:sz w:val="24"/>
          <w:szCs w:val="24"/>
        </w:rPr>
      </w:pP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radiografi</w:t>
      </w:r>
      <w:proofErr w:type="spellEnd"/>
      <w:r>
        <w:rPr>
          <w:rFonts w:ascii="Tw Cen MT" w:eastAsia="Twentieth Century" w:hAnsi="Tw Cen MT" w:cs="Twentieth Century"/>
          <w:sz w:val="24"/>
          <w:szCs w:val="24"/>
        </w:rPr>
        <w:t xml:space="preserve"> </w:t>
      </w:r>
      <w:proofErr w:type="spellStart"/>
      <w:r w:rsidRPr="00160EEB">
        <w:rPr>
          <w:rFonts w:ascii="Tw Cen MT" w:eastAsia="Twentieth Century" w:hAnsi="Tw Cen MT" w:cs="Twentieth Century"/>
          <w:i/>
          <w:iCs/>
          <w:sz w:val="24"/>
          <w:szCs w:val="24"/>
        </w:rPr>
        <w:t>Lumbosakral</w:t>
      </w:r>
      <w:proofErr w:type="spellEnd"/>
      <w:r w:rsidRPr="00160EEB">
        <w:rPr>
          <w:rFonts w:ascii="Tw Cen MT" w:eastAsia="Twentieth Century" w:hAnsi="Tw Cen MT" w:cs="Twentieth Century"/>
          <w:i/>
          <w:iCs/>
          <w:sz w:val="24"/>
          <w:szCs w:val="24"/>
        </w:rPr>
        <w:t xml:space="preserve"> </w:t>
      </w:r>
      <w:proofErr w:type="spellStart"/>
      <w:r>
        <w:rPr>
          <w:rFonts w:ascii="Tw Cen MT" w:eastAsia="Twentieth Century" w:hAnsi="Tw Cen MT" w:cs="Twentieth Century"/>
          <w:sz w:val="24"/>
          <w:szCs w:val="24"/>
        </w:rPr>
        <w:t>proyeksi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bagian</w:t>
      </w:r>
      <w:proofErr w:type="spellEnd"/>
      <w:r>
        <w:rPr>
          <w:rFonts w:ascii="Tw Cen MT" w:eastAsia="Twentieth Century" w:hAnsi="Tw Cen MT" w:cs="Twentieth Century"/>
          <w:sz w:val="24"/>
          <w:szCs w:val="24"/>
        </w:rPr>
        <w:t xml:space="preserve"> </w:t>
      </w:r>
      <w:r w:rsidRPr="00160EEB">
        <w:rPr>
          <w:rFonts w:ascii="Tw Cen MT" w:eastAsia="Twentieth Century" w:hAnsi="Tw Cen MT" w:cs="Twentieth Century"/>
          <w:i/>
          <w:iCs/>
          <w:sz w:val="24"/>
          <w:szCs w:val="24"/>
        </w:rPr>
        <w:t xml:space="preserve">vertebra </w:t>
      </w:r>
      <w:proofErr w:type="spellStart"/>
      <w:r w:rsidRPr="00160EEB">
        <w:rPr>
          <w:rFonts w:ascii="Tw Cen MT" w:eastAsia="Twentieth Century" w:hAnsi="Tw Cen MT" w:cs="Twentieth Century"/>
          <w:i/>
          <w:iCs/>
          <w:sz w:val="24"/>
          <w:szCs w:val="24"/>
        </w:rPr>
        <w:t>lumbalis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kelima</w:t>
      </w:r>
      <w:proofErr w:type="spellEnd"/>
      <w:r>
        <w:rPr>
          <w:rFonts w:ascii="Tw Cen MT" w:eastAsia="Twentieth Century" w:hAnsi="Tw Cen MT" w:cs="Twentieth Century"/>
          <w:sz w:val="24"/>
          <w:szCs w:val="24"/>
        </w:rPr>
        <w:t xml:space="preserve"> (L5) dan </w:t>
      </w:r>
      <w:proofErr w:type="spellStart"/>
      <w:r w:rsidR="00FD7CA4" w:rsidRPr="00FD7CA4">
        <w:rPr>
          <w:rFonts w:ascii="Tw Cen MT" w:eastAsia="Twentieth Century" w:hAnsi="Tw Cen MT" w:cs="Twentieth Century"/>
          <w:i/>
          <w:iCs/>
          <w:sz w:val="24"/>
          <w:szCs w:val="24"/>
        </w:rPr>
        <w:t>Os</w:t>
      </w:r>
      <w:proofErr w:type="spellEnd"/>
      <w:r w:rsidR="00FD7CA4" w:rsidRPr="00FD7CA4">
        <w:rPr>
          <w:rFonts w:ascii="Tw Cen MT" w:eastAsia="Twentieth Century" w:hAnsi="Tw Cen MT" w:cs="Twentieth Century"/>
          <w:i/>
          <w:iCs/>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merupakan</w:t>
      </w:r>
      <w:proofErr w:type="spellEnd"/>
      <w:r>
        <w:rPr>
          <w:rFonts w:ascii="Tw Cen MT" w:eastAsia="Twentieth Century" w:hAnsi="Tw Cen MT" w:cs="Twentieth Century"/>
          <w:sz w:val="24"/>
          <w:szCs w:val="24"/>
        </w:rPr>
        <w:t xml:space="preserve"> area yang paling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mengalami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penurunan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kontras</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disebabkan</w:t>
      </w:r>
      <w:proofErr w:type="spellEnd"/>
      <w:r>
        <w:rPr>
          <w:rFonts w:ascii="Tw Cen MT" w:eastAsia="Twentieth Century" w:hAnsi="Tw Cen MT" w:cs="Twentieth Century"/>
          <w:sz w:val="24"/>
          <w:szCs w:val="24"/>
        </w:rPr>
        <w:t xml:space="preserve"> oleh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faktor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eksposi</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ketebalan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objek</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Pr>
          <w:rFonts w:ascii="Tw Cen MT" w:eastAsia="Twentieth Century" w:hAnsi="Tw Cen MT" w:cs="Twentieth Century"/>
          <w:sz w:val="24"/>
          <w:szCs w:val="24"/>
        </w:rPr>
        <w:instrText>ADDIN CSL_CITATION {"citationItems":[{"id":"ITEM-1","itemData":{"DOI":"10.1063/1.5097487","ISBN":"9780735418240","ISSN":"15517616","abstract":"This study aims to obtain an optimum design of the aluminum filter for producing a better X-ray contrast film of the lateral projection of Lumbosacral. The additional filter thickness was in accordance with the lumbosacral vertebral density. This study was conducted using the Quantum CS 2 X-ray equipment in Room 2 of the Radio Diagnostic Unit of Margono Soekarjo Hospital (RSMS) Purwokerto with the PBU-50 Phantom object. The aluminum filter was inserted gradually from 1mm to 15mm and followed by contrast film calculation. The radiographs were processed by CR reader and imported into Weasis version 2.0.7 software for pixel value analysis. The result shows different compensation filter thicknesses in the lumbar and sacral regions to improve the image quality of the lateral projection lumbosacral vertebrae radiography. The aluminum filters for the exposure factor of 85kV and 25 mAs with a thickness of 13.3mm and 2.8mm were considered optimal for compensating for the lumbar region (L1-L4) and the sacrum area (L5-S2), respectively.","author":[{"dropping-particle":"","family":"Effendi","given":"Mukhtar","non-dropping-particle":"","parse-names":false,"suffix":""},{"dropping-particle":"","family":"Fatimah","given":"Ratna Umi","non-dropping-particle":"","parse-names":false,"suffix":""},{"dropping-particle":"","family":"Sholeh","given":"Agus","non-dropping-particle":"","parse-names":false,"suffix":""},{"dropping-particle":"","family":"Fatchurohmah","given":"Wiwiek","non-dropping-particle":"","parse-names":false,"suffix":""}],"container-title":"AIP Conference Proceedings","id":"ITEM-1","issue":"April","issued":{"date-parts":[["2019"]]},"title":"Design of the aluminum compensating filter to improve the image quality in the lateral projection of lumbosacral vertebrae","type":"article-journal","volume":"2094"},"uris":["http://www.mendeley.com/documents/?uuid=25956f8d-b268-4e5d-9544-e4b07b249b77"]}],"mendeley":{"formattedCitation":"[3]","plainTextFormattedCitation":"[3]","previouslyFormattedCitation":"[3]"},"properties":{"noteIndex":0},"schema":"https://github.com/citation-style-language/schema/raw/master/csl-citation.json"}</w:instrText>
      </w:r>
      <w:r>
        <w:rPr>
          <w:rFonts w:ascii="Tw Cen MT" w:eastAsia="Twentieth Century" w:hAnsi="Tw Cen MT" w:cs="Twentieth Century"/>
          <w:sz w:val="24"/>
          <w:szCs w:val="24"/>
        </w:rPr>
        <w:fldChar w:fldCharType="separate"/>
      </w:r>
      <w:r>
        <w:rPr>
          <w:rFonts w:ascii="Tw Cen MT" w:eastAsia="Twentieth Century" w:hAnsi="Tw Cen MT" w:cs="Twentieth Century"/>
          <w:noProof/>
          <w:sz w:val="24"/>
          <w:szCs w:val="24"/>
        </w:rPr>
        <w:t>[3]</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Selama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grid </w:t>
      </w:r>
      <w:proofErr w:type="spellStart"/>
      <w:r>
        <w:rPr>
          <w:rFonts w:ascii="Tw Cen MT" w:eastAsia="Twentieth Century" w:hAnsi="Tw Cen MT" w:cs="Twentieth Century"/>
          <w:sz w:val="24"/>
          <w:szCs w:val="24"/>
        </w:rPr>
        <w:t>fisik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mengurangi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efek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tersebut</w:t>
      </w:r>
      <w:proofErr w:type="spellEnd"/>
      <w:r>
        <w:rPr>
          <w:rFonts w:ascii="Tw Cen MT" w:eastAsia="Twentieth Century" w:hAnsi="Tw Cen MT" w:cs="Twentieth Century"/>
          <w:sz w:val="24"/>
          <w:szCs w:val="24"/>
        </w:rPr>
        <w:t xml:space="preserve">, Salah </w:t>
      </w:r>
      <w:proofErr w:type="spellStart"/>
      <w:r>
        <w:rPr>
          <w:rFonts w:ascii="Tw Cen MT" w:eastAsia="Twentieth Century" w:hAnsi="Tw Cen MT" w:cs="Twentieth Century"/>
          <w:sz w:val="24"/>
          <w:szCs w:val="24"/>
        </w:rPr>
        <w:t>satu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solusi</w:t>
      </w:r>
      <w:proofErr w:type="spellEnd"/>
      <w:r>
        <w:rPr>
          <w:rFonts w:ascii="Tw Cen MT" w:eastAsia="Twentieth Century" w:hAnsi="Tw Cen MT" w:cs="Twentieth Century"/>
          <w:sz w:val="24"/>
          <w:szCs w:val="24"/>
        </w:rPr>
        <w:t xml:space="preserve"> modern </w:t>
      </w:r>
      <w:proofErr w:type="spellStart"/>
      <w:r>
        <w:rPr>
          <w:rFonts w:ascii="Tw Cen MT" w:eastAsia="Twentieth Century" w:hAnsi="Tw Cen MT" w:cs="Twentieth Century"/>
          <w:sz w:val="24"/>
          <w:szCs w:val="24"/>
        </w:rPr>
        <w:t>yaitu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yaitu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teknologi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berbasis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perangkat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lunak</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bekerja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seperti</w:t>
      </w:r>
      <w:proofErr w:type="spellEnd"/>
      <w:r>
        <w:rPr>
          <w:rFonts w:ascii="Tw Cen MT" w:eastAsia="Twentieth Century" w:hAnsi="Tw Cen MT" w:cs="Twentieth Century"/>
          <w:sz w:val="24"/>
          <w:szCs w:val="24"/>
        </w:rPr>
        <w:t xml:space="preserve"> grid </w:t>
      </w:r>
      <w:proofErr w:type="spellStart"/>
      <w:r>
        <w:rPr>
          <w:rFonts w:ascii="Tw Cen MT" w:eastAsia="Twentieth Century" w:hAnsi="Tw Cen MT" w:cs="Twentieth Century"/>
          <w:sz w:val="24"/>
          <w:szCs w:val="24"/>
        </w:rPr>
        <w:t>fisik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tetapi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bentuk</w:t>
      </w:r>
      <w:proofErr w:type="spellEnd"/>
      <w:r>
        <w:rPr>
          <w:rFonts w:ascii="Tw Cen MT" w:eastAsia="Twentieth Century" w:hAnsi="Tw Cen MT" w:cs="Twentieth Century"/>
          <w:sz w:val="24"/>
          <w:szCs w:val="24"/>
        </w:rPr>
        <w:t xml:space="preserve"> digital</w:t>
      </w:r>
      <w:r w:rsidR="0028736F">
        <w:rPr>
          <w:rFonts w:ascii="Tw Cen MT" w:eastAsia="Twentieth Century" w:hAnsi="Tw Cen MT" w:cs="Twentieth Century"/>
          <w:sz w:val="24"/>
          <w:szCs w:val="24"/>
        </w:rPr>
        <w:t xml:space="preserve"> </w:t>
      </w:r>
      <w:r w:rsidR="0028736F">
        <w:rPr>
          <w:rFonts w:ascii="Tw Cen MT" w:eastAsia="Twentieth Century" w:hAnsi="Tw Cen MT" w:cs="Twentieth Century"/>
          <w:sz w:val="24"/>
          <w:szCs w:val="24"/>
        </w:rPr>
        <w:fldChar w:fldCharType="begin" w:fldLock="1"/>
      </w:r>
      <w:r w:rsidR="0028736F">
        <w:rPr>
          <w:rFonts w:ascii="Tw Cen MT" w:eastAsia="Twentieth Century" w:hAnsi="Tw Cen MT" w:cs="Twentieth Century"/>
          <w:sz w:val="24"/>
          <w:szCs w:val="24"/>
        </w:rPr>
        <w:instrText>ADDIN CSL_CITATION {"citationItems":[{"id":"ITEM-1","itemData":{"DOI":"10.1201/9781315120928","ISBN":"9781498736350","abstract":"Beam’s eye view (BEV) radiographic imaging refers to the acquisition of planar X-ray projection images using the megavoltage linear accelerator (LINAC) treatment beam as the X-ray source and an X-ray imaging receptor to collect and display the image for the purpose of patient localization and treatment verification. As described in Chapter 1, radiographic imaging of one type or another has been used throughout the history of external beam radiation therapy. The importance of BEV imaging, otherwise known as portal imaging, for treatment accuracy improvement and error reduction was well known before digital imaging became widely available (Reinstein et al. 1987). The introduction of digital BEV imaging in place of film cassette systems vastly improved the imaging workflow and increased the frequency of imaging during the 1990s and 2000s (Herman et al. 2001b). More recently, the widespread availability of in-room kilovoltage (kV) imaging systems has in many cases replaced or at least reduced the role of BEV imaging. However, BEV imaging retains some unique characteristics that cannot be entirely replaced by alternative imaging systems. BEV imaging is the only direct means of verifying the position of the patient anatomy with respect to the treatment portal. BEV imaging verifies, in a single image, both the shape and location of the treatment portal with respect to the patient anatomy. In addition, there are potential applications for tracking moving targets and the quantitative verification of the delivered dose. Other image guidance methods can only indirectly verify patient location via registration of the imaging system to the LINAC isocenter, and they do not capture the delivered treatment field shape or location. Further, the information captured by BEV imaging exists whether we detect it or not, requiring only the addition of an image receptor and acquisition system to make use of this information that is otherwise lost. In this chapter, we describe the components and processes involved in BEV imaging systems as they are routinely used in the modern radiation therapy setting.","author":[{"dropping-particle":"","family":"Carlton","given":"Richard R","non-dropping-particle":"","parse-names":false,"suffix":""},{"dropping-particle":"","family":"Adler","given":"Arlene M","non-dropping-particle":"","parse-names":false,"suffix":""},{"dropping-particle":"","family":"Balac","given":"Vesna","non-dropping-particle":"","parse-names":false,"suffix":""}],"container-title":"Beam's Eye View Imaging in Radiation Oncology","edition":"Sixt Editi","id":"ITEM-1","issued":{"date-parts":[["2020"]]},"number-of-pages":"61-86","title":"Principles of Radiographic Imaging: An Art and a Science,","type":"book"},"uris":["http://www.mendeley.com/documents/?uuid=e6edcd15-9c5c-4c29-9371-7d46416fc386"]}],"mendeley":{"formattedCitation":"[4]","plainTextFormattedCitation":"[4]"},"properties":{"noteIndex":0},"schema":"https://github.com/citation-style-language/schema/raw/master/csl-citation.json"}</w:instrText>
      </w:r>
      <w:r w:rsidR="0028736F">
        <w:rPr>
          <w:rFonts w:ascii="Tw Cen MT" w:eastAsia="Twentieth Century" w:hAnsi="Tw Cen MT" w:cs="Twentieth Century"/>
          <w:sz w:val="24"/>
          <w:szCs w:val="24"/>
        </w:rPr>
        <w:fldChar w:fldCharType="separate"/>
      </w:r>
      <w:r w:rsidR="0028736F" w:rsidRPr="0028736F">
        <w:rPr>
          <w:rFonts w:ascii="Tw Cen MT" w:eastAsia="Twentieth Century" w:hAnsi="Tw Cen MT" w:cs="Twentieth Century"/>
          <w:noProof/>
          <w:sz w:val="24"/>
          <w:szCs w:val="24"/>
        </w:rPr>
        <w:t>[4]</w:t>
      </w:r>
      <w:r w:rsidR="0028736F">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
    <w:p w14:paraId="605CDF42" w14:textId="45078AD7" w:rsidR="007E6AEC" w:rsidRDefault="00FD7CA4">
      <w:pPr>
        <w:spacing w:after="0" w:line="240" w:lineRule="auto"/>
        <w:jc w:val="both"/>
        <w:rPr>
          <w:rFonts w:ascii="Tw Cen MT" w:eastAsia="Twentieth Century" w:hAnsi="Tw Cen MT" w:cs="Twentieth Century"/>
          <w:sz w:val="24"/>
          <w:szCs w:val="24"/>
        </w:rPr>
      </w:pP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mampu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mengolah</w:t>
      </w:r>
      <w:proofErr w:type="spellEnd"/>
      <w:r>
        <w:rPr>
          <w:rFonts w:ascii="Tw Cen MT" w:eastAsia="Twentieth Century" w:hAnsi="Tw Cen MT" w:cs="Twentieth Century"/>
          <w:sz w:val="24"/>
          <w:szCs w:val="24"/>
        </w:rPr>
        <w:t xml:space="preserve"> data </w:t>
      </w:r>
      <w:proofErr w:type="spellStart"/>
      <w:r>
        <w:rPr>
          <w:rFonts w:ascii="Tw Cen MT" w:eastAsia="Twentieth Century" w:hAnsi="Tw Cen MT" w:cs="Twentieth Century"/>
          <w:sz w:val="24"/>
          <w:szCs w:val="24"/>
        </w:rPr>
        <w:t>gambar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secara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otomatis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mengurangi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efek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hambur</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sidR="0028736F">
        <w:rPr>
          <w:rFonts w:ascii="Tw Cen MT" w:eastAsia="Twentieth Century" w:hAnsi="Tw Cen MT" w:cs="Twentieth Century"/>
          <w:sz w:val="24"/>
          <w:szCs w:val="24"/>
        </w:rPr>
        <w:instrText>ADDIN CSL_CITATION {"citationItems":[{"id":"ITEM-1","itemData":{"abstract":"We have developed a new image processing method “Virtual Grid Technology” to improve the quality of degraded image due to scattered radiation. This technology improves the quality of images taken without an anti-scatter grid at bedside or emergency radiography. Conventionally, grids are commonly used to reduce the influence of scattered radiation. However, due to the positioning difficulties, images are often acquired without a grid for mobile examinations, which results in images with low contrast. Virtual Grid calculates the component of the scattered radiation from an image exposed without a grid and improves the contrast and granularity to replicate that of an image exposed with a grid. This technology resolves the problem of artifacts caused by misalignment when using a grid, and enables a more efficient radiographic workflow. This report will describe an outline of Virtual Grid and explain its usefulness by using the experimental results.","author":[{"dropping-particle":"","family":"Kawamura","given":"Takahiro","non-dropping-particle":"","parse-names":false,"suffix":""},{"dropping-particle":"","family":"Naito","given":"Satoshi","non-dropping-particle":"","parse-names":false,"suffix":""},{"dropping-particle":"","family":"Okano","given":"Kayo","non-dropping-particle":"","parse-names":false,"suffix":""},{"dropping-particle":"","family":"Yamada","given":"Masahiko","non-dropping-particle":"","parse-names":false,"suffix":""}],"container-title":"FUJIFILM Research &amp; Development","id":"ITEM-1","issue":"60","issued":{"date-parts":[["2015"]]},"page":"21-27","title":"Improvement in Image Quality and Workflow of X-ray Examination Using a New Image Processing Method, “Virtual Grid Technology”","type":"article-journal"},"uris":["http://www.mendeley.com/documents/?uuid=1258424d-039d-408d-a1b3-fae52d98b216"]}],"mendeley":{"formattedCitation":"[5]","plainTextFormattedCitation":"[5]","previouslyFormattedCitation":"[4]"},"properties":{"noteIndex":0},"schema":"https://github.com/citation-style-language/schema/raw/master/csl-citation.json"}</w:instrText>
      </w:r>
      <w:r>
        <w:rPr>
          <w:rFonts w:ascii="Tw Cen MT" w:eastAsia="Twentieth Century" w:hAnsi="Tw Cen MT" w:cs="Twentieth Century"/>
          <w:sz w:val="24"/>
          <w:szCs w:val="24"/>
        </w:rPr>
        <w:fldChar w:fldCharType="separate"/>
      </w:r>
      <w:r w:rsidR="0028736F" w:rsidRPr="0028736F">
        <w:rPr>
          <w:rFonts w:ascii="Tw Cen MT" w:eastAsia="Twentieth Century" w:hAnsi="Tw Cen MT" w:cs="Twentieth Century"/>
          <w:noProof/>
          <w:sz w:val="24"/>
          <w:szCs w:val="24"/>
        </w:rPr>
        <w:t>[5]</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Selain </w:t>
      </w:r>
      <w:proofErr w:type="spellStart"/>
      <w:r>
        <w:rPr>
          <w:rFonts w:ascii="Tw Cen MT" w:eastAsia="Twentieth Century" w:hAnsi="Tw Cen MT" w:cs="Twentieth Century"/>
          <w:sz w:val="24"/>
          <w:szCs w:val="24"/>
        </w:rPr>
        <w:t>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menurut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sebuah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studi</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mempunyai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keunggulan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dibandingkan</w:t>
      </w:r>
      <w:proofErr w:type="spellEnd"/>
      <w:r>
        <w:rPr>
          <w:rFonts w:ascii="Tw Cen MT" w:eastAsia="Twentieth Century" w:hAnsi="Tw Cen MT" w:cs="Twentieth Century"/>
          <w:sz w:val="24"/>
          <w:szCs w:val="24"/>
        </w:rPr>
        <w:t xml:space="preserve"> grid </w:t>
      </w:r>
      <w:proofErr w:type="spellStart"/>
      <w:r>
        <w:rPr>
          <w:rFonts w:ascii="Tw Cen MT" w:eastAsia="Twentieth Century" w:hAnsi="Tw Cen MT" w:cs="Twentieth Century"/>
          <w:sz w:val="24"/>
          <w:szCs w:val="24"/>
        </w:rPr>
        <w:t>fisik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memperbaiki</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meningkatkan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kualitas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citra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serta</w:t>
      </w:r>
      <w:proofErr w:type="spellEnd"/>
      <w:r>
        <w:rPr>
          <w:rFonts w:ascii="Tw Cen MT" w:eastAsia="Twentieth Century" w:hAnsi="Tw Cen MT" w:cs="Twentieth Century"/>
          <w:sz w:val="24"/>
          <w:szCs w:val="24"/>
        </w:rPr>
        <w:t xml:space="preserve"> proses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menjadi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lebih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cepat</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lebih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efisien</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sidR="0028736F">
        <w:rPr>
          <w:rFonts w:ascii="Tw Cen MT" w:eastAsia="Twentieth Century" w:hAnsi="Tw Cen MT" w:cs="Twentieth Century"/>
          <w:sz w:val="24"/>
          <w:szCs w:val="24"/>
        </w:rPr>
        <w:instrText>ADDIN CSL_CITATION {"citationItems":[{"id":"ITEM-1","itemData":{"DOI":"https://doi.org/10.32628/IJSRST52310649 Radiation","author":[{"dropping-particle":"","family":"Ardoni","given":"Fitrus","non-dropping-particle":"","parse-names":false,"suffix":""},{"dropping-particle":"","family":"Choridah","given":"Lina","non-dropping-particle":"","parse-names":false,"suffix":""},{"dropping-particle":"","family":"Susanto","given":"Edy","non-dropping-particle":"","parse-names":false,"suffix":""},{"dropping-particle":"","family":"Irsal","given":"Muhammad","non-dropping-particle":"","parse-names":false,"suffix":""}],"id":"ITEM-1","issued":{"date-parts":[["2023"]]},"page":"323-331","title":"Radiation Dose and Image Quality with Exposure Factor Variation Using a Virtual Grid in Digital Radiography","type":"article-journal"},"uris":["http://www.mendeley.com/documents/?uuid=c75df915-4120-4dbd-90df-63253ab84030"]}],"mendeley":{"formattedCitation":"[6]","plainTextFormattedCitation":"[6]","previouslyFormattedCitation":"[5]"},"properties":{"noteIndex":0},"schema":"https://github.com/citation-style-language/schema/raw/master/csl-citation.json"}</w:instrText>
      </w:r>
      <w:r>
        <w:rPr>
          <w:rFonts w:ascii="Tw Cen MT" w:eastAsia="Twentieth Century" w:hAnsi="Tw Cen MT" w:cs="Twentieth Century"/>
          <w:sz w:val="24"/>
          <w:szCs w:val="24"/>
        </w:rPr>
        <w:fldChar w:fldCharType="separate"/>
      </w:r>
      <w:r w:rsidR="0028736F" w:rsidRPr="0028736F">
        <w:rPr>
          <w:rFonts w:ascii="Tw Cen MT" w:eastAsia="Twentieth Century" w:hAnsi="Tw Cen MT" w:cs="Twentieth Century"/>
          <w:noProof/>
          <w:sz w:val="24"/>
          <w:szCs w:val="24"/>
        </w:rPr>
        <w:t>[6]</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Berdasarkan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observasi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dirumah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sakit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sering</w:t>
      </w:r>
      <w:proofErr w:type="spellEnd"/>
      <w:r>
        <w:rPr>
          <w:rFonts w:ascii="Tw Cen MT" w:eastAsia="Twentieth Century" w:hAnsi="Tw Cen MT" w:cs="Twentieth Century"/>
          <w:sz w:val="24"/>
          <w:szCs w:val="24"/>
        </w:rPr>
        <w:t xml:space="preserve"> kali </w:t>
      </w:r>
      <w:proofErr w:type="spellStart"/>
      <w:r>
        <w:rPr>
          <w:rFonts w:ascii="Tw Cen MT" w:eastAsia="Twentieth Century" w:hAnsi="Tw Cen MT" w:cs="Twentieth Century"/>
          <w:sz w:val="24"/>
          <w:szCs w:val="24"/>
        </w:rPr>
        <w:t>mengalami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penurun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kontras</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radiografi</w:t>
      </w:r>
      <w:proofErr w:type="spellEnd"/>
      <w:r>
        <w:rPr>
          <w:rFonts w:ascii="Tw Cen MT" w:eastAsia="Twentieth Century" w:hAnsi="Tw Cen MT" w:cs="Twentieth Century"/>
          <w:sz w:val="24"/>
          <w:szCs w:val="24"/>
        </w:rPr>
        <w:t xml:space="preserve"> </w:t>
      </w:r>
      <w:r w:rsidR="00835CD4">
        <w:rPr>
          <w:rFonts w:ascii="Tw Cen MT" w:eastAsia="Twentieth Century" w:hAnsi="Tw Cen MT" w:cs="Twentieth Century"/>
          <w:sz w:val="24"/>
          <w:szCs w:val="24"/>
        </w:rPr>
        <w:t xml:space="preserve"> </w:t>
      </w:r>
      <w:r>
        <w:rPr>
          <w:rFonts w:ascii="Tw Cen MT" w:eastAsia="Twentieth Century" w:hAnsi="Tw Cen MT" w:cs="Twentieth Century"/>
          <w:sz w:val="24"/>
          <w:szCs w:val="24"/>
        </w:rPr>
        <w:t>yang</w:t>
      </w:r>
      <w:r w:rsidR="00835CD4">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mengakibatkan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pengulangan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dan </w:t>
      </w:r>
      <w:proofErr w:type="spellStart"/>
      <w:r>
        <w:rPr>
          <w:rFonts w:ascii="Tw Cen MT" w:eastAsia="Twentieth Century" w:hAnsi="Tw Cen MT" w:cs="Twentieth Century"/>
          <w:sz w:val="24"/>
          <w:szCs w:val="24"/>
        </w:rPr>
        <w:t>menurunkan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akurasi</w:t>
      </w:r>
      <w:proofErr w:type="spellEnd"/>
      <w:r>
        <w:rPr>
          <w:rFonts w:ascii="Tw Cen MT" w:eastAsia="Twentieth Century" w:hAnsi="Tw Cen MT" w:cs="Twentieth Century"/>
          <w:sz w:val="24"/>
          <w:szCs w:val="24"/>
        </w:rPr>
        <w:t xml:space="preserve"> </w:t>
      </w:r>
      <w:proofErr w:type="spellStart"/>
      <w:r w:rsidR="007153B4">
        <w:rPr>
          <w:rFonts w:ascii="Tw Cen MT" w:eastAsia="Twentieth Century" w:hAnsi="Tw Cen MT" w:cs="Twentieth Century"/>
          <w:sz w:val="24"/>
          <w:szCs w:val="24"/>
        </w:rPr>
        <w:t>diagnosa</w:t>
      </w:r>
      <w:proofErr w:type="spellEnd"/>
      <w:r w:rsidR="007153B4">
        <w:rPr>
          <w:rFonts w:ascii="Tw Cen MT" w:eastAsia="Twentieth Century" w:hAnsi="Tw Cen MT" w:cs="Twentieth Century"/>
          <w:sz w:val="24"/>
          <w:szCs w:val="24"/>
        </w:rPr>
        <w:t xml:space="preserve"> </w:t>
      </w:r>
      <w:r w:rsidR="007153B4">
        <w:rPr>
          <w:rFonts w:ascii="Tw Cen MT" w:eastAsia="Twentieth Century" w:hAnsi="Tw Cen MT" w:cs="Twentieth Century"/>
          <w:sz w:val="24"/>
          <w:szCs w:val="24"/>
        </w:rPr>
        <w:fldChar w:fldCharType="begin" w:fldLock="1"/>
      </w:r>
      <w:r w:rsidR="007153B4">
        <w:rPr>
          <w:rFonts w:ascii="Tw Cen MT" w:eastAsia="Twentieth Century" w:hAnsi="Tw Cen MT" w:cs="Twentieth Century"/>
          <w:sz w:val="24"/>
          <w:szCs w:val="24"/>
        </w:rPr>
        <w:instrText>ADDIN CSL_CITATION {"citationItems":[{"id":"ITEM-1","itemData":{"DOI":"10.1063/1.5097487","ISBN":"9780735418240","ISSN":"15517616","abstract":"This study aims to obtain an optimum design of the aluminum filter for producing a better X-ray contrast film of the lateral projection of Lumbosacral. The additional filter thickness was in accordance with the lumbosacral vertebral density. This study was conducted using the Quantum CS 2 X-ray equipment in Room 2 of the Radio Diagnostic Unit of Margono Soekarjo Hospital (RSMS) Purwokerto with the PBU-50 Phantom object. The aluminum filter was inserted gradually from 1mm to 15mm and followed by contrast film calculation. The radiographs were processed by CR reader and imported into Weasis version 2.0.7 software for pixel value analysis. The result shows different compensation filter thicknesses in the lumbar and sacral regions to improve the image quality of the lateral projection lumbosacral vertebrae radiography. The aluminum filters for the exposure factor of 85kV and 25 mAs with a thickness of 13.3mm and 2.8mm were considered optimal for compensating for the lumbar region (L1-L4) and the sacrum area (L5-S2), respectively.","author":[{"dropping-particle":"","family":"Effendi","given":"Mukhtar","non-dropping-particle":"","parse-names":false,"suffix":""},{"dropping-particle":"","family":"Fatimah","given":"Ratna Umi","non-dropping-particle":"","parse-names":false,"suffix":""},{"dropping-particle":"","family":"Sholeh","given":"Agus","non-dropping-particle":"","parse-names":false,"suffix":""},{"dropping-particle":"","family":"Fatchurohmah","given":"Wiwiek","non-dropping-particle":"","parse-names":false,"suffix":""}],"container-title":"AIP Conference Proceedings","id":"ITEM-1","issue":"April","issued":{"date-parts":[["2019"]]},"title":"Design of the aluminum compensating filter to improve the image quality in the lateral projection of lumbosacral vertebrae","type":"article-journal","volume":"2094"},"uris":["http://www.mendeley.com/documents/?uuid=25956f8d-b268-4e5d-9544-e4b07b249b77"]}],"mendeley":{"formattedCitation":"[3]","plainTextFormattedCitation":"[3]","previouslyFormattedCitation":"[3]"},"properties":{"noteIndex":0},"schema":"https://github.com/citation-style-language/schema/raw/master/csl-citation.json"}</w:instrText>
      </w:r>
      <w:r w:rsidR="007153B4">
        <w:rPr>
          <w:rFonts w:ascii="Tw Cen MT" w:eastAsia="Twentieth Century" w:hAnsi="Tw Cen MT" w:cs="Twentieth Century"/>
          <w:sz w:val="24"/>
          <w:szCs w:val="24"/>
        </w:rPr>
        <w:fldChar w:fldCharType="separate"/>
      </w:r>
      <w:r w:rsidR="007153B4" w:rsidRPr="007153B4">
        <w:rPr>
          <w:rFonts w:ascii="Tw Cen MT" w:eastAsia="Twentieth Century" w:hAnsi="Tw Cen MT" w:cs="Twentieth Century"/>
          <w:noProof/>
          <w:sz w:val="24"/>
          <w:szCs w:val="24"/>
        </w:rPr>
        <w:t>[3]</w:t>
      </w:r>
      <w:r w:rsidR="007153B4">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Oleh </w:t>
      </w:r>
      <w:proofErr w:type="spellStart"/>
      <w:r>
        <w:rPr>
          <w:rFonts w:ascii="Tw Cen MT" w:eastAsia="Twentieth Century" w:hAnsi="Tw Cen MT" w:cs="Twentieth Century"/>
          <w:sz w:val="24"/>
          <w:szCs w:val="24"/>
        </w:rPr>
        <w:t>sebab</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itu</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tertarik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melakukan</w:t>
      </w:r>
      <w:proofErr w:type="spellEnd"/>
      <w:r>
        <w:rPr>
          <w:rFonts w:ascii="Tw Cen MT" w:eastAsia="Twentieth Century" w:hAnsi="Tw Cen MT" w:cs="Twentieth Century"/>
          <w:sz w:val="24"/>
          <w:szCs w:val="24"/>
        </w:rPr>
        <w:t xml:space="preserve"> </w:t>
      </w:r>
      <w:proofErr w:type="spellStart"/>
      <w:proofErr w:type="gramStart"/>
      <w:r>
        <w:rPr>
          <w:rFonts w:ascii="Tw Cen MT" w:eastAsia="Twentieth Century" w:hAnsi="Tw Cen MT" w:cs="Twentieth Century"/>
          <w:sz w:val="24"/>
          <w:szCs w:val="24"/>
        </w:rPr>
        <w:t>analisis</w:t>
      </w:r>
      <w:proofErr w:type="spellEnd"/>
      <w:r>
        <w:rPr>
          <w:rFonts w:ascii="Tw Cen MT" w:eastAsia="Twentieth Century" w:hAnsi="Tw Cen MT" w:cs="Twentieth Century"/>
          <w:sz w:val="24"/>
          <w:szCs w:val="24"/>
        </w:rPr>
        <w:t xml:space="preserve">  pada</w:t>
      </w:r>
      <w:proofErr w:type="gram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Pr="00FD7CA4">
        <w:rPr>
          <w:rFonts w:ascii="Tw Cen MT" w:eastAsia="Twentieth Century" w:hAnsi="Tw Cen MT" w:cs="Twentieth Century"/>
          <w:i/>
          <w:iCs/>
          <w:sz w:val="24"/>
          <w:szCs w:val="24"/>
        </w:rPr>
        <w:t>Os</w:t>
      </w:r>
      <w:proofErr w:type="spellEnd"/>
      <w:r w:rsidRPr="00FD7CA4">
        <w:rPr>
          <w:rFonts w:ascii="Tw Cen MT" w:eastAsia="Twentieth Century" w:hAnsi="Tw Cen MT" w:cs="Twentieth Century"/>
          <w:i/>
          <w:iCs/>
          <w:sz w:val="24"/>
          <w:szCs w:val="24"/>
        </w:rPr>
        <w:t xml:space="preserve"> Sacrum</w:t>
      </w:r>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dengan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variasi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mengetahui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pengaruh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terhadap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Pr="00FD7CA4">
        <w:rPr>
          <w:rFonts w:ascii="Tw Cen MT" w:eastAsia="Twentieth Century" w:hAnsi="Tw Cen MT" w:cs="Twentieth Century"/>
          <w:i/>
          <w:iCs/>
          <w:sz w:val="24"/>
          <w:szCs w:val="24"/>
        </w:rPr>
        <w:t>Pixel Value</w:t>
      </w:r>
      <w:r>
        <w:rPr>
          <w:rFonts w:ascii="Tw Cen MT" w:eastAsia="Twentieth Century" w:hAnsi="Tw Cen MT" w:cs="Twentieth Century"/>
          <w:sz w:val="24"/>
          <w:szCs w:val="24"/>
        </w:rPr>
        <w:t xml:space="preserve"> yang </w:t>
      </w:r>
      <w:proofErr w:type="spellStart"/>
      <w:proofErr w:type="gramStart"/>
      <w:r>
        <w:rPr>
          <w:rFonts w:ascii="Tw Cen MT" w:eastAsia="Twentieth Century" w:hAnsi="Tw Cen MT" w:cs="Twentieth Century"/>
          <w:sz w:val="24"/>
          <w:szCs w:val="24"/>
        </w:rPr>
        <w:t>dihasilkan</w:t>
      </w:r>
      <w:proofErr w:type="spellEnd"/>
      <w:r>
        <w:rPr>
          <w:rFonts w:ascii="Tw Cen MT" w:eastAsia="Twentieth Century" w:hAnsi="Tw Cen MT" w:cs="Twentieth Century"/>
          <w:sz w:val="24"/>
          <w:szCs w:val="24"/>
        </w:rPr>
        <w:t xml:space="preserve"> .</w:t>
      </w:r>
      <w:proofErr w:type="gramEnd"/>
    </w:p>
    <w:p w14:paraId="6CA36840" w14:textId="77777777" w:rsidR="007E6AEC" w:rsidRDefault="007E6AEC">
      <w:pPr>
        <w:spacing w:after="0" w:line="240" w:lineRule="auto"/>
        <w:jc w:val="both"/>
        <w:rPr>
          <w:rFonts w:ascii="Tw Cen MT" w:eastAsia="Twentieth Century" w:hAnsi="Tw Cen MT" w:cs="Twentieth Century"/>
          <w:color w:val="000000"/>
          <w:sz w:val="24"/>
          <w:szCs w:val="24"/>
        </w:rPr>
      </w:pPr>
    </w:p>
    <w:p w14:paraId="53E359E8" w14:textId="77777777" w:rsidR="007E6AEC" w:rsidRDefault="00000000">
      <w:pPr>
        <w:spacing w:after="0" w:line="240" w:lineRule="auto"/>
        <w:jc w:val="both"/>
        <w:rPr>
          <w:rFonts w:ascii="Tw Cen MT" w:eastAsia="Twentieth Century" w:hAnsi="Tw Cen MT" w:cs="Twentieth Century"/>
          <w:b/>
          <w:sz w:val="24"/>
          <w:szCs w:val="24"/>
        </w:rPr>
      </w:pPr>
      <w:r>
        <w:rPr>
          <w:rFonts w:ascii="Tw Cen MT" w:eastAsia="Twentieth Century" w:hAnsi="Tw Cen MT" w:cs="Twentieth Century"/>
          <w:b/>
          <w:sz w:val="24"/>
          <w:szCs w:val="24"/>
        </w:rPr>
        <w:t>METODE</w:t>
      </w:r>
    </w:p>
    <w:p w14:paraId="53FD0075" w14:textId="12993893" w:rsidR="007E6AEC" w:rsidRDefault="00000000">
      <w:pPr>
        <w:tabs>
          <w:tab w:val="left" w:pos="426"/>
        </w:tabs>
        <w:spacing w:after="0"/>
        <w:jc w:val="both"/>
        <w:rPr>
          <w:rFonts w:ascii="Tw Cen MT" w:eastAsia="Twentieth Century" w:hAnsi="Tw Cen MT" w:cs="Twentieth Century"/>
          <w:sz w:val="24"/>
          <w:szCs w:val="24"/>
        </w:rPr>
      </w:pP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merupakan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deskriptif</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kuantitatif</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dilakukan</w:t>
      </w:r>
      <w:proofErr w:type="spellEnd"/>
      <w:r>
        <w:rPr>
          <w:rFonts w:ascii="Tw Cen MT" w:eastAsia="Twentieth Century" w:hAnsi="Tw Cen MT" w:cs="Twentieth Century"/>
          <w:sz w:val="24"/>
          <w:szCs w:val="24"/>
        </w:rPr>
        <w:t xml:space="preserve"> pada </w:t>
      </w:r>
      <w:proofErr w:type="spellStart"/>
      <w:r>
        <w:rPr>
          <w:rFonts w:ascii="Tw Cen MT" w:eastAsia="Twentieth Century" w:hAnsi="Tw Cen MT" w:cs="Twentieth Century"/>
          <w:sz w:val="24"/>
          <w:szCs w:val="24"/>
        </w:rPr>
        <w:t>bulan</w:t>
      </w:r>
      <w:proofErr w:type="spellEnd"/>
      <w:r>
        <w:rPr>
          <w:rFonts w:ascii="Tw Cen MT" w:eastAsia="Twentieth Century" w:hAnsi="Tw Cen MT" w:cs="Twentieth Century"/>
          <w:sz w:val="24"/>
          <w:szCs w:val="24"/>
        </w:rPr>
        <w:t xml:space="preserve"> Mei </w:t>
      </w:r>
      <w:proofErr w:type="spellStart"/>
      <w:r>
        <w:rPr>
          <w:rFonts w:ascii="Tw Cen MT" w:eastAsia="Twentieth Century" w:hAnsi="Tw Cen MT" w:cs="Twentieth Century"/>
          <w:sz w:val="24"/>
          <w:szCs w:val="24"/>
        </w:rPr>
        <w:t>sampai</w:t>
      </w:r>
      <w:proofErr w:type="spellEnd"/>
      <w:r>
        <w:rPr>
          <w:rFonts w:ascii="Tw Cen MT" w:eastAsia="Twentieth Century" w:hAnsi="Tw Cen MT" w:cs="Twentieth Century"/>
          <w:sz w:val="24"/>
          <w:szCs w:val="24"/>
        </w:rPr>
        <w:t xml:space="preserve"> Juni 2025 di </w:t>
      </w:r>
      <w:proofErr w:type="spellStart"/>
      <w:r>
        <w:rPr>
          <w:rFonts w:ascii="Tw Cen MT" w:eastAsia="Twentieth Century" w:hAnsi="Tw Cen MT" w:cs="Twentieth Century"/>
          <w:sz w:val="24"/>
          <w:szCs w:val="24"/>
        </w:rPr>
        <w:t>Laboratorium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Praktikum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Radiografi</w:t>
      </w:r>
      <w:proofErr w:type="spellEnd"/>
      <w:r>
        <w:rPr>
          <w:rFonts w:ascii="Tw Cen MT" w:eastAsia="Twentieth Century" w:hAnsi="Tw Cen MT" w:cs="Twentieth Century"/>
          <w:sz w:val="24"/>
          <w:szCs w:val="24"/>
        </w:rPr>
        <w:t xml:space="preserve"> dan Fisika </w:t>
      </w:r>
      <w:proofErr w:type="spellStart"/>
      <w:r>
        <w:rPr>
          <w:rFonts w:ascii="Tw Cen MT" w:eastAsia="Twentieth Century" w:hAnsi="Tw Cen MT" w:cs="Twentieth Century"/>
          <w:sz w:val="24"/>
          <w:szCs w:val="24"/>
        </w:rPr>
        <w:t>Jurusan</w:t>
      </w:r>
      <w:proofErr w:type="spellEnd"/>
      <w:r>
        <w:rPr>
          <w:rFonts w:ascii="Tw Cen MT" w:eastAsia="Twentieth Century" w:hAnsi="Tw Cen MT" w:cs="Twentieth Century"/>
          <w:sz w:val="24"/>
          <w:szCs w:val="24"/>
        </w:rPr>
        <w:t xml:space="preserve"> Teknik </w:t>
      </w:r>
      <w:proofErr w:type="spellStart"/>
      <w:r>
        <w:rPr>
          <w:rFonts w:ascii="Tw Cen MT" w:eastAsia="Twentieth Century" w:hAnsi="Tw Cen MT" w:cs="Twentieth Century"/>
          <w:sz w:val="24"/>
          <w:szCs w:val="24"/>
        </w:rPr>
        <w:t>Radiologi</w:t>
      </w:r>
      <w:proofErr w:type="spellEnd"/>
      <w:r>
        <w:rPr>
          <w:rFonts w:ascii="Tw Cen MT" w:eastAsia="Twentieth Century" w:hAnsi="Tw Cen MT" w:cs="Twentieth Century"/>
          <w:sz w:val="24"/>
          <w:szCs w:val="24"/>
        </w:rPr>
        <w:t xml:space="preserve">. Sampel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adalah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citra</w:t>
      </w:r>
      <w:proofErr w:type="spellEnd"/>
      <w:r>
        <w:rPr>
          <w:rFonts w:ascii="Tw Cen MT" w:eastAsia="Twentieth Century" w:hAnsi="Tw Cen MT" w:cs="Twentieth Century"/>
          <w:sz w:val="24"/>
          <w:szCs w:val="24"/>
        </w:rPr>
        <w:t xml:space="preserve"> </w:t>
      </w:r>
      <w:proofErr w:type="spellStart"/>
      <w:r w:rsidR="00FD7CA4" w:rsidRPr="00FD7CA4">
        <w:rPr>
          <w:rFonts w:ascii="Tw Cen MT" w:eastAsia="Twentieth Century" w:hAnsi="Tw Cen MT" w:cs="Twentieth Century"/>
          <w:i/>
          <w:iCs/>
          <w:sz w:val="24"/>
          <w:szCs w:val="24"/>
        </w:rPr>
        <w:t>Os</w:t>
      </w:r>
      <w:proofErr w:type="spellEnd"/>
      <w:r w:rsidR="00FD7CA4" w:rsidRPr="00FD7CA4">
        <w:rPr>
          <w:rFonts w:ascii="Tw Cen MT" w:eastAsia="Twentieth Century" w:hAnsi="Tw Cen MT" w:cs="Twentieth Century"/>
          <w:i/>
          <w:iCs/>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proyeksi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menggunakan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variasi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iCs/>
          <w:sz w:val="24"/>
          <w:szCs w:val="24"/>
        </w:rPr>
        <w:t>Virtual Grid</w:t>
      </w:r>
      <w:r w:rsidR="009462D1">
        <w:rPr>
          <w:rFonts w:ascii="Tw Cen MT" w:eastAsia="Twentieth Century" w:hAnsi="Tw Cen MT" w:cs="Twentieth Century"/>
          <w:sz w:val="24"/>
          <w:szCs w:val="24"/>
        </w:rPr>
        <w:t xml:space="preserve"> </w:t>
      </w:r>
      <w:r>
        <w:rPr>
          <w:rFonts w:ascii="Tw Cen MT" w:eastAsia="Twentieth Century" w:hAnsi="Tw Cen MT" w:cs="Twentieth Century"/>
          <w:sz w:val="24"/>
          <w:szCs w:val="24"/>
        </w:rPr>
        <w:t xml:space="preserve">8:1, 10:1, dan 12:1 </w:t>
      </w:r>
      <w:proofErr w:type="spellStart"/>
      <w:r>
        <w:rPr>
          <w:rFonts w:ascii="Tw Cen MT" w:eastAsia="Twentieth Century" w:hAnsi="Tw Cen MT" w:cs="Twentieth Century"/>
          <w:sz w:val="24"/>
          <w:szCs w:val="24"/>
        </w:rPr>
        <w:t>dengan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objek</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iCs/>
          <w:sz w:val="24"/>
          <w:szCs w:val="24"/>
        </w:rPr>
        <w:t>Phantom Anthropomorphic</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menggunakan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faktor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eksposi</w:t>
      </w:r>
      <w:proofErr w:type="spellEnd"/>
      <w:r>
        <w:rPr>
          <w:rFonts w:ascii="Tw Cen MT" w:eastAsia="Twentieth Century" w:hAnsi="Tw Cen MT" w:cs="Twentieth Century"/>
          <w:sz w:val="24"/>
          <w:szCs w:val="24"/>
        </w:rPr>
        <w:t xml:space="preserve"> 95 kV dan 45 </w:t>
      </w:r>
      <w:proofErr w:type="spellStart"/>
      <w:r>
        <w:rPr>
          <w:rFonts w:ascii="Tw Cen MT" w:eastAsia="Twentieth Century" w:hAnsi="Tw Cen MT" w:cs="Twentieth Century"/>
          <w:sz w:val="24"/>
          <w:szCs w:val="24"/>
        </w:rPr>
        <w:t>mAs</w:t>
      </w:r>
      <w:proofErr w:type="spellEnd"/>
      <w:r>
        <w:rPr>
          <w:rFonts w:ascii="Tw Cen MT" w:eastAsia="Twentieth Century" w:hAnsi="Tw Cen MT" w:cs="Twentieth Century"/>
          <w:sz w:val="24"/>
          <w:szCs w:val="24"/>
        </w:rPr>
        <w:t xml:space="preserve">. </w:t>
      </w:r>
    </w:p>
    <w:p w14:paraId="2C0766EA" w14:textId="0CB137BC" w:rsidR="007E6AEC" w:rsidRDefault="00000000">
      <w:pPr>
        <w:tabs>
          <w:tab w:val="left" w:pos="426"/>
        </w:tabs>
        <w:spacing w:after="0"/>
        <w:jc w:val="both"/>
        <w:rPr>
          <w:rFonts w:ascii="Tw Cen MT" w:eastAsia="Twentieth Century" w:hAnsi="Tw Cen MT" w:cs="Twentieth Century"/>
          <w:sz w:val="24"/>
          <w:szCs w:val="24"/>
          <w:lang w:val="en-AU"/>
        </w:rPr>
      </w:pPr>
      <w:r>
        <w:rPr>
          <w:rFonts w:ascii="Tw Cen MT" w:eastAsia="Twentieth Century" w:hAnsi="Tw Cen MT" w:cs="Twentieth Century"/>
          <w:sz w:val="24"/>
          <w:szCs w:val="24"/>
          <w:lang w:val="en-AU"/>
        </w:rPr>
        <w:t xml:space="preserve">Alat dan </w:t>
      </w:r>
      <w:proofErr w:type="spellStart"/>
      <w:r>
        <w:rPr>
          <w:rFonts w:ascii="Tw Cen MT" w:eastAsia="Twentieth Century" w:hAnsi="Tw Cen MT" w:cs="Twentieth Century"/>
          <w:sz w:val="24"/>
          <w:szCs w:val="24"/>
          <w:lang w:val="en-AU"/>
        </w:rPr>
        <w:t>bahan</w:t>
      </w:r>
      <w:proofErr w:type="spellEnd"/>
      <w:r>
        <w:rPr>
          <w:rFonts w:ascii="Tw Cen MT" w:eastAsia="Twentieth Century" w:hAnsi="Tw Cen MT" w:cs="Twentieth Century"/>
          <w:sz w:val="24"/>
          <w:szCs w:val="24"/>
          <w:lang w:val="en-AU"/>
        </w:rPr>
        <w:t xml:space="preserve"> yang </w:t>
      </w:r>
      <w:proofErr w:type="spellStart"/>
      <w:r>
        <w:rPr>
          <w:rFonts w:ascii="Tw Cen MT" w:eastAsia="Twentieth Century" w:hAnsi="Tw Cen MT" w:cs="Twentieth Century"/>
          <w:sz w:val="24"/>
          <w:szCs w:val="24"/>
          <w:lang w:val="en-AU"/>
        </w:rPr>
        <w:t>digunakan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pesawat</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sinar</w:t>
      </w:r>
      <w:proofErr w:type="spellEnd"/>
      <w:r>
        <w:rPr>
          <w:rFonts w:ascii="Tw Cen MT" w:eastAsia="Twentieth Century" w:hAnsi="Tw Cen MT" w:cs="Twentieth Century"/>
          <w:sz w:val="24"/>
          <w:szCs w:val="24"/>
          <w:lang w:val="en-AU"/>
        </w:rPr>
        <w:t xml:space="preserve">-X merk GE Healthcare </w:t>
      </w:r>
      <w:proofErr w:type="spellStart"/>
      <w:r>
        <w:rPr>
          <w:rFonts w:ascii="Tw Cen MT" w:eastAsia="Twentieth Century" w:hAnsi="Tw Cen MT" w:cs="Twentieth Century"/>
          <w:sz w:val="24"/>
          <w:szCs w:val="24"/>
          <w:lang w:val="en-AU"/>
        </w:rPr>
        <w:t>tipe</w:t>
      </w:r>
      <w:proofErr w:type="spellEnd"/>
      <w:r>
        <w:rPr>
          <w:rFonts w:ascii="Tw Cen MT" w:eastAsia="Twentieth Century" w:hAnsi="Tw Cen MT" w:cs="Twentieth Century"/>
          <w:sz w:val="24"/>
          <w:szCs w:val="24"/>
          <w:lang w:val="en-AU"/>
        </w:rPr>
        <w:t xml:space="preserve"> </w:t>
      </w:r>
      <w:r w:rsidRPr="00F2206C">
        <w:rPr>
          <w:rFonts w:ascii="Tw Cen MT" w:eastAsia="Twentieth Century" w:hAnsi="Tw Cen MT" w:cs="Twentieth Century"/>
          <w:i/>
          <w:iCs/>
          <w:sz w:val="24"/>
          <w:szCs w:val="24"/>
          <w:lang w:val="en-AU"/>
        </w:rPr>
        <w:t>stationary</w:t>
      </w:r>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spesifikasi</w:t>
      </w:r>
      <w:proofErr w:type="spellEnd"/>
      <w:r>
        <w:rPr>
          <w:rFonts w:ascii="Tw Cen MT" w:eastAsia="Twentieth Century" w:hAnsi="Tw Cen MT" w:cs="Twentieth Century"/>
          <w:sz w:val="24"/>
          <w:szCs w:val="24"/>
          <w:lang w:val="en-AU"/>
        </w:rPr>
        <w:t xml:space="preserve"> 150 kV dan 500 mA. </w:t>
      </w:r>
      <w:r w:rsidRPr="00F2206C">
        <w:rPr>
          <w:rFonts w:ascii="Tw Cen MT" w:eastAsia="Twentieth Century" w:hAnsi="Tw Cen MT" w:cs="Twentieth Century"/>
          <w:i/>
          <w:iCs/>
          <w:sz w:val="24"/>
          <w:szCs w:val="24"/>
          <w:lang w:val="en-AU"/>
        </w:rPr>
        <w:t>Image Detector</w:t>
      </w:r>
      <w:r>
        <w:rPr>
          <w:rFonts w:ascii="Tw Cen MT" w:eastAsia="Twentieth Century" w:hAnsi="Tw Cen MT" w:cs="Twentieth Century"/>
          <w:sz w:val="24"/>
          <w:szCs w:val="24"/>
          <w:lang w:val="en-AU"/>
        </w:rPr>
        <w:t xml:space="preserve"> yang </w:t>
      </w:r>
      <w:proofErr w:type="spellStart"/>
      <w:r>
        <w:rPr>
          <w:rFonts w:ascii="Tw Cen MT" w:eastAsia="Twentieth Century" w:hAnsi="Tw Cen MT" w:cs="Twentieth Century"/>
          <w:sz w:val="24"/>
          <w:szCs w:val="24"/>
          <w:lang w:val="en-AU"/>
        </w:rPr>
        <w:t>digunakan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adalah</w:t>
      </w:r>
      <w:proofErr w:type="spellEnd"/>
      <w:r>
        <w:rPr>
          <w:rFonts w:ascii="Tw Cen MT" w:eastAsia="Twentieth Century" w:hAnsi="Tw Cen MT" w:cs="Twentieth Century"/>
          <w:sz w:val="24"/>
          <w:szCs w:val="24"/>
          <w:lang w:val="en-AU"/>
        </w:rPr>
        <w:t xml:space="preserve"> </w:t>
      </w:r>
      <w:r w:rsidRPr="00F96CBE">
        <w:rPr>
          <w:rFonts w:ascii="Tw Cen MT" w:eastAsia="Twentieth Century" w:hAnsi="Tw Cen MT" w:cs="Twentieth Century"/>
          <w:i/>
          <w:iCs/>
          <w:sz w:val="24"/>
          <w:szCs w:val="24"/>
          <w:lang w:val="en-AU"/>
        </w:rPr>
        <w:t xml:space="preserve">Flat Panel Detector </w:t>
      </w:r>
      <w:r>
        <w:rPr>
          <w:rFonts w:ascii="Tw Cen MT" w:eastAsia="Twentieth Century" w:hAnsi="Tw Cen MT" w:cs="Twentieth Century"/>
          <w:sz w:val="24"/>
          <w:szCs w:val="24"/>
          <w:lang w:val="en-AU"/>
        </w:rPr>
        <w:t xml:space="preserve">(FPD) </w:t>
      </w:r>
      <w:proofErr w:type="spellStart"/>
      <w:r>
        <w:rPr>
          <w:rFonts w:ascii="Tw Cen MT" w:eastAsia="Twentieth Century" w:hAnsi="Tw Cen MT" w:cs="Twentieth Century"/>
          <w:sz w:val="24"/>
          <w:szCs w:val="24"/>
          <w:lang w:val="en-AU"/>
        </w:rPr>
        <w:t>dari</w:t>
      </w:r>
      <w:proofErr w:type="spellEnd"/>
      <w:r>
        <w:rPr>
          <w:rFonts w:ascii="Tw Cen MT" w:eastAsia="Twentieth Century" w:hAnsi="Tw Cen MT" w:cs="Twentieth Century"/>
          <w:sz w:val="24"/>
          <w:szCs w:val="24"/>
          <w:lang w:val="en-AU"/>
        </w:rPr>
        <w:t xml:space="preserve"> FUJIFILM </w:t>
      </w:r>
      <w:proofErr w:type="spellStart"/>
      <w:r>
        <w:rPr>
          <w:rFonts w:ascii="Tw Cen MT" w:eastAsia="Twentieth Century" w:hAnsi="Tw Cen MT" w:cs="Twentieth Century"/>
          <w:sz w:val="24"/>
          <w:szCs w:val="24"/>
          <w:lang w:val="en-AU"/>
        </w:rPr>
        <w:t>bertipe</w:t>
      </w:r>
      <w:proofErr w:type="spellEnd"/>
      <w:r>
        <w:rPr>
          <w:rFonts w:ascii="Tw Cen MT" w:eastAsia="Twentieth Century" w:hAnsi="Tw Cen MT" w:cs="Twentieth Century"/>
          <w:sz w:val="24"/>
          <w:szCs w:val="24"/>
          <w:lang w:val="en-AU"/>
        </w:rPr>
        <w:t xml:space="preserve"> FDR D-EVO II C35 </w:t>
      </w:r>
      <w:proofErr w:type="spellStart"/>
      <w:r>
        <w:rPr>
          <w:rFonts w:ascii="Tw Cen MT" w:eastAsia="Twentieth Century" w:hAnsi="Tw Cen MT" w:cs="Twentieth Century"/>
          <w:sz w:val="24"/>
          <w:szCs w:val="24"/>
          <w:lang w:val="en-AU"/>
        </w:rPr>
        <w:t>ukuran</w:t>
      </w:r>
      <w:proofErr w:type="spellEnd"/>
      <w:r>
        <w:rPr>
          <w:rFonts w:ascii="Tw Cen MT" w:eastAsia="Twentieth Century" w:hAnsi="Tw Cen MT" w:cs="Twentieth Century"/>
          <w:sz w:val="24"/>
          <w:szCs w:val="24"/>
          <w:lang w:val="en-AU"/>
        </w:rPr>
        <w:t xml:space="preserve"> 35 x 43 cm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sistem</w:t>
      </w:r>
      <w:proofErr w:type="spellEnd"/>
      <w:r>
        <w:rPr>
          <w:rFonts w:ascii="Tw Cen MT" w:eastAsia="Twentieth Century" w:hAnsi="Tw Cen MT" w:cs="Twentieth Century"/>
          <w:sz w:val="24"/>
          <w:szCs w:val="24"/>
          <w:lang w:val="en-AU"/>
        </w:rPr>
        <w:t xml:space="preserve"> </w:t>
      </w:r>
      <w:r w:rsidRPr="00835CD4">
        <w:rPr>
          <w:rFonts w:ascii="Tw Cen MT" w:eastAsia="Twentieth Century" w:hAnsi="Tw Cen MT" w:cs="Twentieth Century"/>
          <w:i/>
          <w:iCs/>
          <w:sz w:val="24"/>
          <w:szCs w:val="24"/>
          <w:lang w:val="en-AU"/>
        </w:rPr>
        <w:t>Indirect-Conversion</w:t>
      </w:r>
      <w:r>
        <w:rPr>
          <w:rFonts w:ascii="Tw Cen MT" w:eastAsia="Twentieth Century" w:hAnsi="Tw Cen MT" w:cs="Twentieth Century"/>
          <w:sz w:val="24"/>
          <w:szCs w:val="24"/>
          <w:lang w:val="en-AU"/>
        </w:rPr>
        <w:t xml:space="preserve"> pada </w:t>
      </w:r>
      <w:proofErr w:type="spellStart"/>
      <w:r>
        <w:rPr>
          <w:rFonts w:ascii="Tw Cen MT" w:eastAsia="Twentieth Century" w:hAnsi="Tw Cen MT" w:cs="Twentieth Century"/>
          <w:sz w:val="24"/>
          <w:szCs w:val="24"/>
          <w:lang w:val="en-AU"/>
        </w:rPr>
        <w:t>gambar</w:t>
      </w:r>
      <w:proofErr w:type="spellEnd"/>
      <w:r>
        <w:rPr>
          <w:rFonts w:ascii="Tw Cen MT" w:eastAsia="Twentieth Century" w:hAnsi="Tw Cen MT" w:cs="Twentieth Century"/>
          <w:sz w:val="24"/>
          <w:szCs w:val="24"/>
          <w:lang w:val="en-AU"/>
        </w:rPr>
        <w:t xml:space="preserve"> 1. </w:t>
      </w:r>
      <w:proofErr w:type="spellStart"/>
      <w:r>
        <w:rPr>
          <w:rFonts w:ascii="Tw Cen MT" w:eastAsia="Twentieth Century" w:hAnsi="Tw Cen MT" w:cs="Twentieth Century"/>
          <w:sz w:val="24"/>
          <w:szCs w:val="24"/>
          <w:lang w:val="en-AU"/>
        </w:rPr>
        <w:t>Analisis</w:t>
      </w:r>
      <w:proofErr w:type="spellEnd"/>
      <w:r>
        <w:rPr>
          <w:rFonts w:ascii="Tw Cen MT" w:eastAsia="Twentieth Century" w:hAnsi="Tw Cen MT" w:cs="Twentieth Century"/>
          <w:sz w:val="24"/>
          <w:szCs w:val="24"/>
          <w:lang w:val="en-AU"/>
        </w:rPr>
        <w:t xml:space="preserve"> </w:t>
      </w:r>
      <w:r w:rsidR="00835CD4" w:rsidRPr="00835CD4">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menggunakan</w:t>
      </w:r>
      <w:proofErr w:type="spellEnd"/>
      <w:r>
        <w:rPr>
          <w:rFonts w:ascii="Tw Cen MT" w:eastAsia="Twentieth Century" w:hAnsi="Tw Cen MT" w:cs="Twentieth Century"/>
          <w:sz w:val="24"/>
          <w:szCs w:val="24"/>
          <w:lang w:val="en-AU"/>
        </w:rPr>
        <w:t xml:space="preserve"> </w:t>
      </w:r>
      <w:r w:rsidRPr="00835CD4">
        <w:rPr>
          <w:rFonts w:ascii="Tw Cen MT" w:eastAsia="Twentieth Century" w:hAnsi="Tw Cen MT" w:cs="Twentieth Century"/>
          <w:i/>
          <w:iCs/>
          <w:sz w:val="24"/>
          <w:szCs w:val="24"/>
          <w:lang w:val="en-AU"/>
        </w:rPr>
        <w:t xml:space="preserve">software </w:t>
      </w:r>
      <w:proofErr w:type="spellStart"/>
      <w:r w:rsidRPr="00835CD4">
        <w:rPr>
          <w:rFonts w:ascii="Tw Cen MT" w:eastAsia="Twentieth Century" w:hAnsi="Tw Cen MT" w:cs="Twentieth Century"/>
          <w:i/>
          <w:iCs/>
          <w:sz w:val="24"/>
          <w:szCs w:val="24"/>
          <w:lang w:val="en-AU"/>
        </w:rPr>
        <w:t>imageJ</w:t>
      </w:r>
      <w:proofErr w:type="spellEnd"/>
      <w:r>
        <w:rPr>
          <w:rFonts w:ascii="Tw Cen MT" w:eastAsia="Twentieth Century" w:hAnsi="Tw Cen MT" w:cs="Twentieth Century"/>
          <w:sz w:val="24"/>
          <w:szCs w:val="24"/>
          <w:lang w:val="en-AU"/>
        </w:rPr>
        <w:t xml:space="preserve"> pada sacral </w:t>
      </w:r>
      <w:proofErr w:type="spellStart"/>
      <w:r>
        <w:rPr>
          <w:rFonts w:ascii="Tw Cen MT" w:eastAsia="Twentieth Century" w:hAnsi="Tw Cen MT" w:cs="Twentieth Century"/>
          <w:sz w:val="24"/>
          <w:szCs w:val="24"/>
          <w:lang w:val="en-AU"/>
        </w:rPr>
        <w:t>pertama</w:t>
      </w:r>
      <w:proofErr w:type="spellEnd"/>
      <w:r>
        <w:rPr>
          <w:rFonts w:ascii="Tw Cen MT" w:eastAsia="Twentieth Century" w:hAnsi="Tw Cen MT" w:cs="Twentieth Century"/>
          <w:sz w:val="24"/>
          <w:szCs w:val="24"/>
          <w:lang w:val="en-AU"/>
        </w:rPr>
        <w:t xml:space="preserve">, sacral </w:t>
      </w:r>
      <w:proofErr w:type="spellStart"/>
      <w:r>
        <w:rPr>
          <w:rFonts w:ascii="Tw Cen MT" w:eastAsia="Twentieth Century" w:hAnsi="Tw Cen MT" w:cs="Twentieth Century"/>
          <w:sz w:val="24"/>
          <w:szCs w:val="24"/>
          <w:lang w:val="en-AU"/>
        </w:rPr>
        <w:t>kedua</w:t>
      </w:r>
      <w:proofErr w:type="spellEnd"/>
      <w:r>
        <w:rPr>
          <w:rFonts w:ascii="Tw Cen MT" w:eastAsia="Twentieth Century" w:hAnsi="Tw Cen MT" w:cs="Twentieth Century"/>
          <w:sz w:val="24"/>
          <w:szCs w:val="24"/>
          <w:lang w:val="en-AU"/>
        </w:rPr>
        <w:t xml:space="preserve">, sacral </w:t>
      </w:r>
      <w:proofErr w:type="spellStart"/>
      <w:r>
        <w:rPr>
          <w:rFonts w:ascii="Tw Cen MT" w:eastAsia="Twentieth Century" w:hAnsi="Tw Cen MT" w:cs="Twentieth Century"/>
          <w:sz w:val="24"/>
          <w:szCs w:val="24"/>
          <w:lang w:val="en-AU"/>
        </w:rPr>
        <w:t>ketiga</w:t>
      </w:r>
      <w:proofErr w:type="spellEnd"/>
      <w:r>
        <w:rPr>
          <w:rFonts w:ascii="Tw Cen MT" w:eastAsia="Twentieth Century" w:hAnsi="Tw Cen MT" w:cs="Twentieth Century"/>
          <w:sz w:val="24"/>
          <w:szCs w:val="24"/>
          <w:lang w:val="en-AU"/>
        </w:rPr>
        <w:t xml:space="preserve">, sacral </w:t>
      </w:r>
      <w:proofErr w:type="spellStart"/>
      <w:r>
        <w:rPr>
          <w:rFonts w:ascii="Tw Cen MT" w:eastAsia="Twentieth Century" w:hAnsi="Tw Cen MT" w:cs="Twentieth Century"/>
          <w:sz w:val="24"/>
          <w:szCs w:val="24"/>
          <w:lang w:val="en-AU"/>
        </w:rPr>
        <w:t>keempat</w:t>
      </w:r>
      <w:proofErr w:type="spellEnd"/>
      <w:r>
        <w:rPr>
          <w:rFonts w:ascii="Tw Cen MT" w:eastAsia="Twentieth Century" w:hAnsi="Tw Cen MT" w:cs="Twentieth Century"/>
          <w:sz w:val="24"/>
          <w:szCs w:val="24"/>
          <w:lang w:val="en-AU"/>
        </w:rPr>
        <w:t xml:space="preserve">, sacral </w:t>
      </w:r>
      <w:proofErr w:type="spellStart"/>
      <w:r>
        <w:rPr>
          <w:rFonts w:ascii="Tw Cen MT" w:eastAsia="Twentieth Century" w:hAnsi="Tw Cen MT" w:cs="Twentieth Century"/>
          <w:sz w:val="24"/>
          <w:szCs w:val="24"/>
          <w:lang w:val="en-AU"/>
        </w:rPr>
        <w:t>kelima</w:t>
      </w:r>
      <w:proofErr w:type="spellEnd"/>
      <w:r>
        <w:rPr>
          <w:rFonts w:ascii="Tw Cen MT" w:eastAsia="Twentieth Century" w:hAnsi="Tw Cen MT" w:cs="Twentieth Century"/>
          <w:sz w:val="24"/>
          <w:szCs w:val="24"/>
          <w:lang w:val="en-AU"/>
        </w:rPr>
        <w:t xml:space="preserve">, </w:t>
      </w:r>
      <w:r w:rsidRPr="00F96CBE">
        <w:rPr>
          <w:rFonts w:ascii="Tw Cen MT" w:eastAsia="Twentieth Century" w:hAnsi="Tw Cen MT" w:cs="Twentieth Century"/>
          <w:i/>
          <w:iCs/>
          <w:sz w:val="24"/>
          <w:szCs w:val="24"/>
          <w:lang w:val="en-AU"/>
        </w:rPr>
        <w:t>coccyx</w:t>
      </w:r>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pertama</w:t>
      </w:r>
      <w:proofErr w:type="spellEnd"/>
      <w:r>
        <w:rPr>
          <w:rFonts w:ascii="Tw Cen MT" w:eastAsia="Twentieth Century" w:hAnsi="Tw Cen MT" w:cs="Twentieth Century"/>
          <w:sz w:val="24"/>
          <w:szCs w:val="24"/>
          <w:lang w:val="en-AU"/>
        </w:rPr>
        <w:t xml:space="preserve"> dan </w:t>
      </w:r>
      <w:r w:rsidRPr="00F96CBE">
        <w:rPr>
          <w:rFonts w:ascii="Tw Cen MT" w:eastAsia="Twentieth Century" w:hAnsi="Tw Cen MT" w:cs="Twentieth Century"/>
          <w:i/>
          <w:iCs/>
          <w:sz w:val="24"/>
          <w:szCs w:val="24"/>
          <w:lang w:val="en-AU"/>
        </w:rPr>
        <w:t>coccyx</w:t>
      </w:r>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kedua</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ROI (</w:t>
      </w:r>
      <w:r w:rsidR="00F96CBE" w:rsidRPr="00F96CBE">
        <w:rPr>
          <w:rFonts w:ascii="Tw Cen MT" w:eastAsia="Twentieth Century" w:hAnsi="Tw Cen MT" w:cs="Twentieth Century"/>
          <w:i/>
          <w:iCs/>
          <w:sz w:val="24"/>
          <w:szCs w:val="24"/>
          <w:lang w:val="en-AU"/>
        </w:rPr>
        <w:t xml:space="preserve">Region </w:t>
      </w:r>
      <w:proofErr w:type="gramStart"/>
      <w:r w:rsidR="00F96CBE" w:rsidRPr="00F96CBE">
        <w:rPr>
          <w:rFonts w:ascii="Tw Cen MT" w:eastAsia="Twentieth Century" w:hAnsi="Tw Cen MT" w:cs="Twentieth Century"/>
          <w:i/>
          <w:iCs/>
          <w:sz w:val="24"/>
          <w:szCs w:val="24"/>
          <w:lang w:val="en-AU"/>
        </w:rPr>
        <w:t>Of</w:t>
      </w:r>
      <w:proofErr w:type="gramEnd"/>
      <w:r w:rsidR="00F96CBE" w:rsidRPr="00F96CBE">
        <w:rPr>
          <w:rFonts w:ascii="Tw Cen MT" w:eastAsia="Twentieth Century" w:hAnsi="Tw Cen MT" w:cs="Twentieth Century"/>
          <w:i/>
          <w:iCs/>
          <w:sz w:val="24"/>
          <w:szCs w:val="24"/>
          <w:lang w:val="en-AU"/>
        </w:rPr>
        <w:t xml:space="preserve"> Interest</w:t>
      </w:r>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berbentuk</w:t>
      </w:r>
      <w:proofErr w:type="spellEnd"/>
      <w:r>
        <w:rPr>
          <w:rFonts w:ascii="Tw Cen MT" w:eastAsia="Twentieth Century" w:hAnsi="Tw Cen MT" w:cs="Twentieth Century"/>
          <w:sz w:val="24"/>
          <w:szCs w:val="24"/>
          <w:lang w:val="en-AU"/>
        </w:rPr>
        <w:t xml:space="preserve"> oval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ukuran</w:t>
      </w:r>
      <w:proofErr w:type="spellEnd"/>
      <w:r>
        <w:rPr>
          <w:rFonts w:ascii="Tw Cen MT" w:eastAsia="Twentieth Century" w:hAnsi="Tw Cen MT" w:cs="Twentieth Century"/>
          <w:sz w:val="24"/>
          <w:szCs w:val="24"/>
          <w:lang w:val="en-AU"/>
        </w:rPr>
        <w:t xml:space="preserve"> diameter 8 mm yang </w:t>
      </w:r>
      <w:proofErr w:type="spellStart"/>
      <w:r>
        <w:rPr>
          <w:rFonts w:ascii="Tw Cen MT" w:eastAsia="Twentieth Century" w:hAnsi="Tw Cen MT" w:cs="Twentieth Century"/>
          <w:sz w:val="24"/>
          <w:szCs w:val="24"/>
          <w:lang w:val="en-AU"/>
        </w:rPr>
        <w:t>ditunjukkan</w:t>
      </w:r>
      <w:proofErr w:type="spellEnd"/>
      <w:r>
        <w:rPr>
          <w:rFonts w:ascii="Tw Cen MT" w:eastAsia="Twentieth Century" w:hAnsi="Tw Cen MT" w:cs="Twentieth Century"/>
          <w:sz w:val="24"/>
          <w:szCs w:val="24"/>
          <w:lang w:val="en-AU"/>
        </w:rPr>
        <w:t xml:space="preserve"> pada </w:t>
      </w:r>
      <w:proofErr w:type="spellStart"/>
      <w:r>
        <w:rPr>
          <w:rFonts w:ascii="Tw Cen MT" w:eastAsia="Twentieth Century" w:hAnsi="Tw Cen MT" w:cs="Twentieth Century"/>
          <w:sz w:val="24"/>
          <w:szCs w:val="24"/>
          <w:lang w:val="en-AU"/>
        </w:rPr>
        <w:t>gambar</w:t>
      </w:r>
      <w:proofErr w:type="spellEnd"/>
      <w:r>
        <w:rPr>
          <w:rFonts w:ascii="Tw Cen MT" w:eastAsia="Twentieth Century" w:hAnsi="Tw Cen MT" w:cs="Twentieth Century"/>
          <w:sz w:val="24"/>
          <w:szCs w:val="24"/>
          <w:lang w:val="en-AU"/>
        </w:rPr>
        <w:t xml:space="preserve"> 2. </w:t>
      </w:r>
      <w:proofErr w:type="spellStart"/>
      <w:r>
        <w:rPr>
          <w:rFonts w:ascii="Tw Cen MT" w:eastAsia="Twentieth Century" w:hAnsi="Tw Cen MT" w:cs="Twentieth Century"/>
          <w:sz w:val="24"/>
          <w:szCs w:val="24"/>
          <w:lang w:val="en-AU"/>
        </w:rPr>
        <w:t>Kemudian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dianalisis</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menghitung</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perbedaan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hasil</w:t>
      </w:r>
      <w:proofErr w:type="spellEnd"/>
      <w:r>
        <w:rPr>
          <w:rFonts w:ascii="Tw Cen MT" w:eastAsia="Twentieth Century" w:hAnsi="Tw Cen MT" w:cs="Twentieth Century"/>
          <w:sz w:val="24"/>
          <w:szCs w:val="24"/>
          <w:lang w:val="en-AU"/>
        </w:rPr>
        <w:t xml:space="preserve"> rata–rata </w:t>
      </w:r>
      <w:proofErr w:type="spellStart"/>
      <w:r>
        <w:rPr>
          <w:rFonts w:ascii="Tw Cen MT" w:eastAsia="Twentieth Century" w:hAnsi="Tw Cen MT" w:cs="Twentieth Century"/>
          <w:sz w:val="24"/>
          <w:szCs w:val="24"/>
          <w:lang w:val="en-AU"/>
        </w:rPr>
        <w:t>nilai</w:t>
      </w:r>
      <w:proofErr w:type="spellEnd"/>
      <w:r>
        <w:rPr>
          <w:rFonts w:ascii="Tw Cen MT" w:eastAsia="Twentieth Century" w:hAnsi="Tw Cen MT" w:cs="Twentieth Century"/>
          <w:sz w:val="24"/>
          <w:szCs w:val="24"/>
          <w:lang w:val="en-AU"/>
        </w:rPr>
        <w:t xml:space="preserve">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antara</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penggunaan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variasi</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rasio</w:t>
      </w:r>
      <w:proofErr w:type="spellEnd"/>
      <w:r>
        <w:rPr>
          <w:rFonts w:ascii="Tw Cen MT" w:eastAsia="Twentieth Century" w:hAnsi="Tw Cen MT" w:cs="Twentieth Century"/>
          <w:sz w:val="24"/>
          <w:szCs w:val="24"/>
          <w:lang w:val="en-AU"/>
        </w:rPr>
        <w:t xml:space="preserve"> </w:t>
      </w:r>
      <w:r w:rsidR="00FD7CA4" w:rsidRPr="00FD7CA4">
        <w:rPr>
          <w:rFonts w:ascii="Tw Cen MT" w:eastAsia="Twentieth Century" w:hAnsi="Tw Cen MT" w:cs="Twentieth Century"/>
          <w:i/>
          <w:iCs/>
          <w:sz w:val="24"/>
          <w:szCs w:val="24"/>
          <w:lang w:val="en-AU"/>
        </w:rPr>
        <w:t>Virtual Grid</w:t>
      </w:r>
      <w:r>
        <w:rPr>
          <w:rFonts w:ascii="Tw Cen MT" w:eastAsia="Twentieth Century" w:hAnsi="Tw Cen MT" w:cs="Twentieth Century"/>
          <w:sz w:val="24"/>
          <w:szCs w:val="24"/>
          <w:lang w:val="en-AU"/>
        </w:rPr>
        <w:t xml:space="preserve"> 8:1, </w:t>
      </w:r>
      <w:r>
        <w:rPr>
          <w:rFonts w:ascii="Tw Cen MT" w:eastAsia="Twentieth Century" w:hAnsi="Tw Cen MT" w:cs="Twentieth Century"/>
          <w:sz w:val="24"/>
          <w:szCs w:val="24"/>
          <w:lang w:val="en-AU"/>
        </w:rPr>
        <w:lastRenderedPageBreak/>
        <w:t xml:space="preserve">10:1 dan 12:1 </w:t>
      </w:r>
      <w:proofErr w:type="spellStart"/>
      <w:r>
        <w:rPr>
          <w:rFonts w:ascii="Tw Cen MT" w:eastAsia="Twentieth Century" w:hAnsi="Tw Cen MT" w:cs="Twentieth Century"/>
          <w:sz w:val="24"/>
          <w:szCs w:val="24"/>
          <w:lang w:val="en-AU"/>
        </w:rPr>
        <w:t>serta</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untuk</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mengetahui</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secara</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statistik</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adanya</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perbedaan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membandingkan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nilai</w:t>
      </w:r>
      <w:proofErr w:type="spellEnd"/>
      <w:r>
        <w:rPr>
          <w:rFonts w:ascii="Tw Cen MT" w:eastAsia="Twentieth Century" w:hAnsi="Tw Cen MT" w:cs="Twentieth Century"/>
          <w:sz w:val="24"/>
          <w:szCs w:val="24"/>
          <w:lang w:val="en-AU"/>
        </w:rPr>
        <w:t xml:space="preserve"> rata-rata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sz w:val="24"/>
          <w:szCs w:val="24"/>
          <w:lang w:val="en-AU"/>
        </w:rPr>
        <w:t xml:space="preserve">pada </w:t>
      </w:r>
      <w:proofErr w:type="spellStart"/>
      <w:r>
        <w:rPr>
          <w:rFonts w:ascii="Tw Cen MT" w:eastAsia="Twentieth Century" w:hAnsi="Tw Cen MT" w:cs="Twentieth Century"/>
          <w:sz w:val="24"/>
          <w:szCs w:val="24"/>
          <w:lang w:val="en-AU"/>
        </w:rPr>
        <w:t>variasi</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rasio</w:t>
      </w:r>
      <w:proofErr w:type="spellEnd"/>
      <w:r>
        <w:rPr>
          <w:rFonts w:ascii="Tw Cen MT" w:eastAsia="Twentieth Century" w:hAnsi="Tw Cen MT" w:cs="Twentieth Century"/>
          <w:sz w:val="24"/>
          <w:szCs w:val="24"/>
          <w:lang w:val="en-AU"/>
        </w:rPr>
        <w:t xml:space="preserve"> </w:t>
      </w:r>
      <w:r w:rsidR="00FD7CA4" w:rsidRPr="00FD7CA4">
        <w:rPr>
          <w:rFonts w:ascii="Tw Cen MT" w:eastAsia="Twentieth Century" w:hAnsi="Tw Cen MT" w:cs="Twentieth Century"/>
          <w:i/>
          <w:iCs/>
          <w:sz w:val="24"/>
          <w:szCs w:val="24"/>
          <w:lang w:val="en-AU"/>
        </w:rPr>
        <w:t>Virtual Grid</w:t>
      </w:r>
      <w:r w:rsidR="00FD7CA4">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menggunakan</w:t>
      </w:r>
      <w:proofErr w:type="spellEnd"/>
      <w:r>
        <w:rPr>
          <w:rFonts w:ascii="Tw Cen MT" w:eastAsia="Twentieth Century" w:hAnsi="Tw Cen MT" w:cs="Twentieth Century"/>
          <w:sz w:val="24"/>
          <w:szCs w:val="24"/>
          <w:lang w:val="en-AU"/>
        </w:rPr>
        <w:t xml:space="preserve"> uji </w:t>
      </w:r>
      <w:r w:rsidRPr="00835CD4">
        <w:rPr>
          <w:rFonts w:ascii="Tw Cen MT" w:eastAsia="Twentieth Century" w:hAnsi="Tw Cen MT" w:cs="Twentieth Century"/>
          <w:i/>
          <w:iCs/>
          <w:sz w:val="24"/>
          <w:szCs w:val="24"/>
          <w:lang w:val="en-AU"/>
        </w:rPr>
        <w:t>One-Way ANOVA</w:t>
      </w:r>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dengan</w:t>
      </w:r>
      <w:proofErr w:type="spellEnd"/>
      <w:r>
        <w:rPr>
          <w:rFonts w:ascii="Tw Cen MT" w:eastAsia="Twentieth Century" w:hAnsi="Tw Cen MT" w:cs="Twentieth Century"/>
          <w:sz w:val="24"/>
          <w:szCs w:val="24"/>
          <w:lang w:val="en-AU"/>
        </w:rPr>
        <w:t xml:space="preserve"> </w:t>
      </w:r>
      <w:proofErr w:type="spellStart"/>
      <w:r>
        <w:rPr>
          <w:rFonts w:ascii="Tw Cen MT" w:eastAsia="Twentieth Century" w:hAnsi="Tw Cen MT" w:cs="Twentieth Century"/>
          <w:sz w:val="24"/>
          <w:szCs w:val="24"/>
          <w:lang w:val="en-AU"/>
        </w:rPr>
        <w:t>nilai</w:t>
      </w:r>
      <w:proofErr w:type="spellEnd"/>
      <w:r>
        <w:rPr>
          <w:rFonts w:ascii="Tw Cen MT" w:eastAsia="Twentieth Century" w:hAnsi="Tw Cen MT" w:cs="Twentieth Century"/>
          <w:sz w:val="24"/>
          <w:szCs w:val="24"/>
          <w:lang w:val="en-AU"/>
        </w:rPr>
        <w:t xml:space="preserve"> </w:t>
      </w:r>
      <w:r w:rsidRPr="00835CD4">
        <w:rPr>
          <w:rFonts w:ascii="Tw Cen MT" w:eastAsia="Twentieth Century" w:hAnsi="Tw Cen MT" w:cs="Twentieth Century"/>
          <w:i/>
          <w:iCs/>
          <w:sz w:val="24"/>
          <w:szCs w:val="24"/>
          <w:lang w:val="en-AU"/>
        </w:rPr>
        <w:t>p-value</w:t>
      </w:r>
      <w:r>
        <w:rPr>
          <w:rFonts w:ascii="Tw Cen MT" w:eastAsia="Twentieth Century" w:hAnsi="Tw Cen MT" w:cs="Twentieth Century"/>
          <w:sz w:val="24"/>
          <w:szCs w:val="24"/>
          <w:lang w:val="en-AU"/>
        </w:rPr>
        <w:t xml:space="preserve"> 0,05.</w:t>
      </w:r>
    </w:p>
    <w:p w14:paraId="3303F3C1" w14:textId="77777777" w:rsidR="007E6AEC" w:rsidRDefault="00000000">
      <w:pPr>
        <w:tabs>
          <w:tab w:val="left" w:pos="426"/>
        </w:tabs>
        <w:spacing w:after="0"/>
        <w:jc w:val="center"/>
        <w:rPr>
          <w:rFonts w:ascii="Tw Cen MT" w:eastAsia="Twentieth Century" w:hAnsi="Tw Cen MT" w:cs="Twentieth Century"/>
          <w:sz w:val="24"/>
          <w:szCs w:val="24"/>
          <w:lang w:val="en-AU"/>
        </w:rPr>
      </w:pPr>
      <w:r>
        <w:rPr>
          <w:noProof/>
        </w:rPr>
        <w:drawing>
          <wp:inline distT="0" distB="0" distL="0" distR="0" wp14:anchorId="4FE76E2D" wp14:editId="7C7AA45D">
            <wp:extent cx="1440000" cy="1440000"/>
            <wp:effectExtent l="0" t="0" r="8255" b="8255"/>
            <wp:docPr id="1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21" cstate="print"/>
                    <a:srcRect l="30723" t="16552" r="49422" b="48133"/>
                    <a:stretch/>
                  </pic:blipFill>
                  <pic:spPr>
                    <a:xfrm>
                      <a:off x="0" y="0"/>
                      <a:ext cx="1440000" cy="1440000"/>
                    </a:xfrm>
                    <a:prstGeom prst="rect">
                      <a:avLst/>
                    </a:prstGeom>
                    <a:ln>
                      <a:noFill/>
                    </a:ln>
                  </pic:spPr>
                </pic:pic>
              </a:graphicData>
            </a:graphic>
          </wp:inline>
        </w:drawing>
      </w:r>
    </w:p>
    <w:p w14:paraId="39AAF74C" w14:textId="715175C5" w:rsidR="007E6AEC" w:rsidRDefault="00000000">
      <w:pPr>
        <w:tabs>
          <w:tab w:val="left" w:pos="426"/>
        </w:tabs>
        <w:spacing w:after="0"/>
        <w:jc w:val="center"/>
        <w:rPr>
          <w:rFonts w:ascii="Tw Cen MT" w:eastAsia="Twentieth Century" w:hAnsi="Tw Cen MT" w:cs="Twentieth Century"/>
          <w:sz w:val="20"/>
          <w:szCs w:val="20"/>
          <w:lang w:val="id-ID"/>
        </w:rPr>
      </w:pPr>
      <w:r>
        <w:rPr>
          <w:rFonts w:ascii="Tw Cen MT" w:eastAsia="Twentieth Century" w:hAnsi="Tw Cen MT" w:cs="Twentieth Century"/>
          <w:sz w:val="20"/>
          <w:szCs w:val="20"/>
          <w:lang w:val="id-ID"/>
        </w:rPr>
        <w:t xml:space="preserve">Gambar 2. Pengukuran </w:t>
      </w:r>
      <w:r w:rsidR="00FD7CA4" w:rsidRPr="00FD7CA4">
        <w:rPr>
          <w:rFonts w:ascii="Tw Cen MT" w:eastAsia="Twentieth Century" w:hAnsi="Tw Cen MT" w:cs="Twentieth Century"/>
          <w:i/>
          <w:sz w:val="20"/>
          <w:szCs w:val="20"/>
          <w:lang w:val="id-ID"/>
        </w:rPr>
        <w:t>Pixel Value</w:t>
      </w:r>
      <w:r>
        <w:rPr>
          <w:rFonts w:ascii="Tw Cen MT" w:eastAsia="Twentieth Century" w:hAnsi="Tw Cen MT" w:cs="Twentieth Century"/>
          <w:sz w:val="20"/>
          <w:szCs w:val="20"/>
          <w:lang w:val="id-ID"/>
        </w:rPr>
        <w:t xml:space="preserve"> Pada Citra OS Sacrum proyeksi Lateral</w:t>
      </w:r>
    </w:p>
    <w:p w14:paraId="6EDE03AF" w14:textId="77777777" w:rsidR="007E6AEC" w:rsidRDefault="007E6AEC">
      <w:pPr>
        <w:tabs>
          <w:tab w:val="left" w:pos="426"/>
        </w:tabs>
        <w:spacing w:after="0"/>
        <w:jc w:val="center"/>
        <w:rPr>
          <w:rFonts w:ascii="Tw Cen MT" w:eastAsia="Twentieth Century" w:hAnsi="Tw Cen MT" w:cs="Twentieth Century"/>
          <w:sz w:val="20"/>
          <w:szCs w:val="20"/>
          <w:lang w:val="id-ID"/>
        </w:rPr>
      </w:pPr>
    </w:p>
    <w:p w14:paraId="5640520D" w14:textId="77777777" w:rsidR="007E6AEC" w:rsidRDefault="00000000">
      <w:pPr>
        <w:tabs>
          <w:tab w:val="left" w:pos="426"/>
        </w:tabs>
        <w:spacing w:after="0"/>
        <w:jc w:val="both"/>
        <w:rPr>
          <w:rFonts w:ascii="Tw Cen MT" w:eastAsia="Twentieth Century" w:hAnsi="Tw Cen MT" w:cs="Twentieth Century"/>
          <w:b/>
          <w:sz w:val="24"/>
          <w:szCs w:val="24"/>
        </w:rPr>
      </w:pPr>
      <w:r>
        <w:rPr>
          <w:rFonts w:ascii="Tw Cen MT" w:eastAsia="Twentieth Century" w:hAnsi="Tw Cen MT" w:cs="Twentieth Century"/>
          <w:b/>
          <w:sz w:val="24"/>
          <w:szCs w:val="24"/>
        </w:rPr>
        <w:t>HASIL DAN PEMBAHASAN</w:t>
      </w:r>
    </w:p>
    <w:p w14:paraId="041CEC44" w14:textId="1D505967" w:rsidR="007E6AEC" w:rsidRDefault="00000000">
      <w:pPr>
        <w:tabs>
          <w:tab w:val="left" w:pos="426"/>
        </w:tabs>
        <w:spacing w:after="0" w:line="240" w:lineRule="auto"/>
        <w:jc w:val="both"/>
        <w:rPr>
          <w:rFonts w:ascii="Tw Cen MT" w:eastAsia="Twentieth Century" w:hAnsi="Tw Cen MT" w:cs="Twentieth Century"/>
          <w:sz w:val="24"/>
          <w:szCs w:val="24"/>
        </w:rPr>
      </w:pPr>
      <w:r>
        <w:rPr>
          <w:rFonts w:ascii="Tw Cen MT" w:eastAsia="Twentieth Century" w:hAnsi="Tw Cen MT" w:cs="Twentieth Century"/>
          <w:sz w:val="24"/>
          <w:szCs w:val="24"/>
        </w:rPr>
        <w:t xml:space="preserve">Pada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dilakukan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pengujian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kesesuaian</w:t>
      </w:r>
      <w:proofErr w:type="spellEnd"/>
      <w:r>
        <w:rPr>
          <w:rFonts w:ascii="Tw Cen MT" w:eastAsia="Twentieth Century" w:hAnsi="Tw Cen MT" w:cs="Twentieth Century"/>
          <w:sz w:val="24"/>
          <w:szCs w:val="24"/>
        </w:rPr>
        <w:t xml:space="preserve"> pada </w:t>
      </w:r>
      <w:proofErr w:type="spellStart"/>
      <w:r>
        <w:rPr>
          <w:rFonts w:ascii="Tw Cen MT" w:eastAsia="Twentieth Century" w:hAnsi="Tw Cen MT" w:cs="Twentieth Century"/>
          <w:sz w:val="24"/>
          <w:szCs w:val="24"/>
        </w:rPr>
        <w:t>peralatan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pesawat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sinar</w:t>
      </w:r>
      <w:proofErr w:type="spellEnd"/>
      <w:r>
        <w:rPr>
          <w:rFonts w:ascii="Tw Cen MT" w:eastAsia="Twentieth Century" w:hAnsi="Tw Cen MT" w:cs="Twentieth Century"/>
          <w:sz w:val="24"/>
          <w:szCs w:val="24"/>
        </w:rPr>
        <w:t xml:space="preserve">-X dan </w:t>
      </w:r>
      <w:proofErr w:type="spellStart"/>
      <w:r>
        <w:rPr>
          <w:rFonts w:ascii="Tw Cen MT" w:eastAsia="Twentieth Century" w:hAnsi="Tw Cen MT" w:cs="Twentieth Century"/>
          <w:sz w:val="24"/>
          <w:szCs w:val="24"/>
        </w:rPr>
        <w:t>detektor</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untuk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memastikan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keandalan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peralatan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berdasarkan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rekomendasi</w:t>
      </w:r>
      <w:proofErr w:type="spellEnd"/>
      <w:r>
        <w:rPr>
          <w:rFonts w:ascii="Tw Cen MT" w:eastAsia="Twentieth Century" w:hAnsi="Tw Cen MT" w:cs="Twentieth Century"/>
          <w:sz w:val="24"/>
          <w:szCs w:val="24"/>
        </w:rPr>
        <w:t xml:space="preserve"> BAPETEN dan AAPM TG 150, </w:t>
      </w:r>
      <w:proofErr w:type="spellStart"/>
      <w:r>
        <w:rPr>
          <w:rFonts w:ascii="Tw Cen MT" w:eastAsia="Twentieth Century" w:hAnsi="Tw Cen MT" w:cs="Twentieth Century"/>
          <w:sz w:val="24"/>
          <w:szCs w:val="24"/>
        </w:rPr>
        <w:t>dengan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pengujian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menunjukkan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setiap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peralatan</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digunakan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peralatan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dalam</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kondisi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andal</w:t>
      </w:r>
      <w:proofErr w:type="spellEnd"/>
      <w:r>
        <w:rPr>
          <w:rFonts w:ascii="Tw Cen MT" w:eastAsia="Twentieth Century" w:hAnsi="Tw Cen MT" w:cs="Twentieth Century"/>
          <w:sz w:val="24"/>
          <w:szCs w:val="24"/>
        </w:rPr>
        <w:t xml:space="preserve"> </w:t>
      </w:r>
      <w:r>
        <w:rPr>
          <w:rFonts w:ascii="Tw Cen MT" w:eastAsia="Twentieth Century" w:hAnsi="Tw Cen MT" w:cs="Twentieth Century"/>
          <w:sz w:val="24"/>
          <w:szCs w:val="24"/>
        </w:rPr>
        <w:fldChar w:fldCharType="begin" w:fldLock="1"/>
      </w:r>
      <w:r w:rsidR="0028736F">
        <w:rPr>
          <w:rFonts w:ascii="Tw Cen MT" w:eastAsia="Twentieth Century" w:hAnsi="Tw Cen MT" w:cs="Twentieth Century"/>
          <w:sz w:val="24"/>
          <w:szCs w:val="24"/>
        </w:rPr>
        <w:instrText>ADDIN CSL_CITATION {"citationItems":[{"id":"ITEM-1","itemData":{"abstract":"Peraturan Badan ini mengatur tentang kewajiban uji kesesuaian, lembaga uji kesesuaian, tata laksana penunjukan lembaga uji kesesuaian, survailen, pelatihan uji kesesuaian, rekaman dan laporan, dan sanksi administrastif","author":[{"dropping-particle":"","family":"BAPETEN REPUBLIK INDONESIA","given":"","non-dropping-particle":"","parse-names":false,"suffix":""}],"container-title":"Bapeten Republik Indonesia","id":"ITEM-1","issued":{"date-parts":[["2018"]]},"page":"1-73","title":"Peraturan Badan Pengawas Tenaga Nuklir Republik Indonesia Nomor 2 Tahun 2Oi8\nTentang Uji Kesesuaian Pesawat Sinar-X Radiologi Diagnostik Dan in Tervensional","type":"article-journal"},"uris":["http://www.mendeley.com/documents/?uuid=14607e1d-7a68-42db-b550-4605ca699ba0"]},{"id":"ITEM-2","itemData":{"ISBN":"9781936366200","author":[{"dropping-particle":"","family":"Report","given":"The","non-dropping-particle":"","parse-names":false,"suffix":""},{"dropping-particle":"","family":"Group","given":"Aapm Task","non-dropping-particle":"","parse-names":false,"suffix":""}],"id":"ITEM-2","issue":"150","issued":{"date-parts":[["2024"]]},"title":"Acceptance Testing and Quality Control of Digital Radiographic Imaging Systems The Report of AAPM Task Group 150","type":"book"},"uris":["http://www.mendeley.com/documents/?uuid=9bddea38-969a-4250-bfda-a80e53630569"]}],"mendeley":{"formattedCitation":"[7], [8]","plainTextFormattedCitation":"[7], [8]","previouslyFormattedCitation":"[6], [7]"},"properties":{"noteIndex":0},"schema":"https://github.com/citation-style-language/schema/raw/master/csl-citation.json"}</w:instrText>
      </w:r>
      <w:r>
        <w:rPr>
          <w:rFonts w:ascii="Tw Cen MT" w:eastAsia="Twentieth Century" w:hAnsi="Tw Cen MT" w:cs="Twentieth Century"/>
          <w:sz w:val="24"/>
          <w:szCs w:val="24"/>
        </w:rPr>
        <w:fldChar w:fldCharType="separate"/>
      </w:r>
      <w:r w:rsidR="0028736F" w:rsidRPr="0028736F">
        <w:rPr>
          <w:rFonts w:ascii="Tw Cen MT" w:eastAsia="Twentieth Century" w:hAnsi="Tw Cen MT" w:cs="Twentieth Century"/>
          <w:noProof/>
          <w:sz w:val="24"/>
          <w:szCs w:val="24"/>
        </w:rPr>
        <w:t>[7], [8]</w:t>
      </w:r>
      <w:r>
        <w:rPr>
          <w:rFonts w:ascii="Tw Cen MT" w:eastAsia="Twentieth Century" w:hAnsi="Tw Cen MT" w:cs="Twentieth Century"/>
          <w:sz w:val="24"/>
          <w:szCs w:val="24"/>
        </w:rPr>
        <w:fldChar w:fldCharType="end"/>
      </w:r>
      <w:r>
        <w:rPr>
          <w:rFonts w:ascii="Tw Cen MT" w:eastAsia="Twentieth Century" w:hAnsi="Tw Cen MT" w:cs="Twentieth Century"/>
          <w:sz w:val="24"/>
          <w:szCs w:val="24"/>
        </w:rPr>
        <w:t xml:space="preserve">. </w:t>
      </w:r>
    </w:p>
    <w:p w14:paraId="256B7409" w14:textId="77777777" w:rsidR="007153B4" w:rsidRDefault="007153B4">
      <w:pPr>
        <w:tabs>
          <w:tab w:val="left" w:pos="426"/>
        </w:tabs>
        <w:spacing w:after="0" w:line="240" w:lineRule="auto"/>
        <w:jc w:val="both"/>
        <w:rPr>
          <w:rFonts w:ascii="Tw Cen MT" w:eastAsia="Twentieth Century" w:hAnsi="Tw Cen MT" w:cs="Twentieth Century"/>
          <w:sz w:val="24"/>
          <w:szCs w:val="24"/>
        </w:rPr>
      </w:pPr>
    </w:p>
    <w:p w14:paraId="64A09B15" w14:textId="77777777" w:rsidR="007E6AEC" w:rsidRDefault="00000000">
      <w:pPr>
        <w:tabs>
          <w:tab w:val="left" w:pos="426"/>
        </w:tabs>
        <w:spacing w:after="0" w:line="240" w:lineRule="auto"/>
        <w:jc w:val="both"/>
        <w:rPr>
          <w:rFonts w:ascii="Tw Cen MT" w:eastAsia="Twentieth Century" w:hAnsi="Tw Cen MT" w:cs="Twentieth Century"/>
          <w:sz w:val="24"/>
          <w:szCs w:val="24"/>
        </w:rPr>
      </w:pPr>
      <w:r>
        <w:rPr>
          <w:noProof/>
          <w:sz w:val="20"/>
          <w:szCs w:val="20"/>
          <w:lang w:val="sv-SE"/>
        </w:rPr>
        <w:drawing>
          <wp:inline distT="0" distB="0" distL="0" distR="0" wp14:anchorId="080072D5" wp14:editId="622736A0">
            <wp:extent cx="2695021" cy="1620000"/>
            <wp:effectExtent l="0" t="0" r="0" b="0"/>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22" cstate="print"/>
                    <a:srcRect/>
                    <a:stretch/>
                  </pic:blipFill>
                  <pic:spPr>
                    <a:xfrm>
                      <a:off x="0" y="0"/>
                      <a:ext cx="2695021" cy="1620000"/>
                    </a:xfrm>
                    <a:prstGeom prst="rect">
                      <a:avLst/>
                    </a:prstGeom>
                  </pic:spPr>
                </pic:pic>
              </a:graphicData>
            </a:graphic>
          </wp:inline>
        </w:drawing>
      </w:r>
    </w:p>
    <w:p w14:paraId="006A5F2E" w14:textId="2DD9461C" w:rsidR="007E6AEC" w:rsidRDefault="00000000">
      <w:pPr>
        <w:tabs>
          <w:tab w:val="left" w:pos="426"/>
        </w:tabs>
        <w:spacing w:after="0"/>
        <w:jc w:val="center"/>
        <w:rPr>
          <w:rFonts w:ascii="Tw Cen MT" w:eastAsia="Twentieth Century" w:hAnsi="Tw Cen MT" w:cs="Twentieth Century"/>
          <w:sz w:val="20"/>
          <w:szCs w:val="20"/>
          <w:lang w:val="sv-SE"/>
        </w:rPr>
      </w:pPr>
      <w:r>
        <w:rPr>
          <w:rFonts w:ascii="Tw Cen MT" w:eastAsia="Twentieth Century" w:hAnsi="Tw Cen MT" w:cs="Twentieth Century"/>
          <w:sz w:val="20"/>
          <w:szCs w:val="20"/>
          <w:lang w:val="sv-SE"/>
        </w:rPr>
        <w:t xml:space="preserve">Gambar 3. Nilai </w:t>
      </w:r>
      <w:r w:rsidR="00FD7CA4" w:rsidRPr="00FD7CA4">
        <w:rPr>
          <w:rFonts w:ascii="Tw Cen MT" w:eastAsia="Twentieth Century" w:hAnsi="Tw Cen MT" w:cs="Twentieth Century"/>
          <w:i/>
          <w:iCs/>
          <w:sz w:val="20"/>
          <w:szCs w:val="20"/>
          <w:lang w:val="sv-SE"/>
        </w:rPr>
        <w:t>Pixel Value</w:t>
      </w:r>
      <w:r w:rsidRPr="00FD7CA4">
        <w:rPr>
          <w:rFonts w:ascii="Tw Cen MT" w:eastAsia="Twentieth Century" w:hAnsi="Tw Cen MT" w:cs="Twentieth Century"/>
          <w:i/>
          <w:iCs/>
          <w:sz w:val="20"/>
          <w:szCs w:val="20"/>
          <w:lang w:val="sv-SE"/>
        </w:rPr>
        <w:t xml:space="preserve"> </w:t>
      </w:r>
      <w:r>
        <w:rPr>
          <w:rFonts w:ascii="Tw Cen MT" w:eastAsia="Twentieth Century" w:hAnsi="Tw Cen MT" w:cs="Twentieth Century"/>
          <w:sz w:val="20"/>
          <w:szCs w:val="20"/>
          <w:lang w:val="sv-SE"/>
        </w:rPr>
        <w:t xml:space="preserve">pada penggunaan Variasi rasio </w:t>
      </w:r>
      <w:r w:rsidR="00FD7CA4" w:rsidRPr="00FD7CA4">
        <w:rPr>
          <w:rFonts w:ascii="Tw Cen MT" w:eastAsia="Twentieth Century" w:hAnsi="Tw Cen MT" w:cs="Twentieth Century"/>
          <w:i/>
          <w:iCs/>
          <w:sz w:val="20"/>
          <w:szCs w:val="20"/>
          <w:lang w:val="sv-SE"/>
        </w:rPr>
        <w:t>Virtual Grid</w:t>
      </w:r>
    </w:p>
    <w:p w14:paraId="0BD2266E" w14:textId="77777777" w:rsidR="007E6AEC" w:rsidRDefault="007E6AEC">
      <w:pPr>
        <w:tabs>
          <w:tab w:val="left" w:pos="426"/>
        </w:tabs>
        <w:spacing w:after="0" w:line="240" w:lineRule="auto"/>
        <w:jc w:val="both"/>
        <w:rPr>
          <w:rFonts w:ascii="Tw Cen MT" w:eastAsia="Twentieth Century" w:hAnsi="Tw Cen MT" w:cs="Twentieth Century"/>
          <w:sz w:val="24"/>
          <w:szCs w:val="24"/>
          <w:lang w:val="sv-SE"/>
        </w:rPr>
      </w:pPr>
    </w:p>
    <w:p w14:paraId="1818FEB7" w14:textId="653ECB0E" w:rsidR="007E6AEC" w:rsidRDefault="00000000">
      <w:pPr>
        <w:tabs>
          <w:tab w:val="left" w:pos="426"/>
        </w:tabs>
        <w:spacing w:after="0" w:line="240" w:lineRule="auto"/>
        <w:jc w:val="both"/>
        <w:rPr>
          <w:rFonts w:ascii="Tw Cen MT" w:eastAsia="Twentieth Century" w:hAnsi="Tw Cen MT" w:cs="Twentieth Century"/>
          <w:sz w:val="24"/>
          <w:szCs w:val="24"/>
          <w:lang w:val="sv-SE"/>
        </w:rPr>
      </w:pPr>
      <w:proofErr w:type="spellStart"/>
      <w:r>
        <w:rPr>
          <w:rFonts w:ascii="Tw Cen MT" w:eastAsia="Twentieth Century" w:hAnsi="Tw Cen MT" w:cs="Twentieth Century"/>
          <w:sz w:val="24"/>
          <w:szCs w:val="24"/>
        </w:rPr>
        <w:t>Berdasarkan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penelitian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ini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dapat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dilihat</w:t>
      </w:r>
      <w:proofErr w:type="spellEnd"/>
      <w:r>
        <w:rPr>
          <w:rFonts w:ascii="Tw Cen MT" w:eastAsia="Twentieth Century" w:hAnsi="Tw Cen MT" w:cs="Twentieth Century"/>
          <w:sz w:val="24"/>
          <w:szCs w:val="24"/>
        </w:rPr>
        <w:t xml:space="preserve"> pada Gambar </w:t>
      </w:r>
      <w:proofErr w:type="gramStart"/>
      <w:r>
        <w:rPr>
          <w:rFonts w:ascii="Tw Cen MT" w:eastAsia="Twentieth Century" w:hAnsi="Tw Cen MT" w:cs="Twentieth Century"/>
          <w:sz w:val="24"/>
          <w:szCs w:val="24"/>
        </w:rPr>
        <w:t>3,  pada</w:t>
      </w:r>
      <w:proofErr w:type="gram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8:1 </w:t>
      </w:r>
      <w:proofErr w:type="spellStart"/>
      <w:r>
        <w:rPr>
          <w:rFonts w:ascii="Tw Cen MT" w:eastAsia="Twentieth Century" w:hAnsi="Tw Cen MT" w:cs="Twentieth Century"/>
          <w:sz w:val="24"/>
          <w:szCs w:val="24"/>
        </w:rPr>
        <w:t>didapatkan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rerata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sz w:val="24"/>
          <w:szCs w:val="24"/>
        </w:rPr>
        <w:t xml:space="preserve">150,94. pada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10:1 </w:t>
      </w:r>
      <w:proofErr w:type="spellStart"/>
      <w:r>
        <w:rPr>
          <w:rFonts w:ascii="Tw Cen MT" w:eastAsia="Twentieth Century" w:hAnsi="Tw Cen MT" w:cs="Twentieth Century"/>
          <w:sz w:val="24"/>
          <w:szCs w:val="24"/>
        </w:rPr>
        <w:t>didapatkan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rerata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sz w:val="24"/>
          <w:szCs w:val="24"/>
        </w:rPr>
        <w:t xml:space="preserve">150,46. Pada </w:t>
      </w:r>
      <w:proofErr w:type="spellStart"/>
      <w:r>
        <w:rPr>
          <w:rFonts w:ascii="Tw Cen MT" w:eastAsia="Twentieth Century" w:hAnsi="Tw Cen MT" w:cs="Twentieth Century"/>
          <w:sz w:val="24"/>
          <w:szCs w:val="24"/>
        </w:rPr>
        <w:t>penggunaan</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iCs/>
          <w:sz w:val="24"/>
          <w:szCs w:val="24"/>
        </w:rPr>
        <w:t>Virtual Grid</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12:1 </w:t>
      </w:r>
      <w:proofErr w:type="spellStart"/>
      <w:r>
        <w:rPr>
          <w:rFonts w:ascii="Tw Cen MT" w:eastAsia="Twentieth Century" w:hAnsi="Tw Cen MT" w:cs="Twentieth Century"/>
          <w:sz w:val="24"/>
          <w:szCs w:val="24"/>
        </w:rPr>
        <w:t>didapatkan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hasil</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rerata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sz w:val="24"/>
          <w:szCs w:val="24"/>
        </w:rPr>
        <w:t>152, 75.</w:t>
      </w:r>
    </w:p>
    <w:p w14:paraId="11F06CAA" w14:textId="7AFAF19F" w:rsidR="007E6AEC" w:rsidRDefault="00000000">
      <w:pPr>
        <w:tabs>
          <w:tab w:val="left" w:pos="426"/>
        </w:tabs>
        <w:spacing w:after="0"/>
        <w:jc w:val="both"/>
        <w:rPr>
          <w:rFonts w:ascii="Tw Cen MT" w:eastAsia="Twentieth Century" w:hAnsi="Tw Cen MT" w:cs="Twentieth Century"/>
          <w:sz w:val="24"/>
          <w:szCs w:val="24"/>
          <w:lang w:val="sv-SE"/>
        </w:rPr>
      </w:pPr>
      <w:r>
        <w:rPr>
          <w:rFonts w:ascii="Tw Cen MT" w:eastAsia="Twentieth Century" w:hAnsi="Tw Cen MT" w:cs="Twentieth Century"/>
          <w:sz w:val="24"/>
          <w:szCs w:val="24"/>
          <w:lang w:val="sv-SE"/>
        </w:rPr>
        <w:t xml:space="preserve">Untuk mengetahui perbedaan rerata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sz w:val="24"/>
          <w:szCs w:val="24"/>
          <w:lang w:val="sv-SE"/>
        </w:rPr>
        <w:t xml:space="preserve">pada variasi </w:t>
      </w:r>
      <w:r w:rsidR="00FD7CA4" w:rsidRPr="00FD7CA4">
        <w:rPr>
          <w:rFonts w:ascii="Tw Cen MT" w:eastAsia="Twentieth Century" w:hAnsi="Tw Cen MT" w:cs="Twentieth Century"/>
          <w:i/>
          <w:iCs/>
          <w:sz w:val="24"/>
          <w:szCs w:val="24"/>
          <w:lang w:val="sv-SE"/>
        </w:rPr>
        <w:t>Virtual Grid</w:t>
      </w:r>
      <w:r w:rsidR="00FD7CA4">
        <w:rPr>
          <w:rFonts w:ascii="Tw Cen MT" w:eastAsia="Twentieth Century" w:hAnsi="Tw Cen MT" w:cs="Twentieth Century"/>
          <w:sz w:val="24"/>
          <w:szCs w:val="24"/>
          <w:lang w:val="sv-SE"/>
        </w:rPr>
        <w:t xml:space="preserve"> </w:t>
      </w:r>
      <w:r>
        <w:rPr>
          <w:rFonts w:ascii="Tw Cen MT" w:eastAsia="Twentieth Century" w:hAnsi="Tw Cen MT" w:cs="Twentieth Century"/>
          <w:sz w:val="24"/>
          <w:szCs w:val="24"/>
          <w:lang w:val="sv-SE"/>
        </w:rPr>
        <w:t xml:space="preserve">maka dilakukan uji statistik pada ketiga </w:t>
      </w:r>
      <w:r w:rsidR="00FD7CA4" w:rsidRPr="00FD7CA4">
        <w:rPr>
          <w:rFonts w:ascii="Tw Cen MT" w:eastAsia="Twentieth Century" w:hAnsi="Tw Cen MT" w:cs="Twentieth Century"/>
          <w:i/>
          <w:iCs/>
          <w:sz w:val="24"/>
          <w:szCs w:val="24"/>
          <w:lang w:val="sv-SE"/>
        </w:rPr>
        <w:t>Virtual Grid</w:t>
      </w:r>
      <w:r>
        <w:rPr>
          <w:rFonts w:ascii="Tw Cen MT" w:eastAsia="Twentieth Century" w:hAnsi="Tw Cen MT" w:cs="Twentieth Century"/>
          <w:sz w:val="24"/>
          <w:szCs w:val="24"/>
          <w:lang w:val="sv-SE"/>
        </w:rPr>
        <w:t xml:space="preserve"> Rasio 8:1, 10:1 dan 12:1. Peneliti melakukan uji normalitas dan homogenitas, dilanjutkan uji </w:t>
      </w:r>
      <w:r w:rsidRPr="000B6B0E">
        <w:rPr>
          <w:rFonts w:ascii="Tw Cen MT" w:eastAsia="Twentieth Century" w:hAnsi="Tw Cen MT" w:cs="Twentieth Century"/>
          <w:i/>
          <w:iCs/>
          <w:sz w:val="24"/>
          <w:szCs w:val="24"/>
          <w:lang w:val="sv-SE"/>
        </w:rPr>
        <w:t>One-Way ANOVA</w:t>
      </w:r>
      <w:r>
        <w:rPr>
          <w:rFonts w:ascii="Tw Cen MT" w:eastAsia="Twentieth Century" w:hAnsi="Tw Cen MT" w:cs="Twentieth Century"/>
          <w:sz w:val="24"/>
          <w:szCs w:val="24"/>
          <w:lang w:val="sv-SE"/>
        </w:rPr>
        <w:t xml:space="preserve">. Dalam menguji normalitas peneliti menggunakan jenis </w:t>
      </w:r>
      <w:r w:rsidRPr="000B6B0E">
        <w:rPr>
          <w:rFonts w:ascii="Tw Cen MT" w:eastAsia="Twentieth Century" w:hAnsi="Tw Cen MT" w:cs="Twentieth Century"/>
          <w:i/>
          <w:iCs/>
          <w:sz w:val="24"/>
          <w:szCs w:val="24"/>
          <w:lang w:val="sv-SE"/>
        </w:rPr>
        <w:t>Shapiro-Wilk</w:t>
      </w:r>
      <w:r>
        <w:rPr>
          <w:rFonts w:ascii="Tw Cen MT" w:eastAsia="Twentieth Century" w:hAnsi="Tw Cen MT" w:cs="Twentieth Century"/>
          <w:sz w:val="24"/>
          <w:szCs w:val="24"/>
          <w:lang w:val="sv-SE"/>
        </w:rPr>
        <w:t xml:space="preserve"> menurut Dodiet Aditya setyawan (2021) </w:t>
      </w:r>
      <w:r w:rsidRPr="00835CD4">
        <w:rPr>
          <w:rFonts w:ascii="Tw Cen MT" w:eastAsia="Twentieth Century" w:hAnsi="Tw Cen MT" w:cs="Twentieth Century"/>
          <w:i/>
          <w:iCs/>
          <w:sz w:val="24"/>
          <w:szCs w:val="24"/>
          <w:lang w:val="sv-SE"/>
        </w:rPr>
        <w:t>Shapiro-Wilk</w:t>
      </w:r>
      <w:r>
        <w:rPr>
          <w:rFonts w:ascii="Tw Cen MT" w:eastAsia="Twentieth Century" w:hAnsi="Tw Cen MT" w:cs="Twentieth Century"/>
          <w:sz w:val="24"/>
          <w:szCs w:val="24"/>
          <w:lang w:val="sv-SE"/>
        </w:rPr>
        <w:t xml:space="preserve"> digunakan untuk sampel kecil (≤50), data dapat dikatakan berdistribusi normal apabila nilai     P (Sig.) &gt; 0,05 </w:t>
      </w:r>
      <w:r>
        <w:rPr>
          <w:rFonts w:ascii="Tw Cen MT" w:eastAsia="Twentieth Century" w:hAnsi="Tw Cen MT" w:cs="Twentieth Century"/>
          <w:sz w:val="24"/>
          <w:szCs w:val="24"/>
          <w:lang w:val="sv-SE"/>
        </w:rPr>
        <w:fldChar w:fldCharType="begin" w:fldLock="1"/>
      </w:r>
      <w:r w:rsidR="0028736F">
        <w:rPr>
          <w:rFonts w:ascii="Tw Cen MT" w:eastAsia="Twentieth Century" w:hAnsi="Tw Cen MT" w:cs="Twentieth Century"/>
          <w:sz w:val="24"/>
          <w:szCs w:val="24"/>
          <w:lang w:val="sv-SE"/>
        </w:rPr>
        <w:instrText>ADDIN CSL_CITATION {"citationItems":[{"id":"ITEM-1","itemData":{"ISBN":"9786239662394","author":[{"dropping-particle":"","family":"Setyawan Dodiet Aditya","given":"","non-dropping-particle":"","parse-names":false,"suffix":""}],"container-title":"PENERBIT TAHTA MEDIA (Grup Penerbitan CV TAHTA MEDIA GROUP)","id":"ITEM-1","issue":"July","issued":{"date-parts":[["2021"]]},"number-of-pages":"34","title":"Petunjuk Praktikum-Uji Normalitas dan Homogenitas Data dengan SPSS","type":"book"},"uris":["http://www.mendeley.com/documents/?uuid=35a80ac5-ab94-4b42-8d23-93ececa22ab0"]}],"mendeley":{"formattedCitation":"[9]","plainTextFormattedCitation":"[9]","previouslyFormattedCitation":"[8]"},"properties":{"noteIndex":0},"schema":"https://github.com/citation-style-language/schema/raw/master/csl-citation.json"}</w:instrText>
      </w:r>
      <w:r>
        <w:rPr>
          <w:rFonts w:ascii="Tw Cen MT" w:eastAsia="Twentieth Century" w:hAnsi="Tw Cen MT" w:cs="Twentieth Century"/>
          <w:sz w:val="24"/>
          <w:szCs w:val="24"/>
          <w:lang w:val="sv-SE"/>
        </w:rPr>
        <w:fldChar w:fldCharType="separate"/>
      </w:r>
      <w:r w:rsidR="0028736F" w:rsidRPr="0028736F">
        <w:rPr>
          <w:rFonts w:ascii="Tw Cen MT" w:eastAsia="Twentieth Century" w:hAnsi="Tw Cen MT" w:cs="Twentieth Century"/>
          <w:noProof/>
          <w:sz w:val="24"/>
          <w:szCs w:val="24"/>
          <w:lang w:val="sv-SE"/>
        </w:rPr>
        <w:t>[9]</w:t>
      </w:r>
      <w:r>
        <w:rPr>
          <w:rFonts w:ascii="Tw Cen MT" w:eastAsia="Twentieth Century" w:hAnsi="Tw Cen MT" w:cs="Twentieth Century"/>
          <w:sz w:val="24"/>
          <w:szCs w:val="24"/>
          <w:lang w:val="sv-SE"/>
        </w:rPr>
        <w:fldChar w:fldCharType="end"/>
      </w:r>
      <w:r>
        <w:rPr>
          <w:rFonts w:ascii="Tw Cen MT" w:eastAsia="Twentieth Century" w:hAnsi="Tw Cen MT" w:cs="Twentieth Century"/>
          <w:sz w:val="24"/>
          <w:szCs w:val="24"/>
          <w:lang w:val="sv-SE"/>
        </w:rPr>
        <w:t>. Selanjutnya didapatkan hasil pada tabel 1.</w:t>
      </w:r>
    </w:p>
    <w:p w14:paraId="4F857E1A" w14:textId="77777777" w:rsidR="007E6AEC" w:rsidRDefault="007E6AEC">
      <w:pPr>
        <w:tabs>
          <w:tab w:val="left" w:pos="426"/>
        </w:tabs>
        <w:spacing w:after="0"/>
        <w:jc w:val="both"/>
        <w:rPr>
          <w:rFonts w:ascii="Tw Cen MT" w:eastAsia="Twentieth Century" w:hAnsi="Tw Cen MT" w:cs="Twentieth Century"/>
          <w:sz w:val="24"/>
          <w:szCs w:val="24"/>
          <w:lang w:val="sv-SE"/>
        </w:rPr>
      </w:pPr>
    </w:p>
    <w:p w14:paraId="4F438073" w14:textId="77777777" w:rsidR="007E6AEC" w:rsidRDefault="00000000">
      <w:pPr>
        <w:tabs>
          <w:tab w:val="left" w:pos="426"/>
        </w:tabs>
        <w:spacing w:after="0"/>
        <w:jc w:val="center"/>
        <w:rPr>
          <w:rFonts w:ascii="Tw Cen MT" w:eastAsia="Twentieth Century" w:hAnsi="Tw Cen MT" w:cs="Twentieth Century"/>
          <w:sz w:val="20"/>
          <w:szCs w:val="20"/>
          <w:lang w:val="sv-SE"/>
        </w:rPr>
      </w:pPr>
      <w:r>
        <w:rPr>
          <w:rFonts w:ascii="Tw Cen MT" w:eastAsia="Twentieth Century" w:hAnsi="Tw Cen MT" w:cs="Twentieth Century"/>
          <w:sz w:val="20"/>
          <w:szCs w:val="20"/>
          <w:lang w:val="sv-SE"/>
        </w:rPr>
        <w:t>Tabel 1. Hasil Uji Statistik</w:t>
      </w:r>
    </w:p>
    <w:tbl>
      <w:tblPr>
        <w:tblStyle w:val="PlainTable22"/>
        <w:tblW w:w="0" w:type="auto"/>
        <w:jc w:val="center"/>
        <w:tblCellMar>
          <w:left w:w="0" w:type="dxa"/>
          <w:right w:w="0" w:type="dxa"/>
        </w:tblCellMar>
        <w:tblLook w:val="04A0" w:firstRow="1" w:lastRow="0" w:firstColumn="1" w:lastColumn="0" w:noHBand="0" w:noVBand="1"/>
      </w:tblPr>
      <w:tblGrid>
        <w:gridCol w:w="1463"/>
        <w:gridCol w:w="1156"/>
        <w:gridCol w:w="1405"/>
      </w:tblGrid>
      <w:tr w:rsidR="007E6AEC" w:rsidRPr="00A04692" w14:paraId="3CD742F8" w14:textId="77777777" w:rsidTr="007E6AEC">
        <w:trPr>
          <w:cnfStyle w:val="100000000000" w:firstRow="1" w:lastRow="0" w:firstColumn="0" w:lastColumn="0" w:oddVBand="0" w:evenVBand="0" w:oddHBand="0"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6BA3AB91" w14:textId="2E39812F" w:rsidR="007E6AEC" w:rsidRPr="00A04692" w:rsidRDefault="00000000">
            <w:pPr>
              <w:adjustRightInd w:val="0"/>
              <w:snapToGrid w:val="0"/>
              <w:jc w:val="center"/>
              <w:rPr>
                <w:rFonts w:ascii="Tw Cen MT" w:eastAsia="SimSun" w:hAnsi="Tw Cen MT"/>
                <w:b w:val="0"/>
                <w:bCs w:val="0"/>
                <w:lang w:val="id-ID" w:eastAsia="zh-CN"/>
              </w:rPr>
            </w:pPr>
            <w:r w:rsidRPr="00A04692">
              <w:rPr>
                <w:rFonts w:ascii="Tw Cen MT" w:eastAsia="SimSun" w:hAnsi="Tw Cen MT"/>
                <w:b w:val="0"/>
                <w:bCs w:val="0"/>
                <w:lang w:val="id-ID" w:eastAsia="zh-CN"/>
              </w:rPr>
              <w:t xml:space="preserve">Rasio </w:t>
            </w:r>
            <w:r w:rsidR="00FD7CA4" w:rsidRPr="00A04692">
              <w:rPr>
                <w:rFonts w:ascii="Tw Cen MT" w:eastAsia="SimSun" w:hAnsi="Tw Cen MT"/>
                <w:b w:val="0"/>
                <w:bCs w:val="0"/>
                <w:i/>
                <w:lang w:val="id-ID" w:eastAsia="zh-CN"/>
              </w:rPr>
              <w:t>Virtual Grid</w:t>
            </w:r>
          </w:p>
        </w:tc>
        <w:tc>
          <w:tcPr>
            <w:tcW w:w="1156" w:type="dxa"/>
            <w:vAlign w:val="center"/>
          </w:tcPr>
          <w:p w14:paraId="00F9DA2F" w14:textId="77777777" w:rsidR="007E6AEC" w:rsidRPr="00A04692" w:rsidRDefault="00000000">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w Cen MT" w:eastAsia="SimSun" w:hAnsi="Tw Cen MT"/>
                <w:b w:val="0"/>
                <w:bCs w:val="0"/>
                <w:i/>
                <w:iCs/>
                <w:lang w:val="id-ID" w:eastAsia="zh-CN"/>
              </w:rPr>
            </w:pPr>
            <w:r w:rsidRPr="00A04692">
              <w:rPr>
                <w:rFonts w:ascii="Tw Cen MT" w:eastAsia="SimSun" w:hAnsi="Tw Cen MT"/>
                <w:b w:val="0"/>
                <w:bCs w:val="0"/>
                <w:i/>
                <w:iCs/>
                <w:lang w:val="id-ID" w:eastAsia="zh-CN"/>
              </w:rPr>
              <w:t>Shapiro-Wilk</w:t>
            </w:r>
          </w:p>
        </w:tc>
        <w:tc>
          <w:tcPr>
            <w:tcW w:w="1405" w:type="dxa"/>
            <w:vAlign w:val="center"/>
          </w:tcPr>
          <w:p w14:paraId="0C33DDF9" w14:textId="77777777" w:rsidR="007E6AEC" w:rsidRPr="00A04692" w:rsidRDefault="00000000">
            <w:pPr>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w Cen MT" w:eastAsia="SimSun" w:hAnsi="Tw Cen MT"/>
                <w:b w:val="0"/>
                <w:bCs w:val="0"/>
                <w:i/>
                <w:iCs/>
                <w:lang w:val="id-ID" w:eastAsia="zh-CN"/>
              </w:rPr>
            </w:pPr>
            <w:r w:rsidRPr="00A04692">
              <w:rPr>
                <w:rFonts w:ascii="Tw Cen MT" w:eastAsia="SimSun" w:hAnsi="Tw Cen MT"/>
                <w:b w:val="0"/>
                <w:bCs w:val="0"/>
                <w:i/>
                <w:iCs/>
                <w:lang w:val="id-ID" w:eastAsia="zh-CN"/>
              </w:rPr>
              <w:t>One-Way Anova</w:t>
            </w:r>
          </w:p>
        </w:tc>
      </w:tr>
      <w:tr w:rsidR="007E6AEC" w:rsidRPr="00A04692" w14:paraId="6943AECF" w14:textId="77777777" w:rsidTr="007E6A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2930FB33" w14:textId="77777777" w:rsidR="007E6AEC" w:rsidRPr="00A04692" w:rsidRDefault="00000000">
            <w:pPr>
              <w:adjustRightInd w:val="0"/>
              <w:snapToGrid w:val="0"/>
              <w:jc w:val="center"/>
              <w:rPr>
                <w:rFonts w:ascii="Tw Cen MT" w:eastAsia="SimSun" w:hAnsi="Tw Cen MT"/>
                <w:b w:val="0"/>
                <w:bCs w:val="0"/>
                <w:lang w:val="id-ID" w:eastAsia="zh-CN"/>
              </w:rPr>
            </w:pPr>
            <w:r w:rsidRPr="00A04692">
              <w:rPr>
                <w:rFonts w:ascii="Tw Cen MT" w:eastAsia="SimSun" w:hAnsi="Tw Cen MT"/>
                <w:b w:val="0"/>
                <w:bCs w:val="0"/>
                <w:lang w:val="id-ID" w:eastAsia="zh-CN"/>
              </w:rPr>
              <w:t>8:1</w:t>
            </w:r>
          </w:p>
        </w:tc>
        <w:tc>
          <w:tcPr>
            <w:tcW w:w="1156" w:type="dxa"/>
            <w:vAlign w:val="center"/>
          </w:tcPr>
          <w:p w14:paraId="5721A041" w14:textId="77777777" w:rsidR="007E6AEC" w:rsidRPr="00A04692" w:rsidRDefault="0000000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r w:rsidRPr="00A04692">
              <w:rPr>
                <w:rFonts w:ascii="Tw Cen MT" w:eastAsia="SimSun" w:hAnsi="Tw Cen MT"/>
                <w:lang w:val="id-ID" w:eastAsia="zh-CN"/>
              </w:rPr>
              <w:t>0,874</w:t>
            </w:r>
          </w:p>
        </w:tc>
        <w:tc>
          <w:tcPr>
            <w:tcW w:w="1405" w:type="dxa"/>
            <w:vMerge w:val="restart"/>
            <w:vAlign w:val="center"/>
          </w:tcPr>
          <w:p w14:paraId="400DB774" w14:textId="77777777" w:rsidR="007E6AEC" w:rsidRPr="00A04692" w:rsidRDefault="0000000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r w:rsidRPr="00A04692">
              <w:rPr>
                <w:rFonts w:ascii="Tw Cen MT" w:eastAsia="SimSun" w:hAnsi="Tw Cen MT"/>
                <w:lang w:val="id-ID" w:eastAsia="zh-CN"/>
              </w:rPr>
              <w:t>0,789</w:t>
            </w:r>
          </w:p>
        </w:tc>
      </w:tr>
      <w:tr w:rsidR="007E6AEC" w:rsidRPr="00A04692" w14:paraId="619FFB78" w14:textId="77777777" w:rsidTr="007E6AEC">
        <w:trPr>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64963AF3" w14:textId="77777777" w:rsidR="007E6AEC" w:rsidRPr="00A04692" w:rsidRDefault="00000000">
            <w:pPr>
              <w:adjustRightInd w:val="0"/>
              <w:snapToGrid w:val="0"/>
              <w:jc w:val="center"/>
              <w:rPr>
                <w:rFonts w:ascii="Tw Cen MT" w:eastAsia="SimSun" w:hAnsi="Tw Cen MT"/>
                <w:b w:val="0"/>
                <w:bCs w:val="0"/>
                <w:lang w:val="id-ID" w:eastAsia="zh-CN"/>
              </w:rPr>
            </w:pPr>
            <w:r w:rsidRPr="00A04692">
              <w:rPr>
                <w:rFonts w:ascii="Tw Cen MT" w:eastAsia="SimSun" w:hAnsi="Tw Cen MT"/>
                <w:b w:val="0"/>
                <w:bCs w:val="0"/>
                <w:lang w:val="id-ID" w:eastAsia="zh-CN"/>
              </w:rPr>
              <w:t>10:1</w:t>
            </w:r>
          </w:p>
        </w:tc>
        <w:tc>
          <w:tcPr>
            <w:tcW w:w="1156" w:type="dxa"/>
            <w:vAlign w:val="center"/>
          </w:tcPr>
          <w:p w14:paraId="726070DD" w14:textId="77777777" w:rsidR="007E6AEC" w:rsidRPr="00A04692" w:rsidRDefault="00000000">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w Cen MT" w:eastAsia="SimSun" w:hAnsi="Tw Cen MT"/>
                <w:lang w:val="id-ID" w:eastAsia="zh-CN"/>
              </w:rPr>
            </w:pPr>
            <w:r w:rsidRPr="00A04692">
              <w:rPr>
                <w:rFonts w:ascii="Tw Cen MT" w:eastAsia="SimSun" w:hAnsi="Tw Cen MT"/>
                <w:lang w:val="id-ID" w:eastAsia="zh-CN"/>
              </w:rPr>
              <w:t>0,837</w:t>
            </w:r>
          </w:p>
        </w:tc>
        <w:tc>
          <w:tcPr>
            <w:tcW w:w="1405" w:type="dxa"/>
            <w:vMerge/>
            <w:vAlign w:val="center"/>
          </w:tcPr>
          <w:p w14:paraId="78D6C066" w14:textId="77777777" w:rsidR="007E6AEC" w:rsidRPr="00A04692" w:rsidRDefault="007E6AEC">
            <w:pPr>
              <w:adjustRightInd w:val="0"/>
              <w:snapToGrid w:val="0"/>
              <w:jc w:val="center"/>
              <w:cnfStyle w:val="000000000000" w:firstRow="0" w:lastRow="0" w:firstColumn="0" w:lastColumn="0" w:oddVBand="0" w:evenVBand="0" w:oddHBand="0" w:evenHBand="0" w:firstRowFirstColumn="0" w:firstRowLastColumn="0" w:lastRowFirstColumn="0" w:lastRowLastColumn="0"/>
              <w:rPr>
                <w:rFonts w:ascii="Tw Cen MT" w:eastAsia="SimSun" w:hAnsi="Tw Cen MT"/>
                <w:lang w:val="id-ID" w:eastAsia="zh-CN"/>
              </w:rPr>
            </w:pPr>
          </w:p>
        </w:tc>
      </w:tr>
      <w:tr w:rsidR="007E6AEC" w:rsidRPr="00A04692" w14:paraId="70A6EFE3" w14:textId="77777777" w:rsidTr="007E6A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3" w:type="dxa"/>
            <w:vAlign w:val="center"/>
          </w:tcPr>
          <w:p w14:paraId="517F1285" w14:textId="77777777" w:rsidR="007E6AEC" w:rsidRPr="00A04692" w:rsidRDefault="00000000">
            <w:pPr>
              <w:adjustRightInd w:val="0"/>
              <w:snapToGrid w:val="0"/>
              <w:jc w:val="center"/>
              <w:rPr>
                <w:rFonts w:ascii="Tw Cen MT" w:eastAsia="SimSun" w:hAnsi="Tw Cen MT"/>
                <w:b w:val="0"/>
                <w:bCs w:val="0"/>
                <w:lang w:val="id-ID" w:eastAsia="zh-CN"/>
              </w:rPr>
            </w:pPr>
            <w:r w:rsidRPr="00A04692">
              <w:rPr>
                <w:rFonts w:ascii="Tw Cen MT" w:eastAsia="SimSun" w:hAnsi="Tw Cen MT"/>
                <w:b w:val="0"/>
                <w:bCs w:val="0"/>
                <w:lang w:val="id-ID" w:eastAsia="zh-CN"/>
              </w:rPr>
              <w:t>12:1</w:t>
            </w:r>
          </w:p>
        </w:tc>
        <w:tc>
          <w:tcPr>
            <w:tcW w:w="1156" w:type="dxa"/>
            <w:vAlign w:val="center"/>
          </w:tcPr>
          <w:p w14:paraId="12F64FB0" w14:textId="77777777" w:rsidR="007E6AEC" w:rsidRPr="00A04692" w:rsidRDefault="00000000">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r w:rsidRPr="00A04692">
              <w:rPr>
                <w:rFonts w:ascii="Tw Cen MT" w:eastAsia="SimSun" w:hAnsi="Tw Cen MT"/>
                <w:lang w:val="id-ID" w:eastAsia="zh-CN"/>
              </w:rPr>
              <w:t>0,829</w:t>
            </w:r>
          </w:p>
        </w:tc>
        <w:tc>
          <w:tcPr>
            <w:tcW w:w="1405" w:type="dxa"/>
            <w:vMerge/>
            <w:vAlign w:val="center"/>
          </w:tcPr>
          <w:p w14:paraId="0E5BBE79" w14:textId="77777777" w:rsidR="007E6AEC" w:rsidRPr="00A04692" w:rsidRDefault="007E6AEC">
            <w:pPr>
              <w:adjustRightInd w:val="0"/>
              <w:snapToGrid w:val="0"/>
              <w:jc w:val="center"/>
              <w:cnfStyle w:val="000000100000" w:firstRow="0" w:lastRow="0" w:firstColumn="0" w:lastColumn="0" w:oddVBand="0" w:evenVBand="0" w:oddHBand="1" w:evenHBand="0" w:firstRowFirstColumn="0" w:firstRowLastColumn="0" w:lastRowFirstColumn="0" w:lastRowLastColumn="0"/>
              <w:rPr>
                <w:rFonts w:ascii="Tw Cen MT" w:eastAsia="SimSun" w:hAnsi="Tw Cen MT"/>
                <w:lang w:val="id-ID" w:eastAsia="zh-CN"/>
              </w:rPr>
            </w:pPr>
          </w:p>
        </w:tc>
      </w:tr>
    </w:tbl>
    <w:p w14:paraId="4F4DBFB1" w14:textId="77777777" w:rsidR="007E6AEC" w:rsidRDefault="007E6AEC">
      <w:pPr>
        <w:spacing w:after="0" w:line="240" w:lineRule="auto"/>
        <w:jc w:val="both"/>
        <w:rPr>
          <w:rFonts w:ascii="Tw Cen MT" w:eastAsia="Twentieth Century" w:hAnsi="Tw Cen MT" w:cs="Twentieth Century"/>
          <w:b/>
          <w:sz w:val="20"/>
          <w:szCs w:val="20"/>
        </w:rPr>
      </w:pPr>
    </w:p>
    <w:p w14:paraId="74BFB640" w14:textId="54D2F972" w:rsidR="007E6AEC" w:rsidRDefault="00000000">
      <w:pPr>
        <w:spacing w:after="0" w:line="240" w:lineRule="auto"/>
        <w:jc w:val="both"/>
        <w:rPr>
          <w:rFonts w:ascii="Tw Cen MT" w:eastAsia="Twentieth Century" w:hAnsi="Tw Cen MT" w:cs="Twentieth Century"/>
          <w:bCs/>
          <w:sz w:val="24"/>
          <w:szCs w:val="24"/>
          <w:lang w:val="sv-SE"/>
        </w:rPr>
      </w:pPr>
      <w:r>
        <w:rPr>
          <w:rFonts w:ascii="Tw Cen MT" w:eastAsia="Twentieth Century" w:hAnsi="Tw Cen MT" w:cs="Twentieth Century"/>
          <w:bCs/>
          <w:sz w:val="24"/>
          <w:szCs w:val="24"/>
          <w:lang w:val="sv-SE"/>
        </w:rPr>
        <w:t>Hasil uji menunjukan nilai p &gt; 0,05  sehingga data dapat dinyatakan normal dan homogen ,selanjutnya dilakukan Uji Anova yang Dapat dilihat pada Tabel 1 didapatkan hasil Sig.(P-Value) = 789.</w:t>
      </w:r>
      <w:r w:rsidR="00B37044">
        <w:rPr>
          <w:rFonts w:ascii="Tw Cen MT" w:eastAsia="Twentieth Century" w:hAnsi="Tw Cen MT" w:cs="Twentieth Century"/>
          <w:bCs/>
          <w:sz w:val="24"/>
          <w:szCs w:val="24"/>
          <w:lang w:val="sv-SE"/>
        </w:rPr>
        <w:t xml:space="preserve"> </w:t>
      </w:r>
      <w:r>
        <w:rPr>
          <w:rFonts w:ascii="Tw Cen MT" w:eastAsia="Twentieth Century" w:hAnsi="Tw Cen MT" w:cs="Twentieth Century"/>
          <w:bCs/>
          <w:sz w:val="24"/>
          <w:szCs w:val="24"/>
          <w:lang w:val="sv-SE"/>
        </w:rPr>
        <w:t xml:space="preserve">Hal ini menunjukan bahwa nilai P &gt; 0,05. Dengan demikian dapat dikatakan bahwa tidak ada perbedaan hasil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Pr>
          <w:rFonts w:ascii="Tw Cen MT" w:eastAsia="Twentieth Century" w:hAnsi="Tw Cen MT" w:cs="Twentieth Century"/>
          <w:bCs/>
          <w:sz w:val="24"/>
          <w:szCs w:val="24"/>
          <w:lang w:val="sv-SE"/>
        </w:rPr>
        <w:t xml:space="preserve">terhadap pemeriksaaan </w:t>
      </w:r>
      <w:r w:rsidR="00FD7CA4" w:rsidRPr="00FD7CA4">
        <w:rPr>
          <w:rFonts w:ascii="Tw Cen MT" w:eastAsia="Twentieth Century" w:hAnsi="Tw Cen MT" w:cs="Twentieth Century"/>
          <w:bCs/>
          <w:i/>
          <w:iCs/>
          <w:sz w:val="24"/>
          <w:szCs w:val="24"/>
          <w:lang w:val="sv-SE"/>
        </w:rPr>
        <w:t>Os Sacrum</w:t>
      </w:r>
      <w:r>
        <w:rPr>
          <w:rFonts w:ascii="Tw Cen MT" w:eastAsia="Twentieth Century" w:hAnsi="Tw Cen MT" w:cs="Twentieth Century"/>
          <w:bCs/>
          <w:sz w:val="24"/>
          <w:szCs w:val="24"/>
          <w:lang w:val="sv-SE"/>
        </w:rPr>
        <w:t xml:space="preserve"> proyeksi lateral menggunakan variasi rasio </w:t>
      </w:r>
      <w:r w:rsidR="00FD7CA4" w:rsidRPr="00FD7CA4">
        <w:rPr>
          <w:rFonts w:ascii="Tw Cen MT" w:eastAsia="Twentieth Century" w:hAnsi="Tw Cen MT" w:cs="Twentieth Century"/>
          <w:bCs/>
          <w:i/>
          <w:iCs/>
          <w:sz w:val="24"/>
          <w:szCs w:val="24"/>
          <w:lang w:val="sv-SE"/>
        </w:rPr>
        <w:t>Virtual Grid</w:t>
      </w:r>
      <w:r w:rsidR="00FD7CA4">
        <w:rPr>
          <w:rFonts w:ascii="Tw Cen MT" w:eastAsia="Twentieth Century" w:hAnsi="Tw Cen MT" w:cs="Twentieth Century"/>
          <w:bCs/>
          <w:sz w:val="24"/>
          <w:szCs w:val="24"/>
          <w:lang w:val="sv-SE"/>
        </w:rPr>
        <w:t xml:space="preserve"> </w:t>
      </w:r>
      <w:r>
        <w:rPr>
          <w:rFonts w:ascii="Tw Cen MT" w:eastAsia="Twentieth Century" w:hAnsi="Tw Cen MT" w:cs="Twentieth Century"/>
          <w:bCs/>
          <w:sz w:val="24"/>
          <w:szCs w:val="24"/>
          <w:lang w:val="sv-SE"/>
        </w:rPr>
        <w:t>8:1, 10 dan 12:1.</w:t>
      </w:r>
    </w:p>
    <w:p w14:paraId="750FC97A" w14:textId="11D45EF8" w:rsidR="003A67AB" w:rsidRPr="003A67AB" w:rsidRDefault="003A67AB" w:rsidP="003A67AB">
      <w:pPr>
        <w:spacing w:after="0" w:line="240" w:lineRule="auto"/>
        <w:jc w:val="both"/>
        <w:rPr>
          <w:rFonts w:ascii="Tw Cen MT" w:eastAsia="Twentieth Century" w:hAnsi="Tw Cen MT" w:cs="Twentieth Century"/>
          <w:bCs/>
          <w:sz w:val="24"/>
          <w:szCs w:val="24"/>
          <w:lang w:val="sv-SE"/>
        </w:rPr>
      </w:pPr>
      <w:r w:rsidRPr="003A67AB">
        <w:rPr>
          <w:rFonts w:ascii="Tw Cen MT" w:eastAsia="Twentieth Century" w:hAnsi="Tw Cen MT" w:cs="Twentieth Century"/>
          <w:bCs/>
          <w:sz w:val="24"/>
          <w:szCs w:val="24"/>
          <w:lang w:val="sv-SE"/>
        </w:rPr>
        <w:t>Radiasi hambur dihasilkan ketika sinar-X memasuki tubuh pasien, di mana sebagian besar foton mengalami interaksi Compton. Interaksi ini menghasilkan radiasi hambur yang dapat menurunkan kontras gambar serta mengurangi kualitas citra secara keseluruhan</w:t>
      </w:r>
      <w:r w:rsidR="008B22C5">
        <w:rPr>
          <w:rFonts w:ascii="Tw Cen MT" w:eastAsia="Twentieth Century" w:hAnsi="Tw Cen MT" w:cs="Twentieth Century"/>
          <w:bCs/>
          <w:sz w:val="24"/>
          <w:szCs w:val="24"/>
          <w:lang w:val="sv-SE"/>
        </w:rPr>
        <w:t xml:space="preserve">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{"citationItems":[{"id":"ITEM-1","itemData":{"DOI":"10.1148/radiology.200.2.504","ISBN":"0944838545","ISSN":"0033-8419","abstract":"2nd ed. Includes index. Image characteristics and quality -- Energy and radiation -- Radiation quantities and units -- Characteristics and structure of matter -- Radioactive transitions -- Radioactivity -- X-ray production -- Energizing and controlling the X-ray tube -- X-ray tube heating and cooling -- Interaction of radiation with matter -- Radiation penetration -- X-ray image formation and contrast -- Scattered radiation and contrast -- Radiographic receptors -- Photographic process and film sensitivity -- Film contrast characteristics -- Radiographic density control -- Blur, resolution, and visibilty of detail -- Radiographic detail -- Fluoroscopic imaging systems -- Image noise -- Digital imaging systems and image processing -- Computed tomography image formation -- Computed tomography image quality -- Ultrasound production and interactions -- Ultrasound imaging -- Ultrasound imaging of cardiac motion and flowing blood -- Magnetic resonance image -- Nuclear magnetic resonance -- Magnetic characteristics of tissue -- Imaging methods -- Spatial characteristics of the magnetic resonance image -- Image detail, noise, and acquisition speed -- Magnetic resonance imaging of flowing blood -- MRI artifacts -- Gamma camera -- Radionuclide image quality -- Radionuclide tomographic imaging -- Statistics -- Patient exposure and protection -- Personnel exposure and protection -- Radiation measurement.","author":[{"dropping-particle":"","family":"Sprawls. Jr","given":"Perry","non-dropping-particle":"","parse-names":false,"suffix":""}],"container-title":"Radiology","id":"ITEM-1","issue":"2","issued":{"date-parts":[["1996"]]},"number-of-pages":"504-504","title":"Physical Principles of Medical Imaging. 2nd ed","type":"book","volume":"200"},"uris":["http://www.mendeley.com/documents/?uuid=83ad3d4e-df34-4326-b643-6bb6ac186cc4"]},{"id":"ITEM-2","itemData":{"ISBN":"9780398094096","ISSN":"20711050","PMID":"25246403","author":[{"dropping-particle":"","family":"Carroll","given":"Quinn B","non-dropping-particle":"","parse-names":false,"suffix":""}],"container-title":"Sustainability (Switzerland)","edition":"Fourth","id":"ITEM-2","issue":"1","issued":{"date-parts":[["2023"]]},"number-of-pages":"779","publisher":"Includes index","title":"RADIOGRAPHY IN THE DIGITAL AGE : PHYSICS, EXPOSURE, RADIATION BIOLOGY","type":"book","volume":"11"},"uris":["http://www.mendeley.com/documents/?uuid=09281837-14cb-4943-96f7-6830b059dad0"]}],"mendeley":{"formattedCitation":"[10], [11]","plainTextFormattedCitation":"[10], [11]","previouslyFormattedCitation":"[9], [10]"},"properties":{"noteIndex":0},"schema":"https://github.com/citation-style-language/schema/raw/master/csl-citation.json"}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[10], [11]</w:t>
      </w:r>
      <w:r w:rsidR="008B22C5">
        <w:rPr>
          <w:rFonts w:ascii="Tw Cen MT" w:eastAsia="Twentieth Century" w:hAnsi="Tw Cen MT" w:cs="Twentieth Century"/>
          <w:bCs/>
          <w:sz w:val="24"/>
          <w:szCs w:val="24"/>
          <w:lang w:val="sv-SE"/>
        </w:rPr>
        <w:fldChar w:fldCharType="end"/>
      </w:r>
      <w:r w:rsidR="007153B4">
        <w:rPr>
          <w:rFonts w:ascii="Tw Cen MT" w:eastAsia="Twentieth Century" w:hAnsi="Tw Cen MT" w:cs="Twentieth Century"/>
          <w:bCs/>
          <w:sz w:val="24"/>
          <w:szCs w:val="24"/>
          <w:lang w:val="sv-SE"/>
        </w:rPr>
        <w:t xml:space="preserve"> </w:t>
      </w:r>
      <w:r w:rsidR="007153B4">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{"citationItems":[{"id":"ITEM-1","itemData":{"ISBN":"978-0-323-35377-9","author":[{"dropping-particle":"","family":"Bushong","given":"Stewart Carlyle","non-dropping-particle":"","parse-names":false,"suffix":""}],"edition":"Eleventh E","id":"ITEM-1","issued":{"date-parts":[["2017"]]},"number-of-pages":"1-635","publisher-place":"Texas","title":"Radiologic Science for Technologists Physics, Biology, and Protection","type":"book"},"uris":["http://www.mendeley.com/documents/?uuid=75e1a0d8-7522-4951-aa70-2db6831dc880"]}],"mendeley":{"formattedCitation":"[12]","plainTextFormattedCitation":"[12]","previouslyFormattedCitation":"[11]"},"properties":{"noteIndex":0},"schema":"https://github.com/citation-style-language/schema/raw/master/csl-citation.json"}</w:instrText>
      </w:r>
      <w:r w:rsidR="007153B4">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[12]</w:t>
      </w:r>
      <w:r w:rsidR="007153B4">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 xml:space="preserve">. Untuk mengurangi efek radiasi hambur tersebut, digunakan alat bantu berupa grid yang berfungsi menyerap sebagian besar radiasi hambur sebelum </w:t>
      </w:r>
      <w:r w:rsidRPr="003A67AB">
        <w:rPr>
          <w:rFonts w:ascii="Tw Cen MT" w:eastAsia="Twentieth Century" w:hAnsi="Tw Cen MT" w:cs="Twentieth Century"/>
          <w:bCs/>
          <w:sz w:val="24"/>
          <w:szCs w:val="24"/>
          <w:lang w:val="sv-SE"/>
        </w:rPr>
        <w:lastRenderedPageBreak/>
        <w:t xml:space="preserve">mencapai detektor, sehingga dapat meningkatkan kontras radiograf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{"citationItems":[{"id":"ITEM-1","itemData":{"ISBN":"978-0-323-35624-4","ISSN":"1463-9084","PMID":"23674245","abstract":"With comprehensive coverage of both digital radiography and conventional film-screen radiography, RADIOGRAPHIC IMAGING AND EXPOSURE, 4th Edition helps you master the fundamental principles of imaging, produce clear images, and reduce the number of repeat radiographs. This practical text also includes Important Relationship, Mathematical Application, and Patient Protection Alert features throughout to provide helpful information every step of the way.Comprehensive coverage of both digital radiography and conventional film-screen radiography helps students and radiographers master the fundamental principles of imaging, produce clear images, and reduce the number of repeat radiographs. UNIQUE! Integrated digital radiography coverage includes information on how to acquire, process, and display digital images. UNIQUE! Patient Protection Alerts highlight the variables that impact patient exposure and how to control them. UNIQUE! Important Relationships boxes call attention to the fundamentals of radiographic imaging and exposure. UNIQUE! Mathematical Applications boxes familiarize you with the mathematical formulas needed in the clinical setting.NEW! Updated information reflects the latest advances in digital imaging, fluoroscopy, and the X-ray beam with added x-ray emission graphs. NEW! Image receptor and image acquisition coverage describes the construction of image receptors and how the latent (invisible) image is captured, and addresses the advantages and limitations of digital vs. conventional imaging processes. NEW! Image Evaluation chapter allows you to practice applying what you’ve learned about image quality and exposure technique factors.","author":[{"dropping-particle":"","family":"Fauber","given":"Terri L.","non-dropping-particle":"","parse-names":false,"suffix":""}],"container-title":"Radiographic Imaging and Exposure","edition":"Fifth edit","id":"ITEM-1","issued":{"date-parts":[["2016"]]},"number-of-pages":"324","publisher":"Elsevier Inc.","title":"Radiographic Imaging and Exposure","type":"book"},"uris":["http://www.mendeley.com/documents/?uuid=56cbc2c2-b01b-4403-a1f4-f8dd6dd2c86e"]}],"mendeley":{"formattedCitation":"[13]","plainTextFormattedCitation":"[13]","previouslyFormattedCitation":"[12]"},"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[13]</w:t>
      </w:r>
      <w:r w:rsidR="008B22C5">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w:t>
      </w:r>
    </w:p>
    <w:p w14:paraId="79B1358B" w14:textId="63E9FC93" w:rsidR="003A67AB" w:rsidRPr="003A67AB" w:rsidRDefault="003A67AB" w:rsidP="003A67AB">
      <w:pPr>
        <w:spacing w:after="0" w:line="240" w:lineRule="auto"/>
        <w:jc w:val="both"/>
        <w:rPr>
          <w:rFonts w:ascii="Tw Cen MT" w:eastAsia="Twentieth Century" w:hAnsi="Tw Cen MT" w:cs="Twentieth Century"/>
          <w:bCs/>
          <w:sz w:val="24"/>
          <w:szCs w:val="24"/>
          <w:lang w:val="sv-SE"/>
        </w:rPr>
      </w:pPr>
      <w:r w:rsidRPr="003A67AB">
        <w:rPr>
          <w:rFonts w:ascii="Tw Cen MT" w:eastAsia="Twentieth Century" w:hAnsi="Tw Cen MT" w:cs="Twentieth Century"/>
          <w:bCs/>
          <w:sz w:val="24"/>
          <w:szCs w:val="24"/>
          <w:lang w:val="sv-SE"/>
        </w:rPr>
        <w:t xml:space="preserve">Penggunaan grid dalam praktik klinis memiliki keterbatasan, terutama pada prosedur pemeriksaan pasien di tempat tidur, di unit gawat darurat, atau pada prosedur mobile yang membutuhkan fleksibilitas dan ketepatan arah sinar-X. Untuk mengatasi keterbatasan ini, pada tahun 2010 perusahaan </w:t>
      </w:r>
      <w:r w:rsidRPr="003A67AB">
        <w:rPr>
          <w:rFonts w:ascii="Tw Cen MT" w:eastAsia="Twentieth Century" w:hAnsi="Tw Cen MT" w:cs="Twentieth Century"/>
          <w:bCs/>
          <w:i/>
          <w:iCs/>
          <w:sz w:val="24"/>
          <w:szCs w:val="24"/>
          <w:lang w:val="sv-SE"/>
        </w:rPr>
        <w:t>FujiMed</w:t>
      </w:r>
      <w:r w:rsidRPr="003A67AB">
        <w:rPr>
          <w:rFonts w:ascii="Tw Cen MT" w:eastAsia="Twentieth Century" w:hAnsi="Tw Cen MT" w:cs="Twentieth Century"/>
          <w:bCs/>
          <w:sz w:val="24"/>
          <w:szCs w:val="24"/>
          <w:lang w:val="sv-SE"/>
        </w:rPr>
        <w:t xml:space="preserve"> mengembangkan perangkat lunak bernama </w:t>
      </w:r>
      <w:r w:rsidR="00FD7CA4" w:rsidRPr="00FD7CA4">
        <w:rPr>
          <w:rFonts w:ascii="Tw Cen MT" w:eastAsia="Twentieth Century" w:hAnsi="Tw Cen MT" w:cs="Twentieth Century"/>
          <w:bCs/>
          <w:i/>
          <w:iCs/>
          <w:sz w:val="24"/>
          <w:szCs w:val="24"/>
          <w:lang w:val="sv-SE"/>
        </w:rPr>
        <w:t>Virtual Grid</w:t>
      </w:r>
      <w:r w:rsidRPr="003A67AB">
        <w:rPr>
          <w:rFonts w:ascii="Tw Cen MT" w:eastAsia="Twentieth Century" w:hAnsi="Tw Cen MT" w:cs="Twentieth Century"/>
          <w:bCs/>
          <w:sz w:val="24"/>
          <w:szCs w:val="24"/>
          <w:lang w:val="sv-SE"/>
        </w:rPr>
        <w:t xml:space="preserve"> yang diklaim merupakan teknologi yang dapat meningkatkan degradasi kontras dan granularitas yang disebabkan oleh sinar-X yang tersebar, sehingga dapat menghilangkan kesalahan akibat ketidaksejajaran antara grid dan arah sinar-X. Selain itu, memungkinkan penyesuaian terhadap berbagai jarak dan sudut penyinaran sesuai kebutuhan klinis </w:t>
      </w:r>
      <w:r w:rsidR="00C96411">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{"citationItems":[{"id":"ITEM-1","itemData":{"abstract":"We have developed a new image processing method “Virtual Grid Technology” to improve the quality of degraded image due to scattered radiation. This technology improves the quality of images taken without an anti-scatter grid at bedside or emergency radiography. Conventionally, grids are commonly used to reduce the influence of scattered radiation. However, due to the positioning difficulties, images are often acquired without a grid for mobile examinations, which results in images with low contrast. Virtual Grid calculates the component of the scattered radiation from an image exposed without a grid and improves the contrast and granularity to replicate that of an image exposed with a grid. This technology resolves the problem of artifacts caused by misalignment when using a grid, and enables a more efficient radiographic workflow. This report will describe an outline of Virtual Grid and explain its usefulness by using the experimental results.","author":[{"dropping-particle":"","family":"Kawamura","given":"Takahiro","non-dropping-particle":"","parse-names":false,"suffix":""},{"dropping-particle":"","family":"Naito","given":"Satoshi","non-dropping-particle":"","parse-names":false,"suffix":""},{"dropping-particle":"","family":"Okano","given":"Kayo","non-dropping-particle":"","parse-names":false,"suffix":""},{"dropping-particle":"","family":"Yamada","given":"Masahiko","non-dropping-particle":"","parse-names":false,"suffix":""}],"container-title":"FUJIFILM Research &amp; Development","id":"ITEM-1","issue":"60","issued":{"date-parts":[["2015"]]},"page":"21-27","title":"Improvement in Image Quality and Workflow of X-ray Examination Using a New Image Processing Method, “Virtual Grid Technology”","type":"article-journal"},"uris":["http://www.mendeley.com/documents/?uuid=1258424d-039d-408d-a1b3-fae52d98b216"]},{"id":"ITEM-2","itemData":{"ISBN":"9780398094096","ISSN":"20711050","PMID":"25246403","author":[{"dropping-particle":"","family":"Carroll","given":"Quinn B","non-dropping-particle":"","parse-names":false,"suffix":""}],"container-title":"Sustainability (Switzerland)","edition":"Fourth","id":"ITEM-2","issue":"1","issued":{"date-parts":[["2023"]]},"number-of-pages":"779","publisher":"Includes index","title":"RADIOGRAPHY IN THE DIGITAL AGE : PHYSICS, EXPOSURE, RADIATION BIOLOGY","type":"book","volume":"11"},"uris":["http://www.mendeley.com/documents/?uuid=09281837-14cb-4943-96f7-6830b059dad0"]}],"mendeley":{"formattedCitation":"[5], [11]","plainTextFormattedCitation":"[5], [11]","previouslyFormattedCitation":"[4], [10]"},"properties":{"noteIndex":0},"schema":"https://github.com/citation-style-language/schema/raw/master/csl-citation.json"}</w:instrText>
      </w:r>
      <w:r w:rsidR="00C96411">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[5], [11]</w:t>
      </w:r>
      <w:r w:rsidR="00C96411">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w:t>
      </w:r>
    </w:p>
    <w:p w14:paraId="1E6008D0" w14:textId="13C10038" w:rsidR="003A67AB" w:rsidRPr="003A67AB" w:rsidRDefault="003A67AB" w:rsidP="003A67AB">
      <w:pPr>
        <w:spacing w:after="0" w:line="240" w:lineRule="auto"/>
        <w:jc w:val="both"/>
        <w:rPr>
          <w:rFonts w:ascii="Tw Cen MT" w:eastAsia="Twentieth Century" w:hAnsi="Tw Cen MT" w:cs="Twentieth Century"/>
          <w:bCs/>
          <w:sz w:val="24"/>
          <w:szCs w:val="24"/>
          <w:lang w:val="sv-SE"/>
        </w:rPr>
      </w:pPr>
      <w:r w:rsidRPr="003A67AB">
        <w:rPr>
          <w:rFonts w:ascii="Tw Cen MT" w:eastAsia="Twentieth Century" w:hAnsi="Tw Cen MT" w:cs="Twentieth Century"/>
          <w:bCs/>
          <w:sz w:val="24"/>
          <w:szCs w:val="24"/>
          <w:lang w:val="sv-SE"/>
        </w:rPr>
        <w:t xml:space="preserve">Berdasarkan hasil penelitian ini pada penggunaan </w:t>
      </w:r>
      <w:r w:rsidR="00FD7CA4" w:rsidRPr="00FD7CA4">
        <w:rPr>
          <w:rFonts w:ascii="Tw Cen MT" w:eastAsia="Twentieth Century" w:hAnsi="Tw Cen MT" w:cs="Twentieth Century"/>
          <w:bCs/>
          <w:i/>
          <w:iCs/>
          <w:sz w:val="24"/>
          <w:szCs w:val="24"/>
          <w:lang w:val="sv-SE"/>
        </w:rPr>
        <w:t>Virtual Grid</w:t>
      </w:r>
      <w:r w:rsidRPr="003A67AB">
        <w:rPr>
          <w:rFonts w:ascii="Tw Cen MT" w:eastAsia="Twentieth Century" w:hAnsi="Tw Cen MT" w:cs="Twentieth Century"/>
          <w:bCs/>
          <w:sz w:val="24"/>
          <w:szCs w:val="24"/>
          <w:lang w:val="sv-SE"/>
        </w:rPr>
        <w:t xml:space="preserve"> rasio 8:1 dapat dilihat pada Tabel </w:t>
      </w:r>
      <w:r>
        <w:rPr>
          <w:rFonts w:ascii="Tw Cen MT" w:eastAsia="Twentieth Century" w:hAnsi="Tw Cen MT" w:cs="Twentieth Century"/>
          <w:bCs/>
          <w:sz w:val="24"/>
          <w:szCs w:val="24"/>
          <w:lang w:val="sv-SE"/>
        </w:rPr>
        <w:t xml:space="preserve">1. </w:t>
      </w:r>
      <w:r w:rsidRPr="003A67AB">
        <w:rPr>
          <w:rFonts w:ascii="Tw Cen MT" w:eastAsia="Twentieth Century" w:hAnsi="Tw Cen MT" w:cs="Twentieth Century"/>
          <w:bCs/>
          <w:sz w:val="24"/>
          <w:szCs w:val="24"/>
          <w:lang w:val="sv-SE"/>
        </w:rPr>
        <w:t xml:space="preserve"> didapatkan hasil rerata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sidRPr="003A67AB">
        <w:rPr>
          <w:rFonts w:ascii="Tw Cen MT" w:eastAsia="Twentieth Century" w:hAnsi="Tw Cen MT" w:cs="Twentieth Century"/>
          <w:bCs/>
          <w:sz w:val="24"/>
          <w:szCs w:val="24"/>
          <w:lang w:val="sv-SE"/>
        </w:rPr>
        <w:t xml:space="preserve">150,94. pada penggunaan </w:t>
      </w:r>
      <w:r w:rsidR="00FD7CA4" w:rsidRPr="00FD7CA4">
        <w:rPr>
          <w:rFonts w:ascii="Tw Cen MT" w:eastAsia="Twentieth Century" w:hAnsi="Tw Cen MT" w:cs="Twentieth Century"/>
          <w:bCs/>
          <w:i/>
          <w:iCs/>
          <w:sz w:val="24"/>
          <w:szCs w:val="24"/>
          <w:lang w:val="sv-SE"/>
        </w:rPr>
        <w:t>Virtual Grid</w:t>
      </w:r>
      <w:r w:rsidRPr="003A67AB">
        <w:rPr>
          <w:rFonts w:ascii="Tw Cen MT" w:eastAsia="Twentieth Century" w:hAnsi="Tw Cen MT" w:cs="Twentieth Century"/>
          <w:bCs/>
          <w:sz w:val="24"/>
          <w:szCs w:val="24"/>
          <w:lang w:val="sv-SE"/>
        </w:rPr>
        <w:t xml:space="preserve"> rasio 10:1 dapat dilihat pada Tabel</w:t>
      </w:r>
      <w:r>
        <w:rPr>
          <w:rFonts w:ascii="Tw Cen MT" w:eastAsia="Twentieth Century" w:hAnsi="Tw Cen MT" w:cs="Twentieth Century"/>
          <w:bCs/>
          <w:sz w:val="24"/>
          <w:szCs w:val="24"/>
          <w:lang w:val="sv-SE"/>
        </w:rPr>
        <w:t xml:space="preserve"> 1. </w:t>
      </w:r>
      <w:r w:rsidRPr="003A67AB">
        <w:rPr>
          <w:rFonts w:ascii="Tw Cen MT" w:eastAsia="Twentieth Century" w:hAnsi="Tw Cen MT" w:cs="Twentieth Century"/>
          <w:bCs/>
          <w:sz w:val="24"/>
          <w:szCs w:val="24"/>
          <w:lang w:val="sv-SE"/>
        </w:rPr>
        <w:t xml:space="preserve"> didapatkan hasil rerata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sidRPr="003A67AB">
        <w:rPr>
          <w:rFonts w:ascii="Tw Cen MT" w:eastAsia="Twentieth Century" w:hAnsi="Tw Cen MT" w:cs="Twentieth Century"/>
          <w:bCs/>
          <w:sz w:val="24"/>
          <w:szCs w:val="24"/>
          <w:lang w:val="sv-SE"/>
        </w:rPr>
        <w:t xml:space="preserve">150,46. Pada penggunaan </w:t>
      </w:r>
      <w:r w:rsidR="00FD7CA4" w:rsidRPr="00FD7CA4">
        <w:rPr>
          <w:rFonts w:ascii="Tw Cen MT" w:eastAsia="Twentieth Century" w:hAnsi="Tw Cen MT" w:cs="Twentieth Century"/>
          <w:bCs/>
          <w:i/>
          <w:iCs/>
          <w:sz w:val="24"/>
          <w:szCs w:val="24"/>
          <w:lang w:val="sv-SE"/>
        </w:rPr>
        <w:t>Virtual Grid</w:t>
      </w:r>
      <w:r w:rsidRPr="003A67AB">
        <w:rPr>
          <w:rFonts w:ascii="Tw Cen MT" w:eastAsia="Twentieth Century" w:hAnsi="Tw Cen MT" w:cs="Twentieth Century"/>
          <w:bCs/>
          <w:sz w:val="24"/>
          <w:szCs w:val="24"/>
          <w:lang w:val="sv-SE"/>
        </w:rPr>
        <w:t xml:space="preserve"> rasio 12:1 dapat dilihat pada Tabel </w:t>
      </w:r>
      <w:r>
        <w:rPr>
          <w:rFonts w:ascii="Tw Cen MT" w:eastAsia="Twentieth Century" w:hAnsi="Tw Cen MT" w:cs="Twentieth Century"/>
          <w:bCs/>
          <w:sz w:val="24"/>
          <w:szCs w:val="24"/>
          <w:lang w:val="sv-SE"/>
        </w:rPr>
        <w:t xml:space="preserve">1. </w:t>
      </w:r>
      <w:r w:rsidRPr="003A67AB">
        <w:rPr>
          <w:rFonts w:ascii="Tw Cen MT" w:eastAsia="Twentieth Century" w:hAnsi="Tw Cen MT" w:cs="Twentieth Century"/>
          <w:bCs/>
          <w:sz w:val="24"/>
          <w:szCs w:val="24"/>
          <w:lang w:val="sv-SE"/>
        </w:rPr>
        <w:t xml:space="preserve"> didapatkan hasil rerata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sidRPr="003A67AB">
        <w:rPr>
          <w:rFonts w:ascii="Tw Cen MT" w:eastAsia="Twentieth Century" w:hAnsi="Tw Cen MT" w:cs="Twentieth Century"/>
          <w:bCs/>
          <w:sz w:val="24"/>
          <w:szCs w:val="24"/>
          <w:lang w:val="sv-SE"/>
        </w:rPr>
        <w:t xml:space="preserve">152, 75. Menurut peneliti rerata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sidRPr="003A67AB">
        <w:rPr>
          <w:rFonts w:ascii="Tw Cen MT" w:eastAsia="Twentieth Century" w:hAnsi="Tw Cen MT" w:cs="Twentieth Century"/>
          <w:bCs/>
          <w:sz w:val="24"/>
          <w:szCs w:val="24"/>
          <w:lang w:val="sv-SE"/>
        </w:rPr>
        <w:t xml:space="preserve">pada penggunaan ketiga </w:t>
      </w:r>
      <w:r w:rsidR="00FD7CA4" w:rsidRPr="00FD7CA4">
        <w:rPr>
          <w:rFonts w:ascii="Tw Cen MT" w:eastAsia="Twentieth Century" w:hAnsi="Tw Cen MT" w:cs="Twentieth Century"/>
          <w:bCs/>
          <w:i/>
          <w:iCs/>
          <w:sz w:val="24"/>
          <w:szCs w:val="24"/>
          <w:lang w:val="sv-SE"/>
        </w:rPr>
        <w:t>Virtual Grid</w:t>
      </w:r>
      <w:r w:rsidRPr="003A67AB">
        <w:rPr>
          <w:rFonts w:ascii="Tw Cen MT" w:eastAsia="Twentieth Century" w:hAnsi="Tw Cen MT" w:cs="Twentieth Century"/>
          <w:bCs/>
          <w:sz w:val="24"/>
          <w:szCs w:val="24"/>
          <w:lang w:val="sv-SE"/>
        </w:rPr>
        <w:t xml:space="preserve"> rasio 8:1, 10:1, dan 12:1 tidak jauh berbeda atau cenderung sama.</w:t>
      </w:r>
    </w:p>
    <w:p w14:paraId="653EDC04" w14:textId="4A0763C4" w:rsidR="003A67AB" w:rsidRPr="003A67AB" w:rsidRDefault="003A67AB" w:rsidP="003A67AB">
      <w:pPr>
        <w:spacing w:after="0" w:line="240" w:lineRule="auto"/>
        <w:jc w:val="both"/>
        <w:rPr>
          <w:rFonts w:ascii="Tw Cen MT" w:eastAsia="Twentieth Century" w:hAnsi="Tw Cen MT" w:cs="Twentieth Century"/>
          <w:bCs/>
          <w:sz w:val="24"/>
          <w:szCs w:val="24"/>
          <w:lang w:val="sv-SE"/>
        </w:rPr>
      </w:pPr>
      <w:r w:rsidRPr="003A67AB">
        <w:rPr>
          <w:rFonts w:ascii="Tw Cen MT" w:eastAsia="Twentieth Century" w:hAnsi="Tw Cen MT" w:cs="Twentieth Century"/>
          <w:bCs/>
          <w:sz w:val="24"/>
          <w:szCs w:val="24"/>
          <w:lang w:val="sv-SE"/>
        </w:rPr>
        <w:t xml:space="preserve">Dalam prosedur penelitian citra yang digunakan merupakan hasil duplikasi, sehingga tidak dapat mempengaruhi nilai piksel. Hasil ini didukung oleh penelitian yang dilakukan oleh Pascoal, A et all, (2005). Pengukuran piksel dan noise yang pada gambar duplikasi yang diperoleh dengan </w:t>
      </w:r>
      <w:r w:rsidRPr="0060175D">
        <w:rPr>
          <w:rFonts w:ascii="Tw Cen MT" w:eastAsia="Twentieth Century" w:hAnsi="Tw Cen MT" w:cs="Twentieth Century"/>
          <w:bCs/>
          <w:i/>
          <w:iCs/>
          <w:sz w:val="24"/>
          <w:szCs w:val="24"/>
          <w:lang w:val="sv-SE"/>
        </w:rPr>
        <w:t>Flat Panel Detector</w:t>
      </w:r>
      <w:r w:rsidRPr="003A67AB">
        <w:rPr>
          <w:rFonts w:ascii="Tw Cen MT" w:eastAsia="Twentieth Century" w:hAnsi="Tw Cen MT" w:cs="Twentieth Century"/>
          <w:bCs/>
          <w:sz w:val="24"/>
          <w:szCs w:val="24"/>
          <w:lang w:val="sv-SE"/>
        </w:rPr>
        <w:t xml:space="preserve"> menunjukan nilai perbedaan yang kecil pada piksel dan noise</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{"citationItems":[{"id":"ITEM-1","itemData":{"DOI":"10.1088/0031-9155/50/23/023","ISSN":"00319155","PMID":"16306665","abstract":"Contrast detail analysis is commonly used to assess image quality (IQ) associated with diagnostic imaging systems. Applications include routine assessment of equipment performance and optimization studies. Most frequently, the evaluation of contrast detail images involves human observers visually detecting the threshold contrast detail combinations in the image. However, the subjective nature of human perception and the variations in the decision threshold pose limits to the minimum image quality variations detectable with reliability. Objective methods of assessment of image quality such as automated scoring have the potential to overcome the above limitations. A software package (CDRAD analyser) developed for automated scoring of images produced with the CDRAD test object was evaluated. Its performance to assess absolute and relative IQ was compared with that of an average observer. Results show that the software does not mimic the absolute performance of the average observer. The software proved more sensitive and was able to detect smaller low-contrast variations. The observer's performance was superior to the software's in the detection of smaller details. Both scoring methods showed frequent agreement in the detection of image quality variations resulting from changes in kVp and KERMAdetector, which indicates the potential to use the software CDRAD analyser for assessment of relative IQ. © 2005 IOP Publishing Ltd.","author":[{"dropping-particle":"","family":"Pascoal","given":"A.","non-dropping-particle":"","parse-names":false,"suffix":""},{"dropping-particle":"","family":"Lawinski","given":"C. P.","non-dropping-particle":"","parse-names":false,"suffix":""},{"dropping-particle":"","family":"Honey","given":"I.","non-dropping-particle":"","parse-names":false,"suffix":""},{"dropping-particle":"","family":"Blake","given":"P.","non-dropping-particle":"","parse-names":false,"suffix":""}],"container-title":"Physics in Medicine and Biology","id":"ITEM-1","issue":"23","issued":{"date-parts":[["2005"]]},"page":"5743-5757","title":"Evaluation of a software package for automated quality assessment of contrast detail images - Comparison with subjective visual assessment","type":"article-journal","volume":"50"},"uris":["http://www.mendeley.com/documents/?uuid=772598a9-d1c8-446a-816a-1d8d71e9b547"]}],"mendeley":{"formattedCitation":"[14]","plainTextFormattedCitation":"[14]","previouslyFormattedCitation":"[13]"},"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[14]</w:t>
      </w:r>
      <w:r w:rsidR="008B22C5">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w:t>
      </w:r>
    </w:p>
    <w:p w14:paraId="7C9CA791" w14:textId="2C6385AF" w:rsidR="003A67AB" w:rsidRDefault="003A67AB" w:rsidP="003A67AB">
      <w:pPr>
        <w:spacing w:after="0" w:line="240" w:lineRule="auto"/>
        <w:jc w:val="both"/>
        <w:rPr>
          <w:rFonts w:ascii="Tw Cen MT" w:eastAsia="Twentieth Century" w:hAnsi="Tw Cen MT" w:cs="Twentieth Century"/>
          <w:bCs/>
          <w:sz w:val="24"/>
          <w:szCs w:val="24"/>
          <w:lang w:val="sv-SE"/>
        </w:rPr>
      </w:pPr>
      <w:r w:rsidRPr="003A67AB">
        <w:rPr>
          <w:rFonts w:ascii="Tw Cen MT" w:eastAsia="Twentieth Century" w:hAnsi="Tw Cen MT" w:cs="Twentieth Century"/>
          <w:bCs/>
          <w:sz w:val="24"/>
          <w:szCs w:val="24"/>
          <w:lang w:val="sv-SE"/>
        </w:rPr>
        <w:t xml:space="preserve">Pada proyeksi lateral sacrum hasil citra sering kali mengalami penurunan kontras, </w:t>
      </w:r>
      <w:r w:rsidRPr="003A67AB">
        <w:rPr>
          <w:rFonts w:ascii="Tw Cen MT" w:eastAsia="Twentieth Century" w:hAnsi="Tw Cen MT" w:cs="Twentieth Century"/>
          <w:bCs/>
          <w:sz w:val="24"/>
          <w:szCs w:val="24"/>
          <w:lang w:val="sv-SE"/>
        </w:rPr>
        <w:t xml:space="preserve">sehingga perubahan rentang </w:t>
      </w:r>
      <w:r w:rsidR="00FD7CA4" w:rsidRPr="00FD7CA4">
        <w:rPr>
          <w:rFonts w:ascii="Tw Cen MT" w:eastAsia="Twentieth Century" w:hAnsi="Tw Cen MT" w:cs="Twentieth Century"/>
          <w:bCs/>
          <w:i/>
          <w:sz w:val="24"/>
          <w:szCs w:val="24"/>
          <w:lang w:val="sv-SE"/>
        </w:rPr>
        <w:t>Virtual Grid</w:t>
      </w:r>
      <w:r w:rsidRPr="003A67AB">
        <w:rPr>
          <w:rFonts w:ascii="Tw Cen MT" w:eastAsia="Twentieth Century" w:hAnsi="Tw Cen MT" w:cs="Twentieth Century"/>
          <w:bCs/>
          <w:sz w:val="24"/>
          <w:szCs w:val="24"/>
          <w:lang w:val="sv-SE"/>
        </w:rPr>
        <w:t xml:space="preserve"> Rasio yang terlalu dekat tidak dapat mempengaruhi perubahan nilai piksel. Berdasarkan penelitian Rini, et all (2024), pemeriksaan radiografi Lumbosakral proyeksi lateral, bagian vertebra lumbalis kelima (L5) dan </w:t>
      </w:r>
      <w:r w:rsidR="00FD7CA4" w:rsidRPr="00FD7CA4">
        <w:rPr>
          <w:rFonts w:ascii="Tw Cen MT" w:eastAsia="Twentieth Century" w:hAnsi="Tw Cen MT" w:cs="Twentieth Century"/>
          <w:bCs/>
          <w:i/>
          <w:iCs/>
          <w:sz w:val="24"/>
          <w:szCs w:val="24"/>
          <w:lang w:val="sv-SE"/>
        </w:rPr>
        <w:t>Os Sacrum</w:t>
      </w:r>
      <w:r w:rsidRPr="003A67AB">
        <w:rPr>
          <w:rFonts w:ascii="Tw Cen MT" w:eastAsia="Twentieth Century" w:hAnsi="Tw Cen MT" w:cs="Twentieth Century"/>
          <w:bCs/>
          <w:sz w:val="24"/>
          <w:szCs w:val="24"/>
          <w:lang w:val="sv-SE"/>
        </w:rPr>
        <w:t xml:space="preserve"> merupakan area yang paling sering mengalami penurunan kontras yang disebabkan oleh penggunaan faktor eksposi dan ketebalan objek</w:t>
      </w:r>
      <w:r w:rsidR="008B22C5">
        <w:rPr>
          <w:rFonts w:ascii="Tw Cen MT" w:eastAsia="Twentieth Century" w:hAnsi="Tw Cen MT" w:cs="Twentieth Century"/>
          <w:bCs/>
          <w:sz w:val="24"/>
          <w:szCs w:val="24"/>
          <w:lang w:val="sv-SE"/>
        </w:rPr>
        <w:t xml:space="preserve">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{"citationItems":[{"id":"ITEM-1","itemData":{"DOI":"10.57214/jusika.v6i2.514","ISSN":"2580-8362","abstract":"Optimal health services require supporting examinations in diagnosing a disease. On lumbosacral examination, radiograph quality is often less than optimal. Digital radiography is a new system on x-ray machines that has features for better image processing, one of which is flexible noise control (FNC). This study aims to determine the effect of digital radiography processing settings on image quality on lateral position lumbosacral examination. In this study using a qualitative descriptive method with an experimental or experimental research approach. The results showed that there was an effect of digital radiography processing settings on image quality with the FNC feature. This was shown by using the Image J application, there was a change in the standard deviation value before and after processing with the FNC feature. It is known that the FNC feature suppresses the noise value in the radiograph images.","author":[{"dropping-particle":"","family":"Rini Hatma Rusli","given":"","non-dropping-particle":"","parse-names":false,"suffix":""},{"dropping-particle":"","family":"Bambang Ariyanto","given":"","non-dropping-particle":"","parse-names":false,"suffix":""}],"container-title":"Jurnal Sains dan Kesehatan","id":"ITEM-1","issue":"2","issued":{"date-parts":[["2024"]]},"page":"105-110","title":"Pengaruh Pengaturan Processing Digital Radiography Terhadap Kualitas Gambar Pada Pemeriksaan Lumbosacral Posisi Lateral Di Rumah Sakit Bhayangkara Makassar","type":"article-journal","volume":"6"},"uris":["http://www.mendeley.com/documents/?uuid=292564a7-55fc-4614-8bac-14b62e8656d6"]}],"mendeley":{"formattedCitation":"[15]","plainTextFormattedCitation":"[15]","previouslyFormattedCitation":"[14]"},"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[15]</w:t>
      </w:r>
      <w:r w:rsidR="008B22C5">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 xml:space="preserve">. Selain itu, area pada sacrum posisi lateral mengalami radiasi hambur yang tinggi, berdasarkan hasil penelitian yang dilakukan oleh Effendi (2019), pengukuran nilai piksel pada variasi tanpa penggunaan filter dan penggunaan variasi filter memiliki nilai yang cenderung sama </w:t>
      </w:r>
      <w:r w:rsidR="008B22C5">
        <w:rPr>
          <w:rFonts w:ascii="Tw Cen MT" w:eastAsia="Twentieth Century" w:hAnsi="Tw Cen MT" w:cs="Twentieth Century"/>
          <w:bCs/>
          <w:sz w:val="24"/>
          <w:szCs w:val="24"/>
          <w:lang w:val="sv-SE"/>
        </w:rPr>
        <w:fldChar w:fldCharType="begin" w:fldLock="1"/>
      </w:r>
      <w:r w:rsidR="008B22C5">
        <w:rPr>
          <w:rFonts w:ascii="Tw Cen MT" w:eastAsia="Twentieth Century" w:hAnsi="Tw Cen MT" w:cs="Twentieth Century"/>
          <w:bCs/>
          <w:sz w:val="24"/>
          <w:szCs w:val="24"/>
          <w:lang w:val="sv-SE"/>
        </w:rPr>
        <w:instrText>ADDIN CSL_CITATION {"citationItems":[{"id":"ITEM-1","itemData":{"DOI":"10.1063/1.5097487","ISBN":"9780735418240","ISSN":"15517616","abstract":"This study aims to obtain an optimum design of the aluminum filter for producing a better X-ray contrast film of the lateral projection of Lumbosacral. The additional filter thickness was in accordance with the lumbosacral vertebral density. This study was conducted using the Quantum CS 2 X-ray equipment in Room 2 of the Radio Diagnostic Unit of Margono Soekarjo Hospital (RSMS) Purwokerto with the PBU-50 Phantom object. The aluminum filter was inserted gradually from 1mm to 15mm and followed by contrast film calculation. The radiographs were processed by CR reader and imported into Weasis version 2.0.7 software for pixel value analysis. The result shows different compensation filter thicknesses in the lumbar and sacral regions to improve the image quality of the lateral projection lumbosacral vertebrae radiography. The aluminum filters for the exposure factor of 85kV and 25 mAs with a thickness of 13.3mm and 2.8mm were considered optimal for compensating for the lumbar region (L1-L4) and the sacrum area (L5-S2), respectively.","author":[{"dropping-particle":"","family":"Effendi","given":"Mukhtar","non-dropping-particle":"","parse-names":false,"suffix":""},{"dropping-particle":"","family":"Fatimah","given":"Ratna Umi","non-dropping-particle":"","parse-names":false,"suffix":""},{"dropping-particle":"","family":"Sholeh","given":"Agus","non-dropping-particle":"","parse-names":false,"suffix":""},{"dropping-particle":"","family":"Fatchurohmah","given":"Wiwiek","non-dropping-particle":"","parse-names":false,"suffix":""}],"container-title":"AIP Conference Proceedings","id":"ITEM-1","issue":"April","issued":{"date-parts":[["2019"]]},"title":"Design of the aluminum compensating filter to improve the image quality in the lateral projection of lumbosacral vertebrae","type":"article-journal","volume":"2094"},"uris":["http://www.mendeley.com/documents/?uuid=25956f8d-b268-4e5d-9544-e4b07b249b77"]}],"mendeley":{"formattedCitation":"[3]","plainTextFormattedCitation":"[3]","previouslyFormattedCitation":"[3]"},"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8B22C5" w:rsidRPr="008B22C5">
        <w:rPr>
          <w:rFonts w:ascii="Tw Cen MT" w:eastAsia="Twentieth Century" w:hAnsi="Tw Cen MT" w:cs="Twentieth Century"/>
          <w:bCs/>
          <w:noProof/>
          <w:sz w:val="24"/>
          <w:szCs w:val="24"/>
          <w:lang w:val="sv-SE"/>
        </w:rPr>
        <w:t>[3]</w:t>
      </w:r>
      <w:r w:rsidR="008B22C5">
        <w:rPr>
          <w:rFonts w:ascii="Tw Cen MT" w:eastAsia="Twentieth Century" w:hAnsi="Tw Cen MT" w:cs="Twentieth Century"/>
          <w:bCs/>
          <w:sz w:val="24"/>
          <w:szCs w:val="24"/>
          <w:lang w:val="sv-SE"/>
        </w:rPr>
        <w:fldChar w:fldCharType="end"/>
      </w:r>
      <w:r w:rsidRPr="003A67AB">
        <w:rPr>
          <w:rFonts w:ascii="Tw Cen MT" w:eastAsia="Twentieth Century" w:hAnsi="Tw Cen MT" w:cs="Twentieth Century"/>
          <w:bCs/>
          <w:sz w:val="24"/>
          <w:szCs w:val="24"/>
          <w:lang w:val="sv-SE"/>
        </w:rPr>
        <w:t>.</w:t>
      </w:r>
    </w:p>
    <w:p w14:paraId="5DD39077" w14:textId="515816CB" w:rsidR="00570D65" w:rsidRPr="00570D65" w:rsidRDefault="00570D65" w:rsidP="00570D65">
      <w:pPr>
        <w:spacing w:after="0" w:line="240" w:lineRule="auto"/>
        <w:jc w:val="both"/>
        <w:rPr>
          <w:rFonts w:ascii="Tw Cen MT" w:eastAsia="Twentieth Century" w:hAnsi="Tw Cen MT" w:cs="Twentieth Century"/>
          <w:bCs/>
          <w:sz w:val="24"/>
          <w:szCs w:val="24"/>
          <w:lang w:val="sv-SE"/>
        </w:rPr>
      </w:pPr>
      <w:r w:rsidRPr="00570D65">
        <w:rPr>
          <w:rFonts w:ascii="Tw Cen MT" w:eastAsia="Twentieth Century" w:hAnsi="Tw Cen MT" w:cs="Twentieth Century"/>
          <w:bCs/>
          <w:sz w:val="24"/>
          <w:szCs w:val="24"/>
          <w:lang w:val="sv-SE"/>
        </w:rPr>
        <w:t xml:space="preserve">Pemeriksaan </w:t>
      </w:r>
      <w:r w:rsidR="00FD7CA4" w:rsidRPr="00FD7CA4">
        <w:rPr>
          <w:rFonts w:ascii="Tw Cen MT" w:eastAsia="Twentieth Century" w:hAnsi="Tw Cen MT" w:cs="Twentieth Century"/>
          <w:bCs/>
          <w:i/>
          <w:iCs/>
          <w:sz w:val="24"/>
          <w:szCs w:val="24"/>
          <w:lang w:val="sv-SE"/>
        </w:rPr>
        <w:t>Os Sacrum</w:t>
      </w:r>
      <w:r w:rsidRPr="00570D65">
        <w:rPr>
          <w:rFonts w:ascii="Tw Cen MT" w:eastAsia="Twentieth Century" w:hAnsi="Tw Cen MT" w:cs="Twentieth Century"/>
          <w:bCs/>
          <w:sz w:val="24"/>
          <w:szCs w:val="24"/>
          <w:lang w:val="sv-SE"/>
        </w:rPr>
        <w:t xml:space="preserve"> merupakan metode pencitraan awal yang sering digunakan dalam mengevaluasi pasien dengan nyeri punggung bawah dan nyeri panggul, khususnya untuk menilai kondisi sendi sakroiliaka (SI joint). Pemeriksaan </w:t>
      </w:r>
      <w:r w:rsidR="00FD7CA4" w:rsidRPr="00FD7CA4">
        <w:rPr>
          <w:rFonts w:ascii="Tw Cen MT" w:eastAsia="Twentieth Century" w:hAnsi="Tw Cen MT" w:cs="Twentieth Century"/>
          <w:bCs/>
          <w:i/>
          <w:iCs/>
          <w:sz w:val="24"/>
          <w:szCs w:val="24"/>
          <w:lang w:val="sv-SE"/>
        </w:rPr>
        <w:t>Os Sacrum</w:t>
      </w:r>
      <w:r w:rsidRPr="00570D65">
        <w:rPr>
          <w:rFonts w:ascii="Tw Cen MT" w:eastAsia="Twentieth Century" w:hAnsi="Tw Cen MT" w:cs="Twentieth Century"/>
          <w:bCs/>
          <w:sz w:val="24"/>
          <w:szCs w:val="24"/>
          <w:lang w:val="sv-SE"/>
        </w:rPr>
        <w:t xml:space="preserve"> menjadi deteksi dini yang dapat memberikan informasi awal mengenai kemungkinan adanya peradangan, cedera struktural, atau gangguan sendi di daerah sacrum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{"citationItems":[{"id":"ITEM-1","itemData":{"URL":"https://www.ncbi.nlm.nih.gov/books/NBK557881/","author":[{"dropping-particle":"","family":"Dydyk","given":"Alexander M","non-dropping-particle":"","parse-names":false,"suffix":""},{"dropping-particle":"","family":"Forro","given":"SD","non-dropping-particle":"","parse-names":false,"suffix":""},{"dropping-particle":"","family":"Gutcho","given":"J","non-dropping-particle":"","parse-names":false,"suffix":""}],"id":"ITEM-1","issued":{"date-parts":[["2023"]]},"title":"Sacroiliac Joint Injury","type":"webpage"},"uris":["http://www.mendeley.com/documents/?uuid=b758d447-8341-4f7e-96a3-3bcea76f439e"]}],"mendeley":{"formattedCitation":"[16]","plainTextFormattedCitation":"[16]","previouslyFormattedCitation":"[15]"},"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[16]</w:t>
      </w:r>
      <w:r w:rsidR="008B22C5">
        <w:rPr>
          <w:rFonts w:ascii="Tw Cen MT" w:eastAsia="Twentieth Century" w:hAnsi="Tw Cen MT" w:cs="Twentieth Century"/>
          <w:bCs/>
          <w:sz w:val="24"/>
          <w:szCs w:val="24"/>
          <w:lang w:val="sv-SE"/>
        </w:rPr>
        <w:fldChar w:fldCharType="end"/>
      </w:r>
      <w:r w:rsidRPr="00570D65">
        <w:rPr>
          <w:rFonts w:ascii="Tw Cen MT" w:eastAsia="Twentieth Century" w:hAnsi="Tw Cen MT" w:cs="Twentieth Century"/>
          <w:bCs/>
          <w:sz w:val="24"/>
          <w:szCs w:val="24"/>
          <w:lang w:val="sv-SE"/>
        </w:rPr>
        <w:t>.</w:t>
      </w:r>
    </w:p>
    <w:p w14:paraId="185A16D3" w14:textId="78B09593" w:rsidR="00570D65" w:rsidRPr="00570D65" w:rsidRDefault="00570D65" w:rsidP="00570D65">
      <w:pPr>
        <w:spacing w:after="0" w:line="240" w:lineRule="auto"/>
        <w:jc w:val="both"/>
        <w:rPr>
          <w:rFonts w:ascii="Tw Cen MT" w:eastAsia="Twentieth Century" w:hAnsi="Tw Cen MT" w:cs="Twentieth Century"/>
          <w:bCs/>
          <w:sz w:val="24"/>
          <w:szCs w:val="24"/>
          <w:lang w:val="sv-SE"/>
        </w:rPr>
      </w:pPr>
      <w:r w:rsidRPr="00570D65">
        <w:rPr>
          <w:rFonts w:ascii="Tw Cen MT" w:eastAsia="Twentieth Century" w:hAnsi="Tw Cen MT" w:cs="Twentieth Century"/>
          <w:bCs/>
          <w:sz w:val="24"/>
          <w:szCs w:val="24"/>
          <w:lang w:val="sv-SE"/>
        </w:rPr>
        <w:t xml:space="preserve">Salah satu pemeriksaan yang sering melakukan  pengulangan gambar di rumah sakit yaitu pemeriksaan </w:t>
      </w:r>
      <w:r w:rsidRPr="00B7669E">
        <w:rPr>
          <w:rFonts w:ascii="Tw Cen MT" w:eastAsia="Twentieth Century" w:hAnsi="Tw Cen MT" w:cs="Twentieth Century"/>
          <w:bCs/>
          <w:i/>
          <w:iCs/>
          <w:sz w:val="24"/>
          <w:szCs w:val="24"/>
          <w:lang w:val="sv-SE"/>
        </w:rPr>
        <w:t>sacrum</w:t>
      </w:r>
      <w:r w:rsidRPr="00570D65">
        <w:rPr>
          <w:rFonts w:ascii="Tw Cen MT" w:eastAsia="Twentieth Century" w:hAnsi="Tw Cen MT" w:cs="Twentieth Century"/>
          <w:bCs/>
          <w:sz w:val="24"/>
          <w:szCs w:val="24"/>
          <w:lang w:val="sv-SE"/>
        </w:rPr>
        <w:t xml:space="preserve">, hasil penelitian yang dilakukan oleh Steffen,A (2006), yang dimana salah satu pemeriksaan </w:t>
      </w:r>
      <w:r w:rsidR="00FD7CA4" w:rsidRPr="00FD7CA4">
        <w:rPr>
          <w:rFonts w:ascii="Tw Cen MT" w:eastAsia="Twentieth Century" w:hAnsi="Tw Cen MT" w:cs="Twentieth Century"/>
          <w:bCs/>
          <w:i/>
          <w:iCs/>
          <w:sz w:val="24"/>
          <w:szCs w:val="24"/>
          <w:lang w:val="sv-SE"/>
        </w:rPr>
        <w:t>Os Sacrum</w:t>
      </w:r>
      <w:r w:rsidRPr="00570D65">
        <w:rPr>
          <w:rFonts w:ascii="Tw Cen MT" w:eastAsia="Twentieth Century" w:hAnsi="Tw Cen MT" w:cs="Twentieth Century"/>
          <w:bCs/>
          <w:sz w:val="24"/>
          <w:szCs w:val="24"/>
          <w:lang w:val="sv-SE"/>
        </w:rPr>
        <w:t xml:space="preserve"> mempunyai persentas 24,5% pada prosedur radiografi digita</w:t>
      </w:r>
      <w:r w:rsidR="008B22C5">
        <w:rPr>
          <w:rFonts w:ascii="Tw Cen MT" w:eastAsia="Twentieth Century" w:hAnsi="Tw Cen MT" w:cs="Twentieth Century"/>
          <w:bCs/>
          <w:sz w:val="24"/>
          <w:szCs w:val="24"/>
          <w:lang w:val="sv-SE"/>
        </w:rPr>
        <w:t xml:space="preserve">l </w:t>
      </w:r>
      <w:r w:rsidR="008B22C5">
        <w:rPr>
          <w:rFonts w:ascii="Tw Cen MT" w:eastAsia="Twentieth Century" w:hAnsi="Tw Cen MT" w:cs="Twentieth Century"/>
          <w:bCs/>
          <w:sz w:val="24"/>
          <w:szCs w:val="24"/>
          <w:lang w:val="sv-SE"/>
        </w:rPr>
        <w:fldChar w:fldCharType="begin" w:fldLock="1"/>
      </w:r>
      <w:r w:rsidR="008B22C5">
        <w:rPr>
          <w:rFonts w:ascii="Tw Cen MT" w:eastAsia="Twentieth Century" w:hAnsi="Tw Cen MT" w:cs="Twentieth Century"/>
          <w:bCs/>
          <w:sz w:val="24"/>
          <w:szCs w:val="24"/>
          <w:lang w:val="sv-SE"/>
        </w:rPr>
        <w:instrText>ADDIN CSL_CITATION {"citationItems":[{"id":"ITEM-1","itemData":{"author":[{"dropping-particle":"","family":"Steffen","given":"A","non-dropping-particle":"","parse-names":false,"suffix":""},{"dropping-particle":"","family":"Neitzel","given":"U","non-dropping-particle":"","parse-names":false,"suffix":""},{"dropping-particle":"","family":"Förger","given":"K","non-dropping-particle":"","parse-names":false,"suffix":""},{"dropping-particle":"","family":"De","given":"Hamburg","non-dropping-particle":"","parse-names":false,"suffix":""}],"id":"ITEM-1","issued":{"date-parts":[["2006"]]},"page":"1-6","title":"Image repeat analysis for a digital radiography system Poster : Congress : Type : Topic : Authors : Physics in Radiology","type":"article-journal"},"uris":["http://www.mendeley.com/documents/?uuid=c4ab8b2e-5abc-4004-8e6e-abbde98134c7"]}],"mendeley":{"formattedCitation":"[1]","plainTextFormattedCitation":"[1]","previouslyFormattedCitation":"[1]"},"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8B22C5" w:rsidRPr="008B22C5">
        <w:rPr>
          <w:rFonts w:ascii="Tw Cen MT" w:eastAsia="Twentieth Century" w:hAnsi="Tw Cen MT" w:cs="Twentieth Century"/>
          <w:bCs/>
          <w:noProof/>
          <w:sz w:val="24"/>
          <w:szCs w:val="24"/>
          <w:lang w:val="sv-SE"/>
        </w:rPr>
        <w:t>[1]</w:t>
      </w:r>
      <w:r w:rsidR="008B22C5">
        <w:rPr>
          <w:rFonts w:ascii="Tw Cen MT" w:eastAsia="Twentieth Century" w:hAnsi="Tw Cen MT" w:cs="Twentieth Century"/>
          <w:bCs/>
          <w:sz w:val="24"/>
          <w:szCs w:val="24"/>
          <w:lang w:val="sv-SE"/>
        </w:rPr>
        <w:fldChar w:fldCharType="end"/>
      </w:r>
      <w:r w:rsidRPr="00570D65">
        <w:rPr>
          <w:rFonts w:ascii="Tw Cen MT" w:eastAsia="Twentieth Century" w:hAnsi="Tw Cen MT" w:cs="Twentieth Century"/>
          <w:bCs/>
          <w:sz w:val="24"/>
          <w:szCs w:val="24"/>
          <w:lang w:val="sv-SE"/>
        </w:rPr>
        <w:t xml:space="preserve">. Di Indonesia pemeriksaan tulang belakang posisi lateral termasuk dalam potensi </w:t>
      </w:r>
      <w:r w:rsidRPr="00B7669E">
        <w:rPr>
          <w:rFonts w:ascii="Tw Cen MT" w:eastAsia="Twentieth Century" w:hAnsi="Tw Cen MT" w:cs="Twentieth Century"/>
          <w:bCs/>
          <w:i/>
          <w:iCs/>
          <w:sz w:val="24"/>
          <w:szCs w:val="24"/>
          <w:lang w:val="sv-SE"/>
        </w:rPr>
        <w:t>Unnecessary Exposure</w:t>
      </w:r>
      <w:r w:rsidRPr="00570D65">
        <w:rPr>
          <w:rFonts w:ascii="Tw Cen MT" w:eastAsia="Twentieth Century" w:hAnsi="Tw Cen MT" w:cs="Twentieth Century"/>
          <w:bCs/>
          <w:sz w:val="24"/>
          <w:szCs w:val="24"/>
          <w:lang w:val="sv-SE"/>
        </w:rPr>
        <w:t xml:space="preserve"> sebesar -80 % hal ini menunjukkan bahwa sebagian besar (di atas 50%) nilai dosis tiap jenis pemeriksaan berada melebihi nilai toleransi ±20%, yang disebabkan salah satunya oleh faktor eksposi yang berlebih dan Kesalahan dalam menetapkan target/lokasi/posisi penyinaran </w:t>
      </w:r>
      <w:r w:rsidR="008B22C5">
        <w:rPr>
          <w:rFonts w:ascii="Tw Cen MT" w:eastAsia="Twentieth Century" w:hAnsi="Tw Cen MT" w:cs="Twentieth Century"/>
          <w:bCs/>
          <w:sz w:val="24"/>
          <w:szCs w:val="24"/>
          <w:lang w:val="sv-SE"/>
        </w:rPr>
        <w:fldChar w:fldCharType="begin" w:fldLock="1"/>
      </w:r>
      <w:r w:rsidR="008B22C5">
        <w:rPr>
          <w:rFonts w:ascii="Tw Cen MT" w:eastAsia="Twentieth Century" w:hAnsi="Tw Cen MT" w:cs="Twentieth Century"/>
          <w:bCs/>
          <w:sz w:val="24"/>
          <w:szCs w:val="24"/>
          <w:lang w:val="sv-SE"/>
        </w:rPr>
        <w:instrText>ADDIN CSL_CITATION {"citationItems":[{"id":"ITEM-1","itemData":{"DOI":"10.53862/jupeten.v4i2.011","author":[{"dropping-particle":"","family":"Kunarsih","given":"Endang","non-dropping-particle":"","parse-names":false,"suffix":""},{"dropping-particle":"","family":"Bagus","given":"Ida","non-dropping-particle":"","parse-names":false,"suffix":""},{"dropping-particle":"","family":"Putra","given":"Gede","non-dropping-particle":"","parse-names":false,"suffix":""}],"id":"ITEM-1","issue":"2","issued":{"date-parts":[["2024"]]},"page":"73-80","title":"Jurnal Pengawasan Tenaga Nuklir Pemetaan Profil Potensi Unnecessary Exposure pada Pasien CT-Scan dan Radiografi Umum di Indonesia","type":"article-journal","volume":"4"},"uris":["http://www.mendeley.com/documents/?uuid=2ae0f139-0ad9-40ba-903e-1138de06d1fe"]}],"mendeley":{"formattedCitation":"[2]","plainTextFormattedCitation":"[2]","previouslyFormattedCitation":"[2]"},"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8B22C5" w:rsidRPr="008B22C5">
        <w:rPr>
          <w:rFonts w:ascii="Tw Cen MT" w:eastAsia="Twentieth Century" w:hAnsi="Tw Cen MT" w:cs="Twentieth Century"/>
          <w:bCs/>
          <w:noProof/>
          <w:sz w:val="24"/>
          <w:szCs w:val="24"/>
          <w:lang w:val="sv-SE"/>
        </w:rPr>
        <w:t>[2]</w:t>
      </w:r>
      <w:r w:rsidR="008B22C5">
        <w:rPr>
          <w:rFonts w:ascii="Tw Cen MT" w:eastAsia="Twentieth Century" w:hAnsi="Tw Cen MT" w:cs="Twentieth Century"/>
          <w:bCs/>
          <w:sz w:val="24"/>
          <w:szCs w:val="24"/>
          <w:lang w:val="sv-SE"/>
        </w:rPr>
        <w:fldChar w:fldCharType="end"/>
      </w:r>
      <w:r w:rsidRPr="00570D65">
        <w:rPr>
          <w:rFonts w:ascii="Tw Cen MT" w:eastAsia="Twentieth Century" w:hAnsi="Tw Cen MT" w:cs="Twentieth Century"/>
          <w:bCs/>
          <w:sz w:val="24"/>
          <w:szCs w:val="24"/>
          <w:lang w:val="sv-SE"/>
        </w:rPr>
        <w:t xml:space="preserve">. Dalam proses akusisi citra digital radiografi setiap piksel memiliki nilai kecerahan tertentu yang menunjukkan </w:t>
      </w:r>
      <w:r w:rsidRPr="00570D65">
        <w:rPr>
          <w:rFonts w:ascii="Tw Cen MT" w:eastAsia="Twentieth Century" w:hAnsi="Tw Cen MT" w:cs="Twentieth Century"/>
          <w:bCs/>
          <w:sz w:val="24"/>
          <w:szCs w:val="24"/>
          <w:lang w:val="sv-SE"/>
        </w:rPr>
        <w:lastRenderedPageBreak/>
        <w:t xml:space="preserve">intensitas berkas sinar-X yang diserap oleh detector. Pada intensitas sinar-X yang lebih besar menunjukan nilai kecerahan yang rendah atau </w:t>
      </w:r>
      <w:r w:rsidR="00C063BE">
        <w:rPr>
          <w:rFonts w:ascii="Tw Cen MT" w:eastAsia="Twentieth Century" w:hAnsi="Tw Cen MT" w:cs="Twentieth Century"/>
          <w:bCs/>
          <w:i/>
          <w:iCs/>
          <w:sz w:val="24"/>
          <w:szCs w:val="24"/>
          <w:lang w:val="sv-SE"/>
        </w:rPr>
        <w:t>R</w:t>
      </w:r>
      <w:r w:rsidRPr="003D7B35">
        <w:rPr>
          <w:rFonts w:ascii="Tw Cen MT" w:eastAsia="Twentieth Century" w:hAnsi="Tw Cen MT" w:cs="Twentieth Century"/>
          <w:bCs/>
          <w:i/>
          <w:iCs/>
          <w:sz w:val="24"/>
          <w:szCs w:val="24"/>
          <w:lang w:val="sv-SE"/>
        </w:rPr>
        <w:t>adiolucent</w:t>
      </w:r>
      <w:r w:rsidRPr="00570D65">
        <w:rPr>
          <w:rFonts w:ascii="Tw Cen MT" w:eastAsia="Twentieth Century" w:hAnsi="Tw Cen MT" w:cs="Twentieth Century"/>
          <w:bCs/>
          <w:sz w:val="24"/>
          <w:szCs w:val="24"/>
          <w:lang w:val="sv-SE"/>
        </w:rPr>
        <w:t>, sedangkan pada intensitas sinar-X yang lebih rendah menunjukan nilai kecerahan yang tinggi atau radiopaque.</w:t>
      </w:r>
      <w:r w:rsidR="008B22C5">
        <w:rPr>
          <w:rFonts w:ascii="Tw Cen MT" w:eastAsia="Twentieth Century" w:hAnsi="Tw Cen MT" w:cs="Twentieth Century"/>
          <w:bCs/>
          <w:sz w:val="24"/>
          <w:szCs w:val="24"/>
          <w:lang w:val="sv-SE"/>
        </w:rPr>
        <w:t xml:space="preserve"> </w:t>
      </w:r>
      <w:r w:rsidRPr="00570D65">
        <w:rPr>
          <w:rFonts w:ascii="Tw Cen MT" w:eastAsia="Twentieth Century" w:hAnsi="Tw Cen MT" w:cs="Twentieth Century"/>
          <w:bCs/>
          <w:sz w:val="24"/>
          <w:szCs w:val="24"/>
          <w:lang w:val="sv-SE"/>
        </w:rPr>
        <w:t>Oleh karena itu, pada citra digital radiografi lebih mudah untuk memahami kecerahan gambar dengan menggunakan indikator nilai pixel</w:t>
      </w:r>
      <w:r w:rsidR="008B22C5">
        <w:rPr>
          <w:rFonts w:ascii="Tw Cen MT" w:eastAsia="Twentieth Century" w:hAnsi="Tw Cen MT" w:cs="Twentieth Century"/>
          <w:bCs/>
          <w:sz w:val="24"/>
          <w:szCs w:val="24"/>
          <w:lang w:val="sv-SE"/>
        </w:rPr>
        <w:t xml:space="preserve">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10.17485/ijst/2016/v9iS1/109898","author":[{"dropping-particle":"","family":"Choi","given":"Joon-koo","non-dropping-particle":"","parse-names":false,"suffix":""},{"dropping-particle":"","family":"Kim","given":"Gha-jung","non-dropping-particle":"","parse-names":false,"suffix":""},{"dropping-particle":"","family":"Hong","given":"Dong-hee","non-dropping-particle":"","parse-names":false,"suffix":""},{"dropping-particle":"","family":"Kim","given":"Hyeong-gyun","non-dropping-particle":"","parse-names":false,"suffix":""},{"dropping-particle":"","family":"Han","given":"Dong-kyoon","non-dropping-particle":"","parse-names":false,"suffix":""}],"id":"ITEM-1","issue":"December","issued":{"date-parts":[["2016"]]},"page":"1-5","title":"Study on the Standardizaton of Signal Intensity Scale of Pixel Value in Digital Radiography","type":"article-journal","volume":"9"},"uris":["http://www.mendeley.com/documents/?uuid=f2d85aac-c622-4561-961e-5e13745d9f25"]}],"mendeley":{"formattedCitation":"[17]","plainTextFormattedCitation":"[17]","previouslyFormattedCitation":"[16]"},"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[17]</w:t>
      </w:r>
      <w:r w:rsidR="008B22C5">
        <w:rPr>
          <w:rFonts w:ascii="Tw Cen MT" w:eastAsia="Twentieth Century" w:hAnsi="Tw Cen MT" w:cs="Twentieth Century"/>
          <w:bCs/>
          <w:sz w:val="24"/>
          <w:szCs w:val="24"/>
          <w:lang w:val="sv-SE"/>
        </w:rPr>
        <w:fldChar w:fldCharType="end"/>
      </w:r>
      <w:r w:rsidRPr="00570D65">
        <w:rPr>
          <w:rFonts w:ascii="Tw Cen MT" w:eastAsia="Twentieth Century" w:hAnsi="Tw Cen MT" w:cs="Twentieth Century"/>
          <w:bCs/>
          <w:sz w:val="24"/>
          <w:szCs w:val="24"/>
          <w:lang w:val="sv-SE"/>
        </w:rPr>
        <w:t>.</w:t>
      </w:r>
    </w:p>
    <w:p w14:paraId="2DEE2396" w14:textId="13085685" w:rsidR="003A67AB" w:rsidRDefault="00570D65" w:rsidP="003A67AB">
      <w:pPr>
        <w:spacing w:after="0" w:line="240" w:lineRule="auto"/>
        <w:jc w:val="both"/>
        <w:rPr>
          <w:rFonts w:ascii="Tw Cen MT" w:eastAsia="Twentieth Century" w:hAnsi="Tw Cen MT" w:cs="Twentieth Century"/>
          <w:bCs/>
          <w:sz w:val="24"/>
          <w:szCs w:val="24"/>
          <w:lang w:val="sv-SE"/>
        </w:rPr>
      </w:pPr>
      <w:r w:rsidRPr="00570D65">
        <w:rPr>
          <w:rFonts w:ascii="Tw Cen MT" w:eastAsia="Twentieth Century" w:hAnsi="Tw Cen MT" w:cs="Twentieth Century"/>
          <w:bCs/>
          <w:sz w:val="24"/>
          <w:szCs w:val="24"/>
          <w:lang w:val="sv-SE"/>
        </w:rPr>
        <w:t xml:space="preserve">Dari hasil uji </w:t>
      </w:r>
      <w:r w:rsidRPr="0060175D">
        <w:rPr>
          <w:rFonts w:ascii="Tw Cen MT" w:eastAsia="Twentieth Century" w:hAnsi="Tw Cen MT" w:cs="Twentieth Century"/>
          <w:bCs/>
          <w:i/>
          <w:iCs/>
          <w:sz w:val="24"/>
          <w:szCs w:val="24"/>
          <w:lang w:val="sv-SE"/>
        </w:rPr>
        <w:t>One-Way Anova</w:t>
      </w:r>
      <w:r w:rsidRPr="00570D65">
        <w:rPr>
          <w:rFonts w:ascii="Tw Cen MT" w:eastAsia="Twentieth Century" w:hAnsi="Tw Cen MT" w:cs="Twentieth Century"/>
          <w:bCs/>
          <w:sz w:val="24"/>
          <w:szCs w:val="24"/>
          <w:lang w:val="sv-SE"/>
        </w:rPr>
        <w:t>, nilai p-value&gt;0,05 dengan demikian dapat dikatakan</w:t>
      </w:r>
      <w:r w:rsidR="008B22C5">
        <w:rPr>
          <w:rFonts w:ascii="Tw Cen MT" w:eastAsia="Twentieth Century" w:hAnsi="Tw Cen MT" w:cs="Twentieth Century"/>
          <w:bCs/>
          <w:sz w:val="24"/>
          <w:szCs w:val="24"/>
          <w:lang w:val="sv-SE"/>
        </w:rPr>
        <w:t xml:space="preserve"> </w:t>
      </w:r>
      <w:r w:rsidRPr="00570D65">
        <w:rPr>
          <w:rFonts w:ascii="Tw Cen MT" w:eastAsia="Twentieth Century" w:hAnsi="Tw Cen MT" w:cs="Twentieth Century"/>
          <w:bCs/>
          <w:sz w:val="24"/>
          <w:szCs w:val="24"/>
          <w:lang w:val="sv-SE"/>
        </w:rPr>
        <w:t xml:space="preserve">tidak ada perbedaan hasil nilai </w:t>
      </w:r>
      <w:r w:rsidR="00835CD4" w:rsidRPr="00E07645">
        <w:rPr>
          <w:rFonts w:ascii="Tw Cen MT" w:eastAsia="Twentieth Century" w:hAnsi="Tw Cen MT" w:cs="Twentieth Century"/>
          <w:i/>
          <w:iCs/>
          <w:sz w:val="24"/>
          <w:szCs w:val="24"/>
          <w:lang w:val="en-AU"/>
        </w:rPr>
        <w:t>Pixel Value</w:t>
      </w:r>
      <w:r w:rsidR="00835CD4">
        <w:rPr>
          <w:rFonts w:ascii="Tw Cen MT" w:eastAsia="Twentieth Century" w:hAnsi="Tw Cen MT" w:cs="Twentieth Century"/>
          <w:sz w:val="24"/>
          <w:szCs w:val="24"/>
          <w:lang w:val="en-AU"/>
        </w:rPr>
        <w:t xml:space="preserve"> </w:t>
      </w:r>
      <w:r w:rsidRPr="00570D65">
        <w:rPr>
          <w:rFonts w:ascii="Tw Cen MT" w:eastAsia="Twentieth Century" w:hAnsi="Tw Cen MT" w:cs="Twentieth Century"/>
          <w:bCs/>
          <w:sz w:val="24"/>
          <w:szCs w:val="24"/>
          <w:lang w:val="sv-SE"/>
        </w:rPr>
        <w:t xml:space="preserve">terhadap pemeriksaaan </w:t>
      </w:r>
      <w:r w:rsidR="00FD7CA4" w:rsidRPr="00FD7CA4">
        <w:rPr>
          <w:rFonts w:ascii="Tw Cen MT" w:eastAsia="Twentieth Century" w:hAnsi="Tw Cen MT" w:cs="Twentieth Century"/>
          <w:bCs/>
          <w:i/>
          <w:sz w:val="24"/>
          <w:szCs w:val="24"/>
          <w:lang w:val="sv-SE"/>
        </w:rPr>
        <w:t>Os Sacrum</w:t>
      </w:r>
      <w:r w:rsidRPr="00570D65">
        <w:rPr>
          <w:rFonts w:ascii="Tw Cen MT" w:eastAsia="Twentieth Century" w:hAnsi="Tw Cen MT" w:cs="Twentieth Century"/>
          <w:bCs/>
          <w:sz w:val="24"/>
          <w:szCs w:val="24"/>
          <w:lang w:val="sv-SE"/>
        </w:rPr>
        <w:t xml:space="preserve"> proyeksi lateral menggunakan variasi </w:t>
      </w:r>
      <w:r w:rsidR="00FD7CA4" w:rsidRPr="00FD7CA4">
        <w:rPr>
          <w:rFonts w:ascii="Tw Cen MT" w:eastAsia="Twentieth Century" w:hAnsi="Tw Cen MT" w:cs="Twentieth Century"/>
          <w:bCs/>
          <w:i/>
          <w:sz w:val="24"/>
          <w:szCs w:val="24"/>
          <w:lang w:val="sv-SE"/>
        </w:rPr>
        <w:t>Virtual Grid</w:t>
      </w:r>
      <w:r w:rsidRPr="00570D65">
        <w:rPr>
          <w:rFonts w:ascii="Tw Cen MT" w:eastAsia="Twentieth Century" w:hAnsi="Tw Cen MT" w:cs="Twentieth Century"/>
          <w:bCs/>
          <w:sz w:val="24"/>
          <w:szCs w:val="24"/>
          <w:lang w:val="sv-SE"/>
        </w:rPr>
        <w:t xml:space="preserve"> Rasio 8:1, 10 dan 12:1. Hasil yang sama juga ditunjukan oleh Gossey, et all (2022). Pada hasil analisis kualitas citra secara objektif pada proyeksi radiografi pelvis dengan variasi penggunaan </w:t>
      </w:r>
      <w:r w:rsidR="00FD7CA4" w:rsidRPr="00FD7CA4">
        <w:rPr>
          <w:rFonts w:ascii="Tw Cen MT" w:eastAsia="Twentieth Century" w:hAnsi="Tw Cen MT" w:cs="Twentieth Century"/>
          <w:bCs/>
          <w:i/>
          <w:sz w:val="24"/>
          <w:szCs w:val="24"/>
          <w:lang w:val="sv-SE"/>
        </w:rPr>
        <w:t>Virtual Grid</w:t>
      </w:r>
      <w:r w:rsidRPr="00570D65">
        <w:rPr>
          <w:rFonts w:ascii="Tw Cen MT" w:eastAsia="Twentieth Century" w:hAnsi="Tw Cen MT" w:cs="Twentieth Century"/>
          <w:bCs/>
          <w:sz w:val="24"/>
          <w:szCs w:val="24"/>
          <w:lang w:val="sv-SE"/>
        </w:rPr>
        <w:t xml:space="preserve"> rasio 6:1, 10:1, 13:1, 17:1, dan 20:1 tidak mengalami perubahan signifikan secara statistic</w:t>
      </w:r>
      <w:r w:rsidR="008B22C5">
        <w:rPr>
          <w:rFonts w:ascii="Tw Cen MT" w:eastAsia="Twentieth Century" w:hAnsi="Tw Cen MT" w:cs="Twentieth Century"/>
          <w:bCs/>
          <w:sz w:val="24"/>
          <w:szCs w:val="24"/>
          <w:lang w:val="sv-SE"/>
        </w:rPr>
        <w:t xml:space="preserve">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{"citationItems":[{"id":"ITEM-1","itemData":{"DOI":"10.1002/acm2.14353","ISSN":"15269914","PMID":"38693646","abstract":"Background: A physical scatter grid is not often used in pelvic bedside examinations. However, multiple studies regarding scatter correction software (SC SW) are available for mobile chest radiography but the results are unclear for pelvic radiography. Purpose: We evaluated SC SW of Fujifilm (Virtual Grid) on gridless pelvic radiographs obtained from a human Thiel-embalmed body to investigate the potential of Virtual Grid in pelvic bedside examinations. Methods: Gridless, Virtual Grid, and physical grid pelvic radiographs of a female Thiel-embalmed body were collected with a broad range of tube loads. Different software (SW) grid ratios—6:1, 10:1, 13:1, 17:1, and 20:1—were applied on the gridless radiographs to investigate the image quality (IQ) improvement of 13 IQ criteria in a visual grading analysis (VGA) setup. Results: Gridless radiograph scores are significantly lower (p &lt; 0.001) than Virtual Grid and physical grid scores obtained with the same tube load. Virtual Grid radiographs score better than gridless radiographs obtained with a higher tube load which makes a dose reduction possible. The averaged ratings of the IQ criteria processed with different SW ratios increase with increasing SW grid ratios. However, no statistically significant differences were found between the SW grid ratios. The scores of the physical grid radiographs are higher than those of the Virtual Grid radiographs when they are obtained with the same tube load. Conclusion: We conclude that Virtual Grid with an SW ratio of 6:1 improves the IQ of gridless pelvic radiographs in such a manner that a dose reduction is possible. However, physical grid radiograph ratings are higher compared to those of Virtual Grid radiographs.","author":[{"dropping-particle":"","family":"Gossye","given":"Tim","non-dropping-particle":"","parse-names":false,"suffix":""},{"dropping-particle":"","family":"Buytaert","given":"Dimitri","non-dropping-particle":"","parse-names":false,"suffix":""},{"dropping-particle":"V.","family":"Smeets","given":"Peter","non-dropping-particle":"","parse-names":false,"suffix":""},{"dropping-particle":"","family":"Morbée","given":"Lieve","non-dropping-particle":"","parse-names":false,"suffix":""},{"dropping-particle":"","family":"Vereecke","given":"Elke","non-dropping-particle":"","parse-names":false,"suffix":""},{"dropping-particle":"","family":"Kellens","given":"Pieter Jan","non-dropping-particle":"","parse-names":false,"suffix":""},{"dropping-particle":"","family":"Achten","given":"Eric","non-dropping-particle":"","parse-names":false,"suffix":""},{"dropping-particle":"","family":"Bacher","given":"Klaus","non-dropping-particle":"","parse-names":false,"suffix":""}],"container-title":"Journal of Applied Clinical Medical Physics","id":"ITEM-1","issue":"6","issued":{"date-parts":[["2024"]]},"page":"1-8","title":"Evaluation of Virtual Grid processed clinical pelvic radiographs","type":"article-journal","volume":"25"},"uris":["http://www.mendeley.com/documents/?uuid=cb516a56-5c5a-4eab-9973-e31588517c16"]}],"mendeley":{"formattedCitation":"[18]","plainTextFormattedCitation":"[18]","previouslyFormattedCitation":"[17]"},"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[18]</w:t>
      </w:r>
      <w:r w:rsidR="008B22C5">
        <w:rPr>
          <w:rFonts w:ascii="Tw Cen MT" w:eastAsia="Twentieth Century" w:hAnsi="Tw Cen MT" w:cs="Twentieth Century"/>
          <w:bCs/>
          <w:sz w:val="24"/>
          <w:szCs w:val="24"/>
          <w:lang w:val="sv-SE"/>
        </w:rPr>
        <w:fldChar w:fldCharType="end"/>
      </w:r>
      <w:r w:rsidRPr="00570D65">
        <w:rPr>
          <w:rFonts w:ascii="Tw Cen MT" w:eastAsia="Twentieth Century" w:hAnsi="Tw Cen MT" w:cs="Twentieth Century"/>
          <w:bCs/>
          <w:sz w:val="24"/>
          <w:szCs w:val="24"/>
          <w:lang w:val="sv-SE"/>
        </w:rPr>
        <w:t xml:space="preserve">. Menurut penulis ketiga rasio </w:t>
      </w:r>
      <w:r w:rsidR="00FD7CA4" w:rsidRPr="00FD7CA4">
        <w:rPr>
          <w:rFonts w:ascii="Tw Cen MT" w:eastAsia="Twentieth Century" w:hAnsi="Tw Cen MT" w:cs="Twentieth Century"/>
          <w:bCs/>
          <w:i/>
          <w:sz w:val="24"/>
          <w:szCs w:val="24"/>
          <w:lang w:val="sv-SE"/>
        </w:rPr>
        <w:t>Virtual Grid</w:t>
      </w:r>
      <w:r w:rsidRPr="00570D65">
        <w:rPr>
          <w:rFonts w:ascii="Tw Cen MT" w:eastAsia="Twentieth Century" w:hAnsi="Tw Cen MT" w:cs="Twentieth Century"/>
          <w:bCs/>
          <w:sz w:val="24"/>
          <w:szCs w:val="24"/>
          <w:lang w:val="sv-SE"/>
        </w:rPr>
        <w:t xml:space="preserve"> yang digunakkan pada penelitian sudah optimal pada pemeriksaan os sacrum proyeksi lateral.</w:t>
      </w:r>
    </w:p>
    <w:p w14:paraId="3DCC083F" w14:textId="0E791CA6" w:rsidR="007E6AEC" w:rsidRDefault="00000000" w:rsidP="003A67AB">
      <w:pPr>
        <w:spacing w:after="0" w:line="240" w:lineRule="auto"/>
        <w:jc w:val="both"/>
        <w:rPr>
          <w:rFonts w:ascii="Tw Cen MT" w:eastAsia="Twentieth Century" w:hAnsi="Tw Cen MT" w:cs="Twentieth Century"/>
          <w:bCs/>
          <w:sz w:val="24"/>
          <w:szCs w:val="24"/>
          <w:lang w:val="sv-SE"/>
        </w:rPr>
      </w:pPr>
      <w:r>
        <w:rPr>
          <w:rFonts w:ascii="Tw Cen MT" w:eastAsia="Twentieth Century" w:hAnsi="Tw Cen MT" w:cs="Twentieth Century"/>
          <w:bCs/>
          <w:sz w:val="24"/>
          <w:szCs w:val="24"/>
          <w:lang w:val="sv-SE"/>
        </w:rPr>
        <w:t>Pada penelitian ini mempunyai keterbatasan yaitu yang pertama penggunaan Faktor eksposi pada penelitian ini menggunakan 96 kVp, 45 mAs menurut Long, B.W (2023)</w:t>
      </w:r>
      <w:r w:rsidR="008B22C5">
        <w:rPr>
          <w:rFonts w:ascii="Tw Cen MT" w:eastAsia="Twentieth Century" w:hAnsi="Tw Cen MT" w:cs="Twentieth Century"/>
          <w:bCs/>
          <w:sz w:val="24"/>
          <w:szCs w:val="24"/>
          <w:lang w:val="sv-SE"/>
        </w:rPr>
        <w:t xml:space="preserve"> </w:t>
      </w:r>
      <w:r w:rsidR="008B22C5">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{"citationItems":[{"id":"ITEM-1","itemData":{"ISBN":"9780323263429","author":[{"dropping-particle":"","family":"Long","given":"Bruce W","non-dropping-particle":"","parse-names":false,"suffix":""},{"dropping-particle":"","family":"Rollins","given":"Jeannean Hall","non-dropping-particle":"","parse-names":false,"suffix":""},{"dropping-particle":"","family":"Smith","given":"Barbara J.","non-dropping-particle":"","parse-names":false,"suffix":""}],"edition":"FIFTEENTH","id":"ITEM-1","issued":{"date-parts":[["2023"]]},"title":"Merrill ’ S Atlas of, Radiographic Positioning dan Procedures","type":"book"},"uris":["http://www.mendeley.com/documents/?uuid=1a5fde92-26d9-46c4-81b9-0b9fb7f2dcd5"]}],"mendeley":{"formattedCitation":"[19]","plainTextFormattedCitation":"[19]","previouslyFormattedCitation":"[18]"},"properties":{"noteIndex":0},"schema":"https://github.com/citation-style-language/schema/raw/master/csl-citation.json"}</w:instrText>
      </w:r>
      <w:r w:rsidR="008B22C5">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[19]</w:t>
      </w:r>
      <w:r w:rsidR="008B22C5">
        <w:rPr>
          <w:rFonts w:ascii="Tw Cen MT" w:eastAsia="Twentieth Century" w:hAnsi="Tw Cen MT" w:cs="Twentieth Century"/>
          <w:bCs/>
          <w:sz w:val="24"/>
          <w:szCs w:val="24"/>
          <w:lang w:val="sv-SE"/>
        </w:rPr>
        <w:fldChar w:fldCharType="end"/>
      </w:r>
      <w:r>
        <w:rPr>
          <w:rFonts w:ascii="Tw Cen MT" w:eastAsia="Twentieth Century" w:hAnsi="Tw Cen MT" w:cs="Twentieth Century"/>
          <w:bCs/>
          <w:sz w:val="24"/>
          <w:szCs w:val="24"/>
          <w:lang w:val="sv-SE"/>
        </w:rPr>
        <w:t>, yang</w:t>
      </w:r>
      <w:r w:rsidR="007153B4">
        <w:rPr>
          <w:rFonts w:ascii="Tw Cen MT" w:eastAsia="Twentieth Century" w:hAnsi="Tw Cen MT" w:cs="Twentieth Century"/>
          <w:bCs/>
          <w:sz w:val="24"/>
          <w:szCs w:val="24"/>
          <w:lang w:val="sv-SE"/>
        </w:rPr>
        <w:t xml:space="preserve"> </w:t>
      </w:r>
      <w:r>
        <w:rPr>
          <w:rFonts w:ascii="Tw Cen MT" w:eastAsia="Twentieth Century" w:hAnsi="Tw Cen MT" w:cs="Twentieth Century"/>
          <w:bCs/>
          <w:sz w:val="24"/>
          <w:szCs w:val="24"/>
          <w:lang w:val="sv-SE"/>
        </w:rPr>
        <w:t xml:space="preserve">menurut peneliti tidak diimplementasikan untuk objek dan klinis di rumah sakit, yang kedua Penggunaan variasi rasio </w:t>
      </w:r>
      <w:r w:rsidR="00FD7CA4" w:rsidRPr="00FD7CA4">
        <w:rPr>
          <w:rFonts w:ascii="Tw Cen MT" w:eastAsia="Twentieth Century" w:hAnsi="Tw Cen MT" w:cs="Twentieth Century"/>
          <w:bCs/>
          <w:i/>
          <w:sz w:val="24"/>
          <w:szCs w:val="24"/>
          <w:lang w:val="sv-SE"/>
        </w:rPr>
        <w:t>Virtual Grid</w:t>
      </w:r>
      <w:r>
        <w:rPr>
          <w:rFonts w:ascii="Tw Cen MT" w:eastAsia="Twentieth Century" w:hAnsi="Tw Cen MT" w:cs="Twentieth Century"/>
          <w:bCs/>
          <w:sz w:val="24"/>
          <w:szCs w:val="24"/>
          <w:lang w:val="sv-SE"/>
        </w:rPr>
        <w:t xml:space="preserve"> 8:1, 10:1, dan 12:1 yang dimana pengunaan variasi tersebut menurut peneliti terlalu dekat, yang ketiga penggunaan kolimasi dengan luas lapangan seluas penampang panel detektor Digital Radiography yang dimana menurut penulis dapat mempengaruhi jumlah radiasi hambur. Namun, peningkatan radiasi hambur tidak terjadi secara linear tanpa batas, setelah luas lapangan kolimasi mencapai ukuran sekitar 30 hingga 40 cm, jumlah radiasi hambur yang dihasilkan cenderung stabil atau mengalami peningkatan yang sangat </w:t>
      </w:r>
      <w:r>
        <w:rPr>
          <w:rFonts w:ascii="Tw Cen MT" w:eastAsia="Twentieth Century" w:hAnsi="Tw Cen MT" w:cs="Twentieth Century"/>
          <w:bCs/>
          <w:sz w:val="24"/>
          <w:szCs w:val="24"/>
          <w:lang w:val="sv-SE"/>
        </w:rPr>
        <w:t xml:space="preserve">kecil. Kondisi ini dikenal sebagai titik jenuh (saturation point) </w:t>
      </w:r>
      <w:r>
        <w:rPr>
          <w:rFonts w:ascii="Tw Cen MT" w:eastAsia="Twentieth Century" w:hAnsi="Tw Cen MT" w:cs="Twentieth Century"/>
          <w:bCs/>
          <w:sz w:val="24"/>
          <w:szCs w:val="24"/>
          <w:lang w:val="sv-SE"/>
        </w:rPr>
        <w:fldChar w:fldCharType="begin" w:fldLock="1"/>
      </w:r>
      <w:r w:rsidR="0028736F">
        <w:rPr>
          <w:rFonts w:ascii="Tw Cen MT" w:eastAsia="Twentieth Century" w:hAnsi="Tw Cen MT" w:cs="Twentieth Century"/>
          <w:bCs/>
          <w:sz w:val="24"/>
          <w:szCs w:val="24"/>
          <w:lang w:val="sv-SE"/>
        </w:rPr>
        <w:instrText>ADDIN CSL_CITATION {"citationItems":[{"id":"ITEM-1","itemData":{"DOI":"10.1201/9781482266641-12","ISBN":"978–92–131010–1","author":[{"dropping-particle":"","family":"Dance","given":"D.R.","non-dropping-particle":"","parse-names":false,"suffix":""},{"dropping-particle":"","family":"Christofides","given":"S.","non-dropping-particle":"","parse-names":false,"suffix":""},{"dropping-particle":"","family":"Maidment","given":"A.D.A.","non-dropping-particle":"","parse-names":false,"suffix":""},{"dropping-particle":"","family":"McLean","given":"I.D.","non-dropping-particle":"","parse-names":false,"suffix":""},{"dropping-particle":"","family":"Ng","given":"K.H.","non-dropping-particle":"","parse-names":false,"suffix":""}],"editor":[{"dropping-particle":"","family":"Technical","given":"","non-dropping-particle":"","parse-names":false,"suffix":""}],"id":"ITEM-1","issued":{"date-parts":[["2014"]]},"number-of-pages":"681","title":"DIAGNOSTIC RADIOLOGY PHYSICS: A HANDBOOK FOR TEACHERS AND STUDENTS","type":"book"},"uris":["http://www.mendeley.com/documents/?uuid=3f94d9db-f197-43d1-91ba-4eaced144106"]}],"mendeley":{"formattedCitation":"[20]","plainTextFormattedCitation":"[20]","previouslyFormattedCitation":"[19]"},"properties":{"noteIndex":0},"schema":"https://github.com/citation-style-language/schema/raw/master/csl-citation.json"}</w:instrText>
      </w:r>
      <w:r>
        <w:rPr>
          <w:rFonts w:ascii="Tw Cen MT" w:eastAsia="Twentieth Century" w:hAnsi="Tw Cen MT" w:cs="Twentieth Century"/>
          <w:bCs/>
          <w:sz w:val="24"/>
          <w:szCs w:val="24"/>
          <w:lang w:val="sv-SE"/>
        </w:rPr>
        <w:fldChar w:fldCharType="separate"/>
      </w:r>
      <w:r w:rsidR="0028736F" w:rsidRPr="0028736F">
        <w:rPr>
          <w:rFonts w:ascii="Tw Cen MT" w:eastAsia="Twentieth Century" w:hAnsi="Tw Cen MT" w:cs="Twentieth Century"/>
          <w:bCs/>
          <w:noProof/>
          <w:sz w:val="24"/>
          <w:szCs w:val="24"/>
          <w:lang w:val="sv-SE"/>
        </w:rPr>
        <w:t>[20]</w:t>
      </w:r>
      <w:r>
        <w:rPr>
          <w:rFonts w:ascii="Tw Cen MT" w:eastAsia="Twentieth Century" w:hAnsi="Tw Cen MT" w:cs="Twentieth Century"/>
          <w:bCs/>
          <w:sz w:val="24"/>
          <w:szCs w:val="24"/>
          <w:lang w:val="sv-SE"/>
        </w:rPr>
        <w:fldChar w:fldCharType="end"/>
      </w:r>
      <w:r>
        <w:rPr>
          <w:rFonts w:ascii="Tw Cen MT" w:eastAsia="Twentieth Century" w:hAnsi="Tw Cen MT" w:cs="Twentieth Century"/>
          <w:bCs/>
          <w:sz w:val="24"/>
          <w:szCs w:val="24"/>
          <w:lang w:val="sv-SE"/>
        </w:rPr>
        <w:t xml:space="preserve">. Kemudian disarankan penggunaan rasio </w:t>
      </w:r>
      <w:r w:rsidR="00FD7CA4" w:rsidRPr="00FD7CA4">
        <w:rPr>
          <w:rFonts w:ascii="Tw Cen MT" w:eastAsia="Twentieth Century" w:hAnsi="Tw Cen MT" w:cs="Twentieth Century"/>
          <w:bCs/>
          <w:i/>
          <w:sz w:val="24"/>
          <w:szCs w:val="24"/>
          <w:lang w:val="sv-SE"/>
        </w:rPr>
        <w:t>Virtual Grid</w:t>
      </w:r>
      <w:r>
        <w:rPr>
          <w:rFonts w:ascii="Tw Cen MT" w:eastAsia="Twentieth Century" w:hAnsi="Tw Cen MT" w:cs="Twentieth Century"/>
          <w:bCs/>
          <w:sz w:val="24"/>
          <w:szCs w:val="24"/>
          <w:lang w:val="sv-SE"/>
        </w:rPr>
        <w:t xml:space="preserve"> dengan rentang yang lebih tinggi nilainya dari penelitian yang telah dilakukan.</w:t>
      </w:r>
    </w:p>
    <w:p w14:paraId="57651B46" w14:textId="77777777" w:rsidR="007E6AEC" w:rsidRDefault="007E6AEC">
      <w:pPr>
        <w:spacing w:after="0" w:line="240" w:lineRule="auto"/>
        <w:jc w:val="both"/>
        <w:rPr>
          <w:rFonts w:ascii="Tw Cen MT" w:eastAsia="Twentieth Century" w:hAnsi="Tw Cen MT" w:cs="Twentieth Century"/>
          <w:b/>
          <w:sz w:val="20"/>
          <w:szCs w:val="20"/>
        </w:rPr>
      </w:pPr>
    </w:p>
    <w:p w14:paraId="5CD423B8" w14:textId="77777777" w:rsidR="007E6AEC" w:rsidRDefault="00000000">
      <w:pPr>
        <w:spacing w:after="0" w:line="240" w:lineRule="auto"/>
        <w:jc w:val="both"/>
        <w:rPr>
          <w:rFonts w:ascii="Tw Cen MT" w:eastAsia="Twentieth Century" w:hAnsi="Tw Cen MT" w:cs="Twentieth Century"/>
          <w:b/>
          <w:sz w:val="24"/>
          <w:szCs w:val="24"/>
        </w:rPr>
      </w:pPr>
      <w:r>
        <w:rPr>
          <w:rFonts w:ascii="Tw Cen MT" w:eastAsia="Twentieth Century" w:hAnsi="Tw Cen MT" w:cs="Twentieth Century"/>
          <w:b/>
          <w:sz w:val="24"/>
          <w:szCs w:val="24"/>
        </w:rPr>
        <w:t>SIMPULAN</w:t>
      </w:r>
    </w:p>
    <w:p w14:paraId="3CE8999F" w14:textId="16D32155" w:rsidR="00570D65" w:rsidRDefault="00000000">
      <w:pPr>
        <w:tabs>
          <w:tab w:val="left" w:pos="426"/>
        </w:tabs>
        <w:spacing w:after="0" w:line="240" w:lineRule="auto"/>
        <w:jc w:val="both"/>
        <w:rPr>
          <w:rFonts w:ascii="Tw Cen MT" w:eastAsia="Twentieth Century" w:hAnsi="Tw Cen MT" w:cs="Twentieth Century"/>
          <w:sz w:val="24"/>
          <w:szCs w:val="24"/>
        </w:rPr>
      </w:pPr>
      <w:r>
        <w:rPr>
          <w:rFonts w:ascii="Tw Cen MT" w:eastAsia="Twentieth Century" w:hAnsi="Tw Cen MT" w:cs="Twentieth Century"/>
          <w:sz w:val="24"/>
          <w:szCs w:val="24"/>
        </w:rPr>
        <w:t xml:space="preserve">Hasil </w:t>
      </w:r>
      <w:proofErr w:type="spellStart"/>
      <w:r>
        <w:rPr>
          <w:rFonts w:ascii="Tw Cen MT" w:eastAsia="Twentieth Century" w:hAnsi="Tw Cen MT" w:cs="Twentieth Century"/>
          <w:sz w:val="24"/>
          <w:szCs w:val="24"/>
        </w:rPr>
        <w:t>analisis</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Pixel Value</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terhadap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00FD7CA4" w:rsidRPr="00FD7CA4">
        <w:rPr>
          <w:rFonts w:ascii="Tw Cen MT" w:eastAsia="Twentieth Century" w:hAnsi="Tw Cen MT" w:cs="Twentieth Century"/>
          <w:i/>
          <w:sz w:val="24"/>
          <w:szCs w:val="24"/>
        </w:rPr>
        <w:t>Os</w:t>
      </w:r>
      <w:proofErr w:type="spellEnd"/>
      <w:r w:rsidR="00FD7CA4" w:rsidRPr="00FD7CA4">
        <w:rPr>
          <w:rFonts w:ascii="Tw Cen MT" w:eastAsia="Twentieth Century" w:hAnsi="Tw Cen MT" w:cs="Twentieth Century"/>
          <w:i/>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proyeksi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menggunakan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variasi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Virtual Grid</w:t>
      </w:r>
      <w:r>
        <w:rPr>
          <w:rFonts w:ascii="Tw Cen MT" w:eastAsia="Twentieth Century" w:hAnsi="Tw Cen MT" w:cs="Twentieth Century"/>
          <w:sz w:val="24"/>
          <w:szCs w:val="24"/>
        </w:rPr>
        <w:t xml:space="preserve"> 8:1, 10:1 dan 12:1 </w:t>
      </w:r>
      <w:proofErr w:type="spellStart"/>
      <w:r>
        <w:rPr>
          <w:rFonts w:ascii="Tw Cen MT" w:eastAsia="Twentieth Century" w:hAnsi="Tw Cen MT" w:cs="Twentieth Century"/>
          <w:sz w:val="24"/>
          <w:szCs w:val="24"/>
        </w:rPr>
        <w:t>diperoleh</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rerata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Pixel Value</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tidak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ada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perbedaan</w:t>
      </w:r>
      <w:proofErr w:type="spellEnd"/>
      <w:r>
        <w:rPr>
          <w:rFonts w:ascii="Tw Cen MT" w:eastAsia="Twentieth Century" w:hAnsi="Tw Cen MT" w:cs="Twentieth Century"/>
          <w:sz w:val="24"/>
          <w:szCs w:val="24"/>
        </w:rPr>
        <w:t xml:space="preserve"> dan hasil uji statistik one-way ANOVA diperoleh nilai p &gt; 0,05, yang </w:t>
      </w:r>
      <w:proofErr w:type="spellStart"/>
      <w:r>
        <w:rPr>
          <w:rFonts w:ascii="Tw Cen MT" w:eastAsia="Twentieth Century" w:hAnsi="Tw Cen MT" w:cs="Twentieth Century"/>
          <w:sz w:val="24"/>
          <w:szCs w:val="24"/>
        </w:rPr>
        <w:t>menunjukkan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bahwa</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tidak</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terdapat</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perbedaan</w:t>
      </w:r>
      <w:proofErr w:type="spellEnd"/>
      <w:r>
        <w:rPr>
          <w:rFonts w:ascii="Tw Cen MT" w:eastAsia="Twentieth Century" w:hAnsi="Tw Cen MT" w:cs="Twentieth Century"/>
          <w:sz w:val="24"/>
          <w:szCs w:val="24"/>
        </w:rPr>
        <w:t xml:space="preserve"> yang </w:t>
      </w:r>
      <w:proofErr w:type="spellStart"/>
      <w:r>
        <w:rPr>
          <w:rFonts w:ascii="Tw Cen MT" w:eastAsia="Twentieth Century" w:hAnsi="Tw Cen MT" w:cs="Twentieth Century"/>
          <w:sz w:val="24"/>
          <w:szCs w:val="24"/>
        </w:rPr>
        <w:t>signifikan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terhadap</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nilai</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Pixel Value</w:t>
      </w:r>
      <w:r>
        <w:rPr>
          <w:rFonts w:ascii="Tw Cen MT" w:eastAsia="Twentieth Century" w:hAnsi="Tw Cen MT" w:cs="Twentieth Century"/>
          <w:sz w:val="24"/>
          <w:szCs w:val="24"/>
        </w:rPr>
        <w:t xml:space="preserve"> pada </w:t>
      </w:r>
      <w:proofErr w:type="spellStart"/>
      <w:r>
        <w:rPr>
          <w:rFonts w:ascii="Tw Cen MT" w:eastAsia="Twentieth Century" w:hAnsi="Tw Cen MT" w:cs="Twentieth Century"/>
          <w:sz w:val="24"/>
          <w:szCs w:val="24"/>
        </w:rPr>
        <w:t>pemeriksaan</w:t>
      </w:r>
      <w:proofErr w:type="spellEnd"/>
      <w:r>
        <w:rPr>
          <w:rFonts w:ascii="Tw Cen MT" w:eastAsia="Twentieth Century" w:hAnsi="Tw Cen MT" w:cs="Twentieth Century"/>
          <w:sz w:val="24"/>
          <w:szCs w:val="24"/>
        </w:rPr>
        <w:t xml:space="preserve"> </w:t>
      </w:r>
      <w:proofErr w:type="spellStart"/>
      <w:r w:rsidR="00FD7CA4" w:rsidRPr="00FD7CA4">
        <w:rPr>
          <w:rFonts w:ascii="Tw Cen MT" w:eastAsia="Twentieth Century" w:hAnsi="Tw Cen MT" w:cs="Twentieth Century"/>
          <w:i/>
          <w:sz w:val="24"/>
          <w:szCs w:val="24"/>
        </w:rPr>
        <w:t>Os</w:t>
      </w:r>
      <w:proofErr w:type="spellEnd"/>
      <w:r w:rsidR="00FD7CA4" w:rsidRPr="00FD7CA4">
        <w:rPr>
          <w:rFonts w:ascii="Tw Cen MT" w:eastAsia="Twentieth Century" w:hAnsi="Tw Cen MT" w:cs="Twentieth Century"/>
          <w:i/>
          <w:sz w:val="24"/>
          <w:szCs w:val="24"/>
        </w:rPr>
        <w:t xml:space="preserve"> Sacrum</w:t>
      </w:r>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proyeksi</w:t>
      </w:r>
      <w:proofErr w:type="spellEnd"/>
      <w:r>
        <w:rPr>
          <w:rFonts w:ascii="Tw Cen MT" w:eastAsia="Twentieth Century" w:hAnsi="Tw Cen MT" w:cs="Twentieth Century"/>
          <w:sz w:val="24"/>
          <w:szCs w:val="24"/>
        </w:rPr>
        <w:t xml:space="preserve"> lateral </w:t>
      </w:r>
      <w:proofErr w:type="spellStart"/>
      <w:r>
        <w:rPr>
          <w:rFonts w:ascii="Tw Cen MT" w:eastAsia="Twentieth Century" w:hAnsi="Tw Cen MT" w:cs="Twentieth Century"/>
          <w:sz w:val="24"/>
          <w:szCs w:val="24"/>
        </w:rPr>
        <w:t>menggunakan</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variasi</w:t>
      </w:r>
      <w:proofErr w:type="spellEnd"/>
      <w:r>
        <w:rPr>
          <w:rFonts w:ascii="Tw Cen MT" w:eastAsia="Twentieth Century" w:hAnsi="Tw Cen MT" w:cs="Twentieth Century"/>
          <w:sz w:val="24"/>
          <w:szCs w:val="24"/>
        </w:rPr>
        <w:t xml:space="preserve"> </w:t>
      </w:r>
      <w:proofErr w:type="spellStart"/>
      <w:r>
        <w:rPr>
          <w:rFonts w:ascii="Tw Cen MT" w:eastAsia="Twentieth Century" w:hAnsi="Tw Cen MT" w:cs="Twentieth Century"/>
          <w:sz w:val="24"/>
          <w:szCs w:val="24"/>
        </w:rPr>
        <w:t>rasio</w:t>
      </w:r>
      <w:proofErr w:type="spellEnd"/>
      <w:r>
        <w:rPr>
          <w:rFonts w:ascii="Tw Cen MT" w:eastAsia="Twentieth Century" w:hAnsi="Tw Cen MT" w:cs="Twentieth Century"/>
          <w:sz w:val="24"/>
          <w:szCs w:val="24"/>
        </w:rPr>
        <w:t xml:space="preserve"> </w:t>
      </w:r>
      <w:r w:rsidR="00FD7CA4" w:rsidRPr="00FD7CA4">
        <w:rPr>
          <w:rFonts w:ascii="Tw Cen MT" w:eastAsia="Twentieth Century" w:hAnsi="Tw Cen MT" w:cs="Twentieth Century"/>
          <w:i/>
          <w:sz w:val="24"/>
          <w:szCs w:val="24"/>
        </w:rPr>
        <w:t>Virtual Grid</w:t>
      </w:r>
      <w:r>
        <w:rPr>
          <w:rFonts w:ascii="Tw Cen MT" w:eastAsia="Twentieth Century" w:hAnsi="Tw Cen MT" w:cs="Twentieth Century"/>
          <w:sz w:val="24"/>
          <w:szCs w:val="24"/>
        </w:rPr>
        <w:t xml:space="preserve"> 8:1, 10:1, dan 12:1.</w:t>
      </w:r>
    </w:p>
    <w:p w14:paraId="3AF43C0E" w14:textId="7B992335" w:rsidR="007E6AEC" w:rsidRPr="00570D65" w:rsidRDefault="00000000">
      <w:pPr>
        <w:tabs>
          <w:tab w:val="left" w:pos="426"/>
        </w:tabs>
        <w:spacing w:after="0" w:line="240" w:lineRule="auto"/>
        <w:jc w:val="both"/>
        <w:rPr>
          <w:rFonts w:ascii="Tw Cen MT" w:eastAsia="Twentieth Century" w:hAnsi="Tw Cen MT" w:cs="Twentieth Century"/>
          <w:sz w:val="24"/>
          <w:szCs w:val="24"/>
        </w:rPr>
      </w:pPr>
      <w:r>
        <w:rPr>
          <w:rFonts w:ascii="Tw Cen MT" w:eastAsia="Twentieth Century" w:hAnsi="Tw Cen MT" w:cs="Twentieth Century"/>
          <w:sz w:val="24"/>
          <w:szCs w:val="24"/>
        </w:rPr>
        <w:t xml:space="preserve"> </w:t>
      </w:r>
    </w:p>
    <w:p w14:paraId="46B0B57C" w14:textId="77777777" w:rsidR="007E6AEC" w:rsidRDefault="00000000">
      <w:pPr>
        <w:tabs>
          <w:tab w:val="left" w:pos="426"/>
        </w:tabs>
        <w:spacing w:after="0" w:line="240" w:lineRule="auto"/>
        <w:jc w:val="both"/>
        <w:rPr>
          <w:rFonts w:ascii="Tw Cen MT" w:eastAsia="Twentieth Century" w:hAnsi="Tw Cen MT" w:cs="Twentieth Century"/>
          <w:b/>
          <w:sz w:val="24"/>
          <w:szCs w:val="24"/>
        </w:rPr>
      </w:pPr>
      <w:r>
        <w:rPr>
          <w:rFonts w:ascii="Tw Cen MT" w:eastAsia="Twentieth Century" w:hAnsi="Tw Cen MT" w:cs="Twentieth Century"/>
          <w:b/>
          <w:sz w:val="24"/>
          <w:szCs w:val="24"/>
        </w:rPr>
        <w:t>DAFTAR PUSTAKA</w:t>
      </w:r>
    </w:p>
    <w:p w14:paraId="66BE555D" w14:textId="31C964EC" w:rsidR="0028736F" w:rsidRPr="0060175D" w:rsidRDefault="00000000" w:rsidP="009F2024">
      <w:pPr>
        <w:widowControl w:val="0"/>
        <w:autoSpaceDE w:val="0"/>
        <w:autoSpaceDN w:val="0"/>
        <w:adjustRightInd w:val="0"/>
        <w:spacing w:after="0" w:line="240" w:lineRule="auto"/>
        <w:ind w:left="640" w:hanging="640"/>
        <w:jc w:val="both"/>
        <w:rPr>
          <w:rFonts w:ascii="Tw Cen MT" w:hAnsi="Tw Cen MT" w:cs="Times New Roman"/>
          <w:noProof/>
          <w:sz w:val="24"/>
        </w:rPr>
      </w:pPr>
      <w:r>
        <w:rPr>
          <w:rFonts w:ascii="Tw Cen MT" w:eastAsia="Twentieth Century" w:hAnsi="Tw Cen MT" w:cs="Twentieth Century"/>
          <w:b/>
          <w:sz w:val="24"/>
          <w:szCs w:val="24"/>
        </w:rPr>
        <w:fldChar w:fldCharType="begin" w:fldLock="1"/>
      </w:r>
      <w:r>
        <w:rPr>
          <w:rFonts w:ascii="Tw Cen MT" w:eastAsia="Twentieth Century" w:hAnsi="Tw Cen MT" w:cs="Twentieth Century"/>
          <w:b/>
          <w:sz w:val="24"/>
          <w:szCs w:val="24"/>
        </w:rPr>
        <w:instrText xml:space="preserve">ADDIN Mendeley Bibliography CSL_BIBLIOGRAPHY </w:instrText>
      </w:r>
      <w:r>
        <w:rPr>
          <w:rFonts w:ascii="Tw Cen MT" w:eastAsia="Twentieth Century" w:hAnsi="Tw Cen MT" w:cs="Twentieth Century"/>
          <w:b/>
          <w:sz w:val="24"/>
          <w:szCs w:val="24"/>
        </w:rPr>
        <w:fldChar w:fldCharType="separate"/>
      </w:r>
      <w:r w:rsidR="0028736F" w:rsidRPr="0060175D">
        <w:rPr>
          <w:rFonts w:ascii="Tw Cen MT" w:hAnsi="Tw Cen MT" w:cs="Times New Roman"/>
          <w:noProof/>
          <w:sz w:val="24"/>
        </w:rPr>
        <w:t>[1]</w:t>
      </w:r>
      <w:r w:rsidR="0028736F" w:rsidRPr="0060175D">
        <w:rPr>
          <w:rFonts w:ascii="Tw Cen MT" w:hAnsi="Tw Cen MT" w:cs="Times New Roman"/>
          <w:noProof/>
          <w:sz w:val="24"/>
        </w:rPr>
        <w:tab/>
        <w:t>A. Steffen, U. Neitzel, K. Förger, and H. De, “Image repeat analysis for a digital radiography system Poster</w:t>
      </w:r>
      <w:r w:rsidR="0028736F" w:rsidRPr="0060175D">
        <w:rPr>
          <w:rFonts w:ascii="Arial" w:hAnsi="Arial" w:cs="Arial"/>
          <w:noProof/>
          <w:sz w:val="24"/>
        </w:rPr>
        <w:t> </w:t>
      </w:r>
      <w:r w:rsidR="0028736F" w:rsidRPr="0060175D">
        <w:rPr>
          <w:rFonts w:ascii="Tw Cen MT" w:hAnsi="Tw Cen MT" w:cs="Times New Roman"/>
          <w:noProof/>
          <w:sz w:val="24"/>
        </w:rPr>
        <w:t>: Congress</w:t>
      </w:r>
      <w:r w:rsidR="0028736F" w:rsidRPr="0060175D">
        <w:rPr>
          <w:rFonts w:ascii="Arial" w:hAnsi="Arial" w:cs="Arial"/>
          <w:noProof/>
          <w:sz w:val="24"/>
        </w:rPr>
        <w:t> </w:t>
      </w:r>
      <w:r w:rsidR="0028736F" w:rsidRPr="0060175D">
        <w:rPr>
          <w:rFonts w:ascii="Tw Cen MT" w:hAnsi="Tw Cen MT" w:cs="Times New Roman"/>
          <w:noProof/>
          <w:sz w:val="24"/>
        </w:rPr>
        <w:t>: Type</w:t>
      </w:r>
      <w:r w:rsidR="0028736F" w:rsidRPr="0060175D">
        <w:rPr>
          <w:rFonts w:ascii="Arial" w:hAnsi="Arial" w:cs="Arial"/>
          <w:noProof/>
          <w:sz w:val="24"/>
        </w:rPr>
        <w:t> </w:t>
      </w:r>
      <w:r w:rsidR="0028736F" w:rsidRPr="0060175D">
        <w:rPr>
          <w:rFonts w:ascii="Tw Cen MT" w:hAnsi="Tw Cen MT" w:cs="Times New Roman"/>
          <w:noProof/>
          <w:sz w:val="24"/>
        </w:rPr>
        <w:t>: Topic</w:t>
      </w:r>
      <w:r w:rsidR="0028736F" w:rsidRPr="0060175D">
        <w:rPr>
          <w:rFonts w:ascii="Arial" w:hAnsi="Arial" w:cs="Arial"/>
          <w:noProof/>
          <w:sz w:val="24"/>
        </w:rPr>
        <w:t> </w:t>
      </w:r>
      <w:r w:rsidR="0028736F" w:rsidRPr="0060175D">
        <w:rPr>
          <w:rFonts w:ascii="Tw Cen MT" w:hAnsi="Tw Cen MT" w:cs="Times New Roman"/>
          <w:noProof/>
          <w:sz w:val="24"/>
        </w:rPr>
        <w:t>: Authors</w:t>
      </w:r>
      <w:r w:rsidR="0028736F" w:rsidRPr="0060175D">
        <w:rPr>
          <w:rFonts w:ascii="Arial" w:hAnsi="Arial" w:cs="Arial"/>
          <w:noProof/>
          <w:sz w:val="24"/>
        </w:rPr>
        <w:t> </w:t>
      </w:r>
      <w:r w:rsidR="0028736F" w:rsidRPr="0060175D">
        <w:rPr>
          <w:rFonts w:ascii="Tw Cen MT" w:hAnsi="Tw Cen MT" w:cs="Times New Roman"/>
          <w:noProof/>
          <w:sz w:val="24"/>
        </w:rPr>
        <w:t>: Physics in Radiology,” pp. 1–6, 2006.</w:t>
      </w:r>
    </w:p>
    <w:p w14:paraId="2EDDBDF5"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[2]</w:t>
      </w:r>
      <w:r w:rsidRPr="0060175D">
        <w:rPr>
          <w:rFonts w:ascii="Tw Cen MT" w:hAnsi="Tw Cen MT" w:cs="Times New Roman"/>
          <w:noProof/>
          <w:sz w:val="24"/>
        </w:rPr>
        <w:tab/>
        <w:t>E. Kunarsih, I. Bagus, and G. Putra, “Jurnal Pengawasan Tenaga Nuklir Pemetaan Profil Potensi Unnecessary Exposure pada Pasien CT-Scan dan Radiografi Umum di Indonesia,” vol. 4, no. 2, pp. 73–80, 2024, doi: 10.53862/jupeten.v4i2.011.</w:t>
      </w:r>
    </w:p>
    <w:p w14:paraId="0BCD2C6F"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[3]</w:t>
      </w:r>
      <w:r w:rsidRPr="0060175D">
        <w:rPr>
          <w:rFonts w:ascii="Tw Cen MT" w:hAnsi="Tw Cen MT" w:cs="Times New Roman"/>
          <w:noProof/>
          <w:sz w:val="24"/>
        </w:rPr>
        <w:tab/>
        <w:t xml:space="preserve">M. Effendi, R. U. Fatimah, A. Sholeh, and W. Fatchurohmah, “Design of the aluminum compensating filter to improve the image quality in the lateral projection of lumbosacral vertebrae,” </w:t>
      </w:r>
      <w:r w:rsidRPr="0060175D">
        <w:rPr>
          <w:rFonts w:ascii="Tw Cen MT" w:hAnsi="Tw Cen MT" w:cs="Times New Roman"/>
          <w:i/>
          <w:iCs/>
          <w:noProof/>
          <w:sz w:val="24"/>
        </w:rPr>
        <w:t>AIP Conf. Proc.</w:t>
      </w:r>
      <w:r w:rsidRPr="0060175D">
        <w:rPr>
          <w:rFonts w:ascii="Tw Cen MT" w:hAnsi="Tw Cen MT" w:cs="Times New Roman"/>
          <w:noProof/>
          <w:sz w:val="24"/>
        </w:rPr>
        <w:t>, vol. 2094, no. April, 2019, doi: 10.1063/1.5097487.</w:t>
      </w:r>
    </w:p>
    <w:p w14:paraId="592E5C4A"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[4]</w:t>
      </w:r>
      <w:r w:rsidRPr="0060175D">
        <w:rPr>
          <w:rFonts w:ascii="Tw Cen MT" w:hAnsi="Tw Cen MT" w:cs="Times New Roman"/>
          <w:noProof/>
          <w:sz w:val="24"/>
        </w:rPr>
        <w:tab/>
        <w:t xml:space="preserve">R. R. Carlton, A. M. Adler, and V. Balac, </w:t>
      </w:r>
      <w:r w:rsidRPr="0060175D">
        <w:rPr>
          <w:rFonts w:ascii="Tw Cen MT" w:hAnsi="Tw Cen MT" w:cs="Times New Roman"/>
          <w:i/>
          <w:iCs/>
          <w:noProof/>
          <w:sz w:val="24"/>
        </w:rPr>
        <w:t>Principles of Radiographic Imaging: An Art and a Science,</w:t>
      </w:r>
      <w:r w:rsidRPr="0060175D">
        <w:rPr>
          <w:rFonts w:ascii="Tw Cen MT" w:hAnsi="Tw Cen MT" w:cs="Times New Roman"/>
          <w:noProof/>
          <w:sz w:val="24"/>
        </w:rPr>
        <w:t xml:space="preserve"> Sixt Editi. 2020. doi: 10.1201/9781315120928.</w:t>
      </w:r>
    </w:p>
    <w:p w14:paraId="62976509" w14:textId="0D373B4F"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[5]</w:t>
      </w:r>
      <w:r w:rsidRPr="0060175D">
        <w:rPr>
          <w:rFonts w:ascii="Tw Cen MT" w:hAnsi="Tw Cen MT" w:cs="Times New Roman"/>
          <w:noProof/>
          <w:sz w:val="24"/>
        </w:rPr>
        <w:tab/>
        <w:t xml:space="preserve">T. Kawamura, S. Naito, K. Okano, and M. Yamada, “Improvement in Image </w:t>
      </w:r>
      <w:r w:rsidRPr="0060175D">
        <w:rPr>
          <w:rFonts w:ascii="Tw Cen MT" w:hAnsi="Tw Cen MT" w:cs="Times New Roman"/>
          <w:noProof/>
          <w:sz w:val="24"/>
        </w:rPr>
        <w:lastRenderedPageBreak/>
        <w:t>Quality and Workflow of X-ray Examination Using a New Image Processing Method, ‘</w:t>
      </w:r>
      <w:r w:rsidR="00FD7CA4" w:rsidRPr="0060175D">
        <w:rPr>
          <w:rFonts w:ascii="Tw Cen MT" w:hAnsi="Tw Cen MT" w:cs="Times New Roman"/>
          <w:i/>
          <w:noProof/>
          <w:sz w:val="24"/>
        </w:rPr>
        <w:t>Virtual Grid</w:t>
      </w:r>
      <w:r w:rsidRPr="0060175D">
        <w:rPr>
          <w:rFonts w:ascii="Tw Cen MT" w:hAnsi="Tw Cen MT" w:cs="Times New Roman"/>
          <w:noProof/>
          <w:sz w:val="24"/>
        </w:rPr>
        <w:t xml:space="preserve"> Technology,’” </w:t>
      </w:r>
      <w:r w:rsidRPr="0060175D">
        <w:rPr>
          <w:rFonts w:ascii="Tw Cen MT" w:hAnsi="Tw Cen MT" w:cs="Times New Roman"/>
          <w:i/>
          <w:iCs/>
          <w:noProof/>
          <w:sz w:val="24"/>
        </w:rPr>
        <w:t>FUJIFILM Res. Dev.</w:t>
      </w:r>
      <w:r w:rsidRPr="0060175D">
        <w:rPr>
          <w:rFonts w:ascii="Tw Cen MT" w:hAnsi="Tw Cen MT" w:cs="Times New Roman"/>
          <w:noProof/>
          <w:sz w:val="24"/>
        </w:rPr>
        <w:t>, no. 60, pp. 21–27, 2015.</w:t>
      </w:r>
    </w:p>
    <w:p w14:paraId="650C0886" w14:textId="43B68166"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[6]</w:t>
      </w:r>
      <w:r w:rsidRPr="0060175D">
        <w:rPr>
          <w:rFonts w:ascii="Tw Cen MT" w:hAnsi="Tw Cen MT" w:cs="Times New Roman"/>
          <w:noProof/>
          <w:sz w:val="24"/>
        </w:rPr>
        <w:tab/>
        <w:t xml:space="preserve">F. Ardoni, L. Choridah, E. Susanto, and M. Irsal, “Radiation Dose and Image Quality with Exposure Factor Variation Using a </w:t>
      </w:r>
      <w:r w:rsidR="00FD7CA4" w:rsidRPr="0060175D">
        <w:rPr>
          <w:rFonts w:ascii="Tw Cen MT" w:hAnsi="Tw Cen MT" w:cs="Times New Roman"/>
          <w:i/>
          <w:noProof/>
          <w:sz w:val="24"/>
        </w:rPr>
        <w:t>Virtual Grid</w:t>
      </w:r>
      <w:r w:rsidRPr="0060175D">
        <w:rPr>
          <w:rFonts w:ascii="Tw Cen MT" w:hAnsi="Tw Cen MT" w:cs="Times New Roman"/>
          <w:noProof/>
          <w:sz w:val="24"/>
        </w:rPr>
        <w:t xml:space="preserve"> in Digital Radiography,” pp. 323–331, 2023, doi: https://doi.org/10.32628/IJSRST52310649 Radiation.</w:t>
      </w:r>
    </w:p>
    <w:p w14:paraId="19AFD8FE"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[7]</w:t>
      </w:r>
      <w:r w:rsidRPr="0060175D">
        <w:rPr>
          <w:rFonts w:ascii="Tw Cen MT" w:hAnsi="Tw Cen MT" w:cs="Times New Roman"/>
          <w:noProof/>
          <w:sz w:val="24"/>
        </w:rPr>
        <w:tab/>
        <w:t xml:space="preserve">BAPETEN REPUBLIK INDONESIA, “Peraturan Badan Pengawas Tenaga Nuklir Republik Indonesia Nomor 2 Tahun 2Oi8Tentang Uji Kesesuaian Pesawat Sinar-X Radiologi Diagnostik Dan in Tervensional,” </w:t>
      </w:r>
      <w:r w:rsidRPr="0060175D">
        <w:rPr>
          <w:rFonts w:ascii="Tw Cen MT" w:hAnsi="Tw Cen MT" w:cs="Times New Roman"/>
          <w:i/>
          <w:iCs/>
          <w:noProof/>
          <w:sz w:val="24"/>
        </w:rPr>
        <w:t>Bapeten Republik Indones.</w:t>
      </w:r>
      <w:r w:rsidRPr="0060175D">
        <w:rPr>
          <w:rFonts w:ascii="Tw Cen MT" w:hAnsi="Tw Cen MT" w:cs="Times New Roman"/>
          <w:noProof/>
          <w:sz w:val="24"/>
        </w:rPr>
        <w:t>, pp. 1–73, 2018.</w:t>
      </w:r>
    </w:p>
    <w:p w14:paraId="0A2459B9"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[8]</w:t>
      </w:r>
      <w:r w:rsidRPr="0060175D">
        <w:rPr>
          <w:rFonts w:ascii="Tw Cen MT" w:hAnsi="Tw Cen MT" w:cs="Times New Roman"/>
          <w:noProof/>
          <w:sz w:val="24"/>
        </w:rPr>
        <w:tab/>
        <w:t xml:space="preserve">T. Report and A. T. Group, </w:t>
      </w:r>
      <w:r w:rsidRPr="0060175D">
        <w:rPr>
          <w:rFonts w:ascii="Tw Cen MT" w:hAnsi="Tw Cen MT" w:cs="Times New Roman"/>
          <w:i/>
          <w:iCs/>
          <w:noProof/>
          <w:sz w:val="24"/>
        </w:rPr>
        <w:t>Acceptance Testing and Quality Control of Digital Radiographic Imaging Systems The Report of AAPM Task Group 150</w:t>
      </w:r>
      <w:r w:rsidRPr="0060175D">
        <w:rPr>
          <w:rFonts w:ascii="Tw Cen MT" w:hAnsi="Tw Cen MT" w:cs="Times New Roman"/>
          <w:noProof/>
          <w:sz w:val="24"/>
        </w:rPr>
        <w:t>, no. 150. 2024.</w:t>
      </w:r>
    </w:p>
    <w:p w14:paraId="2F92D2B1"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[9]</w:t>
      </w:r>
      <w:r w:rsidRPr="0060175D">
        <w:rPr>
          <w:rFonts w:ascii="Tw Cen MT" w:hAnsi="Tw Cen MT" w:cs="Times New Roman"/>
          <w:noProof/>
          <w:sz w:val="24"/>
        </w:rPr>
        <w:tab/>
        <w:t xml:space="preserve">Setyawan Dodiet Aditya, </w:t>
      </w:r>
      <w:r w:rsidRPr="0060175D">
        <w:rPr>
          <w:rFonts w:ascii="Tw Cen MT" w:hAnsi="Tw Cen MT" w:cs="Times New Roman"/>
          <w:i/>
          <w:iCs/>
          <w:noProof/>
          <w:sz w:val="24"/>
        </w:rPr>
        <w:t>Petunjuk Praktikum-Uji Normalitas dan Homogenitas Data dengan SPSS</w:t>
      </w:r>
      <w:r w:rsidRPr="0060175D">
        <w:rPr>
          <w:rFonts w:ascii="Tw Cen MT" w:hAnsi="Tw Cen MT" w:cs="Times New Roman"/>
          <w:noProof/>
          <w:sz w:val="24"/>
        </w:rPr>
        <w:t>, no. July. 2021. [Online]. Available: https://www.researchgate.net/publication/350480720</w:t>
      </w:r>
    </w:p>
    <w:p w14:paraId="2EA9AAE4"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[10]</w:t>
      </w:r>
      <w:r w:rsidRPr="0060175D">
        <w:rPr>
          <w:rFonts w:ascii="Tw Cen MT" w:hAnsi="Tw Cen MT" w:cs="Times New Roman"/>
          <w:noProof/>
          <w:sz w:val="24"/>
        </w:rPr>
        <w:tab/>
        <w:t xml:space="preserve">P. Sprawls. Jr, </w:t>
      </w:r>
      <w:r w:rsidRPr="0060175D">
        <w:rPr>
          <w:rFonts w:ascii="Tw Cen MT" w:hAnsi="Tw Cen MT" w:cs="Times New Roman"/>
          <w:i/>
          <w:iCs/>
          <w:noProof/>
          <w:sz w:val="24"/>
        </w:rPr>
        <w:t>Physical Principles of Medical Imaging. 2nd ed</w:t>
      </w:r>
      <w:r w:rsidRPr="0060175D">
        <w:rPr>
          <w:rFonts w:ascii="Tw Cen MT" w:hAnsi="Tw Cen MT" w:cs="Times New Roman"/>
          <w:noProof/>
          <w:sz w:val="24"/>
        </w:rPr>
        <w:t>, vol. 200, no. 2. 1996. doi: 10.1148/radiology.200.2.504.</w:t>
      </w:r>
    </w:p>
    <w:p w14:paraId="3E0DB775"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[11]</w:t>
      </w:r>
      <w:r w:rsidRPr="0060175D">
        <w:rPr>
          <w:rFonts w:ascii="Tw Cen MT" w:hAnsi="Tw Cen MT" w:cs="Times New Roman"/>
          <w:noProof/>
          <w:sz w:val="24"/>
        </w:rPr>
        <w:tab/>
        <w:t xml:space="preserve">Q. B. Carroll, </w:t>
      </w:r>
      <w:r w:rsidRPr="0060175D">
        <w:rPr>
          <w:rFonts w:ascii="Tw Cen MT" w:hAnsi="Tw Cen MT" w:cs="Times New Roman"/>
          <w:i/>
          <w:iCs/>
          <w:noProof/>
          <w:sz w:val="24"/>
        </w:rPr>
        <w:t>RADIOGRAPHY IN THE DIGITAL AGE</w:t>
      </w:r>
      <w:r w:rsidRPr="0060175D">
        <w:rPr>
          <w:rFonts w:ascii="Arial" w:hAnsi="Arial" w:cs="Arial"/>
          <w:i/>
          <w:iCs/>
          <w:noProof/>
          <w:sz w:val="24"/>
        </w:rPr>
        <w:t> </w:t>
      </w:r>
      <w:r w:rsidRPr="0060175D">
        <w:rPr>
          <w:rFonts w:ascii="Tw Cen MT" w:hAnsi="Tw Cen MT" w:cs="Times New Roman"/>
          <w:i/>
          <w:iCs/>
          <w:noProof/>
          <w:sz w:val="24"/>
        </w:rPr>
        <w:t>: PHYSICS, EXPOSURE, RADIATION BIOLOGY</w:t>
      </w:r>
      <w:r w:rsidRPr="0060175D">
        <w:rPr>
          <w:rFonts w:ascii="Tw Cen MT" w:hAnsi="Tw Cen MT" w:cs="Times New Roman"/>
          <w:noProof/>
          <w:sz w:val="24"/>
        </w:rPr>
        <w:t>, Fourth., vol. 11, no. 1. Includes index, 2023. [Online]. Available: http://scioteca.caf.com/bitstream/handle/123456789/1091/RED2017-Eng-8ene.pdf?sequence=12&amp;isAllowed=y%0Ahttp://dx.doi.org/10.1016/j.regsciurbeco.2008.06.005%0Ahttps://w</w:t>
      </w:r>
      <w:r w:rsidRPr="0060175D">
        <w:rPr>
          <w:rFonts w:ascii="Tw Cen MT" w:hAnsi="Tw Cen MT" w:cs="Times New Roman"/>
          <w:noProof/>
          <w:sz w:val="24"/>
        </w:rPr>
        <w:t>ww.researchgate.net/publication/305320484_SISTEM_PEMBETUNGAN_TERPUSAT_STRATEGI_MELESTARI</w:t>
      </w:r>
    </w:p>
    <w:p w14:paraId="2F43DA0C"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[12]</w:t>
      </w:r>
      <w:r w:rsidRPr="0060175D">
        <w:rPr>
          <w:rFonts w:ascii="Tw Cen MT" w:hAnsi="Tw Cen MT" w:cs="Times New Roman"/>
          <w:noProof/>
          <w:sz w:val="24"/>
        </w:rPr>
        <w:tab/>
        <w:t xml:space="preserve">S. C. Bushong, </w:t>
      </w:r>
      <w:r w:rsidRPr="0060175D">
        <w:rPr>
          <w:rFonts w:ascii="Tw Cen MT" w:hAnsi="Tw Cen MT" w:cs="Times New Roman"/>
          <w:i/>
          <w:iCs/>
          <w:noProof/>
          <w:sz w:val="24"/>
        </w:rPr>
        <w:t>Radiologic Science for Technologists Physics, Biology, and Protection</w:t>
      </w:r>
      <w:r w:rsidRPr="0060175D">
        <w:rPr>
          <w:rFonts w:ascii="Tw Cen MT" w:hAnsi="Tw Cen MT" w:cs="Times New Roman"/>
          <w:noProof/>
          <w:sz w:val="24"/>
        </w:rPr>
        <w:t>, Eleventh E. Texas, 2017.</w:t>
      </w:r>
    </w:p>
    <w:p w14:paraId="5910D054"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[13]</w:t>
      </w:r>
      <w:r w:rsidRPr="0060175D">
        <w:rPr>
          <w:rFonts w:ascii="Tw Cen MT" w:hAnsi="Tw Cen MT" w:cs="Times New Roman"/>
          <w:noProof/>
          <w:sz w:val="24"/>
        </w:rPr>
        <w:tab/>
        <w:t xml:space="preserve">T. L. Fauber, </w:t>
      </w:r>
      <w:r w:rsidRPr="0060175D">
        <w:rPr>
          <w:rFonts w:ascii="Tw Cen MT" w:hAnsi="Tw Cen MT" w:cs="Times New Roman"/>
          <w:i/>
          <w:iCs/>
          <w:noProof/>
          <w:sz w:val="24"/>
        </w:rPr>
        <w:t>Radiographic Imaging and Exposure</w:t>
      </w:r>
      <w:r w:rsidRPr="0060175D">
        <w:rPr>
          <w:rFonts w:ascii="Tw Cen MT" w:hAnsi="Tw Cen MT" w:cs="Times New Roman"/>
          <w:noProof/>
          <w:sz w:val="24"/>
        </w:rPr>
        <w:t>, Fifth edit. Elsevier Inc., 2016.</w:t>
      </w:r>
    </w:p>
    <w:p w14:paraId="75151BC7"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[14]</w:t>
      </w:r>
      <w:r w:rsidRPr="0060175D">
        <w:rPr>
          <w:rFonts w:ascii="Tw Cen MT" w:hAnsi="Tw Cen MT" w:cs="Times New Roman"/>
          <w:noProof/>
          <w:sz w:val="24"/>
        </w:rPr>
        <w:tab/>
        <w:t xml:space="preserve">A. Pascoal, C. P. Lawinski, I. Honey, and P. Blake, “Evaluation of a software package for automated quality assessment of contrast detail images - Comparison with subjective visual assessment,” </w:t>
      </w:r>
      <w:r w:rsidRPr="0060175D">
        <w:rPr>
          <w:rFonts w:ascii="Tw Cen MT" w:hAnsi="Tw Cen MT" w:cs="Times New Roman"/>
          <w:i/>
          <w:iCs/>
          <w:noProof/>
          <w:sz w:val="24"/>
        </w:rPr>
        <w:t>Phys. Med. Biol.</w:t>
      </w:r>
      <w:r w:rsidRPr="0060175D">
        <w:rPr>
          <w:rFonts w:ascii="Tw Cen MT" w:hAnsi="Tw Cen MT" w:cs="Times New Roman"/>
          <w:noProof/>
          <w:sz w:val="24"/>
        </w:rPr>
        <w:t>, vol. 50, no. 23, pp. 5743–5757, 2005, doi: 10.1088/0031-9155/50/23/023.</w:t>
      </w:r>
    </w:p>
    <w:p w14:paraId="45D78566"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[15]</w:t>
      </w:r>
      <w:r w:rsidRPr="0060175D">
        <w:rPr>
          <w:rFonts w:ascii="Tw Cen MT" w:hAnsi="Tw Cen MT" w:cs="Times New Roman"/>
          <w:noProof/>
          <w:sz w:val="24"/>
        </w:rPr>
        <w:tab/>
        <w:t xml:space="preserve">Rini Hatma Rusli and Bambang Ariyanto, “Pengaruh Pengaturan Processing Digital Radiography Terhadap Kualitas Gambar Pada Pemeriksaan Lumbosacral Posisi Lateral Di Rumah Sakit Bhayangkara Makassar,” </w:t>
      </w:r>
      <w:r w:rsidRPr="0060175D">
        <w:rPr>
          <w:rFonts w:ascii="Tw Cen MT" w:hAnsi="Tw Cen MT" w:cs="Times New Roman"/>
          <w:i/>
          <w:iCs/>
          <w:noProof/>
          <w:sz w:val="24"/>
        </w:rPr>
        <w:t>J. Sains dan Kesehat.</w:t>
      </w:r>
      <w:r w:rsidRPr="0060175D">
        <w:rPr>
          <w:rFonts w:ascii="Tw Cen MT" w:hAnsi="Tw Cen MT" w:cs="Times New Roman"/>
          <w:noProof/>
          <w:sz w:val="24"/>
        </w:rPr>
        <w:t>, vol. 6, no. 2, pp. 105–110, 2024, doi: 10.57214/jusika.v6i2.514.</w:t>
      </w:r>
    </w:p>
    <w:p w14:paraId="7825674D" w14:textId="77777777"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[16]</w:t>
      </w:r>
      <w:r w:rsidRPr="0060175D">
        <w:rPr>
          <w:rFonts w:ascii="Tw Cen MT" w:hAnsi="Tw Cen MT" w:cs="Times New Roman"/>
          <w:noProof/>
          <w:sz w:val="24"/>
        </w:rPr>
        <w:tab/>
        <w:t>A. M. Dydyk, S. Forro, and J. Gutcho, “Sacroiliac Joint Injury.” [Online]. Available: https://www.ncbi.nlm.nih.gov/books/NBK557881/</w:t>
      </w:r>
    </w:p>
    <w:p w14:paraId="4DF8FF97" w14:textId="267E5230"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[17]</w:t>
      </w:r>
      <w:r w:rsidRPr="0060175D">
        <w:rPr>
          <w:rFonts w:ascii="Tw Cen MT" w:hAnsi="Tw Cen MT" w:cs="Times New Roman"/>
          <w:noProof/>
          <w:sz w:val="24"/>
        </w:rPr>
        <w:tab/>
        <w:t xml:space="preserve">J. Choi, G. Kim, D. Hong, H. Kim, and D. Han, “Study on the Standardizaton of Signal Intensity Scale of </w:t>
      </w:r>
      <w:r w:rsidR="00FD7CA4" w:rsidRPr="0060175D">
        <w:rPr>
          <w:rFonts w:ascii="Tw Cen MT" w:hAnsi="Tw Cen MT" w:cs="Times New Roman"/>
          <w:i/>
          <w:noProof/>
          <w:sz w:val="24"/>
        </w:rPr>
        <w:t>Pixel Value</w:t>
      </w:r>
      <w:r w:rsidRPr="0060175D">
        <w:rPr>
          <w:rFonts w:ascii="Tw Cen MT" w:hAnsi="Tw Cen MT" w:cs="Times New Roman"/>
          <w:noProof/>
          <w:sz w:val="24"/>
        </w:rPr>
        <w:t xml:space="preserve"> in Digital Radiography,” vol. 9, no. December, pp. 1–5, 2016, doi: 10.17485/ijst/2016/v9iS1/109898.</w:t>
      </w:r>
    </w:p>
    <w:p w14:paraId="64721F31" w14:textId="47DF0728" w:rsidR="0028736F" w:rsidRPr="0060175D" w:rsidRDefault="0028736F" w:rsidP="009F2024">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[18]</w:t>
      </w:r>
      <w:r w:rsidRPr="0060175D">
        <w:rPr>
          <w:rFonts w:ascii="Tw Cen MT" w:hAnsi="Tw Cen MT" w:cs="Times New Roman"/>
          <w:noProof/>
          <w:sz w:val="24"/>
        </w:rPr>
        <w:tab/>
        <w:t xml:space="preserve">T. Gossye </w:t>
      </w:r>
      <w:r w:rsidRPr="0060175D">
        <w:rPr>
          <w:rFonts w:ascii="Tw Cen MT" w:hAnsi="Tw Cen MT" w:cs="Times New Roman"/>
          <w:i/>
          <w:iCs/>
          <w:noProof/>
          <w:sz w:val="24"/>
        </w:rPr>
        <w:t>et al.</w:t>
      </w:r>
      <w:r w:rsidRPr="0060175D">
        <w:rPr>
          <w:rFonts w:ascii="Tw Cen MT" w:hAnsi="Tw Cen MT" w:cs="Times New Roman"/>
          <w:noProof/>
          <w:sz w:val="24"/>
        </w:rPr>
        <w:t xml:space="preserve">, “Evaluation of </w:t>
      </w:r>
      <w:r w:rsidR="00FD7CA4" w:rsidRPr="0060175D">
        <w:rPr>
          <w:rFonts w:ascii="Tw Cen MT" w:hAnsi="Tw Cen MT" w:cs="Times New Roman"/>
          <w:i/>
          <w:noProof/>
          <w:sz w:val="24"/>
        </w:rPr>
        <w:t>Virtual Grid</w:t>
      </w:r>
      <w:r w:rsidRPr="0060175D">
        <w:rPr>
          <w:rFonts w:ascii="Tw Cen MT" w:hAnsi="Tw Cen MT" w:cs="Times New Roman"/>
          <w:noProof/>
          <w:sz w:val="24"/>
        </w:rPr>
        <w:t xml:space="preserve"> processed clinical pelvic radiographs,” </w:t>
      </w:r>
      <w:r w:rsidRPr="0060175D">
        <w:rPr>
          <w:rFonts w:ascii="Tw Cen MT" w:hAnsi="Tw Cen MT" w:cs="Times New Roman"/>
          <w:i/>
          <w:iCs/>
          <w:noProof/>
          <w:sz w:val="24"/>
        </w:rPr>
        <w:t>J. Appl. Clin. Med. Phys.</w:t>
      </w:r>
      <w:r w:rsidRPr="0060175D">
        <w:rPr>
          <w:rFonts w:ascii="Tw Cen MT" w:hAnsi="Tw Cen MT" w:cs="Times New Roman"/>
          <w:noProof/>
          <w:sz w:val="24"/>
        </w:rPr>
        <w:t>, vol. 25, no. 6, pp. 1–8, 2024, doi: 10.1002/acm2.14353.</w:t>
      </w:r>
    </w:p>
    <w:p w14:paraId="371FD00B" w14:textId="37072616" w:rsidR="009F2024" w:rsidRPr="0060175D" w:rsidRDefault="0028736F" w:rsidP="0060175D">
      <w:pPr>
        <w:widowControl w:val="0"/>
        <w:autoSpaceDE w:val="0"/>
        <w:autoSpaceDN w:val="0"/>
        <w:adjustRightInd w:val="0"/>
        <w:spacing w:after="0" w:line="240" w:lineRule="auto"/>
        <w:ind w:left="640" w:hanging="640"/>
        <w:jc w:val="both"/>
        <w:rPr>
          <w:rFonts w:ascii="Tw Cen MT" w:hAnsi="Tw Cen MT" w:cs="Times New Roman"/>
          <w:noProof/>
          <w:sz w:val="24"/>
        </w:rPr>
      </w:pPr>
      <w:r w:rsidRPr="0060175D">
        <w:rPr>
          <w:rFonts w:ascii="Tw Cen MT" w:hAnsi="Tw Cen MT" w:cs="Times New Roman"/>
          <w:noProof/>
          <w:sz w:val="24"/>
        </w:rPr>
        <w:t>[19]</w:t>
      </w:r>
      <w:r w:rsidRPr="0060175D">
        <w:rPr>
          <w:rFonts w:ascii="Tw Cen MT" w:hAnsi="Tw Cen MT" w:cs="Times New Roman"/>
          <w:noProof/>
          <w:sz w:val="24"/>
        </w:rPr>
        <w:tab/>
        <w:t xml:space="preserve">B. W. Long, J. H. Rollins, and B. J. Smith, </w:t>
      </w:r>
      <w:r w:rsidRPr="0060175D">
        <w:rPr>
          <w:rFonts w:ascii="Tw Cen MT" w:hAnsi="Tw Cen MT" w:cs="Times New Roman"/>
          <w:i/>
          <w:iCs/>
          <w:noProof/>
          <w:sz w:val="24"/>
        </w:rPr>
        <w:t>Merrill ’ S Atlas of, Radiographic Positioning dan Procedures</w:t>
      </w:r>
      <w:r w:rsidRPr="0060175D">
        <w:rPr>
          <w:rFonts w:ascii="Tw Cen MT" w:hAnsi="Tw Cen MT" w:cs="Times New Roman"/>
          <w:noProof/>
          <w:sz w:val="24"/>
        </w:rPr>
        <w:t>, FIFTEENTH. 2023.</w:t>
      </w:r>
    </w:p>
    <w:p w14:paraId="32A88D72" w14:textId="41460AF9" w:rsidR="0028736F" w:rsidRPr="0028736F" w:rsidRDefault="0028736F" w:rsidP="009F2024">
      <w:pPr>
        <w:widowControl w:val="0"/>
        <w:autoSpaceDE w:val="0"/>
        <w:autoSpaceDN w:val="0"/>
        <w:adjustRightInd w:val="0"/>
        <w:spacing w:after="0" w:line="240" w:lineRule="auto"/>
        <w:ind w:left="640" w:hanging="640"/>
        <w:jc w:val="both"/>
        <w:rPr>
          <w:rFonts w:ascii="Tw Cen MT" w:hAnsi="Tw Cen MT"/>
          <w:noProof/>
          <w:sz w:val="24"/>
        </w:rPr>
      </w:pPr>
      <w:r w:rsidRPr="0060175D">
        <w:rPr>
          <w:rFonts w:ascii="Tw Cen MT" w:hAnsi="Tw Cen MT" w:cs="Times New Roman"/>
          <w:noProof/>
          <w:sz w:val="24"/>
        </w:rPr>
        <w:t>[20]</w:t>
      </w:r>
      <w:r w:rsidRPr="0060175D">
        <w:rPr>
          <w:rFonts w:ascii="Tw Cen MT" w:hAnsi="Tw Cen MT" w:cs="Times New Roman"/>
          <w:noProof/>
          <w:sz w:val="24"/>
        </w:rPr>
        <w:tab/>
        <w:t xml:space="preserve">D. R. Dance, S. Christofides, A. D. A. </w:t>
      </w:r>
      <w:r w:rsidRPr="0060175D">
        <w:rPr>
          <w:rFonts w:ascii="Tw Cen MT" w:hAnsi="Tw Cen MT" w:cs="Times New Roman"/>
          <w:noProof/>
          <w:sz w:val="24"/>
        </w:rPr>
        <w:lastRenderedPageBreak/>
        <w:t xml:space="preserve">Maidment, I. D. McLean, and K. H. Ng, </w:t>
      </w:r>
      <w:r w:rsidRPr="0060175D">
        <w:rPr>
          <w:rFonts w:ascii="Tw Cen MT" w:hAnsi="Tw Cen MT" w:cs="Times New Roman"/>
          <w:i/>
          <w:iCs/>
          <w:noProof/>
          <w:sz w:val="24"/>
        </w:rPr>
        <w:t xml:space="preserve">DIAGNOSTIC RADIOLOGY PHYSICS: A HANDBOOK FOR TEACHERS AND </w:t>
      </w:r>
      <w:r w:rsidRPr="0060175D">
        <w:rPr>
          <w:rFonts w:ascii="Tw Cen MT" w:hAnsi="Tw Cen MT" w:cs="Times New Roman"/>
          <w:i/>
          <w:iCs/>
          <w:noProof/>
          <w:sz w:val="24"/>
        </w:rPr>
        <w:t>STUDENTS</w:t>
      </w:r>
      <w:r w:rsidRPr="0060175D">
        <w:rPr>
          <w:rFonts w:ascii="Tw Cen MT" w:hAnsi="Tw Cen MT" w:cs="Times New Roman"/>
          <w:noProof/>
          <w:sz w:val="24"/>
        </w:rPr>
        <w:t>. 2014. doi: 10.1201/9781482266641-12.</w:t>
      </w:r>
    </w:p>
    <w:p w14:paraId="523FD59C" w14:textId="77777777" w:rsidR="007E6AEC" w:rsidRDefault="00000000" w:rsidP="009F2024">
      <w:pPr>
        <w:tabs>
          <w:tab w:val="left" w:pos="426"/>
        </w:tabs>
        <w:spacing w:after="0" w:line="240" w:lineRule="auto"/>
        <w:jc w:val="both"/>
        <w:rPr>
          <w:rFonts w:ascii="Tw Cen MT" w:eastAsia="Twentieth Century" w:hAnsi="Tw Cen MT" w:cs="Twentieth Century"/>
          <w:b/>
          <w:sz w:val="24"/>
          <w:szCs w:val="24"/>
        </w:rPr>
        <w:sectPr w:rsidR="007E6AEC">
          <w:type w:val="continuous"/>
          <w:pgSz w:w="12240" w:h="15840"/>
          <w:pgMar w:top="1440" w:right="1440" w:bottom="1440" w:left="1440" w:header="720" w:footer="720" w:gutter="0"/>
          <w:cols w:num="2" w:space="720" w:equalWidth="0">
            <w:col w:w="4320" w:space="720"/>
            <w:col w:w="4320"/>
          </w:cols>
        </w:sectPr>
      </w:pPr>
      <w:r>
        <w:rPr>
          <w:rFonts w:ascii="Tw Cen MT" w:eastAsia="Twentieth Century" w:hAnsi="Tw Cen MT" w:cs="Twentieth Century"/>
          <w:b/>
          <w:sz w:val="24"/>
          <w:szCs w:val="24"/>
        </w:rPr>
        <w:fldChar w:fldCharType="end"/>
      </w:r>
    </w:p>
    <w:p w14:paraId="75F2A4B9" w14:textId="77777777" w:rsidR="007E6AEC" w:rsidRDefault="007E6AEC">
      <w:pPr>
        <w:spacing w:after="0" w:line="240" w:lineRule="auto"/>
        <w:ind w:right="-1"/>
        <w:jc w:val="both"/>
        <w:rPr>
          <w:rFonts w:ascii="Tw Cen MT" w:eastAsia="Twentieth Century" w:hAnsi="Tw Cen MT" w:cs="Twentieth Century"/>
          <w:sz w:val="24"/>
          <w:szCs w:val="24"/>
        </w:rPr>
      </w:pPr>
    </w:p>
    <w:sectPr w:rsidR="007E6AEC">
      <w:type w:val="continuous"/>
      <w:pgSz w:w="12240" w:h="15840"/>
      <w:pgMar w:top="1440" w:right="1440" w:bottom="1440" w:left="1440" w:header="720" w:footer="720" w:gutter="0"/>
      <w:cols w:num="2" w:space="369" w:equalWidth="0">
        <w:col w:w="4496" w:space="369"/>
        <w:col w:w="449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6FB1E" w14:textId="77777777" w:rsidR="00D16644" w:rsidRDefault="00D16644">
      <w:pPr>
        <w:spacing w:after="0" w:line="240" w:lineRule="auto"/>
      </w:pPr>
      <w:r>
        <w:separator/>
      </w:r>
    </w:p>
  </w:endnote>
  <w:endnote w:type="continuationSeparator" w:id="0">
    <w:p w14:paraId="458EA9A4" w14:textId="77777777" w:rsidR="00D16644" w:rsidRDefault="00D16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wentieth Century">
    <w:altName w:val="Cambria"/>
    <w:charset w:val="00"/>
    <w:family w:val="auto"/>
    <w:pitch w:val="default"/>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Perpetua">
    <w:altName w:val="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BE17" w14:textId="77777777" w:rsidR="007E6AEC" w:rsidRDefault="00000000">
    <w:pPr>
      <w:pStyle w:val="Footer"/>
      <w:rPr>
        <w:rFonts w:ascii="Tw Cen MT" w:hAnsi="Tw Cen MT"/>
        <w:color w:val="000000"/>
        <w:sz w:val="20"/>
        <w:szCs w:val="24"/>
      </w:rPr>
    </w:pPr>
    <w:r>
      <w:rPr>
        <w:rFonts w:ascii="Tw Cen MT" w:hAnsi="Tw Cen MT"/>
        <w:noProof/>
        <w:color w:val="000000"/>
        <w:sz w:val="20"/>
        <w:szCs w:val="24"/>
      </w:rPr>
      <mc:AlternateContent>
        <mc:Choice Requires="wps">
          <w:drawing>
            <wp:anchor distT="0" distB="0" distL="0" distR="0" simplePos="0" relativeHeight="3" behindDoc="0" locked="0" layoutInCell="1" allowOverlap="1" wp14:anchorId="2CB2D428" wp14:editId="6381C763">
              <wp:simplePos x="0" y="0"/>
              <wp:positionH relativeFrom="column">
                <wp:posOffset>-8890</wp:posOffset>
              </wp:positionH>
              <wp:positionV relativeFrom="paragraph">
                <wp:posOffset>-14808</wp:posOffset>
              </wp:positionV>
              <wp:extent cx="5956935" cy="0"/>
              <wp:effectExtent l="0" t="19050" r="5715" b="19050"/>
              <wp:wrapNone/>
              <wp:docPr id="409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6935" cy="0"/>
                      </a:xfrm>
                      <a:prstGeom prst="line">
                        <a:avLst/>
                      </a:prstGeom>
                      <a:ln w="28575" cap="flat" cmpd="sng">
                        <a:solidFill>
                          <a:srgbClr val="000000"/>
                        </a:solidFill>
                        <a:prstDash val="solid"/>
                        <a:round/>
                        <a:headEnd/>
                        <a:tailEnd/>
                      </a:ln>
                    </wps:spPr>
                    <wps:bodyPr/>
                  </wps:wsp>
                </a:graphicData>
              </a:graphic>
              <wp14:sizeRelH relativeFrom="margin">
                <wp14:pctWidth>0</wp14:pctWidth>
              </wp14:sizeRelH>
            </wp:anchor>
          </w:drawing>
        </mc:Choice>
        <mc:Fallback xmlns:wpsCustomData="http://www.wps.cn/officeDocument/2013/wpsCustomData">
          <w:pict>
            <v:line id="4098" filled="f" stroked="t" from="-0.70000005pt,-1.1659843pt" to="468.34998pt,-1.1659843pt" style="position:absolute;z-index:3;mso-position-horizontal-relative:text;mso-position-vertical-relative:text;mso-width-percent:0;mso-width-relative:margin;mso-height-relative:page;mso-wrap-distance-left:0.0pt;mso-wrap-distance-right:0.0pt;visibility:visible;">
              <v:stroke weight="2.25pt"/>
              <v:fill/>
            </v:line>
          </w:pict>
        </mc:Fallback>
      </mc:AlternateContent>
    </w:r>
    <w:r>
      <w:rPr>
        <w:rFonts w:ascii="Tw Cen MT" w:hAnsi="Tw Cen MT"/>
        <w:color w:val="000000"/>
        <w:sz w:val="20"/>
        <w:szCs w:val="24"/>
        <w:lang w:val="en-ID"/>
      </w:rPr>
      <w:t xml:space="preserve">Rafhael </w:t>
    </w:r>
    <w:proofErr w:type="spellStart"/>
    <w:r>
      <w:rPr>
        <w:rFonts w:ascii="Tw Cen MT" w:hAnsi="Tw Cen MT"/>
        <w:color w:val="000000"/>
        <w:sz w:val="20"/>
        <w:szCs w:val="24"/>
        <w:lang w:val="en-ID"/>
      </w:rPr>
      <w:t>Reznandika</w:t>
    </w:r>
    <w:proofErr w:type="spellEnd"/>
    <w:r>
      <w:rPr>
        <w:rFonts w:ascii="Tw Cen MT" w:hAnsi="Tw Cen MT"/>
        <w:color w:val="000000"/>
        <w:sz w:val="20"/>
        <w:szCs w:val="24"/>
        <w:lang w:val="en-ID"/>
      </w:rPr>
      <w:t xml:space="preserve"> Yustiyo, rafaelreznandikayustio@gmail.com</w:t>
    </w:r>
  </w:p>
  <w:p w14:paraId="20DB35A6" w14:textId="77777777" w:rsidR="007E6AEC" w:rsidRDefault="00000000">
    <w:pPr>
      <w:pStyle w:val="Footer"/>
      <w:jc w:val="right"/>
    </w:pPr>
    <w:r>
      <w:rPr>
        <w:rFonts w:ascii="Tw Cen MT" w:hAnsi="Tw Cen MT"/>
        <w:noProof/>
        <w:color w:val="000000"/>
        <w:sz w:val="20"/>
        <w:szCs w:val="24"/>
      </w:rPr>
      <w:t xml:space="preserve"> </w:t>
    </w:r>
    <w:r>
      <w:rPr>
        <w:rFonts w:ascii="Tw Cen MT" w:hAnsi="Tw Cen MT"/>
        <w:sz w:val="24"/>
        <w:szCs w:val="24"/>
      </w:rPr>
      <w:fldChar w:fldCharType="begin"/>
    </w:r>
    <w:r>
      <w:rPr>
        <w:rFonts w:ascii="Tw Cen MT" w:hAnsi="Tw Cen MT"/>
        <w:sz w:val="24"/>
        <w:szCs w:val="24"/>
      </w:rPr>
      <w:instrText xml:space="preserve"> PAGE   \* MERGEFORMAT </w:instrText>
    </w:r>
    <w:r>
      <w:rPr>
        <w:rFonts w:ascii="Tw Cen MT" w:hAnsi="Tw Cen MT"/>
        <w:sz w:val="24"/>
        <w:szCs w:val="24"/>
      </w:rPr>
      <w:fldChar w:fldCharType="separate"/>
    </w:r>
    <w:r>
      <w:rPr>
        <w:rFonts w:ascii="Tw Cen MT" w:hAnsi="Tw Cen MT"/>
        <w:noProof/>
        <w:sz w:val="24"/>
        <w:szCs w:val="24"/>
      </w:rPr>
      <w:t>86</w:t>
    </w:r>
    <w:r>
      <w:rPr>
        <w:rFonts w:ascii="Tw Cen MT" w:hAnsi="Tw Cen MT"/>
        <w:noProof/>
        <w:sz w:val="24"/>
        <w:szCs w:val="24"/>
      </w:rPr>
      <w:fldChar w:fldCharType="end"/>
    </w:r>
  </w:p>
  <w:p w14:paraId="14A5EB1D" w14:textId="77777777" w:rsidR="007E6AEC" w:rsidRDefault="007E6AEC">
    <w:pPr>
      <w:pBdr>
        <w:top w:val="nil"/>
        <w:left w:val="nil"/>
        <w:bottom w:val="nil"/>
        <w:right w:val="nil"/>
        <w:between w:val="nil"/>
      </w:pBdr>
      <w:tabs>
        <w:tab w:val="center" w:pos="4680"/>
        <w:tab w:val="right" w:pos="9360"/>
      </w:tabs>
      <w:spacing w:after="0" w:line="240" w:lineRule="auto"/>
      <w:rPr>
        <w:rFonts w:ascii="Twentieth Century" w:eastAsia="Twentieth Century" w:hAnsi="Twentieth Century" w:cs="Twentieth Century"/>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467CB" w14:textId="77777777" w:rsidR="00D16644" w:rsidRDefault="00D16644">
      <w:pPr>
        <w:spacing w:after="0" w:line="240" w:lineRule="auto"/>
      </w:pPr>
      <w:r>
        <w:separator/>
      </w:r>
    </w:p>
  </w:footnote>
  <w:footnote w:type="continuationSeparator" w:id="0">
    <w:p w14:paraId="219A4BA1" w14:textId="77777777" w:rsidR="00D16644" w:rsidRDefault="00D16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2B10F" w14:textId="77777777" w:rsidR="007E6AEC" w:rsidRDefault="00000000">
    <w:pPr>
      <w:pStyle w:val="Header"/>
      <w:tabs>
        <w:tab w:val="clear" w:pos="4680"/>
        <w:tab w:val="clear" w:pos="9360"/>
      </w:tabs>
      <w:spacing w:after="120" w:line="276" w:lineRule="auto"/>
      <w:rPr>
        <w:b/>
        <w:bCs/>
        <w:color w:val="1F497D"/>
        <w:sz w:val="28"/>
        <w:szCs w:val="28"/>
      </w:rPr>
    </w:pPr>
    <w:proofErr w:type="spellStart"/>
    <w:r>
      <w:rPr>
        <w:rFonts w:ascii="Tw Cen MT" w:hAnsi="Tw Cen MT" w:cs="SimSun"/>
        <w:sz w:val="20"/>
        <w:szCs w:val="20"/>
      </w:rPr>
      <w:t>Jurnal</w:t>
    </w:r>
    <w:proofErr w:type="spellEnd"/>
    <w:r>
      <w:rPr>
        <w:rFonts w:ascii="Tw Cen MT" w:hAnsi="Tw Cen MT" w:cs="SimSun"/>
        <w:sz w:val="20"/>
        <w:szCs w:val="20"/>
      </w:rPr>
      <w:t xml:space="preserve"> </w:t>
    </w:r>
    <w:proofErr w:type="spellStart"/>
    <w:r>
      <w:rPr>
        <w:rFonts w:ascii="Tw Cen MT" w:hAnsi="Tw Cen MT" w:cs="SimSun"/>
        <w:sz w:val="20"/>
        <w:szCs w:val="20"/>
      </w:rPr>
      <w:t>Proteksi</w:t>
    </w:r>
    <w:proofErr w:type="spellEnd"/>
    <w:r>
      <w:rPr>
        <w:rFonts w:ascii="Tw Cen MT" w:hAnsi="Tw Cen MT" w:cs="SimSun"/>
        <w:sz w:val="20"/>
        <w:szCs w:val="20"/>
      </w:rPr>
      <w:t xml:space="preserve"> Kesehatan                                                                                                                                   Vol.12, No.1, Mei 2023, pp. 1-6</w:t>
    </w:r>
    <w:r>
      <w:rPr>
        <w:rFonts w:ascii="Tw Cen MT" w:hAnsi="Tw Cen MT" w:cs="SimSun"/>
        <w:sz w:val="20"/>
        <w:szCs w:val="20"/>
      </w:rPr>
      <w:tab/>
    </w:r>
    <w:r>
      <w:rPr>
        <w:rFonts w:ascii="Tw Cen MT" w:hAnsi="Tw Cen MT" w:cs="SimSun"/>
        <w:sz w:val="20"/>
        <w:szCs w:val="20"/>
      </w:rPr>
      <w:tab/>
      <w:t xml:space="preserve">                                                                                                        ISSN 2715-1115 (Online), ISSN 2302 – 8610 (Print)</w:t>
    </w:r>
  </w:p>
  <w:p w14:paraId="262F676A" w14:textId="77777777" w:rsidR="007E6AEC" w:rsidRDefault="00000000">
    <w:pPr>
      <w:pBdr>
        <w:top w:val="nil"/>
        <w:left w:val="nil"/>
        <w:bottom w:val="single" w:sz="4" w:space="1" w:color="A5A5A5"/>
        <w:right w:val="nil"/>
        <w:between w:val="nil"/>
      </w:pBdr>
      <w:tabs>
        <w:tab w:val="left" w:pos="2580"/>
        <w:tab w:val="left" w:pos="2985"/>
        <w:tab w:val="center" w:pos="4680"/>
        <w:tab w:val="right" w:pos="9360"/>
      </w:tabs>
      <w:spacing w:after="120" w:line="276" w:lineRule="auto"/>
      <w:rPr>
        <w:color w:val="7F7F7F"/>
      </w:rPr>
    </w:pPr>
    <w:r>
      <w:rPr>
        <w:noProof/>
      </w:rPr>
      <mc:AlternateContent>
        <mc:Choice Requires="wps">
          <w:drawing>
            <wp:anchor distT="0" distB="0" distL="0" distR="0" simplePos="0" relativeHeight="2" behindDoc="0" locked="0" layoutInCell="1" allowOverlap="1" wp14:anchorId="4579FE4C" wp14:editId="741D8CE3">
              <wp:simplePos x="0" y="0"/>
              <wp:positionH relativeFrom="column">
                <wp:posOffset>0</wp:posOffset>
              </wp:positionH>
              <wp:positionV relativeFrom="paragraph">
                <wp:posOffset>213995</wp:posOffset>
              </wp:positionV>
              <wp:extent cx="5975985" cy="0"/>
              <wp:effectExtent l="0" t="12700" r="18415" b="12700"/>
              <wp:wrapNone/>
              <wp:docPr id="4097"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5985" cy="0"/>
                      </a:xfrm>
                      <a:prstGeom prst="straightConnector1">
                        <a:avLst/>
                      </a:prstGeom>
                      <a:ln w="19050" cap="flat" cmpd="sng">
                        <a:solidFill>
                          <a:srgbClr val="000000"/>
                        </a:solidFill>
                        <a:prstDash val="solid"/>
                        <a:round/>
                        <a:headEnd type="none" w="sm" len="sm"/>
                        <a:tailEnd type="none" w="sm" len="sm"/>
                      </a:ln>
                    </wps:spPr>
                    <wps:bodyPr/>
                  </wps:wsp>
                </a:graphicData>
              </a:graphic>
              <wp14:sizeRelV relativeFrom="margin">
                <wp14:pctHeight>0</wp14:pctHeight>
              </wp14:sizeRelV>
            </wp:anchor>
          </w:drawing>
        </mc:Choice>
        <mc:Fallback xmlns:wpsCustomData="http://www.wps.cn/officeDocument/2013/wpsCustomData">
          <w:pict>
            <v:shape id="4097" type="#_x0000_t32" filled="f" style="position:absolute;margin-left:0.0pt;margin-top:16.85pt;width:470.55pt;height:0.0pt;z-index:2;mso-position-horizontal-relative:text;mso-position-vertical-relative:text;mso-height-percent:0;mso-width-relative:page;mso-height-relative:margin;mso-wrap-distance-left:0.0pt;mso-wrap-distance-right:0.0pt;visibility:visible;">
              <v:stroke startarrowwidth="narrow" startarrowlength="short" endarrowwidth="narrow" endarrowlength="short" weight="1.5pt"/>
              <v:fill/>
            </v:shape>
          </w:pict>
        </mc:Fallback>
      </mc:AlternateContent>
    </w:r>
  </w:p>
  <w:p w14:paraId="039F149E" w14:textId="77777777" w:rsidR="007E6AEC" w:rsidRDefault="007E6AE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39ACB02"/>
    <w:lvl w:ilvl="0" w:tplc="4C5E4AEA">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0000002"/>
    <w:multiLevelType w:val="hybridMultilevel"/>
    <w:tmpl w:val="7DEE8B1C"/>
    <w:lvl w:ilvl="0" w:tplc="4CAE0A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80803088"/>
    <w:lvl w:ilvl="0" w:tplc="DBA29166">
      <w:start w:val="1"/>
      <w:numFmt w:val="bullet"/>
      <w:lvlText w:val="-"/>
      <w:lvlJc w:val="left"/>
      <w:pPr>
        <w:ind w:left="786" w:hanging="360"/>
      </w:pPr>
      <w:rPr>
        <w:rFonts w:ascii="Tw Cen MT" w:eastAsia="Times New Roman" w:hAnsi="Tw Cen MT"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704307E9"/>
    <w:multiLevelType w:val="hybridMultilevel"/>
    <w:tmpl w:val="67443C9A"/>
    <w:lvl w:ilvl="0" w:tplc="4686F57C">
      <w:start w:val="1"/>
      <w:numFmt w:val="decimal"/>
      <w:lvlText w:val="[%1]"/>
      <w:lvlJc w:val="left"/>
      <w:pPr>
        <w:ind w:left="720" w:hanging="360"/>
      </w:pPr>
      <w:rPr>
        <w:rFonts w:ascii="Tw Cen MT" w:hAnsi="Tw Cen MT"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8791418">
    <w:abstractNumId w:val="1"/>
  </w:num>
  <w:num w:numId="2" w16cid:durableId="392823543">
    <w:abstractNumId w:val="2"/>
  </w:num>
  <w:num w:numId="3" w16cid:durableId="1015573842">
    <w:abstractNumId w:val="0"/>
  </w:num>
  <w:num w:numId="4" w16cid:durableId="2011181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AEC"/>
    <w:rsid w:val="00081C5E"/>
    <w:rsid w:val="000B6B0E"/>
    <w:rsid w:val="00160EEB"/>
    <w:rsid w:val="00182EFC"/>
    <w:rsid w:val="0028736F"/>
    <w:rsid w:val="003A2E22"/>
    <w:rsid w:val="003A67AB"/>
    <w:rsid w:val="003C65B1"/>
    <w:rsid w:val="003D5C1C"/>
    <w:rsid w:val="003D7B35"/>
    <w:rsid w:val="00486F0A"/>
    <w:rsid w:val="00570D65"/>
    <w:rsid w:val="0060175D"/>
    <w:rsid w:val="007153B4"/>
    <w:rsid w:val="00731C58"/>
    <w:rsid w:val="0073451B"/>
    <w:rsid w:val="00742983"/>
    <w:rsid w:val="007E6AEC"/>
    <w:rsid w:val="0081067B"/>
    <w:rsid w:val="00835CD4"/>
    <w:rsid w:val="008B22C5"/>
    <w:rsid w:val="009428F2"/>
    <w:rsid w:val="009462D1"/>
    <w:rsid w:val="0096260C"/>
    <w:rsid w:val="009F2024"/>
    <w:rsid w:val="00A04692"/>
    <w:rsid w:val="00A51FB1"/>
    <w:rsid w:val="00A82508"/>
    <w:rsid w:val="00AE1617"/>
    <w:rsid w:val="00AF7655"/>
    <w:rsid w:val="00B37044"/>
    <w:rsid w:val="00B7669E"/>
    <w:rsid w:val="00C063BE"/>
    <w:rsid w:val="00C15047"/>
    <w:rsid w:val="00C44B9D"/>
    <w:rsid w:val="00C778EB"/>
    <w:rsid w:val="00C96411"/>
    <w:rsid w:val="00CD3BCC"/>
    <w:rsid w:val="00D16644"/>
    <w:rsid w:val="00D358CB"/>
    <w:rsid w:val="00E07645"/>
    <w:rsid w:val="00E30C62"/>
    <w:rsid w:val="00E861C6"/>
    <w:rsid w:val="00EF5A6F"/>
    <w:rsid w:val="00F2206C"/>
    <w:rsid w:val="00F96CBE"/>
    <w:rsid w:val="00FD7CA4"/>
    <w:rsid w:val="00FF2E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BCFA6"/>
  <w15:docId w15:val="{B5B0AA6F-073F-4AE3-89DA-59939354E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S Mincho"/>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rPr>
      <w:color w:val="0000FF"/>
      <w:u w:val="single"/>
    </w:rPr>
  </w:style>
  <w:style w:type="paragraph" w:customStyle="1" w:styleId="3CBD5A742C28424DA5172AD252E32316">
    <w:name w:val="3CBD5A742C28424DA5172AD252E32316"/>
    <w:rPr>
      <w:rFonts w:eastAsia="MS Mincho"/>
      <w:lang w:eastAsia="ja-JP"/>
    </w:rPr>
  </w:style>
  <w:style w:type="paragraph" w:styleId="Subtitle">
    <w:name w:val="Subtitle"/>
    <w:basedOn w:val="Normal"/>
    <w:next w:val="Normal"/>
    <w:link w:val="SubtitleChar"/>
    <w:uiPriority w:val="11"/>
    <w:qFormat/>
    <w:pPr>
      <w:spacing w:line="240" w:lineRule="auto"/>
    </w:pPr>
    <w:rPr>
      <w:rFonts w:ascii="Cambria" w:eastAsia="Cambria" w:hAnsi="Cambria" w:cs="Cambria"/>
      <w:sz w:val="30"/>
      <w:szCs w:val="30"/>
    </w:rPr>
  </w:style>
  <w:style w:type="character" w:customStyle="1" w:styleId="SubtitleChar">
    <w:name w:val="Subtitle Char"/>
    <w:basedOn w:val="DefaultParagraphFont"/>
    <w:link w:val="Subtitle"/>
    <w:rPr>
      <w:rFonts w:ascii="Cambria" w:eastAsia="MS Gothic" w:hAnsi="Cambria" w:cs="SimSun"/>
      <w:sz w:val="30"/>
      <w:szCs w:val="30"/>
    </w:rPr>
  </w:style>
  <w:style w:type="character" w:styleId="LineNumber">
    <w:name w:val="line number"/>
    <w:basedOn w:val="DefaultParagraphFont"/>
    <w:uiPriority w:val="99"/>
  </w:style>
  <w:style w:type="paragraph" w:styleId="ListParagraph">
    <w:name w:val="List Paragraph"/>
    <w:basedOn w:val="Normal"/>
    <w:uiPriority w:val="34"/>
    <w:qFormat/>
    <w:pPr>
      <w:spacing w:line="276" w:lineRule="auto"/>
      <w:ind w:left="720"/>
      <w:contextualSpacing/>
    </w:pPr>
    <w:rPr>
      <w:rFonts w:eastAsia="Times New Roman" w:cs="Times New Roman"/>
      <w:sz w:val="22"/>
      <w:szCs w:val="22"/>
      <w:lang w:val="en-GB" w:eastAsia="en-GB"/>
    </w:rPr>
  </w:style>
  <w:style w:type="paragraph" w:customStyle="1" w:styleId="Default">
    <w:name w:val="Default"/>
    <w:pPr>
      <w:widowControl w:val="0"/>
      <w:autoSpaceDE w:val="0"/>
      <w:autoSpaceDN w:val="0"/>
      <w:adjustRightInd w:val="0"/>
      <w:spacing w:after="0" w:line="240" w:lineRule="auto"/>
    </w:pPr>
    <w:rPr>
      <w:rFonts w:ascii="Times New Roman" w:eastAsia="Times New Roman" w:hAnsi="Times New Roman" w:cs="Angsana New"/>
      <w:color w:val="000000"/>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59"/>
    <w:pPr>
      <w:spacing w:after="0" w:line="240" w:lineRule="auto"/>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eastAsia="MS Mincho"/>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eastAsia="MS Mincho"/>
      <w:b/>
      <w:bCs/>
      <w:sz w:val="20"/>
      <w:szCs w:val="20"/>
    </w:rPr>
  </w:style>
  <w:style w:type="character" w:customStyle="1" w:styleId="y2iqfc">
    <w:name w:val="y2iqfc"/>
    <w:basedOn w:val="DefaultParagraphFont"/>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customStyle="1" w:styleId="PlainTable21">
    <w:name w:val="Plain Table 21"/>
    <w:basedOn w:val="TableNormal"/>
    <w:uiPriority w:val="42"/>
    <w:pPr>
      <w:spacing w:after="0" w:line="240" w:lineRule="auto"/>
    </w:pPr>
    <w:rPr>
      <w:lang w:eastAsia="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1Char">
    <w:name w:val="Heading 1 Char"/>
    <w:basedOn w:val="DefaultParagraphFont"/>
    <w:link w:val="Heading1"/>
    <w:uiPriority w:val="9"/>
    <w:rPr>
      <w:rFonts w:eastAsia="MS Mincho"/>
      <w:b/>
      <w:sz w:val="48"/>
      <w:szCs w:val="48"/>
    </w:rPr>
  </w:style>
  <w:style w:type="character" w:customStyle="1" w:styleId="UnresolvedMention2">
    <w:name w:val="Unresolved Mention2"/>
    <w:basedOn w:val="DefaultParagraphFont"/>
    <w:uiPriority w:val="99"/>
    <w:rPr>
      <w:color w:val="605E5C"/>
      <w:shd w:val="clear" w:color="auto" w:fill="E1DFDD"/>
    </w:rPr>
  </w:style>
  <w:style w:type="table" w:customStyle="1" w:styleId="PlainTable22">
    <w:name w:val="Plain Table 22"/>
    <w:basedOn w:val="TableNormal"/>
    <w:next w:val="PlainTable23"/>
    <w:uiPriority w:val="42"/>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afaelreznandikayustio@gmail.com"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w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xdiawdkHswRpX/Npa2WA2FECghg==">AMUW2mUGDW45paz/2X2+dPyrXkH3EEVpUjOJxJgjgL7E9v7P55jFdkbYvO7lTWw97s/2DBuN1dEZlVZ5wziaNPpCx5QlzpUElszIZj7WuPJBABgseSzLbvmSdKyitLHVrAp1ve5axYGpmpYARiwsNLDH6aMX5ipe2CF42hJ3MULA8IpgAYLEXgM2lwaFcTbP75VEdZOBxZNX</go:docsCustomData>
</go:gDocsCustomXmlDataStorage>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D5837-4183-4387-B297-7893A9F3D04C}">
  <ds:schemaRefs>
    <ds:schemaRef ds:uri="http://www.wps.cn/android/officeDocument/2013/moffice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43EA90A-D1FC-4867-AD87-6A7C36AE70EC}">
  <ds:schemaRefs>
    <ds:schemaRef ds:uri="http://www.wps.cn/android/officeDocument/2013/mofficeCustomData"/>
  </ds:schemaRefs>
</ds:datastoreItem>
</file>

<file path=customXml/itemProps4.xml><?xml version="1.0" encoding="utf-8"?>
<ds:datastoreItem xmlns:ds="http://schemas.openxmlformats.org/officeDocument/2006/customXml" ds:itemID="{CA422A42-8B06-4554-8697-3B40C8121470}">
  <ds:schemaRefs>
    <ds:schemaRef ds:uri="http://www.wps.cn/android/officeDocument/2013/mofficeCustomData"/>
  </ds:schemaRefs>
</ds:datastoreItem>
</file>

<file path=customXml/itemProps5.xml><?xml version="1.0" encoding="utf-8"?>
<ds:datastoreItem xmlns:ds="http://schemas.openxmlformats.org/officeDocument/2006/customXml" ds:itemID="{D7DD9160-00A6-47BA-905A-A61473296381}">
  <ds:schemaRefs>
    <ds:schemaRef ds:uri="http://www.wps.cn/android/officeDocument/2013/mofficeCustomData"/>
  </ds:schemaRefs>
</ds:datastoreItem>
</file>

<file path=customXml/itemProps6.xml><?xml version="1.0" encoding="utf-8"?>
<ds:datastoreItem xmlns:ds="http://schemas.openxmlformats.org/officeDocument/2006/customXml" ds:itemID="{5C262F01-5A75-415C-975B-C84CC57EF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8910</Words>
  <Characters>50792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Jurnal Proteksi Kesehatan Vol.12, No.1, Mei 2023, pp. 1-6 ISSN 2715-1115 (Online), ISSN 2302 – 8610 (Print)</vt:lpstr>
    </vt:vector>
  </TitlesOfParts>
  <Company>HP</Company>
  <LinksUpToDate>false</LinksUpToDate>
  <CharactersWithSpaces>59583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Proteksi Kesehatan Vol.12, No.1, Mei 2023, pp. 1-6 ISSN 2715-1115 (Online), ISSN 2302 – 8610 (Print)</dc:title>
  <dc:creator>Rafhael Reznandika Yustiyo, rafaelreznandikayustio@gmail.com</dc:creator>
  <cp:lastModifiedBy>Rafhael yustiyo</cp:lastModifiedBy>
  <cp:revision>3</cp:revision>
  <cp:lastPrinted>2023-05-02T07:00:00Z</cp:lastPrinted>
  <dcterms:created xsi:type="dcterms:W3CDTF">2025-07-14T03:13:00Z</dcterms:created>
  <dcterms:modified xsi:type="dcterms:W3CDTF">2025-07-14T03:23:00Z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d85b67b5-876f-376d-b695-f4f617aac800</vt:lpwstr>
  </property>
  <property fmtid="{D5CDD505-2E9C-101B-9397-08002B2CF9AE}" pid="24" name="Mendeley Citation Style_1">
    <vt:lpwstr>http://www.zotero.org/styles/ieee</vt:lpwstr>
  </property>
  <property fmtid="{D5CDD505-2E9C-101B-9397-08002B2CF9AE}" pid="25" name="ICV">
    <vt:lpwstr>2f4adbb6f83f41c9b8b85b374b8e1295</vt:lpwstr>
  </property>
</Properties>
</file>