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F4F1" w14:textId="77777777" w:rsidR="00A35C14" w:rsidRDefault="00000000">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Antibacterial Properties of Turmeric Oil Nanoemulsion</w:t>
      </w:r>
      <w:bookmarkStart w:id="0" w:name="_heading=h.ku3htxpixa9v" w:colFirst="0" w:colLast="0"/>
      <w:bookmarkEnd w:id="0"/>
    </w:p>
    <w:p w14:paraId="5E5B90AC" w14:textId="0EFA091D" w:rsidR="00A35C14" w:rsidRDefault="00000000">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Yan Hendrika</w:t>
      </w:r>
      <w:r>
        <w:rPr>
          <w:rFonts w:ascii="Tw Cen MT" w:eastAsia="Twentieth Century" w:hAnsi="Tw Cen MT" w:cs="Twentieth Century"/>
          <w:sz w:val="24"/>
          <w:szCs w:val="24"/>
          <w:vertAlign w:val="superscript"/>
        </w:rPr>
        <w:t xml:space="preserve">, </w:t>
      </w:r>
      <w:proofErr w:type="spellStart"/>
      <w:r>
        <w:rPr>
          <w:rFonts w:ascii="Tw Cen MT" w:eastAsia="Twentieth Century" w:hAnsi="Tw Cen MT" w:cs="Twentieth Century"/>
          <w:sz w:val="24"/>
          <w:szCs w:val="24"/>
        </w:rPr>
        <w:t>Zulikho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Aulia</w:t>
      </w:r>
      <w:proofErr w:type="spellEnd"/>
      <w:r>
        <w:rPr>
          <w:rFonts w:ascii="Tw Cen MT" w:eastAsia="Twentieth Century" w:hAnsi="Tw Cen MT" w:cs="Twentieth Century"/>
          <w:sz w:val="24"/>
          <w:szCs w:val="24"/>
        </w:rPr>
        <w:t>,</w:t>
      </w:r>
      <w:r>
        <w:rPr>
          <w:rFonts w:ascii="Tw Cen MT" w:eastAsia="Twentieth Century" w:hAnsi="Tw Cen MT" w:cs="Twentieth Century"/>
          <w:sz w:val="24"/>
          <w:szCs w:val="24"/>
          <w:vertAlign w:val="superscript"/>
        </w:rPr>
        <w:t xml:space="preserve"> </w:t>
      </w:r>
      <w:proofErr w:type="spellStart"/>
      <w:r>
        <w:rPr>
          <w:rFonts w:ascii="Tw Cen MT" w:eastAsia="Twentieth Century" w:hAnsi="Tw Cen MT" w:cs="Twentieth Century"/>
          <w:sz w:val="24"/>
          <w:szCs w:val="24"/>
        </w:rPr>
        <w:t>Wici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Ersalinda</w:t>
      </w:r>
      <w:proofErr w:type="spellEnd"/>
    </w:p>
    <w:p w14:paraId="79CA0F7E" w14:textId="77777777" w:rsidR="00A35C14" w:rsidRDefault="0000000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Fakultas Farmasi dan Ilmu Kesehatan, Universitas Abdurrab, Pekanbaru, Riau, Indonesia</w:t>
      </w:r>
    </w:p>
    <w:p w14:paraId="57C13C06" w14:textId="77777777" w:rsidR="00A35C14" w:rsidRDefault="00000000">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yan.hendrika20@gmail.com</w:t>
      </w:r>
    </w:p>
    <w:p w14:paraId="2B28978F" w14:textId="77777777" w:rsidR="00A35C14" w:rsidRDefault="00000000">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E9A7743" wp14:editId="06DE2EEB">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24A6309B" w14:textId="77777777" w:rsidR="00A35C14"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6A3814E" w14:textId="77777777" w:rsidR="00A35C14" w:rsidRDefault="00A35C14">
                            <w:pPr>
                              <w:tabs>
                                <w:tab w:val="left" w:pos="567"/>
                              </w:tabs>
                              <w:spacing w:after="0"/>
                              <w:ind w:left="-85"/>
                              <w:rPr>
                                <w:rFonts w:ascii="Arial" w:hAnsi="Arial" w:cs="Arial"/>
                                <w:b/>
                                <w:bCs/>
                                <w:caps/>
                                <w:sz w:val="20"/>
                                <w:szCs w:val="20"/>
                                <w:lang w:val="id-ID"/>
                              </w:rPr>
                            </w:pPr>
                          </w:p>
                          <w:p w14:paraId="19A43C65" w14:textId="77777777" w:rsidR="00A35C14"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4CADA4DD" w14:textId="77777777" w:rsidR="00A35C14"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C9A98A3" w14:textId="77777777" w:rsidR="00A35C14" w:rsidRDefault="00000000">
                            <w:pPr>
                              <w:pStyle w:val="Subjudul"/>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11DE83B4" w14:textId="77777777" w:rsidR="00A35C14"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206F45BE" w14:textId="77777777" w:rsidR="00A35C14" w:rsidRDefault="00A35C14">
                            <w:pPr>
                              <w:pBdr>
                                <w:top w:val="single" w:sz="4" w:space="0" w:color="auto"/>
                              </w:pBdr>
                              <w:tabs>
                                <w:tab w:val="left" w:pos="567"/>
                              </w:tabs>
                              <w:spacing w:after="0"/>
                              <w:ind w:left="-85" w:right="-57"/>
                              <w:rPr>
                                <w:rFonts w:ascii="Tw Cen MT" w:hAnsi="Tw Cen MT" w:cs="Arial"/>
                                <w:b/>
                                <w:bCs/>
                                <w:i/>
                                <w:caps/>
                                <w:sz w:val="20"/>
                                <w:szCs w:val="20"/>
                              </w:rPr>
                            </w:pPr>
                          </w:p>
                          <w:p w14:paraId="67D34A16" w14:textId="77777777" w:rsidR="00A35C14" w:rsidRDefault="00A35C14">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9A7743"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" stroked="f">
                <v:textbox>
                  <w:txbxContent>
                    <w:p w14:paraId="24A6309B" w14:textId="77777777" w:rsidR="00A35C14"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6A3814E" w14:textId="77777777" w:rsidR="00A35C14" w:rsidRDefault="00A35C14">
                      <w:pPr>
                        <w:tabs>
                          <w:tab w:val="left" w:pos="567"/>
                        </w:tabs>
                        <w:spacing w:after="0"/>
                        <w:ind w:left="-85"/>
                        <w:rPr>
                          <w:rFonts w:ascii="Arial" w:hAnsi="Arial" w:cs="Arial"/>
                          <w:b/>
                          <w:bCs/>
                          <w:caps/>
                          <w:sz w:val="20"/>
                          <w:szCs w:val="20"/>
                          <w:lang w:val="id-ID"/>
                        </w:rPr>
                      </w:pPr>
                    </w:p>
                    <w:p w14:paraId="19A43C65" w14:textId="77777777" w:rsidR="00A35C14"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4CADA4DD" w14:textId="77777777" w:rsidR="00A35C14" w:rsidRDefault="00000000">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C9A98A3" w14:textId="77777777" w:rsidR="00A35C14" w:rsidRDefault="00000000">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11DE83B4" w14:textId="77777777" w:rsidR="00A35C14" w:rsidRDefault="00000000">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206F45BE" w14:textId="77777777" w:rsidR="00A35C14" w:rsidRDefault="00A35C14">
                      <w:pPr>
                        <w:pBdr>
                          <w:top w:val="single" w:sz="4" w:space="0" w:color="auto"/>
                        </w:pBdr>
                        <w:tabs>
                          <w:tab w:val="left" w:pos="567"/>
                        </w:tabs>
                        <w:spacing w:after="0"/>
                        <w:ind w:left="-85" w:right="-57"/>
                        <w:rPr>
                          <w:rFonts w:ascii="Tw Cen MT" w:hAnsi="Tw Cen MT" w:cs="Arial"/>
                          <w:b/>
                          <w:bCs/>
                          <w:i/>
                          <w:caps/>
                          <w:sz w:val="20"/>
                          <w:szCs w:val="20"/>
                        </w:rPr>
                      </w:pPr>
                    </w:p>
                    <w:p w14:paraId="67D34A16" w14:textId="77777777" w:rsidR="00A35C14" w:rsidRDefault="00A35C14">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14BA9E4D" wp14:editId="5657BAE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type id="_x0000_t32" coordsize="21600,21600" o:spt="32" o:oned="t" path="m,l21600,21600e">
                <v:path arrowok="t" fillok="f" o:connecttype="none"/>
                <o:lock v:ext="edit" shapetype="t"/>
              </v:shapetype>
              <v:shape id="1027"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14:paraId="2FCE1372" w14:textId="77777777" w:rsidR="00A35C14"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0FCCD402" w14:textId="77777777" w:rsidR="00A35C14" w:rsidRDefault="00000000">
      <w:pPr>
        <w:tabs>
          <w:tab w:val="left" w:pos="426"/>
        </w:tabs>
        <w:spacing w:after="0" w:line="240" w:lineRule="auto"/>
        <w:ind w:left="3150"/>
        <w:jc w:val="both"/>
        <w:rPr>
          <w:rFonts w:ascii="Tw Cen MT" w:hAnsi="Tw Cen MT"/>
          <w:sz w:val="20"/>
          <w:szCs w:val="20"/>
        </w:rPr>
      </w:pPr>
      <w:r>
        <w:rPr>
          <w:rFonts w:ascii="Tw Cen MT" w:hAnsi="Tw Cen MT"/>
          <w:sz w:val="20"/>
          <w:szCs w:val="20"/>
        </w:rPr>
        <w:t xml:space="preserve">Turmeric oil is an essential oil extracted from </w:t>
      </w:r>
      <w:r>
        <w:rPr>
          <w:rStyle w:val="Penekanan"/>
          <w:rFonts w:ascii="Tw Cen MT" w:hAnsi="Tw Cen MT"/>
          <w:sz w:val="20"/>
          <w:szCs w:val="20"/>
        </w:rPr>
        <w:t>Curcuma domestica</w:t>
      </w:r>
      <w:r>
        <w:rPr>
          <w:rFonts w:ascii="Tw Cen MT" w:hAnsi="Tw Cen MT"/>
          <w:sz w:val="20"/>
          <w:szCs w:val="20"/>
        </w:rPr>
        <w:t xml:space="preserve"> rhizome, containing active compounds like turmerone, atlantone, and zingiberone, with various pharmacological activities. This study aimed to evaluate the antibacterial activity of turmeric oil nanoemulsion formulations (F1, F2, F3) against </w:t>
      </w:r>
      <w:r>
        <w:rPr>
          <w:rStyle w:val="Penekanan"/>
          <w:rFonts w:ascii="Tw Cen MT" w:hAnsi="Tw Cen MT"/>
          <w:sz w:val="20"/>
          <w:szCs w:val="20"/>
        </w:rPr>
        <w:t>Staphylococcus aureus</w:t>
      </w:r>
      <w:r>
        <w:rPr>
          <w:rFonts w:ascii="Tw Cen MT" w:hAnsi="Tw Cen MT"/>
          <w:sz w:val="20"/>
          <w:szCs w:val="20"/>
        </w:rPr>
        <w:t xml:space="preserve"> and </w:t>
      </w:r>
      <w:r>
        <w:rPr>
          <w:rStyle w:val="Penekanan"/>
          <w:rFonts w:ascii="Tw Cen MT" w:hAnsi="Tw Cen MT"/>
          <w:sz w:val="20"/>
          <w:szCs w:val="20"/>
        </w:rPr>
        <w:t>Escherichia coli</w:t>
      </w:r>
      <w:r>
        <w:rPr>
          <w:rFonts w:ascii="Tw Cen MT" w:hAnsi="Tw Cen MT"/>
          <w:sz w:val="20"/>
          <w:szCs w:val="20"/>
        </w:rPr>
        <w:t>. The nanoemulsions were characterized for organoleptic properties, pH, viscosity, stability, homogeneity, droplet size, and zeta potential. All formulas appeared as thick, yellow, aromatic liquids with good homogeneity, pH of 6.8–7.0, and showed no separation upon centrifugation. Droplet sizes were 23.2 nm (F1), 203.8 nm (F2), and 298.7 nm (F3), with zeta potentials of –18.5 mV, –13.4 mV, and –8.5 mV, respectively. Antibacterial tests using the diffusion method showed moderate activity with inhibition zones ranging from 5.0–9.8 mm. These findings indicate that turmeric oil nanoemulsions are physically stable and exhibit moderate antibacterial activity.</w:t>
      </w:r>
    </w:p>
    <w:p w14:paraId="3FEE112A" w14:textId="77777777" w:rsidR="00A35C14" w:rsidRDefault="00000000">
      <w:pPr>
        <w:tabs>
          <w:tab w:val="left" w:pos="426"/>
        </w:tabs>
        <w:spacing w:after="0" w:line="240" w:lineRule="auto"/>
        <w:ind w:left="3150"/>
        <w:jc w:val="both"/>
        <w:rPr>
          <w:rFonts w:ascii="Tw Cen MT" w:hAnsi="Tw Cen MT"/>
          <w:b/>
          <w:bCs/>
          <w:sz w:val="20"/>
          <w:szCs w:val="20"/>
        </w:rPr>
      </w:pPr>
      <w:r>
        <w:rPr>
          <w:rFonts w:ascii="Tw Cen MT" w:hAnsi="Tw Cen MT"/>
          <w:b/>
          <w:bCs/>
          <w:sz w:val="20"/>
          <w:szCs w:val="20"/>
        </w:rPr>
        <w:t>Keywords</w:t>
      </w:r>
    </w:p>
    <w:p w14:paraId="2B155A31" w14:textId="1B1072CC" w:rsidR="00A35C14" w:rsidRDefault="00000000">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Turmeric oi</w:t>
      </w:r>
      <w:r w:rsidR="00397B80">
        <w:rPr>
          <w:rFonts w:ascii="Tw Cen MT" w:eastAsia="Twentieth Century" w:hAnsi="Tw Cen MT" w:cs="Twentieth Century"/>
          <w:i/>
          <w:sz w:val="20"/>
          <w:szCs w:val="20"/>
        </w:rPr>
        <w:t>l</w:t>
      </w:r>
      <w:r>
        <w:rPr>
          <w:rFonts w:ascii="Tw Cen MT" w:eastAsia="Twentieth Century" w:hAnsi="Tw Cen MT" w:cs="Twentieth Century"/>
          <w:i/>
          <w:sz w:val="20"/>
          <w:szCs w:val="20"/>
        </w:rPr>
        <w:t xml:space="preserve">; </w:t>
      </w:r>
      <w:proofErr w:type="spellStart"/>
      <w:r w:rsidR="00397B80">
        <w:rPr>
          <w:rFonts w:ascii="Tw Cen MT" w:eastAsia="Twentieth Century" w:hAnsi="Tw Cen MT" w:cs="Twentieth Century"/>
          <w:i/>
          <w:sz w:val="20"/>
          <w:szCs w:val="20"/>
        </w:rPr>
        <w:t>N</w:t>
      </w:r>
      <w:r>
        <w:rPr>
          <w:rFonts w:ascii="Tw Cen MT" w:eastAsia="Twentieth Century" w:hAnsi="Tw Cen MT" w:cs="Twentieth Century"/>
          <w:i/>
          <w:sz w:val="20"/>
          <w:szCs w:val="20"/>
        </w:rPr>
        <w:t>anoemulsion</w:t>
      </w:r>
      <w:proofErr w:type="spellEnd"/>
      <w:r>
        <w:rPr>
          <w:rFonts w:ascii="Tw Cen MT" w:eastAsia="Twentieth Century" w:hAnsi="Tw Cen MT" w:cs="Twentieth Century"/>
          <w:i/>
          <w:sz w:val="20"/>
          <w:szCs w:val="20"/>
        </w:rPr>
        <w:t xml:space="preserve">; </w:t>
      </w:r>
      <w:r w:rsidR="00397B80">
        <w:rPr>
          <w:rFonts w:ascii="Tw Cen MT" w:eastAsia="Twentieth Century" w:hAnsi="Tw Cen MT" w:cs="Twentieth Century"/>
          <w:i/>
          <w:sz w:val="20"/>
          <w:szCs w:val="20"/>
        </w:rPr>
        <w:t>A</w:t>
      </w:r>
      <w:r>
        <w:rPr>
          <w:rFonts w:ascii="Tw Cen MT" w:eastAsia="Twentieth Century" w:hAnsi="Tw Cen MT" w:cs="Twentieth Century"/>
          <w:i/>
          <w:sz w:val="20"/>
          <w:szCs w:val="20"/>
        </w:rPr>
        <w:t>ntibacterial</w:t>
      </w:r>
    </w:p>
    <w:p w14:paraId="6D31CCC9" w14:textId="77777777" w:rsidR="00A35C14" w:rsidRDefault="00000000">
      <w:pPr>
        <w:tabs>
          <w:tab w:val="left" w:pos="426"/>
        </w:tabs>
        <w:spacing w:after="0"/>
        <w:ind w:left="3150"/>
        <w:jc w:val="both"/>
        <w:rPr>
          <w:rFonts w:ascii="Tw Cen MT" w:eastAsia="Twentieth Century" w:hAnsi="Tw Cen MT" w:cs="Twentieth Century"/>
          <w:b/>
          <w:sz w:val="20"/>
          <w:szCs w:val="20"/>
        </w:rPr>
      </w:pPr>
      <w:r>
        <w:rPr>
          <w:rFonts w:ascii="Tw Cen MT" w:hAnsi="Tw Cen MT"/>
          <w:noProof/>
        </w:rPr>
        <mc:AlternateContent>
          <mc:Choice Requires="wps">
            <w:drawing>
              <wp:anchor distT="0" distB="0" distL="0" distR="0" simplePos="0" relativeHeight="4" behindDoc="0" locked="0" layoutInCell="1" allowOverlap="1" wp14:anchorId="7EA9FBF7" wp14:editId="5A3440F1">
                <wp:simplePos x="0" y="0"/>
                <wp:positionH relativeFrom="column">
                  <wp:posOffset>20266</wp:posOffset>
                </wp:positionH>
                <wp:positionV relativeFrom="paragraph">
                  <wp:posOffset>116651</wp:posOffset>
                </wp:positionV>
                <wp:extent cx="5975985" cy="0"/>
                <wp:effectExtent l="0" t="12700" r="18415" b="12700"/>
                <wp:wrapNone/>
                <wp:docPr id="1028"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 id="1028" type="#_x0000_t32" filled="f" style="position:absolute;margin-left:1.6pt;margin-top:9.19pt;width:470.55pt;height:0.0pt;z-index:4;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14:paraId="2A8A23B2" w14:textId="77777777" w:rsidR="00A35C14" w:rsidRDefault="00000000">
      <w:pPr>
        <w:tabs>
          <w:tab w:val="left" w:pos="426"/>
        </w:tabs>
        <w:spacing w:after="0"/>
        <w:jc w:val="both"/>
        <w:rPr>
          <w:rFonts w:ascii="Tw Cen MT" w:eastAsia="Twentieth Century" w:hAnsi="Tw Cen MT" w:cs="Twentieth Century"/>
          <w:b/>
          <w:sz w:val="20"/>
          <w:szCs w:val="20"/>
        </w:rPr>
      </w:pPr>
      <w:r>
        <w:rPr>
          <w:rFonts w:ascii="Tw Cen MT" w:eastAsia="Twentieth Century" w:hAnsi="Tw Cen MT" w:cs="Twentieth Century"/>
          <w:iCs/>
          <w:color w:val="000000"/>
          <w:sz w:val="20"/>
          <w:szCs w:val="20"/>
        </w:rPr>
        <w:t xml:space="preserve"> </w:t>
      </w:r>
    </w:p>
    <w:p w14:paraId="47FE17C4" w14:textId="77777777" w:rsidR="00A35C14" w:rsidRDefault="00A35C14">
      <w:pPr>
        <w:rPr>
          <w:rFonts w:ascii="Tw Cen MT" w:eastAsia="Twentieth Century" w:hAnsi="Tw Cen MT" w:cs="Twentieth Century"/>
          <w:sz w:val="20"/>
          <w:szCs w:val="20"/>
        </w:rPr>
        <w:sectPr w:rsidR="00A35C14">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pgNumType w:start="1"/>
          <w:cols w:space="720"/>
        </w:sectPr>
      </w:pPr>
    </w:p>
    <w:p w14:paraId="0655E4A7" w14:textId="29577717" w:rsidR="00A35C14" w:rsidRPr="003B72D7" w:rsidRDefault="00000000" w:rsidP="003B72D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INTRODUCTION</w:t>
      </w:r>
    </w:p>
    <w:p w14:paraId="2831890D" w14:textId="77777777" w:rsidR="00A35C14" w:rsidRDefault="00000000">
      <w:pPr>
        <w:spacing w:after="0" w:line="240" w:lineRule="auto"/>
        <w:ind w:hanging="2"/>
        <w:jc w:val="both"/>
        <w:rPr>
          <w:rFonts w:ascii="Tw Cen MT" w:hAnsi="Tw Cen MT" w:cs="Arial"/>
          <w:sz w:val="24"/>
          <w:szCs w:val="24"/>
        </w:rPr>
      </w:pPr>
      <w:r>
        <w:rPr>
          <w:rFonts w:ascii="Tw Cen MT" w:hAnsi="Tw Cen MT" w:cs="Arial"/>
          <w:sz w:val="24"/>
          <w:szCs w:val="24"/>
        </w:rPr>
        <w:t xml:space="preserve">Turmeric, </w:t>
      </w:r>
      <w:r>
        <w:rPr>
          <w:rFonts w:ascii="Tw Cen MT" w:hAnsi="Tw Cen MT" w:cs="Arial"/>
          <w:i/>
          <w:sz w:val="24"/>
          <w:szCs w:val="24"/>
        </w:rPr>
        <w:t>Curcuma longa</w:t>
      </w:r>
      <w:r>
        <w:rPr>
          <w:rFonts w:ascii="Tw Cen MT" w:hAnsi="Tw Cen MT" w:cs="Arial"/>
          <w:sz w:val="24"/>
          <w:szCs w:val="24"/>
        </w:rPr>
        <w:t xml:space="preserve"> or scintific synonym is </w:t>
      </w:r>
      <w:r>
        <w:rPr>
          <w:rFonts w:ascii="Tw Cen MT" w:hAnsi="Tw Cen MT" w:cs="Arial"/>
          <w:i/>
          <w:sz w:val="24"/>
          <w:szCs w:val="24"/>
        </w:rPr>
        <w:t>Curcuma domestica</w:t>
      </w:r>
      <w:r>
        <w:rPr>
          <w:rFonts w:ascii="Tw Cen MT" w:hAnsi="Tw Cen MT" w:cs="Arial"/>
          <w:sz w:val="24"/>
          <w:szCs w:val="24"/>
        </w:rPr>
        <w:t xml:space="preserve">, is a rhizomatous of </w:t>
      </w:r>
      <w:r>
        <w:rPr>
          <w:rFonts w:ascii="Tw Cen MT" w:hAnsi="Tw Cen MT" w:cs="Arial"/>
          <w:i/>
          <w:iCs/>
          <w:sz w:val="24"/>
          <w:szCs w:val="24"/>
        </w:rPr>
        <w:t>Zingiberaceae</w:t>
      </w:r>
      <w:r>
        <w:rPr>
          <w:rFonts w:ascii="Tw Cen MT" w:hAnsi="Tw Cen MT" w:cs="Arial"/>
          <w:sz w:val="24"/>
          <w:szCs w:val="24"/>
        </w:rPr>
        <w:t xml:space="preserve"> </w:t>
      </w:r>
      <w:proofErr w:type="gramStart"/>
      <w:r>
        <w:rPr>
          <w:rFonts w:ascii="Tw Cen MT" w:hAnsi="Tw Cen MT" w:cs="Arial"/>
          <w:sz w:val="24"/>
          <w:szCs w:val="24"/>
        </w:rPr>
        <w:t>family .</w:t>
      </w:r>
      <w:proofErr w:type="gramEnd"/>
      <w:r>
        <w:rPr>
          <w:rFonts w:ascii="Tw Cen MT" w:hAnsi="Tw Cen MT" w:cs="Arial"/>
          <w:sz w:val="24"/>
          <w:szCs w:val="24"/>
        </w:rPr>
        <w:t xml:space="preserve"> The major constituents of the rhizomes are curcuminoid pigments and volatile oil, have been khown their pharmacological activity including antimicrobial properties </w:t>
      </w:r>
      <w:r>
        <w:rPr>
          <w:rFonts w:ascii="Tw Cen MT" w:hAnsi="Tw Cen MT" w:cs="Arial"/>
          <w:color w:val="000000"/>
          <w:sz w:val="24"/>
          <w:szCs w:val="24"/>
        </w:rPr>
        <w:t>[1]</w:t>
      </w:r>
      <w:r>
        <w:rPr>
          <w:rFonts w:ascii="Tw Cen MT" w:hAnsi="Tw Cen MT" w:cs="Arial"/>
          <w:sz w:val="24"/>
          <w:szCs w:val="24"/>
        </w:rPr>
        <w:t>. Another significant substance that is produced from the curcuma rhizome in amounts of 3-6% is turmeric oil.</w:t>
      </w:r>
      <w:r>
        <w:rPr>
          <w:rFonts w:ascii="Tw Cen MT" w:hAnsi="Tw Cen MT" w:cs="Arial"/>
          <w:color w:val="000000"/>
          <w:sz w:val="24"/>
          <w:szCs w:val="24"/>
        </w:rPr>
        <w:t>[2]</w:t>
      </w:r>
      <w:r>
        <w:rPr>
          <w:rFonts w:ascii="Tw Cen MT" w:hAnsi="Tw Cen MT" w:cs="Arial"/>
          <w:sz w:val="24"/>
          <w:szCs w:val="24"/>
        </w:rPr>
        <w:t>.</w:t>
      </w:r>
    </w:p>
    <w:p w14:paraId="0F637BE9" w14:textId="77777777" w:rsidR="00A35C14" w:rsidRDefault="00000000">
      <w:pPr>
        <w:spacing w:after="0" w:line="240" w:lineRule="auto"/>
        <w:ind w:hanging="2"/>
        <w:jc w:val="both"/>
        <w:rPr>
          <w:rFonts w:ascii="Tw Cen MT" w:hAnsi="Tw Cen MT" w:cs="Arial"/>
          <w:sz w:val="24"/>
          <w:szCs w:val="24"/>
        </w:rPr>
      </w:pPr>
      <w:r>
        <w:rPr>
          <w:rFonts w:ascii="Tw Cen MT" w:hAnsi="Tw Cen MT" w:cs="Arial"/>
          <w:sz w:val="24"/>
          <w:szCs w:val="24"/>
        </w:rPr>
        <w:t xml:space="preserve">The major components of turmeric oil are </w:t>
      </w:r>
      <w:r>
        <w:rPr>
          <w:rStyle w:val="fontstyle01"/>
          <w:rFonts w:ascii="Tw Cen MT" w:hAnsi="Tw Cen MT" w:cs="Arial"/>
          <w:sz w:val="24"/>
          <w:szCs w:val="24"/>
        </w:rPr>
        <w:t xml:space="preserve">zingiberene </w:t>
      </w:r>
      <w:r>
        <w:rPr>
          <w:rStyle w:val="fontstyle21"/>
          <w:rFonts w:ascii="Tw Cen MT" w:hAnsi="Tw Cen MT" w:cs="Arial"/>
          <w:sz w:val="24"/>
          <w:szCs w:val="24"/>
        </w:rPr>
        <w:t xml:space="preserve">(11%), </w:t>
      </w:r>
      <w:r>
        <w:rPr>
          <w:rStyle w:val="fontstyle31"/>
          <w:rFonts w:ascii="Calibri" w:hAnsi="Calibri"/>
          <w:sz w:val="24"/>
          <w:szCs w:val="24"/>
        </w:rPr>
        <w:t>β</w:t>
      </w:r>
      <w:r>
        <w:rPr>
          <w:rStyle w:val="fontstyle01"/>
          <w:rFonts w:ascii="Tw Cen MT" w:hAnsi="Tw Cen MT" w:cs="Arial"/>
          <w:sz w:val="24"/>
          <w:szCs w:val="24"/>
        </w:rPr>
        <w:t xml:space="preserve">-turmerone </w:t>
      </w:r>
      <w:r>
        <w:rPr>
          <w:rStyle w:val="fontstyle21"/>
          <w:rFonts w:ascii="Tw Cen MT" w:hAnsi="Tw Cen MT" w:cs="Arial"/>
          <w:sz w:val="24"/>
          <w:szCs w:val="24"/>
        </w:rPr>
        <w:t xml:space="preserve">(10%), </w:t>
      </w:r>
      <w:r>
        <w:rPr>
          <w:rStyle w:val="fontstyle01"/>
          <w:rFonts w:ascii="Tw Cen MT" w:hAnsi="Tw Cen MT" w:cs="Arial"/>
          <w:sz w:val="24"/>
          <w:szCs w:val="24"/>
        </w:rPr>
        <w:t xml:space="preserve">sesquiphellandrene </w:t>
      </w:r>
      <w:r>
        <w:rPr>
          <w:rStyle w:val="fontstyle21"/>
          <w:rFonts w:ascii="Tw Cen MT" w:hAnsi="Tw Cen MT" w:cs="Arial"/>
          <w:sz w:val="24"/>
          <w:szCs w:val="24"/>
        </w:rPr>
        <w:t xml:space="preserve">(10%),  and </w:t>
      </w:r>
      <w:r>
        <w:rPr>
          <w:rStyle w:val="fontstyle31"/>
          <w:rFonts w:ascii="Calibri" w:hAnsi="Calibri"/>
          <w:sz w:val="24"/>
          <w:szCs w:val="24"/>
        </w:rPr>
        <w:t>α</w:t>
      </w:r>
      <w:r>
        <w:rPr>
          <w:rStyle w:val="fontstyle01"/>
          <w:rFonts w:ascii="Tw Cen MT" w:hAnsi="Tw Cen MT" w:cs="Arial"/>
          <w:sz w:val="24"/>
          <w:szCs w:val="24"/>
        </w:rPr>
        <w:t xml:space="preserve">-curcumene </w:t>
      </w:r>
      <w:r>
        <w:rPr>
          <w:rStyle w:val="fontstyle21"/>
          <w:rFonts w:ascii="Tw Cen MT" w:hAnsi="Tw Cen MT" w:cs="Arial"/>
          <w:sz w:val="24"/>
          <w:szCs w:val="24"/>
        </w:rPr>
        <w:t>(5%)</w:t>
      </w:r>
      <w:r>
        <w:rPr>
          <w:rFonts w:ascii="Tw Cen MT" w:hAnsi="Tw Cen MT" w:cs="Arial"/>
          <w:color w:val="000000"/>
          <w:sz w:val="24"/>
          <w:szCs w:val="24"/>
        </w:rPr>
        <w:t>[3,4]</w:t>
      </w:r>
      <w:r>
        <w:rPr>
          <w:rFonts w:ascii="Tw Cen MT" w:hAnsi="Tw Cen MT" w:cs="Arial"/>
          <w:sz w:val="24"/>
          <w:szCs w:val="24"/>
        </w:rPr>
        <w:t xml:space="preserve">. Turmeric oil known has biological activity included antioxidant, anti-inflammatory, antidiabetic, cardiovascular, neuroprotective, nephroprotective, analgesic, anticancer, antinociceptive, antibacterial, antifungal, and antiparasitic </w:t>
      </w:r>
      <w:r>
        <w:rPr>
          <w:rFonts w:ascii="Tw Cen MT" w:hAnsi="Tw Cen MT" w:cs="Arial"/>
          <w:color w:val="000000"/>
          <w:sz w:val="24"/>
          <w:szCs w:val="24"/>
        </w:rPr>
        <w:t>[4]</w:t>
      </w:r>
      <w:r>
        <w:rPr>
          <w:rFonts w:ascii="Tw Cen MT" w:hAnsi="Tw Cen MT" w:cs="Arial"/>
          <w:sz w:val="24"/>
          <w:szCs w:val="24"/>
        </w:rPr>
        <w:t xml:space="preserve">. </w:t>
      </w:r>
    </w:p>
    <w:p w14:paraId="7695585B" w14:textId="77777777" w:rsidR="00A35C14" w:rsidRDefault="00000000">
      <w:pPr>
        <w:spacing w:after="0" w:line="240" w:lineRule="auto"/>
        <w:ind w:hanging="2"/>
        <w:jc w:val="both"/>
        <w:rPr>
          <w:rFonts w:ascii="Tw Cen MT" w:hAnsi="Tw Cen MT" w:cs="Arial"/>
          <w:sz w:val="24"/>
          <w:szCs w:val="24"/>
        </w:rPr>
      </w:pPr>
      <w:r>
        <w:rPr>
          <w:rFonts w:ascii="Tw Cen MT" w:hAnsi="Tw Cen MT" w:cs="Arial"/>
          <w:sz w:val="24"/>
          <w:szCs w:val="24"/>
        </w:rPr>
        <w:t xml:space="preserve">Turmeric oil knows can be inhibited a pathogen for periodotitis like </w:t>
      </w:r>
      <w:r>
        <w:rPr>
          <w:rFonts w:ascii="Tw Cen MT" w:hAnsi="Tw Cen MT" w:cs="Arial"/>
          <w:i/>
          <w:iCs/>
          <w:color w:val="000000"/>
          <w:sz w:val="24"/>
          <w:szCs w:val="24"/>
        </w:rPr>
        <w:t>Porphyromonas gingivalis</w:t>
      </w:r>
      <w:r>
        <w:rPr>
          <w:rFonts w:ascii="Tw Cen MT" w:hAnsi="Tw Cen MT" w:cs="Arial"/>
          <w:color w:val="000000"/>
          <w:sz w:val="24"/>
          <w:szCs w:val="24"/>
        </w:rPr>
        <w:t>[5]</w:t>
      </w:r>
      <w:r>
        <w:rPr>
          <w:rFonts w:ascii="Tw Cen MT" w:hAnsi="Tw Cen MT" w:cs="Arial"/>
          <w:i/>
          <w:iCs/>
          <w:color w:val="000000"/>
          <w:sz w:val="24"/>
          <w:szCs w:val="24"/>
        </w:rPr>
        <w:t xml:space="preserve"> and Streptococcus mutans</w:t>
      </w:r>
      <w:r>
        <w:rPr>
          <w:rFonts w:ascii="Tw Cen MT" w:hAnsi="Tw Cen MT" w:cs="Arial"/>
          <w:color w:val="000000"/>
          <w:sz w:val="24"/>
          <w:szCs w:val="24"/>
        </w:rPr>
        <w:t>[6]</w:t>
      </w:r>
      <w:r>
        <w:rPr>
          <w:rFonts w:ascii="Tw Cen MT" w:hAnsi="Tw Cen MT" w:cs="Arial"/>
          <w:i/>
          <w:iCs/>
          <w:color w:val="000000"/>
          <w:sz w:val="24"/>
          <w:szCs w:val="24"/>
        </w:rPr>
        <w:t>,</w:t>
      </w:r>
      <w:r>
        <w:rPr>
          <w:rFonts w:ascii="Tw Cen MT" w:hAnsi="Tw Cen MT" w:cs="Arial"/>
          <w:sz w:val="24"/>
          <w:szCs w:val="24"/>
        </w:rPr>
        <w:t xml:space="preserve"> </w:t>
      </w:r>
      <w:r>
        <w:rPr>
          <w:rFonts w:ascii="Tw Cen MT" w:hAnsi="Tw Cen MT" w:cs="Arial"/>
          <w:i/>
          <w:iCs/>
          <w:color w:val="000000"/>
          <w:sz w:val="24"/>
          <w:szCs w:val="24"/>
        </w:rPr>
        <w:t xml:space="preserve">restricting the development of bacteria Escherichia coli, Klebsiella pneumoniae, and Pseudomonas </w:t>
      </w:r>
      <w:r>
        <w:rPr>
          <w:rFonts w:ascii="Tw Cen MT" w:hAnsi="Tw Cen MT" w:cs="Arial"/>
          <w:i/>
          <w:iCs/>
          <w:color w:val="000000"/>
          <w:sz w:val="24"/>
          <w:szCs w:val="24"/>
        </w:rPr>
        <w:t>aeruginosa (Gram-negative) and Bacillus cereus, B. coagulans, B. subtilis, and Staphylococcus aureus (Gram-positive)</w:t>
      </w:r>
      <w:r>
        <w:rPr>
          <w:rFonts w:ascii="Tw Cen MT" w:hAnsi="Tw Cen MT" w:cs="Arial"/>
          <w:color w:val="000000"/>
          <w:sz w:val="24"/>
          <w:szCs w:val="24"/>
        </w:rPr>
        <w:t>[7,8]. Turmeric oil successfully suppressed the development of Staphylococcus aureus (MIC of 38.8</w:t>
      </w:r>
      <w:r>
        <w:rPr>
          <w:color w:val="000000"/>
          <w:sz w:val="24"/>
          <w:szCs w:val="24"/>
        </w:rPr>
        <w:t>μ</w:t>
      </w:r>
      <w:r>
        <w:rPr>
          <w:rFonts w:ascii="Tw Cen MT" w:hAnsi="Tw Cen MT" w:cs="Arial"/>
          <w:color w:val="000000"/>
          <w:sz w:val="24"/>
          <w:szCs w:val="24"/>
        </w:rPr>
        <w:t>l/mL), Staphylococcus epidermidis (MIC of 50.0</w:t>
      </w:r>
      <w:r>
        <w:rPr>
          <w:color w:val="000000"/>
          <w:sz w:val="24"/>
          <w:szCs w:val="24"/>
        </w:rPr>
        <w:t>μ</w:t>
      </w:r>
      <w:r>
        <w:rPr>
          <w:rFonts w:ascii="Tw Cen MT" w:hAnsi="Tw Cen MT" w:cs="Arial"/>
          <w:color w:val="000000"/>
          <w:sz w:val="24"/>
          <w:szCs w:val="24"/>
        </w:rPr>
        <w:t>l/mL), Escherichia coli (MIC of 44.4</w:t>
      </w:r>
      <w:r>
        <w:rPr>
          <w:color w:val="000000"/>
          <w:sz w:val="24"/>
          <w:szCs w:val="24"/>
        </w:rPr>
        <w:t>μ</w:t>
      </w:r>
      <w:r>
        <w:rPr>
          <w:rFonts w:ascii="Tw Cen MT" w:hAnsi="Tw Cen MT" w:cs="Arial"/>
          <w:color w:val="000000"/>
          <w:sz w:val="24"/>
          <w:szCs w:val="24"/>
        </w:rPr>
        <w:t>l/mL), and Pseudomonas aeruginosa [3]</w:t>
      </w:r>
      <w:r>
        <w:rPr>
          <w:rFonts w:ascii="Tw Cen MT" w:hAnsi="Tw Cen MT" w:cs="Arial"/>
          <w:color w:val="242021"/>
          <w:sz w:val="24"/>
          <w:szCs w:val="24"/>
        </w:rPr>
        <w:t xml:space="preserve">. </w:t>
      </w:r>
      <w:r>
        <w:rPr>
          <w:rFonts w:ascii="Tw Cen MT" w:hAnsi="Tw Cen MT" w:cs="Arial"/>
          <w:sz w:val="24"/>
          <w:szCs w:val="24"/>
        </w:rPr>
        <w:t>Turmeric oil has antibacterial properties, particularly in combating antibiotic resistance, through cell wall degradation, cytoplasmic membrane disruption, DNA and RNA synthesis alterations, electron transport, and nutrient uptake.</w:t>
      </w:r>
    </w:p>
    <w:p w14:paraId="5A6B9C89" w14:textId="77777777" w:rsidR="00A35C14" w:rsidRDefault="00000000">
      <w:pPr>
        <w:spacing w:after="0" w:line="240" w:lineRule="auto"/>
        <w:ind w:hanging="2"/>
        <w:jc w:val="both"/>
        <w:rPr>
          <w:rFonts w:ascii="Tw Cen MT" w:hAnsi="Tw Cen MT" w:cs="Arial"/>
          <w:sz w:val="24"/>
          <w:szCs w:val="24"/>
        </w:rPr>
      </w:pPr>
      <w:r>
        <w:rPr>
          <w:rFonts w:ascii="Tw Cen MT" w:hAnsi="Tw Cen MT" w:cs="Arial"/>
          <w:color w:val="242021"/>
          <w:sz w:val="24"/>
          <w:szCs w:val="24"/>
        </w:rPr>
        <w:t xml:space="preserve">Thus, nanotechnology may be an ally to strengthen the antibacterial properties of natural substances </w:t>
      </w:r>
      <w:r>
        <w:rPr>
          <w:rFonts w:ascii="Tw Cen MT" w:hAnsi="Tw Cen MT" w:cs="Arial"/>
          <w:color w:val="000000"/>
          <w:sz w:val="24"/>
          <w:szCs w:val="24"/>
        </w:rPr>
        <w:t>[9,10]</w:t>
      </w:r>
      <w:r>
        <w:rPr>
          <w:rFonts w:ascii="Tw Cen MT" w:hAnsi="Tw Cen MT" w:cs="Arial"/>
          <w:color w:val="242021"/>
          <w:sz w:val="24"/>
          <w:szCs w:val="24"/>
        </w:rPr>
        <w:t xml:space="preserve">. Their dispersion across biological membranes is increased and their physical-chemical properties are better conserved when they are nanoemulsified </w:t>
      </w:r>
      <w:r>
        <w:rPr>
          <w:rFonts w:ascii="Tw Cen MT" w:hAnsi="Tw Cen MT" w:cs="Arial"/>
          <w:color w:val="000000"/>
          <w:sz w:val="24"/>
          <w:szCs w:val="24"/>
        </w:rPr>
        <w:t>[11]</w:t>
      </w:r>
      <w:r>
        <w:rPr>
          <w:rFonts w:ascii="Tw Cen MT" w:hAnsi="Tw Cen MT" w:cs="Arial"/>
          <w:color w:val="242021"/>
          <w:sz w:val="24"/>
          <w:szCs w:val="24"/>
        </w:rPr>
        <w:t xml:space="preserve">. Using nanoemulsion as an antibacterial agent is a novel and exciting development. The nanoemulsion particles bind to lipid-containing organisms due to thermodynamic factors. This fusion is facilitated by the pathogen's anionic </w:t>
      </w:r>
      <w:r>
        <w:rPr>
          <w:rFonts w:ascii="Tw Cen MT" w:hAnsi="Tw Cen MT" w:cs="Arial"/>
          <w:color w:val="242021"/>
          <w:sz w:val="24"/>
          <w:szCs w:val="24"/>
        </w:rPr>
        <w:lastRenderedPageBreak/>
        <w:t xml:space="preserve">charge and the cationic charge of the emulsion being attracted to each other electrostatically. When enough nanoparticles combine with the pathogens, some of the energy in the emulsion is liberated. The active element destabilizes the pathogen's lipid membrane, releasing energy that results in cell lysis and death. </w:t>
      </w:r>
      <w:r>
        <w:rPr>
          <w:rFonts w:ascii="Tw Cen MT" w:hAnsi="Tw Cen MT" w:cs="Arial"/>
          <w:color w:val="000000"/>
          <w:sz w:val="24"/>
          <w:szCs w:val="24"/>
        </w:rPr>
        <w:t>[12]</w:t>
      </w:r>
      <w:r>
        <w:rPr>
          <w:rFonts w:ascii="Tw Cen MT" w:hAnsi="Tw Cen MT" w:cs="Arial"/>
          <w:color w:val="242021"/>
          <w:sz w:val="24"/>
          <w:szCs w:val="24"/>
        </w:rPr>
        <w:t>.</w:t>
      </w:r>
    </w:p>
    <w:p w14:paraId="6D6108D0" w14:textId="77777777" w:rsidR="00A35C14" w:rsidRDefault="00000000">
      <w:pPr>
        <w:spacing w:after="0" w:line="240" w:lineRule="auto"/>
        <w:jc w:val="both"/>
        <w:rPr>
          <w:rFonts w:ascii="Tw Cen MT" w:eastAsia="Twentieth Century" w:hAnsi="Tw Cen MT" w:cs="Twentieth Century"/>
          <w:color w:val="000000"/>
          <w:sz w:val="24"/>
          <w:szCs w:val="24"/>
        </w:rPr>
      </w:pPr>
      <w:r>
        <w:rPr>
          <w:rFonts w:ascii="Tw Cen MT" w:hAnsi="Tw Cen MT" w:cs="Arial"/>
          <w:color w:val="242021"/>
          <w:sz w:val="24"/>
          <w:szCs w:val="24"/>
        </w:rPr>
        <w:t>The present study analysed the formulation of nanemulsions turmeric oil, physical evaluation and antibacterial activities of nanoemulsion turmeric oil against any bacterial.</w:t>
      </w:r>
      <w:r>
        <w:rPr>
          <w:rFonts w:ascii="Tw Cen MT" w:eastAsia="Twentieth Century" w:hAnsi="Tw Cen MT" w:cs="Twentieth Century"/>
          <w:sz w:val="24"/>
          <w:szCs w:val="24"/>
        </w:rPr>
        <w:t xml:space="preserve"> </w:t>
      </w:r>
    </w:p>
    <w:p w14:paraId="3E9BF39F" w14:textId="77777777" w:rsidR="00A35C14" w:rsidRDefault="00A35C14">
      <w:pPr>
        <w:spacing w:after="0" w:line="240" w:lineRule="auto"/>
        <w:jc w:val="both"/>
        <w:rPr>
          <w:rFonts w:ascii="Tw Cen MT" w:eastAsia="Twentieth Century" w:hAnsi="Tw Cen MT" w:cs="Twentieth Century"/>
          <w:color w:val="000000"/>
          <w:sz w:val="24"/>
          <w:szCs w:val="24"/>
        </w:rPr>
      </w:pPr>
    </w:p>
    <w:p w14:paraId="003452AD" w14:textId="79A3C9FE" w:rsidR="00A35C14"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METHODS</w:t>
      </w:r>
    </w:p>
    <w:p w14:paraId="72545770" w14:textId="77777777" w:rsidR="00A35C14"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Materials and Tools</w:t>
      </w:r>
    </w:p>
    <w:p w14:paraId="28AB646B" w14:textId="77777777" w:rsidR="00A35C14"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b/>
          <w:bCs/>
          <w:sz w:val="24"/>
          <w:szCs w:val="24"/>
        </w:rPr>
        <w:t>Materials</w:t>
      </w:r>
      <w:r>
        <w:rPr>
          <w:rFonts w:ascii="Tw Cen MT" w:eastAsia="Twentieth Century" w:hAnsi="Tw Cen MT" w:cs="Twentieth Century"/>
          <w:sz w:val="24"/>
          <w:szCs w:val="24"/>
        </w:rPr>
        <w:t xml:space="preserve">: Turmeric oil were obtained from SESMU Indonesia, extracted by steam destilation form Curcuma domestica rhizome. Tween 80, Span 400, PEG 400, nipagin, and nipasol obtained from Sigma Aldrich, destilled water obtained from Bratachem. </w:t>
      </w:r>
    </w:p>
    <w:p w14:paraId="523820FB" w14:textId="77777777" w:rsidR="00A35C14" w:rsidRDefault="0000000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b/>
          <w:bCs/>
          <w:sz w:val="24"/>
          <w:szCs w:val="24"/>
        </w:rPr>
        <w:t>Tools</w:t>
      </w:r>
      <w:r>
        <w:rPr>
          <w:rFonts w:ascii="Tw Cen MT" w:eastAsia="Twentieth Century" w:hAnsi="Tw Cen MT" w:cs="Times New Roman"/>
          <w:b/>
          <w:bCs/>
          <w:sz w:val="24"/>
          <w:szCs w:val="24"/>
        </w:rPr>
        <w:t xml:space="preserve">: </w:t>
      </w:r>
      <w:r>
        <w:rPr>
          <w:rFonts w:ascii="Tw Cen MT" w:hAnsi="Tw Cen MT" w:cs="Times New Roman"/>
          <w:sz w:val="24"/>
          <w:szCs w:val="24"/>
        </w:rPr>
        <w:t>The instruments used in this study include a pH meter, a Brookfield viscometer (Ametek), a particle size analyzer (Horiba Scientific SZ-100), a UV-Vis spectrophotometer (Shimadzu), a centrifuge, an analytical balance, a magnetic stirrer (Thermo), and a bath sonicator (Elma).</w:t>
      </w:r>
    </w:p>
    <w:p w14:paraId="4E561B4B" w14:textId="77777777" w:rsidR="00A35C14" w:rsidRDefault="00A35C14">
      <w:pPr>
        <w:tabs>
          <w:tab w:val="left" w:pos="426"/>
        </w:tabs>
        <w:spacing w:after="0"/>
        <w:jc w:val="both"/>
        <w:rPr>
          <w:rFonts w:ascii="Tw Cen MT" w:eastAsia="Twentieth Century" w:hAnsi="Tw Cen MT" w:cs="Twentieth Century"/>
          <w:sz w:val="24"/>
          <w:szCs w:val="24"/>
        </w:rPr>
      </w:pPr>
    </w:p>
    <w:p w14:paraId="5861EB7B" w14:textId="77777777" w:rsidR="00A35C14"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Nanoemulsion Preparation</w:t>
      </w:r>
    </w:p>
    <w:p w14:paraId="3F93A25A" w14:textId="77777777" w:rsidR="00A35C14" w:rsidRDefault="00000000">
      <w:pPr>
        <w:spacing w:line="240" w:lineRule="auto"/>
        <w:ind w:hanging="2"/>
        <w:jc w:val="both"/>
        <w:rPr>
          <w:rFonts w:ascii="Tw Cen MT" w:hAnsi="Tw Cen MT"/>
          <w:sz w:val="24"/>
          <w:szCs w:val="24"/>
        </w:rPr>
      </w:pPr>
      <w:r>
        <w:rPr>
          <w:rFonts w:ascii="Tw Cen MT" w:hAnsi="Tw Cen MT"/>
          <w:sz w:val="24"/>
          <w:szCs w:val="24"/>
        </w:rPr>
        <w:t>Formulation of turmeric oil nanoemulsion devided in 3 concentration, can be seen in Table 1. Turmeric oil was diluted in VCO, span 80 and PEG 400 (oil phase) in glass beaker and stiring by 1000 rpm in 10 minutes. Tween 80 was diluted in destilled water (water phase) as an emulsifying agent. Water phase were slowly added to oil phase and stirring about 20 minutes in 500 rpm. The admixture were sonicated bath sonication about 30 minutes. The nanoemulsions were characterized included pH, viscosity, stability by centrifugation methode, particle size with Horiba Scinetific SZ-100, and the polydispersity index and zeta potential were measured. Three formulation were collected, and kept refrigated at 4</w:t>
      </w:r>
      <w:r>
        <w:rPr>
          <w:rFonts w:ascii="Tw Cen MT" w:hAnsi="Tw Cen MT"/>
          <w:sz w:val="24"/>
          <w:szCs w:val="24"/>
          <w:vertAlign w:val="superscript"/>
        </w:rPr>
        <w:t>o</w:t>
      </w:r>
      <w:r>
        <w:rPr>
          <w:rFonts w:ascii="Tw Cen MT" w:hAnsi="Tw Cen MT"/>
          <w:sz w:val="24"/>
          <w:szCs w:val="24"/>
        </w:rPr>
        <w:t>C.</w:t>
      </w:r>
    </w:p>
    <w:p w14:paraId="2C089676" w14:textId="77777777" w:rsidR="003B72D7" w:rsidRDefault="003B72D7" w:rsidP="003B72D7">
      <w:pPr>
        <w:jc w:val="center"/>
        <w:rPr>
          <w:rFonts w:ascii="Tw Cen MT" w:hAnsi="Tw Cen MT"/>
          <w:sz w:val="20"/>
          <w:szCs w:val="20"/>
        </w:rPr>
      </w:pPr>
    </w:p>
    <w:p w14:paraId="1DC83A47" w14:textId="37AE1280" w:rsidR="00A35C14" w:rsidRDefault="00000000" w:rsidP="003B72D7">
      <w:pPr>
        <w:jc w:val="center"/>
        <w:rPr>
          <w:rFonts w:ascii="Tw Cen MT" w:hAnsi="Tw Cen MT"/>
          <w:sz w:val="20"/>
          <w:szCs w:val="20"/>
        </w:rPr>
      </w:pPr>
      <w:r>
        <w:rPr>
          <w:rFonts w:ascii="Tw Cen MT" w:hAnsi="Tw Cen MT"/>
          <w:sz w:val="20"/>
          <w:szCs w:val="20"/>
        </w:rPr>
        <w:t>Table 1. Turmeric oil nanoemulsion formulation</w:t>
      </w:r>
    </w:p>
    <w:tbl>
      <w:tblPr>
        <w:tblStyle w:val="PlainTable21"/>
        <w:tblW w:w="4390" w:type="dxa"/>
        <w:tblLook w:val="04A0" w:firstRow="1" w:lastRow="0" w:firstColumn="1" w:lastColumn="0" w:noHBand="0" w:noVBand="1"/>
      </w:tblPr>
      <w:tblGrid>
        <w:gridCol w:w="1271"/>
        <w:gridCol w:w="992"/>
        <w:gridCol w:w="993"/>
        <w:gridCol w:w="1134"/>
      </w:tblGrid>
      <w:tr w:rsidR="00A35C14" w14:paraId="7D6179AC" w14:textId="77777777" w:rsidTr="003B72D7">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271" w:type="dxa"/>
          </w:tcPr>
          <w:p w14:paraId="257078A2" w14:textId="77777777" w:rsidR="00A35C14" w:rsidRDefault="00000000">
            <w:pPr>
              <w:tabs>
                <w:tab w:val="left" w:pos="1874"/>
              </w:tabs>
              <w:ind w:hanging="2"/>
              <w:jc w:val="center"/>
              <w:rPr>
                <w:rFonts w:ascii="Tw Cen MT" w:eastAsia="Times New Roman" w:hAnsi="Tw Cen MT"/>
                <w:b w:val="0"/>
                <w:bCs w:val="0"/>
                <w:sz w:val="20"/>
                <w:szCs w:val="20"/>
                <w:lang w:eastAsia="id-ID"/>
              </w:rPr>
            </w:pPr>
            <w:r>
              <w:rPr>
                <w:rFonts w:ascii="Tw Cen MT" w:eastAsia="Times New Roman" w:hAnsi="Tw Cen MT"/>
                <w:sz w:val="20"/>
                <w:szCs w:val="20"/>
                <w:lang w:eastAsia="id-ID"/>
              </w:rPr>
              <w:t>Materials</w:t>
            </w:r>
          </w:p>
        </w:tc>
        <w:tc>
          <w:tcPr>
            <w:tcW w:w="992" w:type="dxa"/>
          </w:tcPr>
          <w:p w14:paraId="66D09339" w14:textId="77777777" w:rsidR="00A35C14" w:rsidRDefault="00000000">
            <w:pPr>
              <w:tabs>
                <w:tab w:val="left" w:pos="1874"/>
              </w:tabs>
              <w:ind w:hanging="2"/>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b w:val="0"/>
                <w:bCs w:val="0"/>
                <w:sz w:val="20"/>
                <w:szCs w:val="20"/>
                <w:lang w:eastAsia="id-ID"/>
              </w:rPr>
            </w:pPr>
            <w:r>
              <w:rPr>
                <w:rFonts w:ascii="Tw Cen MT" w:eastAsia="Times New Roman" w:hAnsi="Tw Cen MT"/>
                <w:sz w:val="20"/>
                <w:szCs w:val="20"/>
                <w:lang w:eastAsia="id-ID"/>
              </w:rPr>
              <w:t>F1 (5%)</w:t>
            </w:r>
          </w:p>
        </w:tc>
        <w:tc>
          <w:tcPr>
            <w:tcW w:w="993" w:type="dxa"/>
          </w:tcPr>
          <w:p w14:paraId="6AACF0A2" w14:textId="77777777" w:rsidR="00A35C14" w:rsidRDefault="00000000">
            <w:pPr>
              <w:tabs>
                <w:tab w:val="left" w:pos="1874"/>
              </w:tabs>
              <w:ind w:hanging="2"/>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b w:val="0"/>
                <w:bCs w:val="0"/>
                <w:sz w:val="20"/>
                <w:szCs w:val="20"/>
                <w:lang w:eastAsia="id-ID"/>
              </w:rPr>
            </w:pPr>
            <w:r>
              <w:rPr>
                <w:rFonts w:ascii="Tw Cen MT" w:eastAsia="Times New Roman" w:hAnsi="Tw Cen MT"/>
                <w:sz w:val="20"/>
                <w:szCs w:val="20"/>
                <w:lang w:eastAsia="id-ID"/>
              </w:rPr>
              <w:t>F2 (10%)</w:t>
            </w:r>
          </w:p>
        </w:tc>
        <w:tc>
          <w:tcPr>
            <w:tcW w:w="1134" w:type="dxa"/>
          </w:tcPr>
          <w:p w14:paraId="07986B85" w14:textId="77777777" w:rsidR="00A35C14" w:rsidRDefault="00000000">
            <w:pPr>
              <w:tabs>
                <w:tab w:val="left" w:pos="1874"/>
              </w:tabs>
              <w:ind w:hanging="2"/>
              <w:jc w:val="center"/>
              <w:cnfStyle w:val="100000000000" w:firstRow="1" w:lastRow="0" w:firstColumn="0" w:lastColumn="0" w:oddVBand="0" w:evenVBand="0" w:oddHBand="0" w:evenHBand="0" w:firstRowFirstColumn="0" w:firstRowLastColumn="0" w:lastRowFirstColumn="0" w:lastRowLastColumn="0"/>
              <w:rPr>
                <w:rFonts w:ascii="Tw Cen MT" w:eastAsia="Times New Roman" w:hAnsi="Tw Cen MT"/>
                <w:b w:val="0"/>
                <w:bCs w:val="0"/>
                <w:sz w:val="20"/>
                <w:szCs w:val="20"/>
                <w:lang w:eastAsia="id-ID"/>
              </w:rPr>
            </w:pPr>
            <w:r>
              <w:rPr>
                <w:rFonts w:ascii="Tw Cen MT" w:eastAsia="Times New Roman" w:hAnsi="Tw Cen MT"/>
                <w:sz w:val="20"/>
                <w:szCs w:val="20"/>
                <w:lang w:eastAsia="id-ID"/>
              </w:rPr>
              <w:t>F3 (15%)</w:t>
            </w:r>
          </w:p>
        </w:tc>
      </w:tr>
      <w:tr w:rsidR="00A35C14" w14:paraId="4588C107" w14:textId="77777777" w:rsidTr="003B72D7">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71" w:type="dxa"/>
          </w:tcPr>
          <w:p w14:paraId="1F85A9B5" w14:textId="77777777" w:rsidR="00A35C14" w:rsidRDefault="00000000">
            <w:pPr>
              <w:tabs>
                <w:tab w:val="left" w:pos="1874"/>
              </w:tabs>
              <w:ind w:hanging="2"/>
              <w:jc w:val="center"/>
              <w:rPr>
                <w:rFonts w:ascii="Tw Cen MT" w:eastAsia="Times New Roman" w:hAnsi="Tw Cen MT"/>
                <w:b w:val="0"/>
                <w:bCs w:val="0"/>
                <w:i/>
                <w:iCs/>
                <w:sz w:val="20"/>
                <w:szCs w:val="20"/>
                <w:lang w:eastAsia="id-ID"/>
              </w:rPr>
            </w:pPr>
            <w:r>
              <w:rPr>
                <w:rFonts w:ascii="Tw Cen MT" w:hAnsi="Tw Cen MT"/>
                <w:i/>
                <w:iCs/>
                <w:sz w:val="20"/>
                <w:szCs w:val="20"/>
              </w:rPr>
              <w:t xml:space="preserve">Turmeric oil  </w:t>
            </w:r>
          </w:p>
        </w:tc>
        <w:tc>
          <w:tcPr>
            <w:tcW w:w="992" w:type="dxa"/>
          </w:tcPr>
          <w:p w14:paraId="65CC3FB8"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5</w:t>
            </w:r>
          </w:p>
        </w:tc>
        <w:tc>
          <w:tcPr>
            <w:tcW w:w="993" w:type="dxa"/>
          </w:tcPr>
          <w:p w14:paraId="67B5742C"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10</w:t>
            </w:r>
          </w:p>
        </w:tc>
        <w:tc>
          <w:tcPr>
            <w:tcW w:w="1134" w:type="dxa"/>
          </w:tcPr>
          <w:p w14:paraId="37369F44"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15</w:t>
            </w:r>
          </w:p>
        </w:tc>
      </w:tr>
      <w:tr w:rsidR="00A35C14" w14:paraId="78B8AD4F" w14:textId="77777777" w:rsidTr="003B72D7">
        <w:trPr>
          <w:trHeight w:val="269"/>
        </w:trPr>
        <w:tc>
          <w:tcPr>
            <w:cnfStyle w:val="001000000000" w:firstRow="0" w:lastRow="0" w:firstColumn="1" w:lastColumn="0" w:oddVBand="0" w:evenVBand="0" w:oddHBand="0" w:evenHBand="0" w:firstRowFirstColumn="0" w:firstRowLastColumn="0" w:lastRowFirstColumn="0" w:lastRowLastColumn="0"/>
            <w:tcW w:w="1271" w:type="dxa"/>
          </w:tcPr>
          <w:p w14:paraId="2A6214C4" w14:textId="77777777" w:rsidR="00A35C14" w:rsidRDefault="00000000">
            <w:pPr>
              <w:tabs>
                <w:tab w:val="left" w:pos="1874"/>
              </w:tabs>
              <w:ind w:hanging="2"/>
              <w:jc w:val="center"/>
              <w:rPr>
                <w:rFonts w:ascii="Tw Cen MT" w:eastAsia="Times New Roman" w:hAnsi="Tw Cen MT"/>
                <w:b w:val="0"/>
                <w:bCs w:val="0"/>
                <w:sz w:val="20"/>
                <w:szCs w:val="20"/>
                <w:lang w:eastAsia="id-ID"/>
              </w:rPr>
            </w:pPr>
            <w:r>
              <w:rPr>
                <w:rFonts w:ascii="Tw Cen MT" w:eastAsia="Times New Roman" w:hAnsi="Tw Cen MT"/>
                <w:sz w:val="20"/>
                <w:szCs w:val="20"/>
                <w:lang w:eastAsia="id-ID"/>
              </w:rPr>
              <w:t>Tween 80</w:t>
            </w:r>
          </w:p>
        </w:tc>
        <w:tc>
          <w:tcPr>
            <w:tcW w:w="992" w:type="dxa"/>
          </w:tcPr>
          <w:p w14:paraId="0FC37A46"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36</w:t>
            </w:r>
          </w:p>
        </w:tc>
        <w:tc>
          <w:tcPr>
            <w:tcW w:w="993" w:type="dxa"/>
          </w:tcPr>
          <w:p w14:paraId="59368574"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36</w:t>
            </w:r>
          </w:p>
        </w:tc>
        <w:tc>
          <w:tcPr>
            <w:tcW w:w="1134" w:type="dxa"/>
          </w:tcPr>
          <w:p w14:paraId="1BAA8B8F"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36</w:t>
            </w:r>
          </w:p>
        </w:tc>
      </w:tr>
      <w:tr w:rsidR="00A35C14" w14:paraId="11E379E7" w14:textId="77777777" w:rsidTr="003B72D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271" w:type="dxa"/>
          </w:tcPr>
          <w:p w14:paraId="5FDDB106" w14:textId="77777777" w:rsidR="00A35C14" w:rsidRDefault="00000000">
            <w:pPr>
              <w:tabs>
                <w:tab w:val="left" w:pos="1874"/>
              </w:tabs>
              <w:ind w:right="7" w:hanging="2"/>
              <w:jc w:val="center"/>
              <w:rPr>
                <w:rFonts w:ascii="Tw Cen MT" w:eastAsia="Times New Roman" w:hAnsi="Tw Cen MT"/>
                <w:b w:val="0"/>
                <w:bCs w:val="0"/>
                <w:sz w:val="20"/>
                <w:szCs w:val="20"/>
                <w:lang w:eastAsia="id-ID"/>
              </w:rPr>
            </w:pPr>
            <w:r>
              <w:rPr>
                <w:rFonts w:ascii="Tw Cen MT" w:eastAsia="Times New Roman" w:hAnsi="Tw Cen MT"/>
                <w:sz w:val="20"/>
                <w:szCs w:val="20"/>
                <w:lang w:eastAsia="id-ID"/>
              </w:rPr>
              <w:t>PEG 400</w:t>
            </w:r>
          </w:p>
        </w:tc>
        <w:tc>
          <w:tcPr>
            <w:tcW w:w="992" w:type="dxa"/>
          </w:tcPr>
          <w:p w14:paraId="56DD20A6"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24</w:t>
            </w:r>
          </w:p>
        </w:tc>
        <w:tc>
          <w:tcPr>
            <w:tcW w:w="993" w:type="dxa"/>
          </w:tcPr>
          <w:p w14:paraId="7C3A689A"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24</w:t>
            </w:r>
          </w:p>
        </w:tc>
        <w:tc>
          <w:tcPr>
            <w:tcW w:w="1134" w:type="dxa"/>
          </w:tcPr>
          <w:p w14:paraId="67CBD627"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24</w:t>
            </w:r>
          </w:p>
        </w:tc>
      </w:tr>
      <w:tr w:rsidR="00A35C14" w14:paraId="6B429E94" w14:textId="77777777" w:rsidTr="003B72D7">
        <w:trPr>
          <w:trHeight w:val="264"/>
        </w:trPr>
        <w:tc>
          <w:tcPr>
            <w:cnfStyle w:val="001000000000" w:firstRow="0" w:lastRow="0" w:firstColumn="1" w:lastColumn="0" w:oddVBand="0" w:evenVBand="0" w:oddHBand="0" w:evenHBand="0" w:firstRowFirstColumn="0" w:firstRowLastColumn="0" w:lastRowFirstColumn="0" w:lastRowLastColumn="0"/>
            <w:tcW w:w="1271" w:type="dxa"/>
          </w:tcPr>
          <w:p w14:paraId="5EC83D53" w14:textId="77777777" w:rsidR="00A35C14" w:rsidRDefault="00000000">
            <w:pPr>
              <w:tabs>
                <w:tab w:val="left" w:pos="1874"/>
              </w:tabs>
              <w:ind w:hanging="2"/>
              <w:jc w:val="center"/>
              <w:rPr>
                <w:rFonts w:ascii="Tw Cen MT" w:eastAsia="Times New Roman" w:hAnsi="Tw Cen MT"/>
                <w:bCs w:val="0"/>
                <w:sz w:val="20"/>
                <w:szCs w:val="20"/>
                <w:lang w:eastAsia="id-ID"/>
              </w:rPr>
            </w:pPr>
            <w:r>
              <w:rPr>
                <w:rFonts w:ascii="Tw Cen MT" w:hAnsi="Tw Cen MT"/>
                <w:sz w:val="20"/>
                <w:szCs w:val="20"/>
                <w:lang w:eastAsia="id-ID"/>
              </w:rPr>
              <w:t>VCO</w:t>
            </w:r>
          </w:p>
        </w:tc>
        <w:tc>
          <w:tcPr>
            <w:tcW w:w="992" w:type="dxa"/>
          </w:tcPr>
          <w:p w14:paraId="42E59203"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eastAsia="id-ID"/>
              </w:rPr>
              <w:t>3</w:t>
            </w:r>
          </w:p>
        </w:tc>
        <w:tc>
          <w:tcPr>
            <w:tcW w:w="993" w:type="dxa"/>
          </w:tcPr>
          <w:p w14:paraId="7C1F5667"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eastAsia="id-ID"/>
              </w:rPr>
              <w:t>3</w:t>
            </w:r>
          </w:p>
        </w:tc>
        <w:tc>
          <w:tcPr>
            <w:tcW w:w="1134" w:type="dxa"/>
          </w:tcPr>
          <w:p w14:paraId="59429B09"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eastAsia="id-ID"/>
              </w:rPr>
              <w:t>3</w:t>
            </w:r>
          </w:p>
        </w:tc>
      </w:tr>
      <w:tr w:rsidR="00A35C14" w14:paraId="72979322" w14:textId="77777777" w:rsidTr="003B72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71" w:type="dxa"/>
          </w:tcPr>
          <w:p w14:paraId="75CA8CB2" w14:textId="77777777" w:rsidR="00A35C14" w:rsidRDefault="00000000">
            <w:pPr>
              <w:tabs>
                <w:tab w:val="left" w:pos="1874"/>
              </w:tabs>
              <w:ind w:hanging="2"/>
              <w:jc w:val="center"/>
              <w:rPr>
                <w:rFonts w:ascii="Tw Cen MT" w:eastAsia="Times New Roman" w:hAnsi="Tw Cen MT"/>
                <w:bCs w:val="0"/>
                <w:sz w:val="20"/>
                <w:szCs w:val="20"/>
                <w:lang w:eastAsia="id-ID"/>
              </w:rPr>
            </w:pPr>
            <w:r>
              <w:rPr>
                <w:rFonts w:ascii="Tw Cen MT" w:hAnsi="Tw Cen MT"/>
                <w:sz w:val="20"/>
                <w:szCs w:val="20"/>
                <w:lang w:val="en-GB"/>
              </w:rPr>
              <w:t>Span 80</w:t>
            </w:r>
          </w:p>
        </w:tc>
        <w:tc>
          <w:tcPr>
            <w:tcW w:w="992" w:type="dxa"/>
          </w:tcPr>
          <w:p w14:paraId="76848F4F"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val="en-GB"/>
              </w:rPr>
              <w:t>1</w:t>
            </w:r>
          </w:p>
        </w:tc>
        <w:tc>
          <w:tcPr>
            <w:tcW w:w="993" w:type="dxa"/>
          </w:tcPr>
          <w:p w14:paraId="567AB346"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val="en-GB"/>
              </w:rPr>
              <w:t>1</w:t>
            </w:r>
          </w:p>
        </w:tc>
        <w:tc>
          <w:tcPr>
            <w:tcW w:w="1134" w:type="dxa"/>
          </w:tcPr>
          <w:p w14:paraId="3C3C5BB9" w14:textId="77777777" w:rsidR="00A35C14" w:rsidRDefault="00000000">
            <w:pPr>
              <w:tabs>
                <w:tab w:val="left" w:pos="1874"/>
              </w:tabs>
              <w:ind w:hanging="2"/>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sz w:val="20"/>
                <w:szCs w:val="20"/>
                <w:lang w:eastAsia="id-ID"/>
              </w:rPr>
            </w:pPr>
            <w:r>
              <w:rPr>
                <w:rFonts w:ascii="Tw Cen MT" w:hAnsi="Tw Cen MT"/>
                <w:sz w:val="20"/>
                <w:szCs w:val="20"/>
                <w:lang w:val="en-GB"/>
              </w:rPr>
              <w:t>1</w:t>
            </w:r>
          </w:p>
        </w:tc>
      </w:tr>
      <w:tr w:rsidR="00A35C14" w14:paraId="3AB417F0" w14:textId="77777777" w:rsidTr="003B72D7">
        <w:trPr>
          <w:trHeight w:val="257"/>
        </w:trPr>
        <w:tc>
          <w:tcPr>
            <w:cnfStyle w:val="001000000000" w:firstRow="0" w:lastRow="0" w:firstColumn="1" w:lastColumn="0" w:oddVBand="0" w:evenVBand="0" w:oddHBand="0" w:evenHBand="0" w:firstRowFirstColumn="0" w:firstRowLastColumn="0" w:lastRowFirstColumn="0" w:lastRowLastColumn="0"/>
            <w:tcW w:w="1271" w:type="dxa"/>
          </w:tcPr>
          <w:p w14:paraId="3BF471C5" w14:textId="77777777" w:rsidR="00A35C14" w:rsidRDefault="00000000">
            <w:pPr>
              <w:tabs>
                <w:tab w:val="left" w:pos="1874"/>
              </w:tabs>
              <w:ind w:hanging="2"/>
              <w:jc w:val="center"/>
              <w:rPr>
                <w:rFonts w:ascii="Tw Cen MT" w:eastAsia="Times New Roman" w:hAnsi="Tw Cen MT"/>
                <w:sz w:val="20"/>
                <w:szCs w:val="20"/>
                <w:lang w:eastAsia="id-ID"/>
              </w:rPr>
            </w:pPr>
            <w:r>
              <w:rPr>
                <w:rFonts w:ascii="Tw Cen MT" w:eastAsia="Times New Roman" w:hAnsi="Tw Cen MT"/>
                <w:sz w:val="20"/>
                <w:szCs w:val="20"/>
                <w:lang w:eastAsia="id-ID"/>
              </w:rPr>
              <w:t>Destilled water ad</w:t>
            </w:r>
          </w:p>
        </w:tc>
        <w:tc>
          <w:tcPr>
            <w:tcW w:w="992" w:type="dxa"/>
          </w:tcPr>
          <w:p w14:paraId="2BBD5421"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 xml:space="preserve"> 100</w:t>
            </w:r>
          </w:p>
        </w:tc>
        <w:tc>
          <w:tcPr>
            <w:tcW w:w="993" w:type="dxa"/>
          </w:tcPr>
          <w:p w14:paraId="19514D5B"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100</w:t>
            </w:r>
          </w:p>
        </w:tc>
        <w:tc>
          <w:tcPr>
            <w:tcW w:w="1134" w:type="dxa"/>
          </w:tcPr>
          <w:p w14:paraId="5F116DF4" w14:textId="77777777" w:rsidR="00A35C14" w:rsidRDefault="00000000">
            <w:pPr>
              <w:tabs>
                <w:tab w:val="left" w:pos="1874"/>
              </w:tabs>
              <w:ind w:hanging="2"/>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id-ID"/>
              </w:rPr>
            </w:pPr>
            <w:r>
              <w:rPr>
                <w:rFonts w:ascii="Tw Cen MT" w:eastAsia="Times New Roman" w:hAnsi="Tw Cen MT"/>
                <w:sz w:val="20"/>
                <w:szCs w:val="20"/>
                <w:lang w:eastAsia="id-ID"/>
              </w:rPr>
              <w:t>100</w:t>
            </w:r>
          </w:p>
        </w:tc>
      </w:tr>
    </w:tbl>
    <w:p w14:paraId="2A07140D" w14:textId="77777777" w:rsidR="00A35C14" w:rsidRDefault="00A35C14">
      <w:pPr>
        <w:pStyle w:val="Judul1"/>
        <w:spacing w:before="0" w:after="0"/>
        <w:rPr>
          <w:rFonts w:ascii="Tw Cen MT" w:hAnsi="Tw Cen MT"/>
          <w:sz w:val="24"/>
          <w:szCs w:val="24"/>
        </w:rPr>
      </w:pPr>
    </w:p>
    <w:p w14:paraId="6C990399" w14:textId="77777777" w:rsidR="00A35C14" w:rsidRDefault="00000000">
      <w:pPr>
        <w:spacing w:after="0"/>
        <w:jc w:val="both"/>
        <w:rPr>
          <w:rFonts w:ascii="Tw Cen MT" w:hAnsi="Tw Cen MT"/>
          <w:b/>
          <w:bCs/>
          <w:sz w:val="24"/>
          <w:szCs w:val="24"/>
        </w:rPr>
      </w:pPr>
      <w:r>
        <w:rPr>
          <w:rFonts w:ascii="Tw Cen MT" w:hAnsi="Tw Cen MT"/>
          <w:b/>
          <w:bCs/>
          <w:sz w:val="24"/>
          <w:szCs w:val="24"/>
        </w:rPr>
        <w:t>Physical Evaluation</w:t>
      </w:r>
    </w:p>
    <w:p w14:paraId="452BEC5C" w14:textId="77777777" w:rsidR="00A35C14" w:rsidRDefault="00000000" w:rsidP="003B72D7">
      <w:pPr>
        <w:spacing w:after="0" w:line="240" w:lineRule="auto"/>
        <w:jc w:val="both"/>
        <w:rPr>
          <w:rFonts w:ascii="Tw Cen MT" w:hAnsi="Tw Cen MT"/>
          <w:bCs/>
          <w:sz w:val="24"/>
          <w:szCs w:val="24"/>
        </w:rPr>
      </w:pPr>
      <w:r>
        <w:rPr>
          <w:rFonts w:ascii="Tw Cen MT" w:hAnsi="Tw Cen MT"/>
          <w:sz w:val="24"/>
          <w:szCs w:val="24"/>
        </w:rPr>
        <w:t xml:space="preserve">Organoleptic assay: </w:t>
      </w:r>
      <w:r>
        <w:rPr>
          <w:rFonts w:ascii="Tw Cen MT" w:hAnsi="Tw Cen MT"/>
          <w:bCs/>
          <w:sz w:val="24"/>
          <w:szCs w:val="24"/>
        </w:rPr>
        <w:t xml:space="preserve">Organoleptic tests were conducted by examining the color, odor, and clarity of the preparation through sensory observation. A clear appearance indicated that the preparation had small droplet sizes </w:t>
      </w:r>
      <w:r>
        <w:rPr>
          <w:rFonts w:ascii="Tw Cen MT" w:hAnsi="Tw Cen MT"/>
          <w:bCs/>
          <w:color w:val="000000"/>
          <w:sz w:val="24"/>
          <w:szCs w:val="24"/>
        </w:rPr>
        <w:t>[13]</w:t>
      </w:r>
      <w:r>
        <w:rPr>
          <w:rFonts w:ascii="Tw Cen MT" w:hAnsi="Tw Cen MT"/>
          <w:bCs/>
          <w:sz w:val="24"/>
          <w:szCs w:val="24"/>
        </w:rPr>
        <w:t>.</w:t>
      </w:r>
    </w:p>
    <w:p w14:paraId="41174EED" w14:textId="77777777" w:rsidR="00A35C14" w:rsidRDefault="00000000" w:rsidP="003B72D7">
      <w:pPr>
        <w:spacing w:after="0" w:line="240" w:lineRule="auto"/>
        <w:jc w:val="both"/>
        <w:rPr>
          <w:rFonts w:ascii="Tw Cen MT" w:hAnsi="Tw Cen MT"/>
          <w:bCs/>
          <w:sz w:val="24"/>
          <w:szCs w:val="24"/>
        </w:rPr>
      </w:pPr>
      <w:r>
        <w:rPr>
          <w:rFonts w:ascii="Tw Cen MT" w:hAnsi="Tw Cen MT"/>
          <w:sz w:val="24"/>
          <w:szCs w:val="24"/>
        </w:rPr>
        <w:t xml:space="preserve">pH Determination: </w:t>
      </w:r>
      <w:r>
        <w:rPr>
          <w:rFonts w:ascii="Tw Cen MT" w:hAnsi="Tw Cen MT"/>
          <w:bCs/>
          <w:sz w:val="24"/>
          <w:szCs w:val="24"/>
        </w:rPr>
        <w:t xml:space="preserve">The pH meter was calibrated using solutions with pH values of 4.0 and 6.8. After calibration, the electrodes were rinsed with distilled water (aquadest), and then the pH meter was immersed in the preparation. The pH reading was allowed to stabilize on the meter’s display. The pH range considered safe and tolerable for the skin in this preparation was between 4.2 and 7.0 </w:t>
      </w:r>
      <w:r>
        <w:rPr>
          <w:rFonts w:ascii="Tw Cen MT" w:hAnsi="Tw Cen MT"/>
          <w:bCs/>
          <w:color w:val="000000"/>
          <w:sz w:val="24"/>
          <w:szCs w:val="24"/>
        </w:rPr>
        <w:t>[13]</w:t>
      </w:r>
      <w:r>
        <w:rPr>
          <w:rFonts w:ascii="Tw Cen MT" w:hAnsi="Tw Cen MT"/>
          <w:bCs/>
          <w:sz w:val="24"/>
          <w:szCs w:val="24"/>
        </w:rPr>
        <w:t>.</w:t>
      </w:r>
    </w:p>
    <w:p w14:paraId="363BBB35" w14:textId="77777777" w:rsidR="00A35C14" w:rsidRDefault="00000000" w:rsidP="003B72D7">
      <w:pPr>
        <w:spacing w:after="0" w:line="240" w:lineRule="auto"/>
        <w:jc w:val="both"/>
        <w:rPr>
          <w:rFonts w:ascii="Tw Cen MT" w:hAnsi="Tw Cen MT"/>
          <w:bCs/>
          <w:sz w:val="24"/>
          <w:szCs w:val="24"/>
        </w:rPr>
      </w:pPr>
      <w:r>
        <w:rPr>
          <w:rFonts w:ascii="Tw Cen MT" w:hAnsi="Tw Cen MT"/>
          <w:sz w:val="24"/>
          <w:szCs w:val="24"/>
        </w:rPr>
        <w:t>Viscosity determination:</w:t>
      </w:r>
      <w:r>
        <w:rPr>
          <w:rFonts w:ascii="Tw Cen MT" w:hAnsi="Tw Cen MT"/>
          <w:bCs/>
          <w:sz w:val="24"/>
          <w:szCs w:val="24"/>
        </w:rPr>
        <w:t xml:space="preserve"> Viscosity was measured using an LV-type Brookfield viscometer at room temperature. A 50 mL sample of the preparation was placed in a beaker and positioned in the available solvent trap. Spindle size 62 was used with a rotation speed of 50 rpm. The viscosity value was displayed on the Brookfield viscometer's readout.</w:t>
      </w:r>
    </w:p>
    <w:p w14:paraId="1F1A2400" w14:textId="77777777" w:rsidR="003B72D7" w:rsidRDefault="00000000" w:rsidP="003B72D7">
      <w:pPr>
        <w:spacing w:after="0" w:line="240" w:lineRule="auto"/>
        <w:jc w:val="both"/>
        <w:rPr>
          <w:rFonts w:ascii="Tw Cen MT" w:hAnsi="Tw Cen MT"/>
          <w:bCs/>
          <w:sz w:val="24"/>
          <w:szCs w:val="24"/>
        </w:rPr>
      </w:pPr>
      <w:r>
        <w:rPr>
          <w:rFonts w:ascii="Tw Cen MT" w:hAnsi="Tw Cen MT"/>
          <w:sz w:val="24"/>
          <w:szCs w:val="24"/>
        </w:rPr>
        <w:t>Particle size analyzer, Polidispesity Indeks (PI), and Potential Zeta:</w:t>
      </w:r>
      <w:r>
        <w:rPr>
          <w:rFonts w:ascii="Tw Cen MT" w:hAnsi="Tw Cen MT"/>
          <w:bCs/>
          <w:sz w:val="24"/>
          <w:szCs w:val="24"/>
        </w:rPr>
        <w:t xml:space="preserve"> The globule size, PI, and zeta potetial was determined using a Particle Size Analyzer (Horiba Scientific SZ-100).</w:t>
      </w:r>
    </w:p>
    <w:p w14:paraId="65C74F1C" w14:textId="77777777" w:rsidR="003B72D7" w:rsidRDefault="003B72D7" w:rsidP="003B72D7">
      <w:pPr>
        <w:spacing w:after="0" w:line="240" w:lineRule="auto"/>
        <w:jc w:val="both"/>
        <w:rPr>
          <w:rFonts w:ascii="Tw Cen MT" w:hAnsi="Tw Cen MT"/>
          <w:bCs/>
          <w:sz w:val="24"/>
          <w:szCs w:val="24"/>
        </w:rPr>
      </w:pPr>
    </w:p>
    <w:p w14:paraId="374B23B5" w14:textId="48E3C9F3" w:rsidR="00A35C14" w:rsidRPr="003B72D7" w:rsidRDefault="00000000" w:rsidP="003B72D7">
      <w:pPr>
        <w:spacing w:after="0" w:line="240" w:lineRule="auto"/>
        <w:jc w:val="both"/>
        <w:rPr>
          <w:rFonts w:ascii="Tw Cen MT" w:hAnsi="Tw Cen MT"/>
          <w:b/>
          <w:bCs/>
          <w:sz w:val="24"/>
          <w:szCs w:val="24"/>
        </w:rPr>
      </w:pPr>
      <w:r w:rsidRPr="003B72D7">
        <w:rPr>
          <w:rFonts w:ascii="Tw Cen MT" w:hAnsi="Tw Cen MT"/>
          <w:b/>
          <w:bCs/>
          <w:sz w:val="24"/>
          <w:szCs w:val="24"/>
        </w:rPr>
        <w:t>Antibacterial Assay</w:t>
      </w:r>
    </w:p>
    <w:p w14:paraId="58A5A2F4" w14:textId="77777777" w:rsidR="00A35C14" w:rsidRDefault="00000000" w:rsidP="003B72D7">
      <w:pPr>
        <w:spacing w:after="0" w:line="240" w:lineRule="auto"/>
        <w:jc w:val="both"/>
        <w:rPr>
          <w:rFonts w:ascii="Tw Cen MT" w:hAnsi="Tw Cen MT" w:cs="Arial"/>
          <w:color w:val="000000"/>
          <w:sz w:val="24"/>
          <w:szCs w:val="24"/>
        </w:rPr>
      </w:pPr>
      <w:r>
        <w:rPr>
          <w:rFonts w:ascii="Tw Cen MT" w:hAnsi="Tw Cen MT" w:cs="Arial"/>
          <w:sz w:val="24"/>
          <w:szCs w:val="24"/>
        </w:rPr>
        <w:t xml:space="preserve">Antibaterial assay of nanoemulsion turmeric oil against </w:t>
      </w:r>
      <w:r>
        <w:rPr>
          <w:rFonts w:ascii="Tw Cen MT" w:hAnsi="Tw Cen MT" w:cs="Arial"/>
          <w:i/>
          <w:iCs/>
          <w:sz w:val="24"/>
          <w:szCs w:val="24"/>
        </w:rPr>
        <w:t>E. coli, S. Aureus, S. Pyogenes, P. aeruginosa</w:t>
      </w:r>
      <w:r>
        <w:rPr>
          <w:rFonts w:ascii="Tw Cen MT" w:hAnsi="Tw Cen MT" w:cs="Arial"/>
          <w:sz w:val="24"/>
          <w:szCs w:val="24"/>
        </w:rPr>
        <w:t xml:space="preserve"> by we diffusion method. 50 </w:t>
      </w:r>
      <w:r>
        <w:rPr>
          <w:rFonts w:ascii="Tw Cen MT" w:hAnsi="Tw Cen MT" w:cs="Arial"/>
          <w:color w:val="000000"/>
          <w:sz w:val="24"/>
          <w:szCs w:val="24"/>
        </w:rPr>
        <w:t xml:space="preserve">µL each formulation were added to the wells in solid medium Nutrient Agar (NA) with bacterial </w:t>
      </w:r>
      <w:r>
        <w:rPr>
          <w:rFonts w:ascii="Tw Cen MT" w:hAnsi="Tw Cen MT" w:cs="Arial"/>
          <w:color w:val="000000"/>
          <w:sz w:val="24"/>
          <w:szCs w:val="24"/>
        </w:rPr>
        <w:lastRenderedPageBreak/>
        <w:t>inoculum. Negative controls were also added to the wells. All plated were incubated at 37</w:t>
      </w:r>
      <w:r>
        <w:rPr>
          <w:rFonts w:ascii="Tw Cen MT" w:hAnsi="Tw Cen MT" w:cs="Arial"/>
          <w:color w:val="000000"/>
          <w:sz w:val="24"/>
          <w:szCs w:val="24"/>
          <w:vertAlign w:val="superscript"/>
        </w:rPr>
        <w:t>o</w:t>
      </w:r>
      <w:r>
        <w:rPr>
          <w:rFonts w:ascii="Tw Cen MT" w:hAnsi="Tw Cen MT" w:cs="Arial"/>
          <w:color w:val="000000"/>
          <w:sz w:val="24"/>
          <w:szCs w:val="24"/>
        </w:rPr>
        <w:t>C for 24 hours. The clear zone formed is measured using a caliper.</w:t>
      </w:r>
    </w:p>
    <w:p w14:paraId="6569606D" w14:textId="77777777" w:rsidR="00A35C14" w:rsidRDefault="00A35C14">
      <w:pPr>
        <w:spacing w:after="0"/>
        <w:jc w:val="both"/>
        <w:rPr>
          <w:rFonts w:ascii="Tw Cen MT" w:hAnsi="Tw Cen MT"/>
          <w:b/>
          <w:bCs/>
          <w:sz w:val="24"/>
          <w:szCs w:val="24"/>
        </w:rPr>
      </w:pPr>
    </w:p>
    <w:p w14:paraId="16A5241F" w14:textId="77777777" w:rsidR="00A35C14" w:rsidRDefault="00000000" w:rsidP="003B72D7">
      <w:pPr>
        <w:spacing w:after="0" w:line="240" w:lineRule="auto"/>
        <w:jc w:val="both"/>
        <w:rPr>
          <w:rFonts w:ascii="Tw Cen MT" w:eastAsia="Twentieth Century" w:hAnsi="Tw Cen MT" w:cs="Twentieth Century"/>
          <w:b/>
          <w:bCs/>
          <w:sz w:val="24"/>
          <w:szCs w:val="24"/>
        </w:rPr>
      </w:pPr>
      <w:r>
        <w:rPr>
          <w:rFonts w:ascii="Tw Cen MT" w:eastAsia="Twentieth Century" w:hAnsi="Tw Cen MT" w:cs="Twentieth Century"/>
          <w:b/>
          <w:bCs/>
          <w:sz w:val="24"/>
          <w:szCs w:val="24"/>
        </w:rPr>
        <w:t>RESULTS AND DISCUSSION</w:t>
      </w:r>
    </w:p>
    <w:p w14:paraId="586769AA" w14:textId="77777777" w:rsidR="00A35C14" w:rsidRDefault="00000000" w:rsidP="003B72D7">
      <w:pPr>
        <w:spacing w:after="0" w:line="240" w:lineRule="auto"/>
        <w:ind w:hanging="2"/>
        <w:jc w:val="both"/>
        <w:rPr>
          <w:rFonts w:ascii="Tw Cen MT" w:hAnsi="Tw Cen MT" w:cs="Arial"/>
          <w:sz w:val="24"/>
          <w:szCs w:val="24"/>
        </w:rPr>
      </w:pPr>
      <w:r>
        <w:rPr>
          <w:rFonts w:ascii="Tw Cen MT" w:hAnsi="Tw Cen MT" w:cs="Arial"/>
          <w:sz w:val="24"/>
          <w:szCs w:val="24"/>
        </w:rPr>
        <w:t xml:space="preserve">The results show pH of turmeric oil nano emulsion between 6,8-7,0. Viscosity of turmeric oil nanoemulsion between 23-26,8 cps, there are no precipitation after centrifugation test. Physical evaluation can be seen in Tabel 2. The result of antibacterial assay against </w:t>
      </w:r>
      <w:r>
        <w:rPr>
          <w:rFonts w:ascii="Tw Cen MT" w:hAnsi="Tw Cen MT" w:cs="Arial"/>
          <w:i/>
          <w:iCs/>
          <w:sz w:val="24"/>
          <w:szCs w:val="24"/>
        </w:rPr>
        <w:t>E. coli, S. Aureus, S. Pyogenes, P. aeruginosa</w:t>
      </w:r>
      <w:r>
        <w:rPr>
          <w:rFonts w:ascii="Tw Cen MT" w:hAnsi="Tw Cen MT" w:cs="Arial"/>
          <w:sz w:val="24"/>
          <w:szCs w:val="24"/>
        </w:rPr>
        <w:t xml:space="preserve"> can be seen in Table 3.</w:t>
      </w:r>
    </w:p>
    <w:p w14:paraId="124D85A3" w14:textId="77777777" w:rsidR="00A35C14" w:rsidRDefault="00000000">
      <w:pPr>
        <w:spacing w:after="0" w:line="240" w:lineRule="auto"/>
        <w:ind w:hanging="2"/>
        <w:jc w:val="both"/>
        <w:rPr>
          <w:rFonts w:ascii="Tw Cen MT" w:hAnsi="Tw Cen MT" w:cs="Arial"/>
          <w:sz w:val="24"/>
          <w:szCs w:val="24"/>
        </w:rPr>
      </w:pPr>
      <w:r>
        <w:rPr>
          <w:rFonts w:ascii="Tw Cen MT" w:hAnsi="Tw Cen MT" w:cs="Arial"/>
          <w:sz w:val="24"/>
          <w:szCs w:val="24"/>
        </w:rPr>
        <w:t xml:space="preserve">The preparation obtained based on organoleptic evaluation results all of formulation were thick liquid with yellow color with turmeric aromatic (Fig. 1). Yellow color is produced from the color of turmeric oil. Results of pH measurements of nanoemulsion turmeric oil between 6.8-7.0, where the pH is a normal pH for human body. Based on the results of viscosity measurements, the turmeric oil nanoemulsion viscosity value was 23–29 Cps. It is known that the requirements for viscosity values </w:t>
      </w:r>
      <w:r>
        <w:rPr>
          <w:rFonts w:ascii="Arial" w:hAnsi="Arial" w:cs="Arial"/>
          <w:sz w:val="24"/>
          <w:szCs w:val="24"/>
        </w:rPr>
        <w:t>​​</w:t>
      </w:r>
      <w:r>
        <w:rPr>
          <w:rFonts w:ascii="Tw Cen MT" w:hAnsi="Tw Cen MT" w:cs="Arial"/>
          <w:sz w:val="24"/>
          <w:szCs w:val="24"/>
        </w:rPr>
        <w:t>for nanoemulsion preparations range from 10-2000 Cps. This shows that the turmeric oil nenoemulsion preparation meets the viscosity requirements. Previous study has shown that a substance will be more stable the higher its viscosity because comparatively thick materials tend to make particle mobility more difficult</w:t>
      </w:r>
      <w:r>
        <w:rPr>
          <w:rFonts w:ascii="Tw Cen MT" w:hAnsi="Tw Cen MT" w:cs="Arial"/>
          <w:color w:val="000000"/>
          <w:sz w:val="24"/>
          <w:szCs w:val="24"/>
        </w:rPr>
        <w:t>[14]</w:t>
      </w:r>
      <w:r>
        <w:rPr>
          <w:rFonts w:ascii="Tw Cen MT" w:hAnsi="Tw Cen MT" w:cs="Arial"/>
          <w:sz w:val="24"/>
          <w:szCs w:val="24"/>
        </w:rPr>
        <w:t>. Stability analysis was performed after the nanoemulsion centrifugation about 3800 rpm in 30 minutes. Result show there are no precipitation after the centrifugation, the nanoemulsion was stable.</w:t>
      </w:r>
    </w:p>
    <w:p w14:paraId="430C80C0" w14:textId="77777777" w:rsidR="00A35C14" w:rsidRDefault="00000000">
      <w:pPr>
        <w:pStyle w:val="NormalWeb"/>
        <w:spacing w:before="0" w:beforeAutospacing="0" w:after="0" w:afterAutospacing="0"/>
        <w:ind w:hanging="2"/>
        <w:jc w:val="both"/>
        <w:rPr>
          <w:rFonts w:ascii="Tw Cen MT" w:hAnsi="Tw Cen MT" w:cs="Arial"/>
        </w:rPr>
      </w:pPr>
      <w:r>
        <w:rPr>
          <w:rFonts w:ascii="Tw Cen MT" w:hAnsi="Tw Cen MT" w:cs="Arial"/>
        </w:rPr>
        <w:t xml:space="preserve">The percent transmittance results for the three nanoemulsion formulations (F1, F2, and F3) indicate that all the formulations have excellent clarity. F1 and F2 both show a transmittance of 98.3%, while F3 is slightly lower at 97.2%. These high transmittance values suggest that the droplet sizes in all three formulations are very small, in the nanometer range. When the droplets are that small, the solution becomes </w:t>
      </w:r>
      <w:r>
        <w:rPr>
          <w:rFonts w:ascii="Tw Cen MT" w:hAnsi="Tw Cen MT" w:cs="Arial"/>
        </w:rPr>
        <w:t xml:space="preserve">more transparent, allowing more light to pass through. The fact that F1 and F2 have identical transmittance values suggests that these formulations are quite similar in terms of their clarity and stability. The slightly lower value for F3 might point to some minor differences in droplet size or the composition of the formulation, but it’s still within an acceptable range for nanoemulsions </w:t>
      </w:r>
      <w:r>
        <w:rPr>
          <w:rFonts w:ascii="Tw Cen MT" w:hAnsi="Tw Cen MT" w:cs="Arial"/>
          <w:color w:val="000000"/>
        </w:rPr>
        <w:t>[13]</w:t>
      </w:r>
      <w:r>
        <w:rPr>
          <w:rFonts w:ascii="Tw Cen MT" w:hAnsi="Tw Cen MT" w:cs="Arial"/>
        </w:rPr>
        <w:t>.</w:t>
      </w:r>
    </w:p>
    <w:p w14:paraId="51B42AFA" w14:textId="77777777" w:rsidR="00A35C14" w:rsidRDefault="00000000">
      <w:pPr>
        <w:pStyle w:val="NormalWeb"/>
        <w:spacing w:before="0" w:beforeAutospacing="0" w:after="0" w:afterAutospacing="0"/>
        <w:ind w:hanging="2"/>
        <w:jc w:val="both"/>
        <w:rPr>
          <w:rFonts w:ascii="Tw Cen MT" w:hAnsi="Tw Cen MT" w:cs="Arial"/>
        </w:rPr>
      </w:pPr>
      <w:r>
        <w:rPr>
          <w:rFonts w:ascii="Tw Cen MT" w:hAnsi="Tw Cen MT" w:cs="Arial"/>
        </w:rPr>
        <w:t>Overall, the results show that all three formulations are clear and stable, with good dispersions of small droplets. This is a good sign that the formulations have the right properties for use in pharmaceutical or cosmetic products, where clarity and stability are key.</w:t>
      </w:r>
    </w:p>
    <w:p w14:paraId="07E1A1E0" w14:textId="77777777" w:rsidR="00A35C14" w:rsidRDefault="00000000">
      <w:pPr>
        <w:spacing w:after="0" w:line="240" w:lineRule="auto"/>
        <w:ind w:hanging="2"/>
        <w:jc w:val="both"/>
        <w:rPr>
          <w:rFonts w:ascii="Tw Cen MT" w:hAnsi="Tw Cen MT" w:cs="Arial"/>
          <w:sz w:val="24"/>
          <w:szCs w:val="24"/>
        </w:rPr>
      </w:pPr>
      <w:r>
        <w:rPr>
          <w:rFonts w:ascii="Tw Cen MT" w:hAnsi="Tw Cen MT" w:cs="Arial"/>
          <w:sz w:val="24"/>
          <w:szCs w:val="24"/>
        </w:rPr>
        <w:t xml:space="preserve">The measurement of particle size of nanoemulsion showed that ranging from 23.2-298 nm (Fig 1). The smallest particle size was obtained at F1 (23.2 nm). The smaller particle size and the value of the Polydispersity Index, also known as the particle size distribution (PDI), indicate how the mix of surfactants affects the stability of nanoemulsions. The distribution of particle size is displayed by the polydispersity index value. The narrower the particle size dispersion indicated by a lower polydispersity index value, the more uniform the particle diameter size </w:t>
      </w:r>
      <w:r>
        <w:rPr>
          <w:rFonts w:ascii="Tw Cen MT" w:hAnsi="Tw Cen MT" w:cs="Arial"/>
          <w:color w:val="000000"/>
          <w:sz w:val="24"/>
          <w:szCs w:val="24"/>
        </w:rPr>
        <w:t>[15]. The stability of the nanoemulsion is also influenced by co-surfactant in addition to surfactant combination. A short chain alcohol known as a co-surfactant can assist in lowering the interface voltage between the water phase and the oil phase. [14]</w:t>
      </w:r>
    </w:p>
    <w:p w14:paraId="760BB4CF" w14:textId="77777777" w:rsidR="00A35C14" w:rsidRDefault="00000000" w:rsidP="003B72D7">
      <w:pPr>
        <w:spacing w:after="0" w:line="240" w:lineRule="auto"/>
        <w:ind w:hanging="2"/>
        <w:jc w:val="both"/>
        <w:rPr>
          <w:rFonts w:ascii="Tw Cen MT" w:hAnsi="Tw Cen MT" w:cs="Arial"/>
          <w:color w:val="000000"/>
          <w:sz w:val="24"/>
          <w:szCs w:val="24"/>
        </w:rPr>
      </w:pPr>
      <w:r>
        <w:rPr>
          <w:rFonts w:ascii="Tw Cen MT" w:hAnsi="Tw Cen MT" w:cs="Arial"/>
          <w:color w:val="000000"/>
          <w:sz w:val="24"/>
          <w:szCs w:val="24"/>
        </w:rPr>
        <w:t xml:space="preserve">The addition of other chemicals, pressure, solution concentration, molecular weight and size, bond strength between molecules, and temperature rise all have an impact on a liquid's viscosity [14]. The refractive index of the nanoemulsion preparate is measured in relation to the particle size-dependent changes in nanoemulsion clarity. Light that is smaller than the light's wavelength and is emulsion-sized will be able to flow through the product without refracting [14]. Particle size changes are caused by interactions between the particles, </w:t>
      </w:r>
      <w:r>
        <w:rPr>
          <w:rFonts w:ascii="Tw Cen MT" w:hAnsi="Tw Cen MT" w:cs="Arial"/>
          <w:color w:val="000000"/>
          <w:sz w:val="24"/>
          <w:szCs w:val="24"/>
        </w:rPr>
        <w:lastRenderedPageBreak/>
        <w:t>which leads to aggregation. Aggregation is caused by a rise in surface free energy [16].</w:t>
      </w:r>
    </w:p>
    <w:p w14:paraId="3A24705F" w14:textId="77777777" w:rsidR="00A35C14" w:rsidRDefault="00000000" w:rsidP="003B72D7">
      <w:pPr>
        <w:spacing w:after="0" w:line="240" w:lineRule="auto"/>
        <w:ind w:hanging="2"/>
        <w:jc w:val="both"/>
        <w:rPr>
          <w:rFonts w:ascii="Tw Cen MT" w:hAnsi="Tw Cen MT" w:cs="Arial"/>
          <w:sz w:val="24"/>
          <w:szCs w:val="24"/>
        </w:rPr>
      </w:pPr>
      <w:r>
        <w:rPr>
          <w:rFonts w:ascii="Tw Cen MT" w:hAnsi="Tw Cen MT" w:cs="Arial"/>
          <w:sz w:val="24"/>
          <w:szCs w:val="24"/>
        </w:rPr>
        <w:t xml:space="preserve">The antibacterial activities of turmeric oil nanoemulsion against positive and negative gram by wells diffusion methode. The results showed different of growth inhibition depending on concentration of turmeric oil. It was found the turmeric oil nanoemulsion exhibited maximum zone of inhibition against E. Coli in F3 (21.6 mm). The minimum zone of inhibition was shown against </w:t>
      </w:r>
      <w:r>
        <w:rPr>
          <w:rFonts w:ascii="Tw Cen MT" w:hAnsi="Tw Cen MT" w:cs="Arial"/>
          <w:i/>
          <w:iCs/>
          <w:sz w:val="24"/>
          <w:szCs w:val="24"/>
        </w:rPr>
        <w:t xml:space="preserve">P. Aeruginosa </w:t>
      </w:r>
      <w:r>
        <w:rPr>
          <w:rFonts w:ascii="Tw Cen MT" w:hAnsi="Tw Cen MT" w:cs="Arial"/>
          <w:sz w:val="24"/>
          <w:szCs w:val="24"/>
        </w:rPr>
        <w:t xml:space="preserve">in F1 (7.7 mm). The antibacterial activities of turmeric oil naomeulsion showed different of growth inhibition depending on concentration of turmeric oil and strain of bacterial </w:t>
      </w:r>
      <w:r>
        <w:rPr>
          <w:rFonts w:ascii="Tw Cen MT" w:hAnsi="Tw Cen MT" w:cs="Arial"/>
          <w:color w:val="000000"/>
          <w:sz w:val="24"/>
          <w:szCs w:val="24"/>
        </w:rPr>
        <w:t>[17]</w:t>
      </w:r>
      <w:r>
        <w:rPr>
          <w:rFonts w:ascii="Tw Cen MT" w:hAnsi="Tw Cen MT" w:cs="Arial"/>
          <w:sz w:val="24"/>
          <w:szCs w:val="24"/>
        </w:rPr>
        <w:t xml:space="preserve">. </w:t>
      </w:r>
    </w:p>
    <w:p w14:paraId="14A9D194" w14:textId="302D0950" w:rsidR="00A35C14" w:rsidRDefault="00000000" w:rsidP="003B72D7">
      <w:pPr>
        <w:spacing w:after="0" w:line="240" w:lineRule="auto"/>
        <w:ind w:hanging="2"/>
        <w:jc w:val="both"/>
        <w:rPr>
          <w:rFonts w:ascii="Tw Cen MT" w:hAnsi="Tw Cen MT"/>
          <w:sz w:val="24"/>
          <w:szCs w:val="24"/>
        </w:rPr>
      </w:pPr>
      <w:r>
        <w:rPr>
          <w:rFonts w:ascii="Tw Cen MT" w:hAnsi="Tw Cen MT" w:cs="Arial"/>
          <w:sz w:val="24"/>
          <w:szCs w:val="24"/>
        </w:rPr>
        <w:t>Turmeric oil restrained the growth of Gram-positive and gram-negatives bacteria</w:t>
      </w:r>
      <w:r w:rsidR="00E35DCC">
        <w:rPr>
          <w:rFonts w:ascii="Tw Cen MT" w:hAnsi="Tw Cen MT" w:cs="Arial"/>
          <w:sz w:val="24"/>
          <w:szCs w:val="24"/>
        </w:rPr>
        <w:t xml:space="preserve"> </w:t>
      </w:r>
      <w:r w:rsidR="00E35DCC">
        <w:rPr>
          <w:rFonts w:ascii="Tw Cen MT" w:hAnsi="Tw Cen MT" w:cs="Arial"/>
          <w:color w:val="000000"/>
          <w:sz w:val="24"/>
          <w:szCs w:val="24"/>
        </w:rPr>
        <w:t>[18][19</w:t>
      </w:r>
      <w:proofErr w:type="gramStart"/>
      <w:r w:rsidR="00E35DCC">
        <w:rPr>
          <w:rFonts w:ascii="Tw Cen MT" w:hAnsi="Tw Cen MT" w:cs="Arial"/>
          <w:color w:val="000000"/>
          <w:sz w:val="24"/>
          <w:szCs w:val="24"/>
        </w:rPr>
        <w:t>].</w:t>
      </w:r>
      <w:r>
        <w:rPr>
          <w:rFonts w:ascii="Tw Cen MT" w:hAnsi="Tw Cen MT" w:cs="Arial"/>
          <w:sz w:val="24"/>
          <w:szCs w:val="24"/>
        </w:rPr>
        <w:t>.</w:t>
      </w:r>
      <w:proofErr w:type="gramEnd"/>
      <w:r>
        <w:rPr>
          <w:rFonts w:ascii="Tw Cen MT" w:hAnsi="Tw Cen MT" w:cs="Arial"/>
          <w:sz w:val="24"/>
          <w:szCs w:val="24"/>
        </w:rPr>
        <w:t xml:space="preserve"> The components of turmeric oil </w:t>
      </w:r>
      <w:proofErr w:type="gramStart"/>
      <w:r>
        <w:rPr>
          <w:rFonts w:ascii="Tw Cen MT" w:hAnsi="Tw Cen MT" w:cs="Arial"/>
          <w:sz w:val="24"/>
          <w:szCs w:val="24"/>
        </w:rPr>
        <w:t>has</w:t>
      </w:r>
      <w:proofErr w:type="gramEnd"/>
      <w:r>
        <w:rPr>
          <w:rFonts w:ascii="Tw Cen MT" w:hAnsi="Tw Cen MT" w:cs="Arial"/>
          <w:sz w:val="24"/>
          <w:szCs w:val="24"/>
        </w:rPr>
        <w:t xml:space="preserve"> also indicated the antibacterial such as </w:t>
      </w:r>
      <w:r>
        <w:rPr>
          <w:rFonts w:ascii="Tw Cen MT" w:hAnsi="Tw Cen MT" w:cs="Arial"/>
          <w:i/>
          <w:iCs/>
          <w:color w:val="242021"/>
          <w:sz w:val="24"/>
          <w:szCs w:val="24"/>
        </w:rPr>
        <w:t>zingiberene</w:t>
      </w:r>
      <w:r>
        <w:rPr>
          <w:rFonts w:ascii="Tw Cen MT" w:hAnsi="Tw Cen MT" w:cs="Arial"/>
          <w:color w:val="242021"/>
          <w:sz w:val="24"/>
          <w:szCs w:val="24"/>
        </w:rPr>
        <w:t xml:space="preserve">, </w:t>
      </w:r>
      <w:proofErr w:type="spellStart"/>
      <w:r>
        <w:rPr>
          <w:rFonts w:ascii="Tw Cen MT" w:hAnsi="Tw Cen MT" w:cs="Arial"/>
          <w:i/>
          <w:iCs/>
          <w:color w:val="242021"/>
          <w:sz w:val="24"/>
          <w:szCs w:val="24"/>
        </w:rPr>
        <w:t>sesquiphellandrene</w:t>
      </w:r>
      <w:proofErr w:type="spellEnd"/>
      <w:r>
        <w:rPr>
          <w:rFonts w:ascii="Tw Cen MT" w:hAnsi="Tw Cen MT" w:cs="Arial"/>
          <w:color w:val="242021"/>
          <w:sz w:val="24"/>
          <w:szCs w:val="24"/>
        </w:rPr>
        <w:t xml:space="preserve">, </w:t>
      </w:r>
      <w:r>
        <w:rPr>
          <w:i/>
          <w:iCs/>
          <w:color w:val="242021"/>
          <w:sz w:val="24"/>
          <w:szCs w:val="24"/>
        </w:rPr>
        <w:t>β</w:t>
      </w:r>
      <w:r>
        <w:rPr>
          <w:rFonts w:ascii="Tw Cen MT" w:hAnsi="Tw Cen MT" w:cs="Arial"/>
          <w:i/>
          <w:iCs/>
          <w:color w:val="242021"/>
          <w:sz w:val="24"/>
          <w:szCs w:val="24"/>
        </w:rPr>
        <w:t>-turmerone</w:t>
      </w:r>
      <w:r>
        <w:rPr>
          <w:rFonts w:ascii="Tw Cen MT" w:hAnsi="Tw Cen MT" w:cs="Arial"/>
          <w:color w:val="242021"/>
          <w:sz w:val="24"/>
          <w:szCs w:val="24"/>
        </w:rPr>
        <w:t xml:space="preserve">, </w:t>
      </w:r>
      <w:r>
        <w:rPr>
          <w:i/>
          <w:iCs/>
          <w:color w:val="242021"/>
          <w:sz w:val="24"/>
          <w:szCs w:val="24"/>
        </w:rPr>
        <w:t>α</w:t>
      </w:r>
      <w:r>
        <w:rPr>
          <w:rFonts w:ascii="Tw Cen MT" w:hAnsi="Tw Cen MT" w:cs="Arial"/>
          <w:i/>
          <w:iCs/>
          <w:color w:val="242021"/>
          <w:sz w:val="24"/>
          <w:szCs w:val="24"/>
        </w:rPr>
        <w:t>-</w:t>
      </w:r>
      <w:proofErr w:type="spellStart"/>
      <w:r>
        <w:rPr>
          <w:rFonts w:ascii="Tw Cen MT" w:hAnsi="Tw Cen MT" w:cs="Arial"/>
          <w:i/>
          <w:iCs/>
          <w:color w:val="242021"/>
          <w:sz w:val="24"/>
          <w:szCs w:val="24"/>
        </w:rPr>
        <w:t>curcumen</w:t>
      </w:r>
      <w:proofErr w:type="spellEnd"/>
      <w:r>
        <w:rPr>
          <w:rFonts w:ascii="Tw Cen MT" w:hAnsi="Tw Cen MT" w:cs="Arial"/>
          <w:sz w:val="24"/>
          <w:szCs w:val="24"/>
        </w:rPr>
        <w:t xml:space="preserve"> </w:t>
      </w:r>
      <w:r>
        <w:rPr>
          <w:color w:val="000000"/>
          <w:sz w:val="24"/>
          <w:szCs w:val="24"/>
        </w:rPr>
        <w:t>α</w:t>
      </w:r>
      <w:r>
        <w:rPr>
          <w:rFonts w:ascii="Tw Cen MT" w:hAnsi="Tw Cen MT" w:cs="Arial"/>
          <w:color w:val="000000"/>
          <w:sz w:val="24"/>
          <w:szCs w:val="24"/>
        </w:rPr>
        <w:t xml:space="preserve">-phellandrene, camphor, eucalyptol, terpinolene, and </w:t>
      </w:r>
      <w:r>
        <w:rPr>
          <w:color w:val="000000"/>
          <w:sz w:val="24"/>
          <w:szCs w:val="24"/>
        </w:rPr>
        <w:t>α</w:t>
      </w:r>
      <w:r>
        <w:rPr>
          <w:rFonts w:ascii="Tw Cen MT" w:hAnsi="Tw Cen MT" w:cs="Arial"/>
          <w:color w:val="000000"/>
          <w:sz w:val="24"/>
          <w:szCs w:val="24"/>
        </w:rPr>
        <w:t xml:space="preserve">-pinene </w:t>
      </w:r>
      <w:r w:rsidR="00E35DCC">
        <w:rPr>
          <w:rFonts w:ascii="Tw Cen MT" w:hAnsi="Tw Cen MT" w:cs="Arial"/>
          <w:color w:val="000000"/>
          <w:sz w:val="24"/>
          <w:szCs w:val="24"/>
        </w:rPr>
        <w:t>[18][19][20].</w:t>
      </w:r>
    </w:p>
    <w:p w14:paraId="5B5D497A" w14:textId="77777777" w:rsidR="003B72D7" w:rsidRPr="003B72D7" w:rsidRDefault="003B72D7" w:rsidP="003B72D7">
      <w:pPr>
        <w:spacing w:after="0" w:line="240" w:lineRule="auto"/>
        <w:ind w:hanging="2"/>
        <w:jc w:val="both"/>
        <w:rPr>
          <w:rFonts w:ascii="Tw Cen MT" w:hAnsi="Tw Cen MT"/>
          <w:sz w:val="24"/>
          <w:szCs w:val="24"/>
        </w:rPr>
      </w:pPr>
    </w:p>
    <w:p w14:paraId="51D9E578" w14:textId="77777777" w:rsidR="00A35C14"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CONCLUSION</w:t>
      </w:r>
    </w:p>
    <w:p w14:paraId="2F450A1B" w14:textId="77777777" w:rsidR="00A35C14" w:rsidRDefault="00000000">
      <w:pPr>
        <w:spacing w:line="240" w:lineRule="auto"/>
        <w:jc w:val="both"/>
        <w:rPr>
          <w:rFonts w:ascii="Tw Cen MT" w:hAnsi="Tw Cen MT"/>
          <w:sz w:val="24"/>
          <w:szCs w:val="24"/>
        </w:rPr>
      </w:pPr>
      <w:r>
        <w:rPr>
          <w:rFonts w:ascii="Tw Cen MT" w:hAnsi="Tw Cen MT"/>
          <w:sz w:val="24"/>
          <w:szCs w:val="24"/>
        </w:rPr>
        <w:t xml:space="preserve">The turmeric oil nanoemulsion formulations demonstrated good physical characteristics, including appropriate pH (6.8–7.0), acceptable viscosity (23–29 Cps), uniform particle size distribution (23.2–298 nm), and physical stability after centrifugation. The presence of surfactants and co-surfactants played a key role in maintaining stability and uniformity of the emulsions. The formulations also showed clarity consistent with their particle sizes. Antibacterial testing revealed that the nanoemulsions had varying inhibitory effects against both Gram-positive and Gram-negative bacteria, depending on the concentration and bacterial strain. The highest antibacterial activity was observed against </w:t>
      </w:r>
      <w:r>
        <w:rPr>
          <w:rStyle w:val="Penekanan"/>
          <w:rFonts w:ascii="Tw Cen MT" w:hAnsi="Tw Cen MT"/>
          <w:sz w:val="24"/>
          <w:szCs w:val="24"/>
        </w:rPr>
        <w:t>E. coli</w:t>
      </w:r>
      <w:r>
        <w:rPr>
          <w:rFonts w:ascii="Tw Cen MT" w:hAnsi="Tw Cen MT"/>
          <w:sz w:val="24"/>
          <w:szCs w:val="24"/>
        </w:rPr>
        <w:t xml:space="preserve"> in F3, while the lowest was against </w:t>
      </w:r>
      <w:r>
        <w:rPr>
          <w:rStyle w:val="Penekanan"/>
          <w:rFonts w:ascii="Tw Cen MT" w:hAnsi="Tw Cen MT"/>
          <w:sz w:val="24"/>
          <w:szCs w:val="24"/>
        </w:rPr>
        <w:t>P. aeruginosa</w:t>
      </w:r>
      <w:r>
        <w:rPr>
          <w:rFonts w:ascii="Tw Cen MT" w:hAnsi="Tw Cen MT"/>
          <w:sz w:val="24"/>
          <w:szCs w:val="24"/>
        </w:rPr>
        <w:t xml:space="preserve"> in F1. These results suggest that turmeric oil nanoemulsions are stable and possess antibacterial potential influenced by formulation composition.</w:t>
      </w:r>
    </w:p>
    <w:p w14:paraId="06A17BAA" w14:textId="77777777" w:rsidR="00A35C14"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ACKNOWLEDGEMENT</w:t>
      </w:r>
    </w:p>
    <w:p w14:paraId="52A56DB4" w14:textId="742A8665" w:rsidR="00A35C14" w:rsidRDefault="00000000" w:rsidP="003B72D7">
      <w:pPr>
        <w:pStyle w:val="Judul1"/>
        <w:spacing w:before="0" w:after="0" w:line="240" w:lineRule="auto"/>
        <w:ind w:hanging="2"/>
        <w:jc w:val="both"/>
        <w:rPr>
          <w:rFonts w:ascii="Tw Cen MT" w:hAnsi="Tw Cen MT"/>
          <w:b w:val="0"/>
          <w:bCs/>
          <w:sz w:val="24"/>
          <w:szCs w:val="24"/>
        </w:rPr>
      </w:pPr>
      <w:r>
        <w:rPr>
          <w:rFonts w:ascii="Tw Cen MT" w:hAnsi="Tw Cen MT"/>
          <w:b w:val="0"/>
          <w:bCs/>
          <w:sz w:val="24"/>
          <w:szCs w:val="24"/>
        </w:rPr>
        <w:t xml:space="preserve">The authors would like to express their sincere gratitude to the </w:t>
      </w:r>
      <w:r>
        <w:rPr>
          <w:rStyle w:val="Kuat"/>
          <w:rFonts w:ascii="Tw Cen MT" w:hAnsi="Tw Cen MT"/>
          <w:sz w:val="24"/>
          <w:szCs w:val="24"/>
        </w:rPr>
        <w:t>Ministry of Education, Culture, Research, and Technology (Kementerian Pendidikan, Kebudayaan, Riset, dan Teknologi)</w:t>
      </w:r>
      <w:r>
        <w:rPr>
          <w:rFonts w:ascii="Tw Cen MT" w:hAnsi="Tw Cen MT"/>
          <w:sz w:val="24"/>
          <w:szCs w:val="24"/>
        </w:rPr>
        <w:t xml:space="preserve"> </w:t>
      </w:r>
      <w:r>
        <w:rPr>
          <w:rFonts w:ascii="Tw Cen MT" w:hAnsi="Tw Cen MT"/>
          <w:b w:val="0"/>
          <w:bCs/>
          <w:sz w:val="24"/>
          <w:szCs w:val="24"/>
        </w:rPr>
        <w:t>for funding this research through the</w:t>
      </w:r>
      <w:r>
        <w:rPr>
          <w:rFonts w:ascii="Tw Cen MT" w:hAnsi="Tw Cen MT"/>
          <w:sz w:val="24"/>
          <w:szCs w:val="24"/>
        </w:rPr>
        <w:t xml:space="preserve"> </w:t>
      </w:r>
      <w:r>
        <w:rPr>
          <w:rStyle w:val="Kuat"/>
          <w:rFonts w:ascii="Tw Cen MT" w:hAnsi="Tw Cen MT"/>
          <w:sz w:val="24"/>
          <w:szCs w:val="24"/>
        </w:rPr>
        <w:t>DRTPM Grant 2024</w:t>
      </w:r>
      <w:r>
        <w:rPr>
          <w:rFonts w:ascii="Tw Cen MT" w:hAnsi="Tw Cen MT"/>
          <w:sz w:val="24"/>
          <w:szCs w:val="24"/>
        </w:rPr>
        <w:t xml:space="preserve"> </w:t>
      </w:r>
      <w:r>
        <w:rPr>
          <w:rFonts w:ascii="Tw Cen MT" w:hAnsi="Tw Cen MT"/>
          <w:b w:val="0"/>
          <w:bCs/>
          <w:sz w:val="24"/>
          <w:szCs w:val="24"/>
        </w:rPr>
        <w:t>under the Beginner Lecturer Research Scheme (Penelitian Dosen Pemula). This support has been invaluable in enabling the completion of this study.</w:t>
      </w:r>
    </w:p>
    <w:p w14:paraId="3706A474" w14:textId="77777777" w:rsidR="003B72D7" w:rsidRPr="003B72D7" w:rsidRDefault="003B72D7" w:rsidP="003B72D7">
      <w:pPr>
        <w:spacing w:after="0"/>
      </w:pPr>
    </w:p>
    <w:p w14:paraId="2F6E717A" w14:textId="1E257054" w:rsidR="00A35C14" w:rsidRDefault="000077D5" w:rsidP="003B72D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REFERENCES</w:t>
      </w:r>
    </w:p>
    <w:p w14:paraId="27B50A8C" w14:textId="033D2128"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Khan FA, Khan NM, Ahmad S, Nasruddin, Aziz R, Ullah I, Almehmadi M, Allahyani M, Alsaiari AA, Aljuaid A.</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Phytochemical Profiling, Antioxidant, Antimicrobial and Cholinesterase Inhibitory Effects of Essential Oils Isolated from the Leaves of Artemisia scoparia and Artemisia absinthium</w:t>
      </w:r>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Pharmaceuticals (Basel</w:t>
      </w:r>
      <w:r>
        <w:rPr>
          <w:rFonts w:ascii="Tw Cen MT" w:hAnsi="Tw Cen MT"/>
          <w:sz w:val="24"/>
          <w:szCs w:val="24"/>
        </w:rPr>
        <w:t>)</w:t>
      </w:r>
      <w:r w:rsidR="003B72D7">
        <w:rPr>
          <w:rFonts w:ascii="Tw Cen MT" w:hAnsi="Tw Cen MT"/>
          <w:sz w:val="24"/>
          <w:szCs w:val="24"/>
        </w:rPr>
        <w:t>,</w:t>
      </w:r>
      <w:r>
        <w:rPr>
          <w:rFonts w:ascii="Tw Cen MT" w:hAnsi="Tw Cen MT"/>
          <w:sz w:val="24"/>
          <w:szCs w:val="24"/>
        </w:rPr>
        <w:t xml:space="preserve"> 2022;15. </w:t>
      </w:r>
      <w:hyperlink r:id="rId18" w:history="1">
        <w:r>
          <w:rPr>
            <w:rStyle w:val="Hyperlink"/>
            <w:rFonts w:ascii="Tw Cen MT" w:hAnsi="Tw Cen MT"/>
            <w:sz w:val="24"/>
            <w:szCs w:val="24"/>
          </w:rPr>
          <w:t>https://doi.org/10.3390/ph15101221</w:t>
        </w:r>
      </w:hyperlink>
      <w:r>
        <w:rPr>
          <w:rFonts w:ascii="Tw Cen MT" w:hAnsi="Tw Cen MT"/>
          <w:sz w:val="24"/>
          <w:szCs w:val="24"/>
        </w:rPr>
        <w:t>.</w:t>
      </w:r>
    </w:p>
    <w:p w14:paraId="67625EF2" w14:textId="659F3CF2"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proofErr w:type="spellStart"/>
      <w:r>
        <w:rPr>
          <w:rFonts w:ascii="Tw Cen MT" w:hAnsi="Tw Cen MT"/>
          <w:sz w:val="24"/>
          <w:szCs w:val="24"/>
        </w:rPr>
        <w:t>Sasidharan</w:t>
      </w:r>
      <w:proofErr w:type="spellEnd"/>
      <w:r>
        <w:rPr>
          <w:rFonts w:ascii="Tw Cen MT" w:hAnsi="Tw Cen MT"/>
          <w:sz w:val="24"/>
          <w:szCs w:val="24"/>
        </w:rPr>
        <w:t xml:space="preserve"> A, </w:t>
      </w:r>
      <w:proofErr w:type="spellStart"/>
      <w:r>
        <w:rPr>
          <w:rFonts w:ascii="Tw Cen MT" w:hAnsi="Tw Cen MT"/>
          <w:sz w:val="24"/>
          <w:szCs w:val="24"/>
        </w:rPr>
        <w:t>Kuttithodi</w:t>
      </w:r>
      <w:proofErr w:type="spellEnd"/>
      <w:r>
        <w:rPr>
          <w:rFonts w:ascii="Tw Cen MT" w:hAnsi="Tw Cen MT"/>
          <w:sz w:val="24"/>
          <w:szCs w:val="24"/>
        </w:rPr>
        <w:t xml:space="preserve"> AM, </w:t>
      </w:r>
      <w:proofErr w:type="spellStart"/>
      <w:r>
        <w:rPr>
          <w:rFonts w:ascii="Tw Cen MT" w:hAnsi="Tw Cen MT"/>
          <w:sz w:val="24"/>
          <w:szCs w:val="24"/>
        </w:rPr>
        <w:t>Famurewa</w:t>
      </w:r>
      <w:proofErr w:type="spellEnd"/>
      <w:r>
        <w:rPr>
          <w:rFonts w:ascii="Tw Cen MT" w:hAnsi="Tw Cen MT"/>
          <w:sz w:val="24"/>
          <w:szCs w:val="24"/>
        </w:rPr>
        <w:t xml:space="preserve"> AC, Pathrose B. </w:t>
      </w:r>
      <w:r w:rsidR="003B72D7">
        <w:rPr>
          <w:rFonts w:ascii="Tw Cen MT" w:hAnsi="Tw Cen MT"/>
          <w:sz w:val="24"/>
          <w:szCs w:val="24"/>
        </w:rPr>
        <w:t>“</w:t>
      </w:r>
      <w:r>
        <w:rPr>
          <w:rFonts w:ascii="Tw Cen MT" w:hAnsi="Tw Cen MT"/>
          <w:sz w:val="24"/>
          <w:szCs w:val="24"/>
        </w:rPr>
        <w:t xml:space="preserve">Chemical Composition and Biological Activities of the Leaf Essential Oils of Curcuma longa, Curcuma </w:t>
      </w:r>
      <w:proofErr w:type="spellStart"/>
      <w:r>
        <w:rPr>
          <w:rFonts w:ascii="Tw Cen MT" w:hAnsi="Tw Cen MT"/>
          <w:sz w:val="24"/>
          <w:szCs w:val="24"/>
        </w:rPr>
        <w:t>aromatica</w:t>
      </w:r>
      <w:proofErr w:type="spellEnd"/>
      <w:r>
        <w:rPr>
          <w:rFonts w:ascii="Tw Cen MT" w:hAnsi="Tw Cen MT"/>
          <w:sz w:val="24"/>
          <w:szCs w:val="24"/>
        </w:rPr>
        <w:t xml:space="preserve"> and Curcuma</w:t>
      </w:r>
      <w:r w:rsidR="003B72D7">
        <w:rPr>
          <w:rFonts w:ascii="Tw Cen MT" w:hAnsi="Tw Cen MT"/>
          <w:sz w:val="24"/>
          <w:szCs w:val="24"/>
        </w:rPr>
        <w:t xml:space="preserve"> </w:t>
      </w:r>
      <w:r>
        <w:rPr>
          <w:rFonts w:ascii="Tw Cen MT" w:hAnsi="Tw Cen MT"/>
          <w:sz w:val="24"/>
          <w:szCs w:val="24"/>
        </w:rPr>
        <w:t>angustifolia</w:t>
      </w:r>
      <w:r w:rsidR="003B72D7">
        <w:rPr>
          <w:rFonts w:ascii="Tw Cen MT" w:hAnsi="Tw Cen MT"/>
          <w:sz w:val="24"/>
          <w:szCs w:val="24"/>
        </w:rPr>
        <w:t>”,</w:t>
      </w:r>
      <w:r w:rsidR="00E35DCC">
        <w:rPr>
          <w:rFonts w:ascii="Tw Cen MT" w:hAnsi="Tw Cen MT"/>
          <w:sz w:val="24"/>
          <w:szCs w:val="24"/>
        </w:rPr>
        <w:t xml:space="preserve"> </w:t>
      </w:r>
      <w:r w:rsidR="00E35DCC" w:rsidRPr="003B72D7">
        <w:rPr>
          <w:rFonts w:ascii="Tw Cen MT" w:hAnsi="Tw Cen MT"/>
          <w:i/>
          <w:iCs/>
          <w:sz w:val="24"/>
          <w:szCs w:val="24"/>
        </w:rPr>
        <w:t>Antibiotics (Basel)</w:t>
      </w:r>
      <w:r w:rsidR="003B72D7">
        <w:rPr>
          <w:rFonts w:ascii="Tw Cen MT" w:hAnsi="Tw Cen MT"/>
          <w:sz w:val="24"/>
          <w:szCs w:val="24"/>
        </w:rPr>
        <w:t>, vol. 3, no. 11, pp</w:t>
      </w:r>
      <w:r>
        <w:rPr>
          <w:rFonts w:ascii="Tw Cen MT" w:hAnsi="Tw Cen MT"/>
          <w:sz w:val="24"/>
          <w:szCs w:val="24"/>
        </w:rPr>
        <w:t>1–14</w:t>
      </w:r>
      <w:r w:rsidR="003B72D7">
        <w:rPr>
          <w:rFonts w:ascii="Tw Cen MT" w:hAnsi="Tw Cen MT"/>
          <w:sz w:val="24"/>
          <w:szCs w:val="24"/>
        </w:rPr>
        <w:t>, 2022.</w:t>
      </w:r>
    </w:p>
    <w:p w14:paraId="3521C714" w14:textId="52597560"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Mara G, Gonçalves S, Barros PP.</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The essential oil of Curcuma longa rhizomes as an antimicrobial and its composition by Gas Chromatography/Mass Spectrometry</w:t>
      </w:r>
      <w:r w:rsidR="003B72D7">
        <w:rPr>
          <w:rFonts w:ascii="Tw Cen MT" w:hAnsi="Tw Cen MT"/>
          <w:sz w:val="24"/>
          <w:szCs w:val="24"/>
        </w:rPr>
        <w:t>”,</w:t>
      </w:r>
      <w:r>
        <w:rPr>
          <w:rFonts w:ascii="Tw Cen MT" w:hAnsi="Tw Cen MT"/>
          <w:sz w:val="24"/>
          <w:szCs w:val="24"/>
        </w:rPr>
        <w:t xml:space="preserve"> </w:t>
      </w:r>
      <w:r w:rsidR="000077D5" w:rsidRPr="003B72D7">
        <w:rPr>
          <w:rFonts w:ascii="Tw Cen MT" w:hAnsi="Tw Cen MT"/>
          <w:i/>
          <w:iCs/>
          <w:sz w:val="24"/>
          <w:szCs w:val="24"/>
        </w:rPr>
        <w:t xml:space="preserve">Rev. </w:t>
      </w:r>
      <w:proofErr w:type="spellStart"/>
      <w:r w:rsidR="000077D5" w:rsidRPr="003B72D7">
        <w:rPr>
          <w:rFonts w:ascii="Tw Cen MT" w:hAnsi="Tw Cen MT"/>
          <w:i/>
          <w:iCs/>
          <w:sz w:val="24"/>
          <w:szCs w:val="24"/>
        </w:rPr>
        <w:t>Ciênc</w:t>
      </w:r>
      <w:proofErr w:type="spellEnd"/>
      <w:r w:rsidR="000077D5" w:rsidRPr="003B72D7">
        <w:rPr>
          <w:rFonts w:ascii="Tw Cen MT" w:hAnsi="Tw Cen MT"/>
          <w:i/>
          <w:iCs/>
          <w:sz w:val="24"/>
          <w:szCs w:val="24"/>
        </w:rPr>
        <w:t xml:space="preserve">. </w:t>
      </w:r>
      <w:proofErr w:type="spellStart"/>
      <w:r w:rsidR="000077D5" w:rsidRPr="003B72D7">
        <w:rPr>
          <w:rFonts w:ascii="Tw Cen MT" w:hAnsi="Tw Cen MT"/>
          <w:i/>
          <w:iCs/>
          <w:sz w:val="24"/>
          <w:szCs w:val="24"/>
        </w:rPr>
        <w:t>Méd</w:t>
      </w:r>
      <w:proofErr w:type="spellEnd"/>
      <w:r w:rsidR="003B72D7">
        <w:rPr>
          <w:rFonts w:ascii="Tw Cen MT" w:hAnsi="Tw Cen MT"/>
          <w:sz w:val="24"/>
          <w:szCs w:val="24"/>
        </w:rPr>
        <w:t xml:space="preserve">, vol. 28, no.1, pp. </w:t>
      </w:r>
      <w:r w:rsidR="000077D5" w:rsidRPr="000077D5">
        <w:rPr>
          <w:rFonts w:ascii="Tw Cen MT" w:hAnsi="Tw Cen MT"/>
          <w:sz w:val="24"/>
          <w:szCs w:val="24"/>
        </w:rPr>
        <w:t>1-10</w:t>
      </w:r>
      <w:r w:rsidR="003B72D7">
        <w:rPr>
          <w:rFonts w:ascii="Tw Cen MT" w:hAnsi="Tw Cen MT"/>
          <w:sz w:val="24"/>
          <w:szCs w:val="24"/>
        </w:rPr>
        <w:t>, 2019.</w:t>
      </w:r>
    </w:p>
    <w:p w14:paraId="682E8BDC" w14:textId="1C132030"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Orellana-</w:t>
      </w:r>
      <w:proofErr w:type="spellStart"/>
      <w:r>
        <w:rPr>
          <w:rFonts w:ascii="Tw Cen MT" w:hAnsi="Tw Cen MT"/>
          <w:sz w:val="24"/>
          <w:szCs w:val="24"/>
        </w:rPr>
        <w:t>Paucar</w:t>
      </w:r>
      <w:proofErr w:type="spellEnd"/>
      <w:r>
        <w:rPr>
          <w:rFonts w:ascii="Tw Cen MT" w:hAnsi="Tw Cen MT"/>
          <w:sz w:val="24"/>
          <w:szCs w:val="24"/>
        </w:rPr>
        <w:t xml:space="preserve"> AM, Machado-Orellana MG.</w:t>
      </w:r>
      <w:r w:rsidR="003B72D7">
        <w:rPr>
          <w:rFonts w:ascii="Tw Cen MT" w:hAnsi="Tw Cen MT"/>
          <w:sz w:val="24"/>
          <w:szCs w:val="24"/>
        </w:rPr>
        <w:t>, “</w:t>
      </w:r>
      <w:r>
        <w:rPr>
          <w:rFonts w:ascii="Tw Cen MT" w:hAnsi="Tw Cen MT"/>
          <w:sz w:val="24"/>
          <w:szCs w:val="24"/>
        </w:rPr>
        <w:t>Pharmacological Profile, Bioactivities, and Safety of Turmeric Oil</w:t>
      </w:r>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Molecules</w:t>
      </w:r>
      <w:r w:rsidR="003B72D7">
        <w:rPr>
          <w:rFonts w:ascii="Tw Cen MT" w:hAnsi="Tw Cen MT"/>
          <w:sz w:val="24"/>
          <w:szCs w:val="24"/>
        </w:rPr>
        <w:t>, vol. 27, pp. 1-16,</w:t>
      </w:r>
      <w:r>
        <w:rPr>
          <w:rFonts w:ascii="Tw Cen MT" w:hAnsi="Tw Cen MT"/>
          <w:sz w:val="24"/>
          <w:szCs w:val="24"/>
        </w:rPr>
        <w:t xml:space="preserve"> 2022</w:t>
      </w:r>
      <w:r w:rsidR="003B72D7">
        <w:rPr>
          <w:rFonts w:ascii="Tw Cen MT" w:hAnsi="Tw Cen MT"/>
          <w:sz w:val="24"/>
          <w:szCs w:val="24"/>
        </w:rPr>
        <w:t xml:space="preserve">, </w:t>
      </w:r>
      <w:hyperlink r:id="rId19" w:history="1">
        <w:r>
          <w:rPr>
            <w:rStyle w:val="Hyperlink"/>
            <w:rFonts w:ascii="Tw Cen MT" w:hAnsi="Tw Cen MT"/>
            <w:sz w:val="24"/>
            <w:szCs w:val="24"/>
          </w:rPr>
          <w:t>https://doi.org/10.3390/molecules27165055</w:t>
        </w:r>
      </w:hyperlink>
      <w:r>
        <w:rPr>
          <w:rFonts w:ascii="Tw Cen MT" w:hAnsi="Tw Cen MT"/>
          <w:sz w:val="24"/>
          <w:szCs w:val="24"/>
        </w:rPr>
        <w:t>.</w:t>
      </w:r>
    </w:p>
    <w:p w14:paraId="2B2F1EC4" w14:textId="4A41A44E"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Hans V, Grover H, Deswal H, Agarwal P.</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 xml:space="preserve">Antimicrobial Efficacy of Various Essential Oils at Varying Concentrations against </w:t>
      </w:r>
      <w:proofErr w:type="spellStart"/>
      <w:r>
        <w:rPr>
          <w:rFonts w:ascii="Tw Cen MT" w:hAnsi="Tw Cen MT"/>
          <w:sz w:val="24"/>
          <w:szCs w:val="24"/>
        </w:rPr>
        <w:t>Periopathogen</w:t>
      </w:r>
      <w:proofErr w:type="spellEnd"/>
      <w:r>
        <w:rPr>
          <w:rFonts w:ascii="Tw Cen MT" w:hAnsi="Tw Cen MT"/>
          <w:sz w:val="24"/>
          <w:szCs w:val="24"/>
        </w:rPr>
        <w:t xml:space="preserve"> </w:t>
      </w:r>
      <w:proofErr w:type="spellStart"/>
      <w:r>
        <w:rPr>
          <w:rFonts w:ascii="Tw Cen MT" w:hAnsi="Tw Cen MT"/>
          <w:sz w:val="24"/>
          <w:szCs w:val="24"/>
        </w:rPr>
        <w:t>Porphyromonas</w:t>
      </w:r>
      <w:proofErr w:type="spellEnd"/>
      <w:r>
        <w:rPr>
          <w:rFonts w:ascii="Tw Cen MT" w:hAnsi="Tw Cen MT"/>
          <w:sz w:val="24"/>
          <w:szCs w:val="24"/>
        </w:rPr>
        <w:t xml:space="preserve"> </w:t>
      </w:r>
      <w:proofErr w:type="spellStart"/>
      <w:r>
        <w:rPr>
          <w:rFonts w:ascii="Tw Cen MT" w:hAnsi="Tw Cen MT"/>
          <w:sz w:val="24"/>
          <w:szCs w:val="24"/>
        </w:rPr>
        <w:t>gingivalis</w:t>
      </w:r>
      <w:proofErr w:type="spellEnd"/>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 xml:space="preserve">J Clin </w:t>
      </w:r>
      <w:proofErr w:type="spellStart"/>
      <w:r w:rsidRPr="003B72D7">
        <w:rPr>
          <w:rFonts w:ascii="Tw Cen MT" w:hAnsi="Tw Cen MT"/>
          <w:i/>
          <w:iCs/>
          <w:sz w:val="24"/>
          <w:szCs w:val="24"/>
        </w:rPr>
        <w:t>Diagn</w:t>
      </w:r>
      <w:proofErr w:type="spellEnd"/>
      <w:r w:rsidRPr="003B72D7">
        <w:rPr>
          <w:rFonts w:ascii="Tw Cen MT" w:hAnsi="Tw Cen MT"/>
          <w:i/>
          <w:iCs/>
          <w:sz w:val="24"/>
          <w:szCs w:val="24"/>
        </w:rPr>
        <w:t xml:space="preserve"> Res</w:t>
      </w:r>
      <w:r w:rsidR="003B72D7">
        <w:rPr>
          <w:rFonts w:ascii="Tw Cen MT" w:hAnsi="Tw Cen MT"/>
          <w:i/>
          <w:iCs/>
          <w:sz w:val="24"/>
          <w:szCs w:val="24"/>
        </w:rPr>
        <w:t>,</w:t>
      </w:r>
      <w:r>
        <w:rPr>
          <w:rFonts w:ascii="Tw Cen MT" w:hAnsi="Tw Cen MT"/>
          <w:sz w:val="24"/>
          <w:szCs w:val="24"/>
        </w:rPr>
        <w:t xml:space="preserve"> 2016</w:t>
      </w:r>
      <w:r w:rsidR="003B72D7">
        <w:rPr>
          <w:rFonts w:ascii="Tw Cen MT" w:hAnsi="Tw Cen MT"/>
          <w:sz w:val="24"/>
          <w:szCs w:val="24"/>
        </w:rPr>
        <w:t>,</w:t>
      </w:r>
      <w:r>
        <w:rPr>
          <w:rFonts w:ascii="Tw Cen MT" w:hAnsi="Tw Cen MT"/>
          <w:sz w:val="24"/>
          <w:szCs w:val="24"/>
        </w:rPr>
        <w:t xml:space="preserve"> </w:t>
      </w:r>
      <w:hyperlink r:id="rId20" w:history="1">
        <w:r>
          <w:rPr>
            <w:rStyle w:val="Hyperlink"/>
            <w:rFonts w:ascii="Tw Cen MT" w:hAnsi="Tw Cen MT"/>
            <w:sz w:val="24"/>
            <w:szCs w:val="24"/>
          </w:rPr>
          <w:t>https://doi.org/10.7860/JCDR/2016/18956.8435</w:t>
        </w:r>
      </w:hyperlink>
      <w:r>
        <w:rPr>
          <w:rFonts w:ascii="Tw Cen MT" w:hAnsi="Tw Cen MT"/>
          <w:sz w:val="24"/>
          <w:szCs w:val="24"/>
        </w:rPr>
        <w:t>.</w:t>
      </w:r>
    </w:p>
    <w:p w14:paraId="49BC0677" w14:textId="00499BE8"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Lee K-H, Kim BS, Keum K-S, Yu H-H, Kim Y-H, Chang B-S, Ra J-Y, Moon H-D, Seo B-R, Choi N-Y, You Y-O.</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Essential Oil of Curcuma longa Inhibits Streptococcus mutans Biofilm Formation</w:t>
      </w:r>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J Food Sci</w:t>
      </w:r>
      <w:r w:rsidR="003B72D7">
        <w:rPr>
          <w:rFonts w:ascii="Tw Cen MT" w:hAnsi="Tw Cen MT"/>
          <w:sz w:val="24"/>
          <w:szCs w:val="24"/>
        </w:rPr>
        <w:t>,</w:t>
      </w:r>
      <w:r>
        <w:rPr>
          <w:rFonts w:ascii="Tw Cen MT" w:hAnsi="Tw Cen MT"/>
          <w:sz w:val="24"/>
          <w:szCs w:val="24"/>
        </w:rPr>
        <w:t xml:space="preserve"> 2011</w:t>
      </w:r>
      <w:r w:rsidR="003B72D7">
        <w:rPr>
          <w:rFonts w:ascii="Tw Cen MT" w:hAnsi="Tw Cen MT"/>
          <w:sz w:val="24"/>
          <w:szCs w:val="24"/>
        </w:rPr>
        <w:t>,</w:t>
      </w:r>
      <w:r>
        <w:rPr>
          <w:rFonts w:ascii="Tw Cen MT" w:hAnsi="Tw Cen MT"/>
          <w:sz w:val="24"/>
          <w:szCs w:val="24"/>
        </w:rPr>
        <w:t xml:space="preserve"> </w:t>
      </w:r>
      <w:hyperlink r:id="rId21" w:history="1">
        <w:r>
          <w:rPr>
            <w:rStyle w:val="Hyperlink"/>
            <w:rFonts w:ascii="Tw Cen MT" w:hAnsi="Tw Cen MT"/>
            <w:sz w:val="24"/>
            <w:szCs w:val="24"/>
          </w:rPr>
          <w:t>https://doi.org/10.1111/j.1750-3841.2011.02427.x</w:t>
        </w:r>
      </w:hyperlink>
      <w:r>
        <w:rPr>
          <w:rFonts w:ascii="Tw Cen MT" w:hAnsi="Tw Cen MT"/>
          <w:sz w:val="24"/>
          <w:szCs w:val="24"/>
        </w:rPr>
        <w:t>.</w:t>
      </w:r>
    </w:p>
    <w:p w14:paraId="4D50E516" w14:textId="6FDA2EAE"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Teles A, Rosa T, Nascimento A, Abreu-Silva A, Calabrese K, Almeida-Souza F.</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Cinnamomum zeylanicum, Origanum vulgare, and Curcuma longa Essential Oils: Chemical Composition, Antimicrobial and Antileishmanial Activity</w:t>
      </w:r>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Evidence-Based Complementary and Alternative Medicine</w:t>
      </w:r>
      <w:r w:rsidR="003B72D7">
        <w:rPr>
          <w:rFonts w:ascii="Tw Cen MT" w:hAnsi="Tw Cen MT"/>
          <w:sz w:val="24"/>
          <w:szCs w:val="24"/>
        </w:rPr>
        <w:t>,</w:t>
      </w:r>
      <w:r>
        <w:rPr>
          <w:rFonts w:ascii="Tw Cen MT" w:hAnsi="Tw Cen MT"/>
          <w:sz w:val="24"/>
          <w:szCs w:val="24"/>
        </w:rPr>
        <w:t xml:space="preserve"> 2019</w:t>
      </w:r>
      <w:r w:rsidR="003B72D7">
        <w:rPr>
          <w:rFonts w:ascii="Tw Cen MT" w:hAnsi="Tw Cen MT"/>
          <w:sz w:val="24"/>
          <w:szCs w:val="24"/>
        </w:rPr>
        <w:t xml:space="preserve">, </w:t>
      </w:r>
      <w:hyperlink r:id="rId22" w:history="1">
        <w:r w:rsidR="003B72D7" w:rsidRPr="00F9161F">
          <w:rPr>
            <w:rStyle w:val="Hyperlink"/>
            <w:rFonts w:ascii="Tw Cen MT" w:hAnsi="Tw Cen MT"/>
            <w:sz w:val="24"/>
            <w:szCs w:val="24"/>
          </w:rPr>
          <w:t>https://doi.org/10.1155/2019/2421695</w:t>
        </w:r>
      </w:hyperlink>
      <w:r>
        <w:rPr>
          <w:rFonts w:ascii="Tw Cen MT" w:hAnsi="Tw Cen MT"/>
          <w:sz w:val="24"/>
          <w:szCs w:val="24"/>
        </w:rPr>
        <w:t>.</w:t>
      </w:r>
    </w:p>
    <w:p w14:paraId="33715F60" w14:textId="696CA44C"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Alvarez N, Angulo A, Martínez O.</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 xml:space="preserve">In vitro antibacterial activity of Curcuma longa (Zingiberaceae) against nosocomial bacteria in </w:t>
      </w:r>
      <w:proofErr w:type="spellStart"/>
      <w:r>
        <w:rPr>
          <w:rFonts w:ascii="Tw Cen MT" w:hAnsi="Tw Cen MT"/>
          <w:sz w:val="24"/>
          <w:szCs w:val="24"/>
        </w:rPr>
        <w:t>Montería</w:t>
      </w:r>
      <w:proofErr w:type="spellEnd"/>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Colombia. Rev Biol Trop</w:t>
      </w:r>
      <w:r w:rsidR="003B72D7">
        <w:rPr>
          <w:rFonts w:ascii="Tw Cen MT" w:hAnsi="Tw Cen MT"/>
          <w:sz w:val="24"/>
          <w:szCs w:val="24"/>
        </w:rPr>
        <w:t>, vol. 64,</w:t>
      </w:r>
      <w:r>
        <w:rPr>
          <w:rFonts w:ascii="Tw Cen MT" w:hAnsi="Tw Cen MT"/>
          <w:sz w:val="24"/>
          <w:szCs w:val="24"/>
        </w:rPr>
        <w:t xml:space="preserve"> 2016</w:t>
      </w:r>
      <w:r w:rsidR="003B72D7">
        <w:rPr>
          <w:rFonts w:ascii="Tw Cen MT" w:hAnsi="Tw Cen MT"/>
          <w:sz w:val="24"/>
          <w:szCs w:val="24"/>
        </w:rPr>
        <w:t>,</w:t>
      </w:r>
      <w:r>
        <w:rPr>
          <w:rFonts w:ascii="Tw Cen MT" w:hAnsi="Tw Cen MT"/>
          <w:sz w:val="24"/>
          <w:szCs w:val="24"/>
        </w:rPr>
        <w:t xml:space="preserve"> </w:t>
      </w:r>
      <w:hyperlink r:id="rId23" w:history="1">
        <w:r>
          <w:rPr>
            <w:rStyle w:val="Hyperlink"/>
            <w:rFonts w:ascii="Tw Cen MT" w:hAnsi="Tw Cen MT"/>
            <w:sz w:val="24"/>
            <w:szCs w:val="24"/>
          </w:rPr>
          <w:t>https://doi.org/10.15517/rbt.v64i3.20848</w:t>
        </w:r>
      </w:hyperlink>
      <w:r>
        <w:rPr>
          <w:rFonts w:ascii="Tw Cen MT" w:hAnsi="Tw Cen MT"/>
          <w:sz w:val="24"/>
          <w:szCs w:val="24"/>
        </w:rPr>
        <w:t>.</w:t>
      </w:r>
    </w:p>
    <w:p w14:paraId="1F64AC4F" w14:textId="07892719"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Donsì F, Annunziata M, Sessa M, Ferrari G.</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Nanoencapsulation of essential oils to enhance their antimicrobial activity in foods</w:t>
      </w:r>
      <w:r w:rsidR="003B72D7">
        <w:rPr>
          <w:rFonts w:ascii="Tw Cen MT" w:hAnsi="Tw Cen MT"/>
          <w:sz w:val="24"/>
          <w:szCs w:val="24"/>
        </w:rPr>
        <w:t>”,</w:t>
      </w:r>
      <w:r>
        <w:rPr>
          <w:rFonts w:ascii="Tw Cen MT" w:hAnsi="Tw Cen MT"/>
          <w:sz w:val="24"/>
          <w:szCs w:val="24"/>
        </w:rPr>
        <w:t xml:space="preserve"> </w:t>
      </w:r>
      <w:r w:rsidRPr="003B72D7">
        <w:rPr>
          <w:rFonts w:ascii="Tw Cen MT" w:hAnsi="Tw Cen MT"/>
          <w:i/>
          <w:iCs/>
          <w:sz w:val="24"/>
          <w:szCs w:val="24"/>
        </w:rPr>
        <w:t>LWT - Food Science and Technology</w:t>
      </w:r>
      <w:r w:rsidR="003B72D7">
        <w:rPr>
          <w:rFonts w:ascii="Tw Cen MT" w:hAnsi="Tw Cen MT"/>
          <w:sz w:val="24"/>
          <w:szCs w:val="24"/>
        </w:rPr>
        <w:t>, vol. 44, pp.</w:t>
      </w:r>
      <w:r>
        <w:rPr>
          <w:rFonts w:ascii="Tw Cen MT" w:hAnsi="Tw Cen MT"/>
          <w:sz w:val="24"/>
          <w:szCs w:val="24"/>
        </w:rPr>
        <w:t xml:space="preserve"> 1908–</w:t>
      </w:r>
      <w:r w:rsidR="00E35DCC">
        <w:rPr>
          <w:rFonts w:ascii="Tw Cen MT" w:hAnsi="Tw Cen MT"/>
          <w:sz w:val="24"/>
          <w:szCs w:val="24"/>
        </w:rPr>
        <w:t>19</w:t>
      </w:r>
      <w:r>
        <w:rPr>
          <w:rFonts w:ascii="Tw Cen MT" w:hAnsi="Tw Cen MT"/>
          <w:sz w:val="24"/>
          <w:szCs w:val="24"/>
        </w:rPr>
        <w:t>14</w:t>
      </w:r>
      <w:r w:rsidR="003B72D7">
        <w:rPr>
          <w:rFonts w:ascii="Tw Cen MT" w:hAnsi="Tw Cen MT"/>
          <w:sz w:val="24"/>
          <w:szCs w:val="24"/>
        </w:rPr>
        <w:t>, 2010,</w:t>
      </w:r>
      <w:r>
        <w:rPr>
          <w:rFonts w:ascii="Tw Cen MT" w:hAnsi="Tw Cen MT"/>
          <w:sz w:val="24"/>
          <w:szCs w:val="24"/>
        </w:rPr>
        <w:t xml:space="preserve"> </w:t>
      </w:r>
      <w:hyperlink r:id="rId24" w:history="1">
        <w:r>
          <w:rPr>
            <w:rStyle w:val="Hyperlink"/>
            <w:rFonts w:ascii="Tw Cen MT" w:hAnsi="Tw Cen MT"/>
            <w:sz w:val="24"/>
            <w:szCs w:val="24"/>
          </w:rPr>
          <w:t>https://doi.org/10.1016/j.lwt.2011.03.003</w:t>
        </w:r>
      </w:hyperlink>
      <w:r>
        <w:rPr>
          <w:rFonts w:ascii="Tw Cen MT" w:hAnsi="Tw Cen MT"/>
          <w:sz w:val="24"/>
          <w:szCs w:val="24"/>
        </w:rPr>
        <w:t>.</w:t>
      </w:r>
    </w:p>
    <w:p w14:paraId="68C50CE0" w14:textId="350F64BB"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Rai M, Ingle A.</w:t>
      </w:r>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w:t>
      </w:r>
      <w:r>
        <w:rPr>
          <w:rFonts w:ascii="Tw Cen MT" w:hAnsi="Tw Cen MT"/>
          <w:sz w:val="24"/>
          <w:szCs w:val="24"/>
        </w:rPr>
        <w:t>Role of nanotechnology in agriculture with special reference to management of insect pests</w:t>
      </w:r>
      <w:r w:rsidR="003B72D7">
        <w:rPr>
          <w:rFonts w:ascii="Tw Cen MT" w:hAnsi="Tw Cen MT"/>
          <w:sz w:val="24"/>
          <w:szCs w:val="24"/>
        </w:rPr>
        <w:t>”,</w:t>
      </w:r>
      <w:r>
        <w:rPr>
          <w:rFonts w:ascii="Tw Cen MT" w:hAnsi="Tw Cen MT"/>
          <w:sz w:val="24"/>
          <w:szCs w:val="24"/>
        </w:rPr>
        <w:t xml:space="preserve"> </w:t>
      </w:r>
      <w:proofErr w:type="spellStart"/>
      <w:r w:rsidRPr="003B72D7">
        <w:rPr>
          <w:rFonts w:ascii="Tw Cen MT" w:hAnsi="Tw Cen MT"/>
          <w:i/>
          <w:iCs/>
          <w:sz w:val="24"/>
          <w:szCs w:val="24"/>
        </w:rPr>
        <w:t>Appl</w:t>
      </w:r>
      <w:proofErr w:type="spellEnd"/>
      <w:r w:rsidRPr="003B72D7">
        <w:rPr>
          <w:rFonts w:ascii="Tw Cen MT" w:hAnsi="Tw Cen MT"/>
          <w:i/>
          <w:iCs/>
          <w:sz w:val="24"/>
          <w:szCs w:val="24"/>
        </w:rPr>
        <w:t xml:space="preserve"> </w:t>
      </w:r>
      <w:proofErr w:type="spellStart"/>
      <w:r w:rsidRPr="003B72D7">
        <w:rPr>
          <w:rFonts w:ascii="Tw Cen MT" w:hAnsi="Tw Cen MT"/>
          <w:i/>
          <w:iCs/>
          <w:sz w:val="24"/>
          <w:szCs w:val="24"/>
        </w:rPr>
        <w:t>Microbiol</w:t>
      </w:r>
      <w:proofErr w:type="spellEnd"/>
      <w:r w:rsidRPr="003B72D7">
        <w:rPr>
          <w:rFonts w:ascii="Tw Cen MT" w:hAnsi="Tw Cen MT"/>
          <w:i/>
          <w:iCs/>
          <w:sz w:val="24"/>
          <w:szCs w:val="24"/>
        </w:rPr>
        <w:t xml:space="preserve"> </w:t>
      </w:r>
      <w:proofErr w:type="spellStart"/>
      <w:r w:rsidRPr="003B72D7">
        <w:rPr>
          <w:rFonts w:ascii="Tw Cen MT" w:hAnsi="Tw Cen MT"/>
          <w:i/>
          <w:iCs/>
          <w:sz w:val="24"/>
          <w:szCs w:val="24"/>
        </w:rPr>
        <w:t>Biotechnol</w:t>
      </w:r>
      <w:proofErr w:type="spellEnd"/>
      <w:r w:rsidR="003B72D7">
        <w:rPr>
          <w:rFonts w:ascii="Tw Cen MT" w:hAnsi="Tw Cen MT"/>
          <w:sz w:val="24"/>
          <w:szCs w:val="24"/>
        </w:rPr>
        <w:t>,</w:t>
      </w:r>
      <w:r>
        <w:rPr>
          <w:rFonts w:ascii="Tw Cen MT" w:hAnsi="Tw Cen MT"/>
          <w:sz w:val="24"/>
          <w:szCs w:val="24"/>
        </w:rPr>
        <w:t xml:space="preserve"> </w:t>
      </w:r>
      <w:r w:rsidR="003B72D7">
        <w:rPr>
          <w:rFonts w:ascii="Tw Cen MT" w:hAnsi="Tw Cen MT"/>
          <w:sz w:val="24"/>
          <w:szCs w:val="24"/>
        </w:rPr>
        <w:t xml:space="preserve">vol. 94, </w:t>
      </w:r>
      <w:r>
        <w:rPr>
          <w:rFonts w:ascii="Tw Cen MT" w:hAnsi="Tw Cen MT"/>
          <w:sz w:val="24"/>
          <w:szCs w:val="24"/>
        </w:rPr>
        <w:t xml:space="preserve">2012. </w:t>
      </w:r>
      <w:hyperlink r:id="rId25" w:history="1">
        <w:r>
          <w:rPr>
            <w:rStyle w:val="Hyperlink"/>
            <w:rFonts w:ascii="Tw Cen MT" w:hAnsi="Tw Cen MT"/>
            <w:sz w:val="24"/>
            <w:szCs w:val="24"/>
          </w:rPr>
          <w:t>https://doi.org/10.1007/s00253-012-3969-4</w:t>
        </w:r>
      </w:hyperlink>
      <w:r>
        <w:rPr>
          <w:rFonts w:ascii="Tw Cen MT" w:hAnsi="Tw Cen MT"/>
          <w:sz w:val="24"/>
          <w:szCs w:val="24"/>
        </w:rPr>
        <w:t>.</w:t>
      </w:r>
    </w:p>
    <w:p w14:paraId="6A8BCDA8" w14:textId="49AA771D"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Donsì F, Ferrari G.</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Essential oil nanoemulsions as antimicrobial agents in food</w:t>
      </w:r>
      <w:r w:rsidR="000A759F">
        <w:rPr>
          <w:rFonts w:ascii="Tw Cen MT" w:hAnsi="Tw Cen MT"/>
          <w:sz w:val="24"/>
          <w:szCs w:val="24"/>
        </w:rPr>
        <w:t>”</w:t>
      </w:r>
      <w:r>
        <w:rPr>
          <w:rFonts w:ascii="Tw Cen MT" w:hAnsi="Tw Cen MT"/>
          <w:sz w:val="24"/>
          <w:szCs w:val="24"/>
        </w:rPr>
        <w:t xml:space="preserve">. </w:t>
      </w:r>
      <w:r w:rsidRPr="000A759F">
        <w:rPr>
          <w:rFonts w:ascii="Tw Cen MT" w:hAnsi="Tw Cen MT"/>
          <w:i/>
          <w:iCs/>
          <w:sz w:val="24"/>
          <w:szCs w:val="24"/>
        </w:rPr>
        <w:t xml:space="preserve">J </w:t>
      </w:r>
      <w:proofErr w:type="spellStart"/>
      <w:r w:rsidRPr="000A759F">
        <w:rPr>
          <w:rFonts w:ascii="Tw Cen MT" w:hAnsi="Tw Cen MT"/>
          <w:i/>
          <w:iCs/>
          <w:sz w:val="24"/>
          <w:szCs w:val="24"/>
        </w:rPr>
        <w:t>Biotechnol</w:t>
      </w:r>
      <w:proofErr w:type="spellEnd"/>
      <w:r w:rsidR="000A759F">
        <w:rPr>
          <w:rFonts w:ascii="Tw Cen MT" w:hAnsi="Tw Cen MT"/>
          <w:i/>
          <w:iCs/>
          <w:sz w:val="24"/>
          <w:szCs w:val="24"/>
        </w:rPr>
        <w:t>,</w:t>
      </w:r>
      <w:r w:rsidR="000A759F">
        <w:rPr>
          <w:rFonts w:ascii="Tw Cen MT" w:hAnsi="Tw Cen MT"/>
          <w:sz w:val="24"/>
          <w:szCs w:val="24"/>
        </w:rPr>
        <w:t xml:space="preserve"> vol. 233,</w:t>
      </w:r>
      <w:r>
        <w:rPr>
          <w:rFonts w:ascii="Tw Cen MT" w:hAnsi="Tw Cen MT"/>
          <w:sz w:val="24"/>
          <w:szCs w:val="24"/>
        </w:rPr>
        <w:t xml:space="preserve"> 2016. </w:t>
      </w:r>
      <w:hyperlink r:id="rId26" w:history="1">
        <w:r>
          <w:rPr>
            <w:rStyle w:val="Hyperlink"/>
            <w:rFonts w:ascii="Tw Cen MT" w:hAnsi="Tw Cen MT"/>
            <w:sz w:val="24"/>
            <w:szCs w:val="24"/>
          </w:rPr>
          <w:t>https://doi.org/10.1016/j.jbiotec.2016.07.005</w:t>
        </w:r>
      </w:hyperlink>
      <w:r>
        <w:rPr>
          <w:rFonts w:ascii="Tw Cen MT" w:hAnsi="Tw Cen MT"/>
          <w:sz w:val="24"/>
          <w:szCs w:val="24"/>
        </w:rPr>
        <w:t>.</w:t>
      </w:r>
    </w:p>
    <w:p w14:paraId="105D8F89" w14:textId="541C3219"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Pandya Mrsc S.</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proofErr w:type="spellStart"/>
      <w:r w:rsidR="000A759F">
        <w:rPr>
          <w:rFonts w:ascii="Tw Cen MT" w:hAnsi="Tw Cen MT"/>
          <w:sz w:val="24"/>
          <w:szCs w:val="24"/>
        </w:rPr>
        <w:t>Nanoemulsion</w:t>
      </w:r>
      <w:proofErr w:type="spellEnd"/>
      <w:r w:rsidR="000A759F">
        <w:rPr>
          <w:rFonts w:ascii="Tw Cen MT" w:hAnsi="Tw Cen MT"/>
          <w:sz w:val="24"/>
          <w:szCs w:val="24"/>
        </w:rPr>
        <w:t xml:space="preserve"> </w:t>
      </w:r>
      <w:proofErr w:type="gramStart"/>
      <w:r w:rsidR="000A759F">
        <w:rPr>
          <w:rFonts w:ascii="Tw Cen MT" w:hAnsi="Tw Cen MT"/>
          <w:sz w:val="24"/>
          <w:szCs w:val="24"/>
        </w:rPr>
        <w:t>And</w:t>
      </w:r>
      <w:proofErr w:type="gramEnd"/>
      <w:r w:rsidR="000A759F">
        <w:rPr>
          <w:rFonts w:ascii="Tw Cen MT" w:hAnsi="Tw Cen MT"/>
          <w:sz w:val="24"/>
          <w:szCs w:val="24"/>
        </w:rPr>
        <w:t xml:space="preserve"> Their Antimicrobial Activity”,</w:t>
      </w:r>
      <w:r>
        <w:rPr>
          <w:rFonts w:ascii="Tw Cen MT" w:hAnsi="Tw Cen MT"/>
          <w:sz w:val="24"/>
          <w:szCs w:val="24"/>
        </w:rPr>
        <w:t xml:space="preserve"> </w:t>
      </w:r>
      <w:r w:rsidR="00E35DCC" w:rsidRPr="000A759F">
        <w:rPr>
          <w:rFonts w:ascii="Tw Cen MT" w:hAnsi="Tw Cen MT"/>
          <w:i/>
          <w:iCs/>
          <w:sz w:val="24"/>
          <w:szCs w:val="24"/>
        </w:rPr>
        <w:t>Pharmaceuticals (Basel)</w:t>
      </w:r>
      <w:r w:rsidR="000A759F">
        <w:rPr>
          <w:rFonts w:ascii="Tw Cen MT" w:hAnsi="Tw Cen MT"/>
          <w:i/>
          <w:iCs/>
          <w:sz w:val="24"/>
          <w:szCs w:val="24"/>
        </w:rPr>
        <w:t xml:space="preserve">, </w:t>
      </w:r>
      <w:r w:rsidR="000A759F">
        <w:rPr>
          <w:rFonts w:ascii="Tw Cen MT" w:hAnsi="Tw Cen MT"/>
          <w:sz w:val="24"/>
          <w:szCs w:val="24"/>
        </w:rPr>
        <w:t xml:space="preserve">vol. 15, </w:t>
      </w:r>
      <w:r w:rsidR="00E35DCC">
        <w:rPr>
          <w:rFonts w:ascii="Tw Cen MT" w:hAnsi="Tw Cen MT"/>
          <w:sz w:val="24"/>
          <w:szCs w:val="24"/>
        </w:rPr>
        <w:t>2022</w:t>
      </w:r>
      <w:r w:rsidR="000A759F">
        <w:rPr>
          <w:rFonts w:ascii="Tw Cen MT" w:hAnsi="Tw Cen MT"/>
          <w:sz w:val="24"/>
          <w:szCs w:val="24"/>
        </w:rPr>
        <w:t xml:space="preserve">, </w:t>
      </w:r>
      <w:r>
        <w:rPr>
          <w:rFonts w:ascii="Tw Cen MT" w:hAnsi="Tw Cen MT"/>
          <w:sz w:val="24"/>
          <w:szCs w:val="24"/>
        </w:rPr>
        <w:t xml:space="preserve"> </w:t>
      </w:r>
      <w:hyperlink r:id="rId27" w:history="1">
        <w:r>
          <w:rPr>
            <w:rStyle w:val="Hyperlink"/>
            <w:rFonts w:ascii="Tw Cen MT" w:hAnsi="Tw Cen MT"/>
            <w:sz w:val="24"/>
            <w:szCs w:val="24"/>
          </w:rPr>
          <w:t>https://doi.org/10.13140/RG.2.1.2274.6961</w:t>
        </w:r>
      </w:hyperlink>
      <w:r>
        <w:rPr>
          <w:rFonts w:ascii="Tw Cen MT" w:hAnsi="Tw Cen MT"/>
          <w:sz w:val="24"/>
          <w:szCs w:val="24"/>
        </w:rPr>
        <w:t>.</w:t>
      </w:r>
    </w:p>
    <w:p w14:paraId="0083091E" w14:textId="182F9720"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Hendrika Y, Aulia Z, Mardhiyani D.</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 xml:space="preserve">Formulation and Characterization of </w:t>
      </w:r>
      <w:proofErr w:type="spellStart"/>
      <w:r>
        <w:rPr>
          <w:rFonts w:ascii="Tw Cen MT" w:hAnsi="Tw Cen MT"/>
          <w:sz w:val="24"/>
          <w:szCs w:val="24"/>
        </w:rPr>
        <w:t>Nanoemulsion</w:t>
      </w:r>
      <w:proofErr w:type="spellEnd"/>
      <w:r>
        <w:rPr>
          <w:rFonts w:ascii="Tw Cen MT" w:hAnsi="Tw Cen MT"/>
          <w:sz w:val="24"/>
          <w:szCs w:val="24"/>
        </w:rPr>
        <w:t xml:space="preserve"> Turmeric oil</w:t>
      </w:r>
      <w:r w:rsidR="000A759F">
        <w:rPr>
          <w:rFonts w:ascii="Tw Cen MT" w:hAnsi="Tw Cen MT"/>
          <w:sz w:val="24"/>
          <w:szCs w:val="24"/>
        </w:rPr>
        <w:t>”</w:t>
      </w:r>
      <w:r>
        <w:rPr>
          <w:rFonts w:ascii="Tw Cen MT" w:hAnsi="Tw Cen MT"/>
          <w:sz w:val="24"/>
          <w:szCs w:val="24"/>
        </w:rPr>
        <w:t xml:space="preserve">. </w:t>
      </w:r>
      <w:proofErr w:type="gramStart"/>
      <w:r w:rsidRPr="000A759F">
        <w:rPr>
          <w:rFonts w:ascii="Tw Cen MT" w:hAnsi="Tw Cen MT"/>
          <w:i/>
          <w:iCs/>
          <w:sz w:val="24"/>
          <w:szCs w:val="24"/>
        </w:rPr>
        <w:t>JPK</w:t>
      </w:r>
      <w:r w:rsidRPr="000A759F">
        <w:rPr>
          <w:rFonts w:ascii="Arial" w:hAnsi="Arial" w:cs="Arial"/>
          <w:i/>
          <w:iCs/>
          <w:sz w:val="24"/>
          <w:szCs w:val="24"/>
        </w:rPr>
        <w:t> </w:t>
      </w:r>
      <w:r w:rsidRPr="000A759F">
        <w:rPr>
          <w:rFonts w:ascii="Tw Cen MT" w:hAnsi="Tw Cen MT"/>
          <w:i/>
          <w:iCs/>
          <w:sz w:val="24"/>
          <w:szCs w:val="24"/>
        </w:rPr>
        <w:t>:</w:t>
      </w:r>
      <w:proofErr w:type="gramEnd"/>
      <w:r w:rsidRPr="000A759F">
        <w:rPr>
          <w:rFonts w:ascii="Tw Cen MT" w:hAnsi="Tw Cen MT"/>
          <w:i/>
          <w:iCs/>
          <w:sz w:val="24"/>
          <w:szCs w:val="24"/>
        </w:rPr>
        <w:t xml:space="preserve"> </w:t>
      </w:r>
      <w:proofErr w:type="spellStart"/>
      <w:r w:rsidRPr="000A759F">
        <w:rPr>
          <w:rFonts w:ascii="Tw Cen MT" w:hAnsi="Tw Cen MT"/>
          <w:i/>
          <w:iCs/>
          <w:sz w:val="24"/>
          <w:szCs w:val="24"/>
        </w:rPr>
        <w:t>Jurnal</w:t>
      </w:r>
      <w:proofErr w:type="spellEnd"/>
      <w:r w:rsidRPr="000A759F">
        <w:rPr>
          <w:rFonts w:ascii="Tw Cen MT" w:hAnsi="Tw Cen MT"/>
          <w:i/>
          <w:iCs/>
          <w:sz w:val="24"/>
          <w:szCs w:val="24"/>
        </w:rPr>
        <w:t xml:space="preserve"> </w:t>
      </w:r>
      <w:proofErr w:type="spellStart"/>
      <w:r w:rsidRPr="000A759F">
        <w:rPr>
          <w:rFonts w:ascii="Tw Cen MT" w:hAnsi="Tw Cen MT"/>
          <w:i/>
          <w:iCs/>
          <w:sz w:val="24"/>
          <w:szCs w:val="24"/>
        </w:rPr>
        <w:t>Proteksi</w:t>
      </w:r>
      <w:proofErr w:type="spellEnd"/>
      <w:r w:rsidRPr="000A759F">
        <w:rPr>
          <w:rFonts w:ascii="Tw Cen MT" w:hAnsi="Tw Cen MT"/>
          <w:i/>
          <w:iCs/>
          <w:sz w:val="24"/>
          <w:szCs w:val="24"/>
        </w:rPr>
        <w:t xml:space="preserve"> Kesehatan</w:t>
      </w:r>
      <w:r w:rsidR="000A759F">
        <w:rPr>
          <w:rFonts w:ascii="Tw Cen MT" w:hAnsi="Tw Cen MT"/>
          <w:sz w:val="24"/>
          <w:szCs w:val="24"/>
        </w:rPr>
        <w:t>, vol. 12,</w:t>
      </w:r>
      <w:r>
        <w:rPr>
          <w:rFonts w:ascii="Tw Cen MT" w:hAnsi="Tw Cen MT"/>
          <w:sz w:val="24"/>
          <w:szCs w:val="24"/>
        </w:rPr>
        <w:t xml:space="preserve"> 2023</w:t>
      </w:r>
      <w:r w:rsidR="000A759F">
        <w:rPr>
          <w:rFonts w:ascii="Tw Cen MT" w:hAnsi="Tw Cen MT"/>
          <w:sz w:val="24"/>
          <w:szCs w:val="24"/>
        </w:rPr>
        <w:t>,</w:t>
      </w:r>
      <w:r>
        <w:rPr>
          <w:rFonts w:ascii="Tw Cen MT" w:hAnsi="Tw Cen MT"/>
          <w:sz w:val="24"/>
          <w:szCs w:val="24"/>
        </w:rPr>
        <w:t xml:space="preserve"> </w:t>
      </w:r>
      <w:hyperlink r:id="rId28" w:history="1">
        <w:r>
          <w:rPr>
            <w:rStyle w:val="Hyperlink"/>
            <w:rFonts w:ascii="Tw Cen MT" w:hAnsi="Tw Cen MT"/>
            <w:sz w:val="24"/>
            <w:szCs w:val="24"/>
          </w:rPr>
          <w:t>https://doi.org/10.36929/jpk.v12i2.733</w:t>
        </w:r>
      </w:hyperlink>
      <w:r>
        <w:rPr>
          <w:rFonts w:ascii="Tw Cen MT" w:hAnsi="Tw Cen MT"/>
          <w:sz w:val="24"/>
          <w:szCs w:val="24"/>
        </w:rPr>
        <w:t>.</w:t>
      </w:r>
    </w:p>
    <w:p w14:paraId="3E016D56" w14:textId="319182E9"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proofErr w:type="spellStart"/>
      <w:r>
        <w:rPr>
          <w:rFonts w:ascii="Tw Cen MT" w:hAnsi="Tw Cen MT"/>
          <w:sz w:val="24"/>
          <w:szCs w:val="24"/>
        </w:rPr>
        <w:t>Sondari</w:t>
      </w:r>
      <w:proofErr w:type="spellEnd"/>
      <w:r>
        <w:rPr>
          <w:rFonts w:ascii="Tw Cen MT" w:hAnsi="Tw Cen MT"/>
          <w:sz w:val="24"/>
          <w:szCs w:val="24"/>
        </w:rPr>
        <w:t xml:space="preserve"> D, </w:t>
      </w:r>
      <w:proofErr w:type="spellStart"/>
      <w:r>
        <w:rPr>
          <w:rFonts w:ascii="Tw Cen MT" w:hAnsi="Tw Cen MT"/>
          <w:sz w:val="24"/>
          <w:szCs w:val="24"/>
        </w:rPr>
        <w:t>Tursiloadi</w:t>
      </w:r>
      <w:proofErr w:type="spellEnd"/>
      <w:r>
        <w:rPr>
          <w:rFonts w:ascii="Tw Cen MT" w:hAnsi="Tw Cen MT"/>
          <w:sz w:val="24"/>
          <w:szCs w:val="24"/>
        </w:rPr>
        <w:t xml:space="preserve"> S.</w:t>
      </w:r>
      <w:r w:rsidR="000A759F">
        <w:rPr>
          <w:rFonts w:ascii="Tw Cen MT" w:hAnsi="Tw Cen MT"/>
          <w:sz w:val="24"/>
          <w:szCs w:val="24"/>
        </w:rPr>
        <w:t>, “</w:t>
      </w:r>
      <w:r>
        <w:rPr>
          <w:rFonts w:ascii="Tw Cen MT" w:hAnsi="Tw Cen MT"/>
          <w:sz w:val="24"/>
          <w:szCs w:val="24"/>
        </w:rPr>
        <w:t>The effect of surfactan on formulation and stability of nanoemulsion using extract of Centella Asiatica and Zingiber Officinale</w:t>
      </w:r>
      <w:r w:rsidR="000A759F">
        <w:rPr>
          <w:rFonts w:ascii="Tw Cen MT" w:hAnsi="Tw Cen MT"/>
          <w:sz w:val="24"/>
          <w:szCs w:val="24"/>
        </w:rPr>
        <w:t>”,</w:t>
      </w:r>
      <w:r>
        <w:rPr>
          <w:rFonts w:ascii="Tw Cen MT" w:hAnsi="Tw Cen MT"/>
          <w:sz w:val="24"/>
          <w:szCs w:val="24"/>
        </w:rPr>
        <w:t xml:space="preserve"> </w:t>
      </w:r>
      <w:r w:rsidRPr="000A759F">
        <w:rPr>
          <w:rFonts w:ascii="Tw Cen MT" w:hAnsi="Tw Cen MT"/>
          <w:i/>
          <w:iCs/>
          <w:sz w:val="24"/>
          <w:szCs w:val="24"/>
        </w:rPr>
        <w:t>AIP Conf Proc</w:t>
      </w:r>
      <w:r>
        <w:rPr>
          <w:rFonts w:ascii="Tw Cen MT" w:hAnsi="Tw Cen MT"/>
          <w:sz w:val="24"/>
          <w:szCs w:val="24"/>
        </w:rPr>
        <w:t>, vol. 2049, p. 30014</w:t>
      </w:r>
      <w:r w:rsidR="000A759F">
        <w:rPr>
          <w:rFonts w:ascii="Tw Cen MT" w:hAnsi="Tw Cen MT"/>
          <w:sz w:val="24"/>
          <w:szCs w:val="24"/>
        </w:rPr>
        <w:t xml:space="preserve">, </w:t>
      </w:r>
      <w:r w:rsidR="000A759F">
        <w:rPr>
          <w:rFonts w:ascii="Tw Cen MT" w:hAnsi="Tw Cen MT"/>
          <w:sz w:val="24"/>
          <w:szCs w:val="24"/>
        </w:rPr>
        <w:t xml:space="preserve">2018, </w:t>
      </w:r>
      <w:r>
        <w:rPr>
          <w:rFonts w:ascii="Tw Cen MT" w:hAnsi="Tw Cen MT"/>
          <w:sz w:val="24"/>
          <w:szCs w:val="24"/>
        </w:rPr>
        <w:t xml:space="preserve"> </w:t>
      </w:r>
      <w:hyperlink r:id="rId29" w:history="1">
        <w:r>
          <w:rPr>
            <w:rStyle w:val="Hyperlink"/>
            <w:rFonts w:ascii="Tw Cen MT" w:hAnsi="Tw Cen MT"/>
            <w:sz w:val="24"/>
            <w:szCs w:val="24"/>
          </w:rPr>
          <w:t>https://doi.org/10.1063/1.5082515</w:t>
        </w:r>
      </w:hyperlink>
      <w:r>
        <w:rPr>
          <w:rFonts w:ascii="Tw Cen MT" w:hAnsi="Tw Cen MT"/>
          <w:sz w:val="24"/>
          <w:szCs w:val="24"/>
        </w:rPr>
        <w:t>.</w:t>
      </w:r>
    </w:p>
    <w:p w14:paraId="57CC40E0" w14:textId="7847B7B5"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Yuan Y, Gao Y, Zhao J, Mao L.</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 xml:space="preserve">Characterization and stability evaluation of </w:t>
      </w:r>
      <w:r>
        <w:rPr>
          <w:rFonts w:cs="Calibri"/>
          <w:sz w:val="24"/>
          <w:szCs w:val="24"/>
        </w:rPr>
        <w:t>β</w:t>
      </w:r>
      <w:r>
        <w:rPr>
          <w:rFonts w:ascii="Tw Cen MT" w:hAnsi="Tw Cen MT"/>
          <w:sz w:val="24"/>
          <w:szCs w:val="24"/>
        </w:rPr>
        <w:t>-carotene nanoemulsions prepared by high pressure homogenization under various emulsifying conditions</w:t>
      </w:r>
      <w:r w:rsidR="000A759F">
        <w:rPr>
          <w:rFonts w:ascii="Tw Cen MT" w:hAnsi="Tw Cen MT"/>
          <w:sz w:val="24"/>
          <w:szCs w:val="24"/>
        </w:rPr>
        <w:t>”,</w:t>
      </w:r>
      <w:r>
        <w:rPr>
          <w:rFonts w:ascii="Tw Cen MT" w:hAnsi="Tw Cen MT"/>
          <w:sz w:val="24"/>
          <w:szCs w:val="24"/>
        </w:rPr>
        <w:t xml:space="preserve"> </w:t>
      </w:r>
      <w:r w:rsidRPr="000A759F">
        <w:rPr>
          <w:rFonts w:ascii="Tw Cen MT" w:hAnsi="Tw Cen MT"/>
          <w:i/>
          <w:iCs/>
          <w:sz w:val="24"/>
          <w:szCs w:val="24"/>
        </w:rPr>
        <w:t>Food Research International</w:t>
      </w:r>
      <w:r>
        <w:rPr>
          <w:rFonts w:ascii="Tw Cen MT" w:hAnsi="Tw Cen MT"/>
          <w:sz w:val="24"/>
          <w:szCs w:val="24"/>
        </w:rPr>
        <w:t xml:space="preserve"> </w:t>
      </w:r>
      <w:r w:rsidR="000A759F">
        <w:rPr>
          <w:rFonts w:ascii="Tw Cen MT" w:hAnsi="Tw Cen MT"/>
          <w:sz w:val="24"/>
          <w:szCs w:val="24"/>
        </w:rPr>
        <w:t xml:space="preserve">vol. </w:t>
      </w:r>
      <w:r>
        <w:rPr>
          <w:rFonts w:ascii="Tw Cen MT" w:hAnsi="Tw Cen MT"/>
          <w:sz w:val="24"/>
          <w:szCs w:val="24"/>
        </w:rPr>
        <w:t>41</w:t>
      </w:r>
      <w:r w:rsidR="000A759F">
        <w:rPr>
          <w:rFonts w:ascii="Tw Cen MT" w:hAnsi="Tw Cen MT"/>
          <w:sz w:val="24"/>
          <w:szCs w:val="24"/>
        </w:rPr>
        <w:t>, 2008,</w:t>
      </w:r>
      <w:r>
        <w:rPr>
          <w:rFonts w:ascii="Tw Cen MT" w:hAnsi="Tw Cen MT"/>
          <w:sz w:val="24"/>
          <w:szCs w:val="24"/>
        </w:rPr>
        <w:t xml:space="preserve"> </w:t>
      </w:r>
      <w:hyperlink r:id="rId30" w:history="1">
        <w:r>
          <w:rPr>
            <w:rStyle w:val="Hyperlink"/>
            <w:rFonts w:ascii="Tw Cen MT" w:hAnsi="Tw Cen MT"/>
            <w:sz w:val="24"/>
            <w:szCs w:val="24"/>
          </w:rPr>
          <w:t>https://doi.org/https://doi.org/10.1016/j.foodres.2007.09.006</w:t>
        </w:r>
      </w:hyperlink>
      <w:r>
        <w:rPr>
          <w:rFonts w:ascii="Tw Cen MT" w:hAnsi="Tw Cen MT"/>
          <w:sz w:val="24"/>
          <w:szCs w:val="24"/>
        </w:rPr>
        <w:t>.</w:t>
      </w:r>
    </w:p>
    <w:p w14:paraId="51E1C55D" w14:textId="683A38A9"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Sondari D, Tursiloadi S.</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The effect of surfactan on formulation and stability of nanoemulsion using extract of Centella Asiatica and Zingiber Officinale</w:t>
      </w:r>
      <w:r w:rsidR="000A759F">
        <w:rPr>
          <w:rFonts w:ascii="Tw Cen MT" w:hAnsi="Tw Cen MT"/>
          <w:sz w:val="24"/>
          <w:szCs w:val="24"/>
        </w:rPr>
        <w:t>”,</w:t>
      </w:r>
      <w:r>
        <w:rPr>
          <w:rFonts w:ascii="Tw Cen MT" w:hAnsi="Tw Cen MT"/>
          <w:sz w:val="24"/>
          <w:szCs w:val="24"/>
        </w:rPr>
        <w:t xml:space="preserve"> </w:t>
      </w:r>
      <w:r w:rsidRPr="000A759F">
        <w:rPr>
          <w:rFonts w:ascii="Tw Cen MT" w:hAnsi="Tw Cen MT"/>
          <w:i/>
          <w:iCs/>
          <w:sz w:val="24"/>
          <w:szCs w:val="24"/>
        </w:rPr>
        <w:t>AIP Conf Proc</w:t>
      </w:r>
      <w:r>
        <w:rPr>
          <w:rFonts w:ascii="Tw Cen MT" w:hAnsi="Tw Cen MT"/>
          <w:sz w:val="24"/>
          <w:szCs w:val="24"/>
        </w:rPr>
        <w:t>, vol. 2049, p. 30014</w:t>
      </w:r>
      <w:r w:rsidR="000A759F">
        <w:rPr>
          <w:rFonts w:ascii="Tw Cen MT" w:hAnsi="Tw Cen MT"/>
          <w:sz w:val="24"/>
          <w:szCs w:val="24"/>
        </w:rPr>
        <w:t xml:space="preserve">, 2018, </w:t>
      </w:r>
      <w:hyperlink r:id="rId31" w:history="1">
        <w:r w:rsidR="000A759F" w:rsidRPr="00F9161F">
          <w:rPr>
            <w:rStyle w:val="Hyperlink"/>
            <w:rFonts w:ascii="Tw Cen MT" w:hAnsi="Tw Cen MT"/>
            <w:sz w:val="24"/>
            <w:szCs w:val="24"/>
          </w:rPr>
          <w:t>https://doi.org/10.1063/1.5082515</w:t>
        </w:r>
      </w:hyperlink>
      <w:r>
        <w:rPr>
          <w:rFonts w:ascii="Tw Cen MT" w:hAnsi="Tw Cen MT"/>
          <w:sz w:val="24"/>
          <w:szCs w:val="24"/>
        </w:rPr>
        <w:t>.</w:t>
      </w:r>
    </w:p>
    <w:p w14:paraId="5D5D6184" w14:textId="50EA93E6"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Orellana-Paucar AM.</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Turmeric Essential Oil Constituents as Potential Drug Candidates: A Comprehensive Overview of Their Individual Bioactivities</w:t>
      </w:r>
      <w:proofErr w:type="gramStart"/>
      <w:r w:rsidR="000A759F">
        <w:rPr>
          <w:rFonts w:ascii="Tw Cen MT" w:hAnsi="Tw Cen MT"/>
          <w:sz w:val="24"/>
          <w:szCs w:val="24"/>
        </w:rPr>
        <w:t xml:space="preserve">”, </w:t>
      </w:r>
      <w:r>
        <w:rPr>
          <w:rFonts w:ascii="Tw Cen MT" w:hAnsi="Tw Cen MT"/>
          <w:sz w:val="24"/>
          <w:szCs w:val="24"/>
        </w:rPr>
        <w:t xml:space="preserve"> </w:t>
      </w:r>
      <w:r w:rsidRPr="000A759F">
        <w:rPr>
          <w:rFonts w:ascii="Tw Cen MT" w:hAnsi="Tw Cen MT"/>
          <w:i/>
          <w:iCs/>
          <w:sz w:val="24"/>
          <w:szCs w:val="24"/>
        </w:rPr>
        <w:t>Molecules</w:t>
      </w:r>
      <w:proofErr w:type="gramEnd"/>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 xml:space="preserve">vol. 29, p. 4210, </w:t>
      </w:r>
      <w:r>
        <w:rPr>
          <w:rFonts w:ascii="Tw Cen MT" w:hAnsi="Tw Cen MT"/>
          <w:sz w:val="24"/>
          <w:szCs w:val="24"/>
        </w:rPr>
        <w:t>2024</w:t>
      </w:r>
      <w:r w:rsidR="000A759F">
        <w:rPr>
          <w:rFonts w:ascii="Tw Cen MT" w:hAnsi="Tw Cen MT"/>
          <w:sz w:val="24"/>
          <w:szCs w:val="24"/>
        </w:rPr>
        <w:t>,</w:t>
      </w:r>
      <w:r>
        <w:rPr>
          <w:rFonts w:ascii="Tw Cen MT" w:hAnsi="Tw Cen MT"/>
          <w:sz w:val="24"/>
          <w:szCs w:val="24"/>
        </w:rPr>
        <w:t xml:space="preserve"> </w:t>
      </w:r>
      <w:hyperlink r:id="rId32" w:history="1">
        <w:r>
          <w:rPr>
            <w:rStyle w:val="Hyperlink"/>
            <w:rFonts w:ascii="Tw Cen MT" w:hAnsi="Tw Cen MT"/>
            <w:sz w:val="24"/>
            <w:szCs w:val="24"/>
          </w:rPr>
          <w:t>https://doi.org/10.3390/molecules29174210</w:t>
        </w:r>
      </w:hyperlink>
      <w:r>
        <w:rPr>
          <w:rFonts w:ascii="Tw Cen MT" w:hAnsi="Tw Cen MT"/>
          <w:sz w:val="24"/>
          <w:szCs w:val="24"/>
        </w:rPr>
        <w:t>.</w:t>
      </w:r>
    </w:p>
    <w:p w14:paraId="6272F1E6" w14:textId="3B8E8BE0" w:rsidR="00A35C14"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Albaqami J, Hamdi H, Narayanankutty A, N U V, Sasidharan A, Kuttithodi A, Famurewa A, Pathrose B.</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Chemical Composition and Biological Activities of the Leaf Essential Oils of Curcuma longa, Curcuma aromatica and Curcuma angustifolia</w:t>
      </w:r>
      <w:r w:rsidR="000A759F">
        <w:rPr>
          <w:rFonts w:ascii="Tw Cen MT" w:hAnsi="Tw Cen MT"/>
          <w:sz w:val="24"/>
          <w:szCs w:val="24"/>
        </w:rPr>
        <w:t>”</w:t>
      </w:r>
      <w:r>
        <w:rPr>
          <w:rFonts w:ascii="Tw Cen MT" w:hAnsi="Tw Cen MT"/>
          <w:sz w:val="24"/>
          <w:szCs w:val="24"/>
        </w:rPr>
        <w:t xml:space="preserve">. </w:t>
      </w:r>
      <w:r w:rsidRPr="000A759F">
        <w:rPr>
          <w:rFonts w:ascii="Tw Cen MT" w:hAnsi="Tw Cen MT"/>
          <w:i/>
          <w:iCs/>
          <w:sz w:val="24"/>
          <w:szCs w:val="24"/>
        </w:rPr>
        <w:t>Antibiotics</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 xml:space="preserve">vol. 11, p. 1547, </w:t>
      </w:r>
      <w:r>
        <w:rPr>
          <w:rFonts w:ascii="Tw Cen MT" w:hAnsi="Tw Cen MT"/>
          <w:sz w:val="24"/>
          <w:szCs w:val="24"/>
        </w:rPr>
        <w:lastRenderedPageBreak/>
        <w:t>2022</w:t>
      </w:r>
      <w:r w:rsidR="000A759F">
        <w:rPr>
          <w:rFonts w:ascii="Tw Cen MT" w:hAnsi="Tw Cen MT"/>
          <w:sz w:val="24"/>
          <w:szCs w:val="24"/>
        </w:rPr>
        <w:t>,</w:t>
      </w:r>
      <w:r>
        <w:rPr>
          <w:rFonts w:ascii="Tw Cen MT" w:hAnsi="Tw Cen MT"/>
          <w:sz w:val="24"/>
          <w:szCs w:val="24"/>
        </w:rPr>
        <w:t xml:space="preserve"> </w:t>
      </w:r>
      <w:hyperlink r:id="rId33" w:history="1">
        <w:r>
          <w:rPr>
            <w:rStyle w:val="Hyperlink"/>
            <w:rFonts w:ascii="Tw Cen MT" w:hAnsi="Tw Cen MT"/>
            <w:sz w:val="24"/>
            <w:szCs w:val="24"/>
          </w:rPr>
          <w:t>https://doi.org/10.3390/antibiotics11111547</w:t>
        </w:r>
      </w:hyperlink>
      <w:r>
        <w:rPr>
          <w:rFonts w:ascii="Tw Cen MT" w:hAnsi="Tw Cen MT"/>
          <w:sz w:val="24"/>
          <w:szCs w:val="24"/>
        </w:rPr>
        <w:t>.</w:t>
      </w:r>
    </w:p>
    <w:p w14:paraId="2584068B" w14:textId="631569EF" w:rsidR="002E56D2" w:rsidRDefault="00000000"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r>
        <w:rPr>
          <w:rFonts w:ascii="Tw Cen MT" w:hAnsi="Tw Cen MT"/>
          <w:sz w:val="24"/>
          <w:szCs w:val="24"/>
        </w:rPr>
        <w:t>Gonçalves G, Barros P, Silva GH da, Fedes G.</w:t>
      </w:r>
      <w:r w:rsidR="000A759F">
        <w:rPr>
          <w:rFonts w:ascii="Tw Cen MT" w:hAnsi="Tw Cen MT"/>
          <w:sz w:val="24"/>
          <w:szCs w:val="24"/>
        </w:rPr>
        <w:t>,</w:t>
      </w:r>
      <w:r>
        <w:rPr>
          <w:rFonts w:ascii="Tw Cen MT" w:hAnsi="Tw Cen MT"/>
          <w:sz w:val="24"/>
          <w:szCs w:val="24"/>
        </w:rPr>
        <w:t xml:space="preserve"> </w:t>
      </w:r>
      <w:r w:rsidR="000A759F">
        <w:rPr>
          <w:rFonts w:ascii="Tw Cen MT" w:hAnsi="Tw Cen MT"/>
          <w:sz w:val="24"/>
          <w:szCs w:val="24"/>
        </w:rPr>
        <w:t>“</w:t>
      </w:r>
      <w:r>
        <w:rPr>
          <w:rFonts w:ascii="Tw Cen MT" w:hAnsi="Tw Cen MT"/>
          <w:sz w:val="24"/>
          <w:szCs w:val="24"/>
        </w:rPr>
        <w:t>The essential oil of Curcuma longa rhizomes as an antimicrobial and its composition by Gas Chromatography/Mass Spectrometry</w:t>
      </w:r>
      <w:r w:rsidR="000A759F">
        <w:rPr>
          <w:rFonts w:ascii="Tw Cen MT" w:hAnsi="Tw Cen MT"/>
          <w:sz w:val="24"/>
          <w:szCs w:val="24"/>
        </w:rPr>
        <w:t>”,</w:t>
      </w:r>
      <w:r>
        <w:rPr>
          <w:rFonts w:ascii="Tw Cen MT" w:hAnsi="Tw Cen MT"/>
          <w:sz w:val="24"/>
          <w:szCs w:val="24"/>
        </w:rPr>
        <w:t xml:space="preserve"> </w:t>
      </w:r>
      <w:proofErr w:type="spellStart"/>
      <w:r w:rsidRPr="000A759F">
        <w:rPr>
          <w:rFonts w:ascii="Tw Cen MT" w:hAnsi="Tw Cen MT"/>
          <w:i/>
          <w:iCs/>
          <w:sz w:val="24"/>
          <w:szCs w:val="24"/>
        </w:rPr>
        <w:t>Revista</w:t>
      </w:r>
      <w:proofErr w:type="spellEnd"/>
      <w:r w:rsidRPr="000A759F">
        <w:rPr>
          <w:rFonts w:ascii="Tw Cen MT" w:hAnsi="Tw Cen MT"/>
          <w:i/>
          <w:iCs/>
          <w:sz w:val="24"/>
          <w:szCs w:val="24"/>
        </w:rPr>
        <w:t xml:space="preserve"> de </w:t>
      </w:r>
      <w:proofErr w:type="spellStart"/>
      <w:r w:rsidRPr="000A759F">
        <w:rPr>
          <w:rFonts w:ascii="Tw Cen MT" w:hAnsi="Tw Cen MT"/>
          <w:i/>
          <w:iCs/>
          <w:sz w:val="24"/>
          <w:szCs w:val="24"/>
        </w:rPr>
        <w:t>Ciências</w:t>
      </w:r>
      <w:proofErr w:type="spellEnd"/>
      <w:r w:rsidRPr="000A759F">
        <w:rPr>
          <w:rFonts w:ascii="Tw Cen MT" w:hAnsi="Tw Cen MT"/>
          <w:i/>
          <w:iCs/>
          <w:sz w:val="24"/>
          <w:szCs w:val="24"/>
        </w:rPr>
        <w:t xml:space="preserve"> </w:t>
      </w:r>
      <w:proofErr w:type="spellStart"/>
      <w:r w:rsidRPr="000A759F">
        <w:rPr>
          <w:rFonts w:ascii="Tw Cen MT" w:hAnsi="Tw Cen MT"/>
          <w:i/>
          <w:iCs/>
          <w:sz w:val="24"/>
          <w:szCs w:val="24"/>
        </w:rPr>
        <w:t>Médicas</w:t>
      </w:r>
      <w:proofErr w:type="spellEnd"/>
      <w:r w:rsidR="000A759F">
        <w:rPr>
          <w:rFonts w:ascii="Tw Cen MT" w:hAnsi="Tw Cen MT"/>
          <w:sz w:val="24"/>
          <w:szCs w:val="24"/>
        </w:rPr>
        <w:t xml:space="preserve">, vol. 28, </w:t>
      </w:r>
      <w:r>
        <w:rPr>
          <w:rFonts w:ascii="Tw Cen MT" w:hAnsi="Tw Cen MT"/>
          <w:sz w:val="24"/>
          <w:szCs w:val="24"/>
        </w:rPr>
        <w:t>2019</w:t>
      </w:r>
      <w:r w:rsidR="000A759F">
        <w:rPr>
          <w:rFonts w:ascii="Tw Cen MT" w:hAnsi="Tw Cen MT"/>
          <w:sz w:val="24"/>
          <w:szCs w:val="24"/>
        </w:rPr>
        <w:t>,</w:t>
      </w:r>
      <w:r>
        <w:rPr>
          <w:rFonts w:ascii="Tw Cen MT" w:hAnsi="Tw Cen MT"/>
          <w:sz w:val="24"/>
          <w:szCs w:val="24"/>
        </w:rPr>
        <w:t xml:space="preserve"> </w:t>
      </w:r>
      <w:hyperlink r:id="rId34" w:history="1">
        <w:r w:rsidR="002E56D2" w:rsidRPr="004804FC">
          <w:rPr>
            <w:rStyle w:val="Hyperlink"/>
            <w:rFonts w:ascii="Tw Cen MT" w:hAnsi="Tw Cen MT"/>
            <w:sz w:val="24"/>
            <w:szCs w:val="24"/>
          </w:rPr>
          <w:t>https://doi.org/10.24220/2318-0897v28n1a4389</w:t>
        </w:r>
      </w:hyperlink>
      <w:r>
        <w:rPr>
          <w:rFonts w:ascii="Tw Cen MT" w:hAnsi="Tw Cen MT"/>
          <w:sz w:val="24"/>
          <w:szCs w:val="24"/>
        </w:rPr>
        <w:t>.</w:t>
      </w:r>
    </w:p>
    <w:p w14:paraId="0C65A03B" w14:textId="301DBA7A" w:rsidR="002E56D2" w:rsidRPr="002E56D2" w:rsidRDefault="002E56D2" w:rsidP="003B72D7">
      <w:pPr>
        <w:pStyle w:val="DaftarParagraf"/>
        <w:numPr>
          <w:ilvl w:val="0"/>
          <w:numId w:val="1"/>
        </w:numPr>
        <w:autoSpaceDE w:val="0"/>
        <w:autoSpaceDN w:val="0"/>
        <w:spacing w:after="0" w:line="240" w:lineRule="auto"/>
        <w:ind w:left="567" w:hanging="501"/>
        <w:jc w:val="both"/>
        <w:rPr>
          <w:rFonts w:ascii="Tw Cen MT" w:hAnsi="Tw Cen MT"/>
          <w:sz w:val="24"/>
          <w:szCs w:val="24"/>
        </w:rPr>
      </w:pPr>
      <w:proofErr w:type="spellStart"/>
      <w:r w:rsidRPr="002E56D2">
        <w:rPr>
          <w:rFonts w:ascii="Tw Cen MT" w:hAnsi="Tw Cen MT"/>
          <w:sz w:val="24"/>
          <w:szCs w:val="24"/>
          <w:lang w:val="en-ID"/>
        </w:rPr>
        <w:t>Kongpol</w:t>
      </w:r>
      <w:proofErr w:type="spellEnd"/>
      <w:r w:rsidRPr="002E56D2">
        <w:rPr>
          <w:rFonts w:ascii="Tw Cen MT" w:hAnsi="Tw Cen MT"/>
          <w:sz w:val="24"/>
          <w:szCs w:val="24"/>
          <w:lang w:val="en-ID"/>
        </w:rPr>
        <w:t xml:space="preserve">, K., </w:t>
      </w:r>
      <w:proofErr w:type="spellStart"/>
      <w:r w:rsidRPr="002E56D2">
        <w:rPr>
          <w:rFonts w:ascii="Tw Cen MT" w:hAnsi="Tw Cen MT"/>
          <w:sz w:val="24"/>
          <w:szCs w:val="24"/>
          <w:lang w:val="en-ID"/>
        </w:rPr>
        <w:t>Sermkaew</w:t>
      </w:r>
      <w:proofErr w:type="spellEnd"/>
      <w:r w:rsidRPr="002E56D2">
        <w:rPr>
          <w:rFonts w:ascii="Tw Cen MT" w:hAnsi="Tw Cen MT"/>
          <w:sz w:val="24"/>
          <w:szCs w:val="24"/>
          <w:lang w:val="en-ID"/>
        </w:rPr>
        <w:t xml:space="preserve">, N., </w:t>
      </w:r>
      <w:proofErr w:type="spellStart"/>
      <w:r w:rsidRPr="002E56D2">
        <w:rPr>
          <w:rFonts w:ascii="Tw Cen MT" w:hAnsi="Tw Cen MT"/>
          <w:sz w:val="24"/>
          <w:szCs w:val="24"/>
          <w:lang w:val="en-ID"/>
        </w:rPr>
        <w:t>Makkliang</w:t>
      </w:r>
      <w:proofErr w:type="spellEnd"/>
      <w:r w:rsidRPr="002E56D2">
        <w:rPr>
          <w:rFonts w:ascii="Tw Cen MT" w:hAnsi="Tw Cen MT"/>
          <w:sz w:val="24"/>
          <w:szCs w:val="24"/>
          <w:lang w:val="en-ID"/>
        </w:rPr>
        <w:t xml:space="preserve">, F., </w:t>
      </w:r>
      <w:proofErr w:type="spellStart"/>
      <w:r w:rsidRPr="002E56D2">
        <w:rPr>
          <w:rFonts w:ascii="Tw Cen MT" w:hAnsi="Tw Cen MT"/>
          <w:sz w:val="24"/>
          <w:szCs w:val="24"/>
          <w:lang w:val="en-ID"/>
        </w:rPr>
        <w:t>Khongphan</w:t>
      </w:r>
      <w:proofErr w:type="spellEnd"/>
      <w:r w:rsidRPr="002E56D2">
        <w:rPr>
          <w:rFonts w:ascii="Tw Cen MT" w:hAnsi="Tw Cen MT"/>
          <w:sz w:val="24"/>
          <w:szCs w:val="24"/>
          <w:lang w:val="en-ID"/>
        </w:rPr>
        <w:t xml:space="preserve">, S., </w:t>
      </w:r>
      <w:proofErr w:type="spellStart"/>
      <w:r w:rsidRPr="002E56D2">
        <w:rPr>
          <w:rFonts w:ascii="Tw Cen MT" w:hAnsi="Tw Cen MT"/>
          <w:sz w:val="24"/>
          <w:szCs w:val="24"/>
          <w:lang w:val="en-ID"/>
        </w:rPr>
        <w:t>Chuaboon</w:t>
      </w:r>
      <w:proofErr w:type="spellEnd"/>
      <w:r w:rsidRPr="002E56D2">
        <w:rPr>
          <w:rFonts w:ascii="Tw Cen MT" w:hAnsi="Tw Cen MT"/>
          <w:sz w:val="24"/>
          <w:szCs w:val="24"/>
          <w:lang w:val="en-ID"/>
        </w:rPr>
        <w:t xml:space="preserve">, L., </w:t>
      </w:r>
      <w:proofErr w:type="spellStart"/>
      <w:r w:rsidRPr="002E56D2">
        <w:rPr>
          <w:rFonts w:ascii="Tw Cen MT" w:hAnsi="Tw Cen MT"/>
          <w:sz w:val="24"/>
          <w:szCs w:val="24"/>
          <w:lang w:val="en-ID"/>
        </w:rPr>
        <w:t>Sakdamas</w:t>
      </w:r>
      <w:proofErr w:type="spellEnd"/>
      <w:r w:rsidRPr="002E56D2">
        <w:rPr>
          <w:rFonts w:ascii="Tw Cen MT" w:hAnsi="Tw Cen MT"/>
          <w:sz w:val="24"/>
          <w:szCs w:val="24"/>
          <w:lang w:val="en-ID"/>
        </w:rPr>
        <w:t xml:space="preserve">, A., Sakamoto, S., </w:t>
      </w:r>
      <w:proofErr w:type="spellStart"/>
      <w:r w:rsidRPr="002E56D2">
        <w:rPr>
          <w:rFonts w:ascii="Tw Cen MT" w:hAnsi="Tw Cen MT"/>
          <w:sz w:val="24"/>
          <w:szCs w:val="24"/>
          <w:lang w:val="en-ID"/>
        </w:rPr>
        <w:t>Putalun</w:t>
      </w:r>
      <w:proofErr w:type="spellEnd"/>
      <w:r w:rsidRPr="002E56D2">
        <w:rPr>
          <w:rFonts w:ascii="Tw Cen MT" w:hAnsi="Tw Cen MT"/>
          <w:sz w:val="24"/>
          <w:szCs w:val="24"/>
          <w:lang w:val="en-ID"/>
        </w:rPr>
        <w:t xml:space="preserve">, W., &amp; </w:t>
      </w:r>
      <w:proofErr w:type="spellStart"/>
      <w:r w:rsidRPr="002E56D2">
        <w:rPr>
          <w:rFonts w:ascii="Tw Cen MT" w:hAnsi="Tw Cen MT"/>
          <w:sz w:val="24"/>
          <w:szCs w:val="24"/>
          <w:lang w:val="en-ID"/>
        </w:rPr>
        <w:t>Yusakul</w:t>
      </w:r>
      <w:proofErr w:type="spellEnd"/>
      <w:r w:rsidRPr="002E56D2">
        <w:rPr>
          <w:rFonts w:ascii="Tw Cen MT" w:hAnsi="Tw Cen MT"/>
          <w:sz w:val="24"/>
          <w:szCs w:val="24"/>
          <w:lang w:val="en-ID"/>
        </w:rPr>
        <w:t>, G.</w:t>
      </w:r>
      <w:r w:rsidR="000A759F">
        <w:rPr>
          <w:rFonts w:ascii="Tw Cen MT" w:hAnsi="Tw Cen MT"/>
          <w:sz w:val="24"/>
          <w:szCs w:val="24"/>
          <w:lang w:val="en-ID"/>
        </w:rPr>
        <w:t>,</w:t>
      </w:r>
      <w:r w:rsidRPr="002E56D2">
        <w:rPr>
          <w:rFonts w:ascii="Tw Cen MT" w:hAnsi="Tw Cen MT"/>
          <w:sz w:val="24"/>
          <w:szCs w:val="24"/>
          <w:lang w:val="en-ID"/>
        </w:rPr>
        <w:t xml:space="preserve"> </w:t>
      </w:r>
      <w:r w:rsidR="000A759F">
        <w:rPr>
          <w:rFonts w:ascii="Tw Cen MT" w:hAnsi="Tw Cen MT"/>
          <w:sz w:val="24"/>
          <w:szCs w:val="24"/>
          <w:lang w:val="en-ID"/>
        </w:rPr>
        <w:t>“</w:t>
      </w:r>
      <w:r w:rsidRPr="002E56D2">
        <w:rPr>
          <w:rFonts w:ascii="Tw Cen MT" w:hAnsi="Tw Cen MT"/>
          <w:sz w:val="24"/>
          <w:szCs w:val="24"/>
          <w:lang w:val="en-ID"/>
        </w:rPr>
        <w:t xml:space="preserve">Extraction of curcuminoids and </w:t>
      </w:r>
      <w:proofErr w:type="spellStart"/>
      <w:r w:rsidRPr="002E56D2">
        <w:rPr>
          <w:rFonts w:ascii="Tw Cen MT" w:hAnsi="Tw Cen MT"/>
          <w:sz w:val="24"/>
          <w:szCs w:val="24"/>
          <w:lang w:val="en-ID"/>
        </w:rPr>
        <w:t>ar</w:t>
      </w:r>
      <w:proofErr w:type="spellEnd"/>
      <w:r w:rsidRPr="002E56D2">
        <w:rPr>
          <w:rFonts w:ascii="Tw Cen MT" w:hAnsi="Tw Cen MT"/>
          <w:sz w:val="24"/>
          <w:szCs w:val="24"/>
          <w:lang w:val="en-ID"/>
        </w:rPr>
        <w:t>-turmerone from turmeric (Curcuma longa L.) using hydrophobic deep eutectic solvents (HDESs) and application as HDES-based microemulsions</w:t>
      </w:r>
      <w:r w:rsidR="000A759F">
        <w:rPr>
          <w:rFonts w:ascii="Tw Cen MT" w:hAnsi="Tw Cen MT"/>
          <w:sz w:val="24"/>
          <w:szCs w:val="24"/>
          <w:lang w:val="en-ID"/>
        </w:rPr>
        <w:t>”,</w:t>
      </w:r>
      <w:r w:rsidRPr="002E56D2">
        <w:rPr>
          <w:rFonts w:ascii="Tw Cen MT" w:hAnsi="Tw Cen MT"/>
          <w:sz w:val="24"/>
          <w:szCs w:val="24"/>
          <w:lang w:val="en-ID"/>
        </w:rPr>
        <w:t xml:space="preserve"> </w:t>
      </w:r>
      <w:r w:rsidRPr="000A759F">
        <w:rPr>
          <w:rFonts w:ascii="Tw Cen MT" w:hAnsi="Tw Cen MT"/>
          <w:i/>
          <w:iCs/>
          <w:sz w:val="24"/>
          <w:szCs w:val="24"/>
          <w:lang w:val="en-ID"/>
        </w:rPr>
        <w:t>Food Chemistry</w:t>
      </w:r>
      <w:r w:rsidR="000A759F">
        <w:rPr>
          <w:rFonts w:ascii="Tw Cen MT" w:hAnsi="Tw Cen MT"/>
          <w:sz w:val="24"/>
          <w:szCs w:val="24"/>
          <w:lang w:val="en-ID"/>
        </w:rPr>
        <w:t xml:space="preserve">, vol. 396, </w:t>
      </w:r>
      <w:r w:rsidR="000A759F">
        <w:rPr>
          <w:rFonts w:ascii="Tw Cen MT" w:hAnsi="Tw Cen MT"/>
          <w:sz w:val="24"/>
          <w:szCs w:val="24"/>
          <w:lang w:val="en-ID"/>
        </w:rPr>
        <w:t xml:space="preserve">p. </w:t>
      </w:r>
      <w:r w:rsidR="000A759F" w:rsidRPr="002E56D2">
        <w:rPr>
          <w:rFonts w:ascii="Tw Cen MT" w:hAnsi="Tw Cen MT"/>
          <w:sz w:val="24"/>
          <w:szCs w:val="24"/>
          <w:lang w:val="en-ID"/>
        </w:rPr>
        <w:t>133728</w:t>
      </w:r>
      <w:r w:rsidR="000A759F">
        <w:rPr>
          <w:rFonts w:ascii="Tw Cen MT" w:hAnsi="Tw Cen MT"/>
          <w:sz w:val="24"/>
          <w:szCs w:val="24"/>
          <w:lang w:val="en-ID"/>
        </w:rPr>
        <w:t>,</w:t>
      </w:r>
      <w:r>
        <w:rPr>
          <w:rFonts w:ascii="Tw Cen MT" w:hAnsi="Tw Cen MT"/>
          <w:sz w:val="24"/>
          <w:szCs w:val="24"/>
          <w:lang w:val="en-ID"/>
        </w:rPr>
        <w:t xml:space="preserve"> 2022</w:t>
      </w:r>
      <w:r w:rsidR="000A759F">
        <w:rPr>
          <w:rFonts w:ascii="Tw Cen MT" w:hAnsi="Tw Cen MT"/>
          <w:sz w:val="24"/>
          <w:szCs w:val="24"/>
          <w:lang w:val="en-ID"/>
        </w:rPr>
        <w:t xml:space="preserve">, </w:t>
      </w:r>
      <w:hyperlink r:id="rId35" w:history="1">
        <w:r w:rsidRPr="002E56D2">
          <w:rPr>
            <w:rStyle w:val="Hyperlink"/>
            <w:rFonts w:ascii="Tw Cen MT" w:hAnsi="Tw Cen MT"/>
            <w:sz w:val="24"/>
            <w:szCs w:val="24"/>
            <w:lang w:val="en-ID"/>
          </w:rPr>
          <w:t>https://doi.org/https://doi.org/10.1016/j.foodchem.2022.133728</w:t>
        </w:r>
      </w:hyperlink>
      <w:r w:rsidRPr="002E56D2">
        <w:rPr>
          <w:rFonts w:ascii="Tw Cen MT" w:hAnsi="Tw Cen MT"/>
          <w:sz w:val="24"/>
          <w:szCs w:val="24"/>
          <w:lang w:val="en-ID"/>
        </w:rPr>
        <w:t xml:space="preserve"> </w:t>
      </w:r>
    </w:p>
    <w:sectPr w:rsidR="002E56D2" w:rsidRPr="002E56D2">
      <w:type w:val="continuous"/>
      <w:pgSz w:w="12240" w:h="15840"/>
      <w:pgMar w:top="1440" w:right="1440" w:bottom="1440" w:left="1440" w:header="720" w:footer="720" w:gutter="0"/>
      <w:cols w:num="2" w:space="369" w:equalWidth="0">
        <w:col w:w="4496" w:space="369"/>
        <w:col w:w="4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64DB" w14:textId="77777777" w:rsidR="00F87AA1" w:rsidRDefault="00F87AA1">
      <w:pPr>
        <w:spacing w:after="0" w:line="240" w:lineRule="auto"/>
      </w:pPr>
      <w:r>
        <w:separator/>
      </w:r>
    </w:p>
  </w:endnote>
  <w:endnote w:type="continuationSeparator" w:id="0">
    <w:p w14:paraId="662518E2" w14:textId="77777777" w:rsidR="00F87AA1" w:rsidRDefault="00F8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Frutiger-LightItalic">
    <w:panose1 w:val="020B0604020202020204"/>
    <w:charset w:val="00"/>
    <w:family w:val="roman"/>
    <w:notTrueType/>
    <w:pitch w:val="default"/>
  </w:font>
  <w:font w:name="Frutiger-Light">
    <w:panose1 w:val="020B0604020202020204"/>
    <w:charset w:val="00"/>
    <w:family w:val="roman"/>
    <w:notTrueType/>
    <w:pitch w:val="default"/>
  </w:font>
  <w:font w:name="ArialNarrow-Italic">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roman"/>
    <w:pitch w:val="variable"/>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F5B0" w14:textId="77777777" w:rsidR="00A35C14" w:rsidRDefault="00A35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E9B2" w14:textId="77777777" w:rsidR="00A35C14" w:rsidRDefault="00000000">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3" behindDoc="0" locked="0" layoutInCell="1" allowOverlap="1" wp14:anchorId="78B8882F" wp14:editId="5A4D5EE5">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xmlns:wpsCustomData="http://www.wps.cn/officeDocument/2013/wpsCustomData" xmlns:w16sdtfl="http://schemas.microsoft.com/office/word/2024/wordml/sdtformatlock" xmlns:w16du="http://schemas.microsoft.com/office/word/2023/wordml/word16du">
          <w:pict>
            <v:line id="4098" filled="f" stroked="t" from="-0.70000005pt,-1.1659843pt" to="468.34998pt,-1.1659843pt" style="position:absolute;z-index:3;mso-position-horizontal-relative:text;mso-position-vertical-relative:text;mso-width-percent:0;mso-width-relative:margin;mso-height-relative:page;mso-wrap-distance-left:0.0pt;mso-wrap-distance-right:0.0pt;visibility:visible;">
              <v:stroke weight="2.25pt"/>
              <v:fill/>
            </v:line>
          </w:pict>
        </mc:Fallback>
      </mc:AlternateContent>
    </w:r>
    <w:proofErr w:type="spellStart"/>
    <w:r>
      <w:rPr>
        <w:rFonts w:ascii="Tw Cen MT" w:hAnsi="Tw Cen MT"/>
        <w:color w:val="000000"/>
        <w:sz w:val="20"/>
        <w:szCs w:val="24"/>
        <w:lang w:val="en-ID"/>
      </w:rPr>
      <w:t>Coresponden</w:t>
    </w:r>
    <w:proofErr w:type="spellEnd"/>
    <w:r>
      <w:rPr>
        <w:rFonts w:ascii="Tw Cen MT" w:hAnsi="Tw Cen MT"/>
        <w:color w:val="000000"/>
        <w:sz w:val="20"/>
        <w:szCs w:val="24"/>
        <w:lang w:val="en-ID"/>
      </w:rPr>
      <w:t xml:space="preserve"> Name and email</w:t>
    </w:r>
  </w:p>
  <w:p w14:paraId="7E2529DA" w14:textId="77777777" w:rsidR="00A35C14" w:rsidRDefault="00000000">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14:paraId="72C38861" w14:textId="77777777" w:rsidR="00A35C14" w:rsidRDefault="00A35C14">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3C31" w14:textId="77777777" w:rsidR="00F87AA1" w:rsidRDefault="00F87AA1">
      <w:pPr>
        <w:spacing w:after="0" w:line="240" w:lineRule="auto"/>
      </w:pPr>
      <w:r>
        <w:separator/>
      </w:r>
    </w:p>
  </w:footnote>
  <w:footnote w:type="continuationSeparator" w:id="0">
    <w:p w14:paraId="0FE8153D" w14:textId="77777777" w:rsidR="00F87AA1" w:rsidRDefault="00F8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355F" w14:textId="77777777" w:rsidR="00A35C14" w:rsidRDefault="00A35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9160" w14:textId="77777777" w:rsidR="00A35C14" w:rsidRDefault="00000000">
    <w:pPr>
      <w:pStyle w:val="Header"/>
      <w:tabs>
        <w:tab w:val="clear" w:pos="4680"/>
        <w:tab w:val="clear" w:pos="9360"/>
      </w:tabs>
      <w:spacing w:after="120" w:line="276" w:lineRule="auto"/>
      <w:rPr>
        <w:b/>
        <w:bCs/>
        <w:color w:val="1F497D"/>
        <w:sz w:val="28"/>
        <w:szCs w:val="28"/>
      </w:rPr>
    </w:pPr>
    <w:proofErr w:type="spellStart"/>
    <w:r>
      <w:rPr>
        <w:rFonts w:ascii="Tw Cen MT" w:hAnsi="Tw Cen MT" w:cs="SimSun"/>
        <w:sz w:val="20"/>
        <w:szCs w:val="20"/>
      </w:rPr>
      <w:t>Jurnal</w:t>
    </w:r>
    <w:proofErr w:type="spellEnd"/>
    <w:r>
      <w:rPr>
        <w:rFonts w:ascii="Tw Cen MT" w:hAnsi="Tw Cen MT" w:cs="SimSun"/>
        <w:sz w:val="20"/>
        <w:szCs w:val="20"/>
      </w:rPr>
      <w:t xml:space="preserve"> </w:t>
    </w:r>
    <w:proofErr w:type="spellStart"/>
    <w:r>
      <w:rPr>
        <w:rFonts w:ascii="Tw Cen MT" w:hAnsi="Tw Cen MT" w:cs="SimSun"/>
        <w:sz w:val="20"/>
        <w:szCs w:val="20"/>
      </w:rPr>
      <w:t>Proteksi</w:t>
    </w:r>
    <w:proofErr w:type="spellEnd"/>
    <w:r>
      <w:rPr>
        <w:rFonts w:ascii="Tw Cen MT" w:hAnsi="Tw Cen MT" w:cs="SimSun"/>
        <w:sz w:val="20"/>
        <w:szCs w:val="20"/>
      </w:rPr>
      <w:t xml:space="preserve"> Kesehatan                                                                                                                                   Vol.12, No.1, Mei 2023, pp. 1-6</w:t>
    </w:r>
    <w:r>
      <w:rPr>
        <w:rFonts w:ascii="Tw Cen MT" w:hAnsi="Tw Cen MT" w:cs="SimSun"/>
        <w:sz w:val="20"/>
        <w:szCs w:val="20"/>
      </w:rPr>
      <w:tab/>
    </w:r>
    <w:r>
      <w:rPr>
        <w:rFonts w:ascii="Tw Cen MT" w:hAnsi="Tw Cen MT" w:cs="SimSun"/>
        <w:sz w:val="20"/>
        <w:szCs w:val="20"/>
      </w:rPr>
      <w:tab/>
      <w:t xml:space="preserve">                                                                                                        ISSN 2715-1115 (Online), ISSN 2302 – 8610 (Print)</w:t>
    </w:r>
  </w:p>
  <w:p w14:paraId="7599AF31" w14:textId="77777777" w:rsidR="00A35C14" w:rsidRDefault="00000000">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2" behindDoc="0" locked="0" layoutInCell="1" allowOverlap="1" wp14:anchorId="21AC5450" wp14:editId="6B2B5714">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xmlns:w16sdtfl="http://schemas.microsoft.com/office/word/2024/wordml/sdtformatlock" xmlns:w16du="http://schemas.microsoft.com/office/word/2023/wordml/word16du">
          <w:pict>
            <v:shapetype id="_x0000_t32" coordsize="21600,21600" o:spt="32" o:oned="t" path="m,l21600,21600e">
              <v:path arrowok="t" fillok="f" o:connecttype="none"/>
              <o:lock v:ext="edit" shapetype="t"/>
            </v:shapetype>
            <v:shape id="4097" type="#_x0000_t32" filled="f" style="position:absolute;margin-left:0.0pt;margin-top:16.85pt;width:470.55pt;height:0.0pt;z-index:2;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14:paraId="23E2E828" w14:textId="77777777" w:rsidR="00A35C14" w:rsidRDefault="00A35C1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F8BB" w14:textId="77777777" w:rsidR="00A35C14" w:rsidRDefault="00A35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57167F70"/>
    <w:lvl w:ilvl="0" w:tplc="410242DA">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9002869"/>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971735">
    <w:abstractNumId w:val="1"/>
  </w:num>
  <w:num w:numId="2" w16cid:durableId="1340304926">
    <w:abstractNumId w:val="2"/>
  </w:num>
  <w:num w:numId="3" w16cid:durableId="172645955">
    <w:abstractNumId w:val="3"/>
  </w:num>
  <w:num w:numId="4" w16cid:durableId="181670341">
    <w:abstractNumId w:val="0"/>
  </w:num>
  <w:num w:numId="5" w16cid:durableId="224880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14"/>
    <w:rsid w:val="000077D5"/>
    <w:rsid w:val="000A759F"/>
    <w:rsid w:val="001D6CB2"/>
    <w:rsid w:val="002E56D2"/>
    <w:rsid w:val="00397B80"/>
    <w:rsid w:val="003B72D7"/>
    <w:rsid w:val="00613C12"/>
    <w:rsid w:val="00A35C14"/>
    <w:rsid w:val="00B1596E"/>
    <w:rsid w:val="00E35DCC"/>
    <w:rsid w:val="00F87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FF45F1"/>
  <w15:docId w15:val="{BE957C47-293F-4147-9187-F2F6FF96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styleId="TeksBalon">
    <w:name w:val="Balloon Text"/>
    <w:basedOn w:val="Normal"/>
    <w:link w:val="TeksBalonKAR"/>
    <w:uiPriority w:val="9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Pr>
      <w:rFonts w:ascii="Cambria" w:eastAsia="MS Gothic" w:hAnsi="Cambria" w:cs="SimSun"/>
      <w:sz w:val="30"/>
      <w:szCs w:val="30"/>
    </w:rPr>
  </w:style>
  <w:style w:type="character" w:styleId="NomorBaris">
    <w:name w:val="line number"/>
    <w:basedOn w:val="FontParagrafDefault"/>
    <w:uiPriority w:val="99"/>
  </w:style>
  <w:style w:type="paragraph" w:styleId="DaftarParagraf">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rPr>
      <w:color w:val="605E5C"/>
      <w:shd w:val="clear" w:color="auto" w:fill="E1DFDD"/>
    </w:rPr>
  </w:style>
  <w:style w:type="table" w:styleId="KisiTabel">
    <w:name w:val="Table Grid"/>
    <w:basedOn w:val="TabelNormal"/>
    <w:uiPriority w:val="3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rPr>
      <w:sz w:val="16"/>
      <w:szCs w:val="16"/>
    </w:rPr>
  </w:style>
  <w:style w:type="paragraph" w:styleId="TeksKomentar">
    <w:name w:val="annotation text"/>
    <w:basedOn w:val="Normal"/>
    <w:link w:val="TeksKomentarKAR"/>
    <w:uiPriority w:val="99"/>
    <w:pPr>
      <w:spacing w:line="240" w:lineRule="auto"/>
    </w:pPr>
    <w:rPr>
      <w:sz w:val="20"/>
      <w:szCs w:val="20"/>
    </w:rPr>
  </w:style>
  <w:style w:type="character" w:customStyle="1" w:styleId="TeksKomentarKAR">
    <w:name w:val="Teks Komentar KAR"/>
    <w:basedOn w:val="FontParagrafDefault"/>
    <w:link w:val="TeksKomentar"/>
    <w:uiPriority w:val="99"/>
    <w:rPr>
      <w:rFonts w:eastAsia="MS Mincho"/>
      <w:sz w:val="20"/>
      <w:szCs w:val="20"/>
    </w:rPr>
  </w:style>
  <w:style w:type="paragraph" w:styleId="SubjekKomentar">
    <w:name w:val="annotation subject"/>
    <w:basedOn w:val="TeksKomentar"/>
    <w:next w:val="TeksKomentar"/>
    <w:link w:val="SubjekKomentarKAR"/>
    <w:uiPriority w:val="99"/>
    <w:rPr>
      <w:b/>
      <w:bCs/>
    </w:rPr>
  </w:style>
  <w:style w:type="character" w:customStyle="1" w:styleId="SubjekKomentarKAR">
    <w:name w:val="Subjek Komentar KAR"/>
    <w:basedOn w:val="TeksKomentarKAR"/>
    <w:link w:val="SubjekKomentar"/>
    <w:uiPriority w:val="99"/>
    <w:rPr>
      <w:rFonts w:eastAsia="MS Mincho"/>
      <w:b/>
      <w:bCs/>
      <w:sz w:val="20"/>
      <w:szCs w:val="20"/>
    </w:rPr>
  </w:style>
  <w:style w:type="character" w:customStyle="1" w:styleId="y2iqfc">
    <w:name w:val="y2iqfc"/>
    <w:basedOn w:val="FontParagrafDefault"/>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udul1KAR">
    <w:name w:val="Judul 1 KAR"/>
    <w:basedOn w:val="FontParagrafDefault"/>
    <w:link w:val="Judul1"/>
    <w:uiPriority w:val="9"/>
    <w:rPr>
      <w:rFonts w:eastAsia="MS Mincho"/>
      <w:b/>
      <w:sz w:val="48"/>
      <w:szCs w:val="48"/>
    </w:rPr>
  </w:style>
  <w:style w:type="character" w:styleId="Penekanan">
    <w:name w:val="Emphasis"/>
    <w:basedOn w:val="FontParagrafDefault"/>
    <w:uiPriority w:val="20"/>
    <w:qFormat/>
    <w:rPr>
      <w:i/>
      <w:iCs/>
    </w:rPr>
  </w:style>
  <w:style w:type="character" w:styleId="Kuat">
    <w:name w:val="Strong"/>
    <w:basedOn w:val="FontParagrafDefault"/>
    <w:uiPriority w:val="22"/>
    <w:qFormat/>
    <w:rPr>
      <w:b/>
      <w:bCs/>
    </w:rPr>
  </w:style>
  <w:style w:type="character" w:customStyle="1" w:styleId="fontstyle01">
    <w:name w:val="fontstyle01"/>
    <w:basedOn w:val="FontParagrafDefault"/>
    <w:rPr>
      <w:rFonts w:ascii="Frutiger-LightItalic" w:hAnsi="Frutiger-LightItalic" w:hint="default"/>
      <w:b w:val="0"/>
      <w:bCs w:val="0"/>
      <w:i/>
      <w:iCs/>
      <w:color w:val="242021"/>
      <w:sz w:val="20"/>
      <w:szCs w:val="20"/>
    </w:rPr>
  </w:style>
  <w:style w:type="character" w:customStyle="1" w:styleId="fontstyle21">
    <w:name w:val="fontstyle21"/>
    <w:basedOn w:val="FontParagrafDefault"/>
    <w:rPr>
      <w:rFonts w:ascii="Frutiger-Light" w:hAnsi="Frutiger-Light" w:hint="default"/>
      <w:b w:val="0"/>
      <w:bCs w:val="0"/>
      <w:i w:val="0"/>
      <w:iCs w:val="0"/>
      <w:color w:val="242021"/>
      <w:sz w:val="20"/>
      <w:szCs w:val="20"/>
    </w:rPr>
  </w:style>
  <w:style w:type="character" w:customStyle="1" w:styleId="fontstyle31">
    <w:name w:val="fontstyle31"/>
    <w:basedOn w:val="FontParagrafDefault"/>
    <w:rPr>
      <w:rFonts w:ascii="ArialNarrow-Italic" w:hAnsi="ArialNarrow-Italic" w:hint="default"/>
      <w:b w:val="0"/>
      <w:bCs w:val="0"/>
      <w:i/>
      <w:iCs/>
      <w:color w:val="242021"/>
      <w:sz w:val="20"/>
      <w:szCs w:val="20"/>
    </w:rPr>
  </w:style>
  <w:style w:type="character" w:customStyle="1" w:styleId="UnresolvedMention2">
    <w:name w:val="Unresolved Mention2"/>
    <w:basedOn w:val="FontParagrafDefault"/>
    <w:uiPriority w:val="99"/>
    <w:rPr>
      <w:color w:val="605E5C"/>
      <w:shd w:val="clear" w:color="auto" w:fill="E1DFDD"/>
    </w:rPr>
  </w:style>
  <w:style w:type="character" w:styleId="Tempatpenampungteks">
    <w:name w:val="Placeholder Text"/>
    <w:basedOn w:val="FontParagrafDefault"/>
    <w:uiPriority w:val="99"/>
    <w:semiHidden/>
    <w:rsid w:val="00E35DCC"/>
    <w:rPr>
      <w:color w:val="666666"/>
    </w:rPr>
  </w:style>
  <w:style w:type="character" w:styleId="SebutanYangBelumTerselesaikan">
    <w:name w:val="Unresolved Mention"/>
    <w:basedOn w:val="FontParagrafDefault"/>
    <w:uiPriority w:val="99"/>
    <w:semiHidden/>
    <w:unhideWhenUsed/>
    <w:rsid w:val="002E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16385">
      <w:bodyDiv w:val="1"/>
      <w:marLeft w:val="0"/>
      <w:marRight w:val="0"/>
      <w:marTop w:val="0"/>
      <w:marBottom w:val="0"/>
      <w:divBdr>
        <w:top w:val="none" w:sz="0" w:space="0" w:color="auto"/>
        <w:left w:val="none" w:sz="0" w:space="0" w:color="auto"/>
        <w:bottom w:val="none" w:sz="0" w:space="0" w:color="auto"/>
        <w:right w:val="none" w:sz="0" w:space="0" w:color="auto"/>
      </w:divBdr>
      <w:divsChild>
        <w:div w:id="1488858403">
          <w:marLeft w:val="0"/>
          <w:marRight w:val="0"/>
          <w:marTop w:val="0"/>
          <w:marBottom w:val="0"/>
          <w:divBdr>
            <w:top w:val="none" w:sz="0" w:space="0" w:color="auto"/>
            <w:left w:val="none" w:sz="0" w:space="0" w:color="auto"/>
            <w:bottom w:val="none" w:sz="0" w:space="0" w:color="auto"/>
            <w:right w:val="none" w:sz="0" w:space="0" w:color="auto"/>
          </w:divBdr>
          <w:divsChild>
            <w:div w:id="879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5653">
      <w:bodyDiv w:val="1"/>
      <w:marLeft w:val="0"/>
      <w:marRight w:val="0"/>
      <w:marTop w:val="0"/>
      <w:marBottom w:val="0"/>
      <w:divBdr>
        <w:top w:val="none" w:sz="0" w:space="0" w:color="auto"/>
        <w:left w:val="none" w:sz="0" w:space="0" w:color="auto"/>
        <w:bottom w:val="none" w:sz="0" w:space="0" w:color="auto"/>
        <w:right w:val="none" w:sz="0" w:space="0" w:color="auto"/>
      </w:divBdr>
      <w:divsChild>
        <w:div w:id="31267239">
          <w:marLeft w:val="0"/>
          <w:marRight w:val="0"/>
          <w:marTop w:val="0"/>
          <w:marBottom w:val="0"/>
          <w:divBdr>
            <w:top w:val="none" w:sz="0" w:space="0" w:color="auto"/>
            <w:left w:val="none" w:sz="0" w:space="0" w:color="auto"/>
            <w:bottom w:val="none" w:sz="0" w:space="0" w:color="auto"/>
            <w:right w:val="none" w:sz="0" w:space="0" w:color="auto"/>
          </w:divBdr>
        </w:div>
      </w:divsChild>
    </w:div>
    <w:div w:id="1077246900">
      <w:bodyDiv w:val="1"/>
      <w:marLeft w:val="0"/>
      <w:marRight w:val="0"/>
      <w:marTop w:val="0"/>
      <w:marBottom w:val="0"/>
      <w:divBdr>
        <w:top w:val="none" w:sz="0" w:space="0" w:color="auto"/>
        <w:left w:val="none" w:sz="0" w:space="0" w:color="auto"/>
        <w:bottom w:val="none" w:sz="0" w:space="0" w:color="auto"/>
        <w:right w:val="none" w:sz="0" w:space="0" w:color="auto"/>
      </w:divBdr>
      <w:divsChild>
        <w:div w:id="1127091342">
          <w:marLeft w:val="0"/>
          <w:marRight w:val="0"/>
          <w:marTop w:val="0"/>
          <w:marBottom w:val="0"/>
          <w:divBdr>
            <w:top w:val="none" w:sz="0" w:space="0" w:color="auto"/>
            <w:left w:val="none" w:sz="0" w:space="0" w:color="auto"/>
            <w:bottom w:val="none" w:sz="0" w:space="0" w:color="auto"/>
            <w:right w:val="none" w:sz="0" w:space="0" w:color="auto"/>
          </w:divBdr>
        </w:div>
      </w:divsChild>
    </w:div>
    <w:div w:id="116046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3390/ph15101221" TargetMode="External"/><Relationship Id="rId26" Type="http://schemas.openxmlformats.org/officeDocument/2006/relationships/hyperlink" Target="https://doi.org/10.1016/j.jbiotec.2016.07.005" TargetMode="External"/><Relationship Id="rId21" Type="http://schemas.openxmlformats.org/officeDocument/2006/relationships/hyperlink" Target="https://doi.org/10.1111/j.1750-3841.2011.02427.x" TargetMode="External"/><Relationship Id="rId34" Type="http://schemas.openxmlformats.org/officeDocument/2006/relationships/hyperlink" Target="https://doi.org/10.24220/2318-0897v28n1a438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doi.org/10.1007/s00253-012-3969-4" TargetMode="External"/><Relationship Id="rId33" Type="http://schemas.openxmlformats.org/officeDocument/2006/relationships/hyperlink" Target="https://doi.org/10.3390/antibiotics1111154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7860/JCDR/2016/18956.8435" TargetMode="External"/><Relationship Id="rId29" Type="http://schemas.openxmlformats.org/officeDocument/2006/relationships/hyperlink" Target="https://doi.org/10.1063/1.50825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1016/j.lwt.2011.03.003" TargetMode="External"/><Relationship Id="rId32" Type="http://schemas.openxmlformats.org/officeDocument/2006/relationships/hyperlink" Target="https://doi.org/10.3390/molecules29174210"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15517/rbt.v64i3.20848" TargetMode="External"/><Relationship Id="rId28" Type="http://schemas.openxmlformats.org/officeDocument/2006/relationships/hyperlink" Target="https://doi.org/10.36929/jpk.v12i2.733"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oi.org/10.3390/molecules27165055" TargetMode="External"/><Relationship Id="rId31" Type="http://schemas.openxmlformats.org/officeDocument/2006/relationships/hyperlink" Target="https://doi.org/10.1063/1.508251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doi.org/10.1155/2019/2421695" TargetMode="External"/><Relationship Id="rId27" Type="http://schemas.openxmlformats.org/officeDocument/2006/relationships/hyperlink" Target="https://doi.org/10.13140/RG.2.1.2274.6961" TargetMode="External"/><Relationship Id="rId30" Type="http://schemas.openxmlformats.org/officeDocument/2006/relationships/hyperlink" Target="https://doi.org/https://doi.org/10.1016/j.foodres.2007.09.006" TargetMode="External"/><Relationship Id="rId35" Type="http://schemas.openxmlformats.org/officeDocument/2006/relationships/hyperlink" Target="https://doi.org/https://doi.org/10.1016/j.foodchem.2022.133728"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F2B6E-C4E2-2E47-A27D-5B9E7B402A5F}">
  <we:reference id="wa104382081" version="1.55.1.0" store="en-US" storeType="OMEX"/>
  <we:alternateReferences>
    <we:reference id="wa104382081" version="1.55.1.0" store="en-US" storeType="OMEX"/>
  </we:alternateReferences>
  <we:properties>
    <we:property name="MENDELEY_CITATIONS" value="[]"/>
    <we:property name="MENDELEY_CITATIONS_LOCALE_CODE" value="&quot;en-US&quot;"/>
    <we:property name="MENDELEY_CITATIONS_STYLE" value="{&quot;id&quot;:&quot;https://www.zotero.org/styles/elsevier-vancouver-no-et-al&quot;,&quot;title&quot;:&quot;Elsevier - Vancouver (no \&quot;et al.\&quot;)&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0A2F750-CA83-46EA-A891-F85243691690}">
  <ds:schemaRefs>
    <ds:schemaRef ds:uri="http://www.wps.cn/android/officeDocument/2013/mofficeCustomData"/>
  </ds:schemaRefs>
</ds:datastoreItem>
</file>

<file path=customXml/itemProps2.xml><?xml version="1.0" encoding="utf-8"?>
<ds:datastoreItem xmlns:ds="http://schemas.openxmlformats.org/officeDocument/2006/customXml" ds:itemID="{E766DA3F-32B0-4287-8C55-707B6E6864A7}">
  <ds:schemaRefs>
    <ds:schemaRef ds:uri="http://www.wps.cn/android/officeDocument/2013/mofficeCustomData"/>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05DE97-7749-4F4B-BA88-548817D959DB}">
  <ds:schemaRefs>
    <ds:schemaRef ds:uri="http://www.wps.cn/android/officeDocument/2013/mofficeCustomData"/>
  </ds:schemaRefs>
</ds:datastoreItem>
</file>

<file path=customXml/itemProps6.xml><?xml version="1.0" encoding="utf-8"?>
<ds:datastoreItem xmlns:ds="http://schemas.openxmlformats.org/officeDocument/2006/customXml" ds:itemID="{A9B165A1-FFDF-4092-9355-800D74D4D10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Jurnal Proteksi Kesehatan Vol.12, No.1, Mei 2023, pp. 1-6 ISSN 2715-1115 (Online), ISSN 2302 – 8610 (Print)</vt:lpstr>
    </vt:vector>
  </TitlesOfParts>
  <Company>HP</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3</cp:revision>
  <cp:lastPrinted>2023-05-02T07:00:00Z</cp:lastPrinted>
  <dcterms:created xsi:type="dcterms:W3CDTF">2025-07-04T10:11:00Z</dcterms:created>
  <dcterms:modified xsi:type="dcterms:W3CDTF">2025-07-04T10:11:00Z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ICV">
    <vt:lpwstr>8d456e98dacf4f5690ca40f8734520f4</vt:lpwstr>
  </property>
</Properties>
</file>