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B0C0" w14:textId="23A3B125" w:rsidR="00D93684" w:rsidRPr="00296EB9" w:rsidRDefault="00343E8F">
      <w:pPr>
        <w:spacing w:after="0" w:line="240" w:lineRule="auto"/>
        <w:jc w:val="center"/>
        <w:rPr>
          <w:rFonts w:ascii="Tw Cen MT" w:eastAsia="Twentieth Century" w:hAnsi="Tw Cen MT" w:cs="Twentieth Century"/>
          <w:b/>
          <w:sz w:val="32"/>
          <w:szCs w:val="32"/>
        </w:rPr>
      </w:pPr>
      <w:r w:rsidRPr="009B319A">
        <w:rPr>
          <w:rFonts w:ascii="Tw Cen MT" w:hAnsi="Tw Cen MT"/>
          <w:b/>
          <w:sz w:val="32"/>
          <w:szCs w:val="32"/>
        </w:rPr>
        <w:t xml:space="preserve">Implementation of </w:t>
      </w:r>
      <w:r w:rsidRPr="009B319A">
        <w:rPr>
          <w:rFonts w:ascii="Tw Cen MT" w:hAnsi="Tw Cen MT"/>
          <w:b/>
          <w:sz w:val="32"/>
          <w:szCs w:val="32"/>
          <w:lang w:val="id-ID"/>
        </w:rPr>
        <w:t>Hypertension Surveillance at Majalengka District Health Office</w:t>
      </w:r>
    </w:p>
    <w:p w14:paraId="6EA5A384" w14:textId="77777777" w:rsidR="00D93684" w:rsidRPr="00296EB9" w:rsidRDefault="00D93684">
      <w:pPr>
        <w:spacing w:after="0" w:line="240" w:lineRule="auto"/>
        <w:jc w:val="center"/>
        <w:rPr>
          <w:rFonts w:ascii="Tw Cen MT" w:eastAsia="Twentieth Century" w:hAnsi="Tw Cen MT" w:cs="Twentieth Century"/>
          <w:b/>
          <w:sz w:val="32"/>
          <w:szCs w:val="32"/>
        </w:rPr>
      </w:pPr>
      <w:bookmarkStart w:id="0" w:name="_heading=h.2zvyxk7t70gr" w:colFirst="0" w:colLast="0"/>
      <w:bookmarkEnd w:id="0"/>
    </w:p>
    <w:p w14:paraId="1AA7CC5A" w14:textId="7A1CD365" w:rsidR="00D93684" w:rsidRPr="00343E8F" w:rsidRDefault="00B43B99" w:rsidP="00343E8F">
      <w:pPr>
        <w:spacing w:after="0" w:line="240" w:lineRule="auto"/>
        <w:jc w:val="center"/>
        <w:rPr>
          <w:rFonts w:ascii="Tw Cen MT" w:eastAsia="Twentieth Century" w:hAnsi="Tw Cen MT" w:cs="Twentieth Century"/>
          <w:b/>
          <w:sz w:val="32"/>
          <w:szCs w:val="32"/>
          <w:lang w:val="id-ID"/>
        </w:rPr>
      </w:pPr>
      <w:bookmarkStart w:id="1" w:name="_heading=h.ku3htxpixa9v" w:colFirst="0" w:colLast="0"/>
      <w:bookmarkEnd w:id="1"/>
      <w:r w:rsidRPr="00296EB9">
        <w:rPr>
          <w:rFonts w:ascii="Tw Cen MT" w:eastAsia="Twentieth Century" w:hAnsi="Tw Cen MT" w:cs="Twentieth Century"/>
          <w:b/>
          <w:sz w:val="32"/>
          <w:szCs w:val="32"/>
        </w:rPr>
        <w:t xml:space="preserve"> </w:t>
      </w:r>
      <w:r w:rsidR="00343E8F">
        <w:rPr>
          <w:rFonts w:ascii="Tw Cen MT" w:eastAsia="Twentieth Century" w:hAnsi="Tw Cen MT" w:cs="Twentieth Century"/>
          <w:b/>
          <w:sz w:val="32"/>
          <w:szCs w:val="32"/>
          <w:lang w:val="id-ID"/>
        </w:rPr>
        <w:t>Pelaksanaan Surveilans Hipertensi di Dinas Kesehatan Kabupaten Majalengka</w:t>
      </w:r>
    </w:p>
    <w:p w14:paraId="3257577D" w14:textId="77777777" w:rsidR="00D93684" w:rsidRPr="00296EB9" w:rsidRDefault="00D93684">
      <w:pPr>
        <w:widowControl w:val="0"/>
        <w:spacing w:after="0" w:line="218" w:lineRule="auto"/>
        <w:ind w:left="7" w:right="-20"/>
        <w:jc w:val="center"/>
        <w:rPr>
          <w:rFonts w:ascii="Tw Cen MT" w:eastAsia="Twentieth Century" w:hAnsi="Tw Cen MT" w:cs="Twentieth Century"/>
          <w:sz w:val="24"/>
          <w:szCs w:val="24"/>
        </w:rPr>
      </w:pPr>
    </w:p>
    <w:p w14:paraId="5BC41220" w14:textId="78318BAC" w:rsidR="00D93684" w:rsidRPr="00296EB9" w:rsidRDefault="00343E8F">
      <w:pPr>
        <w:widowControl w:val="0"/>
        <w:spacing w:after="0" w:line="218" w:lineRule="auto"/>
        <w:ind w:left="7" w:right="-20"/>
        <w:jc w:val="center"/>
        <w:rPr>
          <w:rFonts w:ascii="Tw Cen MT" w:eastAsia="Twentieth Century" w:hAnsi="Tw Cen MT" w:cs="Twentieth Century"/>
          <w:sz w:val="24"/>
          <w:szCs w:val="24"/>
        </w:rPr>
      </w:pPr>
      <w:r w:rsidRPr="00343E8F">
        <w:rPr>
          <w:rFonts w:ascii="Tw Cen MT" w:eastAsia="Twentieth Century" w:hAnsi="Tw Cen MT" w:cs="Twentieth Century"/>
          <w:iCs/>
          <w:sz w:val="24"/>
          <w:szCs w:val="24"/>
          <w:lang w:val="id-ID"/>
        </w:rPr>
        <w:t>Fidah Syadidurrahmah</w:t>
      </w:r>
      <w:r w:rsidRPr="00343E8F">
        <w:rPr>
          <w:rFonts w:ascii="Tw Cen MT" w:eastAsia="Twentieth Century" w:hAnsi="Tw Cen MT" w:cs="Twentieth Century"/>
          <w:iCs/>
          <w:sz w:val="24"/>
          <w:szCs w:val="24"/>
          <w:vertAlign w:val="superscript"/>
        </w:rPr>
        <w:t>1</w:t>
      </w:r>
      <w:r w:rsidRPr="00343E8F">
        <w:rPr>
          <w:rFonts w:ascii="Tw Cen MT" w:eastAsia="Twentieth Century" w:hAnsi="Tw Cen MT" w:cs="Twentieth Century"/>
          <w:iCs/>
          <w:sz w:val="24"/>
          <w:szCs w:val="24"/>
          <w:lang w:val="id-ID"/>
        </w:rPr>
        <w:t>,</w:t>
      </w:r>
      <w:r w:rsidRPr="00343E8F">
        <w:rPr>
          <w:rFonts w:ascii="Tw Cen MT" w:eastAsia="Twentieth Century" w:hAnsi="Tw Cen MT" w:cs="Twentieth Century"/>
          <w:iCs/>
          <w:sz w:val="24"/>
          <w:szCs w:val="24"/>
          <w:vertAlign w:val="superscript"/>
        </w:rPr>
        <w:t xml:space="preserve"> </w:t>
      </w:r>
      <w:r w:rsidRPr="00343E8F">
        <w:rPr>
          <w:rFonts w:ascii="Tw Cen MT" w:eastAsia="Twentieth Century" w:hAnsi="Tw Cen MT" w:cs="Twentieth Century"/>
          <w:iCs/>
          <w:sz w:val="24"/>
          <w:szCs w:val="24"/>
          <w:lang w:val="id-ID"/>
        </w:rPr>
        <w:t>Hoirun Nisa</w:t>
      </w:r>
      <w:r w:rsidRPr="00343E8F">
        <w:rPr>
          <w:rFonts w:ascii="Tw Cen MT" w:eastAsia="Twentieth Century" w:hAnsi="Tw Cen MT" w:cs="Twentieth Century"/>
          <w:iCs/>
          <w:sz w:val="24"/>
          <w:szCs w:val="24"/>
          <w:vertAlign w:val="superscript"/>
        </w:rPr>
        <w:t>2</w:t>
      </w:r>
      <w:r w:rsidRPr="00343E8F">
        <w:rPr>
          <w:rFonts w:ascii="Tw Cen MT" w:eastAsia="Twentieth Century" w:hAnsi="Tw Cen MT" w:cs="Twentieth Century"/>
          <w:iCs/>
          <w:sz w:val="24"/>
          <w:szCs w:val="24"/>
          <w:lang w:val="id-ID"/>
        </w:rPr>
        <w:t>, Mumu Hermawan</w:t>
      </w:r>
      <w:r w:rsidRPr="00343E8F">
        <w:rPr>
          <w:rFonts w:ascii="Tw Cen MT" w:eastAsia="Twentieth Century" w:hAnsi="Tw Cen MT" w:cs="Twentieth Century"/>
          <w:iCs/>
          <w:sz w:val="24"/>
          <w:szCs w:val="24"/>
          <w:vertAlign w:val="superscript"/>
          <w:lang w:val="id-ID"/>
        </w:rPr>
        <w:t>3</w:t>
      </w:r>
    </w:p>
    <w:p w14:paraId="18391922" w14:textId="418966E8" w:rsidR="00343E8F" w:rsidRDefault="00343E8F" w:rsidP="00343E8F">
      <w:pPr>
        <w:widowControl w:val="0"/>
        <w:spacing w:after="0" w:line="218" w:lineRule="auto"/>
        <w:ind w:left="7" w:right="-20"/>
        <w:jc w:val="center"/>
        <w:rPr>
          <w:rFonts w:ascii="Tw Cen MT" w:eastAsia="Twentieth Century" w:hAnsi="Tw Cen MT" w:cs="Twentieth Century"/>
          <w:iCs/>
          <w:sz w:val="20"/>
          <w:szCs w:val="20"/>
          <w:lang w:val="id-ID"/>
        </w:rPr>
      </w:pPr>
      <w:r w:rsidRPr="00343E8F">
        <w:rPr>
          <w:rFonts w:ascii="Tw Cen MT" w:eastAsia="Twentieth Century" w:hAnsi="Tw Cen MT" w:cs="Twentieth Century"/>
          <w:iCs/>
          <w:sz w:val="20"/>
          <w:szCs w:val="20"/>
        </w:rPr>
        <w:t xml:space="preserve">Program </w:t>
      </w:r>
      <w:proofErr w:type="spellStart"/>
      <w:r w:rsidRPr="00343E8F">
        <w:rPr>
          <w:rFonts w:ascii="Tw Cen MT" w:eastAsia="Twentieth Century" w:hAnsi="Tw Cen MT" w:cs="Twentieth Century"/>
          <w:iCs/>
          <w:sz w:val="20"/>
          <w:szCs w:val="20"/>
        </w:rPr>
        <w:t>Studi</w:t>
      </w:r>
      <w:proofErr w:type="spellEnd"/>
      <w:r w:rsidRPr="00343E8F">
        <w:rPr>
          <w:rFonts w:ascii="Tw Cen MT" w:eastAsia="Twentieth Century" w:hAnsi="Tw Cen MT" w:cs="Twentieth Century"/>
          <w:iCs/>
          <w:sz w:val="20"/>
          <w:szCs w:val="20"/>
        </w:rPr>
        <w:t xml:space="preserve"> </w:t>
      </w:r>
      <w:r w:rsidRPr="00343E8F">
        <w:rPr>
          <w:rFonts w:ascii="Tw Cen MT" w:eastAsia="Twentieth Century" w:hAnsi="Tw Cen MT" w:cs="Twentieth Century"/>
          <w:iCs/>
          <w:sz w:val="20"/>
          <w:szCs w:val="20"/>
          <w:lang w:val="id-ID"/>
        </w:rPr>
        <w:t>Kesehatan Masyarakat</w:t>
      </w:r>
      <w:r w:rsidRPr="00343E8F">
        <w:rPr>
          <w:rFonts w:ascii="Tw Cen MT" w:eastAsia="Twentieth Century" w:hAnsi="Tw Cen MT" w:cs="Twentieth Century"/>
          <w:iCs/>
          <w:sz w:val="20"/>
          <w:szCs w:val="20"/>
        </w:rPr>
        <w:t xml:space="preserve">, </w:t>
      </w:r>
      <w:proofErr w:type="spellStart"/>
      <w:r w:rsidRPr="00343E8F">
        <w:rPr>
          <w:rFonts w:ascii="Tw Cen MT" w:eastAsia="Twentieth Century" w:hAnsi="Tw Cen MT" w:cs="Twentieth Century"/>
          <w:iCs/>
          <w:sz w:val="20"/>
          <w:szCs w:val="20"/>
        </w:rPr>
        <w:t>Fakultas</w:t>
      </w:r>
      <w:proofErr w:type="spellEnd"/>
      <w:r w:rsidRPr="00343E8F">
        <w:rPr>
          <w:rFonts w:ascii="Tw Cen MT" w:eastAsia="Twentieth Century" w:hAnsi="Tw Cen MT" w:cs="Twentieth Century"/>
          <w:iCs/>
          <w:sz w:val="20"/>
          <w:szCs w:val="20"/>
        </w:rPr>
        <w:t xml:space="preserve"> </w:t>
      </w:r>
      <w:proofErr w:type="spellStart"/>
      <w:r w:rsidRPr="00343E8F">
        <w:rPr>
          <w:rFonts w:ascii="Tw Cen MT" w:eastAsia="Twentieth Century" w:hAnsi="Tw Cen MT" w:cs="Twentieth Century"/>
          <w:iCs/>
          <w:sz w:val="20"/>
          <w:szCs w:val="20"/>
        </w:rPr>
        <w:t>Ilmu</w:t>
      </w:r>
      <w:proofErr w:type="spellEnd"/>
      <w:r w:rsidRPr="00343E8F">
        <w:rPr>
          <w:rFonts w:ascii="Tw Cen MT" w:eastAsia="Twentieth Century" w:hAnsi="Tw Cen MT" w:cs="Twentieth Century"/>
          <w:iCs/>
          <w:sz w:val="20"/>
          <w:szCs w:val="20"/>
        </w:rPr>
        <w:t xml:space="preserve"> Kesehatan,</w:t>
      </w:r>
      <w:r w:rsidRPr="00343E8F">
        <w:rPr>
          <w:rFonts w:ascii="Tw Cen MT" w:eastAsia="Twentieth Century" w:hAnsi="Tw Cen MT" w:cs="Twentieth Century"/>
          <w:iCs/>
          <w:sz w:val="20"/>
          <w:szCs w:val="20"/>
          <w:lang w:val="id-ID"/>
        </w:rPr>
        <w:t xml:space="preserve"> UIN Syarif Hidayatullah Jakarta</w:t>
      </w:r>
      <w:r w:rsidRPr="00343E8F">
        <w:rPr>
          <w:rFonts w:ascii="Tw Cen MT" w:eastAsia="Twentieth Century" w:hAnsi="Tw Cen MT" w:cs="Twentieth Century"/>
          <w:iCs/>
          <w:sz w:val="20"/>
          <w:szCs w:val="20"/>
          <w:vertAlign w:val="superscript"/>
          <w:lang w:val="id-ID"/>
        </w:rPr>
        <w:t>1,</w:t>
      </w:r>
      <w:r w:rsidRPr="00343E8F">
        <w:rPr>
          <w:rFonts w:ascii="Tw Cen MT" w:eastAsia="Twentieth Century" w:hAnsi="Tw Cen MT" w:cs="Twentieth Century"/>
          <w:iCs/>
          <w:sz w:val="20"/>
          <w:szCs w:val="20"/>
          <w:vertAlign w:val="superscript"/>
        </w:rPr>
        <w:t>2</w:t>
      </w:r>
      <w:r w:rsidRPr="00343E8F">
        <w:rPr>
          <w:rFonts w:ascii="Tw Cen MT" w:eastAsia="Twentieth Century" w:hAnsi="Tw Cen MT" w:cs="Twentieth Century"/>
          <w:iCs/>
          <w:sz w:val="20"/>
          <w:szCs w:val="20"/>
          <w:lang w:val="id-ID"/>
        </w:rPr>
        <w:t xml:space="preserve">, </w:t>
      </w:r>
    </w:p>
    <w:p w14:paraId="3EC5E48F" w14:textId="71B718A3" w:rsidR="00343E8F" w:rsidRPr="00343E8F" w:rsidRDefault="00343E8F" w:rsidP="00343E8F">
      <w:pPr>
        <w:widowControl w:val="0"/>
        <w:spacing w:after="0" w:line="218" w:lineRule="auto"/>
        <w:ind w:left="7" w:right="-20"/>
        <w:jc w:val="center"/>
        <w:rPr>
          <w:rFonts w:ascii="Tw Cen MT" w:eastAsia="Twentieth Century" w:hAnsi="Tw Cen MT" w:cs="Twentieth Century"/>
          <w:iCs/>
          <w:sz w:val="20"/>
          <w:szCs w:val="20"/>
          <w:lang w:val="id-ID"/>
        </w:rPr>
      </w:pPr>
      <w:r w:rsidRPr="00343E8F">
        <w:rPr>
          <w:rFonts w:ascii="Tw Cen MT" w:eastAsia="Twentieth Century" w:hAnsi="Tw Cen MT" w:cs="Twentieth Century"/>
          <w:iCs/>
          <w:sz w:val="20"/>
          <w:szCs w:val="20"/>
          <w:lang w:val="id-ID"/>
        </w:rPr>
        <w:t>Dinas Kesehatan Kab</w:t>
      </w:r>
      <w:proofErr w:type="spellStart"/>
      <w:r w:rsidRPr="00343E8F">
        <w:rPr>
          <w:rFonts w:ascii="Tw Cen MT" w:eastAsia="Twentieth Century" w:hAnsi="Tw Cen MT" w:cs="Twentieth Century"/>
          <w:iCs/>
          <w:sz w:val="20"/>
          <w:szCs w:val="20"/>
        </w:rPr>
        <w:t>upaten</w:t>
      </w:r>
      <w:proofErr w:type="spellEnd"/>
      <w:r w:rsidRPr="00343E8F">
        <w:rPr>
          <w:rFonts w:ascii="Tw Cen MT" w:eastAsia="Twentieth Century" w:hAnsi="Tw Cen MT" w:cs="Twentieth Century"/>
          <w:iCs/>
          <w:sz w:val="20"/>
          <w:szCs w:val="20"/>
          <w:lang w:val="id-ID"/>
        </w:rPr>
        <w:t xml:space="preserve"> Majalengka</w:t>
      </w:r>
      <w:r w:rsidRPr="00343E8F">
        <w:rPr>
          <w:rFonts w:ascii="Tw Cen MT" w:eastAsia="Twentieth Century" w:hAnsi="Tw Cen MT" w:cs="Twentieth Century"/>
          <w:iCs/>
          <w:sz w:val="20"/>
          <w:szCs w:val="20"/>
          <w:vertAlign w:val="superscript"/>
          <w:lang w:val="id-ID"/>
        </w:rPr>
        <w:t>3</w:t>
      </w:r>
    </w:p>
    <w:p w14:paraId="4FAB6714" w14:textId="48DE18B7" w:rsidR="00D93684" w:rsidRPr="00296EB9" w:rsidRDefault="00FF1198" w:rsidP="00343E8F">
      <w:pPr>
        <w:widowControl w:val="0"/>
        <w:spacing w:after="0" w:line="218" w:lineRule="auto"/>
        <w:ind w:left="7" w:right="-20"/>
        <w:jc w:val="center"/>
        <w:rPr>
          <w:rFonts w:ascii="Tw Cen MT" w:eastAsia="Twentieth Century" w:hAnsi="Tw Cen MT" w:cs="Twentieth Century"/>
          <w:sz w:val="20"/>
          <w:szCs w:val="20"/>
        </w:rPr>
      </w:pPr>
      <w:hyperlink r:id="rId9" w:history="1">
        <w:r w:rsidR="00343E8F" w:rsidRPr="00343E8F">
          <w:rPr>
            <w:rStyle w:val="Hyperlink"/>
            <w:rFonts w:ascii="Tw Cen MT" w:eastAsia="Twentieth Century" w:hAnsi="Tw Cen MT" w:cs="Twentieth Century"/>
            <w:iCs/>
            <w:sz w:val="20"/>
            <w:szCs w:val="20"/>
          </w:rPr>
          <w:t>hoirun.nisa@uinjkt.ac.id</w:t>
        </w:r>
      </w:hyperlink>
    </w:p>
    <w:p w14:paraId="7D9E3B56" w14:textId="77777777" w:rsidR="00D93684" w:rsidRPr="00296EB9" w:rsidRDefault="00B43B99">
      <w:pPr>
        <w:spacing w:after="0"/>
        <w:rPr>
          <w:rFonts w:ascii="Tw Cen MT" w:hAnsi="Tw Cen MT"/>
        </w:rPr>
      </w:pPr>
      <w:r w:rsidRPr="00296EB9">
        <w:rPr>
          <w:rFonts w:ascii="Tw Cen MT" w:hAnsi="Tw Cen MT"/>
        </w:rPr>
        <w:tab/>
      </w:r>
      <w:r w:rsidRPr="00296EB9">
        <w:rPr>
          <w:rFonts w:ascii="Tw Cen MT" w:hAnsi="Tw Cen MT"/>
        </w:rPr>
        <w:tab/>
      </w:r>
      <w:r w:rsidRPr="00296EB9">
        <w:rPr>
          <w:rFonts w:ascii="Tw Cen MT" w:hAnsi="Tw Cen MT"/>
        </w:rPr>
        <w:tab/>
      </w:r>
      <w:r w:rsidRPr="00296EB9">
        <w:rPr>
          <w:rFonts w:ascii="Tw Cen MT" w:hAnsi="Tw Cen MT"/>
        </w:rPr>
        <w:tab/>
        <w:t xml:space="preserve">     </w:t>
      </w:r>
      <w:r w:rsidRPr="00296EB9">
        <w:rPr>
          <w:rFonts w:ascii="Tw Cen MT" w:hAnsi="Tw Cen MT"/>
          <w:noProof/>
        </w:rPr>
        <mc:AlternateContent>
          <mc:Choice Requires="wpg">
            <w:drawing>
              <wp:anchor distT="0" distB="0" distL="114300" distR="114300" simplePos="0" relativeHeight="251658240" behindDoc="0" locked="0" layoutInCell="1" hidden="0" allowOverlap="1" wp14:anchorId="18367153" wp14:editId="7BA63F9C">
                <wp:simplePos x="0" y="0"/>
                <wp:positionH relativeFrom="column">
                  <wp:posOffset>12701</wp:posOffset>
                </wp:positionH>
                <wp:positionV relativeFrom="paragraph">
                  <wp:posOffset>139700</wp:posOffset>
                </wp:positionV>
                <wp:extent cx="5937885" cy="19050"/>
                <wp:effectExtent l="0" t="0" r="0" b="0"/>
                <wp:wrapNone/>
                <wp:docPr id="58" name="Straight Arrow Connector 58"/>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139700</wp:posOffset>
                </wp:positionV>
                <wp:extent cx="5937885" cy="19050"/>
                <wp:effectExtent b="0" l="0" r="0" t="0"/>
                <wp:wrapNone/>
                <wp:docPr id="58" name="image3.png"/>
                <a:graphic>
                  <a:graphicData uri="http://schemas.openxmlformats.org/drawingml/2006/picture">
                    <pic:pic>
                      <pic:nvPicPr>
                        <pic:cNvPr id="0" name="image3.png"/>
                        <pic:cNvPicPr preferRelativeResize="0"/>
                      </pic:nvPicPr>
                      <pic:blipFill>
                        <a:blip r:embed="rId14"/>
                        <a:srcRect/>
                        <a:stretch>
                          <a:fillRect/>
                        </a:stretch>
                      </pic:blipFill>
                      <pic:spPr>
                        <a:xfrm>
                          <a:off x="0" y="0"/>
                          <a:ext cx="5937885" cy="19050"/>
                        </a:xfrm>
                        <a:prstGeom prst="rect"/>
                        <a:ln/>
                      </pic:spPr>
                    </pic:pic>
                  </a:graphicData>
                </a:graphic>
              </wp:anchor>
            </w:drawing>
          </mc:Fallback>
        </mc:AlternateContent>
      </w:r>
      <w:r w:rsidRPr="00296EB9">
        <w:rPr>
          <w:rFonts w:ascii="Tw Cen MT" w:hAnsi="Tw Cen MT"/>
          <w:noProof/>
        </w:rPr>
        <mc:AlternateContent>
          <mc:Choice Requires="wps">
            <w:drawing>
              <wp:anchor distT="0" distB="0" distL="114300" distR="114300" simplePos="0" relativeHeight="251659264" behindDoc="0" locked="0" layoutInCell="1" hidden="0" allowOverlap="1" wp14:anchorId="33E3484C" wp14:editId="31595291">
                <wp:simplePos x="0" y="0"/>
                <wp:positionH relativeFrom="column">
                  <wp:posOffset>12701</wp:posOffset>
                </wp:positionH>
                <wp:positionV relativeFrom="paragraph">
                  <wp:posOffset>165100</wp:posOffset>
                </wp:positionV>
                <wp:extent cx="1952625" cy="1571625"/>
                <wp:effectExtent l="0" t="0" r="0" b="0"/>
                <wp:wrapNone/>
                <wp:docPr id="61" name="Rectangle 61"/>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1A888D13" w14:textId="77777777"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14:paraId="0398E407" w14:textId="77777777" w:rsidR="00D93684" w:rsidRDefault="00D93684">
                            <w:pPr>
                              <w:spacing w:after="0"/>
                              <w:ind w:left="-85" w:hanging="85"/>
                              <w:textDirection w:val="btLr"/>
                            </w:pPr>
                          </w:p>
                          <w:p w14:paraId="1B709705" w14:textId="77777777"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14:paraId="495E5051"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423C016D"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130F8FD0"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70CD08A" w14:textId="77777777" w:rsidR="00D93684" w:rsidRDefault="00D93684">
                            <w:pPr>
                              <w:spacing w:after="0"/>
                              <w:ind w:left="-85" w:right="-56" w:hanging="85"/>
                              <w:textDirection w:val="btLr"/>
                            </w:pPr>
                          </w:p>
                          <w:p w14:paraId="21A91DE5" w14:textId="77777777" w:rsidR="00D93684" w:rsidRDefault="00D93684">
                            <w:pPr>
                              <w:textDirection w:val="btLr"/>
                            </w:pPr>
                          </w:p>
                        </w:txbxContent>
                      </wps:txbx>
                      <wps:bodyPr spcFirstLastPara="1" wrap="square" lIns="91425" tIns="45700" rIns="91425" bIns="45700" anchor="ctr" anchorCtr="0">
                        <a:noAutofit/>
                      </wps:bodyPr>
                    </wps:wsp>
                  </a:graphicData>
                </a:graphic>
              </wp:anchor>
            </w:drawing>
          </mc:Choice>
          <mc:Fallback>
            <w:pict>
              <v:rect w14:anchorId="33E3484C" id="Rectangle 61" o:spid="_x0000_s1026" style="position:absolute;margin-left:1pt;margin-top:13pt;width:153.75pt;height:12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" fillcolor="white [3201]" stroked="f">
                <v:textbox inset="2.53958mm,1.2694mm,2.53958mm,1.2694mm">
                  <w:txbxContent>
                    <w:p w14:paraId="1A888D13" w14:textId="77777777" w:rsidR="00D93684" w:rsidRDefault="00B43B99">
                      <w:pPr>
                        <w:spacing w:after="0"/>
                        <w:ind w:left="-85" w:hanging="85"/>
                        <w:textDirection w:val="btLr"/>
                      </w:pPr>
                      <w:r>
                        <w:rPr>
                          <w:rFonts w:ascii="Twentieth Century" w:eastAsia="Twentieth Century" w:hAnsi="Twentieth Century" w:cs="Twentieth Century"/>
                          <w:b/>
                          <w:color w:val="000000"/>
                          <w:sz w:val="20"/>
                        </w:rPr>
                        <w:t xml:space="preserve">Article Info </w:t>
                      </w:r>
                    </w:p>
                    <w:p w14:paraId="0398E407" w14:textId="77777777" w:rsidR="00D93684" w:rsidRDefault="00D93684">
                      <w:pPr>
                        <w:spacing w:after="0"/>
                        <w:ind w:left="-85" w:hanging="85"/>
                        <w:textDirection w:val="btLr"/>
                      </w:pPr>
                    </w:p>
                    <w:p w14:paraId="1B709705" w14:textId="77777777" w:rsidR="00D93684" w:rsidRDefault="00B43B99">
                      <w:pPr>
                        <w:spacing w:after="0"/>
                        <w:ind w:left="-85" w:hanging="85"/>
                        <w:textDirection w:val="btLr"/>
                      </w:pPr>
                      <w:r>
                        <w:rPr>
                          <w:rFonts w:ascii="Twentieth Century" w:eastAsia="Twentieth Century" w:hAnsi="Twentieth Century" w:cs="Twentieth Century"/>
                          <w:b/>
                          <w:i/>
                          <w:color w:val="000000"/>
                          <w:sz w:val="20"/>
                        </w:rPr>
                        <w:t>Article history</w:t>
                      </w:r>
                    </w:p>
                    <w:p w14:paraId="495E5051"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Received date: </w:t>
                      </w:r>
                    </w:p>
                    <w:p w14:paraId="423C016D"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Revised date: </w:t>
                      </w:r>
                    </w:p>
                    <w:p w14:paraId="130F8FD0" w14:textId="77777777" w:rsidR="00D93684" w:rsidRDefault="00B43B99">
                      <w:pPr>
                        <w:spacing w:after="0" w:line="240" w:lineRule="auto"/>
                        <w:ind w:left="-125" w:right="-56"/>
                        <w:textDirection w:val="btLr"/>
                      </w:pPr>
                      <w:r>
                        <w:rPr>
                          <w:rFonts w:ascii="Twentieth Century" w:eastAsia="Twentieth Century" w:hAnsi="Twentieth Century" w:cs="Twentieth Century"/>
                          <w:color w:val="000000"/>
                          <w:sz w:val="20"/>
                        </w:rPr>
                        <w:t xml:space="preserve">Accepted date: </w:t>
                      </w:r>
                    </w:p>
                    <w:p w14:paraId="570CD08A" w14:textId="77777777" w:rsidR="00D93684" w:rsidRDefault="00D93684">
                      <w:pPr>
                        <w:spacing w:after="0"/>
                        <w:ind w:left="-85" w:right="-56" w:hanging="85"/>
                        <w:textDirection w:val="btLr"/>
                      </w:pPr>
                    </w:p>
                    <w:p w14:paraId="21A91DE5" w14:textId="77777777" w:rsidR="00D93684" w:rsidRDefault="00D93684">
                      <w:pPr>
                        <w:textDirection w:val="btLr"/>
                      </w:pPr>
                    </w:p>
                  </w:txbxContent>
                </v:textbox>
              </v:rect>
            </w:pict>
          </mc:Fallback>
        </mc:AlternateContent>
      </w:r>
    </w:p>
    <w:p w14:paraId="460AC6FC" w14:textId="77777777" w:rsidR="007A6C67" w:rsidRPr="007A6C67" w:rsidRDefault="007A6C67" w:rsidP="007A6C67">
      <w:pPr>
        <w:spacing w:after="0" w:line="240" w:lineRule="auto"/>
        <w:ind w:left="3150"/>
        <w:jc w:val="both"/>
        <w:rPr>
          <w:rFonts w:ascii="Tw Cen MT" w:eastAsia="Twentieth Century" w:hAnsi="Tw Cen MT" w:cs="Twentieth Century"/>
          <w:b/>
          <w:i/>
          <w:iCs/>
          <w:sz w:val="20"/>
          <w:szCs w:val="20"/>
        </w:rPr>
      </w:pPr>
      <w:commentRangeStart w:id="2"/>
      <w:r w:rsidRPr="007A6C67">
        <w:rPr>
          <w:rFonts w:ascii="Tw Cen MT" w:eastAsia="Twentieth Century" w:hAnsi="Tw Cen MT" w:cs="Twentieth Century"/>
          <w:b/>
          <w:i/>
          <w:iCs/>
          <w:sz w:val="20"/>
          <w:szCs w:val="20"/>
        </w:rPr>
        <w:t>Abstract</w:t>
      </w:r>
      <w:commentRangeEnd w:id="2"/>
      <w:r w:rsidRPr="007A6C67">
        <w:rPr>
          <w:rFonts w:ascii="Tw Cen MT" w:eastAsia="Twentieth Century" w:hAnsi="Tw Cen MT" w:cs="Twentieth Century"/>
          <w:b/>
          <w:i/>
          <w:sz w:val="20"/>
          <w:szCs w:val="20"/>
        </w:rPr>
        <w:commentReference w:id="2"/>
      </w:r>
    </w:p>
    <w:p w14:paraId="40568FF1" w14:textId="37ACC9FB" w:rsidR="00D93684" w:rsidRPr="00296EB9" w:rsidRDefault="00343E8F">
      <w:pPr>
        <w:spacing w:after="0" w:line="240" w:lineRule="auto"/>
        <w:ind w:left="3150"/>
        <w:jc w:val="both"/>
        <w:rPr>
          <w:rFonts w:ascii="Tw Cen MT" w:eastAsia="Twentieth Century" w:hAnsi="Tw Cen MT" w:cs="Twentieth Century"/>
          <w:sz w:val="20"/>
          <w:szCs w:val="20"/>
        </w:rPr>
      </w:pPr>
      <w:r w:rsidRPr="00343E8F">
        <w:rPr>
          <w:rFonts w:ascii="Tw Cen MT" w:eastAsia="Twentieth Century" w:hAnsi="Tw Cen MT" w:cs="Twentieth Century"/>
          <w:i/>
          <w:sz w:val="20"/>
          <w:szCs w:val="20"/>
          <w:lang w:val="id-ID"/>
        </w:rPr>
        <w:t xml:space="preserve">Health office is the implementer of regional autonomy in health sector. One of the duties and functions of health office is </w:t>
      </w:r>
      <w:r w:rsidRPr="00343E8F">
        <w:rPr>
          <w:rFonts w:ascii="Tw Cen MT" w:eastAsia="Twentieth Century" w:hAnsi="Tw Cen MT" w:cs="Twentieth Century"/>
          <w:i/>
          <w:sz w:val="20"/>
          <w:szCs w:val="20"/>
        </w:rPr>
        <w:t xml:space="preserve">prevention and control of </w:t>
      </w:r>
      <w:r w:rsidRPr="00343E8F">
        <w:rPr>
          <w:rFonts w:ascii="Tw Cen MT" w:eastAsia="Twentieth Century" w:hAnsi="Tw Cen MT" w:cs="Twentieth Century"/>
          <w:i/>
          <w:sz w:val="20"/>
          <w:szCs w:val="20"/>
          <w:lang w:val="id-ID"/>
        </w:rPr>
        <w:t>health problems, including hypertension</w:t>
      </w:r>
      <w:r w:rsidRPr="00343E8F">
        <w:rPr>
          <w:rFonts w:ascii="Tw Cen MT" w:eastAsia="Twentieth Century" w:hAnsi="Tw Cen MT" w:cs="Twentieth Century"/>
          <w:i/>
          <w:sz w:val="20"/>
          <w:szCs w:val="20"/>
        </w:rPr>
        <w:t xml:space="preserve"> based on scientific evidence. </w:t>
      </w:r>
      <w:r w:rsidRPr="00343E8F">
        <w:rPr>
          <w:rFonts w:ascii="Tw Cen MT" w:eastAsia="Twentieth Century" w:hAnsi="Tw Cen MT" w:cs="Twentieth Century"/>
          <w:i/>
          <w:sz w:val="20"/>
          <w:szCs w:val="20"/>
          <w:lang w:val="id-ID"/>
        </w:rPr>
        <w:t>This study aim</w:t>
      </w:r>
      <w:r w:rsidRPr="00343E8F">
        <w:rPr>
          <w:rFonts w:ascii="Tw Cen MT" w:eastAsia="Twentieth Century" w:hAnsi="Tw Cen MT" w:cs="Twentieth Century"/>
          <w:i/>
          <w:sz w:val="20"/>
          <w:szCs w:val="20"/>
        </w:rPr>
        <w:t>ed</w:t>
      </w:r>
      <w:r w:rsidRPr="00343E8F">
        <w:rPr>
          <w:rFonts w:ascii="Tw Cen MT" w:eastAsia="Twentieth Century" w:hAnsi="Tw Cen MT" w:cs="Twentieth Century"/>
          <w:i/>
          <w:sz w:val="20"/>
          <w:szCs w:val="20"/>
          <w:lang w:val="id-ID"/>
        </w:rPr>
        <w:t xml:space="preserve"> to describe the implementation of hypertension surveillance at the Majalengka District Health Office in 2021. This study used an qualitative method by </w:t>
      </w:r>
      <w:proofErr w:type="spellStart"/>
      <w:r w:rsidR="00D96B32">
        <w:rPr>
          <w:rFonts w:ascii="Tw Cen MT" w:eastAsia="Twentieth Century" w:hAnsi="Tw Cen MT" w:cs="Twentieth Century"/>
          <w:i/>
          <w:sz w:val="20"/>
          <w:szCs w:val="20"/>
        </w:rPr>
        <w:t>indepth</w:t>
      </w:r>
      <w:proofErr w:type="spellEnd"/>
      <w:r w:rsidR="00D96B32">
        <w:rPr>
          <w:rFonts w:ascii="Tw Cen MT" w:eastAsia="Twentieth Century" w:hAnsi="Tw Cen MT" w:cs="Twentieth Century"/>
          <w:i/>
          <w:sz w:val="20"/>
          <w:szCs w:val="20"/>
        </w:rPr>
        <w:t xml:space="preserve"> </w:t>
      </w:r>
      <w:r w:rsidRPr="00343E8F">
        <w:rPr>
          <w:rFonts w:ascii="Tw Cen MT" w:eastAsia="Twentieth Century" w:hAnsi="Tw Cen MT" w:cs="Twentieth Century"/>
          <w:i/>
          <w:sz w:val="20"/>
          <w:szCs w:val="20"/>
          <w:lang w:val="id-ID"/>
        </w:rPr>
        <w:t xml:space="preserve">interview, observation and review documents. The results showed that the implementation of hypertension surveillance consisted of data collection, data processing and analysis, data interpretation and information dissemination. The </w:t>
      </w:r>
      <w:r w:rsidRPr="00343E8F">
        <w:rPr>
          <w:rFonts w:ascii="Tw Cen MT" w:eastAsia="Twentieth Century" w:hAnsi="Tw Cen MT" w:cs="Twentieth Century"/>
          <w:i/>
          <w:sz w:val="20"/>
          <w:szCs w:val="20"/>
        </w:rPr>
        <w:t>included</w:t>
      </w:r>
      <w:r w:rsidRPr="00343E8F">
        <w:rPr>
          <w:rFonts w:ascii="Tw Cen MT" w:eastAsia="Twentieth Century" w:hAnsi="Tw Cen MT" w:cs="Twentieth Century"/>
          <w:i/>
          <w:sz w:val="20"/>
          <w:szCs w:val="20"/>
          <w:lang w:val="id-ID"/>
        </w:rPr>
        <w:t xml:space="preserve"> data </w:t>
      </w:r>
      <w:r w:rsidRPr="00343E8F">
        <w:rPr>
          <w:rFonts w:ascii="Tw Cen MT" w:eastAsia="Twentieth Century" w:hAnsi="Tw Cen MT" w:cs="Twentieth Century"/>
          <w:i/>
          <w:sz w:val="20"/>
          <w:szCs w:val="20"/>
        </w:rPr>
        <w:t xml:space="preserve">in this study were </w:t>
      </w:r>
      <w:r w:rsidRPr="00343E8F">
        <w:rPr>
          <w:rFonts w:ascii="Tw Cen MT" w:eastAsia="Twentieth Century" w:hAnsi="Tw Cen MT" w:cs="Twentieth Century"/>
          <w:i/>
          <w:sz w:val="20"/>
          <w:szCs w:val="20"/>
          <w:lang w:val="id-ID"/>
        </w:rPr>
        <w:t xml:space="preserve">risk factors and case data. The implementation of hypertension surveillance at the Majalengka District Health Office has complied with the standard </w:t>
      </w:r>
      <w:r w:rsidRPr="00343E8F">
        <w:rPr>
          <w:rFonts w:ascii="Tw Cen MT" w:eastAsia="Twentieth Century" w:hAnsi="Tw Cen MT" w:cs="Twentieth Century"/>
          <w:i/>
          <w:sz w:val="20"/>
          <w:szCs w:val="20"/>
        </w:rPr>
        <w:t xml:space="preserve">NCDs’ </w:t>
      </w:r>
      <w:r w:rsidRPr="00343E8F">
        <w:rPr>
          <w:rFonts w:ascii="Tw Cen MT" w:eastAsia="Twentieth Century" w:hAnsi="Tw Cen MT" w:cs="Twentieth Century"/>
          <w:i/>
          <w:sz w:val="20"/>
          <w:szCs w:val="20"/>
          <w:lang w:val="id-ID"/>
        </w:rPr>
        <w:t xml:space="preserve">surveillance guidelines from the </w:t>
      </w:r>
      <w:r w:rsidRPr="00343E8F">
        <w:rPr>
          <w:rFonts w:ascii="Tw Cen MT" w:eastAsia="Twentieth Century" w:hAnsi="Tw Cen MT" w:cs="Twentieth Century"/>
          <w:i/>
          <w:sz w:val="20"/>
          <w:szCs w:val="20"/>
        </w:rPr>
        <w:t>Ministry of Health</w:t>
      </w:r>
      <w:r w:rsidRPr="00343E8F">
        <w:rPr>
          <w:rFonts w:ascii="Tw Cen MT" w:eastAsia="Twentieth Century" w:hAnsi="Tw Cen MT" w:cs="Twentieth Century"/>
          <w:i/>
          <w:sz w:val="20"/>
          <w:szCs w:val="20"/>
          <w:lang w:val="id-ID"/>
        </w:rPr>
        <w:t xml:space="preserve">. However, there </w:t>
      </w:r>
      <w:r w:rsidRPr="00343E8F">
        <w:rPr>
          <w:rFonts w:ascii="Tw Cen MT" w:eastAsia="Twentieth Century" w:hAnsi="Tw Cen MT" w:cs="Twentieth Century"/>
          <w:i/>
          <w:sz w:val="20"/>
          <w:szCs w:val="20"/>
        </w:rPr>
        <w:t>were</w:t>
      </w:r>
      <w:r w:rsidRPr="00343E8F">
        <w:rPr>
          <w:rFonts w:ascii="Tw Cen MT" w:eastAsia="Twentieth Century" w:hAnsi="Tw Cen MT" w:cs="Twentieth Century"/>
          <w:i/>
          <w:sz w:val="20"/>
          <w:szCs w:val="20"/>
          <w:lang w:val="id-ID"/>
        </w:rPr>
        <w:t xml:space="preserve"> still some </w:t>
      </w:r>
      <w:r w:rsidRPr="00343E8F">
        <w:rPr>
          <w:rFonts w:ascii="Tw Cen MT" w:eastAsia="Twentieth Century" w:hAnsi="Tw Cen MT" w:cs="Twentieth Century"/>
          <w:i/>
          <w:sz w:val="20"/>
          <w:szCs w:val="20"/>
        </w:rPr>
        <w:t>challenges in its operational</w:t>
      </w:r>
      <w:r w:rsidRPr="00343E8F">
        <w:rPr>
          <w:rFonts w:ascii="Tw Cen MT" w:eastAsia="Twentieth Century" w:hAnsi="Tw Cen MT" w:cs="Twentieth Century"/>
          <w:i/>
          <w:sz w:val="20"/>
          <w:szCs w:val="20"/>
          <w:lang w:val="id-ID"/>
        </w:rPr>
        <w:t xml:space="preserve">, such as the surveillance network </w:t>
      </w:r>
      <w:r w:rsidRPr="00343E8F">
        <w:rPr>
          <w:rFonts w:ascii="Tw Cen MT" w:eastAsia="Twentieth Century" w:hAnsi="Tw Cen MT" w:cs="Twentieth Century"/>
          <w:i/>
          <w:sz w:val="20"/>
          <w:szCs w:val="20"/>
        </w:rPr>
        <w:t>was</w:t>
      </w:r>
      <w:r w:rsidRPr="00343E8F">
        <w:rPr>
          <w:rFonts w:ascii="Tw Cen MT" w:eastAsia="Twentieth Century" w:hAnsi="Tw Cen MT" w:cs="Twentieth Century"/>
          <w:i/>
          <w:sz w:val="20"/>
          <w:szCs w:val="20"/>
          <w:lang w:val="id-ID"/>
        </w:rPr>
        <w:t xml:space="preserve"> not optimal, </w:t>
      </w:r>
      <w:r w:rsidRPr="00343E8F">
        <w:rPr>
          <w:rFonts w:ascii="Tw Cen MT" w:eastAsia="Twentieth Century" w:hAnsi="Tw Cen MT" w:cs="Twentieth Century"/>
          <w:i/>
          <w:sz w:val="20"/>
          <w:szCs w:val="20"/>
        </w:rPr>
        <w:t>causing</w:t>
      </w:r>
      <w:r w:rsidRPr="00343E8F">
        <w:rPr>
          <w:rFonts w:ascii="Tw Cen MT" w:eastAsia="Twentieth Century" w:hAnsi="Tw Cen MT" w:cs="Twentieth Century"/>
          <w:i/>
          <w:sz w:val="20"/>
          <w:szCs w:val="20"/>
          <w:lang w:val="id-ID"/>
        </w:rPr>
        <w:t xml:space="preserve"> hypertension services to be quite low</w:t>
      </w:r>
      <w:r w:rsidRPr="00343E8F">
        <w:rPr>
          <w:rFonts w:ascii="Tw Cen MT" w:eastAsia="Twentieth Century" w:hAnsi="Tw Cen MT" w:cs="Twentieth Century"/>
          <w:i/>
          <w:sz w:val="20"/>
          <w:szCs w:val="20"/>
        </w:rPr>
        <w:t>.</w:t>
      </w:r>
    </w:p>
    <w:p w14:paraId="53DCE046" w14:textId="77777777" w:rsidR="00D93684" w:rsidRPr="00296EB9" w:rsidRDefault="00B43B99">
      <w:pPr>
        <w:widowControl w:val="0"/>
        <w:spacing w:after="0" w:line="228" w:lineRule="auto"/>
        <w:ind w:left="3150" w:right="-19"/>
        <w:jc w:val="both"/>
        <w:rPr>
          <w:rFonts w:ascii="Tw Cen MT" w:eastAsia="Twentieth Century" w:hAnsi="Tw Cen MT" w:cs="Twentieth Century"/>
          <w:b/>
          <w:i/>
          <w:sz w:val="20"/>
          <w:szCs w:val="20"/>
        </w:rPr>
      </w:pPr>
      <w:r w:rsidRPr="00296EB9">
        <w:rPr>
          <w:rFonts w:ascii="Tw Cen MT" w:eastAsia="Twentieth Century" w:hAnsi="Tw Cen MT" w:cs="Twentieth Century"/>
          <w:b/>
          <w:i/>
          <w:sz w:val="20"/>
          <w:szCs w:val="20"/>
        </w:rPr>
        <w:t>Keywords:</w:t>
      </w:r>
    </w:p>
    <w:p w14:paraId="5B94C175" w14:textId="623F9BB4" w:rsidR="00D93684" w:rsidRPr="00296EB9" w:rsidRDefault="00343E8F">
      <w:pPr>
        <w:tabs>
          <w:tab w:val="left" w:pos="426"/>
        </w:tabs>
        <w:spacing w:after="0" w:line="360" w:lineRule="auto"/>
        <w:ind w:left="3150"/>
        <w:jc w:val="both"/>
        <w:rPr>
          <w:rFonts w:ascii="Tw Cen MT" w:eastAsia="Twentieth Century" w:hAnsi="Tw Cen MT" w:cs="Twentieth Century"/>
          <w:i/>
          <w:sz w:val="20"/>
          <w:szCs w:val="20"/>
        </w:rPr>
      </w:pPr>
      <w:r w:rsidRPr="00343E8F">
        <w:rPr>
          <w:rFonts w:ascii="Tw Cen MT" w:eastAsia="Twentieth Century" w:hAnsi="Tw Cen MT" w:cs="Twentieth Century"/>
          <w:i/>
          <w:sz w:val="20"/>
          <w:szCs w:val="20"/>
          <w:lang w:val="id-ID"/>
        </w:rPr>
        <w:t>Health Office</w:t>
      </w:r>
      <w:r>
        <w:rPr>
          <w:rFonts w:ascii="Tw Cen MT" w:eastAsia="Twentieth Century" w:hAnsi="Tw Cen MT" w:cs="Twentieth Century"/>
          <w:i/>
          <w:sz w:val="20"/>
          <w:szCs w:val="20"/>
          <w:lang w:val="id-ID"/>
        </w:rPr>
        <w:t>,</w:t>
      </w:r>
      <w:r w:rsidRPr="00343E8F">
        <w:rPr>
          <w:rFonts w:ascii="Tw Cen MT" w:eastAsia="Twentieth Century" w:hAnsi="Tw Cen MT" w:cs="Twentieth Century"/>
          <w:i/>
          <w:sz w:val="20"/>
          <w:szCs w:val="20"/>
        </w:rPr>
        <w:t xml:space="preserve"> </w:t>
      </w:r>
      <w:r w:rsidRPr="00343E8F">
        <w:rPr>
          <w:rFonts w:ascii="Tw Cen MT" w:eastAsia="Twentieth Century" w:hAnsi="Tw Cen MT" w:cs="Twentieth Century"/>
          <w:i/>
          <w:sz w:val="20"/>
          <w:szCs w:val="20"/>
          <w:lang w:val="id-ID"/>
        </w:rPr>
        <w:t>Hypertension</w:t>
      </w:r>
      <w:r>
        <w:rPr>
          <w:rFonts w:ascii="Tw Cen MT" w:eastAsia="Twentieth Century" w:hAnsi="Tw Cen MT" w:cs="Twentieth Century"/>
          <w:i/>
          <w:sz w:val="20"/>
          <w:szCs w:val="20"/>
          <w:lang w:val="id-ID"/>
        </w:rPr>
        <w:t>,</w:t>
      </w:r>
      <w:r w:rsidRPr="00343E8F">
        <w:rPr>
          <w:rFonts w:ascii="Tw Cen MT" w:eastAsia="Twentieth Century" w:hAnsi="Tw Cen MT" w:cs="Twentieth Century"/>
          <w:i/>
          <w:sz w:val="20"/>
          <w:szCs w:val="20"/>
        </w:rPr>
        <w:t xml:space="preserve"> </w:t>
      </w:r>
      <w:r w:rsidRPr="00343E8F">
        <w:rPr>
          <w:rFonts w:ascii="Tw Cen MT" w:eastAsia="Twentieth Century" w:hAnsi="Tw Cen MT" w:cs="Twentieth Century"/>
          <w:i/>
          <w:sz w:val="20"/>
          <w:szCs w:val="20"/>
          <w:lang w:val="id-ID"/>
        </w:rPr>
        <w:t>Surveillance</w:t>
      </w:r>
    </w:p>
    <w:p w14:paraId="74CE9226" w14:textId="77777777" w:rsidR="00D93684" w:rsidRPr="00296EB9" w:rsidRDefault="00D93684">
      <w:pPr>
        <w:tabs>
          <w:tab w:val="left" w:pos="426"/>
        </w:tabs>
        <w:spacing w:after="0"/>
        <w:ind w:left="3150"/>
        <w:jc w:val="both"/>
        <w:rPr>
          <w:rFonts w:ascii="Tw Cen MT" w:eastAsia="Twentieth Century" w:hAnsi="Tw Cen MT" w:cs="Twentieth Century"/>
          <w:b/>
          <w:sz w:val="20"/>
          <w:szCs w:val="20"/>
        </w:rPr>
      </w:pPr>
    </w:p>
    <w:p w14:paraId="33C9A42E"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proofErr w:type="spellStart"/>
      <w:r w:rsidRPr="00296EB9">
        <w:rPr>
          <w:rFonts w:ascii="Tw Cen MT" w:eastAsia="Twentieth Century" w:hAnsi="Tw Cen MT" w:cs="Twentieth Century"/>
          <w:b/>
          <w:sz w:val="20"/>
          <w:szCs w:val="20"/>
        </w:rPr>
        <w:t>Abstrak</w:t>
      </w:r>
      <w:proofErr w:type="spellEnd"/>
    </w:p>
    <w:p w14:paraId="59AC5399" w14:textId="3489ACFA" w:rsidR="00D93684" w:rsidRPr="00296EB9" w:rsidRDefault="007A6C67">
      <w:pPr>
        <w:tabs>
          <w:tab w:val="left" w:pos="426"/>
        </w:tabs>
        <w:spacing w:after="0"/>
        <w:ind w:left="3150"/>
        <w:jc w:val="both"/>
        <w:rPr>
          <w:rFonts w:ascii="Tw Cen MT" w:eastAsia="Twentieth Century" w:hAnsi="Tw Cen MT" w:cs="Twentieth Century"/>
          <w:sz w:val="20"/>
          <w:szCs w:val="20"/>
        </w:rPr>
      </w:pPr>
      <w:commentRangeStart w:id="4"/>
      <w:r>
        <w:rPr>
          <w:rFonts w:ascii="Tw Cen MT" w:eastAsia="Twentieth Century" w:hAnsi="Tw Cen MT" w:cs="Twentieth Century"/>
          <w:i/>
          <w:color w:val="000000"/>
          <w:sz w:val="20"/>
          <w:szCs w:val="20"/>
          <w:lang w:val="id-ID"/>
        </w:rPr>
        <w:t>Dinas Kesehatan merupakan pelaksana otonomi daerah dalam bidang kesehatan. Salah satu tugas dan fungsi dinas kesehatan merupakan pencegahan dan pengendalian masalah kesehatan, termasuk hipertensi berdasarkan bukti ilmiah.</w:t>
      </w:r>
      <w:commentRangeEnd w:id="4"/>
      <w:r w:rsidRPr="007A6C67">
        <w:rPr>
          <w:rFonts w:ascii="Tw Cen MT" w:eastAsia="Twentieth Century" w:hAnsi="Tw Cen MT" w:cs="Twentieth Century"/>
          <w:i/>
          <w:color w:val="000000"/>
          <w:sz w:val="20"/>
          <w:szCs w:val="20"/>
        </w:rPr>
        <w:commentReference w:id="4"/>
      </w:r>
      <w:r>
        <w:rPr>
          <w:rFonts w:ascii="Tw Cen MT" w:eastAsia="Twentieth Century" w:hAnsi="Tw Cen MT" w:cs="Twentieth Century"/>
          <w:i/>
          <w:color w:val="000000"/>
          <w:sz w:val="20"/>
          <w:szCs w:val="20"/>
          <w:lang w:val="id-ID"/>
        </w:rPr>
        <w:t xml:space="preserve"> </w:t>
      </w:r>
      <w:r w:rsidR="00343E8F" w:rsidRPr="00343E8F">
        <w:rPr>
          <w:rFonts w:ascii="Tw Cen MT" w:eastAsia="Twentieth Century" w:hAnsi="Tw Cen MT" w:cs="Twentieth Century"/>
          <w:i/>
          <w:color w:val="000000"/>
          <w:sz w:val="20"/>
          <w:szCs w:val="20"/>
          <w:lang w:val="id-ID"/>
        </w:rPr>
        <w:t xml:space="preserve">Penelitian ini bertujuan untuk mengetahui gambaran pelaksanaan surveilans hipertensi di Dinas Kesehatan Kabupaten Majalengka </w:t>
      </w:r>
      <w:r w:rsidR="00D96B32">
        <w:rPr>
          <w:rFonts w:ascii="Tw Cen MT" w:eastAsia="Twentieth Century" w:hAnsi="Tw Cen MT" w:cs="Twentieth Century"/>
          <w:i/>
          <w:color w:val="000000"/>
          <w:sz w:val="20"/>
          <w:szCs w:val="20"/>
        </w:rPr>
        <w:t>t</w:t>
      </w:r>
      <w:r w:rsidR="00343E8F" w:rsidRPr="00343E8F">
        <w:rPr>
          <w:rFonts w:ascii="Tw Cen MT" w:eastAsia="Twentieth Century" w:hAnsi="Tw Cen MT" w:cs="Twentieth Century"/>
          <w:i/>
          <w:color w:val="000000"/>
          <w:sz w:val="20"/>
          <w:szCs w:val="20"/>
          <w:lang w:val="id-ID"/>
        </w:rPr>
        <w:t>ahun 2021. Penelitian ini menggunakan metode kualitatif dengan cara wawancara mendalam, observasi serta telaah dokumen. Hasil penelitian menunjukkan pelaksanaan surveilans hipertensi terdiri dari pengumpulan data, pengolahan dan analisis data, interpretasi data serta diseminasi informasi. Data yang dikelola merupakan data faktor risiko dan data kasus. Pelaksanaan surveilans hipertensi di Dinas Kesehatan Kabupaten Majalengka telah sesuai dengan standar pedoman surveilans PTM dari pusat. Namun masih terdapat beberapa kendala sepeti jejaring surveilans yang belum optimal yang menyebabkan pelayanan hipertensi masih cukup rendah</w:t>
      </w:r>
      <w:r w:rsidR="00343E8F" w:rsidRPr="00343E8F">
        <w:rPr>
          <w:rFonts w:ascii="Tw Cen MT" w:eastAsia="Twentieth Century" w:hAnsi="Tw Cen MT" w:cs="Twentieth Century"/>
          <w:i/>
          <w:color w:val="000000"/>
          <w:sz w:val="20"/>
          <w:szCs w:val="20"/>
        </w:rPr>
        <w:t>.</w:t>
      </w:r>
    </w:p>
    <w:p w14:paraId="430FFB16" w14:textId="77777777" w:rsidR="00D93684" w:rsidRPr="00296EB9" w:rsidRDefault="00B43B99">
      <w:pPr>
        <w:tabs>
          <w:tab w:val="left" w:pos="426"/>
        </w:tabs>
        <w:spacing w:after="0"/>
        <w:ind w:left="3150"/>
        <w:jc w:val="both"/>
        <w:rPr>
          <w:rFonts w:ascii="Tw Cen MT" w:eastAsia="Twentieth Century" w:hAnsi="Tw Cen MT" w:cs="Twentieth Century"/>
          <w:b/>
          <w:sz w:val="20"/>
          <w:szCs w:val="20"/>
        </w:rPr>
      </w:pPr>
      <w:r w:rsidRPr="00296EB9">
        <w:rPr>
          <w:rFonts w:ascii="Tw Cen MT" w:eastAsia="Twentieth Century" w:hAnsi="Tw Cen MT" w:cs="Twentieth Century"/>
          <w:b/>
          <w:sz w:val="20"/>
          <w:szCs w:val="20"/>
        </w:rPr>
        <w:t xml:space="preserve">Kata </w:t>
      </w:r>
      <w:proofErr w:type="spellStart"/>
      <w:r w:rsidRPr="00296EB9">
        <w:rPr>
          <w:rFonts w:ascii="Tw Cen MT" w:eastAsia="Twentieth Century" w:hAnsi="Tw Cen MT" w:cs="Twentieth Century"/>
          <w:b/>
          <w:sz w:val="20"/>
          <w:szCs w:val="20"/>
        </w:rPr>
        <w:t>Kunci</w:t>
      </w:r>
      <w:proofErr w:type="spellEnd"/>
    </w:p>
    <w:p w14:paraId="5720410D" w14:textId="42368C84" w:rsidR="00D93684" w:rsidRPr="007A6C67" w:rsidRDefault="00B43B99">
      <w:pPr>
        <w:ind w:left="2430" w:firstLine="720"/>
        <w:rPr>
          <w:rFonts w:ascii="Tw Cen MT" w:hAnsi="Tw Cen MT"/>
          <w:lang w:val="id-ID"/>
        </w:rPr>
      </w:pPr>
      <w:r w:rsidRPr="00296EB9">
        <w:rPr>
          <w:rFonts w:ascii="Tw Cen MT" w:hAnsi="Tw Cen MT"/>
          <w:noProof/>
        </w:rPr>
        <mc:AlternateContent>
          <mc:Choice Requires="wpg">
            <w:drawing>
              <wp:anchor distT="0" distB="0" distL="114300" distR="114300" simplePos="0" relativeHeight="251660288" behindDoc="0" locked="0" layoutInCell="1" hidden="0" allowOverlap="1" wp14:anchorId="4AC15F0A" wp14:editId="7767DEB7">
                <wp:simplePos x="0" y="0"/>
                <wp:positionH relativeFrom="column">
                  <wp:posOffset>1</wp:posOffset>
                </wp:positionH>
                <wp:positionV relativeFrom="paragraph">
                  <wp:posOffset>190500</wp:posOffset>
                </wp:positionV>
                <wp:extent cx="5956935" cy="19050"/>
                <wp:effectExtent l="0" t="0" r="0" b="0"/>
                <wp:wrapNone/>
                <wp:docPr id="60" name="Straight Arrow Connector 60"/>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60" name="image5.png"/>
                <a:graphic>
                  <a:graphicData uri="http://schemas.openxmlformats.org/drawingml/2006/picture">
                    <pic:pic>
                      <pic:nvPicPr>
                        <pic:cNvPr id="0" name="image5.png"/>
                        <pic:cNvPicPr preferRelativeResize="0"/>
                      </pic:nvPicPr>
                      <pic:blipFill>
                        <a:blip r:embed="rId19"/>
                        <a:srcRect/>
                        <a:stretch>
                          <a:fillRect/>
                        </a:stretch>
                      </pic:blipFill>
                      <pic:spPr>
                        <a:xfrm>
                          <a:off x="0" y="0"/>
                          <a:ext cx="5956935" cy="19050"/>
                        </a:xfrm>
                        <a:prstGeom prst="rect"/>
                        <a:ln/>
                      </pic:spPr>
                    </pic:pic>
                  </a:graphicData>
                </a:graphic>
              </wp:anchor>
            </w:drawing>
          </mc:Fallback>
        </mc:AlternateContent>
      </w:r>
      <w:r w:rsidR="007A6C67">
        <w:rPr>
          <w:rFonts w:ascii="Tw Cen MT" w:eastAsia="Twentieth Century" w:hAnsi="Tw Cen MT" w:cs="Twentieth Century"/>
          <w:sz w:val="20"/>
          <w:szCs w:val="20"/>
          <w:lang w:val="id-ID"/>
        </w:rPr>
        <w:t>Dinas Kesehatan, Hipertensi, Surveilans</w:t>
      </w:r>
    </w:p>
    <w:p w14:paraId="0B6C6332" w14:textId="77777777" w:rsidR="00D93684" w:rsidRPr="00296EB9" w:rsidRDefault="00D93684">
      <w:pPr>
        <w:spacing w:line="276" w:lineRule="auto"/>
        <w:rPr>
          <w:rFonts w:ascii="Tw Cen MT" w:hAnsi="Tw Cen MT"/>
        </w:rPr>
        <w:sectPr w:rsidR="00D93684" w:rsidRPr="00296EB9">
          <w:headerReference w:type="default" r:id="rId20"/>
          <w:footerReference w:type="default" r:id="rId21"/>
          <w:pgSz w:w="12240" w:h="15840"/>
          <w:pgMar w:top="1440" w:right="1440" w:bottom="1440" w:left="1440" w:header="720" w:footer="720" w:gutter="0"/>
          <w:pgNumType w:start="1"/>
          <w:cols w:space="720"/>
        </w:sectPr>
      </w:pPr>
    </w:p>
    <w:p w14:paraId="6768D710" w14:textId="77777777" w:rsidR="00A2643D" w:rsidRDefault="00A2643D">
      <w:pPr>
        <w:tabs>
          <w:tab w:val="left" w:pos="426"/>
        </w:tabs>
        <w:spacing w:after="0"/>
        <w:jc w:val="both"/>
        <w:rPr>
          <w:rFonts w:ascii="Tw Cen MT" w:eastAsia="Twentieth Century" w:hAnsi="Tw Cen MT" w:cs="Twentieth Century"/>
          <w:b/>
          <w:sz w:val="24"/>
          <w:szCs w:val="24"/>
        </w:rPr>
      </w:pPr>
    </w:p>
    <w:p w14:paraId="34E1A129" w14:textId="77777777" w:rsidR="00A2643D" w:rsidRDefault="00A2643D">
      <w:pPr>
        <w:tabs>
          <w:tab w:val="left" w:pos="426"/>
        </w:tabs>
        <w:spacing w:after="0"/>
        <w:jc w:val="both"/>
        <w:rPr>
          <w:rFonts w:ascii="Tw Cen MT" w:eastAsia="Twentieth Century" w:hAnsi="Tw Cen MT" w:cs="Twentieth Century"/>
          <w:b/>
          <w:sz w:val="24"/>
          <w:szCs w:val="24"/>
        </w:rPr>
      </w:pPr>
    </w:p>
    <w:p w14:paraId="771BB741" w14:textId="77777777" w:rsidR="00A2643D" w:rsidRDefault="00A2643D">
      <w:pPr>
        <w:tabs>
          <w:tab w:val="left" w:pos="426"/>
        </w:tabs>
        <w:spacing w:after="0"/>
        <w:jc w:val="both"/>
        <w:rPr>
          <w:rFonts w:ascii="Tw Cen MT" w:eastAsia="Twentieth Century" w:hAnsi="Tw Cen MT" w:cs="Twentieth Century"/>
          <w:b/>
          <w:sz w:val="24"/>
          <w:szCs w:val="24"/>
        </w:rPr>
      </w:pPr>
    </w:p>
    <w:p w14:paraId="5704141E" w14:textId="77777777" w:rsidR="00A2643D" w:rsidRDefault="00A2643D">
      <w:pPr>
        <w:tabs>
          <w:tab w:val="left" w:pos="426"/>
        </w:tabs>
        <w:spacing w:after="0"/>
        <w:jc w:val="both"/>
        <w:rPr>
          <w:rFonts w:ascii="Tw Cen MT" w:eastAsia="Twentieth Century" w:hAnsi="Tw Cen MT" w:cs="Twentieth Century"/>
          <w:b/>
          <w:sz w:val="24"/>
          <w:szCs w:val="24"/>
        </w:rPr>
      </w:pPr>
    </w:p>
    <w:p w14:paraId="582635FA" w14:textId="7D523D3C"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lastRenderedPageBreak/>
        <w:t>PENDAHULUAN</w:t>
      </w:r>
    </w:p>
    <w:p w14:paraId="467A46F9" w14:textId="73BBD64C" w:rsidR="007A6C67" w:rsidRPr="008F782C" w:rsidRDefault="007A6C67" w:rsidP="007A6C67">
      <w:pPr>
        <w:spacing w:after="0" w:line="240" w:lineRule="auto"/>
        <w:jc w:val="both"/>
        <w:rPr>
          <w:rFonts w:ascii="Tw Cen MT" w:eastAsia="Twentieth Century" w:hAnsi="Tw Cen MT" w:cs="Twentieth Century"/>
          <w:sz w:val="24"/>
          <w:szCs w:val="24"/>
        </w:rPr>
      </w:pP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menular</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(PTM) merupakan salah satu permasalahan kesehatan dengan</w:t>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mortalitas</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morbiditas</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terus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mengalami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peningkatan</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Secara global 71% kematian disebabkan oleh PTM di tahun 2016.</w:t>
      </w:r>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Angka kematian ini meningkat sebesar 12% jika dibandingkan dengan tahun 2008 (63% kematian).</w:t>
      </w:r>
      <w:r w:rsidRPr="008F782C">
        <w:rPr>
          <w:rFonts w:ascii="Tw Cen MT" w:eastAsia="Twentieth Century" w:hAnsi="Tw Cen MT" w:cs="Twentieth Century"/>
          <w:sz w:val="24"/>
          <w:szCs w:val="24"/>
        </w:rPr>
        <w:t xml:space="preserve"> Adapun di Indonesia, pada </w:t>
      </w:r>
      <w:proofErr w:type="spellStart"/>
      <w:r w:rsidRPr="008F782C">
        <w:rPr>
          <w:rFonts w:ascii="Tw Cen MT" w:eastAsia="Twentieth Century" w:hAnsi="Tw Cen MT" w:cs="Twentieth Century"/>
          <w:sz w:val="24"/>
          <w:szCs w:val="24"/>
        </w:rPr>
        <w:t>tahun</w:t>
      </w:r>
      <w:proofErr w:type="spellEnd"/>
      <w:r w:rsidRPr="008F782C">
        <w:rPr>
          <w:rFonts w:ascii="Tw Cen MT" w:eastAsia="Twentieth Century" w:hAnsi="Tw Cen MT" w:cs="Twentieth Century"/>
          <w:sz w:val="24"/>
          <w:szCs w:val="24"/>
        </w:rPr>
        <w:t xml:space="preserve"> 2008 </w:t>
      </w:r>
      <w:proofErr w:type="spellStart"/>
      <w:r w:rsidRPr="008F782C">
        <w:rPr>
          <w:rFonts w:ascii="Tw Cen MT" w:eastAsia="Twentieth Century" w:hAnsi="Tw Cen MT" w:cs="Twentieth Century"/>
          <w:sz w:val="24"/>
          <w:szCs w:val="24"/>
        </w:rPr>
        <w:t>angka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kematian</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disebabkan</w:t>
      </w:r>
      <w:proofErr w:type="spellEnd"/>
      <w:r w:rsidRPr="008F782C">
        <w:rPr>
          <w:rFonts w:ascii="Tw Cen MT" w:eastAsia="Twentieth Century" w:hAnsi="Tw Cen MT" w:cs="Twentieth Century"/>
          <w:sz w:val="24"/>
          <w:szCs w:val="24"/>
        </w:rPr>
        <w:t xml:space="preserve"> oleh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menular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mencapai</w:t>
      </w:r>
      <w:proofErr w:type="spellEnd"/>
      <w:r w:rsidRPr="008F782C">
        <w:rPr>
          <w:rFonts w:ascii="Tw Cen MT" w:eastAsia="Twentieth Century" w:hAnsi="Tw Cen MT" w:cs="Twentieth Century"/>
          <w:sz w:val="24"/>
          <w:szCs w:val="24"/>
        </w:rPr>
        <w:t xml:space="preserve"> 64% dan </w:t>
      </w:r>
      <w:proofErr w:type="spellStart"/>
      <w:r w:rsidRPr="008F782C">
        <w:rPr>
          <w:rFonts w:ascii="Tw Cen MT" w:eastAsia="Twentieth Century" w:hAnsi="Tw Cen MT" w:cs="Twentieth Century"/>
          <w:sz w:val="24"/>
          <w:szCs w:val="24"/>
        </w:rPr>
        <w:t>meningkat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menjadi</w:t>
      </w:r>
      <w:proofErr w:type="spellEnd"/>
      <w:r w:rsidRPr="008F782C">
        <w:rPr>
          <w:rFonts w:ascii="Tw Cen MT" w:eastAsia="Twentieth Century" w:hAnsi="Tw Cen MT" w:cs="Twentieth Century"/>
          <w:sz w:val="24"/>
          <w:szCs w:val="24"/>
        </w:rPr>
        <w:t xml:space="preserve"> 73% di </w:t>
      </w:r>
      <w:proofErr w:type="spellStart"/>
      <w:r w:rsidRPr="008F782C">
        <w:rPr>
          <w:rFonts w:ascii="Tw Cen MT" w:eastAsia="Twentieth Century" w:hAnsi="Tw Cen MT" w:cs="Twentieth Century"/>
          <w:sz w:val="24"/>
          <w:szCs w:val="24"/>
        </w:rPr>
        <w:t>tahun</w:t>
      </w:r>
      <w:proofErr w:type="spellEnd"/>
      <w:r w:rsidRPr="008F782C">
        <w:rPr>
          <w:rFonts w:ascii="Tw Cen MT" w:eastAsia="Twentieth Century" w:hAnsi="Tw Cen MT" w:cs="Twentieth Century"/>
          <w:sz w:val="24"/>
          <w:szCs w:val="24"/>
        </w:rPr>
        <w:t xml:space="preserve"> 2016. </w:t>
      </w:r>
      <w:proofErr w:type="spellStart"/>
      <w:r w:rsidRPr="008F782C">
        <w:rPr>
          <w:rFonts w:ascii="Tw Cen MT" w:eastAsia="Twentieth Century" w:hAnsi="Tw Cen MT" w:cs="Twentieth Century"/>
          <w:sz w:val="24"/>
          <w:szCs w:val="24"/>
        </w:rPr>
        <w:t>Meningkatnya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mortalitas</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morbiditas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ini</w:t>
      </w:r>
      <w:proofErr w:type="spellEnd"/>
      <w:r w:rsidRPr="008F782C">
        <w:rPr>
          <w:rFonts w:ascii="Tw Cen MT" w:eastAsia="Twentieth Century" w:hAnsi="Tw Cen MT" w:cs="Twentieth Century"/>
          <w:sz w:val="24"/>
          <w:szCs w:val="24"/>
        </w:rPr>
        <w:t xml:space="preserve"> salah </w:t>
      </w:r>
      <w:proofErr w:type="spellStart"/>
      <w:r w:rsidRPr="008F782C">
        <w:rPr>
          <w:rFonts w:ascii="Tw Cen MT" w:eastAsia="Twentieth Century" w:hAnsi="Tw Cen MT" w:cs="Twentieth Century"/>
          <w:sz w:val="24"/>
          <w:szCs w:val="24"/>
        </w:rPr>
        <w:t>satunya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disebabkan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karena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meningkatnya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berbagai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faktor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risiko</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menular</w:t>
      </w:r>
      <w:proofErr w:type="spellEnd"/>
      <w:r w:rsidRPr="008F782C">
        <w:rPr>
          <w:rFonts w:ascii="Tw Cen MT" w:eastAsia="Twentieth Century" w:hAnsi="Tw Cen MT" w:cs="Twentieth Century"/>
          <w:sz w:val="24"/>
          <w:szCs w:val="24"/>
        </w:rPr>
        <w:t xml:space="preserve"> pada </w:t>
      </w:r>
      <w:proofErr w:type="spellStart"/>
      <w:r w:rsidRPr="008F782C">
        <w:rPr>
          <w:rFonts w:ascii="Tw Cen MT" w:eastAsia="Twentieth Century" w:hAnsi="Tw Cen MT" w:cs="Twentieth Century"/>
          <w:sz w:val="24"/>
          <w:szCs w:val="24"/>
        </w:rPr>
        <w:t>masyarakat</w:t>
      </w:r>
      <w:proofErr w:type="spellEnd"/>
      <w:r w:rsidRPr="008F782C">
        <w:rPr>
          <w:rFonts w:ascii="Tw Cen MT" w:eastAsia="Twentieth Century" w:hAnsi="Tw Cen MT" w:cs="Twentieth Century"/>
          <w:sz w:val="24"/>
          <w:szCs w:val="24"/>
          <w:lang w:val="id-ID"/>
        </w:rPr>
        <w:t>, baik faktor metabolik maupun gaya hidup</w:t>
      </w:r>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{"citationItems":[{"id":"ITEM-1","itemData":{"abstract":"There is growing awareness and concern about the large and escalating burden of chronic, non-communicable diseases (NCDs) not just from the public health perspective but also from the economic one. The social burdens associated with the four diseases that are the focus of the UN High-Level Meeting on NCDs cardiovascular disease, diabetes, cancer and chronic respiratory diseases include prolonged disability, diminished resources within families and reduced productivity, in addition to tremendous demands on health systems. This report addresses current information gaps in our understanding of how to mitigate these challenges by highlighting recent findings about the social costs of NCDs and the resource needs for managing these conditions. Specifically, the report brings together findings from two new studies aimed at equipping decision-makers in government, civil society and the private sector with key economic insights needed to help reduce the growing burden of NCDs: A global analysis of the economic impact of NCDs by the World Economic Forum and the Harvard School of Public Health An analysis of the costs of scaling up a core intervention package in low- and middle-income countries by the World Health Organization The economic consequences of NCDs are staggering. Under a business as usual scenario where intervention efforts remain static and rates of NCDs continue to increase as populations grow and age, cumulative economic losses to low- and middle-income countries (LMICs) from the four diseases are estimated to surpass US 7 trillion over the period 2011-2025 (an average of nearly US 500 billion per year). This yearly loss is equivalent to approximately 4% of these countries current annual output. On a per-person basis, the annual losses amount to an average of US 25 in low-income countries, US 50 in lower middle-income countries and US 139 in upper middle-income countries. By contrast, findings from the second study by the WHO indicate that","author":[{"dropping-particle":"","family":"WHO","given":"","non-dropping-particle":"","parse-names":false,"suffix":""}],"id":"ITEM-1","issued":{"date-parts":[["2011"]]},"number-of-pages":"209","publisher-place":"France","title":"Noncommunicable Diseases Country Profiles 2011","type":"report"},"uris":["http://www.mendeley.com/documents/?uuid=556966b0-158b-490a-8077-c25fe1a0795c"]},{"id":"ITEM-2","itemData":{"DOI":"10.1002/9781119097136.part5","ISBN":"9781118336960","author":[{"dropping-particle":"","family":"WHO","given":"","non-dropping-particle":"","parse-names":false,"suffix":""}],"id":"ITEM-2","issued":{"date-parts":[["2018"]]},"publisher-place":"Swi","title":"Noncommunicable Disease Country Profiles 2018","type":"report"},"uris":["http://www.mendeley.com/documents/?uuid=674f2db8-8860-42cf-b4b1-7018cbb03ecc"]}],"mendeley":{"formattedCitation":"[1], [2]","plainTextFormattedCitation":"[1], [2]","previouslyFormattedCitation":"[1], [2]"},"properties":{"noteIndex":0},"schema":"https://github.com/citation-style-language/schema/raw/master/csl-citation.json"}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[1], [2]</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
    <w:p w14:paraId="5C019EAA" w14:textId="0FC6ACEE" w:rsidR="007A6C67" w:rsidRPr="008F782C" w:rsidRDefault="007A6C67" w:rsidP="007A6C67">
      <w:pPr>
        <w:spacing w:after="0" w:line="240" w:lineRule="auto"/>
        <w:jc w:val="both"/>
        <w:rPr>
          <w:rFonts w:ascii="Tw Cen MT" w:eastAsia="Twentieth Century" w:hAnsi="Tw Cen MT" w:cs="Twentieth Century"/>
          <w:sz w:val="24"/>
          <w:szCs w:val="24"/>
        </w:rPr>
      </w:pPr>
      <w:proofErr w:type="spellStart"/>
      <w:r w:rsidRPr="008F782C">
        <w:rPr>
          <w:rFonts w:ascii="Tw Cen MT" w:eastAsia="Twentieth Century" w:hAnsi="Tw Cen MT" w:cs="Twentieth Century"/>
          <w:sz w:val="24"/>
          <w:szCs w:val="24"/>
        </w:rPr>
        <w:t>Meningkatnya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tekanan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atau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disebut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merupakan</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gangguan metabolik</w:t>
      </w:r>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dapat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meningkatkan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risiko</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berbagai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menular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Selain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juga </w:t>
      </w:r>
      <w:proofErr w:type="spellStart"/>
      <w:r w:rsidRPr="008F782C">
        <w:rPr>
          <w:rFonts w:ascii="Tw Cen MT" w:eastAsia="Twentieth Century" w:hAnsi="Tw Cen MT" w:cs="Twentieth Century"/>
          <w:sz w:val="24"/>
          <w:szCs w:val="24"/>
        </w:rPr>
        <w:t>dapat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menyebabkan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berbagai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komplikasi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seperti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gagal</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jantung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gagal</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ginjal</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gangguan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penglihatan</w:t>
      </w:r>
      <w:proofErr w:type="spellEnd"/>
      <w:r w:rsidRPr="008F782C">
        <w:rPr>
          <w:rFonts w:ascii="Tw Cen MT" w:eastAsia="Twentieth Century" w:hAnsi="Tw Cen MT" w:cs="Twentieth Century"/>
          <w:sz w:val="24"/>
          <w:szCs w:val="24"/>
        </w:rPr>
        <w:t xml:space="preserve">, stroke dan </w:t>
      </w:r>
      <w:proofErr w:type="spellStart"/>
      <w:r w:rsidRPr="008F782C">
        <w:rPr>
          <w:rFonts w:ascii="Tw Cen MT" w:eastAsia="Twentieth Century" w:hAnsi="Tw Cen MT" w:cs="Twentieth Century"/>
          <w:sz w:val="24"/>
          <w:szCs w:val="24"/>
        </w:rPr>
        <w:t>demensia</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DOI":"10.1002/9781119097136.part5","ISBN":"9781118336960","author":[{"dropping-particle":"","family":"WHO","given":"","non-dropping-particle":"","parse-names":false,"suffix":""}],"id":"ITEM-1","issued":{"date-parts":[["2018"]]},"publisher-place":"Swi","title":"Noncommunicable Disease Country Profiles 2018","type":"report"},"uris":["http://www.mendeley.com/documents/?uuid=674f2db8-8860-42cf-b4b1-7018cbb03ecc"]}],"mendeley":{"formattedCitation":"[2]","plainTextFormattedCitation":"[2]","previouslyFormattedCitation":"[2]"},"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[2]</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Secara</w:t>
      </w:r>
      <w:proofErr w:type="spellEnd"/>
      <w:r w:rsidRPr="008F782C">
        <w:rPr>
          <w:rFonts w:ascii="Tw Cen MT" w:eastAsia="Twentieth Century" w:hAnsi="Tw Cen MT" w:cs="Twentieth Century"/>
          <w:sz w:val="24"/>
          <w:szCs w:val="24"/>
        </w:rPr>
        <w:t xml:space="preserve"> global </w:t>
      </w:r>
      <w:proofErr w:type="spellStart"/>
      <w:r w:rsidRPr="008F782C">
        <w:rPr>
          <w:rFonts w:ascii="Tw Cen MT" w:eastAsia="Twentieth Century" w:hAnsi="Tw Cen MT" w:cs="Twentieth Century"/>
          <w:sz w:val="24"/>
          <w:szCs w:val="24"/>
        </w:rPr>
        <w:t>prevalensi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mencapai</w:t>
      </w:r>
      <w:proofErr w:type="spellEnd"/>
      <w:r w:rsidRPr="008F782C">
        <w:rPr>
          <w:rFonts w:ascii="Tw Cen MT" w:eastAsia="Twentieth Century" w:hAnsi="Tw Cen MT" w:cs="Twentieth Century"/>
          <w:sz w:val="24"/>
          <w:szCs w:val="24"/>
        </w:rPr>
        <w:t xml:space="preserve"> 22,1% di </w:t>
      </w:r>
      <w:proofErr w:type="spellStart"/>
      <w:r w:rsidRPr="008F782C">
        <w:rPr>
          <w:rFonts w:ascii="Tw Cen MT" w:eastAsia="Twentieth Century" w:hAnsi="Tw Cen MT" w:cs="Twentieth Century"/>
          <w:sz w:val="24"/>
          <w:szCs w:val="24"/>
        </w:rPr>
        <w:t>tahun</w:t>
      </w:r>
      <w:proofErr w:type="spellEnd"/>
      <w:r w:rsidRPr="008F782C">
        <w:rPr>
          <w:rFonts w:ascii="Tw Cen MT" w:eastAsia="Twentieth Century" w:hAnsi="Tw Cen MT" w:cs="Twentieth Century"/>
          <w:sz w:val="24"/>
          <w:szCs w:val="24"/>
        </w:rPr>
        <w:t xml:space="preserve"> 2015 dan </w:t>
      </w:r>
      <w:proofErr w:type="spellStart"/>
      <w:r w:rsidRPr="008F782C">
        <w:rPr>
          <w:rFonts w:ascii="Tw Cen MT" w:eastAsia="Twentieth Century" w:hAnsi="Tw Cen MT" w:cs="Twentieth Century"/>
          <w:sz w:val="24"/>
          <w:szCs w:val="24"/>
        </w:rPr>
        <w:t>lebih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banyak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dialami</w:t>
      </w:r>
      <w:proofErr w:type="spellEnd"/>
      <w:r w:rsidRPr="008F782C">
        <w:rPr>
          <w:rFonts w:ascii="Tw Cen MT" w:eastAsia="Twentieth Century" w:hAnsi="Tw Cen MT" w:cs="Twentieth Century"/>
          <w:sz w:val="24"/>
          <w:szCs w:val="24"/>
        </w:rPr>
        <w:t xml:space="preserve"> oleh </w:t>
      </w:r>
      <w:proofErr w:type="spellStart"/>
      <w:r w:rsidRPr="008F782C">
        <w:rPr>
          <w:rFonts w:ascii="Tw Cen MT" w:eastAsia="Twentieth Century" w:hAnsi="Tw Cen MT" w:cs="Twentieth Century"/>
          <w:sz w:val="24"/>
          <w:szCs w:val="24"/>
        </w:rPr>
        <w:t>laki</w:t>
      </w:r>
      <w:proofErr w:type="spellEnd"/>
      <w:r w:rsidRPr="008F782C">
        <w:rPr>
          <w:rFonts w:ascii="Tw Cen MT" w:eastAsia="Twentieth Century" w:hAnsi="Tw Cen MT" w:cs="Twentieth Century"/>
          <w:sz w:val="24"/>
          <w:szCs w:val="24"/>
        </w:rPr>
        <w:t xml:space="preserve"> – </w:t>
      </w:r>
      <w:proofErr w:type="spellStart"/>
      <w:r w:rsidRPr="008F782C">
        <w:rPr>
          <w:rFonts w:ascii="Tw Cen MT" w:eastAsia="Twentieth Century" w:hAnsi="Tw Cen MT" w:cs="Twentieth Century"/>
          <w:sz w:val="24"/>
          <w:szCs w:val="24"/>
        </w:rPr>
        <w:t>laki</w:t>
      </w:r>
      <w:proofErr w:type="spellEnd"/>
      <w:r w:rsidRPr="008F782C">
        <w:rPr>
          <w:rFonts w:ascii="Tw Cen MT" w:eastAsia="Twentieth Century" w:hAnsi="Tw Cen MT" w:cs="Twentieth Century"/>
          <w:sz w:val="24"/>
          <w:szCs w:val="24"/>
          <w:lang w:val="id-ID"/>
        </w:rPr>
        <w:t xml:space="preserve"> </w:t>
      </w:r>
      <w:r w:rsidRPr="008F782C">
        <w:rPr>
          <w:rFonts w:ascii="Tw Cen MT" w:eastAsia="Twentieth Century" w:hAnsi="Tw Cen MT" w:cs="Twentieth Century"/>
          <w:sz w:val="24"/>
          <w:szCs w:val="24"/>
          <w:lang w:val="id-ID"/>
        </w:rPr>
        <w:fldChar w:fldCharType="begin" w:fldLock="1"/>
      </w:r>
      <w:r w:rsidR="003B7008" w:rsidRPr="008F782C">
        <w:rPr>
          <w:rFonts w:ascii="Tw Cen MT" w:eastAsia="Twentieth Century" w:hAnsi="Tw Cen MT" w:cs="Twentieth Century"/>
          <w:sz w:val="24"/>
          <w:szCs w:val="24"/>
          <w:lang w:val="id-ID"/>
        </w:rPr>
        <w:instrText>ADDIN CSL_CITATION {"citationItems":[{"id":"ITEM-1","itemData":{"URL":"https://www.who.int/data/gho/data/indicators/indicator-details/GHO/raised-blood-pressure-(sbp-=140-or-dbp-=90)-(age-standardized-estimate)","accessed":{"date-parts":[["2021","2","2"]]},"author":[{"dropping-particle":"","family":"WHO","given":"","non-dropping-particle":"","parse-names":false,"suffix":""}],"container-title":"World Health Organization","id":"ITEM-1","issued":{"date-parts":[["2017"]]},"title":"Raised blood pressure (SBP ≥ 140 or DBP ≥ 90) (Age-Standardized Estimate)","type":"webpage"},"uris":["http://www.mendeley.com/documents/?uuid=9251df95-1abe-3e6e-9785-b7bfa219c049"]}],"mendeley":{"formattedCitation":"[3]","plainTextFormattedCitation":"[3]","previouslyFormattedCitation":"[3]"},"properties":{"noteIndex":0},"schema":"https://github.com/citation-style-language/schema/raw/master/csl-citation.json"}</w:instrText>
      </w:r>
      <w:r w:rsidRPr="008F782C">
        <w:rPr>
          <w:rFonts w:ascii="Tw Cen MT" w:eastAsia="Twentieth Century" w:hAnsi="Tw Cen MT" w:cs="Twentieth Century"/>
          <w:sz w:val="24"/>
          <w:szCs w:val="24"/>
          <w:lang w:val="id-ID"/>
        </w:rPr>
        <w:fldChar w:fldCharType="separate"/>
      </w:r>
      <w:r w:rsidRPr="008F782C">
        <w:rPr>
          <w:rFonts w:ascii="Tw Cen MT" w:eastAsia="Twentieth Century" w:hAnsi="Tw Cen MT" w:cs="Twentieth Century"/>
          <w:noProof/>
          <w:sz w:val="24"/>
          <w:szCs w:val="24"/>
          <w:lang w:val="id-ID"/>
        </w:rPr>
        <w:t>[3]</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Adapun di Indonesia, </w:t>
      </w:r>
      <w:proofErr w:type="spellStart"/>
      <w:r w:rsidRPr="008F782C">
        <w:rPr>
          <w:rFonts w:ascii="Tw Cen MT" w:eastAsia="Twentieth Century" w:hAnsi="Tw Cen MT" w:cs="Twentieth Century"/>
          <w:sz w:val="24"/>
          <w:szCs w:val="24"/>
        </w:rPr>
        <w:t>prevalensi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mencapai</w:t>
      </w:r>
      <w:proofErr w:type="spellEnd"/>
      <w:r w:rsidRPr="008F782C">
        <w:rPr>
          <w:rFonts w:ascii="Tw Cen MT" w:eastAsia="Twentieth Century" w:hAnsi="Tw Cen MT" w:cs="Twentieth Century"/>
          <w:sz w:val="24"/>
          <w:szCs w:val="24"/>
        </w:rPr>
        <w:t xml:space="preserve"> 34,11%. Angka </w:t>
      </w:r>
      <w:proofErr w:type="spellStart"/>
      <w:r w:rsidRPr="008F782C">
        <w:rPr>
          <w:rFonts w:ascii="Tw Cen MT" w:eastAsia="Twentieth Century" w:hAnsi="Tw Cen MT" w:cs="Twentieth Century"/>
          <w:sz w:val="24"/>
          <w:szCs w:val="24"/>
        </w:rPr>
        <w:t>ini</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 xml:space="preserve">mengalami peningkkatan </w:t>
      </w:r>
      <w:proofErr w:type="spellStart"/>
      <w:r w:rsidRPr="008F782C">
        <w:rPr>
          <w:rFonts w:ascii="Tw Cen MT" w:eastAsia="Twentieth Century" w:hAnsi="Tw Cen MT" w:cs="Twentieth Century"/>
          <w:sz w:val="24"/>
          <w:szCs w:val="24"/>
        </w:rPr>
        <w:t>jika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dibandingkan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tahun</w:t>
      </w:r>
      <w:proofErr w:type="spellEnd"/>
      <w:r w:rsidRPr="008F782C">
        <w:rPr>
          <w:rFonts w:ascii="Tw Cen MT" w:eastAsia="Twentieth Century" w:hAnsi="Tw Cen MT" w:cs="Twentieth Century"/>
          <w:sz w:val="24"/>
          <w:szCs w:val="24"/>
        </w:rPr>
        <w:t xml:space="preserve"> 2013 yang </w:t>
      </w:r>
      <w:proofErr w:type="spellStart"/>
      <w:r w:rsidRPr="008F782C">
        <w:rPr>
          <w:rFonts w:ascii="Tw Cen MT" w:eastAsia="Twentieth Century" w:hAnsi="Tw Cen MT" w:cs="Twentieth Century"/>
          <w:sz w:val="24"/>
          <w:szCs w:val="24"/>
        </w:rPr>
        <w:t>mencapai</w:t>
      </w:r>
      <w:proofErr w:type="spellEnd"/>
      <w:r w:rsidRPr="008F782C">
        <w:rPr>
          <w:rFonts w:ascii="Tw Cen MT" w:eastAsia="Twentieth Century" w:hAnsi="Tw Cen MT" w:cs="Twentieth Century"/>
          <w:sz w:val="24"/>
          <w:szCs w:val="24"/>
        </w:rPr>
        <w:t xml:space="preserve"> 25,8%. </w:t>
      </w:r>
      <w:proofErr w:type="spellStart"/>
      <w:r w:rsidRPr="008F782C">
        <w:rPr>
          <w:rFonts w:ascii="Tw Cen MT" w:eastAsia="Twentieth Century" w:hAnsi="Tw Cen MT" w:cs="Twentieth Century"/>
          <w:sz w:val="24"/>
          <w:szCs w:val="24"/>
        </w:rPr>
        <w:t>Kejadian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di Indonesia </w:t>
      </w:r>
      <w:proofErr w:type="spellStart"/>
      <w:r w:rsidRPr="008F782C">
        <w:rPr>
          <w:rFonts w:ascii="Tw Cen MT" w:eastAsia="Twentieth Century" w:hAnsi="Tw Cen MT" w:cs="Twentieth Century"/>
          <w:sz w:val="24"/>
          <w:szCs w:val="24"/>
        </w:rPr>
        <w:t>meningkat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seiring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bertambahnya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usia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serta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lebih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banyak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terjadi</w:t>
      </w:r>
      <w:proofErr w:type="spellEnd"/>
      <w:r w:rsidRPr="008F782C">
        <w:rPr>
          <w:rFonts w:ascii="Tw Cen MT" w:eastAsia="Twentieth Century" w:hAnsi="Tw Cen MT" w:cs="Twentieth Century"/>
          <w:sz w:val="24"/>
          <w:szCs w:val="24"/>
        </w:rPr>
        <w:t xml:space="preserve"> pada </w:t>
      </w:r>
      <w:proofErr w:type="spellStart"/>
      <w:r w:rsidRPr="008F782C">
        <w:rPr>
          <w:rFonts w:ascii="Tw Cen MT" w:eastAsia="Twentieth Century" w:hAnsi="Tw Cen MT" w:cs="Twentieth Century"/>
          <w:sz w:val="24"/>
          <w:szCs w:val="24"/>
        </w:rPr>
        <w:t>perempuan</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{"citationItems":[{"id":"ITEM-1","itemData":{"DOI":"10.1007/s13398-014-0173-7.2","ISBN":"9780874216561","ISSN":"13514180","PMID":"15991970","author":[{"dropping-particle":"","family":"Kemenkes RI","given":"","non-dropping-particle":"","parse-names":false,"suffix":""}],"id":"ITEM-1","issued":{"date-parts":[["2013"]]},"number-of-pages":"306","publisher":"Badan Penelitian dan Pengembangan Kesehatan Departemen Kesehatan Republik Indonesia","publisher-place":"Jakarta","title":"Riset Kesehatan Dasar 2013","type":"report"},"uris":["http://www.mendeley.com/documents/?uuid=4348729a-1b96-4fbb-a3de-ac4b9f942fe2"]},{"id":"ITEM-2","itemData":{"author":[{"dropping-particle":"","family":"Kemenkes RI","given":"","non-dropping-particle":"","parse-names":false,"suffix":""}],"container-title":"Badan Penelitian dan Pengembangan Kesehatan","id":"ITEM-2","issued":{"date-parts":[["2019"]]},"number-of-pages":"198","publisher-place":"Jakarta","title":"Laporan Nasional Riskesdas 2018","type":"report"},"uris":["http://www.mendeley.com/documents/?uuid=f79eb8de-d329-40d8-ad58-2c721205c70e"]}],"mendeley":{"formattedCitation":"[4], [5]","plainTextFormattedCitation":"[4], [5]","previouslyFormattedCitation":"[4], [5]"},"properties":{"noteIndex":0},"schema":"https://github.com/citation-style-language/schema/raw/master/csl-citation.json"}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[4], [5]</w:t>
      </w:r>
      <w:r w:rsidRPr="008F782C">
        <w:rPr>
          <w:rFonts w:ascii="Tw Cen MT" w:eastAsia="Twentieth Century" w:hAnsi="Tw Cen MT" w:cs="Twentieth Century"/>
          <w:sz w:val="24"/>
          <w:szCs w:val="24"/>
        </w:rPr>
        <w:fldChar w:fldCharType="end"/>
      </w:r>
    </w:p>
    <w:p w14:paraId="4530C24A" w14:textId="72A1443A" w:rsidR="007A6C67" w:rsidRPr="008F782C" w:rsidRDefault="007A6C67" w:rsidP="007A6C67">
      <w:pPr>
        <w:spacing w:after="0" w:line="240" w:lineRule="auto"/>
        <w:jc w:val="both"/>
        <w:rPr>
          <w:rFonts w:ascii="Tw Cen MT" w:eastAsia="Twentieth Century" w:hAnsi="Tw Cen MT" w:cs="Twentieth Century"/>
          <w:sz w:val="24"/>
          <w:szCs w:val="24"/>
        </w:rPr>
      </w:pPr>
      <w:proofErr w:type="spellStart"/>
      <w:r w:rsidRPr="008F782C">
        <w:rPr>
          <w:rFonts w:ascii="Tw Cen MT" w:eastAsia="Twentieth Century" w:hAnsi="Tw Cen MT" w:cs="Twentieth Century"/>
          <w:sz w:val="24"/>
          <w:szCs w:val="24"/>
        </w:rPr>
        <w:t>Provinsi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Jawa</w:t>
      </w:r>
      <w:proofErr w:type="spellEnd"/>
      <w:r w:rsidRPr="008F782C">
        <w:rPr>
          <w:rFonts w:ascii="Tw Cen MT" w:eastAsia="Twentieth Century" w:hAnsi="Tw Cen MT" w:cs="Twentieth Century"/>
          <w:sz w:val="24"/>
          <w:szCs w:val="24"/>
        </w:rPr>
        <w:t xml:space="preserve"> Barat </w:t>
      </w:r>
      <w:proofErr w:type="spellStart"/>
      <w:r w:rsidRPr="008F782C">
        <w:rPr>
          <w:rFonts w:ascii="Tw Cen MT" w:eastAsia="Twentieth Century" w:hAnsi="Tw Cen MT" w:cs="Twentieth Century"/>
          <w:sz w:val="24"/>
          <w:szCs w:val="24"/>
        </w:rPr>
        <w:t>merupakan</w:t>
      </w:r>
      <w:proofErr w:type="spellEnd"/>
      <w:r w:rsidRPr="008F782C">
        <w:rPr>
          <w:rFonts w:ascii="Tw Cen MT" w:eastAsia="Twentieth Century" w:hAnsi="Tw Cen MT" w:cs="Twentieth Century"/>
          <w:sz w:val="24"/>
          <w:szCs w:val="24"/>
        </w:rPr>
        <w:t xml:space="preserve"> salah </w:t>
      </w:r>
      <w:proofErr w:type="spellStart"/>
      <w:r w:rsidRPr="008F782C">
        <w:rPr>
          <w:rFonts w:ascii="Tw Cen MT" w:eastAsia="Twentieth Century" w:hAnsi="Tw Cen MT" w:cs="Twentieth Century"/>
          <w:sz w:val="24"/>
          <w:szCs w:val="24"/>
        </w:rPr>
        <w:t>satu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provinsi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prevalensi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tinggi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Berdasarkan</w:t>
      </w:r>
      <w:proofErr w:type="spellEnd"/>
      <w:r w:rsidRPr="008F782C">
        <w:rPr>
          <w:rFonts w:ascii="Tw Cen MT" w:eastAsia="Twentieth Century" w:hAnsi="Tw Cen MT" w:cs="Twentieth Century"/>
          <w:sz w:val="24"/>
          <w:szCs w:val="24"/>
        </w:rPr>
        <w:t xml:space="preserve"> data </w:t>
      </w:r>
      <w:proofErr w:type="spellStart"/>
      <w:r w:rsidRPr="008F782C">
        <w:rPr>
          <w:rFonts w:ascii="Tw Cen MT" w:eastAsia="Twentieth Century" w:hAnsi="Tw Cen MT" w:cs="Twentieth Century"/>
          <w:sz w:val="24"/>
          <w:szCs w:val="24"/>
        </w:rPr>
        <w:t>Riskesdas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tahun</w:t>
      </w:r>
      <w:proofErr w:type="spellEnd"/>
      <w:r w:rsidRPr="008F782C">
        <w:rPr>
          <w:rFonts w:ascii="Tw Cen MT" w:eastAsia="Twentieth Century" w:hAnsi="Tw Cen MT" w:cs="Twentieth Century"/>
          <w:sz w:val="24"/>
          <w:szCs w:val="24"/>
        </w:rPr>
        <w:t xml:space="preserve"> 2018, </w:t>
      </w:r>
      <w:proofErr w:type="spellStart"/>
      <w:r w:rsidRPr="008F782C">
        <w:rPr>
          <w:rFonts w:ascii="Tw Cen MT" w:eastAsia="Twentieth Century" w:hAnsi="Tw Cen MT" w:cs="Twentieth Century"/>
          <w:sz w:val="24"/>
          <w:szCs w:val="24"/>
        </w:rPr>
        <w:t>prevalensi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di </w:t>
      </w:r>
      <w:proofErr w:type="spellStart"/>
      <w:r w:rsidRPr="008F782C">
        <w:rPr>
          <w:rFonts w:ascii="Tw Cen MT" w:eastAsia="Twentieth Century" w:hAnsi="Tw Cen MT" w:cs="Twentieth Century"/>
          <w:sz w:val="24"/>
          <w:szCs w:val="24"/>
        </w:rPr>
        <w:t>Jawa</w:t>
      </w:r>
      <w:proofErr w:type="spellEnd"/>
      <w:r w:rsidRPr="008F782C">
        <w:rPr>
          <w:rFonts w:ascii="Tw Cen MT" w:eastAsia="Twentieth Century" w:hAnsi="Tw Cen MT" w:cs="Twentieth Century"/>
          <w:sz w:val="24"/>
          <w:szCs w:val="24"/>
        </w:rPr>
        <w:t xml:space="preserve"> Barat </w:t>
      </w:r>
      <w:proofErr w:type="spellStart"/>
      <w:r w:rsidRPr="008F782C">
        <w:rPr>
          <w:rFonts w:ascii="Tw Cen MT" w:eastAsia="Twentieth Century" w:hAnsi="Tw Cen MT" w:cs="Twentieth Century"/>
          <w:sz w:val="24"/>
          <w:szCs w:val="24"/>
        </w:rPr>
        <w:t>mencapai</w:t>
      </w:r>
      <w:proofErr w:type="spellEnd"/>
      <w:r w:rsidRPr="008F782C">
        <w:rPr>
          <w:rFonts w:ascii="Tw Cen MT" w:eastAsia="Twentieth Century" w:hAnsi="Tw Cen MT" w:cs="Twentieth Century"/>
          <w:sz w:val="24"/>
          <w:szCs w:val="24"/>
        </w:rPr>
        <w:t xml:space="preserve"> 39,6%. Jika </w:t>
      </w:r>
      <w:proofErr w:type="spellStart"/>
      <w:r w:rsidRPr="008F782C">
        <w:rPr>
          <w:rFonts w:ascii="Tw Cen MT" w:eastAsia="Twentieth Century" w:hAnsi="Tw Cen MT" w:cs="Twentieth Century"/>
          <w:sz w:val="24"/>
          <w:szCs w:val="24"/>
        </w:rPr>
        <w:t>dibandingkan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angka</w:t>
      </w:r>
      <w:proofErr w:type="spellEnd"/>
      <w:r w:rsidRPr="008F782C">
        <w:rPr>
          <w:rFonts w:ascii="Tw Cen MT" w:eastAsia="Twentieth Century" w:hAnsi="Tw Cen MT" w:cs="Twentieth Century"/>
          <w:sz w:val="24"/>
          <w:szCs w:val="24"/>
        </w:rPr>
        <w:t xml:space="preserve"> Nasional, </w:t>
      </w:r>
      <w:proofErr w:type="spellStart"/>
      <w:r w:rsidRPr="008F782C">
        <w:rPr>
          <w:rFonts w:ascii="Tw Cen MT" w:eastAsia="Twentieth Century" w:hAnsi="Tw Cen MT" w:cs="Twentieth Century"/>
          <w:sz w:val="24"/>
          <w:szCs w:val="24"/>
        </w:rPr>
        <w:t>prevalensi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di </w:t>
      </w:r>
      <w:proofErr w:type="spellStart"/>
      <w:r w:rsidRPr="008F782C">
        <w:rPr>
          <w:rFonts w:ascii="Tw Cen MT" w:eastAsia="Twentieth Century" w:hAnsi="Tw Cen MT" w:cs="Twentieth Century"/>
          <w:sz w:val="24"/>
          <w:szCs w:val="24"/>
        </w:rPr>
        <w:t>Jawa</w:t>
      </w:r>
      <w:proofErr w:type="spellEnd"/>
      <w:r w:rsidRPr="008F782C">
        <w:rPr>
          <w:rFonts w:ascii="Tw Cen MT" w:eastAsia="Twentieth Century" w:hAnsi="Tw Cen MT" w:cs="Twentieth Century"/>
          <w:sz w:val="24"/>
          <w:szCs w:val="24"/>
        </w:rPr>
        <w:t xml:space="preserve"> Barat </w:t>
      </w:r>
      <w:proofErr w:type="spellStart"/>
      <w:r w:rsidRPr="008F782C">
        <w:rPr>
          <w:rFonts w:ascii="Tw Cen MT" w:eastAsia="Twentieth Century" w:hAnsi="Tw Cen MT" w:cs="Twentieth Century"/>
          <w:sz w:val="24"/>
          <w:szCs w:val="24"/>
        </w:rPr>
        <w:t>melebihi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angka</w:t>
      </w:r>
      <w:proofErr w:type="spellEnd"/>
      <w:r w:rsidRPr="008F782C">
        <w:rPr>
          <w:rFonts w:ascii="Tw Cen MT" w:eastAsia="Twentieth Century" w:hAnsi="Tw Cen MT" w:cs="Twentieth Century"/>
          <w:sz w:val="24"/>
          <w:szCs w:val="24"/>
        </w:rPr>
        <w:t xml:space="preserve"> Nasional</w:t>
      </w:r>
      <w:r w:rsidRPr="008F782C">
        <w:rPr>
          <w:rFonts w:ascii="Tw Cen MT" w:eastAsia="Twentieth Century" w:hAnsi="Tw Cen MT" w:cs="Twentieth Century"/>
          <w:sz w:val="24"/>
          <w:szCs w:val="24"/>
          <w:lang w:val="id-ID"/>
        </w:rPr>
        <w:t xml:space="preserve"> </w:t>
      </w:r>
      <w:r w:rsidRPr="008F782C">
        <w:rPr>
          <w:rFonts w:ascii="Tw Cen MT" w:eastAsia="Twentieth Century" w:hAnsi="Tw Cen MT" w:cs="Twentieth Century"/>
          <w:sz w:val="24"/>
          <w:szCs w:val="24"/>
          <w:lang w:val="id-ID"/>
        </w:rPr>
        <w:fldChar w:fldCharType="begin" w:fldLock="1"/>
      </w:r>
      <w:r w:rsidR="003B7008" w:rsidRPr="008F782C">
        <w:rPr>
          <w:rFonts w:ascii="Tw Cen MT" w:eastAsia="Twentieth Century" w:hAnsi="Tw Cen MT" w:cs="Twentieth Century"/>
          <w:sz w:val="24"/>
          <w:szCs w:val="24"/>
          <w:lang w:val="id-ID"/>
        </w:rPr>
        <w:instrText>ADDIN CSL_CITATION {"citationItems":[{"id":"ITEM-1","itemData":{"author":[{"dropping-particle":"","family":"Kemenkes RI","given":"","non-dropping-particle":"","parse-names":false,"suffix":""}],"container-title":"Badan Penelitian dan Pengembangan Kesehatan","id":"ITEM-1","issued":{"date-parts":[["2019"]]},"number-of-pages":"198","publisher-place":"Jakarta","title":"Laporan Nasional Riskesdas 2018","type":"report"},"uris":["http://www.mendeley.com/documents/?uuid=f79eb8de-d329-40d8-ad58-2c721205c70e"]}],"mendeley":{"formattedCitation":"[5]","plainTextFormattedCitation":"[5]","previouslyFormattedCitation":"[5]"},"properties":{"noteIndex":0},"schema":"https://github.com/citation-style-language/schema/raw/master/csl-citation.json"}</w:instrText>
      </w:r>
      <w:r w:rsidRPr="008F782C">
        <w:rPr>
          <w:rFonts w:ascii="Tw Cen MT" w:eastAsia="Twentieth Century" w:hAnsi="Tw Cen MT" w:cs="Twentieth Century"/>
          <w:sz w:val="24"/>
          <w:szCs w:val="24"/>
          <w:lang w:val="id-ID"/>
        </w:rPr>
        <w:fldChar w:fldCharType="separate"/>
      </w:r>
      <w:r w:rsidRPr="008F782C">
        <w:rPr>
          <w:rFonts w:ascii="Tw Cen MT" w:eastAsia="Twentieth Century" w:hAnsi="Tw Cen MT" w:cs="Twentieth Century"/>
          <w:noProof/>
          <w:sz w:val="24"/>
          <w:szCs w:val="24"/>
          <w:lang w:val="id-ID"/>
        </w:rPr>
        <w:t>[5]</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Kabupaten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Majalengka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merupakan</w:t>
      </w:r>
      <w:proofErr w:type="spellEnd"/>
      <w:r w:rsidRPr="008F782C">
        <w:rPr>
          <w:rFonts w:ascii="Tw Cen MT" w:eastAsia="Twentieth Century" w:hAnsi="Tw Cen MT" w:cs="Twentieth Century"/>
          <w:sz w:val="24"/>
          <w:szCs w:val="24"/>
        </w:rPr>
        <w:t xml:space="preserve"> salah </w:t>
      </w:r>
      <w:proofErr w:type="spellStart"/>
      <w:r w:rsidRPr="008F782C">
        <w:rPr>
          <w:rFonts w:ascii="Tw Cen MT" w:eastAsia="Twentieth Century" w:hAnsi="Tw Cen MT" w:cs="Twentieth Century"/>
          <w:sz w:val="24"/>
          <w:szCs w:val="24"/>
        </w:rPr>
        <w:t>satu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kabupaten</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berada</w:t>
      </w:r>
      <w:proofErr w:type="spellEnd"/>
      <w:r w:rsidRPr="008F782C">
        <w:rPr>
          <w:rFonts w:ascii="Tw Cen MT" w:eastAsia="Twentieth Century" w:hAnsi="Tw Cen MT" w:cs="Twentieth Century"/>
          <w:sz w:val="24"/>
          <w:szCs w:val="24"/>
        </w:rPr>
        <w:t xml:space="preserve"> di </w:t>
      </w:r>
      <w:r w:rsidRPr="008F782C">
        <w:rPr>
          <w:rFonts w:ascii="Tw Cen MT" w:eastAsia="Twentieth Century" w:hAnsi="Tw Cen MT" w:cs="Twentieth Century"/>
          <w:sz w:val="24"/>
          <w:szCs w:val="24"/>
          <w:lang w:val="id-ID"/>
        </w:rPr>
        <w:t xml:space="preserve">wilayah timur </w:t>
      </w:r>
      <w:proofErr w:type="spellStart"/>
      <w:r w:rsidRPr="008F782C">
        <w:rPr>
          <w:rFonts w:ascii="Tw Cen MT" w:eastAsia="Twentieth Century" w:hAnsi="Tw Cen MT" w:cs="Twentieth Century"/>
          <w:sz w:val="24"/>
          <w:szCs w:val="24"/>
        </w:rPr>
        <w:t>provinsi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Jawa</w:t>
      </w:r>
      <w:proofErr w:type="spellEnd"/>
      <w:r w:rsidRPr="008F782C">
        <w:rPr>
          <w:rFonts w:ascii="Tw Cen MT" w:eastAsia="Twentieth Century" w:hAnsi="Tw Cen MT" w:cs="Twentieth Century"/>
          <w:sz w:val="24"/>
          <w:szCs w:val="24"/>
        </w:rPr>
        <w:t xml:space="preserve"> Barat </w:t>
      </w:r>
      <w:r w:rsidRPr="008F782C">
        <w:rPr>
          <w:rFonts w:ascii="Tw Cen MT" w:eastAsia="Twentieth Century" w:hAnsi="Tw Cen MT" w:cs="Twentieth Century"/>
          <w:sz w:val="24"/>
          <w:szCs w:val="24"/>
          <w:lang w:val="id-ID"/>
        </w:rPr>
        <w:t xml:space="preserve">dengan prevalensi </w:t>
      </w:r>
      <w:r w:rsidRPr="008F782C">
        <w:rPr>
          <w:rFonts w:ascii="Tw Cen MT" w:eastAsia="Twentieth Century" w:hAnsi="Tw Cen MT" w:cs="Twentieth Century"/>
          <w:sz w:val="24"/>
          <w:szCs w:val="24"/>
          <w:lang w:val="id-ID"/>
        </w:rPr>
        <w:t xml:space="preserve">hipertensi yang cukup tinggi, yaitu mencapai </w:t>
      </w:r>
      <w:r w:rsidRPr="008F782C">
        <w:rPr>
          <w:rFonts w:ascii="Tw Cen MT" w:eastAsia="Twentieth Century" w:hAnsi="Tw Cen MT" w:cs="Twentieth Century"/>
          <w:sz w:val="24"/>
          <w:szCs w:val="24"/>
        </w:rPr>
        <w:t>38,8%</w:t>
      </w:r>
      <w:r w:rsidRPr="008F782C">
        <w:rPr>
          <w:rFonts w:ascii="Tw Cen MT" w:eastAsia="Twentieth Century" w:hAnsi="Tw Cen MT" w:cs="Twentieth Century"/>
          <w:sz w:val="24"/>
          <w:szCs w:val="24"/>
          <w:lang w:val="id-ID"/>
        </w:rPr>
        <w:t xml:space="preserve"> di tahun 2018</w:t>
      </w:r>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Selain itu, di tahun 2020</w:t>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menjadi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proporsi</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lang w:val="id-ID"/>
        </w:rPr>
        <w:t xml:space="preserve">kasus </w:t>
      </w:r>
      <w:proofErr w:type="spellStart"/>
      <w:r w:rsidRPr="008F782C">
        <w:rPr>
          <w:rFonts w:ascii="Tw Cen MT" w:eastAsia="Twentieth Century" w:hAnsi="Tw Cen MT" w:cs="Twentieth Century"/>
          <w:sz w:val="24"/>
          <w:szCs w:val="24"/>
        </w:rPr>
        <w:t>tertinggi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bila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dibandingkan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menular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lainnya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yaitu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sebesar</w:t>
      </w:r>
      <w:proofErr w:type="spellEnd"/>
      <w:r w:rsidRPr="008F782C">
        <w:rPr>
          <w:rFonts w:ascii="Tw Cen MT" w:eastAsia="Twentieth Century" w:hAnsi="Tw Cen MT" w:cs="Twentieth Century"/>
          <w:sz w:val="24"/>
          <w:szCs w:val="24"/>
        </w:rPr>
        <w:t xml:space="preserve"> 69,12%. Oleh </w:t>
      </w:r>
      <w:proofErr w:type="spellStart"/>
      <w:r w:rsidRPr="008F782C">
        <w:rPr>
          <w:rFonts w:ascii="Tw Cen MT" w:eastAsia="Twentieth Century" w:hAnsi="Tw Cen MT" w:cs="Twentieth Century"/>
          <w:sz w:val="24"/>
          <w:szCs w:val="24"/>
        </w:rPr>
        <w:t>karena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menjadi</w:t>
      </w:r>
      <w:proofErr w:type="spellEnd"/>
      <w:r w:rsidRPr="008F782C">
        <w:rPr>
          <w:rFonts w:ascii="Tw Cen MT" w:eastAsia="Twentieth Century" w:hAnsi="Tw Cen MT" w:cs="Twentieth Century"/>
          <w:sz w:val="24"/>
          <w:szCs w:val="24"/>
          <w:lang w:val="id-ID"/>
        </w:rPr>
        <w:t xml:space="preserve"> salah satu</w:t>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prioritas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utama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dalam</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standar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pelayanan</w:t>
      </w:r>
      <w:proofErr w:type="spellEnd"/>
      <w:r w:rsidRPr="008F782C">
        <w:rPr>
          <w:rFonts w:ascii="Tw Cen MT" w:eastAsia="Twentieth Century" w:hAnsi="Tw Cen MT" w:cs="Twentieth Century"/>
          <w:sz w:val="24"/>
          <w:szCs w:val="24"/>
        </w:rPr>
        <w:t xml:space="preserve"> minimal di </w:t>
      </w:r>
      <w:proofErr w:type="spellStart"/>
      <w:r w:rsidRPr="008F782C">
        <w:rPr>
          <w:rFonts w:ascii="Tw Cen MT" w:eastAsia="Twentieth Century" w:hAnsi="Tw Cen MT" w:cs="Twentieth Century"/>
          <w:sz w:val="24"/>
          <w:szCs w:val="24"/>
        </w:rPr>
        <w:t>kabupaten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Majalengka</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{"citationItems":[{"id":"ITEM-1","itemData":{"ISBN":"9786023731336","abstract":"Predicting the binding mode of flexible polypeptides to proteins is an important task that falls outside the domain of applicability of most small molecule and protein</w:instrText>
      </w:r>
      <w:r w:rsidR="003B7008" w:rsidRPr="008F782C">
        <w:rPr>
          <w:rFonts w:ascii="Arial" w:eastAsia="Twentieth Century" w:hAnsi="Arial" w:cs="Arial"/>
          <w:sz w:val="24"/>
          <w:szCs w:val="24"/>
        </w:rPr>
        <w:instrText>−</w:instrText>
      </w:r>
      <w:r w:rsidR="003B7008" w:rsidRPr="008F782C">
        <w:rPr>
          <w:rFonts w:ascii="Tw Cen MT" w:eastAsia="Twentieth Century" w:hAnsi="Tw Cen MT" w:cs="Twentieth Century"/>
          <w:sz w:val="24"/>
          <w:szCs w:val="24"/>
        </w:rPr>
        <w:instrText>protein docking tools. Here, we test the small molecule flexible ligand docking program Glide on a set of 19 non-</w:instrText>
      </w:r>
      <w:r w:rsidR="003B7008" w:rsidRPr="008F782C">
        <w:rPr>
          <w:rFonts w:eastAsia="Twentieth Century"/>
          <w:sz w:val="24"/>
          <w:szCs w:val="24"/>
        </w:rPr>
        <w:instrText>α</w:instrText>
      </w:r>
      <w:r w:rsidR="003B7008" w:rsidRPr="008F782C">
        <w:rPr>
          <w:rFonts w:ascii="Tw Cen MT" w:eastAsia="Twentieth Century" w:hAnsi="Tw Cen MT" w:cs="Twentieth Century"/>
          <w:sz w:val="24"/>
          <w:szCs w:val="24"/>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approach.","author":[{"dropping-particle":"","family":"Kemenkes RI","given":"","non-dropping-particle":"","parse-names":false,"suffix":""}],"id":"ITEM-1","issued":{"date-parts":[["2019"]]},"number-of-pages":"140-151","publisher-place":"Jakarta","title":"Laporan Provinsi Jawa Barat Riskesdas 2018","type":"report"},"uris":["http://www.mendeley.com/documents/?uuid=df934feb-020d-471b-b159-e78567e0ef8e"]},{"id":"ITEM-2","itemData":{"author":[{"dropping-particle":"","family":"Dinkes Majalengka","given":"","non-dropping-particle":"","parse-names":false,"suffix":""}],"id":"ITEM-2","issued":{"date-parts":[["2021"]]},"publisher-place":"Majalengka","title":"Laporan Penyakit Tidak Menular Dinkes Majalengka Tahun 2020","type":"report"},"uris":["http://www.mendeley.com/documents/?uuid=15c1cbfa-a7c3-4e8a-a98e-a1ca9aa85a80"]}],"mendeley":{"formattedCitation":"[6], [7]","plainTextFormattedCitation":"[6], [7]","previouslyFormattedCitation":"[6], [7]"},"properties":{"noteIndex":0},"schema":"https://github.com/citation-style-language/schema/raw/master/csl-citation.json"}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[6], [7]</w:t>
      </w:r>
      <w:r w:rsidRPr="008F782C">
        <w:rPr>
          <w:rFonts w:ascii="Tw Cen MT" w:eastAsia="Twentieth Century" w:hAnsi="Tw Cen MT" w:cs="Twentieth Century"/>
          <w:sz w:val="24"/>
          <w:szCs w:val="24"/>
        </w:rPr>
        <w:fldChar w:fldCharType="end"/>
      </w:r>
    </w:p>
    <w:p w14:paraId="7A9A6540" w14:textId="5809D4CD" w:rsidR="007A6C67" w:rsidRPr="008F782C" w:rsidRDefault="007A6C67" w:rsidP="007A6C67">
      <w:pPr>
        <w:spacing w:after="0" w:line="240" w:lineRule="auto"/>
        <w:jc w:val="both"/>
        <w:rPr>
          <w:rFonts w:ascii="Tw Cen MT" w:eastAsia="Twentieth Century" w:hAnsi="Tw Cen MT" w:cs="Twentieth Century"/>
          <w:sz w:val="24"/>
          <w:szCs w:val="24"/>
        </w:rPr>
      </w:pPr>
      <w:proofErr w:type="spellStart"/>
      <w:r w:rsidRPr="008F782C">
        <w:rPr>
          <w:rFonts w:ascii="Tw Cen MT" w:eastAsia="Twentieth Century" w:hAnsi="Tw Cen MT" w:cs="Twentieth Century"/>
          <w:sz w:val="24"/>
          <w:szCs w:val="24"/>
        </w:rPr>
        <w:t>Ketersediaan</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kelengkapan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informasi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terkait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situasi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kecenderungan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faktor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risiko</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serta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masalah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lainnya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termasuk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tidak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lepas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adanya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Kesehatan </w:t>
      </w:r>
      <w:proofErr w:type="spellStart"/>
      <w:r w:rsidRPr="008F782C">
        <w:rPr>
          <w:rFonts w:ascii="Tw Cen MT" w:eastAsia="Twentieth Century" w:hAnsi="Tw Cen MT" w:cs="Twentieth Century"/>
          <w:sz w:val="24"/>
          <w:szCs w:val="24"/>
        </w:rPr>
        <w:t>merupakan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pengamatan</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sistematis</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terus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menerus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terhadap</w:t>
      </w:r>
      <w:proofErr w:type="spellEnd"/>
      <w:r w:rsidRPr="008F782C">
        <w:rPr>
          <w:rFonts w:ascii="Tw Cen MT" w:eastAsia="Twentieth Century" w:hAnsi="Tw Cen MT" w:cs="Twentieth Century"/>
          <w:sz w:val="24"/>
          <w:szCs w:val="24"/>
        </w:rPr>
        <w:t xml:space="preserve"> data dan </w:t>
      </w:r>
      <w:proofErr w:type="spellStart"/>
      <w:r w:rsidRPr="008F782C">
        <w:rPr>
          <w:rFonts w:ascii="Tw Cen MT" w:eastAsia="Twentieth Century" w:hAnsi="Tw Cen MT" w:cs="Twentieth Century"/>
          <w:sz w:val="24"/>
          <w:szCs w:val="24"/>
        </w:rPr>
        <w:t>informasi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tentang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kejadian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atau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masalah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ini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perlu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dilakukan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untuk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menjamin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ketersediaan</w:t>
      </w:r>
      <w:proofErr w:type="spellEnd"/>
      <w:r w:rsidRPr="008F782C">
        <w:rPr>
          <w:rFonts w:ascii="Tw Cen MT" w:eastAsia="Twentieth Century" w:hAnsi="Tw Cen MT" w:cs="Twentieth Century"/>
          <w:sz w:val="24"/>
          <w:szCs w:val="24"/>
        </w:rPr>
        <w:t xml:space="preserve"> data dan </w:t>
      </w:r>
      <w:proofErr w:type="spellStart"/>
      <w:r w:rsidRPr="008F782C">
        <w:rPr>
          <w:rFonts w:ascii="Tw Cen MT" w:eastAsia="Twentieth Century" w:hAnsi="Tw Cen MT" w:cs="Twentieth Century"/>
          <w:sz w:val="24"/>
          <w:szCs w:val="24"/>
        </w:rPr>
        <w:t>informasi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epidemiologi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sebagai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dasar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pengambilan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keputusan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dalam</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menjalankan</w:t>
      </w:r>
      <w:proofErr w:type="spellEnd"/>
      <w:r w:rsidRPr="008F782C">
        <w:rPr>
          <w:rFonts w:ascii="Tw Cen MT" w:eastAsia="Twentieth Century" w:hAnsi="Tw Cen MT" w:cs="Twentieth Century"/>
          <w:sz w:val="24"/>
          <w:szCs w:val="24"/>
        </w:rPr>
        <w:t xml:space="preserve"> program </w:t>
      </w:r>
      <w:proofErr w:type="spellStart"/>
      <w:r w:rsidRPr="008F782C">
        <w:rPr>
          <w:rFonts w:ascii="Tw Cen MT" w:eastAsia="Twentieth Century" w:hAnsi="Tw Cen MT" w:cs="Twentieth Century"/>
          <w:sz w:val="24"/>
          <w:szCs w:val="24"/>
        </w:rPr>
        <w:t>pengendalian</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penanggulangan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secara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efektif</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efisien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dilakukan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cara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pengumpulan</w:t>
      </w:r>
      <w:proofErr w:type="spellEnd"/>
      <w:r w:rsidRPr="008F782C">
        <w:rPr>
          <w:rFonts w:ascii="Tw Cen MT" w:eastAsia="Twentieth Century" w:hAnsi="Tw Cen MT" w:cs="Twentieth Century"/>
          <w:sz w:val="24"/>
          <w:szCs w:val="24"/>
        </w:rPr>
        <w:t xml:space="preserve"> data, </w:t>
      </w:r>
      <w:proofErr w:type="spellStart"/>
      <w:r w:rsidRPr="008F782C">
        <w:rPr>
          <w:rFonts w:ascii="Tw Cen MT" w:eastAsia="Twentieth Century" w:hAnsi="Tw Cen MT" w:cs="Twentieth Century"/>
          <w:sz w:val="24"/>
          <w:szCs w:val="24"/>
        </w:rPr>
        <w:t>pengolahan</w:t>
      </w:r>
      <w:proofErr w:type="spellEnd"/>
      <w:r w:rsidRPr="008F782C">
        <w:rPr>
          <w:rFonts w:ascii="Tw Cen MT" w:eastAsia="Twentieth Century" w:hAnsi="Tw Cen MT" w:cs="Twentieth Century"/>
          <w:sz w:val="24"/>
          <w:szCs w:val="24"/>
        </w:rPr>
        <w:t xml:space="preserve"> data, </w:t>
      </w:r>
      <w:proofErr w:type="spellStart"/>
      <w:r w:rsidRPr="008F782C">
        <w:rPr>
          <w:rFonts w:ascii="Tw Cen MT" w:eastAsia="Twentieth Century" w:hAnsi="Tw Cen MT" w:cs="Twentieth Century"/>
          <w:sz w:val="24"/>
          <w:szCs w:val="24"/>
        </w:rPr>
        <w:t>analisis</w:t>
      </w:r>
      <w:proofErr w:type="spellEnd"/>
      <w:r w:rsidRPr="008F782C">
        <w:rPr>
          <w:rFonts w:ascii="Tw Cen MT" w:eastAsia="Twentieth Century" w:hAnsi="Tw Cen MT" w:cs="Twentieth Century"/>
          <w:sz w:val="24"/>
          <w:szCs w:val="24"/>
        </w:rPr>
        <w:t xml:space="preserve"> data, </w:t>
      </w:r>
      <w:proofErr w:type="spellStart"/>
      <w:r w:rsidRPr="008F782C">
        <w:rPr>
          <w:rFonts w:ascii="Tw Cen MT" w:eastAsia="Twentieth Century" w:hAnsi="Tw Cen MT" w:cs="Twentieth Century"/>
          <w:sz w:val="24"/>
          <w:szCs w:val="24"/>
        </w:rPr>
        <w:t>serta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diseminasi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informasi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{"citationItems":[{"id":"ITEM-1","itemData":{"ISBN":"9788578110796","ISSN":"18770428","PMID":"25246403","author":[{"dropping-particle":"","family":"Menkes RI","given":"","non-dropping-particle":"","parse-names":false,"suffix":""}],"id":"ITEM-1","issued":{"date-parts":[["2014"]]},"title":"Peraturan Menteri Kesehatan Republik Indonesia Nomor 45 Tahun 2014 Tentang Penyelenggaraan Surveilans Kesehatan","type":"legislation"},"uris":["http://www.mendeley.com/documents/?uuid=e2253949-6b2a-43b6-8825-105de2abe06b"]}],"mendeley":{"formattedCitation":"[8]","plainTextFormattedCitation":"[8]","previouslyFormattedCitation":"[8]"},"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[8]</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
    <w:p w14:paraId="542B386B" w14:textId="6AC7AC6D" w:rsidR="00D93684" w:rsidRPr="008F782C" w:rsidRDefault="007A6C67" w:rsidP="007A6C67">
      <w:pPr>
        <w:spacing w:after="0" w:line="240" w:lineRule="auto"/>
        <w:jc w:val="both"/>
        <w:rPr>
          <w:rFonts w:ascii="Tw Cen MT" w:eastAsia="Twentieth Century" w:hAnsi="Tw Cen MT" w:cs="Twentieth Century"/>
          <w:color w:val="000000"/>
          <w:sz w:val="24"/>
          <w:szCs w:val="24"/>
        </w:rPr>
      </w:pP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menjadi</w:t>
      </w:r>
      <w:proofErr w:type="spellEnd"/>
      <w:r w:rsidRPr="008F782C">
        <w:rPr>
          <w:rFonts w:ascii="Tw Cen MT" w:eastAsia="Twentieth Century" w:hAnsi="Tw Cen MT" w:cs="Twentieth Century"/>
          <w:sz w:val="24"/>
          <w:szCs w:val="24"/>
        </w:rPr>
        <w:t xml:space="preserve"> salah </w:t>
      </w:r>
      <w:proofErr w:type="spellStart"/>
      <w:r w:rsidRPr="008F782C">
        <w:rPr>
          <w:rFonts w:ascii="Tw Cen MT" w:eastAsia="Twentieth Century" w:hAnsi="Tw Cen MT" w:cs="Twentieth Century"/>
          <w:sz w:val="24"/>
          <w:szCs w:val="24"/>
        </w:rPr>
        <w:t>satu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wajib</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setiap</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instansi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baik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pusat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maupun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daerah</w:t>
      </w:r>
      <w:proofErr w:type="spellEnd"/>
      <w:r w:rsidRPr="008F782C">
        <w:rPr>
          <w:rFonts w:ascii="Tw Cen MT" w:eastAsia="Twentieth Century" w:hAnsi="Tw Cen MT" w:cs="Twentieth Century"/>
          <w:sz w:val="24"/>
          <w:szCs w:val="24"/>
        </w:rPr>
        <w:t xml:space="preserve"> </w:t>
      </w:r>
      <w:r w:rsidRPr="008F782C">
        <w:rPr>
          <w:rFonts w:ascii="Tw Cen MT" w:eastAsia="Twentieth Century" w:hAnsi="Tw Cen MT" w:cs="Twentieth Century"/>
          <w:sz w:val="24"/>
          <w:szCs w:val="24"/>
        </w:rPr>
        <w:fldChar w:fldCharType="begin" w:fldLock="1"/>
      </w:r>
      <w:r w:rsidR="003B7008" w:rsidRPr="008F782C">
        <w:rPr>
          <w:rFonts w:ascii="Tw Cen MT" w:eastAsia="Twentieth Century" w:hAnsi="Tw Cen MT" w:cs="Twentieth Century"/>
          <w:sz w:val="24"/>
          <w:szCs w:val="24"/>
        </w:rPr>
        <w:instrText>ADDIN CSL_CITATION {"citationItems":[{"id":"ITEM-1","itemData":{"ISBN":"9788578110796","ISSN":"18770428","PMID":"25246403","author":[{"dropping-particle":"","family":"Menkes RI","given":"","non-dropping-particle":"","parse-names":false,"suffix":""}],"id":"ITEM-1","issued":{"date-parts":[["2014"]]},"title":"Peraturan Menteri Kesehatan Republik Indonesia Nomor 45 Tahun 2014 Tentang Penyelenggaraan Surveilans Kesehatan","type":"legislation"},"uris":["http://www.mendeley.com/documents/?uuid=e2253949-6b2a-43b6-8825-105de2abe06b"]}],"mendeley":{"formattedCitation":"[8]","plainTextFormattedCitation":"[8]","previouslyFormattedCitation":"[8]"},"properties":{"noteIndex":0},"schema":"https://github.com/citation-style-language/schema/raw/master/csl-citation.json"}</w:instrText>
      </w:r>
      <w:r w:rsidRPr="008F782C">
        <w:rPr>
          <w:rFonts w:ascii="Tw Cen MT" w:eastAsia="Twentieth Century" w:hAnsi="Tw Cen MT" w:cs="Twentieth Century"/>
          <w:sz w:val="24"/>
          <w:szCs w:val="24"/>
        </w:rPr>
        <w:fldChar w:fldCharType="separate"/>
      </w:r>
      <w:r w:rsidRPr="008F782C">
        <w:rPr>
          <w:rFonts w:ascii="Tw Cen MT" w:eastAsia="Twentieth Century" w:hAnsi="Tw Cen MT" w:cs="Twentieth Century"/>
          <w:noProof/>
          <w:sz w:val="24"/>
          <w:szCs w:val="24"/>
        </w:rPr>
        <w:t>[8]</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Dinas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sebagai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pelaksana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otonomi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daerah</w:t>
      </w:r>
      <w:proofErr w:type="spellEnd"/>
      <w:r w:rsidRPr="008F782C">
        <w:rPr>
          <w:rFonts w:ascii="Tw Cen MT" w:eastAsia="Twentieth Century" w:hAnsi="Tw Cen MT" w:cs="Twentieth Century"/>
          <w:sz w:val="24"/>
          <w:szCs w:val="24"/>
        </w:rPr>
        <w:t xml:space="preserve"> di </w:t>
      </w:r>
      <w:proofErr w:type="spellStart"/>
      <w:r w:rsidRPr="008F782C">
        <w:rPr>
          <w:rFonts w:ascii="Tw Cen MT" w:eastAsia="Twentieth Century" w:hAnsi="Tw Cen MT" w:cs="Twentieth Century"/>
          <w:sz w:val="24"/>
          <w:szCs w:val="24"/>
        </w:rPr>
        <w:t>bidang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harus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melakukan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Tugas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utama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Dinas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ialah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untuk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membantu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kepala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daerah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dalam</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melaksanakan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urusan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pemerintahan</w:t>
      </w:r>
      <w:proofErr w:type="spellEnd"/>
      <w:r w:rsidRPr="008F782C">
        <w:rPr>
          <w:rFonts w:ascii="Tw Cen MT" w:eastAsia="Twentieth Century" w:hAnsi="Tw Cen MT" w:cs="Twentieth Century"/>
          <w:sz w:val="24"/>
          <w:szCs w:val="24"/>
        </w:rPr>
        <w:t xml:space="preserve"> di </w:t>
      </w:r>
      <w:proofErr w:type="spellStart"/>
      <w:r w:rsidRPr="008F782C">
        <w:rPr>
          <w:rFonts w:ascii="Tw Cen MT" w:eastAsia="Twentieth Century" w:hAnsi="Tw Cen MT" w:cs="Twentieth Century"/>
          <w:sz w:val="24"/>
          <w:szCs w:val="24"/>
        </w:rPr>
        <w:t>bidang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Adapun </w:t>
      </w:r>
      <w:proofErr w:type="spellStart"/>
      <w:r w:rsidRPr="008F782C">
        <w:rPr>
          <w:rFonts w:ascii="Tw Cen MT" w:eastAsia="Twentieth Century" w:hAnsi="Tw Cen MT" w:cs="Twentieth Century"/>
          <w:sz w:val="24"/>
          <w:szCs w:val="24"/>
        </w:rPr>
        <w:t>fungsi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dinas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meliputi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perumusan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kebijakan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pelaksana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kebijakan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evaluasi</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pelaporan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pelaksana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administrasi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serta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fungsi</w:t>
      </w:r>
      <w:proofErr w:type="spellEnd"/>
      <w:r w:rsidRPr="008F782C">
        <w:rPr>
          <w:rFonts w:ascii="Tw Cen MT" w:eastAsia="Twentieth Century" w:hAnsi="Tw Cen MT" w:cs="Twentieth Century"/>
          <w:sz w:val="24"/>
          <w:szCs w:val="24"/>
        </w:rPr>
        <w:t xml:space="preserve"> lain yang </w:t>
      </w:r>
      <w:proofErr w:type="spellStart"/>
      <w:r w:rsidRPr="008F782C">
        <w:rPr>
          <w:rFonts w:ascii="Tw Cen MT" w:eastAsia="Twentieth Century" w:hAnsi="Tw Cen MT" w:cs="Twentieth Century"/>
          <w:sz w:val="24"/>
          <w:szCs w:val="24"/>
        </w:rPr>
        <w:t>dibebankan</w:t>
      </w:r>
      <w:proofErr w:type="spellEnd"/>
      <w:r w:rsidRPr="008F782C">
        <w:rPr>
          <w:rFonts w:ascii="Tw Cen MT" w:eastAsia="Twentieth Century" w:hAnsi="Tw Cen MT" w:cs="Twentieth Century"/>
          <w:sz w:val="24"/>
          <w:szCs w:val="24"/>
        </w:rPr>
        <w:t xml:space="preserve"> oleh </w:t>
      </w:r>
      <w:proofErr w:type="spellStart"/>
      <w:r w:rsidRPr="008F782C">
        <w:rPr>
          <w:rFonts w:ascii="Tw Cen MT" w:eastAsia="Twentieth Century" w:hAnsi="Tw Cen MT" w:cs="Twentieth Century"/>
          <w:sz w:val="24"/>
          <w:szCs w:val="24"/>
        </w:rPr>
        <w:t>kepala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daerah</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terkait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bidang</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masyarakat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pencegahan</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pengendalian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penyakit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pelayanan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kefarmasian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alat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dan </w:t>
      </w:r>
      <w:r w:rsidRPr="008F782C">
        <w:rPr>
          <w:rFonts w:ascii="Tw Cen MT" w:eastAsia="Twentieth Century" w:hAnsi="Tw Cen MT" w:cs="Twentieth Century"/>
          <w:sz w:val="24"/>
          <w:szCs w:val="24"/>
        </w:rPr>
        <w:lastRenderedPageBreak/>
        <w:t xml:space="preserve">PKRT </w:t>
      </w:r>
      <w:proofErr w:type="spellStart"/>
      <w:r w:rsidRPr="008F782C">
        <w:rPr>
          <w:rFonts w:ascii="Tw Cen MT" w:eastAsia="Twentieth Century" w:hAnsi="Tw Cen MT" w:cs="Twentieth Century"/>
          <w:sz w:val="24"/>
          <w:szCs w:val="24"/>
        </w:rPr>
        <w:t>serta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sumber</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daya</w:t>
      </w:r>
      <w:proofErr w:type="spellEnd"/>
      <w:r w:rsidRPr="008F782C">
        <w:rPr>
          <w:rFonts w:ascii="Tw Cen MT" w:eastAsia="Twentieth Century" w:hAnsi="Tw Cen MT" w:cs="Twentieth Century"/>
          <w:sz w:val="24"/>
          <w:szCs w:val="24"/>
        </w:rPr>
        <w:t xml:space="preserve"> Kesehatan</w:t>
      </w:r>
      <w:r w:rsidRPr="008F782C">
        <w:rPr>
          <w:rFonts w:ascii="Tw Cen MT" w:eastAsia="Twentieth Century" w:hAnsi="Tw Cen MT" w:cs="Twentieth Century"/>
          <w:sz w:val="24"/>
          <w:szCs w:val="24"/>
          <w:lang w:val="id-ID"/>
        </w:rPr>
        <w:t xml:space="preserve"> </w:t>
      </w:r>
      <w:r w:rsidRPr="008F782C">
        <w:rPr>
          <w:rFonts w:ascii="Tw Cen MT" w:eastAsia="Twentieth Century" w:hAnsi="Tw Cen MT" w:cs="Twentieth Century"/>
          <w:sz w:val="24"/>
          <w:szCs w:val="24"/>
          <w:lang w:val="id-ID"/>
        </w:rPr>
        <w:fldChar w:fldCharType="begin" w:fldLock="1"/>
      </w:r>
      <w:r w:rsidR="003B7008" w:rsidRPr="008F782C">
        <w:rPr>
          <w:rFonts w:ascii="Tw Cen MT" w:eastAsia="Twentieth Century" w:hAnsi="Tw Cen MT" w:cs="Twentieth Century"/>
          <w:sz w:val="24"/>
          <w:szCs w:val="24"/>
          <w:lang w:val="id-ID"/>
        </w:rPr>
        <w:instrText>ADDIN CSL_CITATION {"citationItems":[{"id":"ITEM-1","itemData":{"author":[{"dropping-particle":"","family":"Menkes RI","given":"","non-dropping-particle":"","parse-names":false,"suffix":""}],"id":"ITEM-1","issued":{"date-parts":[["2016"]]},"title":"Peraturan Meteri Kesehatan Republik Indonesia Nomor 49 Tahun 2016 Tentang Pengorganisasian Dinas Kesehatan Provinsi Dan Kabupaten/Kota","type":"legislation"},"uris":["http://www.mendeley.com/documents/?uuid=0bcbd9c7-d2d8-49be-8a16-ecc161cfe323"]}],"mendeley":{"formattedCitation":"[9]","plainTextFormattedCitation":"[9]","previouslyFormattedCitation":"[9]"},"properties":{"noteIndex":0},"schema":"https://github.com/citation-style-language/schema/raw/master/csl-citation.json"}</w:instrText>
      </w:r>
      <w:r w:rsidRPr="008F782C">
        <w:rPr>
          <w:rFonts w:ascii="Tw Cen MT" w:eastAsia="Twentieth Century" w:hAnsi="Tw Cen MT" w:cs="Twentieth Century"/>
          <w:sz w:val="24"/>
          <w:szCs w:val="24"/>
          <w:lang w:val="id-ID"/>
        </w:rPr>
        <w:fldChar w:fldCharType="separate"/>
      </w:r>
      <w:r w:rsidRPr="008F782C">
        <w:rPr>
          <w:rFonts w:ascii="Tw Cen MT" w:eastAsia="Twentieth Century" w:hAnsi="Tw Cen MT" w:cs="Twentieth Century"/>
          <w:noProof/>
          <w:sz w:val="24"/>
          <w:szCs w:val="24"/>
          <w:lang w:val="id-ID"/>
        </w:rPr>
        <w:t>[9]</w:t>
      </w:r>
      <w:r w:rsidRPr="008F782C">
        <w:rPr>
          <w:rFonts w:ascii="Tw Cen MT" w:eastAsia="Twentieth Century" w:hAnsi="Tw Cen MT" w:cs="Twentieth Century"/>
          <w:sz w:val="24"/>
          <w:szCs w:val="24"/>
        </w:rPr>
        <w:fldChar w:fldCharType="end"/>
      </w:r>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Pelaksanaan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tugas</w:t>
      </w:r>
      <w:proofErr w:type="spellEnd"/>
      <w:r w:rsidRPr="008F782C">
        <w:rPr>
          <w:rFonts w:ascii="Tw Cen MT" w:eastAsia="Twentieth Century" w:hAnsi="Tw Cen MT" w:cs="Twentieth Century"/>
          <w:sz w:val="24"/>
          <w:szCs w:val="24"/>
        </w:rPr>
        <w:t xml:space="preserve"> dan </w:t>
      </w:r>
      <w:proofErr w:type="spellStart"/>
      <w:r w:rsidRPr="008F782C">
        <w:rPr>
          <w:rFonts w:ascii="Tw Cen MT" w:eastAsia="Twentieth Century" w:hAnsi="Tw Cen MT" w:cs="Twentieth Century"/>
          <w:sz w:val="24"/>
          <w:szCs w:val="24"/>
        </w:rPr>
        <w:t>fungsi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dari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dinas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harus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berdasarkan</w:t>
      </w:r>
      <w:proofErr w:type="spellEnd"/>
      <w:r w:rsidRPr="008F782C">
        <w:rPr>
          <w:rFonts w:ascii="Tw Cen MT" w:eastAsia="Twentieth Century" w:hAnsi="Tw Cen MT" w:cs="Twentieth Century"/>
          <w:sz w:val="24"/>
          <w:szCs w:val="24"/>
        </w:rPr>
        <w:t xml:space="preserve"> data yang valid </w:t>
      </w:r>
      <w:proofErr w:type="spellStart"/>
      <w:r w:rsidRPr="008F782C">
        <w:rPr>
          <w:rFonts w:ascii="Tw Cen MT" w:eastAsia="Twentieth Century" w:hAnsi="Tw Cen MT" w:cs="Twentieth Century"/>
          <w:sz w:val="24"/>
          <w:szCs w:val="24"/>
        </w:rPr>
        <w:t>sehingga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kegiatan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kesehatan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perlu</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dilakukan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sistem</w:t>
      </w:r>
      <w:proofErr w:type="spellEnd"/>
      <w:r w:rsidRPr="008F782C">
        <w:rPr>
          <w:rFonts w:ascii="Tw Cen MT" w:eastAsia="Twentieth Century" w:hAnsi="Tw Cen MT" w:cs="Twentieth Century"/>
          <w:sz w:val="24"/>
          <w:szCs w:val="24"/>
        </w:rPr>
        <w:t xml:space="preserve"> yang </w:t>
      </w:r>
      <w:proofErr w:type="spellStart"/>
      <w:r w:rsidRPr="008F782C">
        <w:rPr>
          <w:rFonts w:ascii="Tw Cen MT" w:eastAsia="Twentieth Century" w:hAnsi="Tw Cen MT" w:cs="Twentieth Century"/>
          <w:sz w:val="24"/>
          <w:szCs w:val="24"/>
        </w:rPr>
        <w:t>kuat</w:t>
      </w:r>
      <w:proofErr w:type="spellEnd"/>
      <w:r w:rsidRPr="008F782C">
        <w:rPr>
          <w:rFonts w:ascii="Tw Cen MT" w:eastAsia="Twentieth Century" w:hAnsi="Tw Cen MT" w:cs="Twentieth Century"/>
          <w:sz w:val="24"/>
          <w:szCs w:val="24"/>
        </w:rPr>
        <w:t xml:space="preserve"> dan optimal. </w:t>
      </w:r>
      <w:proofErr w:type="spellStart"/>
      <w:r w:rsidRPr="008F782C">
        <w:rPr>
          <w:rFonts w:ascii="Tw Cen MT" w:eastAsia="Twentieth Century" w:hAnsi="Tw Cen MT" w:cs="Twentieth Century"/>
          <w:sz w:val="24"/>
          <w:szCs w:val="24"/>
        </w:rPr>
        <w:t>Menyikapi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hal</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tersebut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maka</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penulis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tertarik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untuk</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mengkaji</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terkait</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dengan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pelaksanaan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surveilans</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hipertensi</w:t>
      </w:r>
      <w:proofErr w:type="spellEnd"/>
      <w:r w:rsidRPr="008F782C">
        <w:rPr>
          <w:rFonts w:ascii="Tw Cen MT" w:eastAsia="Twentieth Century" w:hAnsi="Tw Cen MT" w:cs="Twentieth Century"/>
          <w:sz w:val="24"/>
          <w:szCs w:val="24"/>
        </w:rPr>
        <w:t xml:space="preserve"> di </w:t>
      </w:r>
      <w:proofErr w:type="spellStart"/>
      <w:r w:rsidRPr="008F782C">
        <w:rPr>
          <w:rFonts w:ascii="Tw Cen MT" w:eastAsia="Twentieth Century" w:hAnsi="Tw Cen MT" w:cs="Twentieth Century"/>
          <w:sz w:val="24"/>
          <w:szCs w:val="24"/>
        </w:rPr>
        <w:t>Dinas</w:t>
      </w:r>
      <w:proofErr w:type="spellEnd"/>
      <w:r w:rsidRPr="008F782C">
        <w:rPr>
          <w:rFonts w:ascii="Tw Cen MT" w:eastAsia="Twentieth Century" w:hAnsi="Tw Cen MT" w:cs="Twentieth Century"/>
          <w:sz w:val="24"/>
          <w:szCs w:val="24"/>
        </w:rPr>
        <w:t xml:space="preserve"> Kesehatan </w:t>
      </w:r>
      <w:proofErr w:type="spellStart"/>
      <w:r w:rsidRPr="008F782C">
        <w:rPr>
          <w:rFonts w:ascii="Tw Cen MT" w:eastAsia="Twentieth Century" w:hAnsi="Tw Cen MT" w:cs="Twentieth Century"/>
          <w:sz w:val="24"/>
          <w:szCs w:val="24"/>
        </w:rPr>
        <w:t>Kabupaten</w:t>
      </w:r>
      <w:proofErr w:type="spellEnd"/>
      <w:r w:rsidRPr="008F782C">
        <w:rPr>
          <w:rFonts w:ascii="Tw Cen MT" w:eastAsia="Twentieth Century" w:hAnsi="Tw Cen MT" w:cs="Twentieth Century"/>
          <w:sz w:val="24"/>
          <w:szCs w:val="24"/>
        </w:rPr>
        <w:t xml:space="preserve"> </w:t>
      </w:r>
      <w:proofErr w:type="spellStart"/>
      <w:r w:rsidRPr="008F782C">
        <w:rPr>
          <w:rFonts w:ascii="Tw Cen MT" w:eastAsia="Twentieth Century" w:hAnsi="Tw Cen MT" w:cs="Twentieth Century"/>
          <w:sz w:val="24"/>
          <w:szCs w:val="24"/>
        </w:rPr>
        <w:t>Majalengka</w:t>
      </w:r>
      <w:proofErr w:type="spellEnd"/>
      <w:r w:rsidRPr="008F782C">
        <w:rPr>
          <w:rFonts w:ascii="Tw Cen MT" w:eastAsia="Twentieth Century" w:hAnsi="Tw Cen MT" w:cs="Twentieth Century"/>
          <w:sz w:val="24"/>
          <w:szCs w:val="24"/>
          <w:lang w:val="id-ID"/>
        </w:rPr>
        <w:t>.</w:t>
      </w:r>
      <w:r w:rsidR="00B43B99" w:rsidRPr="008F782C">
        <w:rPr>
          <w:rFonts w:ascii="Tw Cen MT" w:eastAsia="Twentieth Century" w:hAnsi="Tw Cen MT" w:cs="Twentieth Century"/>
          <w:color w:val="000000"/>
          <w:sz w:val="24"/>
          <w:szCs w:val="24"/>
        </w:rPr>
        <w:t xml:space="preserve"> </w:t>
      </w:r>
    </w:p>
    <w:p w14:paraId="192049EC" w14:textId="77777777" w:rsidR="00D93684" w:rsidRPr="00296EB9" w:rsidRDefault="00D93684">
      <w:pPr>
        <w:spacing w:after="0" w:line="240" w:lineRule="auto"/>
        <w:jc w:val="both"/>
        <w:rPr>
          <w:rFonts w:ascii="Tw Cen MT" w:eastAsia="Twentieth Century" w:hAnsi="Tw Cen MT" w:cs="Twentieth Century"/>
          <w:color w:val="000000"/>
          <w:sz w:val="24"/>
          <w:szCs w:val="24"/>
        </w:rPr>
      </w:pPr>
    </w:p>
    <w:p w14:paraId="06C0AF8A" w14:textId="77777777" w:rsidR="00D93684" w:rsidRPr="00296EB9" w:rsidRDefault="00B43B99">
      <w:pPr>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METODE </w:t>
      </w:r>
    </w:p>
    <w:p w14:paraId="7EFB6ED2" w14:textId="66F2B35C" w:rsidR="00A2643D" w:rsidRPr="00A2643D" w:rsidRDefault="00A2643D" w:rsidP="00573FB2">
      <w:pPr>
        <w:tabs>
          <w:tab w:val="left" w:pos="426"/>
        </w:tabs>
        <w:spacing w:after="0" w:line="240" w:lineRule="auto"/>
        <w:jc w:val="both"/>
        <w:rPr>
          <w:rFonts w:ascii="Tw Cen MT" w:eastAsia="Twentieth Century" w:hAnsi="Tw Cen MT" w:cs="Twentieth Century"/>
          <w:b/>
          <w:bCs/>
          <w:sz w:val="24"/>
          <w:szCs w:val="24"/>
        </w:rPr>
      </w:pPr>
      <w:r w:rsidRPr="00A2643D">
        <w:rPr>
          <w:rFonts w:ascii="Tw Cen MT" w:eastAsia="Twentieth Century" w:hAnsi="Tw Cen MT" w:cs="Twentieth Century"/>
          <w:sz w:val="24"/>
          <w:szCs w:val="24"/>
          <w:lang w:val="id-ID"/>
        </w:rPr>
        <w:t xml:space="preserve">Penelitian merupakan penelitian kualitatif dengan desain perbandingan, untuk membandingkan kegiatan surveilans di Dinas Kesehatan kabupaten </w:t>
      </w:r>
      <w:commentRangeStart w:id="5"/>
      <w:commentRangeEnd w:id="5"/>
      <w:r w:rsidRPr="00A2643D">
        <w:rPr>
          <w:rFonts w:ascii="Tw Cen MT" w:eastAsia="Twentieth Century" w:hAnsi="Tw Cen MT" w:cs="Twentieth Century"/>
          <w:sz w:val="24"/>
          <w:szCs w:val="24"/>
        </w:rPr>
        <w:commentReference w:id="5"/>
      </w:r>
      <w:r w:rsidRPr="00A2643D">
        <w:rPr>
          <w:rFonts w:ascii="Tw Cen MT" w:eastAsia="Twentieth Century" w:hAnsi="Tw Cen MT" w:cs="Twentieth Century"/>
          <w:sz w:val="24"/>
          <w:szCs w:val="24"/>
          <w:lang w:val="id-ID"/>
        </w:rPr>
        <w:t xml:space="preserve">Majalengka dengan standar yang dikeluarkan oleh </w:t>
      </w:r>
      <w:r w:rsidR="008F782C">
        <w:rPr>
          <w:rFonts w:ascii="Tw Cen MT" w:eastAsia="Twentieth Century" w:hAnsi="Tw Cen MT" w:cs="Twentieth Century"/>
          <w:sz w:val="24"/>
          <w:szCs w:val="24"/>
          <w:lang w:val="id-ID"/>
        </w:rPr>
        <w:t>K</w:t>
      </w:r>
      <w:r w:rsidRPr="00A2643D">
        <w:rPr>
          <w:rFonts w:ascii="Tw Cen MT" w:eastAsia="Twentieth Century" w:hAnsi="Tw Cen MT" w:cs="Twentieth Century"/>
          <w:sz w:val="24"/>
          <w:szCs w:val="24"/>
          <w:lang w:val="id-ID"/>
        </w:rPr>
        <w:t xml:space="preserve">ementerian </w:t>
      </w:r>
      <w:r w:rsidR="008F782C">
        <w:rPr>
          <w:rFonts w:ascii="Tw Cen MT" w:eastAsia="Twentieth Century" w:hAnsi="Tw Cen MT" w:cs="Twentieth Century"/>
          <w:sz w:val="24"/>
          <w:szCs w:val="24"/>
          <w:lang w:val="id-ID"/>
        </w:rPr>
        <w:t>K</w:t>
      </w:r>
      <w:r w:rsidRPr="00A2643D">
        <w:rPr>
          <w:rFonts w:ascii="Tw Cen MT" w:eastAsia="Twentieth Century" w:hAnsi="Tw Cen MT" w:cs="Twentieth Century"/>
          <w:sz w:val="24"/>
          <w:szCs w:val="24"/>
          <w:lang w:val="id-ID"/>
        </w:rPr>
        <w:t xml:space="preserve">esehatan RI. Pengambilan data dilakukan dengan teknik wawancara mendalam, observasi serta telaah dokumen. Penelitian dilaksanakan di Dinas Kesehatan Kabupaten Majalengka pada bulan Februari – Maret 2021. Informan dari penelitian ini merupakan staf Dinas Kesehatan Kabupaten Majalengka yang bertugas di seksi P2PTM dan Keswa (Pencegahan dan Pengendalian Penyakit Tidak Menular dan Kesehatan Jiwa) selaku pemegang program hipertensi. Informan utama berjumlah 3 orang </w:t>
      </w:r>
      <w:r w:rsidR="008F782C">
        <w:rPr>
          <w:rFonts w:ascii="Tw Cen MT" w:eastAsia="Twentieth Century" w:hAnsi="Tw Cen MT" w:cs="Twentieth Century"/>
          <w:sz w:val="24"/>
          <w:szCs w:val="24"/>
          <w:lang w:val="id-ID"/>
        </w:rPr>
        <w:t xml:space="preserve">yang tersiri dari 1 orang </w:t>
      </w:r>
      <w:r w:rsidRPr="00A2643D">
        <w:rPr>
          <w:rFonts w:ascii="Tw Cen MT" w:eastAsia="Twentieth Century" w:hAnsi="Tw Cen MT" w:cs="Twentieth Century"/>
          <w:sz w:val="24"/>
          <w:szCs w:val="24"/>
          <w:lang w:val="id-ID"/>
        </w:rPr>
        <w:t xml:space="preserve">sebagai kepala seksi P2PTM dan Keswa </w:t>
      </w:r>
      <w:r w:rsidR="008F782C">
        <w:rPr>
          <w:rFonts w:ascii="Tw Cen MT" w:eastAsia="Twentieth Century" w:hAnsi="Tw Cen MT" w:cs="Twentieth Century"/>
          <w:sz w:val="24"/>
          <w:szCs w:val="24"/>
          <w:lang w:val="id-ID"/>
        </w:rPr>
        <w:t>dan 2 orang sebagai</w:t>
      </w:r>
      <w:r w:rsidRPr="00A2643D">
        <w:rPr>
          <w:rFonts w:ascii="Tw Cen MT" w:eastAsia="Twentieth Century" w:hAnsi="Tw Cen MT" w:cs="Twentieth Century"/>
          <w:sz w:val="24"/>
          <w:szCs w:val="24"/>
          <w:lang w:val="id-ID"/>
        </w:rPr>
        <w:t xml:space="preserve"> pemegang program PTM yang lebih memahami terkait dengan pelaksanaan surveilans hipertensi. Adapun informan pendukung merupakan staf dari P2PTM dan Keswa lainnya yang berjumlah 2 orang. Analisis data dilakukan dengan proses yang saling berkaitan, yang terdiri dari verifikasi data, reduksi data serta penyajian data</w:t>
      </w:r>
    </w:p>
    <w:p w14:paraId="0B322A52" w14:textId="63E4F976" w:rsidR="00D93684" w:rsidRDefault="00D93684">
      <w:pPr>
        <w:tabs>
          <w:tab w:val="left" w:pos="426"/>
        </w:tabs>
        <w:spacing w:after="0"/>
        <w:jc w:val="both"/>
        <w:rPr>
          <w:rFonts w:ascii="Tw Cen MT" w:eastAsia="Twentieth Century" w:hAnsi="Tw Cen MT" w:cs="Twentieth Century"/>
          <w:sz w:val="24"/>
          <w:szCs w:val="24"/>
        </w:rPr>
      </w:pPr>
    </w:p>
    <w:p w14:paraId="1E8E3F31" w14:textId="77777777" w:rsidR="00D93684" w:rsidRPr="00296EB9" w:rsidRDefault="00B43B99" w:rsidP="00573FB2">
      <w:pPr>
        <w:tabs>
          <w:tab w:val="left" w:pos="426"/>
        </w:tabs>
        <w:spacing w:after="0" w:line="276" w:lineRule="auto"/>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HASIL DAN PEMBAHASAN</w:t>
      </w:r>
    </w:p>
    <w:p w14:paraId="7CE704F0" w14:textId="77777777" w:rsidR="00A2643D" w:rsidRPr="00A2643D" w:rsidRDefault="00A2643D" w:rsidP="00573FB2">
      <w:pPr>
        <w:numPr>
          <w:ilvl w:val="0"/>
          <w:numId w:val="1"/>
        </w:numPr>
        <w:spacing w:after="0" w:line="276" w:lineRule="auto"/>
        <w:ind w:left="284"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Gambaran Umum Lokasi Penelitian</w:t>
      </w:r>
    </w:p>
    <w:p w14:paraId="45B5604D" w14:textId="77777777" w:rsidR="00A2643D" w:rsidRPr="00A2643D" w:rsidRDefault="00A2643D" w:rsidP="00573FB2">
      <w:pPr>
        <w:numPr>
          <w:ilvl w:val="0"/>
          <w:numId w:val="2"/>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Gambaran Dinas Kesehatan kabupaten Majalengka</w:t>
      </w:r>
    </w:p>
    <w:p w14:paraId="72A99BCB" w14:textId="77777777" w:rsidR="00573FB2" w:rsidRDefault="00A2643D" w:rsidP="00573FB2">
      <w:pPr>
        <w:spacing w:after="0" w:line="240" w:lineRule="auto"/>
        <w:jc w:val="both"/>
        <w:rPr>
          <w:rFonts w:ascii="Tw Cen MT" w:eastAsia="Twentieth Century" w:hAnsi="Tw Cen MT" w:cs="Twentieth Century"/>
          <w:b/>
          <w:bCs/>
          <w:sz w:val="24"/>
          <w:szCs w:val="24"/>
          <w:lang w:val="id-ID"/>
        </w:rPr>
      </w:pPr>
      <w:r w:rsidRPr="00A2643D">
        <w:rPr>
          <w:rFonts w:ascii="Tw Cen MT" w:eastAsia="Twentieth Century" w:hAnsi="Tw Cen MT" w:cs="Twentieth Century"/>
          <w:sz w:val="24"/>
          <w:szCs w:val="24"/>
          <w:lang w:val="id-ID"/>
        </w:rPr>
        <w:t>Dinas Kesehatan memiliki peran membantu mewujudkan visi dan misi dari kepala pemerintah di wilayahnya, terkhusus di bidang kesehatan. Adapun di Kabupaten Majalengka, Dinas Kesehatan berperan dalam mewujudkan misi pemerintah poin 2 dan 4, yaitu dengan isu strategis   peningkatan  infrastruktur  kesehatan  dan   jaminan   kesehatan  bagi  masyarakat  miskin serta isu strategis peningkatan derajat kesehatan masyarakat dan peningkatan akuntabilitas pelayanan publik</w:t>
      </w:r>
    </w:p>
    <w:p w14:paraId="0D798040" w14:textId="743540EB" w:rsidR="00573FB2" w:rsidRDefault="00A2643D" w:rsidP="00573FB2">
      <w:pPr>
        <w:spacing w:after="0" w:line="240" w:lineRule="auto"/>
        <w:jc w:val="both"/>
        <w:rPr>
          <w:rFonts w:ascii="Tw Cen MT" w:eastAsia="Twentieth Century" w:hAnsi="Tw Cen MT" w:cs="Twentieth Century"/>
          <w:sz w:val="24"/>
          <w:szCs w:val="24"/>
        </w:rPr>
      </w:pPr>
      <w:proofErr w:type="spellStart"/>
      <w:r w:rsidRPr="00A2643D">
        <w:rPr>
          <w:rFonts w:ascii="Tw Cen MT" w:eastAsia="Twentieth Century" w:hAnsi="Tw Cen MT" w:cs="Twentieth Century"/>
          <w:sz w:val="24"/>
          <w:szCs w:val="24"/>
        </w:rPr>
        <w:t>Dinas</w:t>
      </w:r>
      <w:proofErr w:type="spellEnd"/>
      <w:r w:rsidRPr="00A2643D">
        <w:rPr>
          <w:rFonts w:ascii="Tw Cen MT" w:eastAsia="Twentieth Century" w:hAnsi="Tw Cen MT" w:cs="Twentieth Century"/>
          <w:sz w:val="24"/>
          <w:szCs w:val="24"/>
        </w:rPr>
        <w:t xml:space="preserve"> Kesehatan </w:t>
      </w:r>
      <w:proofErr w:type="spellStart"/>
      <w:r w:rsidRPr="00A2643D">
        <w:rPr>
          <w:rFonts w:ascii="Tw Cen MT" w:eastAsia="Twentieth Century" w:hAnsi="Tw Cen MT" w:cs="Twentieth Century"/>
          <w:sz w:val="24"/>
          <w:szCs w:val="24"/>
        </w:rPr>
        <w:t>Kabupaten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Majalengka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tergolong</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menjadi</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dinas</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tipe</w:t>
      </w:r>
      <w:proofErr w:type="spellEnd"/>
      <w:r w:rsidRPr="00A2643D">
        <w:rPr>
          <w:rFonts w:ascii="Tw Cen MT" w:eastAsia="Twentieth Century" w:hAnsi="Tw Cen MT" w:cs="Twentieth Century"/>
          <w:sz w:val="24"/>
          <w:szCs w:val="24"/>
        </w:rPr>
        <w:t xml:space="preserve"> A</w:t>
      </w:r>
      <w:r w:rsidRPr="00A2643D">
        <w:rPr>
          <w:rFonts w:ascii="Tw Cen MT" w:eastAsia="Twentieth Century" w:hAnsi="Tw Cen MT" w:cs="Twentieth Century"/>
          <w:sz w:val="24"/>
          <w:szCs w:val="24"/>
          <w:lang w:val="id-ID"/>
        </w:rPr>
        <w:t xml:space="preserve"> yang setidaknya </w:t>
      </w:r>
      <w:proofErr w:type="spellStart"/>
      <w:r w:rsidRPr="00A2643D">
        <w:rPr>
          <w:rFonts w:ascii="Tw Cen MT" w:eastAsia="Twentieth Century" w:hAnsi="Tw Cen MT" w:cs="Twentieth Century"/>
          <w:sz w:val="24"/>
          <w:szCs w:val="24"/>
        </w:rPr>
        <w:t>memiliki</w:t>
      </w:r>
      <w:proofErr w:type="spellEnd"/>
      <w:r w:rsidRPr="00A2643D">
        <w:rPr>
          <w:rFonts w:ascii="Tw Cen MT" w:eastAsia="Twentieth Century" w:hAnsi="Tw Cen MT" w:cs="Twentieth Century"/>
          <w:sz w:val="24"/>
          <w:szCs w:val="24"/>
        </w:rPr>
        <w:t xml:space="preserve"> 1 </w:t>
      </w:r>
      <w:proofErr w:type="spellStart"/>
      <w:r w:rsidRPr="00A2643D">
        <w:rPr>
          <w:rFonts w:ascii="Tw Cen MT" w:eastAsia="Twentieth Century" w:hAnsi="Tw Cen MT" w:cs="Twentieth Century"/>
          <w:sz w:val="24"/>
          <w:szCs w:val="24"/>
        </w:rPr>
        <w:t>sekretariat</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dengan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maksimal</w:t>
      </w:r>
      <w:proofErr w:type="spellEnd"/>
      <w:r w:rsidRPr="00A2643D">
        <w:rPr>
          <w:rFonts w:ascii="Tw Cen MT" w:eastAsia="Twentieth Century" w:hAnsi="Tw Cen MT" w:cs="Twentieth Century"/>
          <w:sz w:val="24"/>
          <w:szCs w:val="24"/>
        </w:rPr>
        <w:t xml:space="preserve"> 3 sub </w:t>
      </w:r>
      <w:proofErr w:type="spellStart"/>
      <w:r w:rsidRPr="00A2643D">
        <w:rPr>
          <w:rFonts w:ascii="Tw Cen MT" w:eastAsia="Twentieth Century" w:hAnsi="Tw Cen MT" w:cs="Twentieth Century"/>
          <w:sz w:val="24"/>
          <w:szCs w:val="24"/>
        </w:rPr>
        <w:t>bagian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serta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memiliki</w:t>
      </w:r>
      <w:proofErr w:type="spellEnd"/>
      <w:r w:rsidRPr="00A2643D">
        <w:rPr>
          <w:rFonts w:ascii="Tw Cen MT" w:eastAsia="Twentieth Century" w:hAnsi="Tw Cen MT" w:cs="Twentieth Century"/>
          <w:sz w:val="24"/>
          <w:szCs w:val="24"/>
        </w:rPr>
        <w:t xml:space="preserve"> 4 </w:t>
      </w:r>
      <w:proofErr w:type="spellStart"/>
      <w:r w:rsidRPr="00A2643D">
        <w:rPr>
          <w:rFonts w:ascii="Tw Cen MT" w:eastAsia="Twentieth Century" w:hAnsi="Tw Cen MT" w:cs="Twentieth Century"/>
          <w:sz w:val="24"/>
          <w:szCs w:val="24"/>
        </w:rPr>
        <w:t>bidang</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dengan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maksimal</w:t>
      </w:r>
      <w:proofErr w:type="spellEnd"/>
      <w:r w:rsidRPr="00A2643D">
        <w:rPr>
          <w:rFonts w:ascii="Tw Cen MT" w:eastAsia="Twentieth Century" w:hAnsi="Tw Cen MT" w:cs="Twentieth Century"/>
          <w:sz w:val="24"/>
          <w:szCs w:val="24"/>
        </w:rPr>
        <w:t xml:space="preserve"> 3 </w:t>
      </w:r>
      <w:proofErr w:type="spellStart"/>
      <w:r w:rsidRPr="00A2643D">
        <w:rPr>
          <w:rFonts w:ascii="Tw Cen MT" w:eastAsia="Twentieth Century" w:hAnsi="Tw Cen MT" w:cs="Twentieth Century"/>
          <w:sz w:val="24"/>
          <w:szCs w:val="24"/>
        </w:rPr>
        <w:t>seksi</w:t>
      </w:r>
      <w:proofErr w:type="spellEnd"/>
      <w:r w:rsidRPr="00A2643D">
        <w:rPr>
          <w:rFonts w:ascii="Tw Cen MT" w:eastAsia="Twentieth Century" w:hAnsi="Tw Cen MT" w:cs="Twentieth Century"/>
          <w:sz w:val="24"/>
          <w:szCs w:val="24"/>
        </w:rPr>
        <w:t xml:space="preserve"> </w:t>
      </w:r>
      <w:r w:rsidRPr="00A2643D">
        <w:rPr>
          <w:rFonts w:ascii="Tw Cen MT" w:eastAsia="Twentieth Century" w:hAnsi="Tw Cen MT" w:cs="Twentieth Century"/>
          <w:sz w:val="24"/>
          <w:szCs w:val="24"/>
        </w:rPr>
        <w:fldChar w:fldCharType="begin" w:fldLock="1"/>
      </w:r>
      <w:r w:rsidR="003B7008">
        <w:rPr>
          <w:rFonts w:ascii="Tw Cen MT" w:eastAsia="Twentieth Century" w:hAnsi="Tw Cen MT" w:cs="Twentieth Century"/>
          <w:sz w:val="24"/>
          <w:szCs w:val="24"/>
        </w:rPr>
        <w:instrText>ADDIN CSL_CITATION {"citationItems":[{"id":"ITEM-1","itemData":{"author":[{"dropping-particle":"","family":"Menkes RI","given":"","non-dropping-particle":"","parse-names":false,"suffix":""}],"id":"ITEM-1","issued":{"date-parts":[["2016"]]},"title":"Peraturan Meteri Kesehatan Republik Indonesia Nomor 49 Tahun 2016 Tentang Pengorganisasian Dinas Kesehatan Provinsi Dan Kabupaten/Kota","type":"legislation"},"uris":["http://www.mendeley.com/documents/?uuid=0bcbd9c7-d2d8-49be-8a16-ecc161cfe323"]}],"mendeley":{"formattedCitation":"[9]","plainTextFormattedCitation":"[9]","previouslyFormattedCitation":"[9]"},"properties":{"noteIndex":0},"schema":"https://github.com/citation-style-language/schema/raw/master/csl-citation.json"}</w:instrText>
      </w:r>
      <w:r w:rsidRPr="00A2643D">
        <w:rPr>
          <w:rFonts w:ascii="Tw Cen MT" w:eastAsia="Twentieth Century" w:hAnsi="Tw Cen MT" w:cs="Twentieth Century"/>
          <w:sz w:val="24"/>
          <w:szCs w:val="24"/>
        </w:rPr>
        <w:fldChar w:fldCharType="separate"/>
      </w:r>
      <w:r w:rsidRPr="00A2643D">
        <w:rPr>
          <w:rFonts w:ascii="Tw Cen MT" w:eastAsia="Twentieth Century" w:hAnsi="Tw Cen MT" w:cs="Twentieth Century"/>
          <w:noProof/>
          <w:sz w:val="24"/>
          <w:szCs w:val="24"/>
        </w:rPr>
        <w:t>[9]</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Pelaksanaannya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dinas</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kesehatan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Kabupaten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Majalengka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terdiri</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dari</w:t>
      </w:r>
      <w:proofErr w:type="spellEnd"/>
      <w:r w:rsidRPr="00A2643D">
        <w:rPr>
          <w:rFonts w:ascii="Tw Cen MT" w:eastAsia="Twentieth Century" w:hAnsi="Tw Cen MT" w:cs="Twentieth Century"/>
          <w:sz w:val="24"/>
          <w:szCs w:val="24"/>
        </w:rPr>
        <w:t xml:space="preserve"> 1 </w:t>
      </w:r>
      <w:proofErr w:type="spellStart"/>
      <w:r w:rsidRPr="00A2643D">
        <w:rPr>
          <w:rFonts w:ascii="Tw Cen MT" w:eastAsia="Twentieth Century" w:hAnsi="Tw Cen MT" w:cs="Twentieth Century"/>
          <w:sz w:val="24"/>
          <w:szCs w:val="24"/>
        </w:rPr>
        <w:t>sekretariat</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dengan</w:t>
      </w:r>
      <w:proofErr w:type="spellEnd"/>
      <w:r w:rsidRPr="00A2643D">
        <w:rPr>
          <w:rFonts w:ascii="Tw Cen MT" w:eastAsia="Twentieth Century" w:hAnsi="Tw Cen MT" w:cs="Twentieth Century"/>
          <w:sz w:val="24"/>
          <w:szCs w:val="24"/>
        </w:rPr>
        <w:t xml:space="preserve"> 3 sub </w:t>
      </w:r>
      <w:proofErr w:type="spellStart"/>
      <w:r w:rsidRPr="00A2643D">
        <w:rPr>
          <w:rFonts w:ascii="Tw Cen MT" w:eastAsia="Twentieth Century" w:hAnsi="Tw Cen MT" w:cs="Twentieth Century"/>
          <w:sz w:val="24"/>
          <w:szCs w:val="24"/>
        </w:rPr>
        <w:t>bagian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yaitu</w:t>
      </w:r>
      <w:proofErr w:type="spellEnd"/>
      <w:r w:rsidRPr="00A2643D">
        <w:rPr>
          <w:rFonts w:ascii="Tw Cen MT" w:eastAsia="Twentieth Century" w:hAnsi="Tw Cen MT" w:cs="Twentieth Century"/>
          <w:sz w:val="24"/>
          <w:szCs w:val="24"/>
        </w:rPr>
        <w:t xml:space="preserve"> sub </w:t>
      </w:r>
      <w:proofErr w:type="spellStart"/>
      <w:r w:rsidRPr="00A2643D">
        <w:rPr>
          <w:rFonts w:ascii="Tw Cen MT" w:eastAsia="Twentieth Century" w:hAnsi="Tw Cen MT" w:cs="Twentieth Century"/>
          <w:sz w:val="24"/>
          <w:szCs w:val="24"/>
        </w:rPr>
        <w:t>bagian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umum</w:t>
      </w:r>
      <w:proofErr w:type="spellEnd"/>
      <w:r w:rsidRPr="00A2643D">
        <w:rPr>
          <w:rFonts w:ascii="Tw Cen MT" w:eastAsia="Twentieth Century" w:hAnsi="Tw Cen MT" w:cs="Twentieth Century"/>
          <w:sz w:val="24"/>
          <w:szCs w:val="24"/>
        </w:rPr>
        <w:t xml:space="preserve"> dan </w:t>
      </w:r>
      <w:proofErr w:type="spellStart"/>
      <w:r w:rsidRPr="00A2643D">
        <w:rPr>
          <w:rFonts w:ascii="Tw Cen MT" w:eastAsia="Twentieth Century" w:hAnsi="Tw Cen MT" w:cs="Twentieth Century"/>
          <w:sz w:val="24"/>
          <w:szCs w:val="24"/>
        </w:rPr>
        <w:t>kepegawaian</w:t>
      </w:r>
      <w:proofErr w:type="spellEnd"/>
      <w:r w:rsidRPr="00A2643D">
        <w:rPr>
          <w:rFonts w:ascii="Tw Cen MT" w:eastAsia="Twentieth Century" w:hAnsi="Tw Cen MT" w:cs="Twentieth Century"/>
          <w:sz w:val="24"/>
          <w:szCs w:val="24"/>
        </w:rPr>
        <w:t xml:space="preserve">, sub </w:t>
      </w:r>
      <w:proofErr w:type="spellStart"/>
      <w:r w:rsidRPr="00A2643D">
        <w:rPr>
          <w:rFonts w:ascii="Tw Cen MT" w:eastAsia="Twentieth Century" w:hAnsi="Tw Cen MT" w:cs="Twentieth Century"/>
          <w:sz w:val="24"/>
          <w:szCs w:val="24"/>
        </w:rPr>
        <w:t>bagian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keuangan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serta</w:t>
      </w:r>
      <w:proofErr w:type="spellEnd"/>
      <w:r w:rsidRPr="00A2643D">
        <w:rPr>
          <w:rFonts w:ascii="Tw Cen MT" w:eastAsia="Twentieth Century" w:hAnsi="Tw Cen MT" w:cs="Twentieth Century"/>
          <w:sz w:val="24"/>
          <w:szCs w:val="24"/>
        </w:rPr>
        <w:t xml:space="preserve"> </w:t>
      </w:r>
      <w:r w:rsidRPr="00A2643D">
        <w:rPr>
          <w:rFonts w:ascii="Tw Cen MT" w:eastAsia="Twentieth Century" w:hAnsi="Tw Cen MT" w:cs="Twentieth Century"/>
          <w:sz w:val="24"/>
          <w:szCs w:val="24"/>
          <w:lang w:val="id-ID"/>
        </w:rPr>
        <w:t xml:space="preserve">sub bagian </w:t>
      </w:r>
      <w:proofErr w:type="spellStart"/>
      <w:r w:rsidRPr="00A2643D">
        <w:rPr>
          <w:rFonts w:ascii="Tw Cen MT" w:eastAsia="Twentieth Century" w:hAnsi="Tw Cen MT" w:cs="Twentieth Century"/>
          <w:sz w:val="24"/>
          <w:szCs w:val="24"/>
        </w:rPr>
        <w:t>perencanaan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evaluasi</w:t>
      </w:r>
      <w:proofErr w:type="spellEnd"/>
      <w:r w:rsidRPr="00A2643D">
        <w:rPr>
          <w:rFonts w:ascii="Tw Cen MT" w:eastAsia="Twentieth Century" w:hAnsi="Tw Cen MT" w:cs="Twentieth Century"/>
          <w:sz w:val="24"/>
          <w:szCs w:val="24"/>
        </w:rPr>
        <w:t xml:space="preserve"> dan </w:t>
      </w:r>
      <w:proofErr w:type="spellStart"/>
      <w:r w:rsidRPr="00A2643D">
        <w:rPr>
          <w:rFonts w:ascii="Tw Cen MT" w:eastAsia="Twentieth Century" w:hAnsi="Tw Cen MT" w:cs="Twentieth Century"/>
          <w:sz w:val="24"/>
          <w:szCs w:val="24"/>
        </w:rPr>
        <w:t>pelaporan</w:t>
      </w:r>
      <w:proofErr w:type="spellEnd"/>
      <w:r w:rsidRPr="00A2643D">
        <w:rPr>
          <w:rFonts w:ascii="Tw Cen MT" w:eastAsia="Twentieth Century" w:hAnsi="Tw Cen MT" w:cs="Twentieth Century"/>
          <w:sz w:val="24"/>
          <w:szCs w:val="24"/>
        </w:rPr>
        <w:t xml:space="preserve">. Adapun </w:t>
      </w:r>
      <w:proofErr w:type="spellStart"/>
      <w:r w:rsidRPr="00A2643D">
        <w:rPr>
          <w:rFonts w:ascii="Tw Cen MT" w:eastAsia="Twentieth Century" w:hAnsi="Tw Cen MT" w:cs="Twentieth Century"/>
          <w:sz w:val="24"/>
          <w:szCs w:val="24"/>
        </w:rPr>
        <w:t>bidang</w:t>
      </w:r>
      <w:proofErr w:type="spellEnd"/>
      <w:r w:rsidRPr="00A2643D">
        <w:rPr>
          <w:rFonts w:ascii="Tw Cen MT" w:eastAsia="Twentieth Century" w:hAnsi="Tw Cen MT" w:cs="Twentieth Century"/>
          <w:sz w:val="24"/>
          <w:szCs w:val="24"/>
        </w:rPr>
        <w:t xml:space="preserve"> di </w:t>
      </w:r>
      <w:proofErr w:type="spellStart"/>
      <w:r w:rsidRPr="00A2643D">
        <w:rPr>
          <w:rFonts w:ascii="Tw Cen MT" w:eastAsia="Twentieth Century" w:hAnsi="Tw Cen MT" w:cs="Twentieth Century"/>
          <w:sz w:val="24"/>
          <w:szCs w:val="24"/>
        </w:rPr>
        <w:t>dinas</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kesehatan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Kabupaten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Majalengka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terdiri</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dari</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bidang</w:t>
      </w:r>
      <w:proofErr w:type="spellEnd"/>
      <w:r w:rsidRPr="00A2643D">
        <w:rPr>
          <w:rFonts w:ascii="Tw Cen MT" w:eastAsia="Twentieth Century" w:hAnsi="Tw Cen MT" w:cs="Twentieth Century"/>
          <w:sz w:val="24"/>
          <w:szCs w:val="24"/>
        </w:rPr>
        <w:t xml:space="preserve"> Kesehatan Masyarakat (</w:t>
      </w:r>
      <w:proofErr w:type="spellStart"/>
      <w:r w:rsidRPr="00A2643D">
        <w:rPr>
          <w:rFonts w:ascii="Tw Cen MT" w:eastAsia="Twentieth Century" w:hAnsi="Tw Cen MT" w:cs="Twentieth Century"/>
          <w:sz w:val="24"/>
          <w:szCs w:val="24"/>
        </w:rPr>
        <w:t>Kesmas</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Sumber</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Daya</w:t>
      </w:r>
      <w:proofErr w:type="spellEnd"/>
      <w:r w:rsidRPr="00A2643D">
        <w:rPr>
          <w:rFonts w:ascii="Tw Cen MT" w:eastAsia="Twentieth Century" w:hAnsi="Tw Cen MT" w:cs="Twentieth Century"/>
          <w:sz w:val="24"/>
          <w:szCs w:val="24"/>
        </w:rPr>
        <w:t xml:space="preserve"> Kesehatan (SDK), </w:t>
      </w:r>
      <w:proofErr w:type="spellStart"/>
      <w:r w:rsidRPr="00A2643D">
        <w:rPr>
          <w:rFonts w:ascii="Tw Cen MT" w:eastAsia="Twentieth Century" w:hAnsi="Tw Cen MT" w:cs="Twentieth Century"/>
          <w:sz w:val="24"/>
          <w:szCs w:val="24"/>
        </w:rPr>
        <w:t>Pencegahan</w:t>
      </w:r>
      <w:proofErr w:type="spellEnd"/>
      <w:r w:rsidRPr="00A2643D">
        <w:rPr>
          <w:rFonts w:ascii="Tw Cen MT" w:eastAsia="Twentieth Century" w:hAnsi="Tw Cen MT" w:cs="Twentieth Century"/>
          <w:sz w:val="24"/>
          <w:szCs w:val="24"/>
        </w:rPr>
        <w:t xml:space="preserve"> dan </w:t>
      </w:r>
      <w:proofErr w:type="spellStart"/>
      <w:r w:rsidRPr="00A2643D">
        <w:rPr>
          <w:rFonts w:ascii="Tw Cen MT" w:eastAsia="Twentieth Century" w:hAnsi="Tw Cen MT" w:cs="Twentieth Century"/>
          <w:sz w:val="24"/>
          <w:szCs w:val="24"/>
        </w:rPr>
        <w:t>Pengendalian</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Penyakit</w:t>
      </w:r>
      <w:proofErr w:type="spellEnd"/>
      <w:r w:rsidRPr="00A2643D">
        <w:rPr>
          <w:rFonts w:ascii="Tw Cen MT" w:eastAsia="Twentieth Century" w:hAnsi="Tw Cen MT" w:cs="Twentieth Century"/>
          <w:sz w:val="24"/>
          <w:szCs w:val="24"/>
        </w:rPr>
        <w:t xml:space="preserve"> (P2P), </w:t>
      </w:r>
      <w:proofErr w:type="spellStart"/>
      <w:r w:rsidRPr="00A2643D">
        <w:rPr>
          <w:rFonts w:ascii="Tw Cen MT" w:eastAsia="Twentieth Century" w:hAnsi="Tw Cen MT" w:cs="Twentieth Century"/>
          <w:sz w:val="24"/>
          <w:szCs w:val="24"/>
        </w:rPr>
        <w:t>serta</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bidang</w:t>
      </w:r>
      <w:proofErr w:type="spellEnd"/>
      <w:r w:rsidRPr="00A2643D">
        <w:rPr>
          <w:rFonts w:ascii="Tw Cen MT" w:eastAsia="Twentieth Century" w:hAnsi="Tw Cen MT" w:cs="Twentieth Century"/>
          <w:sz w:val="24"/>
          <w:szCs w:val="24"/>
        </w:rPr>
        <w:t xml:space="preserve"> </w:t>
      </w:r>
      <w:proofErr w:type="spellStart"/>
      <w:r w:rsidRPr="00A2643D">
        <w:rPr>
          <w:rFonts w:ascii="Tw Cen MT" w:eastAsia="Twentieth Century" w:hAnsi="Tw Cen MT" w:cs="Twentieth Century"/>
          <w:sz w:val="24"/>
          <w:szCs w:val="24"/>
        </w:rPr>
        <w:t>Pelayanan</w:t>
      </w:r>
      <w:proofErr w:type="spellEnd"/>
      <w:r w:rsidRPr="00A2643D">
        <w:rPr>
          <w:rFonts w:ascii="Tw Cen MT" w:eastAsia="Twentieth Century" w:hAnsi="Tw Cen MT" w:cs="Twentieth Century"/>
          <w:sz w:val="24"/>
          <w:szCs w:val="24"/>
        </w:rPr>
        <w:t xml:space="preserve"> Kesehatan (</w:t>
      </w:r>
      <w:proofErr w:type="spellStart"/>
      <w:r w:rsidRPr="00A2643D">
        <w:rPr>
          <w:rFonts w:ascii="Tw Cen MT" w:eastAsia="Twentieth Century" w:hAnsi="Tw Cen MT" w:cs="Twentieth Century"/>
          <w:sz w:val="24"/>
          <w:szCs w:val="24"/>
        </w:rPr>
        <w:t>Yankes</w:t>
      </w:r>
      <w:proofErr w:type="spellEnd"/>
      <w:r w:rsidRPr="00A2643D">
        <w:rPr>
          <w:rFonts w:ascii="Tw Cen MT" w:eastAsia="Twentieth Century" w:hAnsi="Tw Cen MT" w:cs="Twentieth Century"/>
          <w:sz w:val="24"/>
          <w:szCs w:val="24"/>
        </w:rPr>
        <w:t>).</w:t>
      </w:r>
    </w:p>
    <w:p w14:paraId="54785A71" w14:textId="239B0773" w:rsidR="00A2643D" w:rsidRPr="00A2643D" w:rsidRDefault="00A2643D" w:rsidP="00573FB2">
      <w:pPr>
        <w:spacing w:after="0" w:line="240" w:lineRule="auto"/>
        <w:jc w:val="both"/>
        <w:rPr>
          <w:rFonts w:ascii="Tw Cen MT" w:eastAsia="Twentieth Century" w:hAnsi="Tw Cen MT" w:cs="Twentieth Century"/>
          <w:b/>
          <w:bCs/>
          <w:sz w:val="24"/>
          <w:szCs w:val="24"/>
          <w:lang w:val="id-ID"/>
        </w:rPr>
      </w:pPr>
      <w:r w:rsidRPr="00A2643D">
        <w:rPr>
          <w:rFonts w:ascii="Tw Cen MT" w:eastAsia="Twentieth Century" w:hAnsi="Tw Cen MT" w:cs="Twentieth Century"/>
          <w:sz w:val="24"/>
          <w:szCs w:val="24"/>
        </w:rPr>
        <w:t xml:space="preserve"> </w:t>
      </w:r>
    </w:p>
    <w:p w14:paraId="28328070" w14:textId="77777777" w:rsidR="00A2643D" w:rsidRPr="00A2643D" w:rsidRDefault="00A2643D" w:rsidP="00573FB2">
      <w:pPr>
        <w:numPr>
          <w:ilvl w:val="0"/>
          <w:numId w:val="2"/>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Situasi Demografi Kabupaten Majalengka</w:t>
      </w:r>
    </w:p>
    <w:p w14:paraId="347604EE" w14:textId="276D130F" w:rsidR="00A2643D" w:rsidRDefault="00A2643D" w:rsidP="00573FB2">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Kabupaten Majalengka merupakan kabupaten di bagian Timur Provinsi Jawa Barat dengan luas 1.204,24 km</w:t>
      </w:r>
      <w:r w:rsidRPr="00A2643D">
        <w:rPr>
          <w:rFonts w:ascii="Tw Cen MT" w:eastAsia="Twentieth Century" w:hAnsi="Tw Cen MT" w:cs="Twentieth Century"/>
          <w:sz w:val="24"/>
          <w:szCs w:val="24"/>
          <w:vertAlign w:val="superscript"/>
          <w:lang w:val="id-ID"/>
        </w:rPr>
        <w:t>2</w:t>
      </w:r>
      <w:r w:rsidRPr="00A2643D">
        <w:rPr>
          <w:rFonts w:ascii="Tw Cen MT" w:eastAsia="Twentieth Century" w:hAnsi="Tw Cen MT" w:cs="Twentieth Century"/>
          <w:sz w:val="24"/>
          <w:szCs w:val="24"/>
          <w:lang w:val="id-ID"/>
        </w:rPr>
        <w:t xml:space="preserve">. Secara geografis, kabupaten Majalengka berbatasan langsung dengan 6 kabupaten lainnya. Berdasarkan administratifnya, kabupaten Majalengka terdiri dari 26 kecamatan dan 343 desa/kelurahan. Wilayah kabupaten Majalengka masih banyak ditemui persawahan. Selain itu, pada beberapa wilayah juga terdapat perbukitan dengan lereng curam di lereng Gunung </w:t>
      </w:r>
      <w:r w:rsidRPr="00A2643D">
        <w:rPr>
          <w:rFonts w:ascii="Tw Cen MT" w:eastAsia="Twentieth Century" w:hAnsi="Tw Cen MT" w:cs="Twentieth Century"/>
          <w:sz w:val="24"/>
          <w:szCs w:val="24"/>
          <w:lang w:val="id-ID"/>
        </w:rPr>
        <w:lastRenderedPageBreak/>
        <w:t xml:space="preserve">Ciremai dan daerah lereng Gunung Cakrabuana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{"citationItems":[{"id":"ITEM-1","itemData":{"author":[{"dropping-particle":"","family":"BPS","given":"","non-dropping-particle":"","parse-names":false,"suffix":""}],"id":"ITEM-1","issued":{"date-parts":[["2020"]]},"publisher-place":"Majalengka","title":"Kabupaten Majalengka Dalam Angka 2021","type":"report"},"uris":["http://www.mendeley.com/documents/?uuid=06e6598e-83ea-4aa8-925b-53aeee5aa857"]},{"id":"ITEM-2","itemData":{"author":[{"dropping-particle":"","family":"Dinkes Majalengka","given":"","non-dropping-particle":"","parse-names":false,"suffix":""}],"id":"ITEM-2","issued":{"date-parts":[["2020"]]},"publisher-place":"Majalengka","title":"Profil Kesehatan Kesehatan Kabupaten Majalengka Tahun 2019","type":"report"},"uris":["http://www.mendeley.com/documents/?uuid=e0bbdf9d-3c2a-4a34-97d8-2b8abf8bee91"]}],"mendeley":{"formattedCitation":"[10], [11]","plainTextFormattedCitation":"[10], [11]","previouslyFormattedCitation":"[10], [11]"},"properties":{"noteIndex":0},"schema":"https://github.com/citation-style-language/schema/raw/master/csl-citation.json"}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[10], [11]</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1E80F9B2" w14:textId="77777777" w:rsidR="008F782C" w:rsidRPr="00A2643D" w:rsidRDefault="008F782C" w:rsidP="00573FB2">
      <w:pPr>
        <w:spacing w:after="0" w:line="240" w:lineRule="auto"/>
        <w:jc w:val="both"/>
        <w:rPr>
          <w:rFonts w:ascii="Tw Cen MT" w:eastAsia="Twentieth Century" w:hAnsi="Tw Cen MT" w:cs="Twentieth Century"/>
          <w:sz w:val="24"/>
          <w:szCs w:val="24"/>
          <w:lang w:val="id-ID"/>
        </w:rPr>
      </w:pPr>
    </w:p>
    <w:p w14:paraId="2EA7F9CD" w14:textId="77777777" w:rsidR="00A2643D" w:rsidRPr="00A2643D" w:rsidRDefault="00A2643D" w:rsidP="00573FB2">
      <w:pPr>
        <w:spacing w:after="0" w:line="240" w:lineRule="auto"/>
        <w:jc w:val="center"/>
        <w:rPr>
          <w:rFonts w:ascii="Tw Cen MT" w:eastAsia="Twentieth Century" w:hAnsi="Tw Cen MT" w:cs="Twentieth Century"/>
          <w:sz w:val="24"/>
          <w:szCs w:val="24"/>
          <w:lang w:val="id-ID"/>
        </w:rPr>
      </w:pPr>
      <w:r w:rsidRPr="00A2643D">
        <w:rPr>
          <w:rFonts w:ascii="Tw Cen MT" w:eastAsia="Twentieth Century" w:hAnsi="Tw Cen MT" w:cs="Twentieth Century"/>
          <w:noProof/>
          <w:sz w:val="24"/>
          <w:szCs w:val="24"/>
        </w:rPr>
        <w:drawing>
          <wp:inline distT="0" distB="0" distL="0" distR="0" wp14:anchorId="08872C4D" wp14:editId="44BB4390">
            <wp:extent cx="2351314" cy="17907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986" t="2973" r="30640" b="23428"/>
                    <a:stretch/>
                  </pic:blipFill>
                  <pic:spPr bwMode="auto">
                    <a:xfrm>
                      <a:off x="0" y="0"/>
                      <a:ext cx="2359355" cy="1796896"/>
                    </a:xfrm>
                    <a:prstGeom prst="rect">
                      <a:avLst/>
                    </a:prstGeom>
                    <a:noFill/>
                    <a:ln>
                      <a:noFill/>
                    </a:ln>
                    <a:extLst>
                      <a:ext uri="{53640926-AAD7-44D8-BBD7-CCE9431645EC}">
                        <a14:shadowObscured xmlns:a14="http://schemas.microsoft.com/office/drawing/2010/main"/>
                      </a:ext>
                    </a:extLst>
                  </pic:spPr>
                </pic:pic>
              </a:graphicData>
            </a:graphic>
          </wp:inline>
        </w:drawing>
      </w:r>
    </w:p>
    <w:p w14:paraId="7D26F10E" w14:textId="4BFBA14E" w:rsidR="00A2643D" w:rsidRPr="00573FB2" w:rsidRDefault="00A2643D" w:rsidP="00573FB2">
      <w:pPr>
        <w:spacing w:after="0" w:line="240" w:lineRule="auto"/>
        <w:jc w:val="center"/>
        <w:rPr>
          <w:rFonts w:ascii="Tw Cen MT" w:eastAsia="Twentieth Century" w:hAnsi="Tw Cen MT" w:cs="Twentieth Century"/>
          <w:sz w:val="20"/>
          <w:szCs w:val="20"/>
          <w:lang w:val="id-ID"/>
        </w:rPr>
      </w:pPr>
      <w:bookmarkStart w:id="6" w:name="_Hlk73432467"/>
      <w:r w:rsidRPr="00A2643D">
        <w:rPr>
          <w:rFonts w:ascii="Tw Cen MT" w:eastAsia="Twentieth Century" w:hAnsi="Tw Cen MT" w:cs="Twentieth Century"/>
          <w:sz w:val="20"/>
          <w:szCs w:val="20"/>
        </w:rPr>
        <w:t xml:space="preserve">Gambar 1. </w:t>
      </w:r>
      <w:r w:rsidRPr="00A2643D">
        <w:rPr>
          <w:rFonts w:ascii="Tw Cen MT" w:eastAsia="Twentieth Century" w:hAnsi="Tw Cen MT" w:cs="Twentieth Century"/>
          <w:sz w:val="20"/>
          <w:szCs w:val="20"/>
          <w:lang w:val="id-ID"/>
        </w:rPr>
        <w:t>Peta Administratif Kabupaten Majalengka</w:t>
      </w:r>
    </w:p>
    <w:p w14:paraId="0F6802C2" w14:textId="77777777" w:rsidR="00573FB2" w:rsidRPr="00A2643D" w:rsidRDefault="00573FB2" w:rsidP="00573FB2">
      <w:pPr>
        <w:spacing w:after="0" w:line="240" w:lineRule="auto"/>
        <w:jc w:val="center"/>
        <w:rPr>
          <w:rFonts w:ascii="Tw Cen MT" w:eastAsia="Twentieth Century" w:hAnsi="Tw Cen MT" w:cs="Twentieth Century"/>
          <w:sz w:val="20"/>
          <w:szCs w:val="20"/>
          <w:lang w:val="id-ID"/>
        </w:rPr>
      </w:pPr>
    </w:p>
    <w:bookmarkEnd w:id="6"/>
    <w:p w14:paraId="59FAA025" w14:textId="149251B7" w:rsidR="00A2643D" w:rsidRDefault="00A2643D" w:rsidP="00573FB2">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Jumlah penduduk di wilayah Kabupaten Majalengka mencapai 1.305.476 penduduk dengan laju pertumbuhan sebesar 1,248% pada tahun 2020. Kepadatan penduduk mencapai 1.084,07 jiwa/km</w:t>
      </w:r>
      <w:r w:rsidRPr="00A2643D">
        <w:rPr>
          <w:rFonts w:ascii="Tw Cen MT" w:eastAsia="Twentieth Century" w:hAnsi="Tw Cen MT" w:cs="Twentieth Century"/>
          <w:sz w:val="24"/>
          <w:szCs w:val="24"/>
          <w:vertAlign w:val="superscript"/>
          <w:lang w:val="id-ID"/>
        </w:rPr>
        <w:t>2</w:t>
      </w:r>
      <w:r w:rsidRPr="00A2643D">
        <w:rPr>
          <w:rFonts w:ascii="Tw Cen MT" w:eastAsia="Twentieth Century" w:hAnsi="Tw Cen MT" w:cs="Twentieth Century"/>
          <w:sz w:val="24"/>
          <w:szCs w:val="24"/>
          <w:lang w:val="id-ID"/>
        </w:rPr>
        <w:t xml:space="preserve">. Berdasarkan distribusi usia, 65,57% masyarakat kabupaten Majalengka berada pada usia produktif (15 – 59 tahun). Adapun lansia sebagai kelompok yang paling rentan untuk mengalami penyakit tidak menular sebanyak 12,13%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{"citationItems":[{"id":"ITEM-1","itemData":{"author":[{"dropping-particle":"","family":"BPS","given":"","non-dropping-particle":"","parse-names":false,"suffix":""}],"id":"ITEM-1","issued":{"date-parts":[["2020"]]},"publisher-place":"Majalengka","title":"Kabupaten Majalengka Dalam Angka 2021","type":"report"},"uris":["http://www.mendeley.com/documents/?uuid=06e6598e-83ea-4aa8-925b-53aeee5aa857"]},{"id":"ITEM-2","itemData":{"author":[{"dropping-particle":"","family":"Dinkes Majalengka","given":"","non-dropping-particle":"","parse-names":false,"suffix":""}],"id":"ITEM-2","issued":{"date-parts":[["2020"]]},"publisher-place":"Majalengka","title":"Profil Kesehatan Kesehatan Kabupaten Majalengka Tahun 2019","type":"report"},"uris":["http://www.mendeley.com/documents/?uuid=e0bbdf9d-3c2a-4a34-97d8-2b8abf8bee91"]}],"mendeley":{"formattedCitation":"[10], [11]","plainTextFormattedCitation":"[10], [11]","previouslyFormattedCitation":"[10], [11]"},"properties":{"noteIndex":0},"schema":"https://github.com/citation-style-language/schema/raw/master/csl-citation.json"}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[10], [11]</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5BB8FCFE" w14:textId="77777777" w:rsidR="00573FB2" w:rsidRPr="00A2643D" w:rsidRDefault="00573FB2" w:rsidP="00573FB2">
      <w:pPr>
        <w:spacing w:after="0" w:line="240" w:lineRule="auto"/>
        <w:jc w:val="both"/>
        <w:rPr>
          <w:rFonts w:ascii="Tw Cen MT" w:eastAsia="Twentieth Century" w:hAnsi="Tw Cen MT" w:cs="Twentieth Century"/>
          <w:sz w:val="24"/>
          <w:szCs w:val="24"/>
          <w:lang w:val="id-ID"/>
        </w:rPr>
      </w:pPr>
    </w:p>
    <w:p w14:paraId="7EDE813B" w14:textId="77777777" w:rsidR="00A2643D" w:rsidRPr="00A2643D" w:rsidRDefault="00A2643D" w:rsidP="00573FB2">
      <w:pPr>
        <w:numPr>
          <w:ilvl w:val="0"/>
          <w:numId w:val="2"/>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Situasi Kesehatan Kabupaten Majalengka</w:t>
      </w:r>
    </w:p>
    <w:p w14:paraId="3910B3D0" w14:textId="3D8C33EF" w:rsidR="00A2643D" w:rsidRPr="00A2643D" w:rsidRDefault="00A2643D" w:rsidP="00573FB2">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Salah satu indikator yang menunjukkan derajat kesehatan suatu wilayah ialah angka harapan hidup (AHH). Berdasarkan data pada Tabel 1, AHH di kabupaten Majalengka terus mengalami peningkatan. Hal ini menunjukkan, keberhasilan upaya kesehatan yang dilakukan melalui berbagai program di kabupaten Majalengka. Namun demikian, apabila dibandingkan dengan data Jawa Barat dan Indonesia, AHH kabupaten Majalengka masih lebih rendah. Oleh karena itu, berbagai upaya terobosan di bidang kesehatan perlu lebih ditingkatkan untuk meningkatkan angka harapan hidup masyarakat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URL":"https://www.bps.go.id/indicator/26/414/2/-metode-baru-umur-harapan-hidup-saat-lahir-uhh-.html","accessed":{"date-parts":[["2021","4","1"]]},"author":[{"dropping-particle":"","family":"BPS","given":"","non-dropping-particle":"","parse-names":false,"suffix":""}],"container-title":"Badan Pusat Statistik ","id":"ITEM-1","issued":{"date-parts":[["2021"]]},"title":"Umur Harapan Hisup Saat Lahir (UHH) (Tahun)","type":"webpage"},"uris":["http://www.mendeley.com/documents/?uuid=30a470ab-13bf-389a-a594-e017a2dd76a3"]},{"id":"ITEM-2","itemData":{"author":[{"dropping-particle":"","family":"Dinkes Majalengka","given":"","non-dropping-particle":"","parse-names":false,"suffix":""}],"id":"ITEM-2","issued":{"date-parts":[["2020"]]},"publisher-place":"Majalengka","title":"Profil Kesehatan Kesehatan Kabupaten Majalengka Tahun 2019","type":"report"},"uris":["http://www.mendeley.com/documents/?uuid=e0bbdf9d-3c2a-4a34-97d8-2b8abf8bee91"]}],"mendeley":{"formattedCitation":"[11], [12]","plainTextFormattedCitation":"[11], [12]","previouslyFormattedCitation":"[11], [12]"},"properties":{"noteIndex":0},"schema":"https://github.com/citation-style-language/schema/raw/master/csl-citation.json"}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[11], [12]</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47560299" w14:textId="77777777" w:rsidR="008F782C" w:rsidRDefault="008F782C" w:rsidP="00573FB2">
      <w:pPr>
        <w:spacing w:after="0" w:line="240" w:lineRule="auto"/>
        <w:jc w:val="center"/>
        <w:rPr>
          <w:rFonts w:ascii="Tw Cen MT" w:eastAsia="Twentieth Century" w:hAnsi="Tw Cen MT" w:cs="Twentieth Century"/>
          <w:sz w:val="20"/>
          <w:szCs w:val="20"/>
          <w:lang w:val="id-ID"/>
        </w:rPr>
      </w:pPr>
    </w:p>
    <w:p w14:paraId="50CF044F" w14:textId="54F7F3EF" w:rsidR="00A2643D" w:rsidRPr="00A2643D" w:rsidRDefault="00A2643D" w:rsidP="00573FB2">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Tabel 1. Angka Harapan Hidup Kabupaten Majalengka Tahun 2015 - 2020</w:t>
      </w:r>
    </w:p>
    <w:tbl>
      <w:tblPr>
        <w:tblStyle w:val="TableGrid"/>
        <w:tblW w:w="4418" w:type="dxa"/>
        <w:jc w:val="center"/>
        <w:tblBorders>
          <w:left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1016"/>
        <w:gridCol w:w="567"/>
        <w:gridCol w:w="567"/>
        <w:gridCol w:w="567"/>
        <w:gridCol w:w="567"/>
        <w:gridCol w:w="567"/>
        <w:gridCol w:w="567"/>
      </w:tblGrid>
      <w:tr w:rsidR="00A2643D" w:rsidRPr="00A2643D" w14:paraId="74568709" w14:textId="77777777" w:rsidTr="00901CCD">
        <w:trPr>
          <w:jc w:val="center"/>
        </w:trPr>
        <w:tc>
          <w:tcPr>
            <w:tcW w:w="1016" w:type="dxa"/>
            <w:tcBorders>
              <w:top w:val="nil"/>
              <w:bottom w:val="single" w:sz="4" w:space="0" w:color="auto"/>
            </w:tcBorders>
          </w:tcPr>
          <w:p w14:paraId="30E52B0F" w14:textId="77777777" w:rsidR="00A2643D" w:rsidRPr="00A2643D" w:rsidRDefault="00A2643D" w:rsidP="00573FB2">
            <w:pPr>
              <w:jc w:val="both"/>
              <w:rPr>
                <w:rFonts w:ascii="Tw Cen MT" w:eastAsia="Twentieth Century" w:hAnsi="Tw Cen MT" w:cs="Twentieth Century"/>
                <w:sz w:val="20"/>
                <w:szCs w:val="20"/>
                <w:lang w:val="id-ID"/>
              </w:rPr>
            </w:pPr>
          </w:p>
        </w:tc>
        <w:tc>
          <w:tcPr>
            <w:tcW w:w="567" w:type="dxa"/>
            <w:tcBorders>
              <w:top w:val="single" w:sz="4" w:space="0" w:color="auto"/>
              <w:bottom w:val="single" w:sz="4" w:space="0" w:color="auto"/>
            </w:tcBorders>
          </w:tcPr>
          <w:p w14:paraId="62B1A88D"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2015</w:t>
            </w:r>
          </w:p>
        </w:tc>
        <w:tc>
          <w:tcPr>
            <w:tcW w:w="567" w:type="dxa"/>
            <w:tcBorders>
              <w:top w:val="single" w:sz="4" w:space="0" w:color="auto"/>
              <w:bottom w:val="single" w:sz="4" w:space="0" w:color="auto"/>
            </w:tcBorders>
          </w:tcPr>
          <w:p w14:paraId="549C1BB6"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2016</w:t>
            </w:r>
          </w:p>
        </w:tc>
        <w:tc>
          <w:tcPr>
            <w:tcW w:w="567" w:type="dxa"/>
            <w:tcBorders>
              <w:top w:val="single" w:sz="4" w:space="0" w:color="auto"/>
              <w:bottom w:val="single" w:sz="4" w:space="0" w:color="auto"/>
            </w:tcBorders>
          </w:tcPr>
          <w:p w14:paraId="03E003F1"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2017</w:t>
            </w:r>
          </w:p>
        </w:tc>
        <w:tc>
          <w:tcPr>
            <w:tcW w:w="567" w:type="dxa"/>
            <w:tcBorders>
              <w:top w:val="single" w:sz="4" w:space="0" w:color="auto"/>
              <w:bottom w:val="single" w:sz="4" w:space="0" w:color="auto"/>
            </w:tcBorders>
          </w:tcPr>
          <w:p w14:paraId="4403DA77"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2018</w:t>
            </w:r>
          </w:p>
        </w:tc>
        <w:tc>
          <w:tcPr>
            <w:tcW w:w="567" w:type="dxa"/>
            <w:tcBorders>
              <w:top w:val="single" w:sz="4" w:space="0" w:color="auto"/>
              <w:bottom w:val="single" w:sz="4" w:space="0" w:color="auto"/>
            </w:tcBorders>
          </w:tcPr>
          <w:p w14:paraId="62E0DD9F"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2019</w:t>
            </w:r>
          </w:p>
        </w:tc>
        <w:tc>
          <w:tcPr>
            <w:tcW w:w="567" w:type="dxa"/>
            <w:tcBorders>
              <w:top w:val="single" w:sz="4" w:space="0" w:color="auto"/>
              <w:bottom w:val="single" w:sz="4" w:space="0" w:color="auto"/>
            </w:tcBorders>
          </w:tcPr>
          <w:p w14:paraId="67A30728"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2020</w:t>
            </w:r>
          </w:p>
        </w:tc>
      </w:tr>
      <w:tr w:rsidR="00A2643D" w:rsidRPr="00A2643D" w14:paraId="5964E1FC" w14:textId="77777777" w:rsidTr="00901CCD">
        <w:trPr>
          <w:jc w:val="center"/>
        </w:trPr>
        <w:tc>
          <w:tcPr>
            <w:tcW w:w="1016" w:type="dxa"/>
            <w:tcBorders>
              <w:top w:val="single" w:sz="4" w:space="0" w:color="auto"/>
              <w:bottom w:val="single" w:sz="4" w:space="0" w:color="auto"/>
            </w:tcBorders>
          </w:tcPr>
          <w:p w14:paraId="368747A0" w14:textId="77777777" w:rsidR="00A2643D" w:rsidRPr="00A2643D" w:rsidRDefault="00A2643D" w:rsidP="00573FB2">
            <w:pPr>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Indonesia</w:t>
            </w:r>
          </w:p>
        </w:tc>
        <w:tc>
          <w:tcPr>
            <w:tcW w:w="567" w:type="dxa"/>
            <w:tcBorders>
              <w:top w:val="single" w:sz="4" w:space="0" w:color="auto"/>
            </w:tcBorders>
          </w:tcPr>
          <w:p w14:paraId="7ED39991"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70,8</w:t>
            </w:r>
          </w:p>
        </w:tc>
        <w:tc>
          <w:tcPr>
            <w:tcW w:w="567" w:type="dxa"/>
            <w:tcBorders>
              <w:top w:val="single" w:sz="4" w:space="0" w:color="auto"/>
            </w:tcBorders>
          </w:tcPr>
          <w:p w14:paraId="16B744B7"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70,9</w:t>
            </w:r>
          </w:p>
        </w:tc>
        <w:tc>
          <w:tcPr>
            <w:tcW w:w="567" w:type="dxa"/>
            <w:tcBorders>
              <w:top w:val="single" w:sz="4" w:space="0" w:color="auto"/>
            </w:tcBorders>
          </w:tcPr>
          <w:p w14:paraId="0FD3EFD5"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71,1</w:t>
            </w:r>
          </w:p>
        </w:tc>
        <w:tc>
          <w:tcPr>
            <w:tcW w:w="567" w:type="dxa"/>
            <w:tcBorders>
              <w:top w:val="single" w:sz="4" w:space="0" w:color="auto"/>
            </w:tcBorders>
          </w:tcPr>
          <w:p w14:paraId="50A47F91"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71,2</w:t>
            </w:r>
          </w:p>
        </w:tc>
        <w:tc>
          <w:tcPr>
            <w:tcW w:w="567" w:type="dxa"/>
            <w:tcBorders>
              <w:top w:val="single" w:sz="4" w:space="0" w:color="auto"/>
            </w:tcBorders>
          </w:tcPr>
          <w:p w14:paraId="51BEB890"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71,3</w:t>
            </w:r>
          </w:p>
        </w:tc>
        <w:tc>
          <w:tcPr>
            <w:tcW w:w="567" w:type="dxa"/>
            <w:tcBorders>
              <w:top w:val="single" w:sz="4" w:space="0" w:color="auto"/>
            </w:tcBorders>
          </w:tcPr>
          <w:p w14:paraId="1CBB52D1"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71,5</w:t>
            </w:r>
          </w:p>
        </w:tc>
      </w:tr>
      <w:tr w:rsidR="00A2643D" w:rsidRPr="00A2643D" w14:paraId="633DBA10" w14:textId="77777777" w:rsidTr="00901CCD">
        <w:trPr>
          <w:jc w:val="center"/>
        </w:trPr>
        <w:tc>
          <w:tcPr>
            <w:tcW w:w="1016" w:type="dxa"/>
            <w:tcBorders>
              <w:top w:val="single" w:sz="4" w:space="0" w:color="auto"/>
              <w:bottom w:val="single" w:sz="4" w:space="0" w:color="auto"/>
            </w:tcBorders>
          </w:tcPr>
          <w:p w14:paraId="0E3E5405" w14:textId="77777777" w:rsidR="00A2643D" w:rsidRPr="00A2643D" w:rsidRDefault="00A2643D" w:rsidP="00573FB2">
            <w:pPr>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Jawa Barat</w:t>
            </w:r>
          </w:p>
        </w:tc>
        <w:tc>
          <w:tcPr>
            <w:tcW w:w="567" w:type="dxa"/>
          </w:tcPr>
          <w:p w14:paraId="082A04A2"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72,4</w:t>
            </w:r>
          </w:p>
        </w:tc>
        <w:tc>
          <w:tcPr>
            <w:tcW w:w="567" w:type="dxa"/>
          </w:tcPr>
          <w:p w14:paraId="4F0072E6"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72,4</w:t>
            </w:r>
          </w:p>
        </w:tc>
        <w:tc>
          <w:tcPr>
            <w:tcW w:w="567" w:type="dxa"/>
          </w:tcPr>
          <w:p w14:paraId="5F44B64C"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72,5</w:t>
            </w:r>
          </w:p>
        </w:tc>
        <w:tc>
          <w:tcPr>
            <w:tcW w:w="567" w:type="dxa"/>
          </w:tcPr>
          <w:p w14:paraId="6A126C28"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72,7</w:t>
            </w:r>
          </w:p>
        </w:tc>
        <w:tc>
          <w:tcPr>
            <w:tcW w:w="567" w:type="dxa"/>
          </w:tcPr>
          <w:p w14:paraId="5FCC1F9C"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72,8</w:t>
            </w:r>
          </w:p>
        </w:tc>
        <w:tc>
          <w:tcPr>
            <w:tcW w:w="567" w:type="dxa"/>
          </w:tcPr>
          <w:p w14:paraId="34E57EC9"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73,0</w:t>
            </w:r>
          </w:p>
        </w:tc>
      </w:tr>
      <w:tr w:rsidR="00A2643D" w:rsidRPr="00A2643D" w14:paraId="582BF9B9" w14:textId="77777777" w:rsidTr="00901CCD">
        <w:trPr>
          <w:jc w:val="center"/>
        </w:trPr>
        <w:tc>
          <w:tcPr>
            <w:tcW w:w="1016" w:type="dxa"/>
            <w:tcBorders>
              <w:top w:val="single" w:sz="4" w:space="0" w:color="auto"/>
              <w:bottom w:val="single" w:sz="4" w:space="0" w:color="auto"/>
            </w:tcBorders>
          </w:tcPr>
          <w:p w14:paraId="5217D7DF" w14:textId="77777777" w:rsidR="00A2643D" w:rsidRPr="00A2643D" w:rsidRDefault="00A2643D" w:rsidP="00573FB2">
            <w:pPr>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 xml:space="preserve">Kab. Majalengka </w:t>
            </w:r>
          </w:p>
        </w:tc>
        <w:tc>
          <w:tcPr>
            <w:tcW w:w="567" w:type="dxa"/>
          </w:tcPr>
          <w:p w14:paraId="77C15A9A"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69,1</w:t>
            </w:r>
          </w:p>
        </w:tc>
        <w:tc>
          <w:tcPr>
            <w:tcW w:w="567" w:type="dxa"/>
          </w:tcPr>
          <w:p w14:paraId="4FBDC8EB"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69,2</w:t>
            </w:r>
          </w:p>
        </w:tc>
        <w:tc>
          <w:tcPr>
            <w:tcW w:w="567" w:type="dxa"/>
          </w:tcPr>
          <w:p w14:paraId="3ED1CCB1"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69,4</w:t>
            </w:r>
          </w:p>
        </w:tc>
        <w:tc>
          <w:tcPr>
            <w:tcW w:w="567" w:type="dxa"/>
          </w:tcPr>
          <w:p w14:paraId="11A67CAB"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69,7</w:t>
            </w:r>
          </w:p>
        </w:tc>
        <w:tc>
          <w:tcPr>
            <w:tcW w:w="567" w:type="dxa"/>
          </w:tcPr>
          <w:p w14:paraId="3B0961D8"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69,9</w:t>
            </w:r>
          </w:p>
        </w:tc>
        <w:tc>
          <w:tcPr>
            <w:tcW w:w="567" w:type="dxa"/>
          </w:tcPr>
          <w:p w14:paraId="71FB7E5F" w14:textId="77777777" w:rsidR="00A2643D" w:rsidRPr="00A2643D" w:rsidRDefault="00A2643D" w:rsidP="008F782C">
            <w:pPr>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70,3</w:t>
            </w:r>
          </w:p>
        </w:tc>
      </w:tr>
    </w:tbl>
    <w:p w14:paraId="2A1807BF" w14:textId="3D747468" w:rsidR="00A2643D" w:rsidRDefault="00A2643D" w:rsidP="00573FB2">
      <w:pPr>
        <w:spacing w:after="0" w:line="24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Sumber: BPS, 2020</w:t>
      </w:r>
    </w:p>
    <w:p w14:paraId="37A29AAA" w14:textId="77777777" w:rsidR="00573FB2" w:rsidRPr="00A2643D" w:rsidRDefault="00573FB2" w:rsidP="00573FB2">
      <w:pPr>
        <w:spacing w:after="0" w:line="240" w:lineRule="auto"/>
        <w:jc w:val="both"/>
        <w:rPr>
          <w:rFonts w:ascii="Tw Cen MT" w:eastAsia="Twentieth Century" w:hAnsi="Tw Cen MT" w:cs="Twentieth Century"/>
          <w:sz w:val="20"/>
          <w:szCs w:val="20"/>
          <w:lang w:val="id-ID"/>
        </w:rPr>
      </w:pPr>
    </w:p>
    <w:p w14:paraId="76EE068C" w14:textId="616D8178" w:rsidR="00A2643D" w:rsidRDefault="00A2643D" w:rsidP="00573FB2">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Selain AHH, morbiditas atau angka kesakitan juga merupakan indikator derajat kesehatan masyarakat suatu wilayah. Berdasarkan rekap laporan bulanan puskesmas selama tahun 2020, 3 kasus PTM tertinggi ialah penyakit hipertensi, penyakit DM dan gangguan kesehatan jiwa (Gambar 2). Tiga penyakit ini menjadi prioritas utama dalam standar pelayanan minimal (SPM) di fasilitas kesehatan wilayah kabupaten Majalengka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{"citationItems":[{"id":"ITEM-1","itemData":{"author":[{"dropping-particle":"","family":"Dinkes Majalengka","given":"","non-dropping-particle":"","parse-names":false,"suffix":""}],"id":"ITEM-1","issued":{"date-parts":[["2021"]]},"publisher-place":"Majalengka","title":"Laporan Penyakit Tidak Menular Dinkes Majalengka Tahun 2020","type":"report"},"uris":["http://www.mendeley.com/documents/?uuid=15c1cbfa-a7c3-4e8a-a98e-a1ca9aa85a80"]}],"mendeley":{"formattedCitation":"[7]","plainTextFormattedCitation":"[7]","previouslyFormattedCitation":"[7]"},"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[7]</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570925B6" w14:textId="77777777" w:rsidR="00573FB2" w:rsidRPr="00A2643D" w:rsidRDefault="00573FB2" w:rsidP="00573FB2">
      <w:pPr>
        <w:spacing w:after="0" w:line="240" w:lineRule="auto"/>
        <w:jc w:val="both"/>
        <w:rPr>
          <w:rFonts w:ascii="Tw Cen MT" w:eastAsia="Twentieth Century" w:hAnsi="Tw Cen MT" w:cs="Twentieth Century"/>
          <w:sz w:val="24"/>
          <w:szCs w:val="24"/>
          <w:lang w:val="id-ID"/>
        </w:rPr>
      </w:pPr>
    </w:p>
    <w:p w14:paraId="247E12BC" w14:textId="74144046" w:rsidR="00A2643D" w:rsidRPr="00A2643D" w:rsidRDefault="00A2643D" w:rsidP="00573FB2">
      <w:pPr>
        <w:spacing w:after="0" w:line="240" w:lineRule="auto"/>
        <w:jc w:val="center"/>
        <w:rPr>
          <w:rFonts w:ascii="Tw Cen MT" w:eastAsia="Twentieth Century" w:hAnsi="Tw Cen MT" w:cs="Twentieth Century"/>
          <w:sz w:val="24"/>
          <w:szCs w:val="24"/>
          <w:lang w:val="id-ID"/>
        </w:rPr>
      </w:pPr>
      <w:r w:rsidRPr="00A2643D">
        <w:rPr>
          <w:rFonts w:ascii="Tw Cen MT" w:eastAsia="Twentieth Century" w:hAnsi="Tw Cen MT" w:cs="Twentieth Century"/>
          <w:noProof/>
          <w:sz w:val="24"/>
          <w:szCs w:val="24"/>
        </w:rPr>
        <w:drawing>
          <wp:inline distT="0" distB="0" distL="0" distR="0" wp14:anchorId="5F1BD0FD" wp14:editId="492D6668">
            <wp:extent cx="2658292" cy="1763395"/>
            <wp:effectExtent l="0" t="0" r="8890" b="8255"/>
            <wp:docPr id="10" name="Chart 10">
              <a:extLst xmlns:a="http://schemas.openxmlformats.org/drawingml/2006/main">
                <a:ext uri="{FF2B5EF4-FFF2-40B4-BE49-F238E27FC236}">
                  <a16:creationId xmlns:a16="http://schemas.microsoft.com/office/drawing/2014/main" id="{9AC30101-4D7D-41E8-9FC1-952D5D5D7FA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3A1831A" w14:textId="05C0FC63" w:rsidR="00A2643D" w:rsidRDefault="00A2643D" w:rsidP="001A2225">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rPr>
        <w:t xml:space="preserve">Gambar </w:t>
      </w:r>
      <w:r w:rsidRPr="00A2643D">
        <w:rPr>
          <w:rFonts w:ascii="Tw Cen MT" w:eastAsia="Twentieth Century" w:hAnsi="Tw Cen MT" w:cs="Twentieth Century"/>
          <w:sz w:val="20"/>
          <w:szCs w:val="20"/>
          <w:lang w:val="id-ID"/>
        </w:rPr>
        <w:t>2</w:t>
      </w:r>
      <w:r w:rsidRPr="00A2643D">
        <w:rPr>
          <w:rFonts w:ascii="Tw Cen MT" w:eastAsia="Twentieth Century" w:hAnsi="Tw Cen MT" w:cs="Twentieth Century"/>
          <w:sz w:val="20"/>
          <w:szCs w:val="20"/>
        </w:rPr>
        <w:t xml:space="preserve">. </w:t>
      </w:r>
      <w:r w:rsidRPr="00A2643D">
        <w:rPr>
          <w:rFonts w:ascii="Tw Cen MT" w:eastAsia="Twentieth Century" w:hAnsi="Tw Cen MT" w:cs="Twentieth Century"/>
          <w:sz w:val="20"/>
          <w:szCs w:val="20"/>
          <w:lang w:val="id-ID"/>
        </w:rPr>
        <w:t>Morbiditas Penyakit Tidak Menular Berdasarkan Laporan Puskesmas Tahun 2020</w:t>
      </w:r>
    </w:p>
    <w:p w14:paraId="579F1058" w14:textId="77777777" w:rsidR="001A2225" w:rsidRPr="00A2643D" w:rsidRDefault="001A2225" w:rsidP="001A2225">
      <w:pPr>
        <w:spacing w:after="0" w:line="240" w:lineRule="auto"/>
        <w:jc w:val="center"/>
        <w:rPr>
          <w:rFonts w:ascii="Tw Cen MT" w:eastAsia="Twentieth Century" w:hAnsi="Tw Cen MT" w:cs="Twentieth Century"/>
          <w:sz w:val="20"/>
          <w:szCs w:val="20"/>
          <w:lang w:val="id-ID"/>
        </w:rPr>
      </w:pPr>
    </w:p>
    <w:p w14:paraId="362F36E4" w14:textId="353A3E5A" w:rsidR="00A2643D" w:rsidRPr="00A2643D" w:rsidRDefault="00A2643D" w:rsidP="00573FB2">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Pada tahun 2020, pelayanan penderita hipertensi mencapai 32,99% dari target. Pelayanan DM mencapai 87,68%. Adapun pelayanan gangguan kesehatan jiwa mencapai 85,22%. Berdasarkan data tersebut, realisasi SPM untuk penderita hipertensi masih cukup rendah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{"citationItems":[{"id":"ITEM-1","itemData":{"author":[{"dropping-particle":"","family":"Dinkes Majalengka","given":"","non-dropping-particle":"","parse-names":false,"suffix":""}],"id":"ITEM-1","issued":{"date-parts":[["2021"]]},"publisher-place":"Majalengka","title":"Target dan Capaian Program Seksi PTM dan Keswa Bidang P2P Tahun 2020","type":"report"},"uris":["http://www.mendeley.com/documents/?uuid=9f67909f-a4d2-44be-9dbb-b906d8537f28"]}],"mendeley":{"formattedCitation":"[13]","plainTextFormattedCitation":"[13]","previouslyFormattedCitation":"[13]"},"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[13]</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xml:space="preserve">. Hal ini dikarenakan masih rendahnya kepatuhan penderita untuk melakukan pemeriksaan ke pelayanan kesehatan tiap bulannya. Selain itu, data capaian juga masih terbatas dari pelayanan dalam gedung puskesmas. </w:t>
      </w:r>
      <w:r w:rsidRPr="00A2643D">
        <w:rPr>
          <w:rFonts w:ascii="Tw Cen MT" w:eastAsia="Twentieth Century" w:hAnsi="Tw Cen MT" w:cs="Twentieth Century"/>
          <w:sz w:val="24"/>
          <w:szCs w:val="24"/>
          <w:lang w:val="id-ID"/>
        </w:rPr>
        <w:lastRenderedPageBreak/>
        <w:t>Keterbatasan data ini dikarenakan masih banyaknya puskesmas yang belum optimal dalam melakukan kerjasama dengan jejaring surveilans di wilayahnya.</w:t>
      </w:r>
    </w:p>
    <w:p w14:paraId="6830A40B" w14:textId="77777777" w:rsidR="00573FB2" w:rsidRPr="00A2643D" w:rsidRDefault="00573FB2" w:rsidP="00573FB2">
      <w:pPr>
        <w:spacing w:after="0" w:line="240" w:lineRule="auto"/>
        <w:jc w:val="both"/>
        <w:rPr>
          <w:rFonts w:ascii="Tw Cen MT" w:eastAsia="Twentieth Century" w:hAnsi="Tw Cen MT" w:cs="Twentieth Century"/>
          <w:sz w:val="24"/>
          <w:szCs w:val="24"/>
          <w:lang w:val="id-ID"/>
        </w:rPr>
      </w:pPr>
    </w:p>
    <w:p w14:paraId="23EAE101" w14:textId="12A52F4C" w:rsidR="00A2643D" w:rsidRPr="00A2643D" w:rsidRDefault="00A2643D" w:rsidP="00573FB2">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 xml:space="preserve">Tabel </w:t>
      </w:r>
      <w:r w:rsidR="001A2225">
        <w:rPr>
          <w:rFonts w:ascii="Tw Cen MT" w:eastAsia="Twentieth Century" w:hAnsi="Tw Cen MT" w:cs="Twentieth Century"/>
          <w:sz w:val="20"/>
          <w:szCs w:val="20"/>
          <w:lang w:val="id-ID"/>
        </w:rPr>
        <w:t>2</w:t>
      </w:r>
      <w:r w:rsidRPr="00A2643D">
        <w:rPr>
          <w:rFonts w:ascii="Tw Cen MT" w:eastAsia="Twentieth Century" w:hAnsi="Tw Cen MT" w:cs="Twentieth Century"/>
          <w:sz w:val="20"/>
          <w:szCs w:val="20"/>
          <w:lang w:val="id-ID"/>
        </w:rPr>
        <w:t>. Target dan Capaian Standar Pelayanan Minimal (SPM) Kabupaten Majalengka Tahun 2020</w:t>
      </w:r>
    </w:p>
    <w:tbl>
      <w:tblPr>
        <w:tblStyle w:val="TableGrid"/>
        <w:tblW w:w="4110" w:type="dxa"/>
        <w:jc w:val="center"/>
        <w:tblBorders>
          <w:left w:val="none" w:sz="0" w:space="0" w:color="auto"/>
          <w:right w:val="none" w:sz="0" w:space="0" w:color="auto"/>
          <w:insideH w:val="none" w:sz="0" w:space="0" w:color="auto"/>
          <w:insideV w:val="none" w:sz="0" w:space="0" w:color="auto"/>
        </w:tblBorders>
        <w:tblCellMar>
          <w:left w:w="57" w:type="dxa"/>
          <w:right w:w="0" w:type="dxa"/>
        </w:tblCellMar>
        <w:tblLook w:val="04A0" w:firstRow="1" w:lastRow="0" w:firstColumn="1" w:lastColumn="0" w:noHBand="0" w:noVBand="1"/>
      </w:tblPr>
      <w:tblGrid>
        <w:gridCol w:w="1560"/>
        <w:gridCol w:w="850"/>
        <w:gridCol w:w="850"/>
        <w:gridCol w:w="850"/>
      </w:tblGrid>
      <w:tr w:rsidR="00A2643D" w:rsidRPr="00A2643D" w14:paraId="624AC1C3" w14:textId="77777777" w:rsidTr="00573FB2">
        <w:trPr>
          <w:jc w:val="center"/>
        </w:trPr>
        <w:tc>
          <w:tcPr>
            <w:tcW w:w="1560" w:type="dxa"/>
            <w:tcBorders>
              <w:top w:val="nil"/>
              <w:bottom w:val="single" w:sz="4" w:space="0" w:color="auto"/>
            </w:tcBorders>
          </w:tcPr>
          <w:p w14:paraId="04C6AE12" w14:textId="77777777" w:rsidR="00A2643D" w:rsidRPr="00A2643D" w:rsidRDefault="00A2643D" w:rsidP="00573FB2">
            <w:pPr>
              <w:spacing w:line="360" w:lineRule="auto"/>
              <w:jc w:val="both"/>
              <w:rPr>
                <w:rFonts w:ascii="Tw Cen MT" w:eastAsia="Twentieth Century" w:hAnsi="Tw Cen MT" w:cs="Twentieth Century"/>
                <w:sz w:val="20"/>
                <w:szCs w:val="20"/>
                <w:lang w:val="id-ID"/>
              </w:rPr>
            </w:pPr>
          </w:p>
        </w:tc>
        <w:tc>
          <w:tcPr>
            <w:tcW w:w="850" w:type="dxa"/>
            <w:tcBorders>
              <w:top w:val="single" w:sz="4" w:space="0" w:color="auto"/>
              <w:bottom w:val="single" w:sz="4" w:space="0" w:color="auto"/>
            </w:tcBorders>
          </w:tcPr>
          <w:p w14:paraId="55109FAF"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Target</w:t>
            </w:r>
          </w:p>
        </w:tc>
        <w:tc>
          <w:tcPr>
            <w:tcW w:w="850" w:type="dxa"/>
            <w:tcBorders>
              <w:top w:val="single" w:sz="4" w:space="0" w:color="auto"/>
              <w:bottom w:val="single" w:sz="4" w:space="0" w:color="auto"/>
            </w:tcBorders>
          </w:tcPr>
          <w:p w14:paraId="79CAF0C9"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Capaian</w:t>
            </w:r>
          </w:p>
        </w:tc>
        <w:tc>
          <w:tcPr>
            <w:tcW w:w="850" w:type="dxa"/>
            <w:tcBorders>
              <w:top w:val="single" w:sz="4" w:space="0" w:color="auto"/>
              <w:bottom w:val="single" w:sz="4" w:space="0" w:color="auto"/>
            </w:tcBorders>
          </w:tcPr>
          <w:p w14:paraId="798444A7"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w:t>
            </w:r>
          </w:p>
        </w:tc>
      </w:tr>
      <w:tr w:rsidR="00A2643D" w:rsidRPr="00A2643D" w14:paraId="6BB99C37" w14:textId="77777777" w:rsidTr="00573FB2">
        <w:trPr>
          <w:jc w:val="center"/>
        </w:trPr>
        <w:tc>
          <w:tcPr>
            <w:tcW w:w="1560" w:type="dxa"/>
            <w:tcBorders>
              <w:top w:val="single" w:sz="4" w:space="0" w:color="auto"/>
              <w:bottom w:val="single" w:sz="4" w:space="0" w:color="auto"/>
            </w:tcBorders>
          </w:tcPr>
          <w:p w14:paraId="68F842DC" w14:textId="77777777" w:rsidR="00A2643D" w:rsidRPr="00A2643D" w:rsidRDefault="00A2643D" w:rsidP="00573FB2">
            <w:pPr>
              <w:spacing w:line="36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Hipertensi</w:t>
            </w:r>
          </w:p>
        </w:tc>
        <w:tc>
          <w:tcPr>
            <w:tcW w:w="850" w:type="dxa"/>
            <w:tcBorders>
              <w:top w:val="single" w:sz="4" w:space="0" w:color="auto"/>
            </w:tcBorders>
            <w:vAlign w:val="center"/>
          </w:tcPr>
          <w:p w14:paraId="1729D6C7"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306.730</w:t>
            </w:r>
          </w:p>
        </w:tc>
        <w:tc>
          <w:tcPr>
            <w:tcW w:w="850" w:type="dxa"/>
            <w:tcBorders>
              <w:top w:val="single" w:sz="4" w:space="0" w:color="auto"/>
            </w:tcBorders>
            <w:vAlign w:val="center"/>
          </w:tcPr>
          <w:p w14:paraId="3B215680"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101.201</w:t>
            </w:r>
          </w:p>
        </w:tc>
        <w:tc>
          <w:tcPr>
            <w:tcW w:w="850" w:type="dxa"/>
            <w:tcBorders>
              <w:top w:val="single" w:sz="4" w:space="0" w:color="auto"/>
            </w:tcBorders>
            <w:vAlign w:val="center"/>
          </w:tcPr>
          <w:p w14:paraId="09004DE9"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30,22</w:t>
            </w:r>
          </w:p>
        </w:tc>
      </w:tr>
      <w:tr w:rsidR="00A2643D" w:rsidRPr="00A2643D" w14:paraId="3AFC06BF" w14:textId="77777777" w:rsidTr="00573FB2">
        <w:trPr>
          <w:jc w:val="center"/>
        </w:trPr>
        <w:tc>
          <w:tcPr>
            <w:tcW w:w="1560" w:type="dxa"/>
            <w:tcBorders>
              <w:top w:val="single" w:sz="4" w:space="0" w:color="auto"/>
              <w:bottom w:val="single" w:sz="4" w:space="0" w:color="auto"/>
            </w:tcBorders>
          </w:tcPr>
          <w:p w14:paraId="4AAAC924" w14:textId="77777777" w:rsidR="00A2643D" w:rsidRPr="00A2643D" w:rsidRDefault="00A2643D" w:rsidP="00573FB2">
            <w:pPr>
              <w:spacing w:line="36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Diabetes Melitus</w:t>
            </w:r>
          </w:p>
        </w:tc>
        <w:tc>
          <w:tcPr>
            <w:tcW w:w="850" w:type="dxa"/>
            <w:vAlign w:val="center"/>
          </w:tcPr>
          <w:p w14:paraId="14F337EE"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13.024</w:t>
            </w:r>
          </w:p>
        </w:tc>
        <w:tc>
          <w:tcPr>
            <w:tcW w:w="850" w:type="dxa"/>
            <w:vAlign w:val="center"/>
          </w:tcPr>
          <w:p w14:paraId="51B574BC"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11.419</w:t>
            </w:r>
          </w:p>
        </w:tc>
        <w:tc>
          <w:tcPr>
            <w:tcW w:w="850" w:type="dxa"/>
            <w:vAlign w:val="center"/>
          </w:tcPr>
          <w:p w14:paraId="394C30E1"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87,68</w:t>
            </w:r>
          </w:p>
        </w:tc>
      </w:tr>
      <w:tr w:rsidR="00A2643D" w:rsidRPr="00A2643D" w14:paraId="1089D74B" w14:textId="77777777" w:rsidTr="00573FB2">
        <w:trPr>
          <w:jc w:val="center"/>
        </w:trPr>
        <w:tc>
          <w:tcPr>
            <w:tcW w:w="1560" w:type="dxa"/>
            <w:tcBorders>
              <w:top w:val="single" w:sz="4" w:space="0" w:color="auto"/>
              <w:bottom w:val="single" w:sz="4" w:space="0" w:color="auto"/>
            </w:tcBorders>
          </w:tcPr>
          <w:p w14:paraId="719BB383" w14:textId="77777777" w:rsidR="00A2643D" w:rsidRPr="00A2643D" w:rsidRDefault="00A2643D" w:rsidP="00573FB2">
            <w:pPr>
              <w:spacing w:line="36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Ggn Kes. Jiwa</w:t>
            </w:r>
          </w:p>
        </w:tc>
        <w:tc>
          <w:tcPr>
            <w:tcW w:w="850" w:type="dxa"/>
            <w:vAlign w:val="center"/>
          </w:tcPr>
          <w:p w14:paraId="7D429888"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1.692</w:t>
            </w:r>
          </w:p>
        </w:tc>
        <w:tc>
          <w:tcPr>
            <w:tcW w:w="850" w:type="dxa"/>
            <w:vAlign w:val="center"/>
          </w:tcPr>
          <w:p w14:paraId="7EE281A1"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1.442</w:t>
            </w:r>
          </w:p>
        </w:tc>
        <w:tc>
          <w:tcPr>
            <w:tcW w:w="850" w:type="dxa"/>
            <w:vAlign w:val="center"/>
          </w:tcPr>
          <w:p w14:paraId="5293F0CD" w14:textId="77777777" w:rsidR="00A2643D" w:rsidRPr="00A2643D" w:rsidRDefault="00A2643D" w:rsidP="008F782C">
            <w:pPr>
              <w:spacing w:line="36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85,22</w:t>
            </w:r>
          </w:p>
        </w:tc>
      </w:tr>
    </w:tbl>
    <w:p w14:paraId="13152487" w14:textId="6F85FA5B" w:rsidR="00A2643D" w:rsidRDefault="00A2643D" w:rsidP="00573FB2">
      <w:pPr>
        <w:spacing w:after="0" w:line="24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Sumber: Dinkes Majalengka, 2021</w:t>
      </w:r>
    </w:p>
    <w:p w14:paraId="01E265AE" w14:textId="656377FC" w:rsidR="001A2225" w:rsidRDefault="001A2225" w:rsidP="00573FB2">
      <w:pPr>
        <w:spacing w:after="0" w:line="240" w:lineRule="auto"/>
        <w:jc w:val="both"/>
        <w:rPr>
          <w:rFonts w:ascii="Tw Cen MT" w:eastAsia="Twentieth Century" w:hAnsi="Tw Cen MT" w:cs="Twentieth Century"/>
          <w:sz w:val="20"/>
          <w:szCs w:val="20"/>
          <w:lang w:val="id-ID"/>
        </w:rPr>
      </w:pPr>
    </w:p>
    <w:p w14:paraId="33FEEC18" w14:textId="2E4BAC35" w:rsidR="001A2225" w:rsidRDefault="001A2225" w:rsidP="00573FB2">
      <w:pPr>
        <w:spacing w:after="0" w:line="240" w:lineRule="auto"/>
        <w:jc w:val="both"/>
        <w:rPr>
          <w:rFonts w:ascii="Tw Cen MT" w:eastAsia="Twentieth Century" w:hAnsi="Tw Cen MT" w:cs="Twentieth Century"/>
          <w:sz w:val="20"/>
          <w:szCs w:val="20"/>
          <w:lang w:val="id-ID"/>
        </w:rPr>
      </w:pPr>
      <w:r w:rsidRPr="00A2643D">
        <w:rPr>
          <w:rFonts w:ascii="Tw Cen MT" w:eastAsia="Twentieth Century" w:hAnsi="Tw Cen MT" w:cs="Twentieth Century"/>
          <w:sz w:val="24"/>
          <w:szCs w:val="24"/>
          <w:lang w:val="id-ID"/>
        </w:rPr>
        <w:t xml:space="preserve">Bukan hanya SPM hipertensi di kabupaten Majalengka dengan capaian yang masih rendah. Beberapa wilayah lain seperti kota Bandung dan Semarang juga memiliki hasil yang serupa. Hal ini dimungkinkan karena target sasaran untuk penderita hipertensi yang terdapat dalam Permenkes RI No. 4 Tahun 2019 terlalu tinggi untuk di implementasikan di beberapa wilayah di Indonesia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{"citationItems":[{"id":"ITEM-1","itemData":{"ISSN":"2356-3346","abstract":"Background: Minimum services standards have to be provided by each region to their citizen regarding the minimum type and quality of basic services. Minimum health service standard have 12 type of basic services. One of them are the health service of hypertension patient which was only 24,75% in 2017 from target 100% in Semarang District. Methods: The research objective was to analyse the implementation of minimum service standards. A qualitativemethod and a descriptive analytic approach was used in this research.Primary data from in-depth interviews and secondary data that were relevant to the research were collected. The study was conducted at Public Health Services of Gunungpati, Ngesrep, Pudak Payung, Sekaran and Health Office ofSemarang City. The respondents wereprovider staff at Public Health Services and Health Office holding the non-infection disease program. To get properly information this study also interviewing the patients. Result: The results showed the Minister of Health’s Regulation Number 4/ 2019 concerning minimum service standards in the health sector was too ideal and was it difficult to reach. Conclusions: Public Health servicesas the executor of the Minister of Health Regulation Number 4/2019 must have innovations in order to achieve the 100% target.","author":[{"dropping-particle":"","family":"Anindya","given":"Prakasita Artha","non-dropping-particle":"","parse-names":false,"suffix":""},{"dropping-particle":"","family":"Jati","given":"Sutopo Patria","non-dropping-particle":"","parse-names":false,"suffix":""},{"dropping-particle":"","family":"Nandini","given":"Nurhasmadiar","non-dropping-particle":"","parse-names":false,"suffix":""}],"container-title":"Jurnal Kesehatan Masyarakat (e-Journal)","id":"ITEM-1","issue":"2","issued":{"date-parts":[["2020"]]},"page":"30 - 33","title":"Upaya Menerapkan Standar Pelayanan Minimal Di Bidang Kesehatan Pada Indikator Pelayanan Kesehatan Hipertensi Di Puskesmas Kota Semarang","type":"article-journal","volume":"10"},"uris":["http://www.mendeley.com/documents/?uuid=bdaee299-0a4c-48ec-8b7e-55ca5d493de5"]},{"id":"ITEM-2","itemData":{"DOI":"10.33701/jipwp.v","author":[{"dropping-particle":"","family":"Aliyah","given":"Yulia Astri Nurul","non-dropping-particle":"","parse-names":false,"suffix":""}],"container-title":"Jurnal Ilmu Pemerintahan Widya Praja","id":"ITEM-2","issue":"2","issued":{"date-parts":[["2020"]]},"page":"355-368","title":"Capaian Standar Pelayanan Minimal (SPM) Bidang Kesehatan Kasus Hipertensi dan Diabetes Mellitus di Kota Bandung Tahun 2020","type":"article-journal","volume":"46"},"uris":["http://www.mendeley.com/documents/?uuid=579374a4-ab06-421b-8eee-409b11ce91c8"]}],"mendeley":{"formattedCitation":"[14], [15]","plainTextFormattedCitation":"[14], [15]","previouslyFormattedCitation":"[14], [15]"},"properties":{"noteIndex":0},"schema":"https://github.com/citation-style-language/schema/raw/master/csl-citation.json"}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[14], [15]</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09F530B1" w14:textId="77777777" w:rsidR="00573FB2" w:rsidRPr="00A2643D" w:rsidRDefault="00573FB2" w:rsidP="00573FB2">
      <w:pPr>
        <w:spacing w:after="0" w:line="240" w:lineRule="auto"/>
        <w:jc w:val="both"/>
        <w:rPr>
          <w:rFonts w:ascii="Tw Cen MT" w:eastAsia="Twentieth Century" w:hAnsi="Tw Cen MT" w:cs="Twentieth Century"/>
          <w:sz w:val="24"/>
          <w:szCs w:val="24"/>
          <w:lang w:val="id-ID"/>
        </w:rPr>
      </w:pPr>
    </w:p>
    <w:p w14:paraId="2D26FF13" w14:textId="77777777" w:rsidR="00A2643D" w:rsidRPr="00A2643D" w:rsidRDefault="00A2643D" w:rsidP="00573FB2">
      <w:pPr>
        <w:numPr>
          <w:ilvl w:val="0"/>
          <w:numId w:val="1"/>
        </w:numPr>
        <w:spacing w:after="0" w:line="276" w:lineRule="auto"/>
        <w:ind w:left="284"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Pelaksanaan Surveilans Hipertensi di Dinas Kesehatan Kabupaten Majalengka</w:t>
      </w:r>
    </w:p>
    <w:p w14:paraId="4C143FF0" w14:textId="77777777" w:rsidR="00A2643D" w:rsidRPr="00A2643D" w:rsidRDefault="00A2643D" w:rsidP="00573FB2">
      <w:pPr>
        <w:numPr>
          <w:ilvl w:val="0"/>
          <w:numId w:val="3"/>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Pengumpulan Data</w:t>
      </w:r>
    </w:p>
    <w:p w14:paraId="3FE5B154" w14:textId="63ECD91A"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Pengumpulan data surveilans hipertensi termasuk didalamnya pencatatan dan pelaporan, bukan  hanya dari riwayat hipertensi yang dilaporkannya. Namun juga dapat dikategorikan berdasarkan hasil pengukuran tekanan darah yang tergolong hipertensi dalam satu kunjungan atau mengonsumsi obat antihipertensi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{"citationItems":[{"id":"ITEM-1","itemData":{"DOI":"https://doi.org/10.1161/CIRCOUTCOMES.111.963439","author":[{"dropping-particle":"","family":"Crim","given":"Matthew T","non-dropping-particle":"","parse-names":false,"suffix":""},{"dropping-particle":"","family":"Yoon","given":"Sung Sug (Sarah","non-dropping-particle":"","parse-names":false,"suffix":""},{"dropping-particle":"","family":"Eduardo","given":"Ortiz","non-dropping-particle":"","parse-names":false,"suffix":""},{"dropping-particle":"","family":"Wall","given":"Hillary K","non-dropping-particle":"","parse-names":false,"suffix":""},{"dropping-particle":"","family":"Schober","given":"Susan","non-dropping-particle":"","parse-names":false,"suffix":""},{"dropping-particle":"","family":"Gillespie","given":"Cathleen","non-dropping-particle":"","parse-names":false,"suffix":""},{"dropping-particle":"","family":"Sorlie","given":"Paul","non-dropping-particle":"","parse-names":false,"suffix":""},{"dropping-particle":"","family":"Keenan","given":"Nora","non-dropping-particle":"","parse-names":false,"suffix":""},{"dropping-particle":"","family":"Labarthe","given":"Darwin","non-dropping-particle":"","parse-names":false,"suffix":""},{"dropping-particle":"","family":"Hong","given":"Yuling","non-dropping-particle":"","parse-names":false,"suffix":""}],"container-title":"Circulation: Cardiovascular Quality and Outcomes","id":"ITEM-1","issue":"3","issued":{"date-parts":[["2012"]]},"page":"343 - 351","title":"National Surveillance Definitions for HypertensionPrevalence and Control Among Adults.pdf","type":"article-journal","volume":"5"},"uris":["http://www.mendeley.com/documents/?uuid=97410680-01a0-4f72-b794-757f974f9af8"]}],"mendeley":{"formattedCitation":"[16]","plainTextFormattedCitation":"[16]","previouslyFormattedCitation":"[16]"},"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[16]</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xml:space="preserve">. Kegiatan surveilans hipertensi dibedakan menjadi 2, yaitu surveilans faktor risiko dan surveilans kasus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mendeley":{"formattedCitation":"[17]","plainTextFormattedCitation":"[17]","previouslyFormattedCitation":"[17]"},"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[17]</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w:t>
      </w:r>
    </w:p>
    <w:p w14:paraId="69D0C6DE" w14:textId="4AE67983"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Pada lingkup dinas kesehatan, data surveilans faktor risiko hipertensi diperoleh dari data posbindu, puskesmas dan rumah sakit. Posbindu PTM merupakan bentuk upaya kesehatan dalam mengendalikan </w:t>
      </w:r>
      <w:r w:rsidRPr="00A2643D">
        <w:rPr>
          <w:rFonts w:ascii="Tw Cen MT" w:eastAsia="Twentieth Century" w:hAnsi="Tw Cen MT" w:cs="Twentieth Century"/>
          <w:sz w:val="24"/>
          <w:szCs w:val="24"/>
          <w:lang w:val="id-ID"/>
        </w:rPr>
        <w:t xml:space="preserve">faktor risiko penyakit tidak menular yang berada dibawah suatu puskesmas. Kegiatan pada posbindu PTM terdiri dari penelusuran riwayat keluarga, faktor risiko perilaku, faktor risiko metabolik, konseling, rujukan serta saran bagi anggota. Pengumpulan data pada posbindu, dapat dilakukan secara manual ataupun langsung menggunakan sistem informasi surveilans PTM (SIPTM)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Menular","type":"report"},"uris":["http://www.mendeley.com/documents/?uuid=45c850ad-b6c8-4067-801e-c01290c6adf1"]},{"id":"ITEM-2","itemData":{"ISSN":"13498037","abstract":"© 2017 Applied Microbiology, Molecular and Cellular Biosciences Research Foundation. Flammulina velutipes is a well-known edible mushroom cultivated all over the world. However, because of the low transformation frequency, the expensive instruments required, and the complicated, time-consuming procedures necessary, there is insufficient genetic research on F. velutipes. In this study, we report a liposome-mediated transformation (LMT) system for the genetic transformation of F. velutipes. Using the LMT system, we obtained 82 ± 4 stable F. velutipes transformants per 10 5 protoplasts, which is a clear increase in transformation frequency compared to the other methods used. We were able to detect the expression of an EGFP reporter gene in the F. velutipes transformants using fluorescence imaging assays. Furthermore, we used this method to transfer the laccase gene into F. velutipes and found that the transcriptional level and enzymatic activity increased in these transformants. Mitotic stability analysis showed that all of the selected transformants remained mitotically stable, even after five successive rounds of sub-culturing. These results demonstrate a new transgenic approach that will facilitate F. velutipes research.","author":[{"dropping-particle":"","family":"Kemenkes RI","given":"","non-dropping-particle":"","parse-names":false,"suffix":""}],"id":"ITEM-2","issued":{"date-parts":[["2015"]]},"number-of-pages":"358","publisher-place":"Jakarta","title":"Petunjuk Teknis Surveilans Penyakit Tidak Menular","type":"report"},"uris":["http://www.mendeley.com/documents/?uuid=4768133e-11ad-4770-8ddd-185f8a1e4087"]}],"mendeley":{"formattedCitation":"[17], [18]","plainTextFormattedCitation":"[17], [18]","previouslyFormattedCitation":"[17], [18]"},"properties":{"noteIndex":0},"schema":"https://github.com/citation-style-language/schema/raw/master/csl-citation.json"}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[17], [18]</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Wilayah kabupaten Majalengka memiliki 320 posbindu yang dibina oleh puskesmas. Setiap posbindu diberikan kit peralatan untuk melaksanakan deteksi dini faktor risiko dari dinas kesehatan. Peralatan ini mencakup timbangan, mikrotoa, tensimeter, buku pencatatan, lembar balik informasi kesehatan, serta berbagai peralatan lainnya sebagai input dari pelaksanaan surveilans kesehatan.</w:t>
      </w:r>
    </w:p>
    <w:p w14:paraId="096A2D4F" w14:textId="27B87261" w:rsid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Setiap posbindu melakukan pencatatan oleh kader dalam buku “Pencatatan Faktor Risiko PTM Posbindu PTM” yang disimpan di masing – masing posbindu. Selain dicatatkan dalam buku pencatatan di posbindu, masing – masing anggota juga memiliki “Kartu Menuju Sehat Faktor Risiko PTM (KMS-FR-PTM)” sehingga setiap dilakukan pengukuran dicatatkan dalam KMS tersebut. Pencatatan dalam buku di posbindu kemudian diubah menjadi bentuk sistem informasi yang terintegrasi untuk PTM, yaitu SIPTM. Pencatatan ke dalam bentuk SIPTM ini dilakukan oleh puskesmas di wilayah posbindu berada. Hal ini dikarenakan sebagaian besar kader yang kesulitan mengaplikasikan surveilans berbasis web, sehingga pengaplikasian web dilakukan oleh pihak puskesmas. Sulitnya surveilans berbasis web juga menjadi kendala dari pelaksanaan surveilans di beberapa wilayah lain di Indonesia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{"citationItems":[{"id":"ITEM-1","itemData":{"DOI":"10.22435/mpk.v30i3.3569","ISSN":"0853-9987","abstract":"Abstract\r Since 2013, Directorate of NCD Prevention and Control has conducted web-based NCD risk factors surveillance with the data source from the ‘Posbindu PTM’ activity. Evaluation of the surveillance should be conducted periodically to assess achievement of objectives and target benefits. However, since the surveillance conducted nationally, there has not been a specific evaluation. This article aimed to obtain information about the utilization and problems in implementing NCD risk factors surveillance based on “Posbindu PTM” data. The research method was carried out through a systematic review of articles related to the implementation of NCD risk factor surveillance based on Posbindu PTM data in 2014 to 2020. The articles were searched using a search engine with keywords NCD surveillance, Posbindu PTM, Posbindu surveillance, in June 2020. There were 12 articles that match the keywords and five articles that meet the criteria. The results of the review showed that the data collection instruments of and technical guideline for surveillance of web-based NCD risk factors can be utilized by surveillance officers. The web information system is considered simple, acceptable, has high sensitivity and stability, and is timely. Automatic data collection, processing and analysis greatly facilitate surveillance. The results of the information system analysis are in accordance with the planning requirement. The results of surveillance are useful for outreach / counseling and for student research. The problems in implementing surveillance are the limited number of trained officers, no operational budget, limited population coverage, lack of infrastructure, interference with internet signals and limited peladens. Officers generally have not interpreted the results and disseminate less because of their limited abilities. The web-based PTM risk factor surveillance based on “Posbindu PTM” activity data can be implemented, but not systematically. Increasing the number and capacity of officers, especially in data interpretation improvement of surveillance facility is necessary to increase the benefits and achievement of the goal of prevention and control of PTM/NCD in the community.\r Abstrak\r Sejak tahun 2013, Direktorat Pencegahan dan Pengendalian Penyakit Tidak Menular (P2PTM) menyelenggarakan surveilans faktor risiko PTM berbasis web dengan sumber data kegiatan “Posbindu PTM”. Evaluasi surveilans seharusnya dilakukan secara periodik untuk menilai pencapaian tujuan …","author":[{"dropping-particle":"","family":"Rahajeng","given":"Ekowati","non-dropping-particle":"","parse-names":false,"suffix":""},{"dropping-particle":"","family":"Wahidin","given":"Mugi","non-dropping-particle":"","parse-names":false,"suffix":""}],"container-title":"Media Penelitian dan Pengembangan Kesehatan","id":"ITEM-1","issue":"3","issued":{"date-parts":[["2020"]]},"page":"241-256","title":"Evaluasi Surveilans Faktor Risiko Penyakit Tidak Menular (PTM) Berbasis Data Kegiatan “Posbindu PTM”","type":"article-journal","volume":"30"},"uris":["http://www.mendeley.com/documents/?uuid=8b76ea5f-527d-41d7-89d5-89bb154342f0"]}],"mendeley":{"formattedCitation":"[19]","plainTextFormattedCitation":"[19]","previouslyFormattedCitation":"[19]"},"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[19]</w:t>
      </w:r>
      <w:r w:rsidRPr="00A2643D">
        <w:rPr>
          <w:rFonts w:ascii="Tw Cen MT" w:eastAsia="Twentieth Century" w:hAnsi="Tw Cen MT" w:cs="Twentieth Century"/>
          <w:sz w:val="24"/>
          <w:szCs w:val="24"/>
        </w:rPr>
        <w:fldChar w:fldCharType="end"/>
      </w:r>
      <w:r w:rsidR="001A2225">
        <w:rPr>
          <w:rFonts w:ascii="Tw Cen MT" w:eastAsia="Twentieth Century" w:hAnsi="Tw Cen MT" w:cs="Twentieth Century"/>
          <w:sz w:val="24"/>
          <w:szCs w:val="24"/>
          <w:lang w:val="id-ID"/>
        </w:rPr>
        <w:t>.</w:t>
      </w:r>
    </w:p>
    <w:p w14:paraId="21E48F68" w14:textId="4AC25846" w:rsidR="001A2225" w:rsidRDefault="001A2225"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Selain data faktor risiko yang diperoleh dari posbindu, data faktor risiko juga diperoleh dari puskesmas melalui pandu PTM (Pelayanan Terpadu Penyakit Tidak </w:t>
      </w:r>
      <w:r w:rsidRPr="00A2643D">
        <w:rPr>
          <w:rFonts w:ascii="Tw Cen MT" w:eastAsia="Twentieth Century" w:hAnsi="Tw Cen MT" w:cs="Twentieth Century"/>
          <w:sz w:val="24"/>
          <w:szCs w:val="24"/>
          <w:lang w:val="id-ID"/>
        </w:rPr>
        <w:lastRenderedPageBreak/>
        <w:t xml:space="preserve">Menular). Pandu PTM merupakan kegiatan puskesmas dengan melaksanakan pencegahan dan pengendalian PTM secara komperhensif dan juga terintegrasi melalui UKM (Upaya Kesehatan Masyarakat) dan UKP (Upaya Kesehatan Perorangan)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{"citationItems":[{"id":"ITEM-1","itemData":{"DOI":"10.25311/keskom.vol6.iss2.438","ISSN":"2088-7612","abstract":"The implementation of the Non-Communicable Disease Control Program carried out in Posbindu PTM is a concrete manifestation of community participation in implementing early detection, monitoring and early follow-up of Non-Communicable Disease risk factors independently and continuously. Rokan IV Koto I Community Health Center has implemented PTM control in an integrated manner but the scope of Non-Communicable Disease prevention and eradication efforts is still low at 53,9%. The purpose of the study was to determine the implementation of the control program for non-communicable diseases in Posbindu PTM Rokan IV Koto I Community Health Center seen from input indicators and processes of the Non-Communicable Disease Control Program. This type of research is qualitative. 8 informants consisted of midwives midwives in charge of posbindu, mobilizing midwives, monitoring midwives, counselor doctors, recording cadres, Head of Sub-Division of Administration, community leaders, BPJS. The tringulation used is source tringulation, methods and data. The results of the study show that inputs (human resources, incentives, facilities and facilities) have been done well even though the use of Posbindu PTM facilities and equipment is not yet available in every village. The process (identification of potential PTM problems, implementation of activities and program innovations, recording and reporting, early risk follow-up and referral of PTM) has gone well. BASMI PELAKOR 1 innovation was able to increase the coverage of community visits to Posbindu PTM to 57,4% which previously had been in 2018 at 53,92%. Suggestion for Community Health Center to facilitate the formation of partnerships in each village through CSR (Corporate Social Responsibility) to buy their own tools, deliberation with the community to determine the Posbindu PTM schedule that is mutually agreed upon, involve community participation in implementing BASMI PELAKOR. Keywords : Implementaon of PTM Control Program, Input of PTM program implementaon. PTM program implementaon process.","author":[{"dropping-particle":"","family":"Hosni","given":"Kholida","non-dropping-particle":"","parse-names":false,"suffix":""},{"dropping-particle":"","family":"Afandi","given":"Dedi","non-dropping-particle":"","parse-names":false,"suffix":""},{"dropping-particle":"","family":"Yunita","given":"Jasrida","non-dropping-particle":"","parse-names":false,"suffix":""},{"dropping-particle":"","family":"Jepisah","given":"Doni","non-dropping-particle":"","parse-names":false,"suffix":""},{"dropping-particle":"","family":"Hanafi","given":"Ahmad","non-dropping-particle":"","parse-names":false,"suffix":""}],"container-title":"Jurnal Kesehatan Komunitas","id":"ITEM-1","issue":"2","issued":{"date-parts":[["2020"]]},"page":"135-146","title":"Analisys of the Implementation of Non-Communicable Disease Control Programs in Posbindu PTM Puskesmas Rokan IV Koto I Districs Rokan Hulu","type":"article-journal","volume":"6"},"uris":["http://www.mendeley.com/documents/?uuid=1afefb9f-790e-4090-a1f3-8372db3364ac"]}],"mendeley":{"formattedCitation":"[20]","plainTextFormattedCitation":"[20]","previouslyFormattedCitation":"[20]"},"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[20]</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Namun demikian, kegiatan padu PTM belum dilaksanakan optimal di masing – masing puskesmas. Sama halnya dengan data dari posbindu, data dari pandu PTM ini kemudian diubah ke dalam sistem informasi terintegrasi. Data SIPTM ini juga dilaporkan dalam bentuk excel yang dikirimkan ke email P2PTM dan Keswa Dinkes kab. Majalengka setiap bulannya. Dalam 1 excel maksimal dapat menampung 50 data. Oleh sebab itu, jika dalam satu bulan deteksi dini dilakukan pada lebih dari 50 orang, maka pelaporan dapat dilakukan lebih dari 1 kali dalam satu bulan. Adapun secara singkat, alur pencatatan dan pelaporan faktor risiki hipertensi terdapat dalam Gambar 3.</w:t>
      </w:r>
    </w:p>
    <w:p w14:paraId="3C17C651" w14:textId="77777777" w:rsidR="001A2225" w:rsidRPr="00A2643D" w:rsidRDefault="001A2225" w:rsidP="001A2225">
      <w:pPr>
        <w:spacing w:after="0" w:line="240" w:lineRule="auto"/>
        <w:jc w:val="both"/>
        <w:rPr>
          <w:rFonts w:ascii="Tw Cen MT" w:eastAsia="Twentieth Century" w:hAnsi="Tw Cen MT" w:cs="Twentieth Century"/>
          <w:sz w:val="24"/>
          <w:szCs w:val="24"/>
          <w:lang w:val="id-ID"/>
        </w:rPr>
      </w:pPr>
    </w:p>
    <w:p w14:paraId="4958F070" w14:textId="77777777"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noProof/>
          <w:sz w:val="24"/>
          <w:szCs w:val="24"/>
        </w:rPr>
        <w:drawing>
          <wp:inline distT="0" distB="0" distL="0" distR="0" wp14:anchorId="6DBE7E38" wp14:editId="7835F2E4">
            <wp:extent cx="2651125" cy="2202955"/>
            <wp:effectExtent l="0" t="0" r="3175"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r="18909"/>
                    <a:stretch/>
                  </pic:blipFill>
                  <pic:spPr bwMode="auto">
                    <a:xfrm>
                      <a:off x="0" y="0"/>
                      <a:ext cx="2651125" cy="2202955"/>
                    </a:xfrm>
                    <a:prstGeom prst="rect">
                      <a:avLst/>
                    </a:prstGeom>
                    <a:noFill/>
                    <a:ln>
                      <a:noFill/>
                    </a:ln>
                    <a:extLst>
                      <a:ext uri="{53640926-AAD7-44D8-BBD7-CCE9431645EC}">
                        <a14:shadowObscured xmlns:a14="http://schemas.microsoft.com/office/drawing/2010/main"/>
                      </a:ext>
                    </a:extLst>
                  </pic:spPr>
                </pic:pic>
              </a:graphicData>
            </a:graphic>
          </wp:inline>
        </w:drawing>
      </w:r>
    </w:p>
    <w:p w14:paraId="740CD020" w14:textId="38A96FBE" w:rsidR="00A2643D" w:rsidRDefault="00A2643D" w:rsidP="001A2225">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Gambar 3. Alur Pencatatan dan Pelaporan Faktor Risiko PTM</w:t>
      </w:r>
    </w:p>
    <w:p w14:paraId="57308F4F" w14:textId="77777777" w:rsidR="001A2225" w:rsidRPr="00A2643D" w:rsidRDefault="001A2225" w:rsidP="001A2225">
      <w:pPr>
        <w:spacing w:after="0" w:line="240" w:lineRule="auto"/>
        <w:jc w:val="center"/>
        <w:rPr>
          <w:rFonts w:ascii="Tw Cen MT" w:eastAsia="Twentieth Century" w:hAnsi="Tw Cen MT" w:cs="Twentieth Century"/>
          <w:sz w:val="20"/>
          <w:szCs w:val="20"/>
          <w:lang w:val="id-ID"/>
        </w:rPr>
      </w:pPr>
    </w:p>
    <w:p w14:paraId="6A4BD44F" w14:textId="4A80369B" w:rsidR="001A2225"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Pada tahun 2020, pelaksanaan deteksi dini di posbindu mengalami hambatan. Hal ini dikarenakan adanya pandemi COVID-19 yang menyebabkan pelaksanaan posbindu menjadi tidak aktif. Selain itu,  pada tahun 2020, terjadi banjir di beberapa wilayah yang ada di kabupaten Majalengka, </w:t>
      </w:r>
      <w:r w:rsidRPr="00A2643D">
        <w:rPr>
          <w:rFonts w:ascii="Tw Cen MT" w:eastAsia="Twentieth Century" w:hAnsi="Tw Cen MT" w:cs="Twentieth Century"/>
          <w:sz w:val="24"/>
          <w:szCs w:val="24"/>
          <w:lang w:val="id-ID"/>
        </w:rPr>
        <w:t xml:space="preserve">sehingga menyebabkan beberapa peralatan rusak yang semakin menghambat pelaksanaan kegiatan posbindu PTM. Selama masa pandemi COVID-19 tercatat hanya 49% atau 156 dari 320 posbindu yang aktif melaksanakan kegiatan deteksi dini. </w:t>
      </w:r>
    </w:p>
    <w:p w14:paraId="33BBBB84" w14:textId="77777777" w:rsidR="001A2225" w:rsidRPr="00A2643D" w:rsidRDefault="001A2225" w:rsidP="001A2225">
      <w:pPr>
        <w:spacing w:after="0" w:line="240" w:lineRule="auto"/>
        <w:jc w:val="both"/>
        <w:rPr>
          <w:rFonts w:ascii="Tw Cen MT" w:eastAsia="Twentieth Century" w:hAnsi="Tw Cen MT" w:cs="Twentieth Century"/>
          <w:sz w:val="24"/>
          <w:szCs w:val="24"/>
          <w:lang w:val="id-ID"/>
        </w:rPr>
      </w:pPr>
    </w:p>
    <w:p w14:paraId="4C5267E3" w14:textId="77777777"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noProof/>
          <w:sz w:val="24"/>
          <w:szCs w:val="24"/>
        </w:rPr>
        <w:drawing>
          <wp:inline distT="0" distB="0" distL="0" distR="0" wp14:anchorId="69F7E0FD" wp14:editId="657F2911">
            <wp:extent cx="2651125" cy="213463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862" r="14982" b="12421"/>
                    <a:stretch/>
                  </pic:blipFill>
                  <pic:spPr bwMode="auto">
                    <a:xfrm>
                      <a:off x="0" y="0"/>
                      <a:ext cx="2651125" cy="2134630"/>
                    </a:xfrm>
                    <a:prstGeom prst="rect">
                      <a:avLst/>
                    </a:prstGeom>
                    <a:noFill/>
                    <a:ln>
                      <a:noFill/>
                    </a:ln>
                    <a:extLst>
                      <a:ext uri="{53640926-AAD7-44D8-BBD7-CCE9431645EC}">
                        <a14:shadowObscured xmlns:a14="http://schemas.microsoft.com/office/drawing/2010/main"/>
                      </a:ext>
                    </a:extLst>
                  </pic:spPr>
                </pic:pic>
              </a:graphicData>
            </a:graphic>
          </wp:inline>
        </w:drawing>
      </w:r>
    </w:p>
    <w:p w14:paraId="10684363" w14:textId="43F8130D" w:rsidR="00A2643D" w:rsidRDefault="00A2643D" w:rsidP="001A2225">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Gambar 4. Alur Pencatatan dan Pelaporan Kasus Hipertensi</w:t>
      </w:r>
    </w:p>
    <w:p w14:paraId="1EFFB8A9" w14:textId="77777777" w:rsidR="001A2225" w:rsidRPr="001A2225" w:rsidRDefault="001A2225" w:rsidP="001A2225">
      <w:pPr>
        <w:spacing w:after="0" w:line="240" w:lineRule="auto"/>
        <w:jc w:val="center"/>
        <w:rPr>
          <w:rFonts w:ascii="Tw Cen MT" w:eastAsia="Twentieth Century" w:hAnsi="Tw Cen MT" w:cs="Twentieth Century"/>
          <w:sz w:val="20"/>
          <w:szCs w:val="20"/>
          <w:lang w:val="id-ID"/>
        </w:rPr>
      </w:pPr>
    </w:p>
    <w:p w14:paraId="07752F0C" w14:textId="4CE834D0" w:rsidR="001A2225" w:rsidRPr="00A2643D" w:rsidRDefault="001A2225"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Berdasarkan pedoman surveilans PTM, Data kasus hipertensi dapat diperoleh dari Riskesdas, puskesmas, rumah sakit dan laboratorium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mendeley":{"formattedCitation":"[17]","plainTextFormattedCitation":"[17]","previouslyFormattedCitation":"[17]"},"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[17]</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xml:space="preserve">. Data kasus yang masuk ke dinas kesehatan kabupaten Majalengka terdiri dari data laporan bulanan puskesmas serta data dari rumah sakit. Puskesmas di wilayah kabupaten Majalengka terdiri dari 32 puskesmas. Setiap puskesmas memperoleh data hipertensi dari laporan bulanan (LB 1 puskesmas). Selain itu, puskesmas juga memperoleh data dari jejaring terkait seperti klinik, praktik bidan, dokter, atau praktik tenaga medis lainnya. Namun demikian pelaporan dari jejaring terkait ini belum maksimal, dikarenakan masih banyaknya puskesmas yang belum melakukan jejaring surveilans. Setiap puskesmas melakukan pelaporan setiap satu bulan sekali melalui </w:t>
      </w:r>
      <w:r w:rsidRPr="00A2643D">
        <w:rPr>
          <w:rFonts w:ascii="Tw Cen MT" w:eastAsia="Twentieth Century" w:hAnsi="Tw Cen MT" w:cs="Twentieth Century"/>
          <w:i/>
          <w:iCs/>
          <w:sz w:val="24"/>
          <w:szCs w:val="24"/>
          <w:lang w:val="id-ID"/>
        </w:rPr>
        <w:t>Google Spreedsheet</w:t>
      </w:r>
      <w:r w:rsidRPr="00A2643D">
        <w:rPr>
          <w:rFonts w:ascii="Tw Cen MT" w:eastAsia="Twentieth Century" w:hAnsi="Tw Cen MT" w:cs="Twentieth Century"/>
          <w:sz w:val="24"/>
          <w:szCs w:val="24"/>
          <w:lang w:val="id-ID"/>
        </w:rPr>
        <w:t xml:space="preserve"> yang telah disediakan oleh pihak dinas kesehatan. Adapun data dari rumah sakit diperoleh secara langsung dari diagnosis terkonfirmasi rumah sakit. </w:t>
      </w:r>
      <w:r w:rsidRPr="00A2643D">
        <w:rPr>
          <w:rFonts w:ascii="Tw Cen MT" w:eastAsia="Twentieth Century" w:hAnsi="Tw Cen MT" w:cs="Twentieth Century"/>
          <w:sz w:val="24"/>
          <w:szCs w:val="24"/>
          <w:lang w:val="id-ID"/>
        </w:rPr>
        <w:lastRenderedPageBreak/>
        <w:t>Terdapat 2 Rumah sakit di wilayah kabupaten Majalengka, yaitu RSUD kabupaten Majalengka dan RSUD Cideres. Adapun secara singkat, alur pencatatan dan pelaporan kasus hipertensi terdapat dalam Gambar 4.</w:t>
      </w:r>
    </w:p>
    <w:p w14:paraId="0AEDF13A" w14:textId="02AD76E4" w:rsid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Berdasarkan standar, kasus hipertensi dilaporkan ke dinas kesehatan setiap bulannya dari masing – masing puskesmas. Pelaporan ini dilakukan di setiap bulan selanjutnya. Setiap puskesmas dituntut untuk melaporkan tepat waktu, dimana dikategorikan pelaporan yang baik apabila melaporkan pada tanggal 1 – 5, kategori sedang apabila melaporkan pada tanggal 6 – 10, kategori buruk apabila melaporkan lebih dari tanggal 11, dan sangat buruk apabila tidak melaporkan. Pada pelaksanaanya, terdapat 69% puskesmas yang melaporkan laporan bulanan pada tepat waktu pada tanggal 1 – 5 selama tahun 2020. Selain itu, masih terdapat puskesmas yang tidak melaporkan laporan bulanan sehingga berpengaruh terhadap capaian program. Hal ini menunjukkan masih rendahnya kesadaran pemegang program di puskesmas untuk melakukan pencatatan dan pelaporan setiap bulannya. </w:t>
      </w:r>
    </w:p>
    <w:p w14:paraId="53B6BCC1" w14:textId="77777777" w:rsidR="001A2225" w:rsidRPr="00A2643D" w:rsidRDefault="001A2225" w:rsidP="001A2225">
      <w:pPr>
        <w:spacing w:after="0" w:line="240" w:lineRule="auto"/>
        <w:jc w:val="both"/>
        <w:rPr>
          <w:rFonts w:ascii="Tw Cen MT" w:eastAsia="Twentieth Century" w:hAnsi="Tw Cen MT" w:cs="Twentieth Century"/>
          <w:sz w:val="24"/>
          <w:szCs w:val="24"/>
          <w:lang w:val="id-ID"/>
        </w:rPr>
      </w:pPr>
    </w:p>
    <w:p w14:paraId="654C03C0" w14:textId="77777777"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noProof/>
          <w:sz w:val="24"/>
          <w:szCs w:val="24"/>
        </w:rPr>
        <w:drawing>
          <wp:inline distT="0" distB="0" distL="0" distR="0" wp14:anchorId="5A57653D" wp14:editId="65D3BCDC">
            <wp:extent cx="2651125" cy="1639210"/>
            <wp:effectExtent l="0" t="0" r="15875" b="18415"/>
            <wp:docPr id="53" name="Chart 53">
              <a:extLst xmlns:a="http://schemas.openxmlformats.org/drawingml/2006/main">
                <a:ext uri="{FF2B5EF4-FFF2-40B4-BE49-F238E27FC236}">
                  <a16:creationId xmlns:a16="http://schemas.microsoft.com/office/drawing/2014/main" id="{131F96F4-FA32-4889-A7EC-9FE6997E94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038DA1B" w14:textId="7B27AD4C" w:rsidR="00A2643D" w:rsidRDefault="00A2643D" w:rsidP="001A2225">
      <w:pPr>
        <w:spacing w:after="0" w:line="240" w:lineRule="auto"/>
        <w:jc w:val="center"/>
        <w:rPr>
          <w:rFonts w:ascii="Tw Cen MT" w:eastAsia="Twentieth Century" w:hAnsi="Tw Cen MT" w:cs="Twentieth Century"/>
          <w:sz w:val="20"/>
          <w:szCs w:val="20"/>
          <w:lang w:val="id-ID"/>
        </w:rPr>
      </w:pPr>
      <w:r w:rsidRPr="00A2643D">
        <w:rPr>
          <w:rFonts w:ascii="Tw Cen MT" w:eastAsia="Twentieth Century" w:hAnsi="Tw Cen MT" w:cs="Twentieth Century"/>
          <w:sz w:val="20"/>
          <w:szCs w:val="20"/>
          <w:lang w:val="id-ID"/>
        </w:rPr>
        <w:t>Gambar 5. Pelaporan Laporan Bulanan Puskesmas Kasus Hipertensi</w:t>
      </w:r>
    </w:p>
    <w:p w14:paraId="3C3033BF" w14:textId="77777777" w:rsidR="001A2225" w:rsidRPr="00A2643D" w:rsidRDefault="001A2225" w:rsidP="001A2225">
      <w:pPr>
        <w:spacing w:after="0" w:line="240" w:lineRule="auto"/>
        <w:jc w:val="center"/>
        <w:rPr>
          <w:rFonts w:ascii="Tw Cen MT" w:eastAsia="Twentieth Century" w:hAnsi="Tw Cen MT" w:cs="Twentieth Century"/>
          <w:sz w:val="20"/>
          <w:szCs w:val="20"/>
          <w:lang w:val="id-ID"/>
        </w:rPr>
      </w:pPr>
    </w:p>
    <w:p w14:paraId="1014133B" w14:textId="77777777" w:rsidR="00A2643D" w:rsidRPr="00A2643D" w:rsidRDefault="00A2643D" w:rsidP="001A2225">
      <w:pPr>
        <w:numPr>
          <w:ilvl w:val="0"/>
          <w:numId w:val="3"/>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Pengolahan dan Analisis Data</w:t>
      </w:r>
    </w:p>
    <w:p w14:paraId="6D32749B" w14:textId="5312A7E7" w:rsidR="00A2643D" w:rsidRP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Pengolahan dan analisis data dapat dilakukan dengan menggunakan bantuan software SIPTM ataupun software lainnya </w:t>
      </w:r>
      <w:r w:rsidRPr="00A2643D">
        <w:rPr>
          <w:rFonts w:ascii="Tw Cen MT" w:eastAsia="Twentieth Century" w:hAnsi="Tw Cen MT" w:cs="Twentieth Century"/>
          <w:sz w:val="24"/>
          <w:szCs w:val="24"/>
          <w:lang w:val="id-ID"/>
        </w:rPr>
        <w:t xml:space="preserve">seperti microsoft excel. Data yang diolah dan dianalisis mempertimbangkan jumlah sampel ataupun penduduk dari wilayah tempat kerjanya. Adapun produk dari pengolahan data ialah proporsi hasil pemeriksaan FR, proporsi kasus PTM berdasarkan seluruh penyakit proporsi kasus, cakupan kunjungan, serta cakupan layanan. Analisis data dilakukan secara deskriptif berdasarkan orang, tempat dan waktu. Hasil pengolahan dan analisis data kemudian digambarkan dalam bentuk narasi, tabel, grafik ataupun bentuk lainnya agar lebih mudah difahami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Menular","type":"report"},"uris":["http://www.mendeley.com/documents/?uuid=45c850ad-b6c8-4067-801e-c01290c6adf1"]},{"id":"ITEM-2","itemData":{"ISSN":"13498037","abstract":"© 2017 Applied Microbiology, Molecular and Cellular Biosciences Research Foundation. Flammulina velutipes is a well-known edible mushroom cultivated all over the world. However, because of the low transformation frequency, the expensive instruments required, and the complicated, time-consuming procedures necessary, there is insufficient genetic research on F. velutipes. In this study, we report a liposome-mediated transformation (LMT) system for the genetic transformation of F. velutipes. Using the LMT system, we obtained 82 ± 4 stable F. velutipes transformants per 10 5 protoplasts, which is a clear increase in transformation frequency compared to the other methods used. We were able to detect the expression of an EGFP reporter gene in the F. velutipes transformants using fluorescence imaging assays. Furthermore, we used this method to transfer the laccase gene into F. velutipes and found that the transcriptional level and enzymatic activity increased in these transformants. Mitotic stability analysis showed that all of the selected transformants remained mitotically stable, even after five successive rounds of sub-culturing. These results demonstrate a new transgenic approach that will facilitate F. velutipes research.","author":[{"dropping-particle":"","family":"Kemenkes RI","given":"","non-dropping-particle":"","parse-names":false,"suffix":""}],"id":"ITEM-2","issued":{"date-parts":[["2015"]]},"number-of-pages":"358","publisher-place":"Jakarta","title":"Petunjuk Teknis Surveilans Penyakit Tidak Menular","type":"report"},"uris":["http://www.mendeley.com/documents/?uuid=4768133e-11ad-4770-8ddd-185f8a1e4087"]}],"mendeley":{"formattedCitation":"[17], [18]","plainTextFormattedCitation":"[17], [18]","previouslyFormattedCitation":"[17], [18]"},"properties":{"noteIndex":0},"schema":"https://github.com/citation-style-language/schema/raw/master/csl-citation.json"}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[17], [18]</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xml:space="preserve">. </w:t>
      </w:r>
    </w:p>
    <w:p w14:paraId="43B044A9" w14:textId="4743E067" w:rsid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Adanya sistem informasi merupakan upaya untuk mermudah pelaksanaan surveilans hipertensi karna dapat melakukan pengolahan dan analisis data secara otomatis oleh sistem. Namun demikian, pelaksanaan di Dinas Kesehatan Kabupaten Majalengka sendiri belum menerapkan dengan pemanfaatan sistem. Pengolahan dan analisis data di dinas kesehatan kabupaten Majalengka biasa menggunakan bantuan microsoft excel. Adapun data yang diolah terdiri dari proporsi hipertensi berdasarkan seluruh kasus PTM lainnya, baik dari semua golongan umur, maupun hanya berfokus pada usia produktif. Proporsi kasus hipertensi juga diolah dan dianalisis berdasarkan tempat, yaitu dari masing – masing puskesmas. Selain itu, cakupan layanan penderita hipertensi di tiap puskesmas, capaian dari target pelayanan, serta ketepatan pelaporan dari tiap puskesmas juga dilakukan pengolahan dan analisis. Analisis kasus dilakukan berdasarkan usia (seluruh golongan umur dan usia produktif) serta wilayah. Hasil analisis berbentuk tabel dan juga grafik.</w:t>
      </w:r>
    </w:p>
    <w:p w14:paraId="1204ABF5" w14:textId="77777777" w:rsidR="001A2225" w:rsidRPr="00A2643D" w:rsidRDefault="001A2225" w:rsidP="001A2225">
      <w:pPr>
        <w:spacing w:after="0" w:line="240" w:lineRule="auto"/>
        <w:jc w:val="both"/>
        <w:rPr>
          <w:rFonts w:ascii="Tw Cen MT" w:eastAsia="Twentieth Century" w:hAnsi="Tw Cen MT" w:cs="Twentieth Century"/>
          <w:sz w:val="24"/>
          <w:szCs w:val="24"/>
          <w:lang w:val="id-ID"/>
        </w:rPr>
      </w:pPr>
    </w:p>
    <w:p w14:paraId="5C46E607" w14:textId="77777777" w:rsidR="00A2643D" w:rsidRPr="00A2643D" w:rsidRDefault="00A2643D" w:rsidP="001A2225">
      <w:pPr>
        <w:numPr>
          <w:ilvl w:val="0"/>
          <w:numId w:val="3"/>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Interpretasi Data</w:t>
      </w:r>
    </w:p>
    <w:p w14:paraId="26F38432" w14:textId="356FE733" w:rsidR="00A2643D"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 xml:space="preserve">Interpretasi data digambarkan berdasarkan kondisi dalam suatu wilayah. Apakah proporsi tersebut menunjukkan besaran </w:t>
      </w:r>
      <w:r w:rsidRPr="00A2643D">
        <w:rPr>
          <w:rFonts w:ascii="Tw Cen MT" w:eastAsia="Twentieth Century" w:hAnsi="Tw Cen MT" w:cs="Twentieth Century"/>
          <w:sz w:val="24"/>
          <w:szCs w:val="24"/>
          <w:lang w:val="id-ID"/>
        </w:rPr>
        <w:lastRenderedPageBreak/>
        <w:t xml:space="preserve">masalah di wilayah tersebut. Selain itu, interpretasi data juga dapat dilakukan dengan menghubungkan dengan faktor lain seperti demografi, geografi, gaya hidup atau faktor lainnya </w:t>
      </w:r>
      <w:r w:rsidRPr="00A2643D">
        <w:rPr>
          <w:rFonts w:ascii="Tw Cen MT" w:eastAsia="Twentieth Century" w:hAnsi="Tw Cen MT" w:cs="Twentieth Century"/>
          <w:sz w:val="24"/>
          <w:szCs w:val="24"/>
          <w:lang w:val="id-ID"/>
        </w:rPr>
        <w:fldChar w:fldCharType="begin" w:fldLock="1"/>
      </w:r>
      <w:r w:rsidR="003B7008">
        <w:rPr>
          <w:rFonts w:ascii="Tw Cen MT" w:eastAsia="Twentieth Century" w:hAnsi="Tw Cen MT" w:cs="Twentieth Century"/>
          <w:sz w:val="24"/>
          <w:szCs w:val="24"/>
          <w:lang w:val="id-ID"/>
        </w:rPr>
        <w:instrText>ADDIN CSL_CITATION {"citationItems":[{"id":"ITEM-1","itemData":{"author":[{"dropping-particle":"","family":"Kemenkes RI","given":"","non-dropping-particle":"","parse-names":false,"suffix":""}],"id":"ITEM-1","issued":{"date-parts":[["2013"]]},"number-of-pages":"1-30","publisher-place":"Jakarta","title":"Pedoman Surveilans Penyakit Tidak Menular","type":"report"},"uris":["http://www.mendeley.com/documents/?uuid=45c850ad-b6c8-4067-801e-c01290c6adf1"]},{"id":"ITEM-2","itemData":{"ISSN":"13498037","abstract":"© 2017 Applied Microbiology, Molecular and Cellular Biosciences Research Foundation. Flammulina velutipes is a well-known edible mushroom cultivated all over the world. However, because of the low transformation frequency, the expensive instruments required, and the complicated, time-consuming procedures necessary, there is insufficient genetic research on F. velutipes. In this study, we report a liposome-mediated transformation (LMT) system for the genetic transformation of F. velutipes. Using the LMT system, we obtained 82 ± 4 stable F. velutipes transformants per 10 5 protoplasts, which is a clear increase in transformation frequency compared to the other methods used. We were able to detect the expression of an EGFP reporter gene in the F. velutipes transformants using fluorescence imaging assays. Furthermore, we used this method to transfer the laccase gene into F. velutipes and found that the transcriptional level and enzymatic activity increased in these transformants. Mitotic stability analysis showed that all of the selected transformants remained mitotically stable, even after five successive rounds of sub-culturing. These results demonstrate a new transgenic approach that will facilitate F. velutipes research.","author":[{"dropping-particle":"","family":"Kemenkes RI","given":"","non-dropping-particle":"","parse-names":false,"suffix":""}],"id":"ITEM-2","issued":{"date-parts":[["2015"]]},"number-of-pages":"358","publisher-place":"Jakarta","title":"Petunjuk Teknis Surveilans Penyakit Tidak Menular","type":"report"},"uris":["http://www.mendeley.com/documents/?uuid=4768133e-11ad-4770-8ddd-185f8a1e4087"]}],"mendeley":{"formattedCitation":"[17], [18]","plainTextFormattedCitation":"[17], [18]","previouslyFormattedCitation":"[17], [18]"},"properties":{"noteIndex":0},"schema":"https://github.com/citation-style-language/schema/raw/master/csl-citation.json"}</w:instrText>
      </w:r>
      <w:r w:rsidRPr="00A2643D">
        <w:rPr>
          <w:rFonts w:ascii="Tw Cen MT" w:eastAsia="Twentieth Century" w:hAnsi="Tw Cen MT" w:cs="Twentieth Century"/>
          <w:sz w:val="24"/>
          <w:szCs w:val="24"/>
          <w:lang w:val="id-ID"/>
        </w:rPr>
        <w:fldChar w:fldCharType="separate"/>
      </w:r>
      <w:r w:rsidRPr="00A2643D">
        <w:rPr>
          <w:rFonts w:ascii="Tw Cen MT" w:eastAsia="Twentieth Century" w:hAnsi="Tw Cen MT" w:cs="Twentieth Century"/>
          <w:noProof/>
          <w:sz w:val="24"/>
          <w:szCs w:val="24"/>
          <w:lang w:val="id-ID"/>
        </w:rPr>
        <w:t>[17], [18]</w:t>
      </w:r>
      <w:r w:rsidRPr="00A2643D">
        <w:rPr>
          <w:rFonts w:ascii="Tw Cen MT" w:eastAsia="Twentieth Century" w:hAnsi="Tw Cen MT" w:cs="Twentieth Century"/>
          <w:sz w:val="24"/>
          <w:szCs w:val="24"/>
        </w:rPr>
        <w:fldChar w:fldCharType="end"/>
      </w:r>
      <w:r w:rsidRPr="00A2643D">
        <w:rPr>
          <w:rFonts w:ascii="Tw Cen MT" w:eastAsia="Twentieth Century" w:hAnsi="Tw Cen MT" w:cs="Twentieth Century"/>
          <w:sz w:val="24"/>
          <w:szCs w:val="24"/>
          <w:lang w:val="id-ID"/>
        </w:rPr>
        <w:t>. Pelaksanaannya, interpretasi data di wilayah kabupaten Majalengka hanya dilakukan secara deskriptif, tanpa menghubungkan dengan data lainnya. Interpretasi data berbentuk narasi pengembangan dari hasil pengolahan dan analisis data. Hasil interpretasi data di wilayah kabupaten Majalengka menunjukkan bahwa hipertensi menjadi masalah utama dikarenakan kasus yang cukup tinggi dan cakupan layanan masih cukup rendah</w:t>
      </w:r>
    </w:p>
    <w:p w14:paraId="0E8A71F1" w14:textId="77777777" w:rsidR="001A2225" w:rsidRPr="00A2643D" w:rsidRDefault="001A2225" w:rsidP="001A2225">
      <w:pPr>
        <w:spacing w:after="0" w:line="240" w:lineRule="auto"/>
        <w:jc w:val="both"/>
        <w:rPr>
          <w:rFonts w:ascii="Tw Cen MT" w:eastAsia="Twentieth Century" w:hAnsi="Tw Cen MT" w:cs="Twentieth Century"/>
          <w:sz w:val="24"/>
          <w:szCs w:val="24"/>
          <w:lang w:val="id-ID"/>
        </w:rPr>
      </w:pPr>
    </w:p>
    <w:p w14:paraId="672329FC" w14:textId="77777777" w:rsidR="00A2643D" w:rsidRPr="00A2643D" w:rsidRDefault="00A2643D" w:rsidP="001A2225">
      <w:pPr>
        <w:numPr>
          <w:ilvl w:val="0"/>
          <w:numId w:val="3"/>
        </w:numPr>
        <w:spacing w:after="0" w:line="276" w:lineRule="auto"/>
        <w:ind w:left="426" w:hanging="284"/>
        <w:jc w:val="both"/>
        <w:rPr>
          <w:rFonts w:ascii="Tw Cen MT" w:eastAsia="Twentieth Century" w:hAnsi="Tw Cen MT" w:cs="Twentieth Century"/>
          <w:b/>
          <w:bCs/>
          <w:sz w:val="24"/>
          <w:szCs w:val="24"/>
          <w:lang w:val="id-ID"/>
        </w:rPr>
      </w:pPr>
      <w:r w:rsidRPr="00A2643D">
        <w:rPr>
          <w:rFonts w:ascii="Tw Cen MT" w:eastAsia="Twentieth Century" w:hAnsi="Tw Cen MT" w:cs="Twentieth Century"/>
          <w:b/>
          <w:bCs/>
          <w:sz w:val="24"/>
          <w:szCs w:val="24"/>
          <w:lang w:val="id-ID"/>
        </w:rPr>
        <w:t>Diseminasi Informasi</w:t>
      </w:r>
    </w:p>
    <w:p w14:paraId="315F052A" w14:textId="24740D3C" w:rsidR="00D93684" w:rsidRDefault="00A2643D" w:rsidP="001A2225">
      <w:pPr>
        <w:spacing w:after="0" w:line="240" w:lineRule="auto"/>
        <w:jc w:val="both"/>
        <w:rPr>
          <w:rFonts w:ascii="Tw Cen MT" w:eastAsia="Twentieth Century" w:hAnsi="Tw Cen MT" w:cs="Twentieth Century"/>
          <w:sz w:val="24"/>
          <w:szCs w:val="24"/>
          <w:lang w:val="id-ID"/>
        </w:rPr>
      </w:pPr>
      <w:r w:rsidRPr="00A2643D">
        <w:rPr>
          <w:rFonts w:ascii="Tw Cen MT" w:eastAsia="Twentieth Century" w:hAnsi="Tw Cen MT" w:cs="Twentieth Century"/>
          <w:sz w:val="24"/>
          <w:szCs w:val="24"/>
          <w:lang w:val="id-ID"/>
        </w:rPr>
        <w:t>Hasil interpretasi data dibentuk dalam sebuah laporan atau bahan untuk persentasi. DInas Kesehatan Kab. Majalengka membentuk laporan profil kesehatan setiap tahunnya sebagai bahan diseminasi informasi. Laporan kemudian dikirimkan ke unit penanggung jawab jenjang struktural tertinggi. Diseminasi informasi ditujukan kepada berbagai stakeholder terkait. Selain itu, diseminasi informasi juga dibentuk dalam bahan persentasi dalam Microsoft Power Point untuk di persentasikan pada pertemuan – pertemuan. Pertemuan ini biasa dilakukan minimal 2 kali dalam 1 tahun.  Diseminasi infromasi terkait dengan hipertensi dan PTM lainnya juga dibentuk dalam KIE yang dicetak satu tahun sekali dan disebarkan ke setiap puskesmas dan posbindu. Namun demikian, diseminasi informasi di wilayah kabupaten Majalengka belum maksimal untuk menyentuh masyarakat umum. Penyebaran informasi masih terbatas hanya pada masyarakat yang memang sering datang ke fasilitas pelayanan kesehatan maupun posbindu. Penyampaian informasi terhadap masyarakat secara luas perlu ditingkatkan dengan meningkatkan sisi promosi kesehatan.</w:t>
      </w:r>
    </w:p>
    <w:p w14:paraId="132C8E77" w14:textId="77777777" w:rsidR="001A2225" w:rsidRPr="00296EB9" w:rsidRDefault="001A2225" w:rsidP="001A2225">
      <w:pPr>
        <w:spacing w:after="0" w:line="240" w:lineRule="auto"/>
        <w:jc w:val="both"/>
        <w:rPr>
          <w:rFonts w:ascii="Tw Cen MT" w:eastAsia="Twentieth Century" w:hAnsi="Tw Cen MT" w:cs="Twentieth Century"/>
          <w:sz w:val="20"/>
          <w:szCs w:val="20"/>
        </w:rPr>
      </w:pPr>
    </w:p>
    <w:p w14:paraId="2555F6D9" w14:textId="77777777" w:rsidR="00D93684" w:rsidRPr="00296EB9" w:rsidRDefault="00B43B99">
      <w:pPr>
        <w:spacing w:after="0" w:line="360" w:lineRule="auto"/>
        <w:jc w:val="both"/>
        <w:rPr>
          <w:rFonts w:ascii="Tw Cen MT" w:eastAsia="Twentieth Century" w:hAnsi="Tw Cen MT" w:cs="Twentieth Century"/>
        </w:rPr>
      </w:pPr>
      <w:r w:rsidRPr="00296EB9">
        <w:rPr>
          <w:rFonts w:ascii="Tw Cen MT" w:eastAsia="Twentieth Century" w:hAnsi="Tw Cen MT" w:cs="Twentieth Century"/>
          <w:b/>
          <w:sz w:val="24"/>
          <w:szCs w:val="24"/>
        </w:rPr>
        <w:t>SIMPULAN</w:t>
      </w:r>
    </w:p>
    <w:p w14:paraId="6DEBAD75" w14:textId="24A7486C" w:rsidR="00D93684" w:rsidRDefault="001A2225" w:rsidP="001A2225">
      <w:pPr>
        <w:spacing w:after="0" w:line="240" w:lineRule="auto"/>
        <w:jc w:val="both"/>
        <w:rPr>
          <w:rFonts w:ascii="Tw Cen MT" w:eastAsia="Twentieth Century" w:hAnsi="Tw Cen MT" w:cs="Twentieth Century"/>
          <w:sz w:val="24"/>
          <w:szCs w:val="24"/>
        </w:rPr>
      </w:pPr>
      <w:proofErr w:type="spellStart"/>
      <w:r w:rsidRPr="001A2225">
        <w:rPr>
          <w:rFonts w:ascii="Tw Cen MT" w:eastAsia="Twentieth Century" w:hAnsi="Tw Cen MT" w:cs="Twentieth Century"/>
          <w:sz w:val="24"/>
          <w:szCs w:val="24"/>
        </w:rPr>
        <w:t>Pelaksanaan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surveilans</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hipertensi</w:t>
      </w:r>
      <w:proofErr w:type="spellEnd"/>
      <w:r w:rsidRPr="001A2225">
        <w:rPr>
          <w:rFonts w:ascii="Tw Cen MT" w:eastAsia="Twentieth Century" w:hAnsi="Tw Cen MT" w:cs="Twentieth Century"/>
          <w:sz w:val="24"/>
          <w:szCs w:val="24"/>
        </w:rPr>
        <w:t xml:space="preserve"> </w:t>
      </w:r>
      <w:r w:rsidRPr="001A2225">
        <w:rPr>
          <w:rFonts w:ascii="Tw Cen MT" w:eastAsia="Twentieth Century" w:hAnsi="Tw Cen MT" w:cs="Twentieth Century"/>
          <w:sz w:val="24"/>
          <w:szCs w:val="24"/>
          <w:lang w:val="id-ID"/>
        </w:rPr>
        <w:t xml:space="preserve">di Dinas Kesehatan Kabupaten Majalengka </w:t>
      </w:r>
      <w:proofErr w:type="spellStart"/>
      <w:r w:rsidRPr="001A2225">
        <w:rPr>
          <w:rFonts w:ascii="Tw Cen MT" w:eastAsia="Twentieth Century" w:hAnsi="Tw Cen MT" w:cs="Twentieth Century"/>
          <w:sz w:val="24"/>
          <w:szCs w:val="24"/>
        </w:rPr>
        <w:t>mencakup</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pengumpulan</w:t>
      </w:r>
      <w:proofErr w:type="spellEnd"/>
      <w:r w:rsidRPr="001A2225">
        <w:rPr>
          <w:rFonts w:ascii="Tw Cen MT" w:eastAsia="Twentieth Century" w:hAnsi="Tw Cen MT" w:cs="Twentieth Century"/>
          <w:sz w:val="24"/>
          <w:szCs w:val="24"/>
        </w:rPr>
        <w:t xml:space="preserve"> data, </w:t>
      </w:r>
      <w:proofErr w:type="spellStart"/>
      <w:r w:rsidRPr="001A2225">
        <w:rPr>
          <w:rFonts w:ascii="Tw Cen MT" w:eastAsia="Twentieth Century" w:hAnsi="Tw Cen MT" w:cs="Twentieth Century"/>
          <w:sz w:val="24"/>
          <w:szCs w:val="24"/>
        </w:rPr>
        <w:t>pengolahan</w:t>
      </w:r>
      <w:proofErr w:type="spellEnd"/>
      <w:r w:rsidRPr="001A2225">
        <w:rPr>
          <w:rFonts w:ascii="Tw Cen MT" w:eastAsia="Twentieth Century" w:hAnsi="Tw Cen MT" w:cs="Twentieth Century"/>
          <w:sz w:val="24"/>
          <w:szCs w:val="24"/>
        </w:rPr>
        <w:t xml:space="preserve"> dan </w:t>
      </w:r>
      <w:proofErr w:type="spellStart"/>
      <w:r w:rsidRPr="001A2225">
        <w:rPr>
          <w:rFonts w:ascii="Tw Cen MT" w:eastAsia="Twentieth Century" w:hAnsi="Tw Cen MT" w:cs="Twentieth Century"/>
          <w:sz w:val="24"/>
          <w:szCs w:val="24"/>
        </w:rPr>
        <w:t>analisis</w:t>
      </w:r>
      <w:proofErr w:type="spellEnd"/>
      <w:r w:rsidRPr="001A2225">
        <w:rPr>
          <w:rFonts w:ascii="Tw Cen MT" w:eastAsia="Twentieth Century" w:hAnsi="Tw Cen MT" w:cs="Twentieth Century"/>
          <w:sz w:val="24"/>
          <w:szCs w:val="24"/>
        </w:rPr>
        <w:t xml:space="preserve"> data, </w:t>
      </w:r>
      <w:proofErr w:type="spellStart"/>
      <w:r w:rsidRPr="001A2225">
        <w:rPr>
          <w:rFonts w:ascii="Tw Cen MT" w:eastAsia="Twentieth Century" w:hAnsi="Tw Cen MT" w:cs="Twentieth Century"/>
          <w:sz w:val="24"/>
          <w:szCs w:val="24"/>
        </w:rPr>
        <w:t>interpretasi</w:t>
      </w:r>
      <w:proofErr w:type="spellEnd"/>
      <w:r w:rsidRPr="001A2225">
        <w:rPr>
          <w:rFonts w:ascii="Tw Cen MT" w:eastAsia="Twentieth Century" w:hAnsi="Tw Cen MT" w:cs="Twentieth Century"/>
          <w:sz w:val="24"/>
          <w:szCs w:val="24"/>
        </w:rPr>
        <w:t xml:space="preserve"> data </w:t>
      </w:r>
      <w:proofErr w:type="spellStart"/>
      <w:r w:rsidRPr="001A2225">
        <w:rPr>
          <w:rFonts w:ascii="Tw Cen MT" w:eastAsia="Twentieth Century" w:hAnsi="Tw Cen MT" w:cs="Twentieth Century"/>
          <w:sz w:val="24"/>
          <w:szCs w:val="24"/>
        </w:rPr>
        <w:t>serta</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diseminasi</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informasi</w:t>
      </w:r>
      <w:proofErr w:type="spellEnd"/>
      <w:r w:rsidRPr="001A2225">
        <w:rPr>
          <w:rFonts w:ascii="Tw Cen MT" w:eastAsia="Twentieth Century" w:hAnsi="Tw Cen MT" w:cs="Twentieth Century"/>
          <w:sz w:val="24"/>
          <w:szCs w:val="24"/>
        </w:rPr>
        <w:t xml:space="preserve">. Data yang </w:t>
      </w:r>
      <w:proofErr w:type="spellStart"/>
      <w:r w:rsidRPr="001A2225">
        <w:rPr>
          <w:rFonts w:ascii="Tw Cen MT" w:eastAsia="Twentieth Century" w:hAnsi="Tw Cen MT" w:cs="Twentieth Century"/>
          <w:sz w:val="24"/>
          <w:szCs w:val="24"/>
        </w:rPr>
        <w:t>dikumpulkan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meliputi</w:t>
      </w:r>
      <w:proofErr w:type="spellEnd"/>
      <w:r w:rsidRPr="001A2225">
        <w:rPr>
          <w:rFonts w:ascii="Tw Cen MT" w:eastAsia="Twentieth Century" w:hAnsi="Tw Cen MT" w:cs="Twentieth Century"/>
          <w:sz w:val="24"/>
          <w:szCs w:val="24"/>
        </w:rPr>
        <w:t xml:space="preserve"> data </w:t>
      </w:r>
      <w:proofErr w:type="spellStart"/>
      <w:r w:rsidRPr="001A2225">
        <w:rPr>
          <w:rFonts w:ascii="Tw Cen MT" w:eastAsia="Twentieth Century" w:hAnsi="Tw Cen MT" w:cs="Twentieth Century"/>
          <w:sz w:val="24"/>
          <w:szCs w:val="24"/>
        </w:rPr>
        <w:t>faktor</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risiko</w:t>
      </w:r>
      <w:proofErr w:type="spellEnd"/>
      <w:r w:rsidRPr="001A2225">
        <w:rPr>
          <w:rFonts w:ascii="Tw Cen MT" w:eastAsia="Twentieth Century" w:hAnsi="Tw Cen MT" w:cs="Twentieth Century"/>
          <w:sz w:val="24"/>
          <w:szCs w:val="24"/>
        </w:rPr>
        <w:t xml:space="preserve"> dan juga </w:t>
      </w:r>
      <w:proofErr w:type="spellStart"/>
      <w:r w:rsidRPr="001A2225">
        <w:rPr>
          <w:rFonts w:ascii="Tw Cen MT" w:eastAsia="Twentieth Century" w:hAnsi="Tw Cen MT" w:cs="Twentieth Century"/>
          <w:sz w:val="24"/>
          <w:szCs w:val="24"/>
        </w:rPr>
        <w:t>kasus</w:t>
      </w:r>
      <w:proofErr w:type="spellEnd"/>
      <w:r w:rsidRPr="001A2225">
        <w:rPr>
          <w:rFonts w:ascii="Tw Cen MT" w:eastAsia="Twentieth Century" w:hAnsi="Tw Cen MT" w:cs="Twentieth Century"/>
          <w:sz w:val="24"/>
          <w:szCs w:val="24"/>
        </w:rPr>
        <w:t xml:space="preserve"> yang </w:t>
      </w:r>
      <w:proofErr w:type="spellStart"/>
      <w:r w:rsidRPr="001A2225">
        <w:rPr>
          <w:rFonts w:ascii="Tw Cen MT" w:eastAsia="Twentieth Century" w:hAnsi="Tw Cen MT" w:cs="Twentieth Century"/>
          <w:sz w:val="24"/>
          <w:szCs w:val="24"/>
        </w:rPr>
        <w:t>diperoleh</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dari</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posbindu</w:t>
      </w:r>
      <w:proofErr w:type="spellEnd"/>
      <w:r w:rsidRPr="001A2225">
        <w:rPr>
          <w:rFonts w:ascii="Tw Cen MT" w:eastAsia="Twentieth Century" w:hAnsi="Tw Cen MT" w:cs="Twentieth Century"/>
          <w:sz w:val="24"/>
          <w:szCs w:val="24"/>
          <w:lang w:val="id-ID"/>
        </w:rPr>
        <w:t>,</w:t>
      </w:r>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puskesmas</w:t>
      </w:r>
      <w:proofErr w:type="spellEnd"/>
      <w:r w:rsidRPr="001A2225">
        <w:rPr>
          <w:rFonts w:ascii="Tw Cen MT" w:eastAsia="Twentieth Century" w:hAnsi="Tw Cen MT" w:cs="Twentieth Century"/>
          <w:sz w:val="24"/>
          <w:szCs w:val="24"/>
          <w:lang w:val="id-ID"/>
        </w:rPr>
        <w:t xml:space="preserve"> dan jejaringnya serta rumah sakit</w:t>
      </w:r>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Pengolahan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analisis</w:t>
      </w:r>
      <w:proofErr w:type="spellEnd"/>
      <w:r w:rsidRPr="001A2225">
        <w:rPr>
          <w:rFonts w:ascii="Tw Cen MT" w:eastAsia="Twentieth Century" w:hAnsi="Tw Cen MT" w:cs="Twentieth Century"/>
          <w:sz w:val="24"/>
          <w:szCs w:val="24"/>
        </w:rPr>
        <w:t xml:space="preserve"> dan </w:t>
      </w:r>
      <w:proofErr w:type="spellStart"/>
      <w:r w:rsidRPr="001A2225">
        <w:rPr>
          <w:rFonts w:ascii="Tw Cen MT" w:eastAsia="Twentieth Century" w:hAnsi="Tw Cen MT" w:cs="Twentieth Century"/>
          <w:sz w:val="24"/>
          <w:szCs w:val="24"/>
        </w:rPr>
        <w:t>interpretasi</w:t>
      </w:r>
      <w:proofErr w:type="spellEnd"/>
      <w:r w:rsidRPr="001A2225">
        <w:rPr>
          <w:rFonts w:ascii="Tw Cen MT" w:eastAsia="Twentieth Century" w:hAnsi="Tw Cen MT" w:cs="Twentieth Century"/>
          <w:sz w:val="24"/>
          <w:szCs w:val="24"/>
        </w:rPr>
        <w:t xml:space="preserve"> data </w:t>
      </w:r>
      <w:proofErr w:type="spellStart"/>
      <w:r w:rsidRPr="001A2225">
        <w:rPr>
          <w:rFonts w:ascii="Tw Cen MT" w:eastAsia="Twentieth Century" w:hAnsi="Tw Cen MT" w:cs="Twentieth Century"/>
          <w:sz w:val="24"/>
          <w:szCs w:val="24"/>
        </w:rPr>
        <w:t>dilakukan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secara</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deskriptif</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Diseminasi</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informasi</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dibentuk</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laporan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bahan</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persentasi</w:t>
      </w:r>
      <w:proofErr w:type="spellEnd"/>
      <w:r w:rsidRPr="001A2225">
        <w:rPr>
          <w:rFonts w:ascii="Tw Cen MT" w:eastAsia="Twentieth Century" w:hAnsi="Tw Cen MT" w:cs="Twentieth Century"/>
          <w:sz w:val="24"/>
          <w:szCs w:val="24"/>
        </w:rPr>
        <w:t xml:space="preserve"> </w:t>
      </w:r>
      <w:proofErr w:type="spellStart"/>
      <w:r w:rsidRPr="001A2225">
        <w:rPr>
          <w:rFonts w:ascii="Tw Cen MT" w:eastAsia="Twentieth Century" w:hAnsi="Tw Cen MT" w:cs="Twentieth Century"/>
          <w:sz w:val="24"/>
          <w:szCs w:val="24"/>
        </w:rPr>
        <w:t>serta</w:t>
      </w:r>
      <w:proofErr w:type="spellEnd"/>
      <w:r w:rsidRPr="001A2225">
        <w:rPr>
          <w:rFonts w:ascii="Tw Cen MT" w:eastAsia="Twentieth Century" w:hAnsi="Tw Cen MT" w:cs="Twentieth Century"/>
          <w:sz w:val="24"/>
          <w:szCs w:val="24"/>
        </w:rPr>
        <w:t xml:space="preserve"> KIE</w:t>
      </w:r>
      <w:r w:rsidRPr="001A2225">
        <w:rPr>
          <w:rFonts w:ascii="Tw Cen MT" w:eastAsia="Twentieth Century" w:hAnsi="Tw Cen MT" w:cs="Twentieth Century"/>
          <w:sz w:val="24"/>
          <w:szCs w:val="24"/>
          <w:lang w:val="id-ID"/>
        </w:rPr>
        <w:t>. Pelaksanaan surveilans hipertensi di Dinas Kesehatan Kabupaten Majalengka telah sesuai dengan standar pedoman surveilans PTM dari pusat. Namun masih terdapat beberapa kendala sepeti jejaring surveilans yang belum optimal yang menyebabkan pelayanan hipertensi masih cukup rendah</w:t>
      </w:r>
      <w:r w:rsidR="00B43B99" w:rsidRPr="00296EB9">
        <w:rPr>
          <w:rFonts w:ascii="Tw Cen MT" w:eastAsia="Twentieth Century" w:hAnsi="Tw Cen MT" w:cs="Twentieth Century"/>
          <w:sz w:val="24"/>
          <w:szCs w:val="24"/>
        </w:rPr>
        <w:t>.</w:t>
      </w:r>
    </w:p>
    <w:p w14:paraId="40921773" w14:textId="77777777" w:rsidR="001A2225" w:rsidRPr="00296EB9" w:rsidRDefault="001A2225" w:rsidP="001A2225">
      <w:pPr>
        <w:spacing w:after="0" w:line="240" w:lineRule="auto"/>
        <w:jc w:val="both"/>
        <w:rPr>
          <w:rFonts w:ascii="Tw Cen MT" w:eastAsia="Twentieth Century" w:hAnsi="Tw Cen MT" w:cs="Twentieth Century"/>
        </w:rPr>
      </w:pPr>
    </w:p>
    <w:p w14:paraId="056A5E6A" w14:textId="77777777" w:rsidR="00D93684" w:rsidRPr="00296EB9" w:rsidRDefault="00B43B99">
      <w:pPr>
        <w:tabs>
          <w:tab w:val="left" w:pos="426"/>
        </w:tabs>
        <w:spacing w:after="0"/>
        <w:jc w:val="both"/>
        <w:rPr>
          <w:rFonts w:ascii="Tw Cen MT" w:eastAsia="Twentieth Century" w:hAnsi="Tw Cen MT" w:cs="Twentieth Century"/>
          <w:b/>
          <w:sz w:val="24"/>
          <w:szCs w:val="24"/>
        </w:rPr>
      </w:pPr>
      <w:r w:rsidRPr="00296EB9">
        <w:rPr>
          <w:rFonts w:ascii="Tw Cen MT" w:eastAsia="Twentieth Century" w:hAnsi="Tw Cen MT" w:cs="Twentieth Century"/>
          <w:b/>
          <w:sz w:val="24"/>
          <w:szCs w:val="24"/>
        </w:rPr>
        <w:t xml:space="preserve">UCAPAN TERIMA KASIH </w:t>
      </w:r>
    </w:p>
    <w:p w14:paraId="5CB4B431" w14:textId="39602385" w:rsidR="00D93684" w:rsidRPr="00296EB9" w:rsidRDefault="001A2225" w:rsidP="001A2225">
      <w:pPr>
        <w:tabs>
          <w:tab w:val="left" w:pos="426"/>
        </w:tabs>
        <w:spacing w:after="0" w:line="240" w:lineRule="auto"/>
        <w:jc w:val="both"/>
        <w:rPr>
          <w:rFonts w:ascii="Tw Cen MT" w:eastAsia="Twentieth Century" w:hAnsi="Tw Cen MT" w:cs="Twentieth Century"/>
          <w:sz w:val="24"/>
          <w:szCs w:val="24"/>
        </w:rPr>
      </w:pPr>
      <w:r>
        <w:rPr>
          <w:rFonts w:ascii="Tw Cen MT" w:hAnsi="Tw Cen MT"/>
          <w:sz w:val="24"/>
          <w:szCs w:val="24"/>
          <w:lang w:val="id-ID"/>
        </w:rPr>
        <w:t>Penulis mengucapkan terimakasih kepada seluruh staf Dinas Kesehatan Kabupaten Majalengka, khususnya staf seksi P2PTM dan Keswa yang telah membina penulis serta membantu dalam proses pengumpulan data.</w:t>
      </w:r>
    </w:p>
    <w:p w14:paraId="1B7191AC" w14:textId="77777777" w:rsidR="00D93684" w:rsidRPr="00296EB9" w:rsidRDefault="00D93684">
      <w:pPr>
        <w:spacing w:after="0" w:line="240" w:lineRule="auto"/>
        <w:jc w:val="both"/>
        <w:rPr>
          <w:rFonts w:ascii="Tw Cen MT" w:eastAsia="Twentieth Century" w:hAnsi="Tw Cen MT" w:cs="Twentieth Century"/>
          <w:b/>
          <w:sz w:val="24"/>
          <w:szCs w:val="24"/>
        </w:rPr>
      </w:pPr>
    </w:p>
    <w:p w14:paraId="4F9988CA" w14:textId="5A18D889" w:rsidR="003B7008" w:rsidRDefault="003B7008" w:rsidP="003B7008">
      <w:pPr>
        <w:tabs>
          <w:tab w:val="left" w:pos="567"/>
        </w:tabs>
        <w:spacing w:after="0"/>
        <w:jc w:val="both"/>
        <w:rPr>
          <w:rFonts w:ascii="Tw Cen MT" w:hAnsi="Tw Cen MT"/>
          <w:b/>
          <w:bCs/>
          <w:sz w:val="24"/>
          <w:szCs w:val="24"/>
          <w:lang w:val="id-ID"/>
        </w:rPr>
      </w:pPr>
      <w:r>
        <w:rPr>
          <w:rFonts w:ascii="Tw Cen MT" w:hAnsi="Tw Cen MT"/>
          <w:b/>
          <w:bCs/>
          <w:sz w:val="24"/>
          <w:szCs w:val="24"/>
          <w:lang w:val="id-ID"/>
        </w:rPr>
        <w:t xml:space="preserve">DAFTAR </w:t>
      </w:r>
      <w:commentRangeStart w:id="7"/>
      <w:r>
        <w:rPr>
          <w:rFonts w:ascii="Tw Cen MT" w:hAnsi="Tw Cen MT"/>
          <w:b/>
          <w:bCs/>
          <w:sz w:val="24"/>
          <w:szCs w:val="24"/>
          <w:lang w:val="id-ID"/>
        </w:rPr>
        <w:t>PUSTAKA</w:t>
      </w:r>
      <w:commentRangeEnd w:id="7"/>
      <w:r>
        <w:rPr>
          <w:rStyle w:val="CommentReference"/>
        </w:rPr>
        <w:commentReference w:id="7"/>
      </w:r>
    </w:p>
    <w:p w14:paraId="26EE5929" w14:textId="057552DF"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Pr>
          <w:rFonts w:ascii="Tw Cen MT" w:eastAsia="Twentieth Century" w:hAnsi="Tw Cen MT" w:cs="Twentieth Century"/>
          <w:sz w:val="24"/>
          <w:szCs w:val="24"/>
        </w:rPr>
        <w:fldChar w:fldCharType="begin" w:fldLock="1"/>
      </w:r>
      <w:r>
        <w:rPr>
          <w:rFonts w:ascii="Tw Cen MT" w:eastAsia="Twentieth Century" w:hAnsi="Tw Cen MT" w:cs="Twentieth Century"/>
          <w:sz w:val="24"/>
          <w:szCs w:val="24"/>
        </w:rPr>
        <w:instrText xml:space="preserve">ADDIN Mendeley Bibliography CSL_BIBLIOGRAPHY </w:instrText>
      </w:r>
      <w:r>
        <w:rPr>
          <w:rFonts w:ascii="Tw Cen MT" w:eastAsia="Twentieth Century" w:hAnsi="Tw Cen MT" w:cs="Twentieth Century"/>
          <w:sz w:val="24"/>
          <w:szCs w:val="24"/>
        </w:rPr>
        <w:fldChar w:fldCharType="separate"/>
      </w:r>
      <w:r w:rsidRPr="003B7008">
        <w:rPr>
          <w:rFonts w:ascii="Tw Cen MT" w:hAnsi="Tw Cen MT" w:cs="Times New Roman"/>
          <w:noProof/>
          <w:sz w:val="24"/>
          <w:szCs w:val="24"/>
        </w:rPr>
        <w:t>[1]</w:t>
      </w:r>
      <w:r w:rsidRPr="003B7008">
        <w:rPr>
          <w:rFonts w:ascii="Tw Cen MT" w:hAnsi="Tw Cen MT" w:cs="Times New Roman"/>
          <w:noProof/>
          <w:sz w:val="24"/>
          <w:szCs w:val="24"/>
        </w:rPr>
        <w:tab/>
        <w:t>WHO, “Noncommunicable Diseases Country Profiles 2011,” France, 2011.</w:t>
      </w:r>
    </w:p>
    <w:p w14:paraId="20DF2FD8"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[2]</w:t>
      </w:r>
      <w:r w:rsidRPr="003B7008">
        <w:rPr>
          <w:rFonts w:ascii="Tw Cen MT" w:hAnsi="Tw Cen MT" w:cs="Times New Roman"/>
          <w:noProof/>
          <w:sz w:val="24"/>
          <w:szCs w:val="24"/>
        </w:rPr>
        <w:tab/>
        <w:t>WHO, “Noncommunicable Disease Country Profiles 2018,” Swi, 2018. doi: 10.1002/9781119097136.part5.</w:t>
      </w:r>
    </w:p>
    <w:p w14:paraId="2D3B42EB"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[3]</w:t>
      </w:r>
      <w:r w:rsidRPr="003B7008">
        <w:rPr>
          <w:rFonts w:ascii="Tw Cen MT" w:hAnsi="Tw Cen MT" w:cs="Times New Roman"/>
          <w:noProof/>
          <w:sz w:val="24"/>
          <w:szCs w:val="24"/>
        </w:rPr>
        <w:tab/>
        <w:t xml:space="preserve">WHO, “Raised blood pressure (SBP ≥ 140 or DBP ≥ 90) (Age-Standardized Estimate),” </w:t>
      </w:r>
      <w:r w:rsidRPr="003B7008">
        <w:rPr>
          <w:rFonts w:ascii="Tw Cen MT" w:hAnsi="Tw Cen MT" w:cs="Times New Roman"/>
          <w:i/>
          <w:iCs/>
          <w:noProof/>
          <w:sz w:val="24"/>
          <w:szCs w:val="24"/>
        </w:rPr>
        <w:t>World Health Organization</w:t>
      </w:r>
      <w:r w:rsidRPr="003B7008">
        <w:rPr>
          <w:rFonts w:ascii="Tw Cen MT" w:hAnsi="Tw Cen MT" w:cs="Times New Roman"/>
          <w:noProof/>
          <w:sz w:val="24"/>
          <w:szCs w:val="24"/>
        </w:rPr>
        <w:t>, 2017. https://www.who.int/data/gho/data/indicators/indicator-details/GHO/raised-blood-pressure-(sbp-=140-or-dbp-=90)-(age-standardized-estimate) (accessed Feb. 02, 2021).</w:t>
      </w:r>
    </w:p>
    <w:p w14:paraId="5582F5DB"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[4]</w:t>
      </w:r>
      <w:r w:rsidRPr="003B7008">
        <w:rPr>
          <w:rFonts w:ascii="Tw Cen MT" w:hAnsi="Tw Cen MT" w:cs="Times New Roman"/>
          <w:noProof/>
          <w:sz w:val="24"/>
          <w:szCs w:val="24"/>
        </w:rPr>
        <w:tab/>
        <w:t xml:space="preserve">Kemenkes RI, “Riset Kesehatan Dasar 2013,” Badan Penelitian dan </w:t>
      </w:r>
      <w:r w:rsidRPr="003B7008">
        <w:rPr>
          <w:rFonts w:ascii="Tw Cen MT" w:hAnsi="Tw Cen MT" w:cs="Times New Roman"/>
          <w:noProof/>
          <w:sz w:val="24"/>
          <w:szCs w:val="24"/>
        </w:rPr>
        <w:lastRenderedPageBreak/>
        <w:t>Pengembangan Kesehatan Departemen Kesehatan Republik Indonesia, Jakarta, 2013. doi: 10.1007/s13398-014-0173-7.2.</w:t>
      </w:r>
    </w:p>
    <w:p w14:paraId="1C1EAD26" w14:textId="220DDACC"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[5]</w:t>
      </w:r>
      <w:r w:rsidRPr="003B7008">
        <w:rPr>
          <w:rFonts w:ascii="Tw Cen MT" w:hAnsi="Tw Cen MT" w:cs="Times New Roman"/>
          <w:noProof/>
          <w:sz w:val="24"/>
          <w:szCs w:val="24"/>
        </w:rPr>
        <w:tab/>
        <w:t xml:space="preserve">Kemenkes RI, “Laporan Nasional Riskesdas 2018,” Jakarta, 2019. </w:t>
      </w:r>
    </w:p>
    <w:p w14:paraId="5FE5556F"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[6]</w:t>
      </w:r>
      <w:r w:rsidRPr="003B7008">
        <w:rPr>
          <w:rFonts w:ascii="Tw Cen MT" w:hAnsi="Tw Cen MT" w:cs="Times New Roman"/>
          <w:noProof/>
          <w:sz w:val="24"/>
          <w:szCs w:val="24"/>
        </w:rPr>
        <w:tab/>
        <w:t>Kemenkes RI, “Laporan Provinsi Jawa Barat Riskesdas 2018,” Jakarta, 2019.</w:t>
      </w:r>
    </w:p>
    <w:p w14:paraId="7C0B59DD"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[7]</w:t>
      </w:r>
      <w:r w:rsidRPr="003B7008">
        <w:rPr>
          <w:rFonts w:ascii="Tw Cen MT" w:hAnsi="Tw Cen MT" w:cs="Times New Roman"/>
          <w:noProof/>
          <w:sz w:val="24"/>
          <w:szCs w:val="24"/>
        </w:rPr>
        <w:tab/>
        <w:t>Dinkes Majalengka, “Laporan Penyakit Tidak Menular Dinkes Majalengka Tahun 2020,” Majalengka, 2021.</w:t>
      </w:r>
    </w:p>
    <w:p w14:paraId="5A836B9E"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[8]</w:t>
      </w:r>
      <w:r w:rsidRPr="003B7008">
        <w:rPr>
          <w:rFonts w:ascii="Tw Cen MT" w:hAnsi="Tw Cen MT" w:cs="Times New Roman"/>
          <w:noProof/>
          <w:sz w:val="24"/>
          <w:szCs w:val="24"/>
        </w:rPr>
        <w:tab/>
        <w:t xml:space="preserve">Menkes RI, </w:t>
      </w:r>
      <w:r w:rsidRPr="003B7008">
        <w:rPr>
          <w:rFonts w:ascii="Tw Cen MT" w:hAnsi="Tw Cen MT" w:cs="Times New Roman"/>
          <w:i/>
          <w:iCs/>
          <w:noProof/>
          <w:sz w:val="24"/>
          <w:szCs w:val="24"/>
        </w:rPr>
        <w:t>Peraturan Menteri Kesehatan Republik Indonesia Nomor 45 Tahun 2014 Tentang Penyelenggaraan Surveilans Kesehatan</w:t>
      </w:r>
      <w:r w:rsidRPr="003B7008">
        <w:rPr>
          <w:rFonts w:ascii="Tw Cen MT" w:hAnsi="Tw Cen MT" w:cs="Times New Roman"/>
          <w:noProof/>
          <w:sz w:val="24"/>
          <w:szCs w:val="24"/>
        </w:rPr>
        <w:t>. 2014.</w:t>
      </w:r>
    </w:p>
    <w:p w14:paraId="7EC481CF"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[9]</w:t>
      </w:r>
      <w:r w:rsidRPr="003B7008">
        <w:rPr>
          <w:rFonts w:ascii="Tw Cen MT" w:hAnsi="Tw Cen MT" w:cs="Times New Roman"/>
          <w:noProof/>
          <w:sz w:val="24"/>
          <w:szCs w:val="24"/>
        </w:rPr>
        <w:tab/>
        <w:t xml:space="preserve">Menkes RI, </w:t>
      </w:r>
      <w:r w:rsidRPr="003B7008">
        <w:rPr>
          <w:rFonts w:ascii="Tw Cen MT" w:hAnsi="Tw Cen MT" w:cs="Times New Roman"/>
          <w:i/>
          <w:iCs/>
          <w:noProof/>
          <w:sz w:val="24"/>
          <w:szCs w:val="24"/>
        </w:rPr>
        <w:t>Peraturan Meteri Kesehatan Republik Indonesia Nomor 49 Tahun 2016 Tentang Pengorganisasian Dinas Kesehatan Provinsi Dan Kabupaten/Kota</w:t>
      </w:r>
      <w:r w:rsidRPr="003B7008">
        <w:rPr>
          <w:rFonts w:ascii="Tw Cen MT" w:hAnsi="Tw Cen MT" w:cs="Times New Roman"/>
          <w:noProof/>
          <w:sz w:val="24"/>
          <w:szCs w:val="24"/>
        </w:rPr>
        <w:t>. 2016.</w:t>
      </w:r>
    </w:p>
    <w:p w14:paraId="53B4D43D"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[10]</w:t>
      </w:r>
      <w:r w:rsidRPr="003B7008">
        <w:rPr>
          <w:rFonts w:ascii="Tw Cen MT" w:hAnsi="Tw Cen MT" w:cs="Times New Roman"/>
          <w:noProof/>
          <w:sz w:val="24"/>
          <w:szCs w:val="24"/>
        </w:rPr>
        <w:tab/>
        <w:t>BPS, “Kabupaten Majalengka Dalam Angka 2021,” Majalengka, 2020.</w:t>
      </w:r>
    </w:p>
    <w:p w14:paraId="5B3F13AE"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[11]</w:t>
      </w:r>
      <w:r w:rsidRPr="003B7008">
        <w:rPr>
          <w:rFonts w:ascii="Tw Cen MT" w:hAnsi="Tw Cen MT" w:cs="Times New Roman"/>
          <w:noProof/>
          <w:sz w:val="24"/>
          <w:szCs w:val="24"/>
        </w:rPr>
        <w:tab/>
        <w:t>Dinkes Majalengka, “Profil Kesehatan Kesehatan Kabupaten Majalengka Tahun 2019,” Majalengka, 2020.</w:t>
      </w:r>
    </w:p>
    <w:p w14:paraId="1DE2ED27"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[12]</w:t>
      </w:r>
      <w:r w:rsidRPr="003B7008">
        <w:rPr>
          <w:rFonts w:ascii="Tw Cen MT" w:hAnsi="Tw Cen MT" w:cs="Times New Roman"/>
          <w:noProof/>
          <w:sz w:val="24"/>
          <w:szCs w:val="24"/>
        </w:rPr>
        <w:tab/>
        <w:t xml:space="preserve">BPS, “Umur Harapan Hisup Saat Lahir (UHH) (Tahun),” </w:t>
      </w:r>
      <w:r w:rsidRPr="003B7008">
        <w:rPr>
          <w:rFonts w:ascii="Tw Cen MT" w:hAnsi="Tw Cen MT" w:cs="Times New Roman"/>
          <w:i/>
          <w:iCs/>
          <w:noProof/>
          <w:sz w:val="24"/>
          <w:szCs w:val="24"/>
        </w:rPr>
        <w:t xml:space="preserve">Badan Pusat Statistik </w:t>
      </w:r>
      <w:r w:rsidRPr="003B7008">
        <w:rPr>
          <w:rFonts w:ascii="Tw Cen MT" w:hAnsi="Tw Cen MT" w:cs="Times New Roman"/>
          <w:noProof/>
          <w:sz w:val="24"/>
          <w:szCs w:val="24"/>
        </w:rPr>
        <w:t>, 2021. https://www.bps.go.id/indicator/26/414/2/-metode-baru-umur-harapan-hidup-saat-lahir-uhh-.html (accessed Apr. 01, 2021).</w:t>
      </w:r>
    </w:p>
    <w:p w14:paraId="25B0BD12"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[13]</w:t>
      </w:r>
      <w:r w:rsidRPr="003B7008">
        <w:rPr>
          <w:rFonts w:ascii="Tw Cen MT" w:hAnsi="Tw Cen MT" w:cs="Times New Roman"/>
          <w:noProof/>
          <w:sz w:val="24"/>
          <w:szCs w:val="24"/>
        </w:rPr>
        <w:tab/>
        <w:t>Dinkes Majalengka, “Target dan Capaian Program Seksi PTM dan Keswa Bidang P2P Tahun 2020,” Majalengka, 2021.</w:t>
      </w:r>
    </w:p>
    <w:p w14:paraId="08523575"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[14]</w:t>
      </w:r>
      <w:r w:rsidRPr="003B7008">
        <w:rPr>
          <w:rFonts w:ascii="Tw Cen MT" w:hAnsi="Tw Cen MT" w:cs="Times New Roman"/>
          <w:noProof/>
          <w:sz w:val="24"/>
          <w:szCs w:val="24"/>
        </w:rPr>
        <w:tab/>
        <w:t xml:space="preserve">P. A. Anindya, S. P. Jati, and N. Nandini, “Upaya Menerapkan Standar Pelayanan Minimal Di Bidang Kesehatan Pada Indikator Pelayanan Kesehatan Hipertensi Di Puskesmas Kota </w:t>
      </w:r>
      <w:r w:rsidRPr="003B7008">
        <w:rPr>
          <w:rFonts w:ascii="Tw Cen MT" w:hAnsi="Tw Cen MT" w:cs="Times New Roman"/>
          <w:noProof/>
          <w:sz w:val="24"/>
          <w:szCs w:val="24"/>
        </w:rPr>
        <w:t xml:space="preserve">Semarang,” </w:t>
      </w:r>
      <w:r w:rsidRPr="003B7008">
        <w:rPr>
          <w:rFonts w:ascii="Tw Cen MT" w:hAnsi="Tw Cen MT" w:cs="Times New Roman"/>
          <w:i/>
          <w:iCs/>
          <w:noProof/>
          <w:sz w:val="24"/>
          <w:szCs w:val="24"/>
        </w:rPr>
        <w:t>J. Kesehat. Masy.</w:t>
      </w:r>
      <w:r w:rsidRPr="003B7008">
        <w:rPr>
          <w:rFonts w:ascii="Tw Cen MT" w:hAnsi="Tw Cen MT" w:cs="Times New Roman"/>
          <w:noProof/>
          <w:sz w:val="24"/>
          <w:szCs w:val="24"/>
        </w:rPr>
        <w:t>, vol. 10, no. 2, pp. 30–33, 2020.</w:t>
      </w:r>
    </w:p>
    <w:p w14:paraId="54D97BC8"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[15]</w:t>
      </w:r>
      <w:r w:rsidRPr="003B7008">
        <w:rPr>
          <w:rFonts w:ascii="Tw Cen MT" w:hAnsi="Tw Cen MT" w:cs="Times New Roman"/>
          <w:noProof/>
          <w:sz w:val="24"/>
          <w:szCs w:val="24"/>
        </w:rPr>
        <w:tab/>
        <w:t xml:space="preserve">Y. A. N. Aliyah, “Capaian Standar Pelayanan Minimal (SPM) Bidang Kesehatan Kasus Hipertensi dan Diabetes Mellitus di Kota Bandung Tahun 2020,” </w:t>
      </w:r>
      <w:r w:rsidRPr="003B7008">
        <w:rPr>
          <w:rFonts w:ascii="Tw Cen MT" w:hAnsi="Tw Cen MT" w:cs="Times New Roman"/>
          <w:i/>
          <w:iCs/>
          <w:noProof/>
          <w:sz w:val="24"/>
          <w:szCs w:val="24"/>
        </w:rPr>
        <w:t>J. Ilmu Pemerintah. Widya Praja</w:t>
      </w:r>
      <w:r w:rsidRPr="003B7008">
        <w:rPr>
          <w:rFonts w:ascii="Tw Cen MT" w:hAnsi="Tw Cen MT" w:cs="Times New Roman"/>
          <w:noProof/>
          <w:sz w:val="24"/>
          <w:szCs w:val="24"/>
        </w:rPr>
        <w:t>, vol. 46, no. 2, pp. 355–368, 2020, doi: 10.33701/jipwp.v.</w:t>
      </w:r>
    </w:p>
    <w:p w14:paraId="366E7CED"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[16]</w:t>
      </w:r>
      <w:r w:rsidRPr="003B7008">
        <w:rPr>
          <w:rFonts w:ascii="Tw Cen MT" w:hAnsi="Tw Cen MT" w:cs="Times New Roman"/>
          <w:noProof/>
          <w:sz w:val="24"/>
          <w:szCs w:val="24"/>
        </w:rPr>
        <w:tab/>
        <w:t xml:space="preserve">M. T. Crim </w:t>
      </w:r>
      <w:r w:rsidRPr="003B7008">
        <w:rPr>
          <w:rFonts w:ascii="Tw Cen MT" w:hAnsi="Tw Cen MT" w:cs="Times New Roman"/>
          <w:i/>
          <w:iCs/>
          <w:noProof/>
          <w:sz w:val="24"/>
          <w:szCs w:val="24"/>
        </w:rPr>
        <w:t>et al.</w:t>
      </w:r>
      <w:r w:rsidRPr="003B7008">
        <w:rPr>
          <w:rFonts w:ascii="Tw Cen MT" w:hAnsi="Tw Cen MT" w:cs="Times New Roman"/>
          <w:noProof/>
          <w:sz w:val="24"/>
          <w:szCs w:val="24"/>
        </w:rPr>
        <w:t xml:space="preserve">, “National Surveillance Definitions for HypertensionPrevalence and Control Among Adults.pdf,” </w:t>
      </w:r>
      <w:r w:rsidRPr="003B7008">
        <w:rPr>
          <w:rFonts w:ascii="Tw Cen MT" w:hAnsi="Tw Cen MT" w:cs="Times New Roman"/>
          <w:i/>
          <w:iCs/>
          <w:noProof/>
          <w:sz w:val="24"/>
          <w:szCs w:val="24"/>
        </w:rPr>
        <w:t>Circ. Cardiovasc. Qual. Outcomes</w:t>
      </w:r>
      <w:r w:rsidRPr="003B7008">
        <w:rPr>
          <w:rFonts w:ascii="Tw Cen MT" w:hAnsi="Tw Cen MT" w:cs="Times New Roman"/>
          <w:noProof/>
          <w:sz w:val="24"/>
          <w:szCs w:val="24"/>
        </w:rPr>
        <w:t>, vol. 5, no. 3, pp. 343–351, 2012, doi: https://doi.org/10.1161/CIRCOUTCOMES.111.963439.</w:t>
      </w:r>
    </w:p>
    <w:p w14:paraId="47BB5EB3"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[17]</w:t>
      </w:r>
      <w:r w:rsidRPr="003B7008">
        <w:rPr>
          <w:rFonts w:ascii="Tw Cen MT" w:hAnsi="Tw Cen MT" w:cs="Times New Roman"/>
          <w:noProof/>
          <w:sz w:val="24"/>
          <w:szCs w:val="24"/>
        </w:rPr>
        <w:tab/>
        <w:t>Kemenkes RI, “Pedoman Surveilans Penyakit Tidak Menular,” Jakarta, 2013.</w:t>
      </w:r>
    </w:p>
    <w:p w14:paraId="7A2CC141"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[18]</w:t>
      </w:r>
      <w:r w:rsidRPr="003B7008">
        <w:rPr>
          <w:rFonts w:ascii="Tw Cen MT" w:hAnsi="Tw Cen MT" w:cs="Times New Roman"/>
          <w:noProof/>
          <w:sz w:val="24"/>
          <w:szCs w:val="24"/>
        </w:rPr>
        <w:tab/>
        <w:t>Kemenkes RI, “Petunjuk Teknis Surveilans Penyakit Tidak Menular,” Jakarta, 2015. [Online]. Available: http://p2ptm.kemkes.go.id/uploads/2016/10/Petunjuk-Teknis-Surveilans-Penyakit-Tidak-Menular.pdf.</w:t>
      </w:r>
    </w:p>
    <w:p w14:paraId="21FEDEB7"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cs="Times New Roman"/>
          <w:noProof/>
          <w:sz w:val="24"/>
          <w:szCs w:val="24"/>
        </w:rPr>
      </w:pPr>
      <w:r w:rsidRPr="003B7008">
        <w:rPr>
          <w:rFonts w:ascii="Tw Cen MT" w:hAnsi="Tw Cen MT" w:cs="Times New Roman"/>
          <w:noProof/>
          <w:sz w:val="24"/>
          <w:szCs w:val="24"/>
        </w:rPr>
        <w:t>[19]</w:t>
      </w:r>
      <w:r w:rsidRPr="003B7008">
        <w:rPr>
          <w:rFonts w:ascii="Tw Cen MT" w:hAnsi="Tw Cen MT" w:cs="Times New Roman"/>
          <w:noProof/>
          <w:sz w:val="24"/>
          <w:szCs w:val="24"/>
        </w:rPr>
        <w:tab/>
        <w:t xml:space="preserve">E. Rahajeng and M. Wahidin, “Evaluasi Surveilans Faktor Risiko Penyakit Tidak Menular (PTM) Berbasis Data Kegiatan ‘Posbindu PTM,’” </w:t>
      </w:r>
      <w:r w:rsidRPr="003B7008">
        <w:rPr>
          <w:rFonts w:ascii="Tw Cen MT" w:hAnsi="Tw Cen MT" w:cs="Times New Roman"/>
          <w:i/>
          <w:iCs/>
          <w:noProof/>
          <w:sz w:val="24"/>
          <w:szCs w:val="24"/>
        </w:rPr>
        <w:t>Media Penelit. dan Pengemb. Kesehat.</w:t>
      </w:r>
      <w:r w:rsidRPr="003B7008">
        <w:rPr>
          <w:rFonts w:ascii="Tw Cen MT" w:hAnsi="Tw Cen MT" w:cs="Times New Roman"/>
          <w:noProof/>
          <w:sz w:val="24"/>
          <w:szCs w:val="24"/>
        </w:rPr>
        <w:t>, vol. 30, no. 3, pp. 241–256, 2020, doi: 10.22435/mpk.v30i3.3569.</w:t>
      </w:r>
    </w:p>
    <w:p w14:paraId="49B2CEF3" w14:textId="77777777" w:rsidR="003B7008" w:rsidRPr="003B7008" w:rsidRDefault="003B7008" w:rsidP="003B7008">
      <w:pPr>
        <w:widowControl w:val="0"/>
        <w:autoSpaceDE w:val="0"/>
        <w:autoSpaceDN w:val="0"/>
        <w:adjustRightInd w:val="0"/>
        <w:spacing w:after="0" w:line="240" w:lineRule="auto"/>
        <w:ind w:left="426" w:hanging="426"/>
        <w:rPr>
          <w:rFonts w:ascii="Tw Cen MT" w:hAnsi="Tw Cen MT"/>
          <w:noProof/>
          <w:sz w:val="24"/>
        </w:rPr>
      </w:pPr>
      <w:r w:rsidRPr="003B7008">
        <w:rPr>
          <w:rFonts w:ascii="Tw Cen MT" w:hAnsi="Tw Cen MT" w:cs="Times New Roman"/>
          <w:noProof/>
          <w:sz w:val="24"/>
          <w:szCs w:val="24"/>
        </w:rPr>
        <w:t>[20]</w:t>
      </w:r>
      <w:r w:rsidRPr="003B7008">
        <w:rPr>
          <w:rFonts w:ascii="Tw Cen MT" w:hAnsi="Tw Cen MT" w:cs="Times New Roman"/>
          <w:noProof/>
          <w:sz w:val="24"/>
          <w:szCs w:val="24"/>
        </w:rPr>
        <w:tab/>
        <w:t xml:space="preserve">K. Hosni, D. Afandi, J. Yunita, D. Jepisah, and A. Hanafi, “Analisys of the Implementation of Non-Communicable Disease Control Programs in Posbindu PTM Puskesmas Rokan IV Koto I Districs Rokan Hulu,” </w:t>
      </w:r>
      <w:r w:rsidRPr="003B7008">
        <w:rPr>
          <w:rFonts w:ascii="Tw Cen MT" w:hAnsi="Tw Cen MT" w:cs="Times New Roman"/>
          <w:i/>
          <w:iCs/>
          <w:noProof/>
          <w:sz w:val="24"/>
          <w:szCs w:val="24"/>
        </w:rPr>
        <w:t>J. Kesehat. Komunitas</w:t>
      </w:r>
      <w:r w:rsidRPr="003B7008">
        <w:rPr>
          <w:rFonts w:ascii="Tw Cen MT" w:hAnsi="Tw Cen MT" w:cs="Times New Roman"/>
          <w:noProof/>
          <w:sz w:val="24"/>
          <w:szCs w:val="24"/>
        </w:rPr>
        <w:t>, vol. 6, no. 2, pp. 135–146, 2020, doi: 10.25311/keskom.vol6.iss2.438.</w:t>
      </w:r>
    </w:p>
    <w:p w14:paraId="0637F303" w14:textId="220719CB" w:rsidR="003B7008" w:rsidRPr="003B7008" w:rsidRDefault="003B7008" w:rsidP="003B7008">
      <w:pPr>
        <w:tabs>
          <w:tab w:val="left" w:pos="567"/>
        </w:tabs>
        <w:spacing w:after="0"/>
        <w:ind w:left="426" w:hanging="426"/>
        <w:jc w:val="both"/>
        <w:rPr>
          <w:rFonts w:ascii="Tw Cen MT" w:eastAsia="Twentieth Century" w:hAnsi="Tw Cen MT" w:cs="Twentieth Century"/>
          <w:sz w:val="24"/>
          <w:szCs w:val="24"/>
        </w:rPr>
      </w:pPr>
      <w:r>
        <w:rPr>
          <w:rFonts w:ascii="Tw Cen MT" w:eastAsia="Twentieth Century" w:hAnsi="Tw Cen MT" w:cs="Twentieth Century"/>
          <w:sz w:val="24"/>
          <w:szCs w:val="24"/>
        </w:rPr>
        <w:fldChar w:fldCharType="end"/>
      </w:r>
    </w:p>
    <w:p w14:paraId="641D4DAF" w14:textId="4AD85C2B" w:rsidR="00D93684" w:rsidRPr="003B7008" w:rsidRDefault="00D93684" w:rsidP="003B7008">
      <w:pPr>
        <w:spacing w:after="0" w:line="240" w:lineRule="auto"/>
        <w:jc w:val="both"/>
        <w:rPr>
          <w:rFonts w:ascii="Tw Cen MT" w:eastAsia="Twentieth Century" w:hAnsi="Tw Cen MT" w:cs="Twentieth Century"/>
          <w:sz w:val="24"/>
          <w:szCs w:val="24"/>
        </w:rPr>
        <w:sectPr w:rsidR="00D93684" w:rsidRPr="003B7008">
          <w:type w:val="continuous"/>
          <w:pgSz w:w="12240" w:h="15840"/>
          <w:pgMar w:top="1440" w:right="1440" w:bottom="1440" w:left="1440" w:header="720" w:footer="720" w:gutter="0"/>
          <w:cols w:num="2" w:space="720" w:equalWidth="0">
            <w:col w:w="4320" w:space="720"/>
            <w:col w:w="4320" w:space="0"/>
          </w:cols>
        </w:sectPr>
      </w:pPr>
    </w:p>
    <w:p w14:paraId="533A1F4B" w14:textId="4B320C90" w:rsidR="003B7008" w:rsidRPr="00296EB9" w:rsidRDefault="003B7008" w:rsidP="003B7008">
      <w:pPr>
        <w:rPr>
          <w:rFonts w:ascii="Tw Cen MT" w:eastAsia="Twentieth Century" w:hAnsi="Tw Cen MT" w:cs="Twentieth Century"/>
          <w:sz w:val="24"/>
          <w:szCs w:val="24"/>
        </w:rPr>
      </w:pPr>
    </w:p>
    <w:p w14:paraId="264DF82C" w14:textId="165A0542" w:rsidR="00D93684" w:rsidRPr="00296EB9" w:rsidRDefault="00D93684">
      <w:pPr>
        <w:spacing w:after="0"/>
        <w:jc w:val="both"/>
        <w:rPr>
          <w:rFonts w:ascii="Tw Cen MT" w:eastAsia="Twentieth Century" w:hAnsi="Tw Cen MT" w:cs="Twentieth Century"/>
          <w:sz w:val="24"/>
          <w:szCs w:val="24"/>
        </w:rPr>
      </w:pPr>
    </w:p>
    <w:sectPr w:rsidR="00D93684" w:rsidRPr="00296EB9">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Fathul Jannah" w:date="2021-06-25T15:37:00Z" w:initials="FJ">
    <w:p w14:paraId="26808851" w14:textId="77777777" w:rsidR="007A6C67" w:rsidRDefault="007A6C67" w:rsidP="007A6C67">
      <w:pPr>
        <w:pStyle w:val="CommentText"/>
      </w:pPr>
      <w:bookmarkStart w:id="3" w:name="_Hlk75783500"/>
      <w:r>
        <w:rPr>
          <w:rStyle w:val="CommentReference"/>
        </w:rPr>
        <w:annotationRef/>
      </w:r>
      <w:r>
        <w:t>Abstrak sesuai dengan template, berjumlah 150 kata</w:t>
      </w:r>
      <w:bookmarkEnd w:id="3"/>
    </w:p>
  </w:comment>
  <w:comment w:id="4" w:author="Fathul Jannah" w:date="2021-06-25T15:39:00Z" w:initials="FJ">
    <w:p w14:paraId="1651617F" w14:textId="77777777" w:rsidR="007A6C67" w:rsidRDefault="007A6C67" w:rsidP="007A6C67">
      <w:pPr>
        <w:pStyle w:val="CommentText"/>
      </w:pPr>
      <w:r>
        <w:rPr>
          <w:rStyle w:val="CommentReference"/>
        </w:rPr>
        <w:annotationRef/>
      </w:r>
      <w:r>
        <w:t>Abstrak sesuai dengan template, berjumlah 150 kata</w:t>
      </w:r>
    </w:p>
  </w:comment>
  <w:comment w:id="5" w:author="Fathul Jannah" w:date="2021-06-25T15:47:00Z" w:initials="FJ">
    <w:p w14:paraId="0ED75FCF" w14:textId="77777777" w:rsidR="00A2643D" w:rsidRDefault="00A2643D" w:rsidP="00A2643D">
      <w:pPr>
        <w:pStyle w:val="CommentText"/>
      </w:pPr>
      <w:r>
        <w:rPr>
          <w:rStyle w:val="CommentReference"/>
        </w:rPr>
        <w:annotationRef/>
      </w:r>
      <w:r>
        <w:t>Spasi artikel disesuaikan dengan template</w:t>
      </w:r>
    </w:p>
  </w:comment>
  <w:comment w:id="7" w:author="Fathul Jannah" w:date="2021-06-25T15:41:00Z" w:initials="FJ">
    <w:p w14:paraId="5B1A81AE" w14:textId="77777777" w:rsidR="003B7008" w:rsidRDefault="003B7008" w:rsidP="003B7008">
      <w:pPr>
        <w:pStyle w:val="CommentText"/>
      </w:pPr>
      <w:r>
        <w:rPr>
          <w:rStyle w:val="CommentReference"/>
        </w:rPr>
        <w:annotationRef/>
      </w:r>
      <w:r>
        <w:t>Penulisan daftar Pustaka mengikuti kaidah IEEE Style, sesuai dengan template terbaru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808851" w15:done="1"/>
  <w15:commentEx w15:paraId="1651617F" w15:done="1"/>
  <w15:commentEx w15:paraId="0ED75FCF" w15:done="1"/>
  <w15:commentEx w15:paraId="5B1A81AE"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8076D7" w16cex:dateUtc="2021-06-25T08:37:00Z"/>
  <w16cex:commentExtensible w16cex:durableId="24807738" w16cex:dateUtc="2021-06-25T08:39:00Z"/>
  <w16cex:commentExtensible w16cex:durableId="248078FF" w16cex:dateUtc="2021-06-25T08:47:00Z"/>
  <w16cex:commentExtensible w16cex:durableId="248077A0" w16cex:dateUtc="2021-06-25T08: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808851" w16cid:durableId="248076D7"/>
  <w16cid:commentId w16cid:paraId="1651617F" w16cid:durableId="24807738"/>
  <w16cid:commentId w16cid:paraId="0ED75FCF" w16cid:durableId="248078FF"/>
  <w16cid:commentId w16cid:paraId="5B1A81AE" w16cid:durableId="248077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C25B" w14:textId="77777777" w:rsidR="00FF1198" w:rsidRDefault="00FF1198">
      <w:pPr>
        <w:spacing w:after="0" w:line="240" w:lineRule="auto"/>
      </w:pPr>
      <w:r>
        <w:separator/>
      </w:r>
    </w:p>
  </w:endnote>
  <w:endnote w:type="continuationSeparator" w:id="0">
    <w:p w14:paraId="51A8018A" w14:textId="77777777" w:rsidR="00FF1198" w:rsidRDefault="00FF1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4E3EC" w14:textId="60860144" w:rsidR="00D93684" w:rsidRDefault="003B700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r>
      <w:rPr>
        <w:rFonts w:ascii="Tw Cen MT" w:hAnsi="Tw Cen MT"/>
      </w:rPr>
      <w:t>Hoirun Nisa</w:t>
    </w:r>
    <w:r>
      <w:rPr>
        <w:rFonts w:ascii="Tw Cen MT" w:hAnsi="Tw Cen MT"/>
        <w:lang w:val="id-ID"/>
      </w:rPr>
      <w:t xml:space="preserve"> </w:t>
    </w:r>
    <w:r>
      <w:rPr>
        <w:rFonts w:ascii="Tw Cen MT" w:hAnsi="Tw Cen MT"/>
        <w:lang w:val="id-ID"/>
      </w:rPr>
      <w:t xml:space="preserve">and </w:t>
    </w:r>
    <w:hyperlink r:id="rId1" w:history="1">
      <w:r w:rsidRPr="007505D8">
        <w:rPr>
          <w:rStyle w:val="Hyperlink"/>
          <w:rFonts w:ascii="Tw Cen MT" w:hAnsi="Tw Cen MT"/>
        </w:rPr>
        <w:t>hoirun.nisa@uinjkt.ac.id</w:t>
      </w:r>
    </w:hyperlink>
    <w:r w:rsidR="00B43B99">
      <w:rPr>
        <w:noProof/>
      </w:rPr>
      <mc:AlternateContent>
        <mc:Choice Requires="wpg">
          <w:drawing>
            <wp:anchor distT="0" distB="0" distL="114300" distR="114300" simplePos="0" relativeHeight="251659264" behindDoc="0" locked="0" layoutInCell="1" hidden="0" allowOverlap="1" wp14:anchorId="4805D861" wp14:editId="234ACD11">
              <wp:simplePos x="0" y="0"/>
              <wp:positionH relativeFrom="column">
                <wp:posOffset>1</wp:posOffset>
              </wp:positionH>
              <wp:positionV relativeFrom="paragraph">
                <wp:posOffset>-203199</wp:posOffset>
              </wp:positionV>
              <wp:extent cx="5956935" cy="28575"/>
              <wp:effectExtent l="0" t="0" r="0" b="0"/>
              <wp:wrapNone/>
              <wp:docPr id="62" name="Straight Arrow Connector 62"/>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-203199</wp:posOffset>
              </wp:positionV>
              <wp:extent cx="5956935" cy="28575"/>
              <wp:effectExtent b="0" l="0" r="0" t="0"/>
              <wp:wrapNone/>
              <wp:docPr id="62"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5956935" cy="28575"/>
                      </a:xfrm>
                      <a:prstGeom prst="rect"/>
                      <a:ln/>
                    </pic:spPr>
                  </pic:pic>
                </a:graphicData>
              </a:graphic>
            </wp:anchor>
          </w:drawing>
        </mc:Fallback>
      </mc:AlternateContent>
    </w:r>
  </w:p>
  <w:p w14:paraId="4868A2F6" w14:textId="77777777" w:rsidR="00D93684" w:rsidRDefault="00B43B99">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07A9D820" wp14:editId="19D4FA07">
              <wp:simplePos x="0" y="0"/>
              <wp:positionH relativeFrom="column">
                <wp:posOffset>4419600</wp:posOffset>
              </wp:positionH>
              <wp:positionV relativeFrom="paragraph">
                <wp:posOffset>0</wp:posOffset>
              </wp:positionV>
              <wp:extent cx="1518285" cy="405130"/>
              <wp:effectExtent l="0" t="0" r="0" b="0"/>
              <wp:wrapNone/>
              <wp:docPr id="59" name="Rectangle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0BFCFB7C" w14:textId="77777777"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w14:anchorId="07A9D820" id="Rectangle 59" o:spid="_x0000_s1027" style="position:absolute;margin-left:348pt;margin-top:0;width:119.5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" filled="f" stroked="f">
              <v:textbox inset="2.53958mm,1.2694mm,2.53958mm,1.2694mm">
                <w:txbxContent>
                  <w:p w14:paraId="0BFCFB7C" w14:textId="77777777" w:rsidR="00D93684" w:rsidRDefault="00B43B99">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60A4" w14:textId="77777777" w:rsidR="00FF1198" w:rsidRDefault="00FF1198">
      <w:pPr>
        <w:spacing w:after="0" w:line="240" w:lineRule="auto"/>
      </w:pPr>
      <w:r>
        <w:separator/>
      </w:r>
    </w:p>
  </w:footnote>
  <w:footnote w:type="continuationSeparator" w:id="0">
    <w:p w14:paraId="5FF91F20" w14:textId="77777777" w:rsidR="00FF1198" w:rsidRDefault="00FF1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C235B" w14:textId="77777777" w:rsidR="00D93684" w:rsidRDefault="00B43B99" w:rsidP="007A6C67">
    <w:pPr>
      <w:pBdr>
        <w:top w:val="nil"/>
        <w:left w:val="nil"/>
        <w:bottom w:val="nil"/>
        <w:right w:val="nil"/>
        <w:between w:val="nil"/>
      </w:pBdr>
      <w:tabs>
        <w:tab w:val="center" w:pos="4680"/>
        <w:tab w:val="right" w:pos="9360"/>
      </w:tabs>
      <w:spacing w:after="120" w:line="276" w:lineRule="auto"/>
      <w:rPr>
        <w:rFonts w:eastAsia="Calibri"/>
        <w:b/>
        <w:color w:val="1F497D"/>
        <w:sz w:val="28"/>
        <w:szCs w:val="28"/>
      </w:rPr>
    </w:pPr>
    <w:proofErr w:type="spellStart"/>
    <w:r>
      <w:rPr>
        <w:rFonts w:ascii="Twentieth Century" w:eastAsia="Twentieth Century" w:hAnsi="Twentieth Century" w:cs="Twentieth Century"/>
        <w:color w:val="000000"/>
        <w:sz w:val="20"/>
        <w:szCs w:val="20"/>
      </w:rPr>
      <w:t>Jurnal</w:t>
    </w:r>
    <w:proofErr w:type="spellEnd"/>
    <w:r>
      <w:rPr>
        <w:rFonts w:ascii="Twentieth Century" w:eastAsia="Twentieth Century" w:hAnsi="Twentieth Century" w:cs="Twentieth Century"/>
        <w:color w:val="000000"/>
        <w:sz w:val="20"/>
        <w:szCs w:val="20"/>
      </w:rPr>
      <w:t xml:space="preserve"> </w:t>
    </w:r>
    <w:proofErr w:type="spellStart"/>
    <w:r>
      <w:rPr>
        <w:rFonts w:ascii="Twentieth Century" w:eastAsia="Twentieth Century" w:hAnsi="Twentieth Century" w:cs="Twentieth Century"/>
        <w:color w:val="000000"/>
        <w:sz w:val="20"/>
        <w:szCs w:val="20"/>
      </w:rPr>
      <w:t>Proteksi</w:t>
    </w:r>
    <w:proofErr w:type="spellEnd"/>
    <w:r>
      <w:rPr>
        <w:rFonts w:ascii="Twentieth Century" w:eastAsia="Twentieth Century" w:hAnsi="Twentieth Century" w:cs="Twentieth Century"/>
        <w:color w:val="000000"/>
        <w:sz w:val="20"/>
        <w:szCs w:val="20"/>
      </w:rPr>
      <w:t xml:space="preserve"> Kesehatan                                                                                                                                   Vol.</w:t>
    </w:r>
    <w:r>
      <w:rPr>
        <w:rFonts w:ascii="Twentieth Century" w:eastAsia="Twentieth Century" w:hAnsi="Twentieth Century" w:cs="Twentieth Century"/>
        <w:sz w:val="20"/>
        <w:szCs w:val="20"/>
      </w:rPr>
      <w:t>10</w:t>
    </w:r>
    <w:r>
      <w:rPr>
        <w:rFonts w:ascii="Twentieth Century" w:eastAsia="Twentieth Century" w:hAnsi="Twentieth Century" w:cs="Twentieth Century"/>
        <w:color w:val="000000"/>
        <w:sz w:val="20"/>
        <w:szCs w:val="20"/>
      </w:rPr>
      <w:t>, No.</w:t>
    </w:r>
    <w:r>
      <w:rPr>
        <w:rFonts w:ascii="Twentieth Century" w:eastAsia="Twentieth Century" w:hAnsi="Twentieth Century" w:cs="Twentieth Century"/>
        <w:sz w:val="20"/>
        <w:szCs w:val="20"/>
      </w:rPr>
      <w:t>1</w:t>
    </w:r>
    <w:r>
      <w:rPr>
        <w:rFonts w:ascii="Twentieth Century" w:eastAsia="Twentieth Century" w:hAnsi="Twentieth Century" w:cs="Twentieth Century"/>
        <w:color w:val="000000"/>
        <w:sz w:val="20"/>
        <w:szCs w:val="20"/>
      </w:rPr>
      <w:t xml:space="preserve">, </w:t>
    </w:r>
    <w:r>
      <w:rPr>
        <w:rFonts w:ascii="Twentieth Century" w:eastAsia="Twentieth Century" w:hAnsi="Twentieth Century" w:cs="Twentieth Century"/>
        <w:sz w:val="20"/>
        <w:szCs w:val="20"/>
      </w:rPr>
      <w:t>Mei 2021</w:t>
    </w:r>
    <w:r>
      <w:rPr>
        <w:rFonts w:ascii="Twentieth Century" w:eastAsia="Twentieth Century" w:hAnsi="Twentieth Century" w:cs="Twentieth Century"/>
        <w:color w:val="000000"/>
        <w:sz w:val="20"/>
        <w:szCs w:val="20"/>
      </w:rPr>
      <w:t>, pp. 1-8</w:t>
    </w:r>
    <w:r>
      <w:rPr>
        <w:rFonts w:ascii="Twentieth Century" w:eastAsia="Twentieth Century" w:hAnsi="Twentieth Century" w:cs="Twentieth Century"/>
        <w:color w:val="000000"/>
        <w:sz w:val="20"/>
        <w:szCs w:val="20"/>
      </w:rPr>
      <w:tab/>
    </w:r>
    <w:r>
      <w:rPr>
        <w:rFonts w:ascii="Twentieth Century" w:eastAsia="Twentieth Century" w:hAnsi="Twentieth Century" w:cs="Twentieth Century"/>
        <w:color w:val="000000"/>
        <w:sz w:val="20"/>
        <w:szCs w:val="20"/>
      </w:rPr>
      <w:tab/>
      <w:t xml:space="preserve">                                                                                                        ISSN 2580-0191 (Online), ISSN 2338 – 5634 (Print)</w:t>
    </w:r>
  </w:p>
  <w:p w14:paraId="01554330" w14:textId="77777777" w:rsidR="00D93684" w:rsidRDefault="00B43B99">
    <w:pPr>
      <w:pBdr>
        <w:top w:val="nil"/>
        <w:left w:val="nil"/>
        <w:bottom w:val="single" w:sz="4" w:space="1" w:color="A5A5A5"/>
        <w:right w:val="nil"/>
        <w:between w:val="nil"/>
      </w:pBdr>
      <w:tabs>
        <w:tab w:val="center" w:pos="4680"/>
        <w:tab w:val="right" w:pos="9360"/>
        <w:tab w:val="left" w:pos="2580"/>
        <w:tab w:val="left" w:pos="2985"/>
      </w:tabs>
      <w:spacing w:after="120" w:line="276" w:lineRule="auto"/>
      <w:rPr>
        <w:rFonts w:eastAsia="Calibri"/>
        <w:color w:val="7F7F7F"/>
      </w:rPr>
    </w:pPr>
    <w:r>
      <w:rPr>
        <w:noProof/>
      </w:rPr>
      <mc:AlternateContent>
        <mc:Choice Requires="wpg">
          <w:drawing>
            <wp:anchor distT="0" distB="0" distL="114300" distR="114300" simplePos="0" relativeHeight="251658240" behindDoc="0" locked="0" layoutInCell="1" hidden="0" allowOverlap="1" wp14:anchorId="508FED31" wp14:editId="3C8B5342">
              <wp:simplePos x="0" y="0"/>
              <wp:positionH relativeFrom="column">
                <wp:posOffset>1</wp:posOffset>
              </wp:positionH>
              <wp:positionV relativeFrom="paragraph">
                <wp:posOffset>190500</wp:posOffset>
              </wp:positionV>
              <wp:extent cx="5956935" cy="19050"/>
              <wp:effectExtent l="0" t="0" r="0" b="0"/>
              <wp:wrapNone/>
              <wp:docPr id="57" name="Straight Arrow Connector 5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190500</wp:posOffset>
              </wp:positionV>
              <wp:extent cx="5956935" cy="19050"/>
              <wp:effectExtent b="0" l="0" r="0" t="0"/>
              <wp:wrapNone/>
              <wp:docPr id="5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6935" cy="19050"/>
                      </a:xfrm>
                      <a:prstGeom prst="rect"/>
                      <a:ln/>
                    </pic:spPr>
                  </pic:pic>
                </a:graphicData>
              </a:graphic>
            </wp:anchor>
          </w:drawing>
        </mc:Fallback>
      </mc:AlternateContent>
    </w:r>
  </w:p>
  <w:p w14:paraId="3EFF35D8" w14:textId="77777777" w:rsidR="00D93684" w:rsidRDefault="00D93684">
    <w:pPr>
      <w:pBdr>
        <w:top w:val="nil"/>
        <w:left w:val="nil"/>
        <w:bottom w:val="nil"/>
        <w:right w:val="nil"/>
        <w:between w:val="nil"/>
      </w:pBdr>
      <w:tabs>
        <w:tab w:val="center" w:pos="4680"/>
        <w:tab w:val="right" w:pos="9360"/>
      </w:tabs>
      <w:spacing w:after="0" w:line="240" w:lineRule="auto"/>
      <w:rPr>
        <w:rFonts w:eastAsia="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1D17"/>
    <w:multiLevelType w:val="hybridMultilevel"/>
    <w:tmpl w:val="6E4237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34E038CB"/>
    <w:multiLevelType w:val="hybridMultilevel"/>
    <w:tmpl w:val="5630F38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EF71441"/>
    <w:multiLevelType w:val="hybridMultilevel"/>
    <w:tmpl w:val="0346E7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thul Jannah">
    <w15:presenceInfo w15:providerId="Windows Live" w15:userId="76d3d9bb544b6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684"/>
    <w:rsid w:val="001A2225"/>
    <w:rsid w:val="00296EB9"/>
    <w:rsid w:val="00343E8F"/>
    <w:rsid w:val="003B7008"/>
    <w:rsid w:val="00573FB2"/>
    <w:rsid w:val="005D57D1"/>
    <w:rsid w:val="007721AC"/>
    <w:rsid w:val="007A6C67"/>
    <w:rsid w:val="007E292B"/>
    <w:rsid w:val="008F782C"/>
    <w:rsid w:val="00A2643D"/>
    <w:rsid w:val="00B43B99"/>
    <w:rsid w:val="00D93684"/>
    <w:rsid w:val="00D96B32"/>
    <w:rsid w:val="00FF119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B6FC2"/>
  <w15:docId w15:val="{D51929E0-C141-4CAC-B22B-2DB730483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uiPriority w:val="11"/>
    <w:qFormat/>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343E8F"/>
    <w:rPr>
      <w:sz w:val="16"/>
      <w:szCs w:val="16"/>
    </w:rPr>
  </w:style>
  <w:style w:type="paragraph" w:styleId="CommentText">
    <w:name w:val="annotation text"/>
    <w:basedOn w:val="Normal"/>
    <w:link w:val="CommentTextChar"/>
    <w:uiPriority w:val="99"/>
    <w:semiHidden/>
    <w:unhideWhenUsed/>
    <w:rsid w:val="00343E8F"/>
    <w:pPr>
      <w:spacing w:line="240" w:lineRule="auto"/>
    </w:pPr>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343E8F"/>
    <w:rPr>
      <w:rFonts w:asciiTheme="minorHAnsi" w:eastAsiaTheme="minorEastAsia" w:hAnsiTheme="minorHAnsi" w:cstheme="minorBidi"/>
      <w:sz w:val="20"/>
      <w:szCs w:val="20"/>
      <w:lang w:eastAsia="en-US"/>
    </w:rPr>
  </w:style>
  <w:style w:type="character" w:styleId="UnresolvedMention">
    <w:name w:val="Unresolved Mention"/>
    <w:basedOn w:val="DefaultParagraphFont"/>
    <w:uiPriority w:val="99"/>
    <w:semiHidden/>
    <w:unhideWhenUsed/>
    <w:rsid w:val="00343E8F"/>
    <w:rPr>
      <w:color w:val="605E5C"/>
      <w:shd w:val="clear" w:color="auto" w:fill="E1DFDD"/>
    </w:rPr>
  </w:style>
  <w:style w:type="table" w:styleId="TableGrid">
    <w:name w:val="Table Grid"/>
    <w:basedOn w:val="TableNormal"/>
    <w:uiPriority w:val="39"/>
    <w:rsid w:val="00A264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F782C"/>
    <w:rPr>
      <w:rFonts w:ascii="Calibri" w:hAnsi="Calibri" w:cs="Calibri"/>
      <w:b/>
      <w:bCs/>
      <w:lang w:eastAsia="en-ID"/>
    </w:rPr>
  </w:style>
  <w:style w:type="character" w:customStyle="1" w:styleId="CommentSubjectChar">
    <w:name w:val="Comment Subject Char"/>
    <w:basedOn w:val="CommentTextChar"/>
    <w:link w:val="CommentSubject"/>
    <w:uiPriority w:val="99"/>
    <w:semiHidden/>
    <w:rsid w:val="008F782C"/>
    <w:rPr>
      <w:rFonts w:asciiTheme="minorHAnsi" w:eastAsiaTheme="minorEastAsia" w:hAnsiTheme="minorHAnsi" w:cstheme="minorBid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8" Type="http://schemas.microsoft.com/office/2018/08/relationships/commentsExtensible" Target="commentsExtensible.xml"/><Relationship Id="rId26" Type="http://schemas.openxmlformats.org/officeDocument/2006/relationships/chart" Target="charts/chart2.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7" Type="http://schemas.microsoft.com/office/2016/09/relationships/commentsIds" Target="commentsIds.xml"/><Relationship Id="rId25" Type="http://schemas.openxmlformats.org/officeDocument/2006/relationships/image" Target="media/image3.emf"/><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chart" Target="charts/chart1.xml"/><Relationship Id="rId28" Type="http://schemas.microsoft.com/office/2011/relationships/people" Target="people.xml"/><Relationship Id="rId19" Type="http://schemas.openxmlformats.org/officeDocument/2006/relationships/image" Target="media/image5.png"/><Relationship Id="rId4" Type="http://schemas.openxmlformats.org/officeDocument/2006/relationships/styles" Target="styles.xml"/><Relationship Id="rId9" Type="http://schemas.openxmlformats.org/officeDocument/2006/relationships/hyperlink" Target="mailto:hoirun.nisa@uinjkt.ac.id" TargetMode="External"/><Relationship Id="rId14" Type="http://schemas.openxmlformats.org/officeDocument/2006/relationships/image" Target="media/image3.png"/><Relationship Id="rId22" Type="http://schemas.openxmlformats.org/officeDocument/2006/relationships/image" Target="media/image1.jpe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mailto:hoirun.nisa@uinjkt.ac.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Data%20Kuliah\Magangg\Laporan\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a%20Kuliah\Magangg\Laporan\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0ECD-474F-B044-BB40F6FA609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0ECD-474F-B044-BB40F6FA609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ECD-474F-B044-BB40F6FA609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0ECD-474F-B044-BB40F6FA609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Sheet1!$A$70:$A$73</c:f>
              <c:strCache>
                <c:ptCount val="4"/>
                <c:pt idx="0">
                  <c:v>Hipertensi</c:v>
                </c:pt>
                <c:pt idx="1">
                  <c:v>Diabetes Melitus</c:v>
                </c:pt>
                <c:pt idx="2">
                  <c:v>Ggn Kes. Jiwa</c:v>
                </c:pt>
                <c:pt idx="3">
                  <c:v>Lainnya</c:v>
                </c:pt>
              </c:strCache>
            </c:strRef>
          </c:cat>
          <c:val>
            <c:numRef>
              <c:f>Sheet1!$B$70:$B$73</c:f>
              <c:numCache>
                <c:formatCode>General</c:formatCode>
                <c:ptCount val="4"/>
                <c:pt idx="0">
                  <c:v>52542</c:v>
                </c:pt>
                <c:pt idx="1">
                  <c:v>10465</c:v>
                </c:pt>
                <c:pt idx="2">
                  <c:v>3331</c:v>
                </c:pt>
                <c:pt idx="3">
                  <c:v>9672</c:v>
                </c:pt>
              </c:numCache>
            </c:numRef>
          </c:val>
          <c:extLst>
            <c:ext xmlns:c16="http://schemas.microsoft.com/office/drawing/2014/chart" uri="{C3380CC4-5D6E-409C-BE32-E72D297353CC}">
              <c16:uniqueId val="{00000008-0ECD-474F-B044-BB40F6FA6099}"/>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92D050"/>
              </a:solidFill>
              <a:ln w="19050">
                <a:solidFill>
                  <a:schemeClr val="lt1"/>
                </a:solidFill>
              </a:ln>
              <a:effectLst/>
            </c:spPr>
            <c:extLst>
              <c:ext xmlns:c16="http://schemas.microsoft.com/office/drawing/2014/chart" uri="{C3380CC4-5D6E-409C-BE32-E72D297353CC}">
                <c16:uniqueId val="{00000001-56E2-43C4-A999-00C7E99321D8}"/>
              </c:ext>
            </c:extLst>
          </c:dPt>
          <c:dPt>
            <c:idx val="1"/>
            <c:bubble3D val="0"/>
            <c:spPr>
              <a:solidFill>
                <a:srgbClr val="FFFF00"/>
              </a:solidFill>
              <a:ln w="19050">
                <a:solidFill>
                  <a:schemeClr val="lt1"/>
                </a:solidFill>
              </a:ln>
              <a:effectLst/>
            </c:spPr>
            <c:extLst>
              <c:ext xmlns:c16="http://schemas.microsoft.com/office/drawing/2014/chart" uri="{C3380CC4-5D6E-409C-BE32-E72D297353CC}">
                <c16:uniqueId val="{00000003-56E2-43C4-A999-00C7E99321D8}"/>
              </c:ext>
            </c:extLst>
          </c:dPt>
          <c:dPt>
            <c:idx val="2"/>
            <c:bubble3D val="0"/>
            <c:spPr>
              <a:solidFill>
                <a:srgbClr val="FFC000"/>
              </a:solidFill>
              <a:ln w="19050">
                <a:solidFill>
                  <a:schemeClr val="lt1"/>
                </a:solidFill>
              </a:ln>
              <a:effectLst/>
            </c:spPr>
            <c:extLst>
              <c:ext xmlns:c16="http://schemas.microsoft.com/office/drawing/2014/chart" uri="{C3380CC4-5D6E-409C-BE32-E72D297353CC}">
                <c16:uniqueId val="{00000005-56E2-43C4-A999-00C7E99321D8}"/>
              </c:ext>
            </c:extLst>
          </c:dPt>
          <c:dPt>
            <c:idx val="3"/>
            <c:bubble3D val="0"/>
            <c:spPr>
              <a:solidFill>
                <a:srgbClr val="FF0000"/>
              </a:solidFill>
              <a:ln w="19050">
                <a:solidFill>
                  <a:schemeClr val="lt1"/>
                </a:solidFill>
              </a:ln>
              <a:effectLst/>
            </c:spPr>
            <c:extLst>
              <c:ext xmlns:c16="http://schemas.microsoft.com/office/drawing/2014/chart" uri="{C3380CC4-5D6E-409C-BE32-E72D297353CC}">
                <c16:uniqueId val="{00000007-56E2-43C4-A999-00C7E99321D8}"/>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bestFit"/>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pelaporan!$B$37:$E$37</c:f>
              <c:strCache>
                <c:ptCount val="4"/>
                <c:pt idx="0">
                  <c:v>Tgl 1 - 5</c:v>
                </c:pt>
                <c:pt idx="1">
                  <c:v>Tgl 6 - 10</c:v>
                </c:pt>
                <c:pt idx="2">
                  <c:v>Tgl 11 - Akhir Bln</c:v>
                </c:pt>
                <c:pt idx="3">
                  <c:v>Tdk Melaporkan</c:v>
                </c:pt>
              </c:strCache>
            </c:strRef>
          </c:cat>
          <c:val>
            <c:numRef>
              <c:f>pelaporan!$B$38:$E$38</c:f>
              <c:numCache>
                <c:formatCode>General</c:formatCode>
                <c:ptCount val="4"/>
                <c:pt idx="0">
                  <c:v>265</c:v>
                </c:pt>
                <c:pt idx="1">
                  <c:v>52</c:v>
                </c:pt>
                <c:pt idx="2">
                  <c:v>57</c:v>
                </c:pt>
                <c:pt idx="3">
                  <c:v>10</c:v>
                </c:pt>
              </c:numCache>
            </c:numRef>
          </c:val>
          <c:extLst>
            <c:ext xmlns:c16="http://schemas.microsoft.com/office/drawing/2014/chart" uri="{C3380CC4-5D6E-409C-BE32-E72D297353CC}">
              <c16:uniqueId val="{00000008-56E2-43C4-A999-00C7E99321D8}"/>
            </c:ext>
          </c:extLst>
        </c:ser>
        <c:dLbls>
          <c:dLblPos val="bestFit"/>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4CBnfcuJ4zaDq9dG9MqMcqUhLGw==">AMUW2mUyh8/o2Xq6ve7agCJ8PWjZZA1hD4TCVtPE2gcR+AyIjxJFDroMO3Qghbu0iFhay4K/TdhEKYmzCyoFqIHIWHW13N0uMeGwgnwyWuN8p+uMIe2r1X+KOYVZteJihnsWbbpg/0N8oUOKU11+zef+gb+hCwPB6Cib5Y5Pef/F2cOTzgExOQZrJ4sIjpajp2J8vvKL9/xs</go:docsCustomData>
</go:gDocsCustomXmlDataStorage>
</file>

<file path=customXml/itemProps1.xml><?xml version="1.0" encoding="utf-8"?>
<ds:datastoreItem xmlns:ds="http://schemas.openxmlformats.org/officeDocument/2006/customXml" ds:itemID="{409EEE16-8FA6-4CAC-BB98-6E10C5DBFDC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9529</Words>
  <Characters>54318</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Hoirun Nisa</cp:lastModifiedBy>
  <cp:revision>2</cp:revision>
  <dcterms:created xsi:type="dcterms:W3CDTF">2021-06-29T04:02:00Z</dcterms:created>
  <dcterms:modified xsi:type="dcterms:W3CDTF">2021-06-29T04:02:00Z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3de98b4c-9840-38c6-ba50-044b28627bdf</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http://www.zotero.org/styles/vancouver-superscript</vt:lpwstr>
  </property>
  <property fmtid="{D5CDD505-2E9C-101B-9397-08002B2CF9AE}" pid="24" name="Mendeley Recent Style Name 9_1">
    <vt:lpwstr>Vancouver (superscript)</vt:lpwstr>
  </property>
</Properties>
</file>