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570AD7" w:rsidP="00AC1A54">
      <w:pPr>
        <w:spacing w:after="0" w:line="240" w:lineRule="auto"/>
        <w:jc w:val="center"/>
        <w:rPr>
          <w:rFonts w:ascii="Tw Cen MT" w:eastAsia="Twentieth Century" w:hAnsi="Tw Cen MT" w:cs="Twentieth Century"/>
          <w:b/>
          <w:sz w:val="32"/>
          <w:szCs w:val="32"/>
        </w:rPr>
      </w:pPr>
      <w:r>
        <w:rPr>
          <w:rFonts w:ascii="Tw Cen MT" w:hAnsi="Tw Cen MT" w:cs="Times New Roman"/>
          <w:b/>
          <w:sz w:val="32"/>
          <w:szCs w:val="32"/>
          <w:lang w:val="id-ID"/>
        </w:rPr>
        <w:t>Relationship beetween Knowledge and Personal Hygiene Behavior during Menstruation in Adolescents</w:t>
      </w:r>
    </w:p>
    <w:p w:rsidR="00AC1A54" w:rsidRPr="00AC1A54" w:rsidRDefault="00AC1A54" w:rsidP="00AC1A54">
      <w:pPr>
        <w:spacing w:after="0" w:line="240" w:lineRule="auto"/>
        <w:jc w:val="center"/>
        <w:rPr>
          <w:rFonts w:ascii="Tw Cen MT" w:eastAsia="Twentieth Century" w:hAnsi="Tw Cen MT" w:cs="Twentieth Century"/>
          <w:b/>
          <w:sz w:val="32"/>
          <w:szCs w:val="32"/>
        </w:rPr>
      </w:pPr>
    </w:p>
    <w:p w:rsidR="00D93684" w:rsidRDefault="00570AD7" w:rsidP="00AC1A54">
      <w:pPr>
        <w:spacing w:after="0" w:line="240" w:lineRule="auto"/>
        <w:jc w:val="center"/>
        <w:rPr>
          <w:rFonts w:ascii="Tw Cen MT" w:hAnsi="Tw Cen MT" w:cs="Times New Roman"/>
          <w:b/>
          <w:i/>
          <w:sz w:val="32"/>
          <w:szCs w:val="32"/>
        </w:rPr>
      </w:pPr>
      <w:r w:rsidRPr="00BA0EC3">
        <w:rPr>
          <w:rFonts w:ascii="Tw Cen MT" w:hAnsi="Tw Cen MT" w:cs="Times New Roman"/>
          <w:b/>
          <w:sz w:val="32"/>
          <w:szCs w:val="32"/>
        </w:rPr>
        <w:t>Hubungan Pengetahuan Dengan Perilaku Personal Hygiene Sa</w:t>
      </w:r>
      <w:r>
        <w:rPr>
          <w:rFonts w:ascii="Tw Cen MT" w:hAnsi="Tw Cen MT" w:cs="Times New Roman"/>
          <w:b/>
          <w:sz w:val="32"/>
          <w:szCs w:val="32"/>
        </w:rPr>
        <w:t>at Menstruasi Pada Remaja</w:t>
      </w:r>
    </w:p>
    <w:p w:rsidR="00AC1A54" w:rsidRDefault="00AC1A54" w:rsidP="00AC1A54">
      <w:pPr>
        <w:spacing w:after="0" w:line="240" w:lineRule="auto"/>
        <w:jc w:val="center"/>
        <w:rPr>
          <w:rFonts w:ascii="Tw Cen MT" w:hAnsi="Tw Cen MT" w:cs="Times New Roman"/>
          <w:b/>
          <w:sz w:val="32"/>
          <w:szCs w:val="32"/>
        </w:rPr>
      </w:pPr>
    </w:p>
    <w:p w:rsidR="00AC1A54" w:rsidRPr="00960EE8" w:rsidRDefault="00570AD7" w:rsidP="00AC1A54">
      <w:pPr>
        <w:widowControl w:val="0"/>
        <w:spacing w:after="0" w:line="218" w:lineRule="auto"/>
        <w:ind w:left="7" w:right="-20"/>
        <w:jc w:val="center"/>
        <w:rPr>
          <w:rFonts w:ascii="Tw Cen MT" w:eastAsia="Twentieth Century" w:hAnsi="Tw Cen MT" w:cs="Twentieth Century"/>
          <w:sz w:val="24"/>
          <w:szCs w:val="24"/>
          <w:vertAlign w:val="superscript"/>
        </w:rPr>
      </w:pPr>
      <w:r w:rsidRPr="00BA0EC3">
        <w:rPr>
          <w:rFonts w:ascii="Tw Cen MT" w:hAnsi="Tw Cen MT" w:cs="Times New Roman"/>
          <w:b/>
          <w:sz w:val="24"/>
          <w:szCs w:val="24"/>
        </w:rPr>
        <w:t>Rizka Angrainy</w:t>
      </w:r>
      <w:r w:rsidRPr="00BA0EC3">
        <w:rPr>
          <w:rFonts w:ascii="Tw Cen MT" w:hAnsi="Tw Cen MT" w:cs="Times New Roman"/>
          <w:b/>
          <w:sz w:val="24"/>
          <w:szCs w:val="24"/>
          <w:vertAlign w:val="superscript"/>
          <w:lang w:val="id-ID"/>
        </w:rPr>
        <w:t>1</w:t>
      </w:r>
      <w:r w:rsidRPr="00BA0EC3">
        <w:rPr>
          <w:rFonts w:ascii="Tw Cen MT" w:hAnsi="Tw Cen MT" w:cs="Times New Roman"/>
          <w:b/>
          <w:sz w:val="24"/>
          <w:szCs w:val="24"/>
        </w:rPr>
        <w:t>, Lidia Fitri</w:t>
      </w:r>
      <w:r w:rsidRPr="00BA0EC3">
        <w:rPr>
          <w:rFonts w:ascii="Tw Cen MT" w:hAnsi="Tw Cen MT" w:cs="Times New Roman"/>
          <w:b/>
          <w:sz w:val="24"/>
          <w:szCs w:val="24"/>
          <w:vertAlign w:val="superscript"/>
          <w:lang w:val="id-ID"/>
        </w:rPr>
        <w:t>2</w:t>
      </w:r>
      <w:r w:rsidRPr="00BA0EC3">
        <w:rPr>
          <w:rFonts w:ascii="Tw Cen MT" w:hAnsi="Tw Cen MT" w:cs="Times New Roman"/>
          <w:b/>
          <w:sz w:val="24"/>
          <w:szCs w:val="24"/>
          <w:lang w:val="id-ID"/>
        </w:rPr>
        <w:t>, Aprilia Utari</w:t>
      </w:r>
      <w:r w:rsidRPr="00BA0EC3">
        <w:rPr>
          <w:rFonts w:ascii="Tw Cen MT" w:hAnsi="Tw Cen MT" w:cs="Times New Roman"/>
          <w:b/>
          <w:sz w:val="24"/>
          <w:szCs w:val="24"/>
          <w:vertAlign w:val="superscript"/>
          <w:lang w:val="id-ID"/>
        </w:rPr>
        <w:t>3</w:t>
      </w:r>
    </w:p>
    <w:p w:rsidR="00AC1A54" w:rsidRPr="00296EB9" w:rsidRDefault="00570AD7" w:rsidP="00AC1A54">
      <w:pPr>
        <w:widowControl w:val="0"/>
        <w:spacing w:after="0" w:line="218" w:lineRule="auto"/>
        <w:ind w:left="7" w:right="-20"/>
        <w:jc w:val="center"/>
        <w:rPr>
          <w:rFonts w:ascii="Tw Cen MT" w:eastAsia="Twentieth Century" w:hAnsi="Tw Cen MT" w:cs="Twentieth Century"/>
          <w:sz w:val="20"/>
          <w:szCs w:val="20"/>
          <w:vertAlign w:val="superscript"/>
        </w:rPr>
      </w:pPr>
      <w:r w:rsidRPr="00BA0EC3">
        <w:rPr>
          <w:rFonts w:ascii="Tw Cen MT" w:hAnsi="Tw Cen MT" w:cstheme="majorBidi"/>
          <w:sz w:val="24"/>
          <w:szCs w:val="24"/>
          <w:lang w:val="id-ID"/>
        </w:rPr>
        <w:t>Akademi Kebidanan Helvetia Pekanb</w:t>
      </w:r>
      <w:r>
        <w:rPr>
          <w:rFonts w:ascii="Tw Cen MT" w:hAnsi="Tw Cen MT" w:cstheme="majorBidi"/>
          <w:sz w:val="24"/>
          <w:szCs w:val="24"/>
          <w:lang w:val="id-ID"/>
        </w:rPr>
        <w:t>aru</w:t>
      </w:r>
      <w:r w:rsidRPr="00BA0EC3">
        <w:rPr>
          <w:rFonts w:ascii="Tw Cen MT" w:hAnsi="Tw Cen MT" w:cstheme="majorBidi"/>
          <w:sz w:val="24"/>
          <w:szCs w:val="24"/>
          <w:vertAlign w:val="superscript"/>
          <w:lang w:val="id-ID"/>
        </w:rPr>
        <w:t>1</w:t>
      </w:r>
      <w:r>
        <w:rPr>
          <w:rFonts w:ascii="Tw Cen MT" w:hAnsi="Tw Cen MT" w:cstheme="majorBidi"/>
          <w:sz w:val="24"/>
          <w:szCs w:val="24"/>
          <w:vertAlign w:val="superscript"/>
          <w:lang w:val="id-ID"/>
        </w:rPr>
        <w:t>,2,3</w:t>
      </w:r>
    </w:p>
    <w:p w:rsidR="00570AD7" w:rsidRDefault="00AC1A54" w:rsidP="00570AD7">
      <w:pPr>
        <w:spacing w:after="0" w:line="240" w:lineRule="auto"/>
        <w:jc w:val="center"/>
        <w:rPr>
          <w:rFonts w:ascii="Tw Cen MT" w:eastAsia="Twentieth Century" w:hAnsi="Tw Cen MT" w:cs="Twentieth Century"/>
          <w:b/>
          <w:sz w:val="32"/>
          <w:szCs w:val="32"/>
        </w:rPr>
      </w:pPr>
      <w:r w:rsidRPr="00296EB9">
        <w:rPr>
          <w:rFonts w:ascii="Tw Cen MT" w:eastAsia="Twentieth Century" w:hAnsi="Tw Cen MT" w:cs="Twentieth Century"/>
          <w:sz w:val="20"/>
          <w:szCs w:val="20"/>
        </w:rPr>
        <w:t>Email</w:t>
      </w:r>
      <w:r>
        <w:rPr>
          <w:rFonts w:ascii="Tw Cen MT" w:eastAsia="Twentieth Century" w:hAnsi="Tw Cen MT" w:cs="Twentieth Century"/>
          <w:sz w:val="20"/>
          <w:szCs w:val="20"/>
        </w:rPr>
        <w:t xml:space="preserve">: </w:t>
      </w:r>
      <w:hyperlink r:id="rId9" w:history="1">
        <w:r w:rsidR="00570AD7" w:rsidRPr="00570AD7">
          <w:rPr>
            <w:rStyle w:val="Hyperlink"/>
            <w:rFonts w:ascii="Tw Cen MT" w:hAnsi="Tw Cen MT" w:cstheme="majorBidi"/>
            <w:sz w:val="20"/>
            <w:szCs w:val="20"/>
            <w:lang w:val="id-ID"/>
          </w:rPr>
          <w:t>rizkaangrainy@helvetia.ac.id</w:t>
        </w:r>
      </w:hyperlink>
      <w:bookmarkStart w:id="0" w:name="_heading=h.2zvyxk7t70gr" w:colFirst="0" w:colLast="0"/>
      <w:bookmarkStart w:id="1" w:name="_heading=h.ku3htxpixa9v" w:colFirst="0" w:colLast="0"/>
      <w:bookmarkEnd w:id="0"/>
      <w:bookmarkEnd w:id="1"/>
    </w:p>
    <w:p w:rsidR="00D93684" w:rsidRPr="00570AD7" w:rsidRDefault="00B035CE" w:rsidP="00570AD7">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i/>
          <w:noProof/>
          <w:sz w:val="20"/>
          <w:szCs w:val="20"/>
          <w:lang w:val="id-ID" w:eastAsia="id-ID"/>
        </w:rPr>
        <mc:AlternateContent>
          <mc:Choice Requires="wps">
            <w:drawing>
              <wp:anchor distT="0" distB="0" distL="114300" distR="114300" simplePos="0" relativeHeight="251669504" behindDoc="0" locked="0" layoutInCell="1" allowOverlap="1" wp14:anchorId="0DC011AB" wp14:editId="1C728133">
                <wp:simplePos x="0" y="0"/>
                <wp:positionH relativeFrom="column">
                  <wp:posOffset>4445</wp:posOffset>
                </wp:positionH>
                <wp:positionV relativeFrom="paragraph">
                  <wp:posOffset>155503</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rsidR="00B035CE" w:rsidRPr="00E437D7" w:rsidRDefault="00B035CE" w:rsidP="000512A8">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035CE" w:rsidRPr="00E437D7" w:rsidRDefault="00B035CE" w:rsidP="000512A8">
                            <w:pPr>
                              <w:tabs>
                                <w:tab w:val="left" w:pos="567"/>
                              </w:tabs>
                              <w:spacing w:after="0"/>
                              <w:ind w:left="-85"/>
                              <w:rPr>
                                <w:rFonts w:ascii="Tw Cen MT" w:hAnsi="Tw Cen MT" w:cs="Arial"/>
                                <w:b/>
                                <w:bCs/>
                                <w:caps/>
                                <w:sz w:val="20"/>
                                <w:szCs w:val="20"/>
                                <w:lang w:val="id-ID"/>
                              </w:rPr>
                            </w:pPr>
                          </w:p>
                          <w:p w:rsidR="00B035CE" w:rsidRPr="00E437D7" w:rsidRDefault="00B035CE" w:rsidP="000512A8">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DA255F">
                              <w:rPr>
                                <w:rFonts w:ascii="Tw Cen MT" w:eastAsia="Twentieth Century" w:hAnsi="Tw Cen MT" w:cs="Twentieth Century"/>
                                <w:color w:val="000000"/>
                                <w:sz w:val="20"/>
                              </w:rPr>
                              <w:t>7-04</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w:t>
                            </w:r>
                            <w:r w:rsidR="00DA255F">
                              <w:rPr>
                                <w:rFonts w:ascii="Tw Cen MT" w:eastAsia="Twentieth Century" w:hAnsi="Tw Cen MT" w:cs="Twentieth Century"/>
                                <w:color w:val="000000"/>
                                <w:sz w:val="20"/>
                              </w:rPr>
                              <w:t>21</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DA255F">
                              <w:rPr>
                                <w:rFonts w:ascii="Tw Cen MT" w:eastAsia="Twentieth Century" w:hAnsi="Tw Cen MT" w:cs="Twentieth Century"/>
                                <w:color w:val="000000"/>
                                <w:sz w:val="20"/>
                              </w:rPr>
                              <w:t>7-29</w:t>
                            </w:r>
                          </w:p>
                          <w:p w:rsidR="00B035CE" w:rsidRPr="00E437D7" w:rsidRDefault="00B035CE" w:rsidP="000512A8">
                            <w:pPr>
                              <w:pBdr>
                                <w:top w:val="single" w:sz="4" w:space="0" w:color="auto"/>
                              </w:pBdr>
                              <w:tabs>
                                <w:tab w:val="left" w:pos="567"/>
                              </w:tabs>
                              <w:spacing w:after="0"/>
                              <w:ind w:left="-85" w:right="-57"/>
                              <w:rPr>
                                <w:rFonts w:ascii="Tw Cen MT" w:hAnsi="Tw Cen MT" w:cs="Arial"/>
                                <w:b/>
                                <w:bCs/>
                                <w:i/>
                                <w:caps/>
                                <w:sz w:val="20"/>
                                <w:szCs w:val="20"/>
                              </w:rPr>
                            </w:pPr>
                          </w:p>
                          <w:p w:rsidR="00B035CE" w:rsidRPr="00E437D7" w:rsidRDefault="00B035CE" w:rsidP="000512A8">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5pt;margin-top:12.25pt;width:153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" fillcolor="window" stroked="f" strokeweight="2pt">
                <v:path arrowok="t"/>
                <v:textbox>
                  <w:txbxContent>
                    <w:p w:rsidR="00B035CE" w:rsidRPr="00E437D7" w:rsidRDefault="00B035CE" w:rsidP="000512A8">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035CE" w:rsidRPr="00E437D7" w:rsidRDefault="00B035CE" w:rsidP="000512A8">
                      <w:pPr>
                        <w:tabs>
                          <w:tab w:val="left" w:pos="567"/>
                        </w:tabs>
                        <w:spacing w:after="0"/>
                        <w:ind w:left="-85"/>
                        <w:rPr>
                          <w:rFonts w:ascii="Tw Cen MT" w:hAnsi="Tw Cen MT" w:cs="Arial"/>
                          <w:b/>
                          <w:bCs/>
                          <w:caps/>
                          <w:sz w:val="20"/>
                          <w:szCs w:val="20"/>
                          <w:lang w:val="id-ID"/>
                        </w:rPr>
                      </w:pPr>
                    </w:p>
                    <w:p w:rsidR="00B035CE" w:rsidRPr="00E437D7" w:rsidRDefault="00B035CE" w:rsidP="000512A8">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DA255F">
                        <w:rPr>
                          <w:rFonts w:ascii="Tw Cen MT" w:eastAsia="Twentieth Century" w:hAnsi="Tw Cen MT" w:cs="Twentieth Century"/>
                          <w:color w:val="000000"/>
                          <w:sz w:val="20"/>
                        </w:rPr>
                        <w:t>7-04</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w:t>
                      </w:r>
                      <w:r w:rsidR="00DA255F">
                        <w:rPr>
                          <w:rFonts w:ascii="Tw Cen MT" w:eastAsia="Twentieth Century" w:hAnsi="Tw Cen MT" w:cs="Twentieth Century"/>
                          <w:color w:val="000000"/>
                          <w:sz w:val="20"/>
                        </w:rPr>
                        <w:t>21</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DA255F">
                        <w:rPr>
                          <w:rFonts w:ascii="Tw Cen MT" w:eastAsia="Twentieth Century" w:hAnsi="Tw Cen MT" w:cs="Twentieth Century"/>
                          <w:color w:val="000000"/>
                          <w:sz w:val="20"/>
                        </w:rPr>
                        <w:t>7-29</w:t>
                      </w:r>
                    </w:p>
                    <w:p w:rsidR="00B035CE" w:rsidRPr="00E437D7" w:rsidRDefault="00B035CE" w:rsidP="000512A8">
                      <w:pPr>
                        <w:pBdr>
                          <w:top w:val="single" w:sz="4" w:space="0" w:color="auto"/>
                        </w:pBdr>
                        <w:tabs>
                          <w:tab w:val="left" w:pos="567"/>
                        </w:tabs>
                        <w:spacing w:after="0"/>
                        <w:ind w:left="-85" w:right="-57"/>
                        <w:rPr>
                          <w:rFonts w:ascii="Tw Cen MT" w:hAnsi="Tw Cen MT" w:cs="Arial"/>
                          <w:b/>
                          <w:bCs/>
                          <w:i/>
                          <w:caps/>
                          <w:sz w:val="20"/>
                          <w:szCs w:val="20"/>
                        </w:rPr>
                      </w:pPr>
                    </w:p>
                    <w:p w:rsidR="00B035CE" w:rsidRPr="00E437D7" w:rsidRDefault="00B035CE" w:rsidP="000512A8">
                      <w:pPr>
                        <w:rPr>
                          <w:rFonts w:ascii="Tw Cen MT" w:hAnsi="Tw Cen MT"/>
                          <w:sz w:val="20"/>
                          <w:szCs w:val="20"/>
                        </w:rPr>
                      </w:pPr>
                    </w:p>
                  </w:txbxContent>
                </v:textbox>
              </v:rect>
            </w:pict>
          </mc:Fallback>
        </mc:AlternateContent>
      </w:r>
      <w:r w:rsidR="00B43B99" w:rsidRPr="00296EB9">
        <w:rPr>
          <w:rFonts w:ascii="Tw Cen MT" w:hAnsi="Tw Cen MT"/>
          <w:noProof/>
          <w:lang w:val="id-ID" w:eastAsia="id-ID"/>
        </w:rPr>
        <mc:AlternateContent>
          <mc:Choice Requires="wpg">
            <w:drawing>
              <wp:anchor distT="0" distB="0" distL="114300" distR="114300" simplePos="0" relativeHeight="251658240" behindDoc="0" locked="0" layoutInCell="1" hidden="0" allowOverlap="1" wp14:anchorId="0B53E7B3" wp14:editId="2CEC873C">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937885" cy="19050"/>
                        </a:xfrm>
                        <a:prstGeom prst="rect"/>
                        <a:ln/>
                      </pic:spPr>
                    </pic:pic>
                  </a:graphicData>
                </a:graphic>
              </wp:anchor>
            </w:drawing>
          </mc:Fallback>
        </mc:AlternateContent>
      </w:r>
    </w:p>
    <w:p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rsidR="00D93684" w:rsidRPr="00AC1A54" w:rsidRDefault="00570AD7" w:rsidP="00AC1A54">
      <w:pPr>
        <w:spacing w:after="0" w:line="240" w:lineRule="auto"/>
        <w:ind w:left="3150"/>
        <w:jc w:val="both"/>
        <w:rPr>
          <w:rFonts w:ascii="Tw Cen MT" w:eastAsia="Twentieth Century" w:hAnsi="Tw Cen MT" w:cs="Twentieth Century"/>
          <w:i/>
          <w:sz w:val="20"/>
          <w:szCs w:val="20"/>
        </w:rPr>
      </w:pPr>
      <w:r w:rsidRPr="00570AD7">
        <w:rPr>
          <w:rFonts w:ascii="Tw Cen MT" w:hAnsi="Tw Cen MT"/>
          <w:i/>
          <w:color w:val="202124"/>
          <w:sz w:val="20"/>
          <w:lang w:val="en"/>
        </w:rPr>
        <w:t>One thing that must be considered during menstruation is personal hygiene and the impact of personal hygiene during menstruation is vaginal discharge. The purpose of the study was to analyze the relationship between knowledge and personal hygiene behavior during menstruation in adolescents. The population in this study were 35 young women. Sampling in this study total population technique (total sampling) with a total sample of 35 respondents. Data using univariate and bivariate Chi Square tests, obtained the results of having sufficient knowledge and positive behavior in performing Personal Hygiene During Menstruation, namely 15 respondents (65.2%). Statistical test results obtained p value 0.196 &gt; 0.005, which means there is no relationship between the level of knowledge and the behavior of adolescent girls about personal hygiene during menstruation. Based on the results of the study, there are still many factors that cause vaginal discharge. Suggestions Teens should be more careful with other causes of vaginal discharge</w:t>
      </w:r>
      <w:r w:rsidR="00AC1A54" w:rsidRPr="00AC1A54">
        <w:rPr>
          <w:rFonts w:ascii="Tw Cen MT" w:eastAsia="Times New Roman" w:hAnsi="Tw Cen MT" w:cs="Courier New"/>
          <w:i/>
          <w:color w:val="202124"/>
          <w:sz w:val="20"/>
          <w:szCs w:val="20"/>
          <w:lang w:val="en" w:eastAsia="en-US"/>
        </w:rPr>
        <w:t>.</w:t>
      </w:r>
    </w:p>
    <w:p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C273E1" w:rsidRDefault="00570AD7" w:rsidP="00570AD7">
      <w:pPr>
        <w:tabs>
          <w:tab w:val="left" w:pos="426"/>
        </w:tabs>
        <w:spacing w:after="0" w:line="360" w:lineRule="auto"/>
        <w:ind w:left="3150"/>
        <w:jc w:val="both"/>
        <w:rPr>
          <w:rFonts w:ascii="Tw Cen MT" w:hAnsi="Tw Cen MT" w:cs="Times New Roman"/>
          <w:i/>
          <w:sz w:val="20"/>
          <w:szCs w:val="20"/>
        </w:rPr>
      </w:pPr>
      <w:r w:rsidRPr="001D2BAA">
        <w:rPr>
          <w:rFonts w:ascii="Tw Cen MT" w:hAnsi="Tw Cen MT" w:cs="Times New Roman"/>
          <w:i/>
          <w:sz w:val="20"/>
          <w:szCs w:val="20"/>
        </w:rPr>
        <w:t>Personal Hygiene</w:t>
      </w:r>
      <w:r>
        <w:rPr>
          <w:rFonts w:ascii="Tw Cen MT" w:hAnsi="Tw Cen MT" w:cs="Times New Roman"/>
          <w:i/>
          <w:sz w:val="20"/>
          <w:szCs w:val="20"/>
        </w:rPr>
        <w:t>;</w:t>
      </w:r>
      <w:r w:rsidRPr="001D2BAA">
        <w:rPr>
          <w:rFonts w:ascii="Tw Cen MT" w:hAnsi="Tw Cen MT" w:cs="Times New Roman"/>
          <w:i/>
          <w:sz w:val="20"/>
          <w:szCs w:val="20"/>
        </w:rPr>
        <w:t xml:space="preserve"> Behavior</w:t>
      </w:r>
      <w:r>
        <w:rPr>
          <w:rFonts w:ascii="Tw Cen MT" w:hAnsi="Tw Cen MT" w:cs="Times New Roman"/>
          <w:i/>
          <w:sz w:val="20"/>
          <w:szCs w:val="20"/>
        </w:rPr>
        <w:t>; Knowledge</w:t>
      </w:r>
    </w:p>
    <w:p w:rsidR="00570AD7" w:rsidRPr="00570AD7" w:rsidRDefault="00570AD7" w:rsidP="00570AD7">
      <w:pPr>
        <w:tabs>
          <w:tab w:val="left" w:pos="426"/>
        </w:tabs>
        <w:spacing w:after="0" w:line="360" w:lineRule="auto"/>
        <w:ind w:left="3150"/>
        <w:jc w:val="both"/>
        <w:rPr>
          <w:rFonts w:ascii="Tw Cen MT" w:eastAsia="Twentieth Century" w:hAnsi="Tw Cen MT" w:cs="Twentieth Century"/>
          <w:i/>
          <w:sz w:val="20"/>
          <w:szCs w:val="20"/>
        </w:rPr>
      </w:pPr>
    </w:p>
    <w:p w:rsidR="00D93684" w:rsidRPr="00296EB9" w:rsidRDefault="00C273E1" w:rsidP="00C273E1">
      <w:pPr>
        <w:tabs>
          <w:tab w:val="left" w:pos="426"/>
        </w:tabs>
        <w:spacing w:after="0"/>
        <w:jc w:val="both"/>
        <w:rPr>
          <w:rFonts w:ascii="Tw Cen MT" w:eastAsia="Twentieth Century" w:hAnsi="Tw Cen MT" w:cs="Twentieth Century"/>
          <w:b/>
          <w:sz w:val="20"/>
          <w:szCs w:val="20"/>
        </w:rPr>
      </w:pP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t xml:space="preserve">     </w:t>
      </w:r>
      <w:r w:rsidR="00B43B99" w:rsidRPr="00296EB9">
        <w:rPr>
          <w:rFonts w:ascii="Tw Cen MT" w:eastAsia="Twentieth Century" w:hAnsi="Tw Cen MT" w:cs="Twentieth Century"/>
          <w:b/>
          <w:sz w:val="20"/>
          <w:szCs w:val="20"/>
        </w:rPr>
        <w:t>Abstrak</w:t>
      </w:r>
    </w:p>
    <w:p w:rsidR="00D93684" w:rsidRPr="00B035CE" w:rsidRDefault="00570AD7" w:rsidP="00B035CE">
      <w:pPr>
        <w:tabs>
          <w:tab w:val="left" w:pos="426"/>
        </w:tabs>
        <w:spacing w:after="0" w:line="240" w:lineRule="auto"/>
        <w:ind w:left="3150"/>
        <w:jc w:val="both"/>
        <w:rPr>
          <w:rFonts w:ascii="Tw Cen MT" w:hAnsi="Tw Cen MT"/>
          <w:sz w:val="20"/>
          <w:szCs w:val="20"/>
        </w:rPr>
      </w:pPr>
      <w:r w:rsidRPr="001E6D83">
        <w:rPr>
          <w:rFonts w:ascii="Tw Cen MT" w:hAnsi="Tw Cen MT" w:cs="Times New Roman"/>
          <w:sz w:val="20"/>
          <w:szCs w:val="20"/>
        </w:rPr>
        <w:t xml:space="preserve">Salah satu yang harus diperhatikan saat menstruasi adalah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dan dampak dari personal hygiene saat menstruasi adalah keputihan.</w:t>
      </w:r>
      <w:r>
        <w:rPr>
          <w:rFonts w:ascii="Tw Cen MT" w:hAnsi="Tw Cen MT" w:cs="Times New Roman"/>
          <w:sz w:val="20"/>
          <w:szCs w:val="20"/>
          <w:lang w:val="id-ID"/>
        </w:rPr>
        <w:t xml:space="preserve"> </w:t>
      </w:r>
      <w:r w:rsidRPr="001E6D83">
        <w:rPr>
          <w:rFonts w:ascii="Tw Cen MT" w:hAnsi="Tw Cen MT" w:cs="Times New Roman"/>
          <w:sz w:val="20"/>
          <w:szCs w:val="20"/>
        </w:rPr>
        <w:t xml:space="preserve">Tujuan penelitian untuk menganalisis hubungan pengetahuan dengan perilaku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 xml:space="preserve">saat menstruasi pada remaja. Populasi pada penelitian ini sebanyak 35 orang remaja putri. Pengambilan sampel dalam penelitian ini teknik total populasi (total sampling) dengan jumlah sampel sebanyak 35 responden. Data menggunakan uji univariat dan bivariate </w:t>
      </w:r>
      <w:r w:rsidRPr="001E6D83">
        <w:rPr>
          <w:rFonts w:ascii="Tw Cen MT" w:hAnsi="Tw Cen MT" w:cs="Times New Roman"/>
          <w:i/>
          <w:sz w:val="20"/>
          <w:szCs w:val="20"/>
        </w:rPr>
        <w:t>Chi Square</w:t>
      </w:r>
      <w:r w:rsidRPr="001E6D83">
        <w:rPr>
          <w:rFonts w:ascii="Tw Cen MT" w:hAnsi="Tw Cen MT" w:cs="Times New Roman"/>
          <w:sz w:val="20"/>
          <w:szCs w:val="20"/>
        </w:rPr>
        <w:t xml:space="preserve">, diperoleh hasil memiliki pengetahuan cukup dan berperilaku positif melakukan </w:t>
      </w:r>
      <w:r w:rsidRPr="001E6D83">
        <w:rPr>
          <w:rFonts w:ascii="Tw Cen MT" w:hAnsi="Tw Cen MT" w:cs="Times New Roman"/>
          <w:i/>
          <w:sz w:val="20"/>
          <w:szCs w:val="20"/>
        </w:rPr>
        <w:t>Personal Hygiene</w:t>
      </w:r>
      <w:r w:rsidRPr="001E6D83">
        <w:rPr>
          <w:rFonts w:ascii="Tw Cen MT" w:hAnsi="Tw Cen MT" w:cs="Times New Roman"/>
          <w:sz w:val="20"/>
          <w:szCs w:val="20"/>
        </w:rPr>
        <w:t xml:space="preserve"> Saat Menstruasi yaitu 15 respnden (65,2%). Hasil uji statistik di dapatkan p </w:t>
      </w:r>
      <w:r w:rsidRPr="001E6D83">
        <w:rPr>
          <w:rFonts w:ascii="Tw Cen MT" w:hAnsi="Tw Cen MT" w:cs="Times New Roman"/>
          <w:i/>
          <w:sz w:val="20"/>
          <w:szCs w:val="20"/>
        </w:rPr>
        <w:t xml:space="preserve">value </w:t>
      </w:r>
      <w:r w:rsidRPr="001E6D83">
        <w:rPr>
          <w:rFonts w:ascii="Tw Cen MT" w:hAnsi="Tw Cen MT" w:cs="Times New Roman"/>
          <w:sz w:val="20"/>
          <w:szCs w:val="20"/>
        </w:rPr>
        <w:t xml:space="preserve">0,196 &gt; 0,005 yang artinya Tidak Ada hubungan tingkat pengetahuan dengan perilaku remaja putri tentang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 xml:space="preserve">saat menstruasi. </w:t>
      </w:r>
      <w:r>
        <w:rPr>
          <w:rFonts w:ascii="Tw Cen MT" w:hAnsi="Tw Cen MT" w:cs="Times New Roman"/>
          <w:sz w:val="20"/>
          <w:szCs w:val="20"/>
          <w:lang w:val="id-ID"/>
        </w:rPr>
        <w:t>Berdasarkan hasil penelitian masih banyak faktor penyebab keputihan. Sarannya Remaja harus lebih berhati-hati dengan faktor penyebab lain dari Keputihan</w:t>
      </w:r>
      <w:r w:rsidR="007608CF" w:rsidRPr="007608CF">
        <w:rPr>
          <w:rFonts w:ascii="Tw Cen MT" w:hAnsi="Tw Cen MT"/>
          <w:sz w:val="20"/>
          <w:szCs w:val="20"/>
        </w:rPr>
        <w:t>.</w:t>
      </w: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rsidR="00D93684" w:rsidRPr="00296EB9" w:rsidRDefault="00570AD7">
      <w:pPr>
        <w:ind w:left="2430" w:firstLine="720"/>
        <w:rPr>
          <w:rFonts w:ascii="Tw Cen MT" w:hAnsi="Tw Cen MT"/>
        </w:rPr>
      </w:pPr>
      <w:r>
        <w:rPr>
          <w:rFonts w:ascii="Tw Cen MT" w:hAnsi="Tw Cen MT" w:cs="Times New Roman"/>
          <w:sz w:val="20"/>
          <w:szCs w:val="20"/>
        </w:rPr>
        <w:t>Personal Hygiene; Perilaku;</w:t>
      </w:r>
      <w:r w:rsidRPr="001D2BAA">
        <w:rPr>
          <w:rFonts w:ascii="Tw Cen MT" w:hAnsi="Tw Cen MT" w:cs="Times New Roman"/>
          <w:sz w:val="20"/>
          <w:szCs w:val="20"/>
        </w:rPr>
        <w:t xml:space="preserve"> Pengetahuan</w:t>
      </w:r>
      <w:r w:rsidRPr="00296EB9">
        <w:rPr>
          <w:rFonts w:ascii="Tw Cen MT" w:hAnsi="Tw Cen MT"/>
          <w:noProof/>
          <w:lang w:eastAsia="en-US"/>
        </w:rPr>
        <w:t xml:space="preserve"> </w:t>
      </w:r>
    </w:p>
    <w:p w:rsidR="00D93684" w:rsidRPr="00296EB9" w:rsidRDefault="00D93684">
      <w:pPr>
        <w:spacing w:line="276" w:lineRule="auto"/>
        <w:rPr>
          <w:rFonts w:ascii="Tw Cen MT" w:hAnsi="Tw Cen MT"/>
        </w:rPr>
        <w:sectPr w:rsidR="00D93684" w:rsidRPr="00296EB9" w:rsidSect="00837B17">
          <w:headerReference w:type="default" r:id="rId11"/>
          <w:footerReference w:type="default" r:id="rId12"/>
          <w:pgSz w:w="12240" w:h="15840"/>
          <w:pgMar w:top="1440" w:right="1440" w:bottom="1440" w:left="1440" w:header="720" w:footer="720" w:gutter="0"/>
          <w:pgNumType w:start="35"/>
          <w:cols w:space="720"/>
        </w:sectPr>
      </w:pPr>
    </w:p>
    <w:p w:rsidR="00570AD7" w:rsidRDefault="00570AD7">
      <w:pPr>
        <w:tabs>
          <w:tab w:val="left" w:pos="426"/>
        </w:tabs>
        <w:spacing w:after="0"/>
        <w:jc w:val="both"/>
        <w:rPr>
          <w:rFonts w:ascii="Tw Cen MT" w:eastAsia="Twentieth Century" w:hAnsi="Tw Cen MT" w:cs="Twentieth Century"/>
          <w:b/>
          <w:sz w:val="24"/>
          <w:szCs w:val="24"/>
        </w:rPr>
      </w:pPr>
    </w:p>
    <w:p w:rsidR="00570AD7" w:rsidRDefault="00570AD7">
      <w:pPr>
        <w:tabs>
          <w:tab w:val="left" w:pos="426"/>
        </w:tabs>
        <w:spacing w:after="0"/>
        <w:jc w:val="both"/>
        <w:rPr>
          <w:rFonts w:ascii="Tw Cen MT" w:eastAsia="Twentieth Century" w:hAnsi="Tw Cen MT" w:cs="Twentieth Century"/>
          <w:b/>
          <w:sz w:val="24"/>
          <w:szCs w:val="24"/>
        </w:rPr>
      </w:pPr>
    </w:p>
    <w:p w:rsidR="00570AD7" w:rsidRDefault="00570AD7">
      <w:pPr>
        <w:tabs>
          <w:tab w:val="left" w:pos="426"/>
        </w:tabs>
        <w:spacing w:after="0"/>
        <w:jc w:val="both"/>
        <w:rPr>
          <w:rFonts w:ascii="Tw Cen MT" w:eastAsia="Twentieth Century" w:hAnsi="Tw Cen MT" w:cs="Twentieth Century"/>
          <w:b/>
          <w:sz w:val="24"/>
          <w:szCs w:val="24"/>
        </w:rPr>
      </w:pPr>
    </w:p>
    <w:p w:rsidR="00570AD7" w:rsidRDefault="00570AD7">
      <w:pPr>
        <w:tabs>
          <w:tab w:val="left" w:pos="426"/>
        </w:tabs>
        <w:spacing w:after="0"/>
        <w:jc w:val="both"/>
        <w:rPr>
          <w:rFonts w:ascii="Tw Cen MT" w:eastAsia="Twentieth Century" w:hAnsi="Tw Cen MT" w:cs="Twentieth Century"/>
          <w:b/>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PENDAHULUAN</w:t>
      </w:r>
    </w:p>
    <w:p w:rsidR="00570AD7" w:rsidRPr="003F7A78" w:rsidRDefault="00570AD7" w:rsidP="00570AD7">
      <w:pPr>
        <w:pStyle w:val="Default"/>
        <w:jc w:val="both"/>
        <w:rPr>
          <w:rFonts w:ascii="Tw Cen MT" w:hAnsi="Tw Cen MT"/>
        </w:rPr>
      </w:pPr>
      <w:r w:rsidRPr="003F7A78">
        <w:rPr>
          <w:rFonts w:ascii="Tw Cen MT" w:hAnsi="Tw Cen MT"/>
          <w:color w:val="auto"/>
        </w:rPr>
        <w:t>Kesehatan reproduksi adalah suatu keadaan sehat menyeluruh, meliputi aspek fisik, mental, dan sosial, bukan sekedar tidak ada penyakit/gangguan di segala hal yang berkaitan dengan sistem reproduksi, fungsinya dan proses reproduksi itu send</w:t>
      </w:r>
      <w:r>
        <w:rPr>
          <w:rFonts w:ascii="Tw Cen MT" w:hAnsi="Tw Cen MT"/>
          <w:color w:val="auto"/>
        </w:rPr>
        <w:t>i</w:t>
      </w:r>
      <w:r w:rsidRPr="003F7A78">
        <w:rPr>
          <w:rFonts w:ascii="Tw Cen MT" w:hAnsi="Tw Cen MT"/>
          <w:color w:val="auto"/>
        </w:rPr>
        <w:t xml:space="preserve">ri </w:t>
      </w:r>
      <w:r w:rsidRPr="003F7A78">
        <w:rPr>
          <w:rFonts w:ascii="Tw Cen MT" w:hAnsi="Tw Cen MT"/>
          <w:color w:val="auto"/>
        </w:rPr>
        <w:fldChar w:fldCharType="begin" w:fldLock="1"/>
      </w:r>
      <w:r>
        <w:rPr>
          <w:rFonts w:ascii="Tw Cen MT" w:hAnsi="Tw Cen MT"/>
          <w:color w:val="auto"/>
        </w:rPr>
        <w:instrText>ADDIN CSL_CITATION { "citationItems" : [ { "id" : "ITEM-1", "itemData" : { "abstract" : "Kesehatan reproduksi adalah suatu keadaan sehat menyeluruh, meliputi aspek fisik, mental, dan sosial, bukan sekedar tidak ada penyakit/gangguan di segala hal yang berkaitan dengan sistem reproduksi, fungsinya dan proses reproduksi itu sendri.", "author" : [ { "dropping-particle" : "", "family" : "Setiyaningrum", "given" : "Erna", "non-dropping-particle" : "", "parse-names" : false, "suffix" : "" }, { "dropping-particle" : "", "family" : "Aziz", "given" : "Zulfa Binti", "non-dropping-particle" : "", "parse-names" : false, "suffix" : "" } ], "id" : "ITEM-1", "issued" : { "date-parts" : [ [ "2014" ] ] }, "number-of-pages" : "1", "publisher" : "CV.Trans Info Media", "publisher-place" : "jakarta", "title" : "pelayanan keluarga &amp; kesehatan reproduksi", "type" : "book" }, "uris" : [ "http://www.mendeley.com/documents/?uuid=1295b447-b284-4204-8254-a1364ea1fce6", "http://www.mendeley.com/documents/?uuid=6295935f-ea60-4dcc-9dd0-04a8f627a19e" ] } ], "mendeley" : { "formattedCitation" : "[1]", "plainTextFormattedCitation" : "[1]", "previouslyFormattedCitation" : "(Setiyaningrum &amp; Aziz, 2014)" }, "properties" : { "noteIndex" : 0 }, "schema" : "https://github.com/citation-style-language/schema/raw/master/csl-citation.json" }</w:instrText>
      </w:r>
      <w:r w:rsidRPr="003F7A78">
        <w:rPr>
          <w:rFonts w:ascii="Tw Cen MT" w:hAnsi="Tw Cen MT"/>
          <w:color w:val="auto"/>
        </w:rPr>
        <w:fldChar w:fldCharType="separate"/>
      </w:r>
      <w:r w:rsidRPr="00A2544E">
        <w:rPr>
          <w:rFonts w:ascii="Tw Cen MT" w:hAnsi="Tw Cen MT"/>
          <w:noProof/>
          <w:color w:val="auto"/>
        </w:rPr>
        <w:t>[1]</w:t>
      </w:r>
      <w:r w:rsidRPr="003F7A78">
        <w:rPr>
          <w:rFonts w:ascii="Tw Cen MT" w:hAnsi="Tw Cen MT"/>
          <w:color w:val="auto"/>
        </w:rPr>
        <w:fldChar w:fldCharType="end"/>
      </w:r>
      <w:r w:rsidRPr="003F7A78">
        <w:rPr>
          <w:rFonts w:ascii="Tw Cen MT" w:hAnsi="Tw Cen MT"/>
          <w:color w:val="auto"/>
        </w:rPr>
        <w:t>. Menurut</w:t>
      </w:r>
      <w:r w:rsidRPr="003F7A78">
        <w:rPr>
          <w:rFonts w:ascii="Tw Cen MT" w:hAnsi="Tw Cen MT"/>
          <w:i/>
          <w:iCs/>
        </w:rPr>
        <w:t xml:space="preserve"> World Health Organization </w:t>
      </w:r>
      <w:r w:rsidRPr="003F7A78">
        <w:rPr>
          <w:rFonts w:ascii="Tw Cen MT" w:hAnsi="Tw Cen MT"/>
        </w:rPr>
        <w:t xml:space="preserve">(WHO) mendefinisikan kesehatan reproduksi adalah suatu kondisi sejahtera jasmani, rohani, sosial, ekonomi, tidak hanya bebas dari penyakit atau kecacatan namun dalam semua hal yang berkaitan dengan sistem reproduksi dan fungsi-fungsinya serta prosesnya </w:t>
      </w:r>
      <w:r w:rsidRPr="003F7A78">
        <w:rPr>
          <w:rFonts w:ascii="Tw Cen MT" w:hAnsi="Tw Cen MT"/>
        </w:rPr>
        <w:fldChar w:fldCharType="begin" w:fldLock="1"/>
      </w:r>
      <w:r>
        <w:rPr>
          <w:rFonts w:ascii="Tw Cen MT" w:hAnsi="Tw Cen MT"/>
        </w:rPr>
        <w:instrText>ADDIN CSL_CITATION { "citationItems" : [ { "id" : "ITEM-1", "itemData" : { "abstract" : "Novianti 1 Yasnani, S.Si., M.Kes 2 Putu Eka Meiyana Erawan, S.KM., M.PH 3 Fakultas Kesehatan Masyarakat Universitas Halu Oleo 123 Noviantiscorpion@yahoo.com 1 Yasnani_rahabuddin@yahoo.com 2 Putu_eka87@yahoo.com 3 ABSTRAK Personal hygiene menstruasi merupakan komponen hygiene perorangan yang memegang peran penting dalam menentukan status kesehatan, khususnya terhindar dari infeksi alat reproduksi. Tujuan penelitian ini adalah untuk mengetahui hubungan pengetahuan, sikap, dan tindakan dengan personal hygiene pada remaja putri di SMP Negeri Satap Bukit Asri Kabupaten Buton Tahun 2016. Metode penelitian yang digunakan penelitian analitik dengan design Cross sectional. Populasi pada penelitian ini sebanyak 33 siswi. Pengambilan sampel dalam penelitian ini menggunakan teknik Non Probability Sampling yaitu teknik sampling jenuh dengan mengambil anggota populasi semua menjadi sampel. Maka besar sampel penelitian adalah 33 responden. Analisis statistik menggunakan uji Chi Square pada tingkat kepercayaan 95% (\u03b1=0,05). Hasil penelitian menunjukkan ada hubungan yang signifikan antara pengetahuan (Value =0,030), sikap (Value =0,009), dan tindakan (Value =0,003) siswi dengan personal hygiene menstruasi. Sehingga diharapkan remaja putri dapat menerapkan dan menjaga personal hygiene pada saat mentruasi dengan rutin dalam kehidupan sehari-hari. Sekolah juga dapat menambah kurikulum untuk kesehatan reproduksi serta pembuatan UKS sekolah sebagai tempat memperoleh sumber informasi dalam menyadari pentingnya menjaga kebersihan organ genetalia eksterna secara dini. ABSTRACT Menstrual Personal hygiene is a component of the personal hygiene plays an important role in determining the health status, particularly protected from infection reproduction organ. The aim of study was to determine the relationship of knowledge, attitude, and action with the menstrual personal hygiene on female adolescents in SMP Negeri Satap Bukit Asri of Buton Regency in 2016. The study method was analytic study with cross sectional design. The populations in this study were 33 female adolescent. The sampling technique in this study was Non-Probability Sampling where it is saturated sampling technique with all members of the population taking into sample. Sample size in this study was 33 respondents. Statistical analysis used Chi Square test at the 95% confidence level (\u03b1 = 0.05). The results showed that there was significant relationship between knowledge (\u03c1 Value = 0,030), attitude (\u03c1 Value = 0.009),\u2026", "author" : [ { "dropping-particle" : "", "family" : "Eka Meiyana Erawan", "given" : "Putu", "non-dropping-particle" : "", "parse-names" : false, "suffix" : "" }, { "dropping-particle" : "", "family" : "Nasnani", "given" : "Novianti", "non-dropping-particle" : "", "parse-names" : false, "suffix" : "" } ], "id" : "ITEM-1", "issued" : { "date-parts" : [ [ "2016" ] ] }, "page" : "1-10", "title" : "c", "type" : "article-journal" }, "uris" : [ "http://www.mendeley.com/documents/?uuid=ee93b58f-7df2-40f6-9674-b04b93a9b98a", "http://www.mendeley.com/documents/?uuid=cb8e2606-5c85-4f60-80f5-64352c592055" ] } ], "mendeley" : { "formattedCitation" : "[2]", "plainTextFormattedCitation" : "[2]", "previouslyFormattedCitation" : "(Eka Meiyana Erawan &amp; Nasnani, 2016)"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[2]</w:t>
      </w:r>
      <w:r w:rsidRPr="003F7A78">
        <w:rPr>
          <w:rFonts w:ascii="Tw Cen MT" w:hAnsi="Tw Cen MT"/>
        </w:rPr>
        <w:fldChar w:fldCharType="end"/>
      </w:r>
      <w:r>
        <w:rPr>
          <w:rFonts w:ascii="Tw Cen MT" w:hAnsi="Tw Cen MT"/>
        </w:rPr>
        <w:t>.</w:t>
      </w:r>
    </w:p>
    <w:p w:rsidR="00570AD7" w:rsidRPr="003F7A78" w:rsidRDefault="00570AD7" w:rsidP="00570AD7">
      <w:pPr>
        <w:pStyle w:val="Default"/>
        <w:jc w:val="both"/>
        <w:rPr>
          <w:rFonts w:ascii="Tw Cen MT" w:hAnsi="Tw Cen MT"/>
        </w:rPr>
      </w:pPr>
      <w:r w:rsidRPr="003F7A78">
        <w:rPr>
          <w:rFonts w:ascii="Tw Cen MT" w:hAnsi="Tw Cen MT"/>
        </w:rPr>
        <w:t>Kesehatan remaja pada tahun 2018 adalah sebesar 62,08%. Jumlah tersebut mencapai target nasional yang sebesar 40%. Namun demikian masih terdapat tujuh provinsi (20,6%) belum mencapai target Renstra tahun 2018. Sejumlah 6.204 puskesmas PKPR yang siap memberikan pelayanan yang ramah remaja dan komprehensif terse</w:t>
      </w:r>
      <w:r>
        <w:rPr>
          <w:rFonts w:ascii="Tw Cen MT" w:hAnsi="Tw Cen MT"/>
        </w:rPr>
        <w:t>bar di 34 provinsi di Indonesia</w:t>
      </w:r>
      <w:r w:rsidRPr="003F7A78">
        <w:rPr>
          <w:rFonts w:ascii="Tw Cen MT" w:hAnsi="Tw Cen MT"/>
        </w:rPr>
        <w:t xml:space="preserve"> </w:t>
      </w:r>
      <w:r w:rsidRPr="003F7A78">
        <w:rPr>
          <w:rFonts w:ascii="Tw Cen MT" w:hAnsi="Tw Cen MT"/>
        </w:rPr>
        <w:fldChar w:fldCharType="begin" w:fldLock="1"/>
      </w:r>
      <w:r>
        <w:rPr>
          <w:rFonts w:ascii="Tw Cen MT" w:hAnsi="Tw Cen MT"/>
        </w:rPr>
        <w:instrText>ADDIN CSL_CITATION { "citationItems" : [ { "id" : "ITEM-1", "itemData" : { "ISBN" : "6221527716", "abstract" : "profil Kesehatan Indonesia 2018", "author" : [ { "dropping-particle" : "", "family" : "Kemenkes RI", "given" : "", "non-dropping-particle" : "", "parse-names" : false, "suffix" : "" } ], "id" : "ITEM-1", "issued" : { "date-parts" : [ [ "2019" ] ] }, "number-of-pages" : "207", "title" : "Profil Kesehatan Indonesia 2018 [Indonesia Health Profile 2018]", "type" : "book" }, "uris" : [ "http://www.mendeley.com/documents/?uuid=1e8fb6a3-7db6-4d23-9015-aa6dce8e98f2", "http://www.mendeley.com/documents/?uuid=da1f8c08-5abb-4904-befc-d95b8e5b7ae1" ] } ], "mendeley" : { "formattedCitation" : "[3]", "plainTextFormattedCitation" : "[3]", "previouslyFormattedCitation" : "(Kemenkes RI, 2019)"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[3]</w:t>
      </w:r>
      <w:r w:rsidRPr="003F7A78">
        <w:rPr>
          <w:rFonts w:ascii="Tw Cen MT" w:hAnsi="Tw Cen MT"/>
        </w:rPr>
        <w:fldChar w:fldCharType="end"/>
      </w:r>
      <w:r>
        <w:rPr>
          <w:rFonts w:ascii="Tw Cen MT" w:hAnsi="Tw Cen MT"/>
        </w:rPr>
        <w:t xml:space="preserve">. </w:t>
      </w:r>
      <w:r w:rsidRPr="003F7A78">
        <w:rPr>
          <w:rFonts w:ascii="Tw Cen MT" w:hAnsi="Tw Cen MT"/>
        </w:rPr>
        <w:t xml:space="preserve">Di Indonesia, prevalensi terjadinya infeksi saluran reproduksi akibat kurangnya </w:t>
      </w:r>
      <w:r w:rsidRPr="00126D61">
        <w:rPr>
          <w:rFonts w:ascii="Tw Cen MT" w:hAnsi="Tw Cen MT"/>
          <w:i/>
        </w:rPr>
        <w:t>hygiene</w:t>
      </w:r>
      <w:r w:rsidRPr="003F7A78">
        <w:rPr>
          <w:rFonts w:ascii="Tw Cen MT" w:hAnsi="Tw Cen MT"/>
        </w:rPr>
        <w:t xml:space="preserve"> pada organ genitalia masih cukup tinggi, jumlah penderita infeksi saluran reproduksi di Indonesia adalah 90</w:t>
      </w:r>
      <w:r w:rsidR="00126D61">
        <w:rPr>
          <w:rFonts w:ascii="Tw Cen MT" w:hAnsi="Tw Cen MT"/>
        </w:rPr>
        <w:t>.</w:t>
      </w:r>
      <w:r w:rsidRPr="003F7A78">
        <w:rPr>
          <w:rFonts w:ascii="Tw Cen MT" w:hAnsi="Tw Cen MT"/>
        </w:rPr>
        <w:t>100 kasus per 100.000 pen</w:t>
      </w:r>
      <w:r>
        <w:rPr>
          <w:rFonts w:ascii="Tw Cen MT" w:hAnsi="Tw Cen MT"/>
        </w:rPr>
        <w:t>duduk pertahun</w:t>
      </w:r>
      <w:r w:rsidRPr="003F7A78">
        <w:rPr>
          <w:rFonts w:ascii="Tw Cen MT" w:hAnsi="Tw Cen MT"/>
        </w:rPr>
        <w:t>.</w:t>
      </w:r>
    </w:p>
    <w:p w:rsidR="00570AD7" w:rsidRPr="003F7A78" w:rsidRDefault="00570AD7" w:rsidP="00570AD7">
      <w:pPr>
        <w:autoSpaceDE w:val="0"/>
        <w:autoSpaceDN w:val="0"/>
        <w:adjustRightInd w:val="0"/>
        <w:spacing w:after="0" w:line="240" w:lineRule="auto"/>
        <w:jc w:val="both"/>
        <w:rPr>
          <w:rFonts w:ascii="Tw Cen MT" w:hAnsi="Tw Cen MT" w:cs="Times New Roman"/>
          <w:sz w:val="24"/>
          <w:szCs w:val="24"/>
        </w:rPr>
      </w:pPr>
      <w:r w:rsidRPr="003F7A78">
        <w:rPr>
          <w:rFonts w:ascii="Tw Cen MT" w:hAnsi="Tw Cen MT" w:cs="Times New Roman"/>
          <w:sz w:val="24"/>
          <w:szCs w:val="24"/>
        </w:rPr>
        <w:t>Adanya peristiwa ini menurut r</w:t>
      </w:r>
      <w:r w:rsidR="00126D61">
        <w:rPr>
          <w:rFonts w:ascii="Tw Cen MT" w:hAnsi="Tw Cen MT" w:cs="Times New Roman"/>
          <w:sz w:val="24"/>
          <w:szCs w:val="24"/>
        </w:rPr>
        <w:t xml:space="preserve">emaja putri mampu merawat organ </w:t>
      </w:r>
      <w:r w:rsidRPr="003F7A78">
        <w:rPr>
          <w:rFonts w:ascii="Tw Cen MT" w:hAnsi="Tw Cen MT" w:cs="Times New Roman"/>
          <w:sz w:val="24"/>
          <w:szCs w:val="24"/>
        </w:rPr>
        <w:t>reproduksin</w:t>
      </w:r>
      <w:r w:rsidR="00126D61">
        <w:rPr>
          <w:rFonts w:ascii="Tw Cen MT" w:hAnsi="Tw Cen MT" w:cs="Times New Roman"/>
          <w:sz w:val="24"/>
          <w:szCs w:val="24"/>
        </w:rPr>
        <w:t>ya dengan baik. Hal ini dilatar</w:t>
      </w:r>
      <w:r w:rsidRPr="003F7A78">
        <w:rPr>
          <w:rFonts w:ascii="Tw Cen MT" w:hAnsi="Tw Cen MT" w:cs="Times New Roman"/>
          <w:sz w:val="24"/>
          <w:szCs w:val="24"/>
        </w:rPr>
        <w:t xml:space="preserve">belakangi oleh peristiwa menstruasi yang merupakan darah kotor disertai rasa gatal di bagian </w:t>
      </w:r>
      <w:r w:rsidRPr="00126D61">
        <w:rPr>
          <w:rFonts w:ascii="Tw Cen MT" w:hAnsi="Tw Cen MT" w:cs="Times New Roman"/>
          <w:i/>
          <w:sz w:val="24"/>
          <w:szCs w:val="24"/>
        </w:rPr>
        <w:t>vulvae</w:t>
      </w:r>
      <w:r w:rsidRPr="003F7A78">
        <w:rPr>
          <w:rFonts w:ascii="Tw Cen MT" w:hAnsi="Tw Cen MT" w:cs="Times New Roman"/>
          <w:sz w:val="24"/>
          <w:szCs w:val="24"/>
        </w:rPr>
        <w:t xml:space="preserve"> sehingga kurang dijaga kebersihannya akan berpotensi </w:t>
      </w:r>
      <w:r w:rsidRPr="003F7A78">
        <w:rPr>
          <w:rFonts w:ascii="Tw Cen MT" w:hAnsi="Tw Cen MT" w:cs="Times New Roman"/>
          <w:sz w:val="24"/>
          <w:szCs w:val="24"/>
        </w:rPr>
        <w:lastRenderedPageBreak/>
        <w:t>terhadap timbulnya infeksi pada organ reproduksi. Kebersihan daerah genetalia terutama pada saat menstruasi sering diabaikan oleh remaja. Darah dan keringat yang keluar serta menempel pada vulva yang dapat menyebabkan daerah genetalia menjadi lembab sehingga bakteri</w:t>
      </w:r>
      <w:r w:rsidR="00126D61">
        <w:rPr>
          <w:rFonts w:ascii="Tw Cen MT" w:hAnsi="Tw Cen MT" w:cs="Times New Roman"/>
          <w:sz w:val="24"/>
          <w:szCs w:val="24"/>
        </w:rPr>
        <w:t>,</w:t>
      </w:r>
      <w:r w:rsidRPr="003F7A78">
        <w:rPr>
          <w:rFonts w:ascii="Tw Cen MT" w:hAnsi="Tw Cen MT" w:cs="Times New Roman"/>
          <w:sz w:val="24"/>
          <w:szCs w:val="24"/>
        </w:rPr>
        <w:t xml:space="preserve"> jamur di</w:t>
      </w:r>
      <w:r>
        <w:rPr>
          <w:rFonts w:ascii="Tw Cen MT" w:hAnsi="Tw Cen MT" w:cs="Times New Roman"/>
          <w:sz w:val="24"/>
          <w:szCs w:val="24"/>
        </w:rPr>
        <w:t xml:space="preserve"> daerah genetalia akan tumbuh </w:t>
      </w:r>
      <w:r w:rsidRPr="003F7A78">
        <w:rPr>
          <w:rFonts w:ascii="Tw Cen MT" w:hAnsi="Tw Cen MT" w:cs="Times New Roman"/>
          <w:sz w:val="24"/>
          <w:szCs w:val="24"/>
        </w:rPr>
        <w:t>subur sampai menyebabkan rasa gatal d</w:t>
      </w:r>
      <w:r>
        <w:rPr>
          <w:rFonts w:ascii="Tw Cen MT" w:hAnsi="Tw Cen MT" w:cs="Times New Roman"/>
          <w:sz w:val="24"/>
          <w:szCs w:val="24"/>
        </w:rPr>
        <w:t>an infeksi pada daerah tersebut</w:t>
      </w:r>
      <w:r w:rsidRPr="003F7A78">
        <w:rPr>
          <w:rFonts w:ascii="Tw Cen MT" w:hAnsi="Tw Cen MT" w:cs="Times New Roman"/>
          <w:sz w:val="24"/>
          <w:szCs w:val="24"/>
        </w:rPr>
        <w:t xml:space="preserve"> </w:t>
      </w:r>
      <w:r w:rsidRPr="003F7A78">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"abstract" : "Adanya peristiwa ini menurut remaja putri mampu merwat organ reproduksinya dengan baik. Hal ini dilator belakangi oleh peristiwa menstruasi yang merupakan darah kotor disertai rasa gatal di bagian vulvae sehingga kurang dijaga kebersihannya akan berpotensi terhadap timbulnya infeksi pada organ reproduksi. Kebersihan daerah genetalia terutama pada saat menstruasi sering diabaikan oleh remaja. Darah dan keringat yang keluar serta menempel pada vulva yang dapat menyebabkan daerah genetalia menjadi lembab sehingga bakteri jamur di daerah genetalia akan tumbuh subur sampai menyebabkan rasa gatal dan infeksi pada daerah tersebut.", "author" : [ { "dropping-particle" : "", "family" : "Ismi Sulaika", "given" : "", "non-dropping-particle" : "", "parse-names" : false, "suffix" : "" }, { "dropping-particle" : "", "family" : "Ike", "given" : "Hindyah", "non-dropping-particle" : "", "parse-names" : false, "suffix" : "" }, { "dropping-particle" : "", "family" : "Puji", "given" : "Dwi", "non-dropping-particle" : "", "parse-names" : false, "suffix" : "" } ], "id" : "ITEM-1", "issued" : { "date-parts" : [ [ "2018" ] ] }, "page" : "8", "title" : "( Study at Junior High School of Pondok Pesantren Darul Muttaqin Jombang ) Incident to Adolescent . Metode : This type of research used quantitative analytic with were 40 adolescents who had menstruated with the stratafied sampling Menstruation With Pruri", "type" : "article-journal" }, "uris" : [ "http://www.mendeley.com/documents/?uuid=a9414ae6-f99b-4c0f-ae2b-47b667bacc26", "http://www.mendeley.com/documents/?uuid=a01c4f9a-a1eb-4fe6-a188-2a51becaad1b" ] } ], "mendeley" : { "formattedCitation" : "[4]", "plainTextFormattedCitation" : "[4]", "previouslyFormattedCitation" : "(Ismi Sulaika, Ike, &amp; Puji, 2018)" }, "properties" : { "noteIndex" : 0 }, "schema" : "https://github.com/citation-style-language/schema/raw/master/csl-citation.json" }</w:instrText>
      </w:r>
      <w:r w:rsidRPr="003F7A78">
        <w:rPr>
          <w:rFonts w:ascii="Tw Cen MT" w:hAnsi="Tw Cen MT" w:cs="Times New Roman"/>
          <w:sz w:val="24"/>
          <w:szCs w:val="24"/>
        </w:rPr>
        <w:fldChar w:fldCharType="separate"/>
      </w:r>
      <w:r w:rsidRPr="00A2544E">
        <w:rPr>
          <w:rFonts w:ascii="Tw Cen MT" w:hAnsi="Tw Cen MT" w:cs="Times New Roman"/>
          <w:noProof/>
          <w:sz w:val="24"/>
          <w:szCs w:val="24"/>
        </w:rPr>
        <w:t>[4]</w:t>
      </w:r>
      <w:r w:rsidRPr="003F7A78">
        <w:rPr>
          <w:rFonts w:ascii="Tw Cen MT" w:hAnsi="Tw Cen MT" w:cs="Times New Roman"/>
          <w:sz w:val="24"/>
          <w:szCs w:val="24"/>
        </w:rPr>
        <w:fldChar w:fldCharType="end"/>
      </w:r>
      <w:r>
        <w:rPr>
          <w:rFonts w:ascii="Tw Cen MT" w:hAnsi="Tw Cen MT" w:cs="Times New Roman"/>
          <w:sz w:val="24"/>
          <w:szCs w:val="24"/>
        </w:rPr>
        <w:t>.</w:t>
      </w:r>
    </w:p>
    <w:p w:rsidR="00570AD7" w:rsidRPr="003F7A78" w:rsidRDefault="00570AD7" w:rsidP="00570AD7">
      <w:pPr>
        <w:pStyle w:val="Default"/>
        <w:jc w:val="both"/>
        <w:rPr>
          <w:rFonts w:ascii="Tw Cen MT" w:hAnsi="Tw Cen MT"/>
          <w:color w:val="auto"/>
        </w:rPr>
      </w:pPr>
      <w:r w:rsidRPr="003F7A78">
        <w:rPr>
          <w:rFonts w:ascii="Tw Cen MT" w:hAnsi="Tw Cen MT"/>
          <w:color w:val="auto"/>
        </w:rPr>
        <w:t>Pembuluh darah dalam rahim sangatlah mudah terinfeksi ketika menstruasi karena kuman mudah masuk dan menimbulkan penyakit pada saluran reproduksi. Infeksi jamur dan bakteri menyebabkan terjadinya vaginitis (peradangan pada vagina) ataupun keputihan yang abnormal. Gejala yang muncul biasanya terjadi</w:t>
      </w:r>
      <w:r w:rsidR="00126D61">
        <w:rPr>
          <w:rFonts w:ascii="Tw Cen MT" w:hAnsi="Tw Cen MT"/>
          <w:color w:val="auto"/>
        </w:rPr>
        <w:t xml:space="preserve"> </w:t>
      </w:r>
      <w:r w:rsidRPr="003F7A78">
        <w:rPr>
          <w:rFonts w:ascii="Tw Cen MT" w:hAnsi="Tw Cen MT"/>
          <w:color w:val="auto"/>
        </w:rPr>
        <w:t xml:space="preserve">iritasi, inflamasi, </w:t>
      </w:r>
      <w:r w:rsidRPr="003F7A78">
        <w:rPr>
          <w:rFonts w:ascii="Tw Cen MT" w:hAnsi="Tw Cen MT"/>
          <w:i/>
          <w:iCs/>
          <w:color w:val="auto"/>
        </w:rPr>
        <w:t>pruritus vulvae</w:t>
      </w:r>
      <w:r w:rsidRPr="003F7A78">
        <w:rPr>
          <w:rFonts w:ascii="Tw Cen MT" w:hAnsi="Tw Cen MT"/>
          <w:color w:val="auto"/>
        </w:rPr>
        <w:t xml:space="preserve">. Gejala tersebut disebabkan oleh masuknya mikroorganisme </w:t>
      </w:r>
      <w:r w:rsidRPr="003F7A78">
        <w:rPr>
          <w:rFonts w:ascii="Tw Cen MT" w:hAnsi="Tw Cen MT"/>
          <w:i/>
          <w:iCs/>
          <w:color w:val="auto"/>
        </w:rPr>
        <w:t>Candida</w:t>
      </w:r>
      <w:r w:rsidRPr="003F7A78">
        <w:rPr>
          <w:rFonts w:ascii="Tw Cen MT" w:hAnsi="Tw Cen MT"/>
          <w:color w:val="auto"/>
        </w:rPr>
        <w:t xml:space="preserve"> </w:t>
      </w:r>
      <w:r w:rsidR="00126D61">
        <w:rPr>
          <w:rFonts w:ascii="Tw Cen MT" w:hAnsi="Tw Cen MT"/>
          <w:i/>
          <w:color w:val="auto"/>
        </w:rPr>
        <w:t>a</w:t>
      </w:r>
      <w:r w:rsidRPr="003F7A78">
        <w:rPr>
          <w:rFonts w:ascii="Tw Cen MT" w:hAnsi="Tw Cen MT"/>
          <w:i/>
          <w:iCs/>
          <w:color w:val="auto"/>
        </w:rPr>
        <w:t xml:space="preserve">lbican, Trichomonas vaginalis, </w:t>
      </w:r>
      <w:r w:rsidRPr="003F7A78">
        <w:rPr>
          <w:rFonts w:ascii="Tw Cen MT" w:hAnsi="Tw Cen MT"/>
          <w:color w:val="auto"/>
        </w:rPr>
        <w:t xml:space="preserve">dan </w:t>
      </w:r>
      <w:r w:rsidRPr="003F7A78">
        <w:rPr>
          <w:rFonts w:ascii="Tw Cen MT" w:hAnsi="Tw Cen MT"/>
          <w:i/>
          <w:iCs/>
          <w:color w:val="auto"/>
        </w:rPr>
        <w:t>Gardnerella vaginalis</w:t>
      </w:r>
      <w:r w:rsidRPr="003F7A78">
        <w:rPr>
          <w:rFonts w:ascii="Tw Cen MT" w:hAnsi="Tw Cen MT"/>
          <w:color w:val="auto"/>
        </w:rPr>
        <w:t xml:space="preserve"> </w:t>
      </w:r>
      <w:r w:rsidRPr="003F7A78">
        <w:rPr>
          <w:rFonts w:ascii="Tw Cen MT" w:hAnsi="Tw Cen MT"/>
          <w:color w:val="auto"/>
        </w:rPr>
        <w:fldChar w:fldCharType="begin" w:fldLock="1"/>
      </w:r>
      <w:r>
        <w:rPr>
          <w:rFonts w:ascii="Tw Cen MT" w:hAnsi="Tw Cen MT"/>
          <w:color w:val="auto"/>
        </w:rPr>
        <w:instrText>ADDIN CSL_CITATION { "citationItems" : [ { "id" : "ITEM-1", "itemData" : { "abstract" : "Pembuluh darah dalam rahim sangatlah mudah terinfeksi ketika menstruasi karena kuman mudah masuk dan menimbulkan penyakit pada saluran reproduksi (Kusmiran, 2012). Infeksi jamur dan bakteri menyebabkan terjadinya vaginitis (peradangan pada vagina)ataupun keputihan yang abnormal. Gejala yang muncul biasanya terjadiiritasi, inflamasi, pruritus vulvae. Gejala tersebut disebabkan oleh masuknya mikroorganisme Candida albican, Trichomonas vaginalis, dan Gardnerella vaginalis.", "author" : [ { "dropping-particle" : "", "family" : "Shobihat Abd. Rosyid", "given" : "", "non-dropping-particle" : "", "parse-names" : false, "suffix" : "" }, { "dropping-particle" : "", "family" : "Mukhoirotin", "given" : "", "non-dropping-particle" : "", "parse-names" : false, "suffix" : "" } ], "id" : "ITEM-1", "issued" : { "date-parts" : [ [ "2017" ] ] }, "page" : "8", "title" : "Hubungan Perilaku Personal Hygiene Saat Menstruasi Dengan Kejadian Pruritus Vulva Pada Santriwati Di", "type" : "article-journal", "volume" : "000" }, "uris" : [ "http://www.mendeley.com/documents/?uuid=be28f17e-5ed8-4581-83c9-18754b8225fe", "http://www.mendeley.com/documents/?uuid=b8ae2150-fe8a-4b57-8989-6bcc4be8afa8" ] } ], "mendeley" : { "formattedCitation" : "[5]", "plainTextFormattedCitation" : "[5]", "previouslyFormattedCitation" : "(Shobihat Abd. Rosyid &amp; Mukhoirotin, 2017)" }, "properties" : { "noteIndex" : 0 }, "schema" : "https://github.com/citation-style-language/schema/raw/master/csl-citation.json" }</w:instrText>
      </w:r>
      <w:r w:rsidRPr="003F7A78">
        <w:rPr>
          <w:rFonts w:ascii="Tw Cen MT" w:hAnsi="Tw Cen MT"/>
          <w:color w:val="auto"/>
        </w:rPr>
        <w:fldChar w:fldCharType="separate"/>
      </w:r>
      <w:r w:rsidRPr="00A2544E">
        <w:rPr>
          <w:rFonts w:ascii="Tw Cen MT" w:hAnsi="Tw Cen MT"/>
          <w:noProof/>
          <w:color w:val="auto"/>
        </w:rPr>
        <w:t>[5]</w:t>
      </w:r>
      <w:r w:rsidRPr="003F7A78">
        <w:rPr>
          <w:rFonts w:ascii="Tw Cen MT" w:hAnsi="Tw Cen MT"/>
          <w:color w:val="auto"/>
        </w:rPr>
        <w:fldChar w:fldCharType="end"/>
      </w:r>
      <w:r w:rsidRPr="003F7A78">
        <w:rPr>
          <w:rFonts w:ascii="Tw Cen MT" w:hAnsi="Tw Cen MT"/>
          <w:color w:val="auto"/>
        </w:rPr>
        <w:t xml:space="preserve">. </w:t>
      </w:r>
    </w:p>
    <w:p w:rsidR="00570AD7" w:rsidRPr="003F7A78" w:rsidRDefault="00570AD7" w:rsidP="00570AD7">
      <w:pPr>
        <w:spacing w:after="0" w:line="240" w:lineRule="auto"/>
        <w:jc w:val="both"/>
        <w:rPr>
          <w:rFonts w:ascii="Tw Cen MT" w:hAnsi="Tw Cen MT" w:cs="Times New Roman"/>
          <w:sz w:val="24"/>
          <w:szCs w:val="24"/>
        </w:rPr>
      </w:pPr>
      <w:r>
        <w:rPr>
          <w:rFonts w:ascii="Tw Cen MT" w:hAnsi="Tw Cen MT" w:cs="Times New Roman"/>
          <w:sz w:val="24"/>
          <w:szCs w:val="24"/>
        </w:rPr>
        <w:t xml:space="preserve">Menurut WHO </w:t>
      </w:r>
      <w:r w:rsidRPr="003F7A78">
        <w:rPr>
          <w:rFonts w:ascii="Tw Cen MT" w:hAnsi="Tw Cen MT" w:cs="Times New Roman"/>
          <w:sz w:val="24"/>
          <w:szCs w:val="24"/>
        </w:rPr>
        <w:t xml:space="preserve">tahun 2016 memperkirakan 15 dari 20 remaja putri pernah mengalami keputihan setiap tahunnya. Infeksi tersebut disebabkan karena kurangnya kebersihan diri, terutama </w:t>
      </w:r>
      <w:r w:rsidRPr="00126D61">
        <w:rPr>
          <w:rFonts w:ascii="Tw Cen MT" w:hAnsi="Tw Cen MT" w:cs="Times New Roman"/>
          <w:i/>
          <w:sz w:val="24"/>
          <w:szCs w:val="24"/>
        </w:rPr>
        <w:t>vulva hygiene</w:t>
      </w:r>
      <w:r>
        <w:rPr>
          <w:rFonts w:ascii="Tw Cen MT" w:hAnsi="Tw Cen MT" w:cs="Times New Roman"/>
          <w:sz w:val="24"/>
          <w:szCs w:val="24"/>
        </w:rPr>
        <w:t xml:space="preserve"> saat men</w:t>
      </w:r>
      <w:r w:rsidR="00126D61">
        <w:rPr>
          <w:rFonts w:ascii="Tw Cen MT" w:hAnsi="Tw Cen MT" w:cs="Times New Roman"/>
          <w:sz w:val="24"/>
          <w:szCs w:val="24"/>
        </w:rPr>
        <w:t>s</w:t>
      </w:r>
      <w:r>
        <w:rPr>
          <w:rFonts w:ascii="Tw Cen MT" w:hAnsi="Tw Cen MT" w:cs="Times New Roman"/>
          <w:sz w:val="24"/>
          <w:szCs w:val="24"/>
        </w:rPr>
        <w:t>truasi</w:t>
      </w:r>
      <w:r w:rsidRPr="003F7A78">
        <w:rPr>
          <w:rFonts w:ascii="Tw Cen MT" w:hAnsi="Tw Cen MT" w:cs="Times New Roman"/>
          <w:sz w:val="24"/>
          <w:szCs w:val="24"/>
        </w:rPr>
        <w:t>. Studi tentang kebersihan menstruasi pada perempuan dan remaja putri di Mesir ditemukan bahwa antara perempuan yang pernah menikah 15.3% menggunakan pembalut sekali pakai 42,1% menggunakan kapas, dan 39,4% menggunakan pembalut kain sebagai penyerap setelah mencucinya. Perilaku kesehatan mengenai perilaku personal hygiene sangat penting dilakukan karena jika tidak diterapkan dengan benar maka akan menimbulkan infeksi saluran reproduksi, infeksi jamur, dan bakteri</w:t>
      </w:r>
      <w:r w:rsidR="00126D61">
        <w:rPr>
          <w:rFonts w:ascii="Tw Cen MT" w:hAnsi="Tw Cen MT" w:cs="Times New Roman"/>
          <w:sz w:val="24"/>
          <w:szCs w:val="24"/>
        </w:rPr>
        <w:t>.</w:t>
      </w:r>
      <w:r w:rsidRPr="003F7A78">
        <w:rPr>
          <w:rFonts w:ascii="Tw Cen MT" w:hAnsi="Tw Cen MT" w:cs="Times New Roman"/>
          <w:sz w:val="24"/>
          <w:szCs w:val="24"/>
        </w:rPr>
        <w:t xml:space="preserve"> </w:t>
      </w:r>
      <w:r w:rsidRPr="00126D61">
        <w:rPr>
          <w:rFonts w:ascii="Tw Cen MT" w:hAnsi="Tw Cen MT" w:cs="Times New Roman"/>
          <w:sz w:val="24"/>
          <w:szCs w:val="24"/>
        </w:rPr>
        <w:t>Personal</w:t>
      </w:r>
      <w:r w:rsidRPr="00126D61">
        <w:rPr>
          <w:rFonts w:ascii="Tw Cen MT" w:hAnsi="Tw Cen MT" w:cs="Times New Roman"/>
          <w:i/>
          <w:sz w:val="24"/>
          <w:szCs w:val="24"/>
        </w:rPr>
        <w:t xml:space="preserve"> hygiene</w:t>
      </w:r>
      <w:r w:rsidRPr="003F7A78">
        <w:rPr>
          <w:rFonts w:ascii="Tw Cen MT" w:hAnsi="Tw Cen MT" w:cs="Times New Roman"/>
          <w:sz w:val="24"/>
          <w:szCs w:val="24"/>
        </w:rPr>
        <w:t xml:space="preserve"> memegang </w:t>
      </w:r>
      <w:r w:rsidRPr="003F7A78">
        <w:rPr>
          <w:rFonts w:ascii="Tw Cen MT" w:hAnsi="Tw Cen MT" w:cs="Times New Roman"/>
          <w:sz w:val="24"/>
          <w:szCs w:val="24"/>
        </w:rPr>
        <w:lastRenderedPageBreak/>
        <w:t xml:space="preserve">peranan penting, </w:t>
      </w:r>
      <w:r w:rsidRPr="00126D61">
        <w:rPr>
          <w:rFonts w:ascii="Tw Cen MT" w:hAnsi="Tw Cen MT" w:cs="Times New Roman"/>
          <w:sz w:val="24"/>
          <w:szCs w:val="24"/>
        </w:rPr>
        <w:t>personal</w:t>
      </w:r>
      <w:r w:rsidRPr="00126D61">
        <w:rPr>
          <w:rFonts w:ascii="Tw Cen MT" w:hAnsi="Tw Cen MT" w:cs="Times New Roman"/>
          <w:i/>
          <w:sz w:val="24"/>
          <w:szCs w:val="24"/>
        </w:rPr>
        <w:t xml:space="preserve"> hygiene</w:t>
      </w:r>
      <w:r w:rsidRPr="003F7A78">
        <w:rPr>
          <w:rFonts w:ascii="Tw Cen MT" w:hAnsi="Tw Cen MT" w:cs="Times New Roman"/>
          <w:sz w:val="24"/>
          <w:szCs w:val="24"/>
        </w:rPr>
        <w:t xml:space="preserve"> saat menstruasi adalah tindakan untuk memelihara kesehatan dan kebersihan pada organ kewanitaan saat menstruasi, indikator dalam </w:t>
      </w:r>
      <w:r w:rsidRPr="00126D61">
        <w:rPr>
          <w:rFonts w:ascii="Tw Cen MT" w:hAnsi="Tw Cen MT" w:cs="Times New Roman"/>
          <w:sz w:val="24"/>
          <w:szCs w:val="24"/>
        </w:rPr>
        <w:t xml:space="preserve">personal </w:t>
      </w:r>
      <w:r w:rsidRPr="00126D61">
        <w:rPr>
          <w:rFonts w:ascii="Tw Cen MT" w:hAnsi="Tw Cen MT" w:cs="Times New Roman"/>
          <w:i/>
          <w:sz w:val="24"/>
          <w:szCs w:val="24"/>
        </w:rPr>
        <w:t xml:space="preserve">hygiene </w:t>
      </w:r>
      <w:r w:rsidRPr="003F7A78">
        <w:rPr>
          <w:rFonts w:ascii="Tw Cen MT" w:hAnsi="Tw Cen MT" w:cs="Times New Roman"/>
          <w:sz w:val="24"/>
          <w:szCs w:val="24"/>
        </w:rPr>
        <w:t xml:space="preserve">saat menstruasi. Keluhan yang ditimbulkan akibat ketidaktahuan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adalah penyakit pruritus vulva yaitu penyakit yang ditandai dengan adanya sensasi gatal parah dari alat kelamin </w:t>
      </w:r>
      <w:r w:rsidRPr="003F7A78">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"DOI" : "10.30787/gaster.v17i1.341", "ISSN" : "1858-3385", "abstract" : "Pendahuluan:Personal hygiene adalah suatu tindakan untuk memelihara kebersihan dan kesehatan seseorang untuk memelihara kesehatan, baik fisik maupun psikisnya. Berdasarkan survei awal peneliti yang dilakukan pada bulan Juli di SMA Etislandia dengan jumlah siswi 45 orang, melalui wawancara kepada 7 orang siswi 4 orang siswi mengatakan bahwa mereka mengalami rasa gatal pada daerah kewanitaan mereka ketika 3 orang siswi diantaranya mengalami keputihan. Tujuan dari penelitian ini adalah untuk menegetahui hubungan perilaku remaja putri dengan personal hygiene pada remaja putri Di SMA Etislandia Medan Tahun 2018. Metode:Metode penelitian yang digunakan analitik dengan pendekatan cross sectional. Populasi pada penelitian ini sebanyak 45 siswi. Pengambilan sampel dalam penelitian ini teknik total populasi (total population) dengan jumlah sampel sebanyak 45 responden. data menggunakan uji univariat dan bivariat Chi Square pada tingkat kepercayaan 95% (\u03b1=0,05).Hasil:Hasil uji statistik dengan Chi Square,diperoleh hasil pengetahuan(0,033), sikap (0,49), dan tindakan (0,032) dengan Personal hygiene saat menstruasi di SMA Etislandia Medan\u00a0 Tahun 2018Kesimpulan:Kesimpulan yang dapat diambil dari penelitian ini ada hubungan antara pengetahuan, sikap dan tindakan\u00a0 remaja putri dengan personal hygiene saat menstruasi di SMA Etislandia Medan tahun 2018. Diharapkan agar para guru dapat memberi motivasi kepada remaja putri untuk menerapkan dan menjaga personal hygiene dalam kehidupan sehari-hari", "author" : [ { "dropping-particle" : "", "family" : "Pemiliana", "given" : "Putri Diah", "non-dropping-particle" : "", "parse-names" : false, "suffix" : "" } ], "container-title" : "Gaster", "id" : "ITEM-1", "issue" : "1", "issued" : { "date-parts" : [ [ "2019" ] ] }, "page" : "62", "title" : "Perilaku Remaja Putri Dengan Personal Hygiene Saat Menstruasi Di Sma Etidlandia Medan Tahun 2018", "type" : "article-journal", "volume" : "17" }, "uris" : [ "http://www.mendeley.com/documents/?uuid=b5b5024a-bb21-4184-a4f9-a43ae8ff4d84", "http://www.mendeley.com/documents/?uuid=18f426f3-d659-4201-b372-99f5def162c6", "http://www.mendeley.com/documents/?uuid=a4e49222-d014-4411-a001-016dd220ff2e" ] } ], "mendeley" : { "formattedCitation" : "[6]", "plainTextFormattedCitation" : "[6]", "previouslyFormattedCitation" : "(Pemiliana, 2019)" }, "properties" : { "noteIndex" : 0 }, "schema" : "https://github.com/citation-style-language/schema/raw/master/csl-citation.json" }</w:instrText>
      </w:r>
      <w:r w:rsidRPr="003F7A78">
        <w:rPr>
          <w:rFonts w:ascii="Tw Cen MT" w:hAnsi="Tw Cen MT" w:cs="Times New Roman"/>
          <w:sz w:val="24"/>
          <w:szCs w:val="24"/>
        </w:rPr>
        <w:fldChar w:fldCharType="separate"/>
      </w:r>
      <w:r w:rsidRPr="00A2544E">
        <w:rPr>
          <w:rFonts w:ascii="Tw Cen MT" w:hAnsi="Tw Cen MT" w:cs="Times New Roman"/>
          <w:noProof/>
          <w:sz w:val="24"/>
          <w:szCs w:val="24"/>
        </w:rPr>
        <w:t>[6]</w:t>
      </w:r>
      <w:r w:rsidRPr="003F7A78">
        <w:rPr>
          <w:rFonts w:ascii="Tw Cen MT" w:hAnsi="Tw Cen MT" w:cs="Times New Roman"/>
          <w:sz w:val="24"/>
          <w:szCs w:val="24"/>
        </w:rPr>
        <w:fldChar w:fldCharType="end"/>
      </w:r>
      <w:r w:rsidRPr="003F7A78">
        <w:rPr>
          <w:rFonts w:ascii="Tw Cen MT" w:hAnsi="Tw Cen MT" w:cs="Times New Roman"/>
          <w:sz w:val="24"/>
          <w:szCs w:val="24"/>
        </w:rPr>
        <w:t>.</w:t>
      </w:r>
    </w:p>
    <w:p w:rsidR="00570AD7" w:rsidRPr="003F7A78" w:rsidRDefault="00570AD7" w:rsidP="00570AD7">
      <w:pPr>
        <w:pStyle w:val="Default"/>
        <w:jc w:val="both"/>
        <w:rPr>
          <w:rFonts w:ascii="Tw Cen MT" w:hAnsi="Tw Cen MT"/>
        </w:rPr>
      </w:pPr>
      <w:r w:rsidRPr="00126D61">
        <w:rPr>
          <w:rFonts w:ascii="Tw Cen MT" w:hAnsi="Tw Cen MT"/>
        </w:rPr>
        <w:t>Personal</w:t>
      </w:r>
      <w:r w:rsidRPr="003F7A78">
        <w:rPr>
          <w:rFonts w:ascii="Tw Cen MT" w:hAnsi="Tw Cen MT"/>
          <w:i/>
        </w:rPr>
        <w:t xml:space="preserve"> hygiene</w:t>
      </w:r>
      <w:r w:rsidRPr="003F7A78">
        <w:rPr>
          <w:rFonts w:ascii="Tw Cen MT" w:hAnsi="Tw Cen MT"/>
        </w:rPr>
        <w:t xml:space="preserve"> adalah suatu tindakan yang dilakukan untuk memelihara kebersihan dan kesehatan seseorang untuk kesejahtraan fisik dan psikis. Personal </w:t>
      </w:r>
      <w:r w:rsidRPr="003F7A78">
        <w:rPr>
          <w:rFonts w:ascii="Tw Cen MT" w:hAnsi="Tw Cen MT"/>
          <w:i/>
          <w:iCs/>
        </w:rPr>
        <w:t xml:space="preserve">hygiene </w:t>
      </w:r>
      <w:r w:rsidRPr="003F7A78">
        <w:rPr>
          <w:rFonts w:ascii="Tw Cen MT" w:hAnsi="Tw Cen MT"/>
        </w:rPr>
        <w:t xml:space="preserve">menstruasi merupakan komponen </w:t>
      </w:r>
      <w:r w:rsidRPr="003F7A78">
        <w:rPr>
          <w:rFonts w:ascii="Tw Cen MT" w:hAnsi="Tw Cen MT"/>
          <w:i/>
          <w:iCs/>
        </w:rPr>
        <w:t xml:space="preserve">hygiene </w:t>
      </w:r>
      <w:r w:rsidRPr="003F7A78">
        <w:rPr>
          <w:rFonts w:ascii="Tw Cen MT" w:hAnsi="Tw Cen MT"/>
        </w:rPr>
        <w:t xml:space="preserve">perorangan yang memegang peran penting dalam menentukan status kesehatan, khususnya terhindar dari infeksi alat reproduksi. Pada saat menstruasi pembuluh darah dalam rahim sangat mudah terinfeksi. Oleh karena itu kebersihan alat genetalia kelamin harus lebih dijaga karena kuman mudah sekali masuk dan dapat menimbulkan Infeksi Saluran Reproduksi (ISR)  </w:t>
      </w:r>
      <w:r w:rsidRPr="003F7A78">
        <w:rPr>
          <w:rFonts w:ascii="Tw Cen MT" w:hAnsi="Tw Cen MT"/>
        </w:rPr>
        <w:fldChar w:fldCharType="begin" w:fldLock="1"/>
      </w:r>
      <w:r>
        <w:rPr>
          <w:rFonts w:ascii="Tw Cen MT" w:hAnsi="Tw Cen MT"/>
        </w:rPr>
        <w:instrText>ADDIN CSL_CITATION { "citationItems" : [ { "id" : "ITEM-1", "itemData" : { "abstract" : "Personal hygiene menstruasi merupakan komponen hygiene perorangan yang memegang peran penting dalam menentukan status kesehatan, khususnya terhindar dari infeksi alat reproduksi. Pada saat menstruasi pembuluh darah dalam rahim sangat mudah terinfeksi. Oleh karena itu kebersihan alat genetalia kelamin harus lebih dijaga karena kuman mudah sekali masuk dan dapat menimbulkan Infeksi Saluran Reproduksi (ISR).", "author" : [ { "dropping-particle" : "", "family" : "Natalia Erlina Yuni", "given" : "", "non-dropping-particle" : "", "parse-names" : false, "suffix" : "" } ], "edition" : "cetakan pe", "id" : "ITEM-1", "issued" : { "date-parts" : [ [ "2015" ] ] }, "number-of-pages" : "145-146", "publisher" : "Nuha Medika", "publisher-place" : "Yogyakarta", "title" : "Personal hygiene", "type" : "book" }, "uris" : [ "http://www.mendeley.com/documents/?uuid=a4e83072-1029-4445-8b6a-795a6391e0d8", "http://www.mendeley.com/documents/?uuid=e3e1385e-f83f-4c34-98e5-19461c5782f3" ] } ], "mendeley" : { "formattedCitation" : "[7]", "plainTextFormattedCitation" : "[7]", "previouslyFormattedCitation" : "(Natalia Erlina Yuni, 2015)"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[7]</w:t>
      </w:r>
      <w:r w:rsidRPr="003F7A78">
        <w:rPr>
          <w:rFonts w:ascii="Tw Cen MT" w:hAnsi="Tw Cen MT"/>
        </w:rPr>
        <w:fldChar w:fldCharType="end"/>
      </w:r>
      <w:r w:rsidRPr="003F7A78">
        <w:rPr>
          <w:rFonts w:ascii="Tw Cen MT" w:hAnsi="Tw Cen MT"/>
        </w:rPr>
        <w:t xml:space="preserve">. </w:t>
      </w:r>
    </w:p>
    <w:p w:rsidR="00570AD7" w:rsidRPr="003F7A78" w:rsidRDefault="00570AD7" w:rsidP="00570AD7">
      <w:pPr>
        <w:pStyle w:val="Default"/>
        <w:jc w:val="both"/>
        <w:rPr>
          <w:rFonts w:ascii="Tw Cen MT" w:hAnsi="Tw Cen MT"/>
        </w:rPr>
      </w:pPr>
      <w:r w:rsidRPr="003F7A78">
        <w:rPr>
          <w:rFonts w:ascii="Tw Cen MT" w:hAnsi="Tw Cen MT"/>
        </w:rPr>
        <w:t xml:space="preserve">Salah satu akibat kurangnya pemahaman personal </w:t>
      </w:r>
      <w:r w:rsidRPr="00126D61">
        <w:rPr>
          <w:rFonts w:ascii="Tw Cen MT" w:hAnsi="Tw Cen MT"/>
          <w:i/>
        </w:rPr>
        <w:t>hygiene</w:t>
      </w:r>
      <w:r w:rsidRPr="003F7A78">
        <w:rPr>
          <w:rFonts w:ascii="Tw Cen MT" w:hAnsi="Tw Cen MT"/>
        </w:rPr>
        <w:t xml:space="preserve"> genetalia adalah terjadinya gangguan kesehatan</w:t>
      </w:r>
      <w:r w:rsidR="00126D61">
        <w:rPr>
          <w:rFonts w:ascii="Tw Cen MT" w:hAnsi="Tw Cen MT"/>
        </w:rPr>
        <w:t xml:space="preserve"> reproduksi seperti keputihan, Infeksi Saluran Reproduksi (ISR), Penyakit Radang P</w:t>
      </w:r>
      <w:r w:rsidRPr="003F7A78">
        <w:rPr>
          <w:rFonts w:ascii="Tw Cen MT" w:hAnsi="Tw Cen MT"/>
        </w:rPr>
        <w:t xml:space="preserve">anggul (PRP) dan kemungkinan terjadi kanker leher rahim </w:t>
      </w:r>
      <w:r w:rsidRPr="008E5399">
        <w:rPr>
          <w:rFonts w:ascii="Tw Cen MT" w:hAnsi="Tw Cen MT"/>
          <w:color w:val="auto"/>
        </w:rPr>
        <w:t>(Wakhidah, 201</w:t>
      </w:r>
      <w:r w:rsidR="008E5399" w:rsidRPr="008E5399">
        <w:rPr>
          <w:rFonts w:ascii="Tw Cen MT" w:hAnsi="Tw Cen MT"/>
          <w:color w:val="auto"/>
          <w:lang w:val="id-ID"/>
        </w:rPr>
        <w:t>4)</w:t>
      </w:r>
      <w:r w:rsidRPr="003F7A78">
        <w:rPr>
          <w:rFonts w:ascii="Tw Cen MT" w:hAnsi="Tw Cen MT"/>
        </w:rPr>
        <w:t xml:space="preserve">Provinsi Kepulauan Riau, Maluku Utara, dan D.I. Yogyakarta memiliki prevalensi kanker serviks tertinggi yaitu sebesar 1,5% dan untuk Provinsi Riau juga cukup tinggi, yaitu sebesar 0,7% dengan estimasi jumlah absolut sebesar 4.694 orang </w:t>
      </w:r>
      <w:r w:rsidRPr="003F7A78">
        <w:rPr>
          <w:rFonts w:ascii="Tw Cen MT" w:hAnsi="Tw Cen MT"/>
        </w:rPr>
        <w:fldChar w:fldCharType="begin" w:fldLock="1"/>
      </w:r>
      <w:r>
        <w:rPr>
          <w:rFonts w:ascii="Tw Cen MT" w:hAnsi="Tw Cen MT"/>
        </w:rPr>
        <w:instrText>ADDIN CSL_CITATION { "citationItems" : [ { "id" : "ITEM-1", "itemData" : { "author" : [ { "dropping-particle" : "", "family" : "Nurmaliza", "given" : "Shofy Rohidah", "non-dropping-particle" : "", "parse-names" : false, "suffix" : "" } ], "id" : "ITEM-1", "issue" : "1", "issued" : { "date-parts" : [ [ "2019" ] ] }, "page" : "32-35", "title" : "HUBUNGAN TINGKAT PENGETAHUAN REMAJA PUTRI TERHADAP PERSONAL HYGIENE SAAT MENSTRUASI DI SMA NEGERI 3 PEKANBARU TAHUN 2018", "type" : "article-journal", "volume" : "3" }, "uris" : [ "http://www.mendeley.com/documents/?uuid=bb43b092-ecbc-4e64-8f7f-78c757ef0c1c", "http://www.mendeley.com/documents/?uuid=cab359a7-d3f1-4b8e-84fb-eb7aa41e9b69", "http://www.mendeley.com/documents/?uuid=9e290f4d-0f19-4f7c-add3-52ab42ffd0e8" ] } ], "mendeley" : { "formattedCitation" : "[8]", "plainTextFormattedCitation" : "[8]", "previouslyFormattedCitation" : "(Nurmaliza, 2019)" }, "properties" : { "noteIndex" : 0 }, "schema" : "https://github.com/citation-style-language/schema/raw/master/csl-citation.json" }</w:instrText>
      </w:r>
      <w:r w:rsidRPr="003F7A78">
        <w:rPr>
          <w:rFonts w:ascii="Tw Cen MT" w:hAnsi="Tw Cen MT"/>
        </w:rPr>
        <w:fldChar w:fldCharType="separate"/>
      </w:r>
      <w:r w:rsidRPr="00A2544E">
        <w:rPr>
          <w:rFonts w:ascii="Tw Cen MT" w:hAnsi="Tw Cen MT"/>
          <w:noProof/>
        </w:rPr>
        <w:t>[8]</w:t>
      </w:r>
      <w:r w:rsidRPr="003F7A78">
        <w:rPr>
          <w:rFonts w:ascii="Tw Cen MT" w:hAnsi="Tw Cen MT"/>
        </w:rPr>
        <w:fldChar w:fldCharType="end"/>
      </w:r>
      <w:r>
        <w:rPr>
          <w:rFonts w:ascii="Tw Cen MT" w:hAnsi="Tw Cen MT"/>
        </w:rPr>
        <w:t>.</w:t>
      </w:r>
    </w:p>
    <w:p w:rsidR="00570AD7" w:rsidRPr="00126D61" w:rsidRDefault="00570AD7" w:rsidP="00570AD7">
      <w:pPr>
        <w:pStyle w:val="Default"/>
        <w:jc w:val="both"/>
        <w:rPr>
          <w:rFonts w:ascii="Tw Cen MT" w:hAnsi="Tw Cen MT"/>
          <w:lang w:val="id-ID"/>
        </w:rPr>
      </w:pPr>
      <w:r w:rsidRPr="003F7A78">
        <w:rPr>
          <w:rFonts w:ascii="Tw Cen MT" w:hAnsi="Tw Cen MT"/>
        </w:rPr>
        <w:t xml:space="preserve">Berdasarkan data-data survey BKKBN bahwa pada remaja wanita 28% sudah mendapatkan haid </w:t>
      </w:r>
      <w:r w:rsidRPr="003F7A78">
        <w:rPr>
          <w:rFonts w:ascii="Tw Cen MT" w:hAnsi="Tw Cen MT"/>
        </w:rPr>
        <w:lastRenderedPageBreak/>
        <w:t>pertama kali nya umur 17 tahun dan presentasi pelajaran kesehatan reproduksi pada remaja tentang kesehatan reproduksi manusia 59% dan</w:t>
      </w:r>
      <w:r>
        <w:rPr>
          <w:rFonts w:ascii="Tw Cen MT" w:hAnsi="Tw Cen MT"/>
        </w:rPr>
        <w:t xml:space="preserve"> pada laki-laki 55%</w:t>
      </w:r>
      <w:r w:rsidR="00126D61">
        <w:rPr>
          <w:rFonts w:ascii="Tw Cen MT" w:hAnsi="Tw Cen MT"/>
        </w:rPr>
        <w:t xml:space="preserve">. </w:t>
      </w:r>
      <w:r w:rsidRPr="003F7A78">
        <w:rPr>
          <w:rFonts w:ascii="Tw Cen MT" w:hAnsi="Tw Cen MT"/>
        </w:rPr>
        <w:t>Mayoritas pengetahuan remaja tentang kesehatan reproduksi biasanya 62% dari teman, 53% dari ibu, 42% dari guru dan presntasi mayoritas pengetahuan remaja kesehatan reproduksi 4 % dari ayah. Sumber informasi tentang kesehatan reproduksi dari ibu dan guru lebih tinggi 33% pada umur 15-19 tahun di bandingkan pada umur 20-</w:t>
      </w:r>
      <w:r>
        <w:rPr>
          <w:rFonts w:ascii="Tw Cen MT" w:hAnsi="Tw Cen MT"/>
        </w:rPr>
        <w:t>24 tahun hanya 14%</w:t>
      </w:r>
      <w:r w:rsidRPr="003F7A78">
        <w:rPr>
          <w:rFonts w:ascii="Tw Cen MT" w:hAnsi="Tw Cen MT"/>
        </w:rPr>
        <w:t xml:space="preserve">. </w:t>
      </w:r>
    </w:p>
    <w:p w:rsidR="00D93684" w:rsidRPr="00296EB9" w:rsidRDefault="00570AD7" w:rsidP="00570AD7">
      <w:pPr>
        <w:spacing w:after="0" w:line="240" w:lineRule="auto"/>
        <w:jc w:val="both"/>
        <w:rPr>
          <w:rFonts w:ascii="Tw Cen MT" w:eastAsia="Twentieth Century" w:hAnsi="Tw Cen MT" w:cs="Twentieth Century"/>
          <w:color w:val="000000"/>
          <w:sz w:val="24"/>
          <w:szCs w:val="24"/>
        </w:rPr>
      </w:pPr>
      <w:r w:rsidRPr="003F7A78">
        <w:rPr>
          <w:rFonts w:ascii="Tw Cen MT" w:hAnsi="Tw Cen MT" w:cs="Times New Roman"/>
          <w:sz w:val="24"/>
          <w:szCs w:val="24"/>
        </w:rPr>
        <w:t>Berdasarkan hasil survey awal pada beber</w:t>
      </w:r>
      <w:r w:rsidR="00126D61">
        <w:rPr>
          <w:rFonts w:ascii="Tw Cen MT" w:hAnsi="Tw Cen MT" w:cs="Times New Roman"/>
          <w:sz w:val="24"/>
          <w:szCs w:val="24"/>
        </w:rPr>
        <w:t>apa panti asuhan putri di kota P</w:t>
      </w:r>
      <w:r w:rsidRPr="003F7A78">
        <w:rPr>
          <w:rFonts w:ascii="Tw Cen MT" w:hAnsi="Tw Cen MT" w:cs="Times New Roman"/>
          <w:sz w:val="24"/>
          <w:szCs w:val="24"/>
        </w:rPr>
        <w:t>ekanbaru dapat ditemukan bahwa Panti Asuhan Putri Aisyiyah Kota Pekanbaru memiliki populasi yang cukup untuk melakukan penelitian di tempat tersebut.  Pada saat</w:t>
      </w:r>
      <w:r w:rsidR="00126D61">
        <w:rPr>
          <w:rFonts w:ascii="Tw Cen MT" w:hAnsi="Tw Cen MT" w:cs="Times New Roman"/>
          <w:sz w:val="24"/>
          <w:szCs w:val="24"/>
        </w:rPr>
        <w:t xml:space="preserve"> melakukan survey awal yang di</w:t>
      </w:r>
      <w:r w:rsidRPr="003F7A78">
        <w:rPr>
          <w:rFonts w:ascii="Tw Cen MT" w:hAnsi="Tw Cen MT" w:cs="Times New Roman"/>
          <w:sz w:val="24"/>
          <w:szCs w:val="24"/>
        </w:rPr>
        <w:t>lakukan peneliti pada tanggal 9 Agustus  di</w:t>
      </w:r>
      <w:r w:rsidRPr="001D2BAA">
        <w:rPr>
          <w:rFonts w:ascii="Tw Cen MT" w:hAnsi="Tw Cen MT" w:cs="Times New Roman"/>
          <w:sz w:val="20"/>
          <w:szCs w:val="20"/>
        </w:rPr>
        <w:t xml:space="preserve"> </w:t>
      </w:r>
      <w:r w:rsidRPr="003F7A78">
        <w:rPr>
          <w:rFonts w:ascii="Tw Cen MT" w:hAnsi="Tw Cen MT" w:cs="Times New Roman"/>
          <w:sz w:val="24"/>
          <w:szCs w:val="24"/>
        </w:rPr>
        <w:t xml:space="preserve">Panti Asuhan Putri Aisyiyah, dengan cara wawancara langsung kepada 8 remaja putri dengan hasil hanya 5 orang yang tidak mengetahui sama sekali tentang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saat menstruasi. Selain dari hal itu, pada saat menstruasi remaja putri mengganti pembalut 3x sehari atau</w:t>
      </w:r>
      <w:r>
        <w:rPr>
          <w:rStyle w:val="CommentReference"/>
          <w:lang w:val="id-ID"/>
        </w:rPr>
        <w:t xml:space="preserve"> </w:t>
      </w:r>
      <w:r w:rsidR="00126D61" w:rsidRPr="00126D61">
        <w:rPr>
          <w:rStyle w:val="CommentReference"/>
          <w:rFonts w:ascii="Tw Cen MT" w:hAnsi="Tw Cen MT"/>
          <w:sz w:val="24"/>
          <w:szCs w:val="24"/>
        </w:rPr>
        <w:t>k</w:t>
      </w:r>
      <w:r w:rsidRPr="003F7A78">
        <w:rPr>
          <w:rFonts w:ascii="Tw Cen MT" w:hAnsi="Tw Cen MT" w:cs="Times New Roman"/>
          <w:sz w:val="24"/>
          <w:szCs w:val="24"/>
        </w:rPr>
        <w:t xml:space="preserve">etika darah sedang banyak. Selain itu ada 6 remaja putri pernah merasakan gatal pada vagina saat menstruasi atau lembab pada vagina yang bisa mengakibatkan iritasi yang dirasakan remaja di panti asuhan aisyiyah. Maka dari itu peneliti akan melakukan penelitian tentang </w:t>
      </w:r>
      <w:r w:rsidRPr="001B3FEB">
        <w:rPr>
          <w:rFonts w:ascii="Tw Cen MT" w:hAnsi="Tw Cen MT" w:cs="Times New Roman"/>
          <w:sz w:val="24"/>
          <w:szCs w:val="24"/>
        </w:rPr>
        <w:t xml:space="preserve">“Hubungan Pengetahuan Dengan Perilaku Personal </w:t>
      </w:r>
      <w:r w:rsidRPr="00126D61">
        <w:rPr>
          <w:rFonts w:ascii="Tw Cen MT" w:hAnsi="Tw Cen MT" w:cs="Times New Roman"/>
          <w:i/>
          <w:sz w:val="24"/>
          <w:szCs w:val="24"/>
        </w:rPr>
        <w:t>Hygiene</w:t>
      </w:r>
      <w:r w:rsidR="00126D61">
        <w:rPr>
          <w:rFonts w:ascii="Tw Cen MT" w:hAnsi="Tw Cen MT" w:cs="Times New Roman"/>
          <w:sz w:val="24"/>
          <w:szCs w:val="24"/>
        </w:rPr>
        <w:t xml:space="preserve"> saat Menstruasi p</w:t>
      </w:r>
      <w:r w:rsidRPr="001B3FEB">
        <w:rPr>
          <w:rFonts w:ascii="Tw Cen MT" w:hAnsi="Tw Cen MT" w:cs="Times New Roman"/>
          <w:sz w:val="24"/>
          <w:szCs w:val="24"/>
        </w:rPr>
        <w:t>ada Remaja Putri”</w:t>
      </w:r>
      <w:r>
        <w:rPr>
          <w:rFonts w:ascii="Tw Cen MT" w:eastAsia="Twentieth Century" w:hAnsi="Tw Cen MT" w:cs="Twentieth Century"/>
          <w:color w:val="000000"/>
          <w:sz w:val="24"/>
          <w:szCs w:val="24"/>
        </w:rPr>
        <w:t>.</w:t>
      </w:r>
    </w:p>
    <w:p w:rsidR="00C61689" w:rsidRDefault="00C61689">
      <w:pPr>
        <w:spacing w:after="0"/>
        <w:jc w:val="both"/>
        <w:rPr>
          <w:rFonts w:ascii="Tw Cen MT" w:eastAsia="Twentieth Century" w:hAnsi="Tw Cen MT" w:cs="Twentieth Century"/>
          <w:b/>
          <w:sz w:val="24"/>
          <w:szCs w:val="24"/>
        </w:rPr>
      </w:pPr>
    </w:p>
    <w:p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rsidR="00126D61" w:rsidRDefault="00126D61" w:rsidP="007608CF">
      <w:pPr>
        <w:tabs>
          <w:tab w:val="left" w:pos="426"/>
        </w:tabs>
        <w:spacing w:after="0" w:line="240" w:lineRule="auto"/>
        <w:jc w:val="both"/>
        <w:rPr>
          <w:rFonts w:ascii="Tw Cen MT" w:hAnsi="Tw Cen MT"/>
          <w:sz w:val="24"/>
          <w:szCs w:val="24"/>
        </w:rPr>
      </w:pPr>
      <w:r w:rsidRPr="00126D61">
        <w:rPr>
          <w:rFonts w:ascii="Tw Cen MT" w:hAnsi="Tw Cen MT"/>
          <w:sz w:val="24"/>
          <w:szCs w:val="24"/>
          <w:lang w:val="id-ID"/>
        </w:rPr>
        <w:lastRenderedPageBreak/>
        <w:t>Desain P</w:t>
      </w:r>
      <w:r w:rsidRPr="00126D61">
        <w:rPr>
          <w:rFonts w:ascii="Tw Cen MT" w:hAnsi="Tw Cen MT"/>
          <w:sz w:val="24"/>
          <w:szCs w:val="24"/>
        </w:rPr>
        <w:t xml:space="preserve">enelitian </w:t>
      </w:r>
      <w:r w:rsidRPr="00126D61">
        <w:rPr>
          <w:rFonts w:ascii="Tw Cen MT" w:hAnsi="Tw Cen MT"/>
          <w:sz w:val="24"/>
          <w:szCs w:val="24"/>
          <w:lang w:val="id-ID"/>
        </w:rPr>
        <w:t xml:space="preserve">yang digunakan adalah </w:t>
      </w:r>
      <w:r w:rsidRPr="00126D61">
        <w:rPr>
          <w:rFonts w:ascii="Tw Cen MT" w:hAnsi="Tw Cen MT"/>
          <w:sz w:val="24"/>
          <w:szCs w:val="24"/>
        </w:rPr>
        <w:t>a</w:t>
      </w:r>
      <w:r w:rsidRPr="00126D61">
        <w:rPr>
          <w:rFonts w:ascii="Tw Cen MT" w:hAnsi="Tw Cen MT"/>
          <w:sz w:val="24"/>
          <w:szCs w:val="24"/>
          <w:lang w:val="id-ID"/>
        </w:rPr>
        <w:t>nalitik kuantitatif</w:t>
      </w:r>
      <w:r w:rsidRPr="00126D61">
        <w:rPr>
          <w:rFonts w:ascii="Tw Cen MT" w:hAnsi="Tw Cen MT"/>
          <w:i/>
          <w:sz w:val="24"/>
          <w:szCs w:val="24"/>
        </w:rPr>
        <w:t xml:space="preserve"> </w:t>
      </w:r>
      <w:r w:rsidRPr="00126D61">
        <w:rPr>
          <w:rFonts w:ascii="Tw Cen MT" w:hAnsi="Tw Cen MT"/>
          <w:sz w:val="24"/>
          <w:szCs w:val="24"/>
        </w:rPr>
        <w:t xml:space="preserve">dengan </w:t>
      </w:r>
      <w:r w:rsidRPr="00126D61">
        <w:rPr>
          <w:rFonts w:ascii="Tw Cen MT" w:hAnsi="Tw Cen MT"/>
          <w:sz w:val="24"/>
          <w:szCs w:val="24"/>
          <w:lang w:val="id-ID"/>
        </w:rPr>
        <w:t>pendekatan secara</w:t>
      </w:r>
      <w:r w:rsidRPr="00126D61">
        <w:rPr>
          <w:rFonts w:ascii="Tw Cen MT" w:hAnsi="Tw Cen MT"/>
          <w:sz w:val="24"/>
          <w:szCs w:val="24"/>
        </w:rPr>
        <w:t xml:space="preserve"> </w:t>
      </w:r>
      <w:r w:rsidRPr="00126D61">
        <w:rPr>
          <w:rFonts w:ascii="Tw Cen MT" w:hAnsi="Tw Cen MT"/>
          <w:i/>
          <w:sz w:val="24"/>
          <w:szCs w:val="24"/>
        </w:rPr>
        <w:t xml:space="preserve">cross sectional </w:t>
      </w:r>
      <w:r>
        <w:rPr>
          <w:rFonts w:ascii="Tw Cen MT" w:hAnsi="Tw Cen MT"/>
          <w:sz w:val="24"/>
          <w:szCs w:val="24"/>
        </w:rPr>
        <w:t>yang di</w:t>
      </w:r>
      <w:r w:rsidRPr="00126D61">
        <w:rPr>
          <w:rFonts w:ascii="Tw Cen MT" w:hAnsi="Tw Cen MT"/>
          <w:sz w:val="24"/>
          <w:szCs w:val="24"/>
        </w:rPr>
        <w:t>laksanakan mulai dari bulan Juni</w:t>
      </w:r>
      <w:r w:rsidRPr="00126D61">
        <w:rPr>
          <w:rFonts w:ascii="Tw Cen MT" w:hAnsi="Tw Cen MT"/>
          <w:sz w:val="24"/>
          <w:szCs w:val="24"/>
          <w:lang w:val="id-ID"/>
        </w:rPr>
        <w:t xml:space="preserve"> 2</w:t>
      </w:r>
      <w:r w:rsidRPr="00126D61">
        <w:rPr>
          <w:rFonts w:ascii="Tw Cen MT" w:hAnsi="Tw Cen MT"/>
          <w:sz w:val="24"/>
          <w:szCs w:val="24"/>
        </w:rPr>
        <w:t>020 sampai dengan bulan Oktober 2020. Subjek penelitian ini adalah untuk untuk m</w:t>
      </w:r>
      <w:r>
        <w:rPr>
          <w:rFonts w:ascii="Tw Cen MT" w:hAnsi="Tw Cen MT"/>
          <w:sz w:val="24"/>
          <w:szCs w:val="24"/>
        </w:rPr>
        <w:t xml:space="preserve">engetahui Hubungan Pengetahuan </w:t>
      </w:r>
      <w:r w:rsidRPr="00126D61">
        <w:rPr>
          <w:rFonts w:ascii="Tw Cen MT" w:hAnsi="Tw Cen MT"/>
          <w:sz w:val="24"/>
          <w:szCs w:val="24"/>
        </w:rPr>
        <w:t xml:space="preserve">Dengan Perilaku </w:t>
      </w:r>
      <w:r w:rsidRPr="00126D61">
        <w:rPr>
          <w:rFonts w:ascii="Tw Cen MT" w:hAnsi="Tw Cen MT"/>
          <w:i/>
          <w:sz w:val="24"/>
          <w:szCs w:val="24"/>
        </w:rPr>
        <w:t>Personal Hygiene</w:t>
      </w:r>
      <w:r>
        <w:rPr>
          <w:rFonts w:ascii="Tw Cen MT" w:hAnsi="Tw Cen MT"/>
          <w:sz w:val="24"/>
          <w:szCs w:val="24"/>
        </w:rPr>
        <w:t xml:space="preserve"> s</w:t>
      </w:r>
      <w:r w:rsidRPr="00126D61">
        <w:rPr>
          <w:rFonts w:ascii="Tw Cen MT" w:hAnsi="Tw Cen MT"/>
          <w:sz w:val="24"/>
          <w:szCs w:val="24"/>
        </w:rPr>
        <w:t xml:space="preserve">aat Menstruasi Pada Remaja Putri yang berjumlah 35 remaja putri. Teknik sampel yang digunakan adalah </w:t>
      </w:r>
      <w:r w:rsidRPr="00126D61">
        <w:rPr>
          <w:rFonts w:ascii="Tw Cen MT" w:hAnsi="Tw Cen MT"/>
          <w:i/>
          <w:sz w:val="24"/>
          <w:szCs w:val="24"/>
        </w:rPr>
        <w:t>Total Sampling</w:t>
      </w:r>
      <w:r w:rsidRPr="00126D61">
        <w:rPr>
          <w:rFonts w:ascii="Tw Cen MT" w:hAnsi="Tw Cen MT"/>
          <w:sz w:val="24"/>
          <w:szCs w:val="24"/>
        </w:rPr>
        <w:t xml:space="preserve"> dengan jumlah sampel </w:t>
      </w:r>
      <w:r>
        <w:rPr>
          <w:rFonts w:ascii="Tw Cen MT" w:hAnsi="Tw Cen MT"/>
          <w:sz w:val="24"/>
          <w:szCs w:val="24"/>
        </w:rPr>
        <w:t>35 orang dengan kriteria sampel</w:t>
      </w:r>
      <w:r w:rsidRPr="00126D61">
        <w:rPr>
          <w:rFonts w:ascii="Tw Cen MT" w:hAnsi="Tw Cen MT"/>
          <w:sz w:val="24"/>
          <w:szCs w:val="24"/>
        </w:rPr>
        <w:t xml:space="preserve">: bersedia menjadi responden, sudah mengalami menstrauasi, dengan usia 10-19 tahun. </w:t>
      </w:r>
    </w:p>
    <w:p w:rsidR="00D93684" w:rsidRPr="00126D61" w:rsidRDefault="00126D61" w:rsidP="007608CF">
      <w:pPr>
        <w:tabs>
          <w:tab w:val="left" w:pos="426"/>
        </w:tabs>
        <w:spacing w:after="0" w:line="240" w:lineRule="auto"/>
        <w:jc w:val="both"/>
        <w:rPr>
          <w:rFonts w:ascii="Tw Cen MT" w:eastAsia="Twentieth Century" w:hAnsi="Tw Cen MT" w:cs="Twentieth Century"/>
          <w:sz w:val="24"/>
          <w:szCs w:val="24"/>
        </w:rPr>
      </w:pPr>
      <w:r w:rsidRPr="00126D61">
        <w:rPr>
          <w:rFonts w:ascii="Tw Cen MT" w:hAnsi="Tw Cen MT"/>
          <w:sz w:val="24"/>
          <w:szCs w:val="24"/>
        </w:rPr>
        <w:t xml:space="preserve">Pengumpulan data menggunakan koesioner. Analisa data meliputi univariat dan </w:t>
      </w:r>
      <w:r>
        <w:rPr>
          <w:rFonts w:ascii="Tw Cen MT" w:hAnsi="Tw Cen MT"/>
          <w:sz w:val="24"/>
          <w:szCs w:val="24"/>
        </w:rPr>
        <w:t>bivariat</w:t>
      </w:r>
      <w:r w:rsidRPr="00126D61">
        <w:rPr>
          <w:rFonts w:ascii="Tw Cen MT" w:hAnsi="Tw Cen MT"/>
          <w:sz w:val="24"/>
          <w:szCs w:val="24"/>
          <w:lang w:val="id-ID"/>
        </w:rPr>
        <w:t>.</w:t>
      </w:r>
    </w:p>
    <w:p w:rsidR="00D93684" w:rsidRPr="00296EB9" w:rsidRDefault="00D93684">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126D61" w:rsidRDefault="00126D61" w:rsidP="00126D61">
      <w:pPr>
        <w:pStyle w:val="Default"/>
        <w:jc w:val="both"/>
        <w:rPr>
          <w:rFonts w:ascii="Tw Cen MT" w:hAnsi="Tw Cen MT"/>
          <w:b/>
        </w:rPr>
      </w:pPr>
      <w:r w:rsidRPr="003F7A78">
        <w:rPr>
          <w:rFonts w:ascii="Tw Cen MT" w:hAnsi="Tw Cen MT"/>
          <w:b/>
        </w:rPr>
        <w:t>Data Umu</w:t>
      </w:r>
      <w:r>
        <w:rPr>
          <w:rFonts w:ascii="Tw Cen MT" w:hAnsi="Tw Cen MT"/>
          <w:b/>
          <w:lang w:val="id-ID"/>
        </w:rPr>
        <w:t>m</w:t>
      </w:r>
    </w:p>
    <w:p w:rsidR="00126D61" w:rsidRDefault="00126D61" w:rsidP="00126D61">
      <w:pPr>
        <w:pStyle w:val="Default"/>
        <w:jc w:val="both"/>
        <w:rPr>
          <w:rFonts w:ascii="Tw Cen MT" w:hAnsi="Tw Cen MT"/>
          <w:b/>
        </w:rPr>
      </w:pPr>
      <w:r w:rsidRPr="006153EA">
        <w:rPr>
          <w:rFonts w:ascii="Tw Cen MT" w:hAnsi="Tw Cen MT"/>
        </w:rPr>
        <w:t xml:space="preserve">Data umum penelitian ini dapat dilihat pada tabel </w:t>
      </w:r>
      <w:r w:rsidRPr="006153EA">
        <w:rPr>
          <w:rFonts w:ascii="Tw Cen MT" w:hAnsi="Tw Cen MT"/>
          <w:lang w:val="id-ID"/>
        </w:rPr>
        <w:t>dibawah ini</w:t>
      </w:r>
      <w:r>
        <w:rPr>
          <w:rFonts w:ascii="Tw Cen MT" w:hAnsi="Tw Cen MT"/>
          <w:b/>
        </w:rPr>
        <w:t>.</w:t>
      </w:r>
    </w:p>
    <w:p w:rsidR="00126D61" w:rsidRDefault="00126D61" w:rsidP="00126D61">
      <w:pPr>
        <w:pStyle w:val="Default"/>
        <w:jc w:val="both"/>
        <w:rPr>
          <w:rFonts w:ascii="Tw Cen MT" w:hAnsi="Tw Cen MT"/>
          <w:b/>
        </w:rPr>
      </w:pPr>
    </w:p>
    <w:p w:rsidR="00126D61" w:rsidRPr="00126D61" w:rsidRDefault="00126D61" w:rsidP="00126D61">
      <w:pPr>
        <w:pStyle w:val="Default"/>
        <w:jc w:val="both"/>
        <w:rPr>
          <w:rFonts w:ascii="Tw Cen MT" w:hAnsi="Tw Cen MT"/>
          <w:b/>
        </w:rPr>
      </w:pPr>
    </w:p>
    <w:p w:rsidR="00126D61" w:rsidRPr="003F7A78" w:rsidRDefault="00126D61" w:rsidP="00126D61">
      <w:pPr>
        <w:pStyle w:val="Default"/>
        <w:jc w:val="center"/>
        <w:rPr>
          <w:rFonts w:ascii="Tw Cen MT" w:hAnsi="Tw Cen MT"/>
          <w:sz w:val="20"/>
          <w:szCs w:val="20"/>
        </w:rPr>
      </w:pPr>
      <w:r w:rsidRPr="00126D61">
        <w:rPr>
          <w:rFonts w:ascii="Tw Cen MT" w:hAnsi="Tw Cen MT"/>
          <w:sz w:val="20"/>
          <w:szCs w:val="20"/>
        </w:rPr>
        <w:t>Tabel 1</w:t>
      </w:r>
      <w:r>
        <w:rPr>
          <w:rFonts w:ascii="Tw Cen MT" w:hAnsi="Tw Cen MT"/>
          <w:b/>
          <w:sz w:val="20"/>
          <w:szCs w:val="20"/>
        </w:rPr>
        <w:t>.</w:t>
      </w:r>
      <w:r w:rsidRPr="003F7A78">
        <w:rPr>
          <w:rFonts w:ascii="Tw Cen MT" w:hAnsi="Tw Cen MT"/>
          <w:b/>
          <w:sz w:val="20"/>
          <w:szCs w:val="20"/>
        </w:rPr>
        <w:t xml:space="preserve"> </w:t>
      </w:r>
      <w:r w:rsidRPr="003F7A78">
        <w:rPr>
          <w:rFonts w:ascii="Tw Cen MT" w:hAnsi="Tw Cen MT"/>
          <w:sz w:val="20"/>
          <w:szCs w:val="20"/>
        </w:rPr>
        <w:t>Distribusi Frekuensi Responden di Panti Asuhan Aisyiyah Kota</w:t>
      </w:r>
      <w:r>
        <w:rPr>
          <w:rFonts w:ascii="Tw Cen MT" w:hAnsi="Tw Cen MT"/>
          <w:sz w:val="20"/>
          <w:szCs w:val="20"/>
        </w:rPr>
        <w:t xml:space="preserve"> </w:t>
      </w:r>
      <w:r w:rsidRPr="003F7A78">
        <w:rPr>
          <w:rFonts w:ascii="Tw Cen MT" w:hAnsi="Tw Cen MT"/>
          <w:sz w:val="20"/>
          <w:szCs w:val="20"/>
        </w:rPr>
        <w:t>Pekanbaru Tahun 2020</w:t>
      </w:r>
    </w:p>
    <w:tbl>
      <w:tblPr>
        <w:tblStyle w:val="TableGrid"/>
        <w:tblW w:w="0" w:type="auto"/>
        <w:tblInd w:w="250" w:type="dxa"/>
        <w:tblLook w:val="04A0" w:firstRow="1" w:lastRow="0" w:firstColumn="1" w:lastColumn="0" w:noHBand="0" w:noVBand="1"/>
      </w:tblPr>
      <w:tblGrid>
        <w:gridCol w:w="328"/>
        <w:gridCol w:w="1081"/>
        <w:gridCol w:w="1041"/>
        <w:gridCol w:w="1125"/>
      </w:tblGrid>
      <w:tr w:rsidR="00126D61" w:rsidRPr="003B1473" w:rsidTr="00126D61">
        <w:trPr>
          <w:trHeight w:val="329"/>
        </w:trPr>
        <w:tc>
          <w:tcPr>
            <w:tcW w:w="346"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p>
        </w:tc>
        <w:tc>
          <w:tcPr>
            <w:tcW w:w="1386"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Item </w:t>
            </w:r>
          </w:p>
        </w:tc>
        <w:tc>
          <w:tcPr>
            <w:tcW w:w="1279"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Frekuensi</w:t>
            </w:r>
          </w:p>
        </w:tc>
        <w:tc>
          <w:tcPr>
            <w:tcW w:w="1275" w:type="dxa"/>
            <w:tcBorders>
              <w:top w:val="single" w:sz="4" w:space="0" w:color="auto"/>
              <w:left w:val="nil"/>
              <w:bottom w:val="single" w:sz="4" w:space="0" w:color="auto"/>
              <w:right w:val="nil"/>
            </w:tcBorders>
            <w:vAlign w:val="bottom"/>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Presentase %</w:t>
            </w:r>
          </w:p>
        </w:tc>
      </w:tr>
      <w:tr w:rsidR="00126D61" w:rsidRPr="003B1473" w:rsidTr="00126D61">
        <w:tc>
          <w:tcPr>
            <w:tcW w:w="4286" w:type="dxa"/>
            <w:gridSpan w:val="4"/>
            <w:tcBorders>
              <w:top w:val="single" w:sz="4" w:space="0" w:color="auto"/>
              <w:left w:val="nil"/>
              <w:bottom w:val="nil"/>
              <w:right w:val="nil"/>
            </w:tcBorders>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Usia </w:t>
            </w:r>
          </w:p>
        </w:tc>
      </w:tr>
      <w:tr w:rsidR="00126D61" w:rsidRPr="003B1473" w:rsidTr="00126D61">
        <w:tc>
          <w:tcPr>
            <w:tcW w:w="34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w:t>
            </w:r>
          </w:p>
        </w:tc>
        <w:tc>
          <w:tcPr>
            <w:tcW w:w="138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10-13 tahun remaja awal </w:t>
            </w:r>
          </w:p>
        </w:tc>
        <w:tc>
          <w:tcPr>
            <w:tcW w:w="1279"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11</w:t>
            </w:r>
          </w:p>
        </w:tc>
        <w:tc>
          <w:tcPr>
            <w:tcW w:w="1275"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31,4</w:t>
            </w:r>
          </w:p>
        </w:tc>
      </w:tr>
      <w:tr w:rsidR="00126D61" w:rsidRPr="003B1473" w:rsidTr="00126D61">
        <w:tc>
          <w:tcPr>
            <w:tcW w:w="34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w:t>
            </w:r>
          </w:p>
        </w:tc>
        <w:tc>
          <w:tcPr>
            <w:tcW w:w="1386"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14-16 tahun remaja tengah </w:t>
            </w:r>
          </w:p>
        </w:tc>
        <w:tc>
          <w:tcPr>
            <w:tcW w:w="1279"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17</w:t>
            </w:r>
          </w:p>
        </w:tc>
        <w:tc>
          <w:tcPr>
            <w:tcW w:w="1275" w:type="dxa"/>
            <w:tcBorders>
              <w:top w:val="nil"/>
              <w:left w:val="nil"/>
              <w:bottom w:val="nil"/>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48,6</w:t>
            </w:r>
          </w:p>
        </w:tc>
      </w:tr>
      <w:tr w:rsidR="00126D61" w:rsidRPr="003B1473" w:rsidTr="00126D61">
        <w:tc>
          <w:tcPr>
            <w:tcW w:w="346"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w:t>
            </w:r>
          </w:p>
        </w:tc>
        <w:tc>
          <w:tcPr>
            <w:tcW w:w="1386"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17-19 tahun remaja akhir </w:t>
            </w:r>
          </w:p>
        </w:tc>
        <w:tc>
          <w:tcPr>
            <w:tcW w:w="1279"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7</w:t>
            </w:r>
          </w:p>
        </w:tc>
        <w:tc>
          <w:tcPr>
            <w:tcW w:w="1275" w:type="dxa"/>
            <w:tcBorders>
              <w:top w:val="nil"/>
              <w:left w:val="nil"/>
              <w:bottom w:val="single" w:sz="4" w:space="0" w:color="auto"/>
              <w:right w:val="nil"/>
            </w:tcBorders>
            <w:hideMark/>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20,0</w:t>
            </w:r>
          </w:p>
        </w:tc>
      </w:tr>
      <w:tr w:rsidR="00126D61" w:rsidRPr="003B1473" w:rsidTr="00126D61">
        <w:tc>
          <w:tcPr>
            <w:tcW w:w="1732" w:type="dxa"/>
            <w:gridSpan w:val="2"/>
            <w:tcBorders>
              <w:top w:val="single" w:sz="4" w:space="0" w:color="auto"/>
              <w:left w:val="nil"/>
              <w:bottom w:val="single" w:sz="4" w:space="0" w:color="auto"/>
              <w:right w:val="nil"/>
            </w:tcBorders>
            <w:vAlign w:val="center"/>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Total</w:t>
            </w:r>
          </w:p>
        </w:tc>
        <w:tc>
          <w:tcPr>
            <w:tcW w:w="1279" w:type="dxa"/>
            <w:tcBorders>
              <w:top w:val="single" w:sz="4" w:space="0" w:color="auto"/>
              <w:left w:val="nil"/>
              <w:bottom w:val="single" w:sz="4" w:space="0" w:color="auto"/>
              <w:right w:val="nil"/>
            </w:tcBorders>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35</w:t>
            </w:r>
          </w:p>
        </w:tc>
        <w:tc>
          <w:tcPr>
            <w:tcW w:w="1275" w:type="dxa"/>
            <w:tcBorders>
              <w:top w:val="single" w:sz="4" w:space="0" w:color="auto"/>
              <w:left w:val="nil"/>
              <w:bottom w:val="single" w:sz="4" w:space="0" w:color="auto"/>
              <w:right w:val="nil"/>
            </w:tcBorders>
            <w:hideMark/>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100</w:t>
            </w:r>
          </w:p>
        </w:tc>
      </w:tr>
      <w:tr w:rsidR="00126D61" w:rsidRPr="003B1473" w:rsidTr="00126D61">
        <w:tc>
          <w:tcPr>
            <w:tcW w:w="1732" w:type="dxa"/>
            <w:gridSpan w:val="2"/>
            <w:tcBorders>
              <w:top w:val="single" w:sz="4" w:space="0" w:color="auto"/>
              <w:left w:val="nil"/>
              <w:bottom w:val="single" w:sz="4" w:space="0" w:color="auto"/>
              <w:right w:val="nil"/>
            </w:tcBorders>
            <w:vAlign w:val="center"/>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Sumber Informasi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p>
        </w:tc>
      </w:tr>
      <w:tr w:rsidR="00126D61" w:rsidRPr="003B1473" w:rsidTr="00126D61">
        <w:tc>
          <w:tcPr>
            <w:tcW w:w="346" w:type="dxa"/>
            <w:tcBorders>
              <w:top w:val="single" w:sz="4" w:space="0" w:color="auto"/>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w:t>
            </w:r>
          </w:p>
        </w:tc>
        <w:tc>
          <w:tcPr>
            <w:tcW w:w="1386" w:type="dxa"/>
            <w:tcBorders>
              <w:top w:val="single" w:sz="4" w:space="0" w:color="auto"/>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Orang Tua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22</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62,9</w:t>
            </w:r>
          </w:p>
        </w:tc>
      </w:tr>
      <w:tr w:rsidR="00126D61" w:rsidRPr="003B1473" w:rsidTr="00126D61">
        <w:tc>
          <w:tcPr>
            <w:tcW w:w="34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w:t>
            </w:r>
          </w:p>
        </w:tc>
        <w:tc>
          <w:tcPr>
            <w:tcW w:w="138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Tenaga Kesehatan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2</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5,7</w:t>
            </w:r>
          </w:p>
        </w:tc>
      </w:tr>
      <w:tr w:rsidR="00126D61" w:rsidRPr="003B1473" w:rsidTr="00126D61">
        <w:tc>
          <w:tcPr>
            <w:tcW w:w="34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lastRenderedPageBreak/>
              <w:t>3</w:t>
            </w:r>
          </w:p>
        </w:tc>
        <w:tc>
          <w:tcPr>
            <w:tcW w:w="1386" w:type="dxa"/>
            <w:tcBorders>
              <w:left w:val="nil"/>
              <w:right w:val="nil"/>
            </w:tcBorders>
            <w:vAlign w:val="center"/>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 xml:space="preserve">Teman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11</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sz w:val="20"/>
                <w:szCs w:val="20"/>
              </w:rPr>
            </w:pPr>
            <w:r w:rsidRPr="003F7A78">
              <w:rPr>
                <w:rFonts w:ascii="Tw Cen MT" w:hAnsi="Tw Cen MT" w:cs="Times New Roman"/>
                <w:sz w:val="20"/>
                <w:szCs w:val="20"/>
              </w:rPr>
              <w:t>31,4</w:t>
            </w:r>
          </w:p>
        </w:tc>
      </w:tr>
      <w:tr w:rsidR="00126D61" w:rsidRPr="003B1473" w:rsidTr="00126D61">
        <w:tc>
          <w:tcPr>
            <w:tcW w:w="1732" w:type="dxa"/>
            <w:gridSpan w:val="2"/>
            <w:tcBorders>
              <w:left w:val="nil"/>
              <w:right w:val="nil"/>
            </w:tcBorders>
            <w:vAlign w:val="center"/>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1279"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35</w:t>
            </w:r>
          </w:p>
        </w:tc>
        <w:tc>
          <w:tcPr>
            <w:tcW w:w="1275" w:type="dxa"/>
            <w:tcBorders>
              <w:top w:val="single" w:sz="4" w:space="0" w:color="auto"/>
              <w:left w:val="nil"/>
              <w:bottom w:val="single" w:sz="4" w:space="0" w:color="auto"/>
              <w:right w:val="nil"/>
            </w:tcBorders>
          </w:tcPr>
          <w:p w:rsidR="00126D61" w:rsidRPr="003F7A78" w:rsidRDefault="00126D61" w:rsidP="005118D1">
            <w:pPr>
              <w:jc w:val="both"/>
              <w:rPr>
                <w:rFonts w:ascii="Tw Cen MT" w:hAnsi="Tw Cen MT" w:cs="Times New Roman"/>
                <w:b/>
                <w:sz w:val="20"/>
                <w:szCs w:val="20"/>
              </w:rPr>
            </w:pPr>
            <w:r w:rsidRPr="003F7A78">
              <w:rPr>
                <w:rFonts w:ascii="Tw Cen MT" w:hAnsi="Tw Cen MT" w:cs="Times New Roman"/>
                <w:b/>
                <w:sz w:val="20"/>
                <w:szCs w:val="20"/>
              </w:rPr>
              <w:t>100</w:t>
            </w:r>
          </w:p>
        </w:tc>
      </w:tr>
    </w:tbl>
    <w:p w:rsidR="00126D61" w:rsidRPr="00126D61" w:rsidRDefault="00126D61" w:rsidP="00126D61">
      <w:pPr>
        <w:pStyle w:val="Default"/>
        <w:spacing w:before="240"/>
        <w:jc w:val="both"/>
        <w:rPr>
          <w:rFonts w:ascii="Tw Cen MT" w:hAnsi="Tw Cen MT"/>
          <w:b/>
        </w:rPr>
      </w:pPr>
      <w:r w:rsidRPr="00126D61">
        <w:rPr>
          <w:rFonts w:ascii="Tw Cen MT" w:hAnsi="Tw Cen MT"/>
          <w:b/>
          <w:lang w:val="id-ID"/>
        </w:rPr>
        <w:t xml:space="preserve">Analisis </w:t>
      </w:r>
      <w:r>
        <w:rPr>
          <w:rFonts w:ascii="Tw Cen MT" w:hAnsi="Tw Cen MT"/>
          <w:b/>
          <w:lang w:val="id-ID"/>
        </w:rPr>
        <w:t>Univariat</w:t>
      </w:r>
    </w:p>
    <w:p w:rsidR="00126D61" w:rsidRPr="008E5399" w:rsidRDefault="00126D61" w:rsidP="00126D61">
      <w:pPr>
        <w:pStyle w:val="ListParagraph"/>
        <w:spacing w:after="0" w:line="240" w:lineRule="auto"/>
        <w:ind w:left="0"/>
        <w:jc w:val="both"/>
        <w:rPr>
          <w:rFonts w:ascii="Tw Cen MT" w:hAnsi="Tw Cen MT"/>
          <w:sz w:val="24"/>
          <w:szCs w:val="24"/>
          <w:lang w:val="id-ID"/>
        </w:rPr>
      </w:pPr>
      <w:r w:rsidRPr="00EC7EBC">
        <w:rPr>
          <w:rFonts w:ascii="Tw Cen MT" w:hAnsi="Tw Cen MT"/>
          <w:sz w:val="24"/>
          <w:szCs w:val="24"/>
        </w:rPr>
        <w:t xml:space="preserve">Analisis ini jenis datanya adalah data kategorik yang hanya menjelaskan angka/ nilai, jumlah dan persentase. Masing-masing variabel, dengan menggunakan rumus </w:t>
      </w:r>
      <w:r w:rsidRPr="008E5399">
        <w:rPr>
          <w:rFonts w:ascii="Tw Cen MT" w:hAnsi="Tw Cen MT"/>
          <w:sz w:val="24"/>
          <w:szCs w:val="24"/>
        </w:rPr>
        <w:fldChar w:fldCharType="begin" w:fldLock="1"/>
      </w:r>
      <w:r w:rsidRPr="008E5399">
        <w:rPr>
          <w:rFonts w:ascii="Tw Cen MT" w:hAnsi="Tw Cen MT"/>
          <w:sz w:val="24"/>
          <w:szCs w:val="24"/>
        </w:rPr>
        <w:instrText>ADDIN CSL_CITATION {"citationItems":[{"id":"ITEM-1","itemData":{"ISBN":"978-979-1446-38-9","author":[{"dropping-particle":"","family":"Ariani","given":"ayu putri","non-dropping-particle":"","parse-names":false,"suffix":""}],"edition":"pertama","id":"ITEM-1","issued":{"date-parts":[["2014"]]},"number-of-pages":"216","publisher":"Nuha Medika","publisher-place":"yagyakarta","title":"Aplikasi Metodologi Kebidanan Katan Reproduksi","type":"book"},"uris":["http://www.mendeley.com/documents/?uuid=94890885-c5f0-4be7-a23d-b4cd23932bea"]}],"mendeley":{"formattedCitation":"(Ariani, 2014)","plainTextFormattedCitation":"(Ariani, 2014)","previouslyFormattedCitation":"(Ariani, 2014)"},"properties":{"noteIndex":0},"schema":"https://github.com/citation-style-language/schema/raw/master/csl-citation.json"}</w:instrText>
      </w:r>
      <w:r w:rsidRPr="008E5399">
        <w:rPr>
          <w:rFonts w:ascii="Tw Cen MT" w:hAnsi="Tw Cen MT"/>
          <w:sz w:val="24"/>
          <w:szCs w:val="24"/>
        </w:rPr>
        <w:fldChar w:fldCharType="separate"/>
      </w:r>
      <w:r w:rsidRPr="008E5399">
        <w:rPr>
          <w:rFonts w:ascii="Tw Cen MT" w:hAnsi="Tw Cen MT"/>
          <w:noProof/>
          <w:sz w:val="24"/>
          <w:szCs w:val="24"/>
        </w:rPr>
        <w:t>(Ariani, 2014)</w:t>
      </w:r>
      <w:r w:rsidRPr="008E5399">
        <w:rPr>
          <w:rFonts w:ascii="Tw Cen MT" w:hAnsi="Tw Cen MT"/>
          <w:sz w:val="24"/>
          <w:szCs w:val="24"/>
        </w:rPr>
        <w:fldChar w:fldCharType="end"/>
      </w:r>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r w:rsidRPr="00EC7EBC">
        <w:rPr>
          <w:rFonts w:ascii="Tw Cen MT" w:hAnsi="Tw Cen MT"/>
          <w:sz w:val="24"/>
          <w:szCs w:val="24"/>
        </w:rPr>
        <w:t xml:space="preserve">Rumus : P =  </w:t>
      </w:r>
      <m:oMath>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x 100%</m:t>
        </m:r>
      </m:oMath>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r w:rsidRPr="00EC7EBC">
        <w:rPr>
          <w:rFonts w:ascii="Tw Cen MT" w:eastAsiaTheme="minorEastAsia" w:hAnsi="Tw Cen MT"/>
          <w:sz w:val="24"/>
          <w:szCs w:val="24"/>
        </w:rPr>
        <w:t xml:space="preserve">Keterangan : </w:t>
      </w:r>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r w:rsidRPr="00EC7EBC">
        <w:rPr>
          <w:rFonts w:ascii="Tw Cen MT" w:eastAsiaTheme="minorEastAsia" w:hAnsi="Tw Cen MT"/>
          <w:sz w:val="24"/>
          <w:szCs w:val="24"/>
        </w:rPr>
        <w:t xml:space="preserve">P = Persentasi </w:t>
      </w:r>
    </w:p>
    <w:p w:rsidR="00126D61" w:rsidRPr="00EC7EBC" w:rsidRDefault="00126D61" w:rsidP="00126D61">
      <w:pPr>
        <w:pStyle w:val="ListParagraph"/>
        <w:spacing w:after="0" w:line="240" w:lineRule="auto"/>
        <w:ind w:left="0"/>
        <w:jc w:val="both"/>
        <w:rPr>
          <w:rFonts w:ascii="Tw Cen MT" w:eastAsiaTheme="minorEastAsia" w:hAnsi="Tw Cen MT"/>
          <w:sz w:val="24"/>
          <w:szCs w:val="24"/>
        </w:rPr>
      </w:pPr>
      <w:r w:rsidRPr="00EC7EBC">
        <w:rPr>
          <w:rFonts w:ascii="Tw Cen MT" w:eastAsiaTheme="minorEastAsia" w:hAnsi="Tw Cen MT"/>
          <w:sz w:val="24"/>
          <w:szCs w:val="24"/>
        </w:rPr>
        <w:t xml:space="preserve">f = Jumlah jawaban yang bener </w:t>
      </w:r>
    </w:p>
    <w:p w:rsidR="00126D61" w:rsidRDefault="00126D61" w:rsidP="00126D61">
      <w:pPr>
        <w:pStyle w:val="ListParagraph"/>
        <w:spacing w:after="0" w:line="240" w:lineRule="auto"/>
        <w:ind w:left="0"/>
        <w:jc w:val="both"/>
        <w:rPr>
          <w:rFonts w:ascii="Times New Roman" w:eastAsiaTheme="minorEastAsia" w:hAnsi="Times New Roman"/>
          <w:sz w:val="24"/>
          <w:szCs w:val="24"/>
          <w:lang w:val="id-ID"/>
        </w:rPr>
      </w:pPr>
      <w:r w:rsidRPr="00EC7EBC">
        <w:rPr>
          <w:rFonts w:ascii="Tw Cen MT" w:eastAsiaTheme="minorEastAsia" w:hAnsi="Tw Cen MT"/>
          <w:sz w:val="24"/>
          <w:szCs w:val="24"/>
        </w:rPr>
        <w:t>n = Jumlah total pertanyaan</w:t>
      </w:r>
      <w:r w:rsidRPr="00270D5A">
        <w:rPr>
          <w:rFonts w:ascii="Times New Roman" w:eastAsiaTheme="minorEastAsia" w:hAnsi="Times New Roman"/>
          <w:sz w:val="24"/>
          <w:szCs w:val="24"/>
        </w:rPr>
        <w:t xml:space="preserve"> </w:t>
      </w:r>
    </w:p>
    <w:p w:rsidR="00126D61" w:rsidRDefault="00126D61" w:rsidP="00126D61">
      <w:pPr>
        <w:spacing w:after="0" w:line="240" w:lineRule="auto"/>
        <w:jc w:val="both"/>
        <w:rPr>
          <w:rFonts w:ascii="Tw Cen MT" w:hAnsi="Tw Cen MT" w:cs="Times New Roman"/>
          <w:sz w:val="24"/>
          <w:szCs w:val="24"/>
        </w:rPr>
      </w:pPr>
    </w:p>
    <w:p w:rsidR="00126D61" w:rsidRPr="00126D61" w:rsidRDefault="00126D61" w:rsidP="00126D61">
      <w:pPr>
        <w:spacing w:after="0" w:line="240" w:lineRule="auto"/>
        <w:jc w:val="both"/>
        <w:rPr>
          <w:rFonts w:ascii="Tw Cen MT" w:hAnsi="Tw Cen MT" w:cs="Times New Roman"/>
          <w:b/>
          <w:sz w:val="24"/>
          <w:szCs w:val="24"/>
        </w:rPr>
      </w:pPr>
      <w:r w:rsidRPr="00126D61">
        <w:rPr>
          <w:rFonts w:ascii="Tw Cen MT" w:hAnsi="Tw Cen MT" w:cs="Times New Roman"/>
          <w:b/>
          <w:sz w:val="24"/>
          <w:szCs w:val="24"/>
          <w:lang w:val="id-ID"/>
        </w:rPr>
        <w:t>Analisis Bivariat</w:t>
      </w:r>
    </w:p>
    <w:p w:rsidR="00D93684" w:rsidRDefault="00126D61" w:rsidP="00126D61">
      <w:pPr>
        <w:spacing w:line="240" w:lineRule="auto"/>
        <w:jc w:val="both"/>
        <w:rPr>
          <w:rFonts w:ascii="Tw Cen MT" w:hAnsi="Tw Cen MT" w:cs="Times New Roman"/>
          <w:sz w:val="24"/>
          <w:szCs w:val="24"/>
        </w:rPr>
      </w:pPr>
      <w:r w:rsidRPr="00EC7EBC">
        <w:rPr>
          <w:rFonts w:ascii="Tw Cen MT" w:hAnsi="Tw Cen MT" w:cs="Times New Roman"/>
          <w:sz w:val="24"/>
          <w:szCs w:val="24"/>
        </w:rPr>
        <w:t xml:space="preserve">Analisis bivariat adalah tabulasi silang antara dua variabel yaitu variabel independent dan dependent. Dengan menggunakan uji </w:t>
      </w:r>
      <w:r w:rsidRPr="00EC7EBC">
        <w:rPr>
          <w:rFonts w:ascii="Tw Cen MT" w:hAnsi="Tw Cen MT" w:cs="Times New Roman"/>
          <w:i/>
          <w:sz w:val="24"/>
          <w:szCs w:val="24"/>
        </w:rPr>
        <w:t>Chi Square,</w:t>
      </w:r>
      <w:r w:rsidRPr="00EC7EBC">
        <w:rPr>
          <w:rFonts w:ascii="Tw Cen MT" w:hAnsi="Tw Cen MT" w:cs="Times New Roman"/>
          <w:sz w:val="24"/>
          <w:szCs w:val="24"/>
        </w:rPr>
        <w:t xml:space="preserve"> dengan menggunakan bantuan komputerisasi </w:t>
      </w:r>
      <w:r w:rsidRPr="008E5399">
        <w:rPr>
          <w:rFonts w:ascii="Tw Cen MT" w:hAnsi="Tw Cen MT" w:cs="Times New Roman"/>
          <w:sz w:val="24"/>
          <w:szCs w:val="24"/>
        </w:rPr>
        <w:fldChar w:fldCharType="begin" w:fldLock="1"/>
      </w:r>
      <w:r w:rsidRPr="008E5399">
        <w:rPr>
          <w:rFonts w:ascii="Tw Cen MT" w:hAnsi="Tw Cen MT" w:cs="Times New Roman"/>
          <w:sz w:val="24"/>
          <w:szCs w:val="24"/>
        </w:rPr>
        <w:instrText>ADDIN CSL_CITATION {"citationItems":[{"id":"ITEM-1","itemData":{"ISBN":"978-979-1446-38-9","author":[{"dropping-particle":"","family":"Ariani","given":"ayu putri","non-dropping-particle":"","parse-names":false,"suffix":""}],"edition":"pertama","id":"ITEM-1","issued":{"date-parts":[["2014"]]},"number-of-pages":"216","publisher":"Nuha Medika","publisher-place":"yagyakarta","title":"Aplikasi Metodologi Kebidanan Katan Reproduksi","type":"book"},"uris":["http://www.mendeley.com/documents/?uuid=94890885-c5f0-4be7-a23d-b4cd23932bea"]}],"mendeley":{"formattedCitation":"(Ariani, 2014)","plainTextFormattedCitation":"(Ariani, 2014)","previouslyFormattedCitation":"(Ariani, 2014)"},"properties":{"noteIndex":0},"schema":"https://github.com/citation-style-language/schema/raw/master/csl-citation.json"}</w:instrText>
      </w:r>
      <w:r w:rsidRPr="008E5399">
        <w:rPr>
          <w:rFonts w:ascii="Tw Cen MT" w:hAnsi="Tw Cen MT" w:cs="Times New Roman"/>
          <w:sz w:val="24"/>
          <w:szCs w:val="24"/>
        </w:rPr>
        <w:fldChar w:fldCharType="separate"/>
      </w:r>
      <w:r w:rsidR="00A213AC">
        <w:rPr>
          <w:rFonts w:ascii="Tw Cen MT" w:hAnsi="Tw Cen MT" w:cs="Times New Roman"/>
          <w:noProof/>
          <w:sz w:val="24"/>
          <w:szCs w:val="24"/>
          <w:lang w:val="id-ID"/>
        </w:rPr>
        <w:t xml:space="preserve">[1] </w:t>
      </w:r>
      <w:r w:rsidRPr="008E5399">
        <w:rPr>
          <w:rFonts w:ascii="Tw Cen MT" w:hAnsi="Tw Cen MT" w:cs="Times New Roman"/>
          <w:noProof/>
          <w:sz w:val="24"/>
          <w:szCs w:val="24"/>
        </w:rPr>
        <w:t>)</w:t>
      </w:r>
      <w:r w:rsidRPr="008E5399">
        <w:rPr>
          <w:rFonts w:ascii="Tw Cen MT" w:hAnsi="Tw Cen MT" w:cs="Times New Roman"/>
          <w:sz w:val="24"/>
          <w:szCs w:val="24"/>
        </w:rPr>
        <w:fldChar w:fldCharType="end"/>
      </w:r>
      <w:r w:rsidRPr="008E5399">
        <w:rPr>
          <w:rFonts w:ascii="Tw Cen MT" w:hAnsi="Tw Cen MT" w:cs="Times New Roman"/>
          <w:sz w:val="24"/>
          <w:szCs w:val="24"/>
        </w:rPr>
        <w:t>.</w:t>
      </w:r>
    </w:p>
    <w:p w:rsidR="00126D61" w:rsidRPr="00126D61" w:rsidRDefault="00126D61" w:rsidP="00126D61">
      <w:pPr>
        <w:spacing w:after="0" w:line="240" w:lineRule="auto"/>
        <w:jc w:val="both"/>
        <w:rPr>
          <w:rFonts w:ascii="Tw Cen MT" w:hAnsi="Tw Cen MT" w:cs="Times New Roman"/>
          <w:b/>
          <w:sz w:val="24"/>
          <w:szCs w:val="24"/>
        </w:rPr>
      </w:pPr>
      <w:r w:rsidRPr="00126D61">
        <w:rPr>
          <w:rFonts w:ascii="Tw Cen MT" w:hAnsi="Tw Cen MT" w:cs="Times New Roman"/>
          <w:b/>
          <w:sz w:val="24"/>
          <w:szCs w:val="24"/>
        </w:rPr>
        <w:t xml:space="preserve">Data Khusus </w:t>
      </w:r>
    </w:p>
    <w:p w:rsidR="00126D61" w:rsidRPr="003F7A78" w:rsidRDefault="00126D61" w:rsidP="00126D61">
      <w:pPr>
        <w:spacing w:after="0" w:line="240" w:lineRule="auto"/>
        <w:jc w:val="center"/>
        <w:rPr>
          <w:rFonts w:ascii="Tw Cen MT" w:hAnsi="Tw Cen MT" w:cs="Times New Roman"/>
          <w:sz w:val="20"/>
          <w:szCs w:val="20"/>
        </w:rPr>
      </w:pPr>
      <w:r w:rsidRPr="00126D61">
        <w:rPr>
          <w:rFonts w:ascii="Tw Cen MT" w:hAnsi="Tw Cen MT" w:cs="Times New Roman"/>
          <w:sz w:val="20"/>
          <w:szCs w:val="20"/>
        </w:rPr>
        <w:t>Tabel 2</w:t>
      </w:r>
      <w:r>
        <w:rPr>
          <w:rFonts w:ascii="Tw Cen MT" w:hAnsi="Tw Cen MT" w:cs="Times New Roman"/>
          <w:sz w:val="20"/>
          <w:szCs w:val="20"/>
        </w:rPr>
        <w:t>.</w:t>
      </w:r>
      <w:r w:rsidRPr="003F7A78">
        <w:rPr>
          <w:rFonts w:ascii="Tw Cen MT" w:hAnsi="Tw Cen MT" w:cs="Times New Roman"/>
          <w:b/>
          <w:sz w:val="20"/>
          <w:szCs w:val="20"/>
        </w:rPr>
        <w:t xml:space="preserve"> </w:t>
      </w:r>
      <w:r w:rsidRPr="003F7A78">
        <w:rPr>
          <w:rFonts w:ascii="Tw Cen MT" w:hAnsi="Tw Cen MT" w:cs="Times New Roman"/>
          <w:sz w:val="20"/>
          <w:szCs w:val="20"/>
        </w:rPr>
        <w:t xml:space="preserve">Distribusi Frekuensi Pengetahuan </w:t>
      </w:r>
      <w:r w:rsidRPr="003F7A78">
        <w:rPr>
          <w:rFonts w:ascii="Tw Cen MT" w:hAnsi="Tw Cen MT" w:cs="Times New Roman"/>
          <w:i/>
          <w:sz w:val="20"/>
          <w:szCs w:val="20"/>
        </w:rPr>
        <w:t>Personal Hygiene</w:t>
      </w:r>
      <w:r>
        <w:rPr>
          <w:rFonts w:ascii="Tw Cen MT" w:hAnsi="Tw Cen MT" w:cs="Times New Roman"/>
          <w:sz w:val="20"/>
          <w:szCs w:val="20"/>
        </w:rPr>
        <w:t xml:space="preserve"> Saat Menstruasi d</w:t>
      </w:r>
      <w:r w:rsidRPr="003F7A78">
        <w:rPr>
          <w:rFonts w:ascii="Tw Cen MT" w:hAnsi="Tw Cen MT" w:cs="Times New Roman"/>
          <w:sz w:val="20"/>
          <w:szCs w:val="20"/>
        </w:rPr>
        <w:t>i</w:t>
      </w:r>
      <w:r>
        <w:rPr>
          <w:rFonts w:ascii="Tw Cen MT" w:hAnsi="Tw Cen MT" w:cs="Times New Roman"/>
          <w:sz w:val="20"/>
          <w:szCs w:val="20"/>
        </w:rPr>
        <w:t xml:space="preserve"> </w:t>
      </w:r>
      <w:r w:rsidRPr="003F7A78">
        <w:rPr>
          <w:rFonts w:ascii="Tw Cen MT" w:hAnsi="Tw Cen MT" w:cs="Times New Roman"/>
          <w:sz w:val="20"/>
          <w:szCs w:val="20"/>
        </w:rPr>
        <w:t>Panti Asuhan Aisyiyah Kota Pekanbaru Tahun 2020</w:t>
      </w:r>
    </w:p>
    <w:tbl>
      <w:tblPr>
        <w:tblStyle w:val="TableGrid"/>
        <w:tblW w:w="0" w:type="auto"/>
        <w:tblInd w:w="108" w:type="dxa"/>
        <w:tblLook w:val="04A0" w:firstRow="1" w:lastRow="0" w:firstColumn="1" w:lastColumn="0" w:noHBand="0" w:noVBand="1"/>
      </w:tblPr>
      <w:tblGrid>
        <w:gridCol w:w="446"/>
        <w:gridCol w:w="1247"/>
        <w:gridCol w:w="967"/>
        <w:gridCol w:w="1057"/>
      </w:tblGrid>
      <w:tr w:rsidR="00126D61" w:rsidRPr="00126D61" w:rsidTr="005118D1">
        <w:tc>
          <w:tcPr>
            <w:tcW w:w="567"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No</w:t>
            </w:r>
          </w:p>
        </w:tc>
        <w:tc>
          <w:tcPr>
            <w:tcW w:w="2410"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Pengetahuan</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Presentase (%)</w:t>
            </w:r>
          </w:p>
        </w:tc>
      </w:tr>
      <w:tr w:rsidR="00126D61" w:rsidRPr="00126D61" w:rsidTr="005118D1">
        <w:tc>
          <w:tcPr>
            <w:tcW w:w="567"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w:t>
            </w:r>
          </w:p>
        </w:tc>
        <w:tc>
          <w:tcPr>
            <w:tcW w:w="2410"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Baik</w:t>
            </w:r>
          </w:p>
        </w:tc>
        <w:tc>
          <w:tcPr>
            <w:tcW w:w="2835"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10</w:t>
            </w:r>
          </w:p>
        </w:tc>
        <w:tc>
          <w:tcPr>
            <w:tcW w:w="2126"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28,6</w:t>
            </w:r>
          </w:p>
        </w:tc>
      </w:tr>
      <w:tr w:rsidR="00126D61" w:rsidRPr="00126D61" w:rsidTr="005118D1">
        <w:tc>
          <w:tcPr>
            <w:tcW w:w="567"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w:t>
            </w:r>
          </w:p>
        </w:tc>
        <w:tc>
          <w:tcPr>
            <w:tcW w:w="2410"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Cukup</w:t>
            </w:r>
          </w:p>
        </w:tc>
        <w:tc>
          <w:tcPr>
            <w:tcW w:w="2835"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23</w:t>
            </w:r>
          </w:p>
        </w:tc>
        <w:tc>
          <w:tcPr>
            <w:tcW w:w="2126" w:type="dxa"/>
            <w:tcBorders>
              <w:top w:val="nil"/>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65,7</w:t>
            </w:r>
          </w:p>
        </w:tc>
      </w:tr>
      <w:tr w:rsidR="00126D61" w:rsidRPr="00126D61" w:rsidTr="005118D1">
        <w:tc>
          <w:tcPr>
            <w:tcW w:w="567"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3</w:t>
            </w:r>
          </w:p>
        </w:tc>
        <w:tc>
          <w:tcPr>
            <w:tcW w:w="2410"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Kurang</w:t>
            </w:r>
          </w:p>
        </w:tc>
        <w:tc>
          <w:tcPr>
            <w:tcW w:w="2835"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w:t>
            </w:r>
          </w:p>
        </w:tc>
        <w:tc>
          <w:tcPr>
            <w:tcW w:w="2126"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5,7</w:t>
            </w:r>
          </w:p>
        </w:tc>
      </w:tr>
      <w:tr w:rsidR="00126D61" w:rsidRPr="00126D61" w:rsidTr="005118D1">
        <w:tc>
          <w:tcPr>
            <w:tcW w:w="2977" w:type="dxa"/>
            <w:gridSpan w:val="2"/>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Total</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35</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100,0</w:t>
            </w:r>
          </w:p>
        </w:tc>
      </w:tr>
    </w:tbl>
    <w:p w:rsidR="00126D61" w:rsidRDefault="00126D61" w:rsidP="00126D61">
      <w:pPr>
        <w:spacing w:line="240" w:lineRule="auto"/>
        <w:jc w:val="both"/>
        <w:rPr>
          <w:rFonts w:ascii="Tw Cen MT" w:eastAsia="Twentieth Century" w:hAnsi="Tw Cen MT" w:cs="Twentieth Century"/>
        </w:rPr>
      </w:pPr>
    </w:p>
    <w:p w:rsidR="00126D61" w:rsidRPr="00126D61" w:rsidRDefault="00126D61" w:rsidP="00126D61">
      <w:pPr>
        <w:spacing w:after="0" w:line="240" w:lineRule="auto"/>
        <w:jc w:val="center"/>
        <w:rPr>
          <w:rFonts w:ascii="Tw Cen MT" w:hAnsi="Tw Cen MT" w:cs="Times New Roman"/>
          <w:sz w:val="20"/>
          <w:szCs w:val="20"/>
        </w:rPr>
      </w:pPr>
      <w:r w:rsidRPr="00126D61">
        <w:rPr>
          <w:rFonts w:ascii="Tw Cen MT" w:hAnsi="Tw Cen MT" w:cs="Times New Roman"/>
          <w:sz w:val="20"/>
          <w:szCs w:val="20"/>
        </w:rPr>
        <w:t>Tabel 3</w:t>
      </w:r>
      <w:r>
        <w:rPr>
          <w:rFonts w:ascii="Tw Cen MT" w:hAnsi="Tw Cen MT" w:cs="Times New Roman"/>
          <w:b/>
          <w:sz w:val="20"/>
          <w:szCs w:val="20"/>
        </w:rPr>
        <w:t>.</w:t>
      </w:r>
      <w:r w:rsidRPr="00126D61">
        <w:rPr>
          <w:rFonts w:ascii="Tw Cen MT" w:hAnsi="Tw Cen MT" w:cs="Times New Roman"/>
          <w:b/>
          <w:sz w:val="20"/>
          <w:szCs w:val="20"/>
        </w:rPr>
        <w:t xml:space="preserve"> </w:t>
      </w:r>
      <w:r w:rsidRPr="00126D61">
        <w:rPr>
          <w:rFonts w:ascii="Tw Cen MT" w:hAnsi="Tw Cen MT" w:cs="Times New Roman"/>
          <w:sz w:val="20"/>
          <w:szCs w:val="20"/>
        </w:rPr>
        <w:t xml:space="preserve">Distribusi Frekuensi Perilaku </w:t>
      </w:r>
      <w:r w:rsidRPr="00126D61">
        <w:rPr>
          <w:rFonts w:ascii="Tw Cen MT" w:hAnsi="Tw Cen MT" w:cs="Times New Roman"/>
          <w:i/>
          <w:sz w:val="20"/>
          <w:szCs w:val="20"/>
        </w:rPr>
        <w:t>Personal Hygiene</w:t>
      </w:r>
      <w:r w:rsidRPr="00126D61">
        <w:rPr>
          <w:rFonts w:ascii="Tw Cen MT" w:hAnsi="Tw Cen MT" w:cs="Times New Roman"/>
          <w:sz w:val="20"/>
          <w:szCs w:val="20"/>
        </w:rPr>
        <w:t xml:space="preserve"> Saat Menstruasi Di Panti Asuhan Aisyiyah Kota Pekanbaru Tahun 2020</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990"/>
        <w:gridCol w:w="1129"/>
        <w:gridCol w:w="1131"/>
      </w:tblGrid>
      <w:tr w:rsidR="00126D61" w:rsidRPr="00126D61" w:rsidTr="005118D1">
        <w:tc>
          <w:tcPr>
            <w:tcW w:w="567"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No</w:t>
            </w:r>
          </w:p>
        </w:tc>
        <w:tc>
          <w:tcPr>
            <w:tcW w:w="2410"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Perilaku</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Presentasi (%)</w:t>
            </w:r>
          </w:p>
        </w:tc>
      </w:tr>
      <w:tr w:rsidR="00126D61" w:rsidRPr="00126D61" w:rsidTr="005118D1">
        <w:tc>
          <w:tcPr>
            <w:tcW w:w="567"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w:t>
            </w:r>
          </w:p>
        </w:tc>
        <w:tc>
          <w:tcPr>
            <w:tcW w:w="2410"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Positif</w:t>
            </w:r>
          </w:p>
        </w:tc>
        <w:tc>
          <w:tcPr>
            <w:tcW w:w="2835"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14</w:t>
            </w:r>
          </w:p>
        </w:tc>
        <w:tc>
          <w:tcPr>
            <w:tcW w:w="2126" w:type="dxa"/>
            <w:tcBorders>
              <w:top w:val="single" w:sz="4" w:space="0" w:color="auto"/>
              <w:left w:val="nil"/>
              <w:bottom w:val="nil"/>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40,0</w:t>
            </w:r>
          </w:p>
        </w:tc>
      </w:tr>
      <w:tr w:rsidR="00126D61" w:rsidRPr="00126D61" w:rsidTr="005118D1">
        <w:tc>
          <w:tcPr>
            <w:tcW w:w="567"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w:t>
            </w:r>
          </w:p>
        </w:tc>
        <w:tc>
          <w:tcPr>
            <w:tcW w:w="2410"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Negatif</w:t>
            </w:r>
          </w:p>
        </w:tc>
        <w:tc>
          <w:tcPr>
            <w:tcW w:w="2835"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21</w:t>
            </w:r>
          </w:p>
        </w:tc>
        <w:tc>
          <w:tcPr>
            <w:tcW w:w="2126" w:type="dxa"/>
            <w:tcBorders>
              <w:top w:val="nil"/>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sz w:val="20"/>
                <w:szCs w:val="20"/>
              </w:rPr>
            </w:pPr>
            <w:r w:rsidRPr="00126D61">
              <w:rPr>
                <w:rFonts w:ascii="Tw Cen MT" w:hAnsi="Tw Cen MT" w:cs="Times New Roman"/>
                <w:sz w:val="20"/>
                <w:szCs w:val="20"/>
              </w:rPr>
              <w:t>60,0</w:t>
            </w:r>
          </w:p>
        </w:tc>
      </w:tr>
      <w:tr w:rsidR="00126D61" w:rsidRPr="00126D61" w:rsidTr="005118D1">
        <w:tc>
          <w:tcPr>
            <w:tcW w:w="2977" w:type="dxa"/>
            <w:gridSpan w:val="2"/>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Total</w:t>
            </w:r>
          </w:p>
        </w:tc>
        <w:tc>
          <w:tcPr>
            <w:tcW w:w="2835"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35</w:t>
            </w:r>
          </w:p>
        </w:tc>
        <w:tc>
          <w:tcPr>
            <w:tcW w:w="2126" w:type="dxa"/>
            <w:tcBorders>
              <w:top w:val="single" w:sz="4" w:space="0" w:color="auto"/>
              <w:left w:val="nil"/>
              <w:bottom w:val="single" w:sz="4" w:space="0" w:color="auto"/>
              <w:right w:val="nil"/>
            </w:tcBorders>
            <w:vAlign w:val="center"/>
            <w:hideMark/>
          </w:tcPr>
          <w:p w:rsidR="00126D61" w:rsidRPr="00126D61" w:rsidRDefault="00126D61" w:rsidP="005118D1">
            <w:pPr>
              <w:autoSpaceDE w:val="0"/>
              <w:autoSpaceDN w:val="0"/>
              <w:adjustRightInd w:val="0"/>
              <w:jc w:val="both"/>
              <w:rPr>
                <w:rFonts w:ascii="Tw Cen MT" w:hAnsi="Tw Cen MT" w:cs="Times New Roman"/>
                <w:b/>
                <w:sz w:val="20"/>
                <w:szCs w:val="20"/>
              </w:rPr>
            </w:pPr>
            <w:r w:rsidRPr="00126D61">
              <w:rPr>
                <w:rFonts w:ascii="Tw Cen MT" w:hAnsi="Tw Cen MT" w:cs="Times New Roman"/>
                <w:b/>
                <w:sz w:val="20"/>
                <w:szCs w:val="20"/>
              </w:rPr>
              <w:t>100,0</w:t>
            </w:r>
          </w:p>
        </w:tc>
      </w:tr>
    </w:tbl>
    <w:p w:rsidR="00126D61" w:rsidRPr="00126D61" w:rsidRDefault="00126D61" w:rsidP="00126D61">
      <w:pPr>
        <w:spacing w:after="0" w:line="240" w:lineRule="auto"/>
        <w:jc w:val="both"/>
        <w:rPr>
          <w:rFonts w:ascii="Tw Cen MT" w:hAnsi="Tw Cen MT" w:cs="Times New Roman"/>
          <w:sz w:val="20"/>
          <w:szCs w:val="20"/>
          <w:lang w:val="id-ID"/>
        </w:rPr>
      </w:pPr>
    </w:p>
    <w:p w:rsidR="00126D61" w:rsidRPr="00126D61" w:rsidRDefault="00126D61" w:rsidP="00126D61">
      <w:pPr>
        <w:spacing w:after="0" w:line="240" w:lineRule="auto"/>
        <w:jc w:val="both"/>
        <w:rPr>
          <w:rFonts w:ascii="Tw Cen MT" w:hAnsi="Tw Cen MT" w:cs="Times New Roman"/>
          <w:sz w:val="20"/>
          <w:szCs w:val="20"/>
          <w:lang w:val="id-ID"/>
        </w:rPr>
      </w:pPr>
    </w:p>
    <w:p w:rsidR="00126D61" w:rsidRPr="00126D61" w:rsidRDefault="00126D61" w:rsidP="00126D61">
      <w:pPr>
        <w:spacing w:after="0" w:line="240" w:lineRule="auto"/>
        <w:jc w:val="center"/>
        <w:rPr>
          <w:rFonts w:ascii="Tw Cen MT" w:hAnsi="Tw Cen MT" w:cs="Times New Roman"/>
          <w:sz w:val="20"/>
          <w:szCs w:val="20"/>
        </w:rPr>
      </w:pPr>
      <w:r w:rsidRPr="00126D61">
        <w:rPr>
          <w:rFonts w:ascii="Tw Cen MT" w:hAnsi="Tw Cen MT" w:cs="Times New Roman"/>
          <w:sz w:val="20"/>
          <w:szCs w:val="20"/>
        </w:rPr>
        <w:t>Tabel 4</w:t>
      </w:r>
      <w:r>
        <w:rPr>
          <w:rFonts w:ascii="Tw Cen MT" w:hAnsi="Tw Cen MT" w:cs="Times New Roman"/>
          <w:b/>
          <w:sz w:val="20"/>
          <w:szCs w:val="20"/>
        </w:rPr>
        <w:t>.</w:t>
      </w:r>
      <w:r w:rsidRPr="00126D61">
        <w:rPr>
          <w:rFonts w:ascii="Tw Cen MT" w:hAnsi="Tw Cen MT" w:cs="Times New Roman"/>
          <w:b/>
          <w:sz w:val="20"/>
          <w:szCs w:val="20"/>
        </w:rPr>
        <w:t xml:space="preserve"> </w:t>
      </w:r>
      <w:r w:rsidRPr="00126D61">
        <w:rPr>
          <w:rFonts w:ascii="Tw Cen MT" w:hAnsi="Tw Cen MT" w:cs="Times New Roman"/>
          <w:sz w:val="20"/>
          <w:szCs w:val="20"/>
        </w:rPr>
        <w:t xml:space="preserve">Distribusi Frekuensi Hubungan Dengan Perilaku </w:t>
      </w:r>
      <w:r w:rsidRPr="00126D61">
        <w:rPr>
          <w:rFonts w:ascii="Tw Cen MT" w:hAnsi="Tw Cen MT" w:cs="Times New Roman"/>
          <w:i/>
          <w:sz w:val="20"/>
          <w:szCs w:val="20"/>
        </w:rPr>
        <w:t>Personal Hygiene</w:t>
      </w:r>
      <w:r w:rsidRPr="00126D61">
        <w:rPr>
          <w:rFonts w:ascii="Tw Cen MT" w:hAnsi="Tw Cen MT" w:cs="Times New Roman"/>
          <w:sz w:val="20"/>
          <w:szCs w:val="20"/>
        </w:rPr>
        <w:t xml:space="preserve"> Saat Menstruasi Di Panti Asuhan Aisyiyah Kota Pekanbaru Tahun 2020</w:t>
      </w:r>
    </w:p>
    <w:tbl>
      <w:tblPr>
        <w:tblStyle w:val="TableGrid"/>
        <w:tblW w:w="5065" w:type="dxa"/>
        <w:tblInd w:w="108" w:type="dxa"/>
        <w:tblLayout w:type="fixed"/>
        <w:tblLook w:val="04A0" w:firstRow="1" w:lastRow="0" w:firstColumn="1" w:lastColumn="0" w:noHBand="0" w:noVBand="1"/>
      </w:tblPr>
      <w:tblGrid>
        <w:gridCol w:w="779"/>
        <w:gridCol w:w="645"/>
        <w:gridCol w:w="653"/>
        <w:gridCol w:w="516"/>
        <w:gridCol w:w="664"/>
        <w:gridCol w:w="519"/>
        <w:gridCol w:w="639"/>
        <w:gridCol w:w="650"/>
      </w:tblGrid>
      <w:tr w:rsidR="00126D61" w:rsidRPr="00126D61" w:rsidTr="00126D61">
        <w:trPr>
          <w:trHeight w:val="350"/>
        </w:trPr>
        <w:tc>
          <w:tcPr>
            <w:tcW w:w="779" w:type="dxa"/>
            <w:vMerge w:val="restart"/>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lastRenderedPageBreak/>
              <w:t>Pengetahuan</w:t>
            </w:r>
          </w:p>
        </w:tc>
        <w:tc>
          <w:tcPr>
            <w:tcW w:w="2478" w:type="dxa"/>
            <w:gridSpan w:val="4"/>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Perilaku</w:t>
            </w:r>
          </w:p>
        </w:tc>
        <w:tc>
          <w:tcPr>
            <w:tcW w:w="1158" w:type="dxa"/>
            <w:gridSpan w:val="2"/>
            <w:vMerge w:val="restart"/>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Total </w:t>
            </w:r>
          </w:p>
        </w:tc>
        <w:tc>
          <w:tcPr>
            <w:tcW w:w="650" w:type="dxa"/>
            <w:vMerge w:val="restart"/>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P Value </w:t>
            </w:r>
          </w:p>
        </w:tc>
      </w:tr>
      <w:tr w:rsidR="00126D61" w:rsidRPr="00126D61" w:rsidTr="00126D61">
        <w:trPr>
          <w:trHeight w:val="139"/>
        </w:trPr>
        <w:tc>
          <w:tcPr>
            <w:tcW w:w="779"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c>
          <w:tcPr>
            <w:tcW w:w="1298" w:type="dxa"/>
            <w:gridSpan w:val="2"/>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Positif</w:t>
            </w:r>
          </w:p>
        </w:tc>
        <w:tc>
          <w:tcPr>
            <w:tcW w:w="1180" w:type="dxa"/>
            <w:gridSpan w:val="2"/>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Negatif</w:t>
            </w:r>
          </w:p>
        </w:tc>
        <w:tc>
          <w:tcPr>
            <w:tcW w:w="1158" w:type="dxa"/>
            <w:gridSpan w:val="2"/>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c>
          <w:tcPr>
            <w:tcW w:w="650"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r>
      <w:tr w:rsidR="00126D61" w:rsidRPr="00126D61" w:rsidTr="00126D61">
        <w:trPr>
          <w:trHeight w:val="139"/>
        </w:trPr>
        <w:tc>
          <w:tcPr>
            <w:tcW w:w="779"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c>
          <w:tcPr>
            <w:tcW w:w="645"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N </w:t>
            </w:r>
          </w:p>
        </w:tc>
        <w:tc>
          <w:tcPr>
            <w:tcW w:w="653"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w:t>
            </w:r>
          </w:p>
        </w:tc>
        <w:tc>
          <w:tcPr>
            <w:tcW w:w="516"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N </w:t>
            </w:r>
          </w:p>
        </w:tc>
        <w:tc>
          <w:tcPr>
            <w:tcW w:w="664"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w:t>
            </w:r>
          </w:p>
        </w:tc>
        <w:tc>
          <w:tcPr>
            <w:tcW w:w="51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 xml:space="preserve">N </w:t>
            </w:r>
          </w:p>
        </w:tc>
        <w:tc>
          <w:tcPr>
            <w:tcW w:w="63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20"/>
                <w:szCs w:val="20"/>
              </w:rPr>
            </w:pPr>
            <w:r w:rsidRPr="00126D61">
              <w:rPr>
                <w:rFonts w:ascii="Tw Cen MT" w:hAnsi="Tw Cen MT" w:cs="Times New Roman"/>
                <w:b/>
                <w:sz w:val="20"/>
                <w:szCs w:val="20"/>
              </w:rPr>
              <w:t>%</w:t>
            </w:r>
          </w:p>
        </w:tc>
        <w:tc>
          <w:tcPr>
            <w:tcW w:w="650" w:type="dxa"/>
            <w:vMerge/>
            <w:tcBorders>
              <w:top w:val="single" w:sz="4" w:space="0" w:color="auto"/>
              <w:left w:val="nil"/>
              <w:bottom w:val="single" w:sz="4" w:space="0" w:color="auto"/>
              <w:right w:val="nil"/>
            </w:tcBorders>
            <w:vAlign w:val="center"/>
            <w:hideMark/>
          </w:tcPr>
          <w:p w:rsidR="00126D61" w:rsidRPr="00126D61" w:rsidRDefault="00126D61" w:rsidP="005118D1">
            <w:pPr>
              <w:rPr>
                <w:rFonts w:ascii="Tw Cen MT" w:hAnsi="Tw Cen MT" w:cs="Times New Roman"/>
                <w:b/>
                <w:sz w:val="20"/>
                <w:szCs w:val="20"/>
              </w:rPr>
            </w:pPr>
          </w:p>
        </w:tc>
      </w:tr>
      <w:tr w:rsidR="00126D61" w:rsidRPr="00126D61" w:rsidTr="00126D61">
        <w:trPr>
          <w:trHeight w:val="237"/>
        </w:trPr>
        <w:tc>
          <w:tcPr>
            <w:tcW w:w="779"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 xml:space="preserve">Baik </w:t>
            </w:r>
          </w:p>
        </w:tc>
        <w:tc>
          <w:tcPr>
            <w:tcW w:w="645"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2</w:t>
            </w:r>
          </w:p>
        </w:tc>
        <w:tc>
          <w:tcPr>
            <w:tcW w:w="653"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100,0</w:t>
            </w:r>
          </w:p>
        </w:tc>
        <w:tc>
          <w:tcPr>
            <w:tcW w:w="516"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0</w:t>
            </w:r>
          </w:p>
        </w:tc>
        <w:tc>
          <w:tcPr>
            <w:tcW w:w="664"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0</w:t>
            </w:r>
          </w:p>
        </w:tc>
        <w:tc>
          <w:tcPr>
            <w:tcW w:w="519"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2</w:t>
            </w:r>
          </w:p>
        </w:tc>
        <w:tc>
          <w:tcPr>
            <w:tcW w:w="639" w:type="dxa"/>
            <w:tcBorders>
              <w:top w:val="single" w:sz="4" w:space="0" w:color="auto"/>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100,0</w:t>
            </w:r>
          </w:p>
        </w:tc>
        <w:tc>
          <w:tcPr>
            <w:tcW w:w="650" w:type="dxa"/>
            <w:tcBorders>
              <w:top w:val="single" w:sz="4" w:space="0" w:color="auto"/>
              <w:left w:val="nil"/>
              <w:bottom w:val="nil"/>
              <w:right w:val="nil"/>
            </w:tcBorders>
            <w:vAlign w:val="center"/>
          </w:tcPr>
          <w:p w:rsidR="00126D61" w:rsidRPr="00126D61" w:rsidRDefault="00126D61" w:rsidP="005118D1">
            <w:pPr>
              <w:jc w:val="both"/>
              <w:rPr>
                <w:rFonts w:ascii="Tw Cen MT" w:hAnsi="Tw Cen MT" w:cs="Times New Roman"/>
                <w:sz w:val="18"/>
                <w:szCs w:val="20"/>
              </w:rPr>
            </w:pPr>
          </w:p>
        </w:tc>
      </w:tr>
      <w:tr w:rsidR="00126D61" w:rsidRPr="00126D61" w:rsidTr="00126D61">
        <w:trPr>
          <w:trHeight w:val="237"/>
        </w:trPr>
        <w:tc>
          <w:tcPr>
            <w:tcW w:w="779"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Cukup</w:t>
            </w:r>
          </w:p>
        </w:tc>
        <w:tc>
          <w:tcPr>
            <w:tcW w:w="645"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15</w:t>
            </w:r>
          </w:p>
        </w:tc>
        <w:tc>
          <w:tcPr>
            <w:tcW w:w="653"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65,2</w:t>
            </w:r>
          </w:p>
        </w:tc>
        <w:tc>
          <w:tcPr>
            <w:tcW w:w="516"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8</w:t>
            </w:r>
          </w:p>
        </w:tc>
        <w:tc>
          <w:tcPr>
            <w:tcW w:w="664"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34,8</w:t>
            </w:r>
          </w:p>
        </w:tc>
        <w:tc>
          <w:tcPr>
            <w:tcW w:w="519"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23</w:t>
            </w:r>
          </w:p>
        </w:tc>
        <w:tc>
          <w:tcPr>
            <w:tcW w:w="639" w:type="dxa"/>
            <w:tcBorders>
              <w:top w:val="nil"/>
              <w:left w:val="nil"/>
              <w:bottom w:val="nil"/>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100,0</w:t>
            </w:r>
          </w:p>
        </w:tc>
        <w:tc>
          <w:tcPr>
            <w:tcW w:w="650" w:type="dxa"/>
            <w:vMerge w:val="restart"/>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20"/>
              </w:rPr>
            </w:pPr>
            <w:r w:rsidRPr="00126D61">
              <w:rPr>
                <w:rFonts w:ascii="Tw Cen MT" w:hAnsi="Tw Cen MT" w:cs="Times New Roman"/>
                <w:sz w:val="18"/>
                <w:szCs w:val="20"/>
              </w:rPr>
              <w:t>0,196</w:t>
            </w:r>
          </w:p>
        </w:tc>
      </w:tr>
      <w:tr w:rsidR="00126D61" w:rsidRPr="00126D61" w:rsidTr="00126D61">
        <w:trPr>
          <w:trHeight w:val="237"/>
        </w:trPr>
        <w:tc>
          <w:tcPr>
            <w:tcW w:w="779"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Kurang</w:t>
            </w:r>
          </w:p>
        </w:tc>
        <w:tc>
          <w:tcPr>
            <w:tcW w:w="645"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4</w:t>
            </w:r>
          </w:p>
        </w:tc>
        <w:tc>
          <w:tcPr>
            <w:tcW w:w="653"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40,0</w:t>
            </w:r>
          </w:p>
        </w:tc>
        <w:tc>
          <w:tcPr>
            <w:tcW w:w="516"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6</w:t>
            </w:r>
          </w:p>
        </w:tc>
        <w:tc>
          <w:tcPr>
            <w:tcW w:w="664"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60,0</w:t>
            </w:r>
          </w:p>
        </w:tc>
        <w:tc>
          <w:tcPr>
            <w:tcW w:w="519"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10</w:t>
            </w:r>
          </w:p>
        </w:tc>
        <w:tc>
          <w:tcPr>
            <w:tcW w:w="639" w:type="dxa"/>
            <w:tcBorders>
              <w:top w:val="nil"/>
              <w:left w:val="nil"/>
              <w:bottom w:val="single" w:sz="4" w:space="0" w:color="auto"/>
              <w:right w:val="nil"/>
            </w:tcBorders>
            <w:vAlign w:val="center"/>
            <w:hideMark/>
          </w:tcPr>
          <w:p w:rsidR="00126D61" w:rsidRPr="00126D61" w:rsidRDefault="00126D61" w:rsidP="005118D1">
            <w:pPr>
              <w:jc w:val="both"/>
              <w:rPr>
                <w:rFonts w:ascii="Tw Cen MT" w:hAnsi="Tw Cen MT" w:cs="Times New Roman"/>
                <w:sz w:val="18"/>
                <w:szCs w:val="18"/>
              </w:rPr>
            </w:pPr>
            <w:r w:rsidRPr="00126D61">
              <w:rPr>
                <w:rFonts w:ascii="Tw Cen MT" w:hAnsi="Tw Cen MT" w:cs="Times New Roman"/>
                <w:sz w:val="18"/>
                <w:szCs w:val="18"/>
              </w:rPr>
              <w:t>100,0</w:t>
            </w:r>
          </w:p>
        </w:tc>
        <w:tc>
          <w:tcPr>
            <w:tcW w:w="650" w:type="dxa"/>
            <w:vMerge/>
            <w:tcBorders>
              <w:top w:val="nil"/>
              <w:left w:val="nil"/>
              <w:bottom w:val="single" w:sz="4" w:space="0" w:color="auto"/>
              <w:right w:val="nil"/>
            </w:tcBorders>
            <w:vAlign w:val="center"/>
            <w:hideMark/>
          </w:tcPr>
          <w:p w:rsidR="00126D61" w:rsidRPr="00126D61" w:rsidRDefault="00126D61" w:rsidP="005118D1">
            <w:pPr>
              <w:rPr>
                <w:rFonts w:ascii="Tw Cen MT" w:hAnsi="Tw Cen MT" w:cs="Times New Roman"/>
                <w:sz w:val="20"/>
                <w:szCs w:val="20"/>
              </w:rPr>
            </w:pPr>
          </w:p>
        </w:tc>
      </w:tr>
      <w:tr w:rsidR="00126D61" w:rsidRPr="00126D61" w:rsidTr="00126D61">
        <w:trPr>
          <w:trHeight w:val="251"/>
        </w:trPr>
        <w:tc>
          <w:tcPr>
            <w:tcW w:w="77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 xml:space="preserve">Total </w:t>
            </w:r>
          </w:p>
        </w:tc>
        <w:tc>
          <w:tcPr>
            <w:tcW w:w="645"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21</w:t>
            </w:r>
          </w:p>
        </w:tc>
        <w:tc>
          <w:tcPr>
            <w:tcW w:w="653"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40,0</w:t>
            </w:r>
          </w:p>
        </w:tc>
        <w:tc>
          <w:tcPr>
            <w:tcW w:w="516"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14</w:t>
            </w:r>
          </w:p>
        </w:tc>
        <w:tc>
          <w:tcPr>
            <w:tcW w:w="664"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60,0</w:t>
            </w:r>
          </w:p>
        </w:tc>
        <w:tc>
          <w:tcPr>
            <w:tcW w:w="51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35</w:t>
            </w:r>
          </w:p>
        </w:tc>
        <w:tc>
          <w:tcPr>
            <w:tcW w:w="639" w:type="dxa"/>
            <w:tcBorders>
              <w:top w:val="single" w:sz="4" w:space="0" w:color="auto"/>
              <w:left w:val="nil"/>
              <w:bottom w:val="single" w:sz="4" w:space="0" w:color="auto"/>
              <w:right w:val="nil"/>
            </w:tcBorders>
            <w:vAlign w:val="center"/>
            <w:hideMark/>
          </w:tcPr>
          <w:p w:rsidR="00126D61" w:rsidRPr="00126D61" w:rsidRDefault="00126D61" w:rsidP="005118D1">
            <w:pPr>
              <w:jc w:val="both"/>
              <w:rPr>
                <w:rFonts w:ascii="Tw Cen MT" w:hAnsi="Tw Cen MT" w:cs="Times New Roman"/>
                <w:b/>
                <w:sz w:val="18"/>
                <w:szCs w:val="18"/>
              </w:rPr>
            </w:pPr>
            <w:r w:rsidRPr="00126D61">
              <w:rPr>
                <w:rFonts w:ascii="Tw Cen MT" w:hAnsi="Tw Cen MT" w:cs="Times New Roman"/>
                <w:b/>
                <w:sz w:val="18"/>
                <w:szCs w:val="18"/>
              </w:rPr>
              <w:t>100,0</w:t>
            </w:r>
          </w:p>
        </w:tc>
        <w:tc>
          <w:tcPr>
            <w:tcW w:w="650" w:type="dxa"/>
            <w:vMerge/>
            <w:tcBorders>
              <w:top w:val="nil"/>
              <w:left w:val="nil"/>
              <w:bottom w:val="single" w:sz="4" w:space="0" w:color="auto"/>
              <w:right w:val="nil"/>
            </w:tcBorders>
            <w:vAlign w:val="center"/>
            <w:hideMark/>
          </w:tcPr>
          <w:p w:rsidR="00126D61" w:rsidRPr="00126D61" w:rsidRDefault="00126D61" w:rsidP="005118D1">
            <w:pPr>
              <w:rPr>
                <w:rFonts w:ascii="Tw Cen MT" w:hAnsi="Tw Cen MT" w:cs="Times New Roman"/>
                <w:sz w:val="18"/>
                <w:szCs w:val="18"/>
              </w:rPr>
            </w:pPr>
          </w:p>
        </w:tc>
      </w:tr>
    </w:tbl>
    <w:p w:rsidR="00126D61" w:rsidRDefault="00126D61" w:rsidP="0077731D">
      <w:pPr>
        <w:spacing w:line="240" w:lineRule="auto"/>
        <w:jc w:val="both"/>
        <w:rPr>
          <w:rFonts w:ascii="Tw Cen MT" w:eastAsia="Twentieth Century" w:hAnsi="Tw Cen MT" w:cs="Twentieth Century"/>
        </w:rPr>
      </w:pPr>
    </w:p>
    <w:p w:rsidR="00126D61" w:rsidRPr="003F7A78" w:rsidRDefault="00126D61" w:rsidP="00126D61">
      <w:pPr>
        <w:spacing w:after="0" w:line="240" w:lineRule="auto"/>
        <w:jc w:val="both"/>
        <w:rPr>
          <w:rFonts w:ascii="Tw Cen MT" w:hAnsi="Tw Cen MT" w:cs="Times New Roman"/>
          <w:b/>
          <w:sz w:val="24"/>
          <w:szCs w:val="24"/>
        </w:rPr>
      </w:pPr>
      <w:r>
        <w:rPr>
          <w:rFonts w:ascii="Tw Cen MT" w:hAnsi="Tw Cen MT" w:cs="Times New Roman"/>
          <w:b/>
          <w:sz w:val="24"/>
          <w:szCs w:val="24"/>
        </w:rPr>
        <w:t>Pembahasan</w:t>
      </w:r>
    </w:p>
    <w:p w:rsidR="00126D61" w:rsidRPr="003F7A78" w:rsidRDefault="00126D61" w:rsidP="00126D61">
      <w:pPr>
        <w:spacing w:after="0" w:line="240" w:lineRule="auto"/>
        <w:jc w:val="both"/>
        <w:rPr>
          <w:rFonts w:ascii="Tw Cen MT" w:hAnsi="Tw Cen MT" w:cs="Times New Roman"/>
          <w:sz w:val="24"/>
          <w:szCs w:val="24"/>
        </w:rPr>
      </w:pPr>
      <w:r w:rsidRPr="003F7A78">
        <w:rPr>
          <w:rFonts w:ascii="Tw Cen MT" w:hAnsi="Tw Cen MT" w:cs="Times New Roman"/>
          <w:sz w:val="24"/>
          <w:szCs w:val="24"/>
        </w:rPr>
        <w:t xml:space="preserve">Berdasarkan penelitian yang dilakukan di Panti Asuhan Aisyiyah Kota Pekanbaru Tahun 2020 di dapatkan bahwa pengetahuan remaja putri tentang </w:t>
      </w:r>
      <w:r>
        <w:rPr>
          <w:rFonts w:ascii="Tw Cen MT" w:hAnsi="Tw Cen MT" w:cs="Times New Roman"/>
          <w:sz w:val="24"/>
          <w:szCs w:val="24"/>
        </w:rPr>
        <w:t>p</w:t>
      </w:r>
      <w:r w:rsidRPr="003F7A78">
        <w:rPr>
          <w:rFonts w:ascii="Tw Cen MT" w:hAnsi="Tw Cen MT" w:cs="Times New Roman"/>
          <w:sz w:val="24"/>
          <w:szCs w:val="24"/>
        </w:rPr>
        <w:t xml:space="preserve">ersonal </w:t>
      </w:r>
      <w:r>
        <w:rPr>
          <w:rFonts w:ascii="Tw Cen MT" w:hAnsi="Tw Cen MT" w:cs="Times New Roman"/>
          <w:sz w:val="24"/>
          <w:szCs w:val="24"/>
        </w:rPr>
        <w:t>h</w:t>
      </w:r>
      <w:r w:rsidRPr="00126D61">
        <w:rPr>
          <w:rFonts w:ascii="Tw Cen MT" w:hAnsi="Tw Cen MT" w:cs="Times New Roman"/>
          <w:i/>
          <w:sz w:val="24"/>
          <w:szCs w:val="24"/>
        </w:rPr>
        <w:t>ygiene</w:t>
      </w:r>
      <w:r>
        <w:rPr>
          <w:rFonts w:ascii="Tw Cen MT" w:hAnsi="Tw Cen MT" w:cs="Times New Roman"/>
          <w:sz w:val="24"/>
          <w:szCs w:val="24"/>
        </w:rPr>
        <w:t xml:space="preserve"> saat m</w:t>
      </w:r>
      <w:r w:rsidRPr="003F7A78">
        <w:rPr>
          <w:rFonts w:ascii="Tw Cen MT" w:hAnsi="Tw Cen MT" w:cs="Times New Roman"/>
          <w:sz w:val="24"/>
          <w:szCs w:val="24"/>
        </w:rPr>
        <w:t>enstruasi pada 35 responden lebih dari separuh memiliki pengetahuan cukup dengan berperilaku positif 15 responden (65,2%) sedangkan yang memiliki pengetahuan cukup dengan</w:t>
      </w:r>
      <w:r>
        <w:rPr>
          <w:rFonts w:ascii="Tw Cen MT" w:hAnsi="Tw Cen MT" w:cs="Times New Roman"/>
          <w:sz w:val="24"/>
          <w:szCs w:val="24"/>
        </w:rPr>
        <w:t xml:space="preserve"> berperilaku negatif melakukan personal </w:t>
      </w:r>
      <w:r w:rsidRPr="00126D61">
        <w:rPr>
          <w:rFonts w:ascii="Tw Cen MT" w:hAnsi="Tw Cen MT" w:cs="Times New Roman"/>
          <w:i/>
          <w:sz w:val="24"/>
          <w:szCs w:val="24"/>
        </w:rPr>
        <w:t>hygiene</w:t>
      </w:r>
      <w:r>
        <w:rPr>
          <w:rFonts w:ascii="Tw Cen MT" w:hAnsi="Tw Cen MT" w:cs="Times New Roman"/>
          <w:sz w:val="24"/>
          <w:szCs w:val="24"/>
        </w:rPr>
        <w:t xml:space="preserve"> saat m</w:t>
      </w:r>
      <w:r w:rsidRPr="003F7A78">
        <w:rPr>
          <w:rFonts w:ascii="Tw Cen MT" w:hAnsi="Tw Cen MT" w:cs="Times New Roman"/>
          <w:sz w:val="24"/>
          <w:szCs w:val="24"/>
        </w:rPr>
        <w:t xml:space="preserve">enstruasi yaitu 8 orang (34,8%). Berdasarkan hasil </w:t>
      </w:r>
      <w:r w:rsidRPr="003F7A78">
        <w:rPr>
          <w:rFonts w:ascii="Tw Cen MT" w:hAnsi="Tw Cen MT" w:cs="Times New Roman"/>
          <w:i/>
          <w:sz w:val="24"/>
          <w:szCs w:val="24"/>
        </w:rPr>
        <w:t xml:space="preserve">uji chi square </w:t>
      </w:r>
      <w:r w:rsidRPr="003F7A78">
        <w:rPr>
          <w:rFonts w:ascii="Tw Cen MT" w:hAnsi="Tw Cen MT" w:cs="Times New Roman"/>
          <w:sz w:val="24"/>
          <w:szCs w:val="24"/>
        </w:rPr>
        <w:t xml:space="preserve"> diperoleh nilai </w:t>
      </w:r>
      <w:r w:rsidRPr="003F7A78">
        <w:rPr>
          <w:rFonts w:ascii="Tw Cen MT" w:hAnsi="Tw Cen MT" w:cs="Times New Roman"/>
          <w:i/>
          <w:sz w:val="24"/>
          <w:szCs w:val="24"/>
        </w:rPr>
        <w:t>p value</w:t>
      </w:r>
      <w:r w:rsidRPr="003F7A78">
        <w:rPr>
          <w:rFonts w:ascii="Tw Cen MT" w:hAnsi="Tw Cen MT" w:cs="Times New Roman"/>
          <w:sz w:val="24"/>
          <w:szCs w:val="24"/>
        </w:rPr>
        <w:t xml:space="preserve"> 0,196 &gt; 0,05 artinya tidak ada hubungan yang signifikan anta</w:t>
      </w:r>
      <w:r>
        <w:rPr>
          <w:rFonts w:ascii="Tw Cen MT" w:hAnsi="Tw Cen MT" w:cs="Times New Roman"/>
          <w:sz w:val="24"/>
          <w:szCs w:val="24"/>
        </w:rPr>
        <w:t>ra Pengetahuan Dengan Perilaku p</w:t>
      </w:r>
      <w:r w:rsidRPr="003F7A78">
        <w:rPr>
          <w:rFonts w:ascii="Tw Cen MT" w:hAnsi="Tw Cen MT" w:cs="Times New Roman"/>
          <w:sz w:val="24"/>
          <w:szCs w:val="24"/>
        </w:rPr>
        <w:t xml:space="preserve">ersonal </w:t>
      </w:r>
      <w:r>
        <w:rPr>
          <w:rFonts w:ascii="Tw Cen MT" w:hAnsi="Tw Cen MT" w:cs="Times New Roman"/>
          <w:sz w:val="24"/>
          <w:szCs w:val="24"/>
        </w:rPr>
        <w:t>h</w:t>
      </w:r>
      <w:r w:rsidRPr="00126D61">
        <w:rPr>
          <w:rFonts w:ascii="Tw Cen MT" w:hAnsi="Tw Cen MT" w:cs="Times New Roman"/>
          <w:i/>
          <w:sz w:val="24"/>
          <w:szCs w:val="24"/>
        </w:rPr>
        <w:t>ygiene</w:t>
      </w:r>
      <w:r w:rsidRPr="003F7A78">
        <w:rPr>
          <w:rFonts w:ascii="Tw Cen MT" w:hAnsi="Tw Cen MT" w:cs="Times New Roman"/>
          <w:sz w:val="24"/>
          <w:szCs w:val="24"/>
        </w:rPr>
        <w:t xml:space="preserve"> Saat Menstruasi.</w:t>
      </w:r>
    </w:p>
    <w:p w:rsidR="00126D61" w:rsidRPr="003F7A78" w:rsidRDefault="00126D61" w:rsidP="00126D61">
      <w:pPr>
        <w:spacing w:after="0" w:line="240" w:lineRule="auto"/>
        <w:jc w:val="both"/>
        <w:rPr>
          <w:rFonts w:ascii="Tw Cen MT" w:hAnsi="Tw Cen MT" w:cs="Times New Roman"/>
          <w:sz w:val="24"/>
          <w:szCs w:val="24"/>
        </w:rPr>
      </w:pPr>
      <w:r w:rsidRPr="00126D61">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saat menstruasi adalah komponen </w:t>
      </w:r>
      <w:r w:rsidRPr="00126D61">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(kebersihan perorangan) yang memegang peranan penting dalam status perilaku kesehatan seseorang termasuk menghindari adanya gangguan pada fungsi alat reproduksi. Pengetahuan seseorang tentang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saat menstruasi juga memiliki pengaruh bagi perilaku seseorang dalam menjaga dan merawat kesehatan reproduksinya. Pendidikan kesehatan tentang kesehatan reproduksi penting untuk remaja agar mereka mempunyai informasi dan pengetahuan yang benar tentang kesehatan reproduksi. Penyebab </w:t>
      </w:r>
      <w:r w:rsidRPr="003F7A78">
        <w:rPr>
          <w:rFonts w:ascii="Tw Cen MT" w:hAnsi="Tw Cen MT" w:cs="Times New Roman"/>
          <w:sz w:val="24"/>
          <w:szCs w:val="24"/>
        </w:rPr>
        <w:lastRenderedPageBreak/>
        <w:t xml:space="preserve">kurangnya pengetahuan dan informasi tentang </w:t>
      </w:r>
      <w:r w:rsidRPr="003F7A78">
        <w:rPr>
          <w:rFonts w:ascii="Tw Cen MT" w:hAnsi="Tw Cen MT" w:cs="Times New Roman"/>
          <w:i/>
          <w:iCs/>
          <w:sz w:val="24"/>
          <w:szCs w:val="24"/>
        </w:rPr>
        <w:t>personal hygiene</w:t>
      </w:r>
      <w:r w:rsidRPr="003F7A78">
        <w:rPr>
          <w:rFonts w:ascii="Tw Cen MT" w:hAnsi="Tw Cen MT" w:cs="Times New Roman"/>
          <w:sz w:val="24"/>
          <w:szCs w:val="24"/>
        </w:rPr>
        <w:t xml:space="preserve"> saat menstruasi. Salah satu akibat kurangnya pemahaman personal </w:t>
      </w:r>
      <w:r w:rsidRPr="00126D61">
        <w:rPr>
          <w:rFonts w:ascii="Tw Cen MT" w:hAnsi="Tw Cen MT" w:cs="Times New Roman"/>
          <w:i/>
          <w:sz w:val="24"/>
          <w:szCs w:val="24"/>
        </w:rPr>
        <w:t>hygiene</w:t>
      </w:r>
      <w:r w:rsidRPr="003F7A78">
        <w:rPr>
          <w:rFonts w:ascii="Tw Cen MT" w:hAnsi="Tw Cen MT" w:cs="Times New Roman"/>
          <w:sz w:val="24"/>
          <w:szCs w:val="24"/>
        </w:rPr>
        <w:t xml:space="preserve"> genetalia adalah terjadinya gangguan kesehatan re</w:t>
      </w:r>
      <w:r>
        <w:rPr>
          <w:rFonts w:ascii="Tw Cen MT" w:hAnsi="Tw Cen MT" w:cs="Times New Roman"/>
          <w:sz w:val="24"/>
          <w:szCs w:val="24"/>
        </w:rPr>
        <w:t>produksi seperti keputihan dan Infeksi Saluran R</w:t>
      </w:r>
      <w:r w:rsidRPr="003F7A78">
        <w:rPr>
          <w:rFonts w:ascii="Tw Cen MT" w:hAnsi="Tw Cen MT" w:cs="Times New Roman"/>
          <w:sz w:val="24"/>
          <w:szCs w:val="24"/>
        </w:rPr>
        <w:t xml:space="preserve">eproduksi (ISR) </w:t>
      </w:r>
      <w:r w:rsidRPr="003F7A78">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"Nurmaliza", "given" : "Shofy Rohidah", "non-dropping-particle" : "", "parse-names" : false, "suffix" : "" } ], "id" : "ITEM-1", "issue" : "1", "issued" : { "date-parts" : [ [ "2019" ] ] }, "page" : "32-35", "title" : "HUBUNGAN TINGKAT PENGETAHUAN REMAJA PUTRI TERHADAP PERSONAL HYGIENE SAAT MENSTRUASI DI SMA NEGERI 3 PEKANBARU TAHUN 2018", "type" : "article-journal", "volume" : "3" }, "uris" : [ "http://www.mendeley.com/documents/?uuid=9e290f4d-0f19-4f7c-add3-52ab42ffd0e8", "http://www.mendeley.com/documents/?uuid=cab359a7-d3f1-4b8e-84fb-eb7aa41e9b69" ] } ], "mendeley" : { "formattedCitation" : "[8]", "plainTextFormattedCitation" : "[8]", "previouslyFormattedCitation" : "(Nurmaliza, 2019)" }, "properties" : { "noteIndex" : 0 }, "schema" : "https://github.com/citation-style-language/schema/raw/master/csl-citation.json" }</w:instrText>
      </w:r>
      <w:r w:rsidRPr="003F7A78">
        <w:rPr>
          <w:rFonts w:ascii="Tw Cen MT" w:hAnsi="Tw Cen MT" w:cs="Times New Roman"/>
          <w:sz w:val="24"/>
          <w:szCs w:val="24"/>
        </w:rPr>
        <w:fldChar w:fldCharType="separate"/>
      </w:r>
      <w:r w:rsidRPr="00A2544E">
        <w:rPr>
          <w:rFonts w:ascii="Tw Cen MT" w:hAnsi="Tw Cen MT" w:cs="Times New Roman"/>
          <w:noProof/>
          <w:sz w:val="24"/>
          <w:szCs w:val="24"/>
        </w:rPr>
        <w:t>[8]</w:t>
      </w:r>
      <w:r w:rsidRPr="003F7A78">
        <w:rPr>
          <w:rFonts w:ascii="Tw Cen MT" w:hAnsi="Tw Cen MT" w:cs="Times New Roman"/>
          <w:sz w:val="24"/>
          <w:szCs w:val="24"/>
        </w:rPr>
        <w:fldChar w:fldCharType="end"/>
      </w:r>
      <w:r w:rsidRPr="003F7A78">
        <w:rPr>
          <w:rFonts w:ascii="Tw Cen MT" w:hAnsi="Tw Cen MT" w:cs="Times New Roman"/>
          <w:sz w:val="24"/>
          <w:szCs w:val="24"/>
        </w:rPr>
        <w:t xml:space="preserve">. </w:t>
      </w:r>
    </w:p>
    <w:p w:rsidR="00126D61" w:rsidRPr="003F7A78" w:rsidRDefault="00126D61" w:rsidP="00126D61">
      <w:pPr>
        <w:pStyle w:val="Default"/>
        <w:jc w:val="both"/>
        <w:rPr>
          <w:rFonts w:ascii="Tw Cen MT" w:hAnsi="Tw Cen MT"/>
        </w:rPr>
      </w:pPr>
      <w:r w:rsidRPr="003F7A78">
        <w:rPr>
          <w:rFonts w:ascii="Tw Cen MT" w:hAnsi="Tw Cen MT"/>
        </w:rPr>
        <w:t xml:space="preserve">Hasil penelitian ini sejalan dengan hasil penelitian </w:t>
      </w:r>
      <w:r w:rsidRPr="008E5399">
        <w:rPr>
          <w:rFonts w:ascii="Tw Cen MT" w:hAnsi="Tw Cen MT"/>
          <w:color w:val="auto"/>
        </w:rPr>
        <w:t>Aulia Khatib et all (2019).</w:t>
      </w:r>
      <w:r w:rsidRPr="00126D61">
        <w:rPr>
          <w:rFonts w:ascii="Tw Cen MT" w:hAnsi="Tw Cen MT"/>
          <w:color w:val="FF0000"/>
        </w:rPr>
        <w:t xml:space="preserve"> </w:t>
      </w:r>
      <w:r w:rsidRPr="003F7A78">
        <w:rPr>
          <w:rFonts w:ascii="Tw Cen MT" w:hAnsi="Tw Cen MT"/>
        </w:rPr>
        <w:t xml:space="preserve">Dari responden kedua sekolah majoritas memiliki perilaku </w:t>
      </w:r>
      <w:r w:rsidRPr="00126D61">
        <w:rPr>
          <w:rFonts w:ascii="Tw Cen MT" w:hAnsi="Tw Cen MT"/>
          <w:iCs/>
        </w:rPr>
        <w:t>personal</w:t>
      </w:r>
      <w:r w:rsidRPr="003F7A78">
        <w:rPr>
          <w:rFonts w:ascii="Tw Cen MT" w:hAnsi="Tw Cen MT"/>
          <w:i/>
          <w:iCs/>
        </w:rPr>
        <w:t xml:space="preserve"> hygiene </w:t>
      </w:r>
      <w:r w:rsidRPr="003F7A78">
        <w:rPr>
          <w:rFonts w:ascii="Tw Cen MT" w:hAnsi="Tw Cen MT"/>
        </w:rPr>
        <w:t xml:space="preserve">yang baik. Namun begitu, masih ada diantaranya yang mengalami gejala vaginitis dengan persentase di SMPN 1 yaitu 14,8% dan di SMPN 23 yaitu 28,2%. Tidak terdapat hubungan yang signifikan antara perilaku </w:t>
      </w:r>
      <w:r w:rsidRPr="003F7A78">
        <w:rPr>
          <w:rFonts w:ascii="Tw Cen MT" w:hAnsi="Tw Cen MT"/>
          <w:i/>
          <w:iCs/>
        </w:rPr>
        <w:t xml:space="preserve">personal hygiene </w:t>
      </w:r>
      <w:r w:rsidRPr="003F7A78">
        <w:rPr>
          <w:rFonts w:ascii="Tw Cen MT" w:hAnsi="Tw Cen MT"/>
        </w:rPr>
        <w:t>dengan gejala vaginitis yang pernah dialami oleh responden di SMPN 1 dengan p=0,138 (p&gt;0,05) dan di SMPN 23 dengan p=0,615 (p&gt;0,05).</w:t>
      </w:r>
    </w:p>
    <w:p w:rsidR="00126D61" w:rsidRPr="00296EB9" w:rsidRDefault="00126D61" w:rsidP="00126D61">
      <w:pPr>
        <w:spacing w:line="240" w:lineRule="auto"/>
        <w:jc w:val="both"/>
        <w:rPr>
          <w:rFonts w:ascii="Tw Cen MT" w:eastAsia="Twentieth Century" w:hAnsi="Tw Cen MT" w:cs="Twentieth Century"/>
        </w:rPr>
      </w:pPr>
      <w:r w:rsidRPr="003F7A78">
        <w:rPr>
          <w:rFonts w:ascii="Tw Cen MT" w:hAnsi="Tw Cen MT" w:cs="Times New Roman"/>
          <w:sz w:val="24"/>
          <w:szCs w:val="24"/>
        </w:rPr>
        <w:t>Menurut asumsi peneliti, tidak ada hubu</w:t>
      </w:r>
      <w:r w:rsidR="002F05CD">
        <w:rPr>
          <w:rFonts w:ascii="Tw Cen MT" w:hAnsi="Tw Cen MT" w:cs="Times New Roman"/>
          <w:sz w:val="24"/>
          <w:szCs w:val="24"/>
        </w:rPr>
        <w:t xml:space="preserve">ngan antara pengetahuan dengan </w:t>
      </w:r>
      <w:r w:rsidRPr="003F7A78">
        <w:rPr>
          <w:rFonts w:ascii="Tw Cen MT" w:hAnsi="Tw Cen MT" w:cs="Times New Roman"/>
          <w:sz w:val="24"/>
          <w:szCs w:val="24"/>
        </w:rPr>
        <w:t xml:space="preserve">perilaku </w:t>
      </w:r>
      <w:r w:rsidRPr="002F05CD">
        <w:rPr>
          <w:rFonts w:ascii="Tw Cen MT" w:hAnsi="Tw Cen MT" w:cs="Times New Roman"/>
          <w:sz w:val="24"/>
          <w:szCs w:val="24"/>
        </w:rPr>
        <w:t>personal</w:t>
      </w:r>
      <w:r w:rsidRPr="003F7A78">
        <w:rPr>
          <w:rFonts w:ascii="Tw Cen MT" w:hAnsi="Tw Cen MT" w:cs="Times New Roman"/>
          <w:i/>
          <w:sz w:val="24"/>
          <w:szCs w:val="24"/>
        </w:rPr>
        <w:t xml:space="preserve"> hygiene</w:t>
      </w:r>
      <w:r w:rsidRPr="003F7A78">
        <w:rPr>
          <w:rFonts w:ascii="Tw Cen MT" w:hAnsi="Tw Cen MT" w:cs="Times New Roman"/>
          <w:sz w:val="24"/>
          <w:szCs w:val="24"/>
        </w:rPr>
        <w:t xml:space="preserve"> saat menstruasi pada remaja putri di Panti Asuhan Aisyiyah karena kurangnya memahami cara dan sikap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saat menstruasi</w:t>
      </w:r>
      <w:r w:rsidRPr="003F7A78">
        <w:rPr>
          <w:rFonts w:ascii="Tw Cen MT" w:hAnsi="Tw Cen MT" w:cs="Times New Roman"/>
          <w:i/>
          <w:sz w:val="24"/>
          <w:szCs w:val="24"/>
        </w:rPr>
        <w:t>,</w:t>
      </w:r>
      <w:r w:rsidRPr="003F7A78">
        <w:rPr>
          <w:rFonts w:ascii="Tw Cen MT" w:hAnsi="Tw Cen MT" w:cs="Times New Roman"/>
          <w:sz w:val="24"/>
          <w:szCs w:val="24"/>
        </w:rPr>
        <w:t xml:space="preserve"> serta kurangnya kesadaran terhadap kebersihan dalam mengganti pembalut pada saat menstruasi. Banyak penelitian yang telah menemukan hasil positif bahwa para remaja putri ternyata masih minim peng</w:t>
      </w:r>
      <w:r w:rsidR="002F05CD">
        <w:rPr>
          <w:rFonts w:ascii="Tw Cen MT" w:hAnsi="Tw Cen MT" w:cs="Times New Roman"/>
          <w:sz w:val="24"/>
          <w:szCs w:val="24"/>
        </w:rPr>
        <w:t>etahuan mereka mengenai penting</w:t>
      </w:r>
      <w:r w:rsidRPr="003F7A78">
        <w:rPr>
          <w:rFonts w:ascii="Tw Cen MT" w:hAnsi="Tw Cen MT" w:cs="Times New Roman"/>
          <w:sz w:val="24"/>
          <w:szCs w:val="24"/>
        </w:rPr>
        <w:t xml:space="preserve">nya mengetahui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saat menstruasi. Mereka seringkali mengacuhkan kegiatan </w:t>
      </w:r>
      <w:r w:rsidRPr="002F05CD">
        <w:rPr>
          <w:rFonts w:ascii="Tw Cen MT" w:hAnsi="Tw Cen MT" w:cs="Times New Roman"/>
          <w:sz w:val="24"/>
          <w:szCs w:val="24"/>
        </w:rPr>
        <w:t xml:space="preserve">personal </w:t>
      </w:r>
      <w:r w:rsidRPr="003F7A78">
        <w:rPr>
          <w:rFonts w:ascii="Tw Cen MT" w:hAnsi="Tw Cen MT" w:cs="Times New Roman"/>
          <w:i/>
          <w:sz w:val="24"/>
          <w:szCs w:val="24"/>
        </w:rPr>
        <w:t>hygiene</w:t>
      </w:r>
      <w:r w:rsidRPr="003F7A78">
        <w:rPr>
          <w:rFonts w:ascii="Tw Cen MT" w:hAnsi="Tw Cen MT" w:cs="Times New Roman"/>
          <w:sz w:val="24"/>
          <w:szCs w:val="24"/>
        </w:rPr>
        <w:t xml:space="preserve"> saat menstruasi</w:t>
      </w:r>
      <w:r w:rsidRPr="003F7A78">
        <w:rPr>
          <w:rFonts w:ascii="Tw Cen MT" w:hAnsi="Tw Cen MT" w:cs="Times New Roman"/>
          <w:i/>
          <w:sz w:val="24"/>
          <w:szCs w:val="24"/>
        </w:rPr>
        <w:t xml:space="preserve"> </w:t>
      </w:r>
      <w:r w:rsidRPr="003F7A78">
        <w:rPr>
          <w:rFonts w:ascii="Tw Cen MT" w:hAnsi="Tw Cen MT" w:cs="Times New Roman"/>
          <w:sz w:val="24"/>
          <w:szCs w:val="24"/>
        </w:rPr>
        <w:t>yang benar dan tepat.</w:t>
      </w:r>
    </w:p>
    <w:p w:rsidR="00244AA2" w:rsidRDefault="00244AA2">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SIMPULAN</w:t>
      </w:r>
    </w:p>
    <w:p w:rsidR="002F05CD" w:rsidRPr="003F7A78" w:rsidRDefault="002F05CD" w:rsidP="002F05CD">
      <w:pPr>
        <w:spacing w:after="0" w:line="240" w:lineRule="auto"/>
        <w:jc w:val="both"/>
        <w:rPr>
          <w:rFonts w:ascii="Tw Cen MT" w:hAnsi="Tw Cen MT" w:cs="Times New Roman"/>
          <w:sz w:val="24"/>
          <w:szCs w:val="24"/>
        </w:rPr>
      </w:pPr>
      <w:r w:rsidRPr="003F7A78">
        <w:rPr>
          <w:rFonts w:ascii="Tw Cen MT" w:hAnsi="Tw Cen MT" w:cs="Times New Roman"/>
          <w:sz w:val="24"/>
          <w:szCs w:val="24"/>
        </w:rPr>
        <w:t xml:space="preserve">Tidak ada hubungan antara pengetahuan dengan perilaku personal </w:t>
      </w:r>
      <w:r w:rsidRPr="002F05CD">
        <w:rPr>
          <w:rFonts w:ascii="Tw Cen MT" w:hAnsi="Tw Cen MT" w:cs="Times New Roman"/>
          <w:i/>
          <w:sz w:val="24"/>
          <w:szCs w:val="24"/>
        </w:rPr>
        <w:t>hygiene</w:t>
      </w:r>
      <w:r w:rsidRPr="003F7A78">
        <w:rPr>
          <w:rFonts w:ascii="Tw Cen MT" w:hAnsi="Tw Cen MT" w:cs="Times New Roman"/>
          <w:sz w:val="24"/>
          <w:szCs w:val="24"/>
        </w:rPr>
        <w:t xml:space="preserve"> saat menstruasi pada remaja putri dengan P </w:t>
      </w:r>
      <w:r w:rsidRPr="003F7A78">
        <w:rPr>
          <w:rFonts w:ascii="Tw Cen MT" w:hAnsi="Tw Cen MT" w:cs="Times New Roman"/>
          <w:i/>
          <w:sz w:val="24"/>
          <w:szCs w:val="24"/>
        </w:rPr>
        <w:t xml:space="preserve">value </w:t>
      </w:r>
      <w:r w:rsidRPr="003F7A78">
        <w:rPr>
          <w:rFonts w:ascii="Tw Cen MT" w:hAnsi="Tw Cen MT" w:cs="Times New Roman"/>
          <w:sz w:val="24"/>
          <w:szCs w:val="24"/>
        </w:rPr>
        <w:lastRenderedPageBreak/>
        <w:t xml:space="preserve">0,196 &gt; 0,05 artinya tidak ada hubungan yang signifikan antara Pengetahuan Dengan Perilaku Personal </w:t>
      </w:r>
      <w:r w:rsidRPr="002F05CD">
        <w:rPr>
          <w:rFonts w:ascii="Tw Cen MT" w:hAnsi="Tw Cen MT" w:cs="Times New Roman"/>
          <w:i/>
          <w:sz w:val="24"/>
          <w:szCs w:val="24"/>
        </w:rPr>
        <w:t>Hygiene</w:t>
      </w:r>
      <w:r>
        <w:rPr>
          <w:rFonts w:ascii="Tw Cen MT" w:hAnsi="Tw Cen MT" w:cs="Times New Roman"/>
          <w:sz w:val="24"/>
          <w:szCs w:val="24"/>
        </w:rPr>
        <w:t xml:space="preserve"> s</w:t>
      </w:r>
      <w:r w:rsidRPr="003F7A78">
        <w:rPr>
          <w:rFonts w:ascii="Tw Cen MT" w:hAnsi="Tw Cen MT" w:cs="Times New Roman"/>
          <w:sz w:val="24"/>
          <w:szCs w:val="24"/>
        </w:rPr>
        <w:t>aat Menstruasi.</w:t>
      </w:r>
    </w:p>
    <w:p w:rsidR="00244AA2" w:rsidRDefault="002F05CD" w:rsidP="002F05CD">
      <w:pPr>
        <w:tabs>
          <w:tab w:val="left" w:pos="426"/>
        </w:tabs>
        <w:spacing w:after="0" w:line="240" w:lineRule="auto"/>
        <w:jc w:val="both"/>
        <w:rPr>
          <w:rFonts w:ascii="Tw Cen MT" w:hAnsi="Tw Cen MT"/>
          <w:sz w:val="24"/>
          <w:szCs w:val="24"/>
        </w:rPr>
      </w:pPr>
      <w:r w:rsidRPr="003F7A78">
        <w:rPr>
          <w:rFonts w:ascii="Tw Cen MT" w:hAnsi="Tw Cen MT" w:cs="Times New Roman"/>
          <w:sz w:val="24"/>
          <w:szCs w:val="24"/>
        </w:rPr>
        <w:t>Diharapkan responden lebih akt</w:t>
      </w:r>
      <w:r>
        <w:rPr>
          <w:rFonts w:ascii="Tw Cen MT" w:hAnsi="Tw Cen MT" w:cs="Times New Roman"/>
          <w:sz w:val="24"/>
          <w:szCs w:val="24"/>
          <w:lang w:val="id-ID"/>
        </w:rPr>
        <w:t>i</w:t>
      </w:r>
      <w:r w:rsidRPr="003F7A78">
        <w:rPr>
          <w:rFonts w:ascii="Tw Cen MT" w:hAnsi="Tw Cen MT" w:cs="Times New Roman"/>
          <w:sz w:val="24"/>
          <w:szCs w:val="24"/>
        </w:rPr>
        <w:t xml:space="preserve">f dalam mencari informasi terkait dengan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dengan bertambahnya pengetahuan terkait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 xml:space="preserve">maka remaja dapat meminimalisir perilaku buruk dan dapat melakukan pencegahan agar terhindar dari masalah yang dapat ditimbulkan dari perilaku </w:t>
      </w:r>
      <w:r w:rsidRPr="002F05CD">
        <w:rPr>
          <w:rFonts w:ascii="Tw Cen MT" w:hAnsi="Tw Cen MT" w:cs="Times New Roman"/>
          <w:sz w:val="24"/>
          <w:szCs w:val="24"/>
        </w:rPr>
        <w:t>personal</w:t>
      </w:r>
      <w:r w:rsidRPr="003F7A78">
        <w:rPr>
          <w:rFonts w:ascii="Tw Cen MT" w:hAnsi="Tw Cen MT" w:cs="Times New Roman"/>
          <w:i/>
          <w:sz w:val="24"/>
          <w:szCs w:val="24"/>
        </w:rPr>
        <w:t xml:space="preserve"> hygiene </w:t>
      </w:r>
      <w:r w:rsidRPr="003F7A78">
        <w:rPr>
          <w:rFonts w:ascii="Tw Cen MT" w:hAnsi="Tw Cen MT" w:cs="Times New Roman"/>
          <w:sz w:val="24"/>
          <w:szCs w:val="24"/>
        </w:rPr>
        <w:t>yang tidak buruk</w:t>
      </w:r>
      <w:r>
        <w:rPr>
          <w:rFonts w:ascii="Tw Cen MT" w:hAnsi="Tw Cen MT" w:cs="Times New Roman"/>
          <w:sz w:val="24"/>
          <w:szCs w:val="24"/>
          <w:lang w:val="id-ID"/>
        </w:rPr>
        <w:t xml:space="preserve"> dan remaja dapat mencari tau tentang faktor lain yang dapat menyebabkan keputihan tersebut</w:t>
      </w:r>
      <w:r w:rsidRPr="003F7A78">
        <w:rPr>
          <w:rFonts w:ascii="Tw Cen MT" w:hAnsi="Tw Cen MT" w:cs="Times New Roman"/>
          <w:sz w:val="24"/>
          <w:szCs w:val="24"/>
        </w:rPr>
        <w:t>.</w:t>
      </w:r>
    </w:p>
    <w:p w:rsidR="00244AA2" w:rsidRPr="00244AA2" w:rsidRDefault="00244AA2">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rsidR="00D93684" w:rsidRPr="00296EB9" w:rsidRDefault="002F05CD" w:rsidP="002F05CD">
      <w:pPr>
        <w:tabs>
          <w:tab w:val="left" w:pos="426"/>
        </w:tabs>
        <w:spacing w:after="0" w:line="240" w:lineRule="auto"/>
        <w:jc w:val="both"/>
        <w:rPr>
          <w:rFonts w:ascii="Tw Cen MT" w:eastAsia="Twentieth Century" w:hAnsi="Tw Cen MT" w:cs="Twentieth Century"/>
          <w:sz w:val="24"/>
          <w:szCs w:val="24"/>
        </w:rPr>
      </w:pPr>
      <w:r w:rsidRPr="00D52B6F">
        <w:rPr>
          <w:rFonts w:ascii="Tw Cen MT" w:hAnsi="Tw Cen MT" w:cs="Times New Roman"/>
          <w:sz w:val="24"/>
          <w:szCs w:val="24"/>
        </w:rPr>
        <w:t>Puji dan syukur peneliti ucapkan kepada Allah SWT, karena diberikan kemudahan untuk menyelesaikan penelitian ini.</w:t>
      </w:r>
      <w:r>
        <w:rPr>
          <w:rFonts w:ascii="Tw Cen MT" w:hAnsi="Tw Cen MT" w:cs="Times New Roman"/>
          <w:sz w:val="24"/>
          <w:szCs w:val="24"/>
          <w:lang w:val="id-ID"/>
        </w:rPr>
        <w:t xml:space="preserve"> </w:t>
      </w:r>
      <w:r w:rsidRPr="00D52B6F">
        <w:rPr>
          <w:rFonts w:ascii="Tw Cen MT" w:hAnsi="Tw Cen MT" w:cs="Times New Roman"/>
          <w:sz w:val="24"/>
          <w:szCs w:val="24"/>
          <w:lang w:val="id-ID"/>
        </w:rPr>
        <w:t>Ucapan terimakasih penulis ucapkan ke</w:t>
      </w:r>
      <w:r>
        <w:rPr>
          <w:rFonts w:ascii="Tw Cen MT" w:hAnsi="Tw Cen MT" w:cs="Times New Roman"/>
          <w:sz w:val="24"/>
          <w:szCs w:val="24"/>
          <w:lang w:val="id-ID"/>
        </w:rPr>
        <w:t>pada Akbid Helvetia Pekanbaru</w:t>
      </w:r>
      <w:r w:rsidRPr="00D52B6F">
        <w:rPr>
          <w:rFonts w:ascii="Tw Cen MT" w:hAnsi="Tw Cen MT" w:cs="Times New Roman"/>
          <w:sz w:val="24"/>
          <w:szCs w:val="24"/>
          <w:lang w:val="id-ID"/>
        </w:rPr>
        <w:t xml:space="preserve"> yang telah mensupport dalam bentuk materi maupun kelancaran dalam proses penelitian sehingga terselaikannya penelitian ini tepat pada waktunya.</w:t>
      </w:r>
    </w:p>
    <w:p w:rsidR="00D93684" w:rsidRPr="00296EB9" w:rsidRDefault="00D93684">
      <w:pPr>
        <w:spacing w:after="0" w:line="240" w:lineRule="auto"/>
        <w:jc w:val="both"/>
        <w:rPr>
          <w:rFonts w:ascii="Tw Cen MT" w:eastAsia="Twentieth Century" w:hAnsi="Tw Cen MT" w:cs="Twentieth Century"/>
          <w:b/>
          <w:sz w:val="24"/>
          <w:szCs w:val="24"/>
        </w:rPr>
      </w:pPr>
    </w:p>
    <w:p w:rsidR="00D93684" w:rsidRDefault="00B43B99">
      <w:pPr>
        <w:tabs>
          <w:tab w:val="left" w:pos="426"/>
        </w:tabs>
        <w:spacing w:after="0"/>
        <w:jc w:val="both"/>
        <w:rPr>
          <w:rFonts w:ascii="Tw Cen MT" w:eastAsia="Twentieth Century" w:hAnsi="Tw Cen MT" w:cs="Twentieth Century"/>
          <w:b/>
          <w:sz w:val="24"/>
          <w:szCs w:val="24"/>
          <w:lang w:val="id-ID"/>
        </w:rPr>
      </w:pPr>
      <w:r w:rsidRPr="00296EB9">
        <w:rPr>
          <w:rFonts w:ascii="Tw Cen MT" w:eastAsia="Twentieth Century" w:hAnsi="Tw Cen MT" w:cs="Twentieth Century"/>
          <w:b/>
          <w:sz w:val="24"/>
          <w:szCs w:val="24"/>
        </w:rPr>
        <w:t>DAFTAR PUSTAK</w:t>
      </w:r>
      <w:r w:rsidR="004B5017">
        <w:rPr>
          <w:rFonts w:ascii="Tw Cen MT" w:eastAsia="Twentieth Century" w:hAnsi="Tw Cen MT" w:cs="Twentieth Century"/>
          <w:b/>
          <w:sz w:val="24"/>
          <w:szCs w:val="24"/>
          <w:lang w:val="id-ID"/>
        </w:rPr>
        <w:t>A</w:t>
      </w:r>
    </w:p>
    <w:p w:rsidR="00AF2DCD" w:rsidRPr="00B16B90" w:rsidRDefault="00AF2DCD" w:rsidP="00B16B90">
      <w:pPr>
        <w:widowControl w:val="0"/>
        <w:autoSpaceDE w:val="0"/>
        <w:autoSpaceDN w:val="0"/>
        <w:adjustRightInd w:val="0"/>
        <w:spacing w:line="240" w:lineRule="auto"/>
        <w:ind w:left="480" w:hanging="480"/>
        <w:rPr>
          <w:rFonts w:ascii="Tw Cen MT" w:hAnsi="Tw Cen MT" w:cs="Times New Roman"/>
          <w:noProof/>
          <w:sz w:val="24"/>
          <w:szCs w:val="24"/>
          <w:lang w:val="id-ID"/>
        </w:rPr>
      </w:pPr>
      <w:r w:rsidRPr="003F7A78">
        <w:rPr>
          <w:rFonts w:ascii="Tw Cen MT" w:hAnsi="Tw Cen MT" w:cs="Times New Roman"/>
          <w:sz w:val="24"/>
          <w:szCs w:val="24"/>
        </w:rPr>
        <w:fldChar w:fldCharType="begin" w:fldLock="1"/>
      </w:r>
      <w:r w:rsidRPr="003F7A78">
        <w:rPr>
          <w:rFonts w:ascii="Tw Cen MT" w:hAnsi="Tw Cen MT" w:cs="Times New Roman"/>
          <w:sz w:val="24"/>
          <w:szCs w:val="24"/>
        </w:rPr>
        <w:instrText xml:space="preserve">ADDIN Mendeley Bibliography CSL_BIBLIOGRAPHY </w:instrText>
      </w:r>
      <w:r w:rsidRPr="003F7A78">
        <w:rPr>
          <w:rFonts w:ascii="Tw Cen MT" w:hAnsi="Tw Cen MT" w:cs="Times New Roman"/>
          <w:sz w:val="24"/>
          <w:szCs w:val="24"/>
        </w:rPr>
        <w:fldChar w:fldCharType="separate"/>
      </w:r>
      <w:r w:rsidRPr="00A2544E">
        <w:rPr>
          <w:rFonts w:ascii="Tw Cen MT" w:hAnsi="Tw Cen MT" w:cs="Times New Roman"/>
          <w:noProof/>
          <w:sz w:val="24"/>
          <w:szCs w:val="24"/>
        </w:rPr>
        <w:t>[1]</w:t>
      </w:r>
      <w:r w:rsidRPr="00A2544E">
        <w:rPr>
          <w:rFonts w:ascii="Tw Cen MT" w:hAnsi="Tw Cen MT" w:cs="Times New Roman"/>
          <w:noProof/>
          <w:sz w:val="24"/>
          <w:szCs w:val="24"/>
        </w:rPr>
        <w:tab/>
      </w:r>
      <w:r w:rsidRPr="004B5017">
        <w:rPr>
          <w:rFonts w:ascii="Tw Cen MT" w:hAnsi="Tw Cen MT" w:cs="Times New Roman"/>
          <w:noProof/>
          <w:sz w:val="24"/>
          <w:szCs w:val="24"/>
        </w:rPr>
        <w:t xml:space="preserve">Ariani,  ayu putri. (2014). </w:t>
      </w:r>
      <w:r w:rsidRPr="004B5017">
        <w:rPr>
          <w:rFonts w:ascii="Tw Cen MT" w:hAnsi="Tw Cen MT" w:cs="Times New Roman"/>
          <w:i/>
          <w:iCs/>
          <w:noProof/>
          <w:sz w:val="24"/>
          <w:szCs w:val="24"/>
        </w:rPr>
        <w:t>Aplikasi Metodologi Kebidanan Katan Reproduksi</w:t>
      </w:r>
      <w:r w:rsidRPr="004B5017">
        <w:rPr>
          <w:rFonts w:ascii="Tw Cen MT" w:hAnsi="Tw Cen MT" w:cs="Times New Roman"/>
          <w:noProof/>
          <w:sz w:val="24"/>
          <w:szCs w:val="24"/>
        </w:rPr>
        <w:t xml:space="preserve"> (pertama). yagyakarta: Nuh</w:t>
      </w:r>
      <w:bookmarkStart w:id="2" w:name="_GoBack"/>
      <w:bookmarkEnd w:id="2"/>
      <w:r w:rsidRPr="004B5017">
        <w:rPr>
          <w:rFonts w:ascii="Tw Cen MT" w:hAnsi="Tw Cen MT" w:cs="Times New Roman"/>
          <w:noProof/>
          <w:sz w:val="24"/>
          <w:szCs w:val="24"/>
        </w:rPr>
        <w:t>a Medika.</w:t>
      </w:r>
    </w:p>
    <w:p w:rsidR="008E5399" w:rsidRPr="004B5017" w:rsidRDefault="00AF2DCD" w:rsidP="008E5399">
      <w:pPr>
        <w:widowControl w:val="0"/>
        <w:autoSpaceDE w:val="0"/>
        <w:autoSpaceDN w:val="0"/>
        <w:adjustRightInd w:val="0"/>
        <w:spacing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[2]</w:t>
      </w:r>
      <w:r w:rsidRPr="00A2544E">
        <w:rPr>
          <w:rFonts w:ascii="Tw Cen MT" w:hAnsi="Tw Cen MT" w:cs="Times New Roman"/>
          <w:noProof/>
          <w:sz w:val="24"/>
          <w:szCs w:val="24"/>
        </w:rPr>
        <w:tab/>
      </w:r>
      <w:r w:rsidR="008E5399" w:rsidRPr="004B5017">
        <w:rPr>
          <w:rFonts w:ascii="Tw Cen MT" w:hAnsi="Tw Cen MT" w:cs="Times New Roman"/>
          <w:noProof/>
          <w:sz w:val="24"/>
          <w:szCs w:val="24"/>
        </w:rPr>
        <w:t xml:space="preserve">Eka Meiyana Erawan, P., &amp; Nasnani, N. (2016). </w:t>
      </w:r>
      <w:r w:rsidR="008E5399" w:rsidRPr="004B5017">
        <w:rPr>
          <w:rFonts w:ascii="Tw Cen MT" w:hAnsi="Tw Cen MT" w:cs="Times New Roman"/>
          <w:i/>
          <w:iCs/>
          <w:noProof/>
          <w:sz w:val="24"/>
          <w:szCs w:val="24"/>
        </w:rPr>
        <w:t>c</w:t>
      </w:r>
      <w:r w:rsidR="008E5399" w:rsidRPr="004B5017">
        <w:rPr>
          <w:rFonts w:ascii="Tw Cen MT" w:hAnsi="Tw Cen MT" w:cs="Times New Roman"/>
          <w:noProof/>
          <w:sz w:val="24"/>
          <w:szCs w:val="24"/>
        </w:rPr>
        <w:t>. 1–10. Diambil dari https://media.neliti.com/media/publications/184665-ID-hubungan-pengetahuan-sikap-dan-tindakan.pdf</w:t>
      </w:r>
    </w:p>
    <w:p w:rsidR="00AF2DCD" w:rsidRPr="00A2544E" w:rsidRDefault="008E5399" w:rsidP="008E5399">
      <w:pPr>
        <w:widowControl w:val="0"/>
        <w:autoSpaceDE w:val="0"/>
        <w:autoSpaceDN w:val="0"/>
        <w:adjustRightInd w:val="0"/>
        <w:spacing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 xml:space="preserve"> </w:t>
      </w:r>
      <w:r w:rsidR="00AF2DCD" w:rsidRPr="00A2544E">
        <w:rPr>
          <w:rFonts w:ascii="Tw Cen MT" w:hAnsi="Tw Cen MT" w:cs="Times New Roman"/>
          <w:noProof/>
          <w:sz w:val="24"/>
          <w:szCs w:val="24"/>
        </w:rPr>
        <w:t>[3]</w:t>
      </w:r>
      <w:r w:rsidR="00AF2DCD" w:rsidRPr="00A2544E">
        <w:rPr>
          <w:rFonts w:ascii="Tw Cen MT" w:hAnsi="Tw Cen MT" w:cs="Times New Roman"/>
          <w:noProof/>
          <w:sz w:val="24"/>
          <w:szCs w:val="24"/>
        </w:rPr>
        <w:tab/>
      </w:r>
      <w:r w:rsidRPr="004B5017">
        <w:rPr>
          <w:rFonts w:ascii="Tw Cen MT" w:hAnsi="Tw Cen MT" w:cs="Times New Roman"/>
          <w:noProof/>
          <w:sz w:val="24"/>
          <w:szCs w:val="24"/>
        </w:rPr>
        <w:t xml:space="preserve">Fitriyya, M., Muslimah, S., &amp; Alifia. (2015). Knowledge and Attitude Teen of Hygiene Vulva </w:t>
      </w:r>
      <w:r w:rsidRPr="004B5017">
        <w:rPr>
          <w:rFonts w:ascii="Tw Cen MT" w:hAnsi="Tw Cen MT" w:cs="Times New Roman"/>
          <w:noProof/>
          <w:sz w:val="24"/>
          <w:szCs w:val="24"/>
        </w:rPr>
        <w:lastRenderedPageBreak/>
        <w:t xml:space="preserve">At the Time of Menstruation in Class Xi Student in High School Man 1 Surakarta. </w:t>
      </w:r>
      <w:r w:rsidRPr="004B5017">
        <w:rPr>
          <w:rFonts w:ascii="Tw Cen MT" w:hAnsi="Tw Cen MT" w:cs="Times New Roman"/>
          <w:i/>
          <w:iCs/>
          <w:noProof/>
          <w:sz w:val="24"/>
          <w:szCs w:val="24"/>
        </w:rPr>
        <w:t>Jurnal Kebidanan</w:t>
      </w:r>
      <w:r w:rsidRPr="004B5017">
        <w:rPr>
          <w:rFonts w:ascii="Tw Cen MT" w:hAnsi="Tw Cen MT" w:cs="Times New Roman"/>
          <w:noProof/>
          <w:sz w:val="24"/>
          <w:szCs w:val="24"/>
        </w:rPr>
        <w:t xml:space="preserve">, </w:t>
      </w:r>
      <w:r w:rsidRPr="004B5017">
        <w:rPr>
          <w:rFonts w:ascii="Tw Cen MT" w:hAnsi="Tw Cen MT" w:cs="Times New Roman"/>
          <w:i/>
          <w:iCs/>
          <w:noProof/>
          <w:sz w:val="24"/>
          <w:szCs w:val="24"/>
        </w:rPr>
        <w:t>VII</w:t>
      </w:r>
      <w:r w:rsidRPr="004B5017">
        <w:rPr>
          <w:rFonts w:ascii="Tw Cen MT" w:hAnsi="Tw Cen MT" w:cs="Times New Roman"/>
          <w:noProof/>
          <w:sz w:val="24"/>
          <w:szCs w:val="24"/>
        </w:rPr>
        <w:t>(02), 137–146. Diambil dari www.journal.stikeseub.ac.id</w:t>
      </w:r>
      <w:r>
        <w:rPr>
          <w:rFonts w:ascii="Tw Cen MT" w:hAnsi="Tw Cen MT" w:cs="Times New Roman"/>
          <w:noProof/>
          <w:sz w:val="24"/>
          <w:szCs w:val="24"/>
          <w:lang w:val="id-ID"/>
        </w:rPr>
        <w:t xml:space="preserve"> </w:t>
      </w:r>
      <w:r w:rsidR="00AF2DCD" w:rsidRPr="00A2544E">
        <w:rPr>
          <w:rFonts w:ascii="Tw Cen MT" w:hAnsi="Tw Cen MT" w:cs="Times New Roman"/>
          <w:i/>
          <w:iCs/>
          <w:noProof/>
          <w:sz w:val="24"/>
          <w:szCs w:val="24"/>
        </w:rPr>
        <w:t>Health Profile 2018]</w:t>
      </w:r>
      <w:r w:rsidR="00AF2DCD" w:rsidRPr="00A2544E">
        <w:rPr>
          <w:rFonts w:ascii="Tw Cen MT" w:hAnsi="Tw Cen MT" w:cs="Times New Roman"/>
          <w:noProof/>
          <w:sz w:val="24"/>
          <w:szCs w:val="24"/>
        </w:rPr>
        <w:t>. 2019.</w:t>
      </w:r>
    </w:p>
    <w:p w:rsidR="00B16B90" w:rsidRPr="004B5017" w:rsidRDefault="00AF2DCD" w:rsidP="00B16B90">
      <w:pPr>
        <w:widowControl w:val="0"/>
        <w:autoSpaceDE w:val="0"/>
        <w:autoSpaceDN w:val="0"/>
        <w:adjustRightInd w:val="0"/>
        <w:spacing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[4]</w:t>
      </w:r>
      <w:r w:rsidRPr="00A2544E">
        <w:rPr>
          <w:rFonts w:ascii="Tw Cen MT" w:hAnsi="Tw Cen MT" w:cs="Times New Roman"/>
          <w:noProof/>
          <w:sz w:val="24"/>
          <w:szCs w:val="24"/>
        </w:rPr>
        <w:tab/>
      </w:r>
      <w:r w:rsidR="00B16B90" w:rsidRPr="004B5017">
        <w:rPr>
          <w:rFonts w:ascii="Tw Cen MT" w:hAnsi="Tw Cen MT" w:cs="Times New Roman"/>
          <w:noProof/>
          <w:sz w:val="24"/>
          <w:szCs w:val="24"/>
        </w:rPr>
        <w:t xml:space="preserve">Irianto, K. (2014). </w:t>
      </w:r>
      <w:r w:rsidR="00B16B90" w:rsidRPr="004B5017">
        <w:rPr>
          <w:rFonts w:ascii="Tw Cen MT" w:hAnsi="Tw Cen MT" w:cs="Times New Roman"/>
          <w:i/>
          <w:iCs/>
          <w:noProof/>
          <w:sz w:val="24"/>
          <w:szCs w:val="24"/>
        </w:rPr>
        <w:t>Panduan Lengkap Biologi Reproduksi Manusia Human Reproductive Biology</w:t>
      </w:r>
      <w:r w:rsidR="00B16B90" w:rsidRPr="004B5017">
        <w:rPr>
          <w:rFonts w:ascii="Tw Cen MT" w:hAnsi="Tw Cen MT" w:cs="Times New Roman"/>
          <w:noProof/>
          <w:sz w:val="24"/>
          <w:szCs w:val="24"/>
        </w:rPr>
        <w:t xml:space="preserve"> (hal. 61). hal. 61. Bandung: Alfabeta.</w:t>
      </w:r>
    </w:p>
    <w:p w:rsidR="00B16B90" w:rsidRPr="004B5017" w:rsidRDefault="00B16B90" w:rsidP="00B16B90">
      <w:pPr>
        <w:widowControl w:val="0"/>
        <w:autoSpaceDE w:val="0"/>
        <w:autoSpaceDN w:val="0"/>
        <w:adjustRightInd w:val="0"/>
        <w:spacing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 xml:space="preserve"> </w:t>
      </w:r>
      <w:r w:rsidR="00AF2DCD" w:rsidRPr="00A2544E">
        <w:rPr>
          <w:rFonts w:ascii="Tw Cen MT" w:hAnsi="Tw Cen MT" w:cs="Times New Roman"/>
          <w:noProof/>
          <w:sz w:val="24"/>
          <w:szCs w:val="24"/>
        </w:rPr>
        <w:t>[5]</w:t>
      </w:r>
      <w:r w:rsidR="00AF2DCD" w:rsidRPr="00A2544E">
        <w:rPr>
          <w:rFonts w:ascii="Tw Cen MT" w:hAnsi="Tw Cen MT" w:cs="Times New Roman"/>
          <w:noProof/>
          <w:sz w:val="24"/>
          <w:szCs w:val="24"/>
        </w:rPr>
        <w:tab/>
      </w:r>
      <w:r w:rsidRPr="004B5017">
        <w:rPr>
          <w:rFonts w:ascii="Tw Cen MT" w:hAnsi="Tw Cen MT" w:cs="Times New Roman"/>
          <w:noProof/>
          <w:sz w:val="24"/>
          <w:szCs w:val="24"/>
        </w:rPr>
        <w:t xml:space="preserve">Ismi Sulaika, Ike, H., &amp; Puji, D. (2018). </w:t>
      </w:r>
      <w:r w:rsidRPr="004B5017">
        <w:rPr>
          <w:rFonts w:ascii="Tw Cen MT" w:hAnsi="Tw Cen MT" w:cs="Times New Roman"/>
          <w:i/>
          <w:iCs/>
          <w:noProof/>
          <w:sz w:val="24"/>
          <w:szCs w:val="24"/>
        </w:rPr>
        <w:t>( Study at Junior High School of Pondok Pesantren Darul Muttaqin Jombang ) Incident to Adolescent . Metode</w:t>
      </w:r>
      <w:r w:rsidRPr="004B5017">
        <w:rPr>
          <w:rFonts w:ascii="Arial" w:hAnsi="Arial" w:cs="Arial"/>
          <w:i/>
          <w:iCs/>
          <w:noProof/>
          <w:sz w:val="24"/>
          <w:szCs w:val="24"/>
        </w:rPr>
        <w:t> </w:t>
      </w:r>
      <w:r w:rsidRPr="004B5017">
        <w:rPr>
          <w:rFonts w:ascii="Tw Cen MT" w:hAnsi="Tw Cen MT" w:cs="Times New Roman"/>
          <w:i/>
          <w:iCs/>
          <w:noProof/>
          <w:sz w:val="24"/>
          <w:szCs w:val="24"/>
        </w:rPr>
        <w:t>: This type of research used quantitative analytic with were 40 adolescents who had menstruated with the stratafied sampling Menstruation With Pruri</w:t>
      </w:r>
      <w:r w:rsidRPr="004B5017">
        <w:rPr>
          <w:rFonts w:ascii="Tw Cen MT" w:hAnsi="Tw Cen MT" w:cs="Times New Roman"/>
          <w:noProof/>
          <w:sz w:val="24"/>
          <w:szCs w:val="24"/>
        </w:rPr>
        <w:t>. 8. Diambil dari http://repo.stikesicme-jbg.ac.id/972/</w:t>
      </w:r>
    </w:p>
    <w:p w:rsidR="00B16B90" w:rsidRPr="004B5017" w:rsidRDefault="00B16B90" w:rsidP="00B16B90">
      <w:pPr>
        <w:widowControl w:val="0"/>
        <w:autoSpaceDE w:val="0"/>
        <w:autoSpaceDN w:val="0"/>
        <w:adjustRightInd w:val="0"/>
        <w:spacing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 xml:space="preserve"> </w:t>
      </w:r>
      <w:r w:rsidR="00AF2DCD" w:rsidRPr="00A2544E">
        <w:rPr>
          <w:rFonts w:ascii="Tw Cen MT" w:hAnsi="Tw Cen MT" w:cs="Times New Roman"/>
          <w:noProof/>
          <w:sz w:val="24"/>
          <w:szCs w:val="24"/>
        </w:rPr>
        <w:t>[6]</w:t>
      </w:r>
      <w:r w:rsidR="00AF2DCD" w:rsidRPr="00A2544E">
        <w:rPr>
          <w:rFonts w:ascii="Tw Cen MT" w:hAnsi="Tw Cen MT" w:cs="Times New Roman"/>
          <w:noProof/>
          <w:sz w:val="24"/>
          <w:szCs w:val="24"/>
        </w:rPr>
        <w:tab/>
      </w:r>
      <w:r w:rsidRPr="004B5017">
        <w:rPr>
          <w:rFonts w:ascii="Tw Cen MT" w:hAnsi="Tw Cen MT" w:cs="Times New Roman"/>
          <w:noProof/>
          <w:sz w:val="24"/>
          <w:szCs w:val="24"/>
        </w:rPr>
        <w:t xml:space="preserve">Kemenkes RI. (2019). </w:t>
      </w:r>
      <w:r w:rsidRPr="004B5017">
        <w:rPr>
          <w:rFonts w:ascii="Tw Cen MT" w:hAnsi="Tw Cen MT" w:cs="Times New Roman"/>
          <w:i/>
          <w:iCs/>
          <w:noProof/>
          <w:sz w:val="24"/>
          <w:szCs w:val="24"/>
        </w:rPr>
        <w:t>Profil Kesehatan Indonesia 2018 [Indonesia Health Profile 2018]</w:t>
      </w:r>
      <w:r w:rsidRPr="004B5017">
        <w:rPr>
          <w:rFonts w:ascii="Tw Cen MT" w:hAnsi="Tw Cen MT" w:cs="Times New Roman"/>
          <w:noProof/>
          <w:sz w:val="24"/>
          <w:szCs w:val="24"/>
        </w:rPr>
        <w:t>. Diambil dari http://www.depkes.go.id/resources/download/pusdatin/profil-kesehatan-indonesia/Data-dan-Informasi_Profil-Kesehatan-Indonesia-2018.pdf</w:t>
      </w:r>
    </w:p>
    <w:p w:rsidR="00B16B90" w:rsidRPr="004B5017" w:rsidRDefault="00B16B90" w:rsidP="00B16B90">
      <w:pPr>
        <w:widowControl w:val="0"/>
        <w:autoSpaceDE w:val="0"/>
        <w:autoSpaceDN w:val="0"/>
        <w:adjustRightInd w:val="0"/>
        <w:spacing w:line="240" w:lineRule="auto"/>
        <w:ind w:left="480" w:hanging="480"/>
        <w:rPr>
          <w:rFonts w:ascii="Tw Cen MT" w:hAnsi="Tw Cen MT" w:cs="Times New Roman"/>
          <w:noProof/>
          <w:sz w:val="24"/>
          <w:szCs w:val="24"/>
        </w:rPr>
      </w:pPr>
      <w:r w:rsidRPr="00A2544E">
        <w:rPr>
          <w:rFonts w:ascii="Tw Cen MT" w:hAnsi="Tw Cen MT" w:cs="Times New Roman"/>
          <w:noProof/>
          <w:sz w:val="24"/>
          <w:szCs w:val="24"/>
        </w:rPr>
        <w:t xml:space="preserve"> </w:t>
      </w:r>
      <w:r w:rsidR="00AF2DCD" w:rsidRPr="00A2544E">
        <w:rPr>
          <w:rFonts w:ascii="Tw Cen MT" w:hAnsi="Tw Cen MT" w:cs="Times New Roman"/>
          <w:noProof/>
          <w:sz w:val="24"/>
          <w:szCs w:val="24"/>
        </w:rPr>
        <w:t>[7]</w:t>
      </w:r>
      <w:r w:rsidR="00AF2DCD" w:rsidRPr="00A2544E">
        <w:rPr>
          <w:rFonts w:ascii="Tw Cen MT" w:hAnsi="Tw Cen MT" w:cs="Times New Roman"/>
          <w:noProof/>
          <w:sz w:val="24"/>
          <w:szCs w:val="24"/>
        </w:rPr>
        <w:tab/>
      </w:r>
      <w:r w:rsidRPr="004B5017">
        <w:rPr>
          <w:rFonts w:ascii="Tw Cen MT" w:hAnsi="Tw Cen MT" w:cs="Times New Roman"/>
          <w:noProof/>
          <w:sz w:val="24"/>
          <w:szCs w:val="24"/>
        </w:rPr>
        <w:t xml:space="preserve">Kristanti Ani, L., &amp; Sebtalesy, C. yorinda. (2019). </w:t>
      </w:r>
      <w:r w:rsidRPr="004B5017">
        <w:rPr>
          <w:rFonts w:ascii="Tw Cen MT" w:hAnsi="Tw Cen MT" w:cs="Times New Roman"/>
          <w:i/>
          <w:iCs/>
          <w:noProof/>
          <w:sz w:val="24"/>
          <w:szCs w:val="24"/>
        </w:rPr>
        <w:t>Kapasitas Orag Tua Terhadap Personal Hygiene Anak Autis</w:t>
      </w:r>
      <w:r w:rsidRPr="004B5017">
        <w:rPr>
          <w:rFonts w:ascii="Tw Cen MT" w:hAnsi="Tw Cen MT" w:cs="Times New Roman"/>
          <w:noProof/>
          <w:sz w:val="24"/>
          <w:szCs w:val="24"/>
        </w:rPr>
        <w:t xml:space="preserve"> (hal. 78). hal. 78. Jawa Timur: Uweis Inspirasi Indonesia.</w:t>
      </w:r>
    </w:p>
    <w:p w:rsidR="00B16B90" w:rsidRDefault="00B16B90" w:rsidP="00B16B90">
      <w:pPr>
        <w:widowControl w:val="0"/>
        <w:autoSpaceDE w:val="0"/>
        <w:autoSpaceDN w:val="0"/>
        <w:adjustRightInd w:val="0"/>
        <w:spacing w:line="240" w:lineRule="auto"/>
        <w:ind w:left="480" w:hanging="480"/>
        <w:rPr>
          <w:rFonts w:ascii="Tw Cen MT" w:hAnsi="Tw Cen MT" w:cs="Times New Roman"/>
          <w:noProof/>
          <w:sz w:val="24"/>
          <w:szCs w:val="24"/>
          <w:lang w:val="id-ID"/>
        </w:rPr>
      </w:pPr>
      <w:r w:rsidRPr="00A2544E">
        <w:rPr>
          <w:rFonts w:ascii="Tw Cen MT" w:hAnsi="Tw Cen MT" w:cs="Times New Roman"/>
          <w:noProof/>
          <w:sz w:val="24"/>
          <w:szCs w:val="24"/>
        </w:rPr>
        <w:t xml:space="preserve"> </w:t>
      </w:r>
      <w:r>
        <w:rPr>
          <w:rFonts w:ascii="Tw Cen MT" w:hAnsi="Tw Cen MT" w:cs="Times New Roman"/>
          <w:noProof/>
          <w:sz w:val="24"/>
          <w:szCs w:val="24"/>
        </w:rPr>
        <w:t>[8]</w:t>
      </w:r>
      <w:r>
        <w:rPr>
          <w:rFonts w:ascii="Tw Cen MT" w:hAnsi="Tw Cen MT" w:cs="Times New Roman"/>
          <w:noProof/>
          <w:sz w:val="24"/>
          <w:szCs w:val="24"/>
        </w:rPr>
        <w:tab/>
      </w:r>
      <w:r w:rsidRPr="004B5017">
        <w:rPr>
          <w:rFonts w:ascii="Tw Cen MT" w:hAnsi="Tw Cen MT" w:cs="Times New Roman"/>
          <w:noProof/>
          <w:sz w:val="24"/>
          <w:szCs w:val="24"/>
        </w:rPr>
        <w:t xml:space="preserve">Meilan, N., Maryanah, &amp; Follona, W. (2017). Kesehatan Reproduksi Remaja. </w:t>
      </w:r>
      <w:r w:rsidRPr="004B5017">
        <w:rPr>
          <w:rFonts w:ascii="Tw Cen MT" w:hAnsi="Tw Cen MT" w:cs="Times New Roman"/>
          <w:i/>
          <w:iCs/>
          <w:noProof/>
          <w:sz w:val="24"/>
          <w:szCs w:val="24"/>
        </w:rPr>
        <w:t>Jurnal Kesehatan Poltekkes Ternate</w:t>
      </w:r>
      <w:r w:rsidRPr="004B5017">
        <w:rPr>
          <w:rFonts w:ascii="Tw Cen MT" w:hAnsi="Tw Cen MT" w:cs="Times New Roman"/>
          <w:noProof/>
          <w:sz w:val="24"/>
          <w:szCs w:val="24"/>
        </w:rPr>
        <w:t xml:space="preserve">, Vol. 10, hal. 30. </w:t>
      </w:r>
    </w:p>
    <w:p w:rsidR="00B16B90" w:rsidRDefault="00B16B90" w:rsidP="00B16B90">
      <w:pPr>
        <w:widowControl w:val="0"/>
        <w:autoSpaceDE w:val="0"/>
        <w:autoSpaceDN w:val="0"/>
        <w:adjustRightInd w:val="0"/>
        <w:spacing w:line="240" w:lineRule="auto"/>
        <w:rPr>
          <w:rFonts w:ascii="Tw Cen MT" w:hAnsi="Tw Cen MT" w:cs="Times New Roman"/>
          <w:noProof/>
          <w:sz w:val="24"/>
          <w:szCs w:val="24"/>
          <w:lang w:val="id-ID"/>
        </w:rPr>
      </w:pPr>
      <w:r w:rsidRPr="004B5017">
        <w:rPr>
          <w:rFonts w:ascii="Tw Cen MT" w:hAnsi="Tw Cen MT" w:cs="Times New Roman"/>
          <w:noProof/>
          <w:sz w:val="24"/>
          <w:szCs w:val="24"/>
        </w:rPr>
        <w:lastRenderedPageBreak/>
        <w:t>https://doi.org/10.32763/juke.v10i1.15</w:t>
      </w:r>
    </w:p>
    <w:p w:rsidR="00E321B8" w:rsidRPr="004B5017" w:rsidRDefault="00E321B8" w:rsidP="00E321B8">
      <w:pPr>
        <w:widowControl w:val="0"/>
        <w:autoSpaceDE w:val="0"/>
        <w:autoSpaceDN w:val="0"/>
        <w:adjustRightInd w:val="0"/>
        <w:spacing w:line="240" w:lineRule="auto"/>
        <w:ind w:left="480" w:hanging="480"/>
        <w:rPr>
          <w:rFonts w:ascii="Tw Cen MT" w:hAnsi="Tw Cen MT" w:cs="Times New Roman"/>
          <w:noProof/>
          <w:sz w:val="24"/>
          <w:szCs w:val="24"/>
        </w:rPr>
      </w:pPr>
      <w:r>
        <w:rPr>
          <w:rFonts w:ascii="Tw Cen MT" w:hAnsi="Tw Cen MT" w:cs="Times New Roman"/>
          <w:noProof/>
          <w:sz w:val="24"/>
          <w:szCs w:val="24"/>
        </w:rPr>
        <w:t>[</w:t>
      </w:r>
      <w:r>
        <w:rPr>
          <w:rFonts w:ascii="Tw Cen MT" w:hAnsi="Tw Cen MT" w:cs="Times New Roman"/>
          <w:noProof/>
          <w:sz w:val="24"/>
          <w:szCs w:val="24"/>
          <w:lang w:val="id-ID"/>
        </w:rPr>
        <w:t>9</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Muhith, A., &amp; Siyoto, S. (2016). </w:t>
      </w:r>
      <w:r w:rsidRPr="004B5017">
        <w:rPr>
          <w:rFonts w:ascii="Tw Cen MT" w:hAnsi="Tw Cen MT" w:cs="Times New Roman"/>
          <w:i/>
          <w:iCs/>
          <w:noProof/>
          <w:sz w:val="24"/>
          <w:szCs w:val="24"/>
        </w:rPr>
        <w:t>Pendidikan Perawatan Gerontik</w:t>
      </w:r>
      <w:r w:rsidRPr="004B5017">
        <w:rPr>
          <w:rFonts w:ascii="Tw Cen MT" w:hAnsi="Tw Cen MT" w:cs="Times New Roman"/>
          <w:noProof/>
          <w:sz w:val="24"/>
          <w:szCs w:val="24"/>
        </w:rPr>
        <w:t xml:space="preserve"> (P. Cristian, Ed.). Yogyakarta: Andi Offset.</w:t>
      </w:r>
    </w:p>
    <w:p w:rsidR="00E321B8" w:rsidRPr="004B5017" w:rsidRDefault="00E321B8" w:rsidP="00E321B8">
      <w:pPr>
        <w:widowControl w:val="0"/>
        <w:autoSpaceDE w:val="0"/>
        <w:autoSpaceDN w:val="0"/>
        <w:adjustRightInd w:val="0"/>
        <w:spacing w:line="240" w:lineRule="auto"/>
        <w:ind w:left="480" w:hanging="480"/>
        <w:rPr>
          <w:rFonts w:ascii="Tw Cen MT" w:hAnsi="Tw Cen MT" w:cs="Times New Roman"/>
          <w:noProof/>
          <w:sz w:val="24"/>
          <w:szCs w:val="24"/>
        </w:rPr>
      </w:pPr>
      <w:r>
        <w:rPr>
          <w:rFonts w:ascii="Tw Cen MT" w:hAnsi="Tw Cen MT" w:cs="Times New Roman"/>
          <w:noProof/>
          <w:sz w:val="24"/>
          <w:szCs w:val="24"/>
        </w:rPr>
        <w:t>[</w:t>
      </w:r>
      <w:r>
        <w:rPr>
          <w:rFonts w:ascii="Tw Cen MT" w:hAnsi="Tw Cen MT" w:cs="Times New Roman"/>
          <w:noProof/>
          <w:sz w:val="24"/>
          <w:szCs w:val="24"/>
          <w:lang w:val="id-ID"/>
        </w:rPr>
        <w:t>10</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Nani, D. (2018). </w:t>
      </w:r>
      <w:r w:rsidRPr="004B5017">
        <w:rPr>
          <w:rFonts w:ascii="Tw Cen MT" w:hAnsi="Tw Cen MT" w:cs="Times New Roman"/>
          <w:i/>
          <w:iCs/>
          <w:noProof/>
          <w:sz w:val="24"/>
          <w:szCs w:val="24"/>
        </w:rPr>
        <w:t>Fisiologi Manusia Siklus Reproduksi Wanita</w:t>
      </w:r>
      <w:r w:rsidRPr="004B5017">
        <w:rPr>
          <w:rFonts w:ascii="Tw Cen MT" w:hAnsi="Tw Cen MT" w:cs="Times New Roman"/>
          <w:noProof/>
          <w:sz w:val="24"/>
          <w:szCs w:val="24"/>
        </w:rPr>
        <w:t xml:space="preserve"> (hal. 95). hal. 95. jakarta: Swadaya Grup.</w:t>
      </w:r>
    </w:p>
    <w:p w:rsidR="00E321B8" w:rsidRPr="004B5017" w:rsidRDefault="00E321B8" w:rsidP="00E321B8">
      <w:pPr>
        <w:widowControl w:val="0"/>
        <w:autoSpaceDE w:val="0"/>
        <w:autoSpaceDN w:val="0"/>
        <w:adjustRightInd w:val="0"/>
        <w:spacing w:line="240" w:lineRule="auto"/>
        <w:ind w:left="480" w:hanging="480"/>
        <w:rPr>
          <w:rFonts w:ascii="Tw Cen MT" w:hAnsi="Tw Cen MT" w:cs="Times New Roman"/>
          <w:noProof/>
          <w:sz w:val="24"/>
          <w:szCs w:val="24"/>
        </w:rPr>
      </w:pPr>
      <w:r>
        <w:rPr>
          <w:rFonts w:ascii="Tw Cen MT" w:hAnsi="Tw Cen MT" w:cs="Times New Roman"/>
          <w:noProof/>
          <w:sz w:val="24"/>
          <w:szCs w:val="24"/>
        </w:rPr>
        <w:t>[</w:t>
      </w:r>
      <w:r>
        <w:rPr>
          <w:rFonts w:ascii="Tw Cen MT" w:hAnsi="Tw Cen MT" w:cs="Times New Roman"/>
          <w:noProof/>
          <w:sz w:val="24"/>
          <w:szCs w:val="24"/>
          <w:lang w:val="id-ID"/>
        </w:rPr>
        <w:t>11</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Natalia Erlina Yuni. (2015). </w:t>
      </w:r>
      <w:r w:rsidRPr="004B5017">
        <w:rPr>
          <w:rFonts w:ascii="Tw Cen MT" w:hAnsi="Tw Cen MT" w:cs="Times New Roman"/>
          <w:i/>
          <w:iCs/>
          <w:noProof/>
          <w:sz w:val="24"/>
          <w:szCs w:val="24"/>
        </w:rPr>
        <w:t>Personal hygiene</w:t>
      </w:r>
      <w:r w:rsidRPr="004B5017">
        <w:rPr>
          <w:rFonts w:ascii="Tw Cen MT" w:hAnsi="Tw Cen MT" w:cs="Times New Roman"/>
          <w:noProof/>
          <w:sz w:val="24"/>
          <w:szCs w:val="24"/>
        </w:rPr>
        <w:t xml:space="preserve"> (cetakan pe). Yogyakarta: Nuha Medika.</w:t>
      </w:r>
    </w:p>
    <w:p w:rsidR="00E321B8" w:rsidRPr="004B5017" w:rsidRDefault="00E321B8" w:rsidP="00E321B8">
      <w:pPr>
        <w:widowControl w:val="0"/>
        <w:autoSpaceDE w:val="0"/>
        <w:autoSpaceDN w:val="0"/>
        <w:adjustRightInd w:val="0"/>
        <w:spacing w:line="240" w:lineRule="auto"/>
        <w:ind w:left="480" w:hanging="480"/>
        <w:rPr>
          <w:rFonts w:ascii="Tw Cen MT" w:hAnsi="Tw Cen MT" w:cs="Times New Roman"/>
          <w:noProof/>
          <w:sz w:val="24"/>
          <w:szCs w:val="24"/>
        </w:rPr>
      </w:pPr>
      <w:r>
        <w:rPr>
          <w:rFonts w:ascii="Tw Cen MT" w:hAnsi="Tw Cen MT" w:cs="Times New Roman"/>
          <w:noProof/>
          <w:sz w:val="24"/>
          <w:szCs w:val="24"/>
        </w:rPr>
        <w:t>[</w:t>
      </w:r>
      <w:r>
        <w:rPr>
          <w:rFonts w:ascii="Tw Cen MT" w:hAnsi="Tw Cen MT" w:cs="Times New Roman"/>
          <w:noProof/>
          <w:sz w:val="24"/>
          <w:szCs w:val="24"/>
          <w:lang w:val="id-ID"/>
        </w:rPr>
        <w:t>1</w:t>
      </w:r>
      <w:r>
        <w:rPr>
          <w:rFonts w:ascii="Tw Cen MT" w:hAnsi="Tw Cen MT" w:cs="Times New Roman"/>
          <w:noProof/>
          <w:sz w:val="24"/>
          <w:szCs w:val="24"/>
          <w:lang w:val="id-ID"/>
        </w:rPr>
        <w:t>2</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Nurmaliza, S. R. (2019). </w:t>
      </w:r>
      <w:r w:rsidRPr="004B5017">
        <w:rPr>
          <w:rFonts w:ascii="Tw Cen MT" w:hAnsi="Tw Cen MT" w:cs="Times New Roman"/>
          <w:i/>
          <w:iCs/>
          <w:noProof/>
          <w:sz w:val="24"/>
          <w:szCs w:val="24"/>
        </w:rPr>
        <w:t>HUBUNGAN TINGKAT PENGETAHUAN REMAJA PUTRI TERHADAP PERSONAL HYGIENE SAAT MENSTRUASI DI SMA NEGERI 3 PEKANBARU TAHUN 2018</w:t>
      </w:r>
      <w:r w:rsidRPr="004B5017">
        <w:rPr>
          <w:rFonts w:ascii="Tw Cen MT" w:hAnsi="Tw Cen MT" w:cs="Times New Roman"/>
          <w:noProof/>
          <w:sz w:val="24"/>
          <w:szCs w:val="24"/>
        </w:rPr>
        <w:t xml:space="preserve">. </w:t>
      </w:r>
      <w:r w:rsidRPr="004B5017">
        <w:rPr>
          <w:rFonts w:ascii="Tw Cen MT" w:hAnsi="Tw Cen MT" w:cs="Times New Roman"/>
          <w:i/>
          <w:iCs/>
          <w:noProof/>
          <w:sz w:val="24"/>
          <w:szCs w:val="24"/>
        </w:rPr>
        <w:t>3</w:t>
      </w:r>
      <w:r w:rsidRPr="004B5017">
        <w:rPr>
          <w:rFonts w:ascii="Tw Cen MT" w:hAnsi="Tw Cen MT" w:cs="Times New Roman"/>
          <w:noProof/>
          <w:sz w:val="24"/>
          <w:szCs w:val="24"/>
        </w:rPr>
        <w:t>(1), 32–35.</w:t>
      </w:r>
    </w:p>
    <w:p w:rsidR="00E321B8" w:rsidRPr="004B5017" w:rsidRDefault="00E321B8" w:rsidP="00E321B8">
      <w:pPr>
        <w:widowControl w:val="0"/>
        <w:autoSpaceDE w:val="0"/>
        <w:autoSpaceDN w:val="0"/>
        <w:adjustRightInd w:val="0"/>
        <w:spacing w:line="240" w:lineRule="auto"/>
        <w:ind w:left="480" w:hanging="480"/>
        <w:rPr>
          <w:rFonts w:ascii="Tw Cen MT" w:hAnsi="Tw Cen MT" w:cs="Times New Roman"/>
          <w:noProof/>
          <w:sz w:val="24"/>
          <w:szCs w:val="24"/>
        </w:rPr>
      </w:pPr>
      <w:r>
        <w:rPr>
          <w:rFonts w:ascii="Tw Cen MT" w:hAnsi="Tw Cen MT" w:cs="Times New Roman"/>
          <w:noProof/>
          <w:sz w:val="24"/>
          <w:szCs w:val="24"/>
        </w:rPr>
        <w:t>[</w:t>
      </w:r>
      <w:r>
        <w:rPr>
          <w:rFonts w:ascii="Tw Cen MT" w:hAnsi="Tw Cen MT" w:cs="Times New Roman"/>
          <w:noProof/>
          <w:sz w:val="24"/>
          <w:szCs w:val="24"/>
          <w:lang w:val="id-ID"/>
        </w:rPr>
        <w:t>1</w:t>
      </w:r>
      <w:r>
        <w:rPr>
          <w:rFonts w:ascii="Tw Cen MT" w:hAnsi="Tw Cen MT" w:cs="Times New Roman"/>
          <w:noProof/>
          <w:sz w:val="24"/>
          <w:szCs w:val="24"/>
          <w:lang w:val="id-ID"/>
        </w:rPr>
        <w:t>3</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Octavia, S. A. (2020). Motivasi Belajar Dalam Perkembangan Remaja. </w:t>
      </w:r>
      <w:r w:rsidRPr="004B5017">
        <w:rPr>
          <w:rFonts w:ascii="Tw Cen MT" w:hAnsi="Tw Cen MT" w:cs="Times New Roman"/>
          <w:i/>
          <w:iCs/>
          <w:noProof/>
          <w:sz w:val="24"/>
          <w:szCs w:val="24"/>
        </w:rPr>
        <w:t>Motivasi Belajar Dalam Perkembangan Remaja</w:t>
      </w:r>
      <w:r w:rsidRPr="004B5017">
        <w:rPr>
          <w:rFonts w:ascii="Tw Cen MT" w:hAnsi="Tw Cen MT" w:cs="Times New Roman"/>
          <w:noProof/>
          <w:sz w:val="24"/>
          <w:szCs w:val="24"/>
        </w:rPr>
        <w:t>, hal. 1–2. Diambil dari https://books.google.co.id/books?id=QmrSDwAAQBAJ&amp;lpg=PP1&amp;hl=id&amp;pg=PR4#v=onepage&amp;q&amp;f=false</w:t>
      </w:r>
    </w:p>
    <w:p w:rsidR="00E321B8" w:rsidRPr="00B16B90" w:rsidRDefault="00E321B8" w:rsidP="00E321B8">
      <w:pPr>
        <w:widowControl w:val="0"/>
        <w:autoSpaceDE w:val="0"/>
        <w:autoSpaceDN w:val="0"/>
        <w:adjustRightInd w:val="0"/>
        <w:spacing w:line="240" w:lineRule="auto"/>
        <w:ind w:left="480" w:hanging="480"/>
        <w:rPr>
          <w:rFonts w:ascii="Tw Cen MT" w:hAnsi="Tw Cen MT" w:cs="Times New Roman"/>
          <w:noProof/>
          <w:sz w:val="24"/>
          <w:szCs w:val="24"/>
          <w:lang w:val="id-ID"/>
        </w:rPr>
      </w:pPr>
      <w:r>
        <w:rPr>
          <w:rFonts w:ascii="Tw Cen MT" w:hAnsi="Tw Cen MT" w:cs="Times New Roman"/>
          <w:noProof/>
          <w:sz w:val="24"/>
          <w:szCs w:val="24"/>
        </w:rPr>
        <w:t>[</w:t>
      </w:r>
      <w:r>
        <w:rPr>
          <w:rFonts w:ascii="Tw Cen MT" w:hAnsi="Tw Cen MT" w:cs="Times New Roman"/>
          <w:noProof/>
          <w:sz w:val="24"/>
          <w:szCs w:val="24"/>
          <w:lang w:val="id-ID"/>
        </w:rPr>
        <w:t>1</w:t>
      </w:r>
      <w:r>
        <w:rPr>
          <w:rFonts w:ascii="Tw Cen MT" w:hAnsi="Tw Cen MT" w:cs="Times New Roman"/>
          <w:noProof/>
          <w:sz w:val="24"/>
          <w:szCs w:val="24"/>
          <w:lang w:val="id-ID"/>
        </w:rPr>
        <w:t>4</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Pemiliana, P. D. (2019). Perilaku Remaja Putri Dengan Personal Hygiene Saat Menstruasi Di Sma Etidlandia Medan Tahun 2018. </w:t>
      </w:r>
      <w:r w:rsidRPr="004B5017">
        <w:rPr>
          <w:rFonts w:ascii="Tw Cen MT" w:hAnsi="Tw Cen MT" w:cs="Times New Roman"/>
          <w:i/>
          <w:iCs/>
          <w:noProof/>
          <w:sz w:val="24"/>
          <w:szCs w:val="24"/>
        </w:rPr>
        <w:t>Gaster</w:t>
      </w:r>
      <w:r w:rsidRPr="004B5017">
        <w:rPr>
          <w:rFonts w:ascii="Tw Cen MT" w:hAnsi="Tw Cen MT" w:cs="Times New Roman"/>
          <w:noProof/>
          <w:sz w:val="24"/>
          <w:szCs w:val="24"/>
        </w:rPr>
        <w:t xml:space="preserve">, </w:t>
      </w:r>
      <w:r w:rsidRPr="004B5017">
        <w:rPr>
          <w:rFonts w:ascii="Tw Cen MT" w:hAnsi="Tw Cen MT" w:cs="Times New Roman"/>
          <w:i/>
          <w:iCs/>
          <w:noProof/>
          <w:sz w:val="24"/>
          <w:szCs w:val="24"/>
        </w:rPr>
        <w:t>17</w:t>
      </w:r>
      <w:r w:rsidRPr="004B5017">
        <w:rPr>
          <w:rFonts w:ascii="Tw Cen MT" w:hAnsi="Tw Cen MT" w:cs="Times New Roman"/>
          <w:noProof/>
          <w:sz w:val="24"/>
          <w:szCs w:val="24"/>
        </w:rPr>
        <w:t>(1), 62. https://doi.org/10.30787/gaster.v17i</w:t>
      </w:r>
      <w:r>
        <w:rPr>
          <w:rFonts w:ascii="Tw Cen MT" w:hAnsi="Tw Cen MT" w:cs="Times New Roman"/>
          <w:noProof/>
          <w:sz w:val="24"/>
          <w:szCs w:val="24"/>
          <w:lang w:val="id-ID"/>
        </w:rPr>
        <w:t>1341</w:t>
      </w:r>
    </w:p>
    <w:p w:rsidR="00E321B8" w:rsidRPr="004B5017" w:rsidRDefault="00E321B8" w:rsidP="00E321B8">
      <w:pPr>
        <w:widowControl w:val="0"/>
        <w:autoSpaceDE w:val="0"/>
        <w:autoSpaceDN w:val="0"/>
        <w:adjustRightInd w:val="0"/>
        <w:spacing w:line="240" w:lineRule="auto"/>
        <w:ind w:left="480" w:hanging="480"/>
        <w:rPr>
          <w:rFonts w:ascii="Tw Cen MT" w:hAnsi="Tw Cen MT" w:cs="Times New Roman"/>
          <w:noProof/>
          <w:sz w:val="24"/>
          <w:szCs w:val="24"/>
        </w:rPr>
      </w:pPr>
      <w:r>
        <w:rPr>
          <w:rFonts w:ascii="Tw Cen MT" w:hAnsi="Tw Cen MT" w:cs="Times New Roman"/>
          <w:noProof/>
          <w:sz w:val="24"/>
          <w:szCs w:val="24"/>
        </w:rPr>
        <w:t>[</w:t>
      </w:r>
      <w:r>
        <w:rPr>
          <w:rFonts w:ascii="Tw Cen MT" w:hAnsi="Tw Cen MT" w:cs="Times New Roman"/>
          <w:noProof/>
          <w:sz w:val="24"/>
          <w:szCs w:val="24"/>
          <w:lang w:val="id-ID"/>
        </w:rPr>
        <w:t>1</w:t>
      </w:r>
      <w:r>
        <w:rPr>
          <w:rFonts w:ascii="Tw Cen MT" w:hAnsi="Tw Cen MT" w:cs="Times New Roman"/>
          <w:noProof/>
          <w:sz w:val="24"/>
          <w:szCs w:val="24"/>
          <w:lang w:val="id-ID"/>
        </w:rPr>
        <w:t>5</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Purwoastuti, E., &amp; Walyani,  elisabeth siwi. (2015). </w:t>
      </w:r>
      <w:r w:rsidRPr="004B5017">
        <w:rPr>
          <w:rFonts w:ascii="Tw Cen MT" w:hAnsi="Tw Cen MT" w:cs="Times New Roman"/>
          <w:i/>
          <w:iCs/>
          <w:noProof/>
          <w:sz w:val="24"/>
          <w:szCs w:val="24"/>
        </w:rPr>
        <w:t>Perilaku &amp; Softskilis Kesehatan Panduan Untuk Tenaga Kesehatan (Perawat atau Bidan)</w:t>
      </w:r>
      <w:r w:rsidRPr="004B5017">
        <w:rPr>
          <w:rFonts w:ascii="Tw Cen MT" w:hAnsi="Tw Cen MT" w:cs="Times New Roman"/>
          <w:noProof/>
          <w:sz w:val="24"/>
          <w:szCs w:val="24"/>
        </w:rPr>
        <w:t xml:space="preserve"> (PT. Pustak). Yogyakarta: Pertama.</w:t>
      </w:r>
    </w:p>
    <w:p w:rsidR="00E321B8" w:rsidRPr="00A213AC" w:rsidRDefault="00E321B8" w:rsidP="00A213AC">
      <w:pPr>
        <w:widowControl w:val="0"/>
        <w:autoSpaceDE w:val="0"/>
        <w:autoSpaceDN w:val="0"/>
        <w:adjustRightInd w:val="0"/>
        <w:spacing w:line="240" w:lineRule="auto"/>
        <w:ind w:left="480" w:hanging="480"/>
        <w:rPr>
          <w:rFonts w:ascii="Tw Cen MT" w:hAnsi="Tw Cen MT" w:cs="Times New Roman"/>
          <w:noProof/>
          <w:sz w:val="24"/>
          <w:szCs w:val="24"/>
          <w:lang w:val="id-ID"/>
        </w:rPr>
      </w:pPr>
      <w:r>
        <w:rPr>
          <w:rFonts w:ascii="Tw Cen MT" w:hAnsi="Tw Cen MT" w:cs="Times New Roman"/>
          <w:noProof/>
          <w:sz w:val="24"/>
          <w:szCs w:val="24"/>
        </w:rPr>
        <w:lastRenderedPageBreak/>
        <w:t>[</w:t>
      </w:r>
      <w:r>
        <w:rPr>
          <w:rFonts w:ascii="Tw Cen MT" w:hAnsi="Tw Cen MT" w:cs="Times New Roman"/>
          <w:noProof/>
          <w:sz w:val="24"/>
          <w:szCs w:val="24"/>
          <w:lang w:val="id-ID"/>
        </w:rPr>
        <w:t>16</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Rejeki, S. (2015). Sanitasi Hygiene dan K3. In </w:t>
      </w:r>
      <w:r w:rsidRPr="004B5017">
        <w:rPr>
          <w:rFonts w:ascii="Tw Cen MT" w:hAnsi="Tw Cen MT" w:cs="Times New Roman"/>
          <w:i/>
          <w:iCs/>
          <w:noProof/>
          <w:sz w:val="24"/>
          <w:szCs w:val="24"/>
        </w:rPr>
        <w:t>Rekayasa Sains</w:t>
      </w:r>
      <w:r w:rsidRPr="004B5017">
        <w:rPr>
          <w:rFonts w:ascii="Tw Cen MT" w:hAnsi="Tw Cen MT" w:cs="Times New Roman"/>
          <w:noProof/>
          <w:sz w:val="24"/>
          <w:szCs w:val="24"/>
        </w:rPr>
        <w:t xml:space="preserve"> (cetakan pe). Bandung.</w:t>
      </w:r>
    </w:p>
    <w:p w:rsidR="00E321B8" w:rsidRPr="004B5017" w:rsidRDefault="00E321B8" w:rsidP="00E321B8">
      <w:pPr>
        <w:widowControl w:val="0"/>
        <w:autoSpaceDE w:val="0"/>
        <w:autoSpaceDN w:val="0"/>
        <w:adjustRightInd w:val="0"/>
        <w:spacing w:line="240" w:lineRule="auto"/>
        <w:ind w:left="480" w:hanging="480"/>
        <w:rPr>
          <w:rFonts w:ascii="Tw Cen MT" w:hAnsi="Tw Cen MT" w:cs="Times New Roman"/>
          <w:noProof/>
          <w:sz w:val="24"/>
          <w:szCs w:val="24"/>
        </w:rPr>
      </w:pPr>
      <w:r>
        <w:rPr>
          <w:rFonts w:ascii="Tw Cen MT" w:hAnsi="Tw Cen MT" w:cs="Times New Roman"/>
          <w:noProof/>
          <w:sz w:val="24"/>
          <w:szCs w:val="24"/>
        </w:rPr>
        <w:t>[</w:t>
      </w:r>
      <w:r>
        <w:rPr>
          <w:rFonts w:ascii="Tw Cen MT" w:hAnsi="Tw Cen MT" w:cs="Times New Roman"/>
          <w:noProof/>
          <w:sz w:val="24"/>
          <w:szCs w:val="24"/>
          <w:lang w:val="id-ID"/>
        </w:rPr>
        <w:t>17</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Rohan, H. H., &amp; Siyoto, S. (2015). </w:t>
      </w:r>
      <w:r w:rsidRPr="004B5017">
        <w:rPr>
          <w:rFonts w:ascii="Tw Cen MT" w:hAnsi="Tw Cen MT" w:cs="Times New Roman"/>
          <w:i/>
          <w:iCs/>
          <w:noProof/>
          <w:sz w:val="24"/>
          <w:szCs w:val="24"/>
        </w:rPr>
        <w:t>kesehatan reproduksi</w:t>
      </w:r>
      <w:r w:rsidRPr="004B5017">
        <w:rPr>
          <w:rFonts w:ascii="Tw Cen MT" w:hAnsi="Tw Cen MT" w:cs="Times New Roman"/>
          <w:noProof/>
          <w:sz w:val="24"/>
          <w:szCs w:val="24"/>
        </w:rPr>
        <w:t xml:space="preserve"> (Nuha Medik). Yogyakarta.</w:t>
      </w:r>
    </w:p>
    <w:p w:rsidR="00E321B8" w:rsidRPr="004B5017" w:rsidRDefault="00E321B8" w:rsidP="00E321B8">
      <w:pPr>
        <w:widowControl w:val="0"/>
        <w:autoSpaceDE w:val="0"/>
        <w:autoSpaceDN w:val="0"/>
        <w:adjustRightInd w:val="0"/>
        <w:spacing w:line="240" w:lineRule="auto"/>
        <w:ind w:left="480" w:hanging="480"/>
        <w:rPr>
          <w:rFonts w:ascii="Tw Cen MT" w:hAnsi="Tw Cen MT" w:cs="Times New Roman"/>
          <w:noProof/>
          <w:sz w:val="24"/>
          <w:szCs w:val="24"/>
        </w:rPr>
      </w:pPr>
      <w:r>
        <w:rPr>
          <w:rFonts w:ascii="Tw Cen MT" w:hAnsi="Tw Cen MT" w:cs="Times New Roman"/>
          <w:noProof/>
          <w:sz w:val="24"/>
          <w:szCs w:val="24"/>
        </w:rPr>
        <w:t>[</w:t>
      </w:r>
      <w:r>
        <w:rPr>
          <w:rFonts w:ascii="Tw Cen MT" w:hAnsi="Tw Cen MT" w:cs="Times New Roman"/>
          <w:noProof/>
          <w:sz w:val="24"/>
          <w:szCs w:val="24"/>
          <w:lang w:val="id-ID"/>
        </w:rPr>
        <w:t>18</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Salim, &amp; Haldir. (2019). </w:t>
      </w:r>
      <w:r w:rsidRPr="004B5017">
        <w:rPr>
          <w:rFonts w:ascii="Tw Cen MT" w:hAnsi="Tw Cen MT" w:cs="Times New Roman"/>
          <w:i/>
          <w:iCs/>
          <w:noProof/>
          <w:sz w:val="24"/>
          <w:szCs w:val="24"/>
        </w:rPr>
        <w:t>Penelitian Pendidikan Metode, Pendekatan Dan Jenis</w:t>
      </w:r>
      <w:r w:rsidRPr="004B5017">
        <w:rPr>
          <w:rFonts w:ascii="Tw Cen MT" w:hAnsi="Tw Cen MT" w:cs="Times New Roman"/>
          <w:noProof/>
          <w:sz w:val="24"/>
          <w:szCs w:val="24"/>
        </w:rPr>
        <w:t xml:space="preserve"> (Cetakan Pe;  ihsan satrya Azhar, Ed.). Jakarta: Kencana.</w:t>
      </w:r>
    </w:p>
    <w:p w:rsidR="00E321B8" w:rsidRPr="004B5017" w:rsidRDefault="00E321B8" w:rsidP="00E321B8">
      <w:pPr>
        <w:widowControl w:val="0"/>
        <w:autoSpaceDE w:val="0"/>
        <w:autoSpaceDN w:val="0"/>
        <w:adjustRightInd w:val="0"/>
        <w:spacing w:line="240" w:lineRule="auto"/>
        <w:ind w:left="480" w:hanging="480"/>
        <w:rPr>
          <w:rFonts w:ascii="Tw Cen MT" w:hAnsi="Tw Cen MT" w:cs="Times New Roman"/>
          <w:noProof/>
          <w:sz w:val="24"/>
          <w:szCs w:val="24"/>
        </w:rPr>
      </w:pPr>
      <w:r>
        <w:rPr>
          <w:rFonts w:ascii="Tw Cen MT" w:hAnsi="Tw Cen MT" w:cs="Times New Roman"/>
          <w:noProof/>
          <w:sz w:val="24"/>
          <w:szCs w:val="24"/>
        </w:rPr>
        <w:t>[</w:t>
      </w:r>
      <w:r>
        <w:rPr>
          <w:rFonts w:ascii="Tw Cen MT" w:hAnsi="Tw Cen MT" w:cs="Times New Roman"/>
          <w:noProof/>
          <w:sz w:val="24"/>
          <w:szCs w:val="24"/>
          <w:lang w:val="id-ID"/>
        </w:rPr>
        <w:t>19</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Setiyaningrum, E., &amp; Aziz, Z. B. (2014). </w:t>
      </w:r>
      <w:r w:rsidRPr="004B5017">
        <w:rPr>
          <w:rFonts w:ascii="Tw Cen MT" w:hAnsi="Tw Cen MT" w:cs="Times New Roman"/>
          <w:i/>
          <w:iCs/>
          <w:noProof/>
          <w:sz w:val="24"/>
          <w:szCs w:val="24"/>
        </w:rPr>
        <w:t>pelayanan keluarga &amp; kesehatan reproduksi</w:t>
      </w:r>
      <w:r w:rsidRPr="004B5017">
        <w:rPr>
          <w:rFonts w:ascii="Tw Cen MT" w:hAnsi="Tw Cen MT" w:cs="Times New Roman"/>
          <w:noProof/>
          <w:sz w:val="24"/>
          <w:szCs w:val="24"/>
        </w:rPr>
        <w:t>. jakarta: CV.Trans Info Media.</w:t>
      </w:r>
    </w:p>
    <w:p w:rsidR="00E321B8" w:rsidRPr="00E321B8" w:rsidRDefault="00E321B8" w:rsidP="00E321B8">
      <w:pPr>
        <w:widowControl w:val="0"/>
        <w:autoSpaceDE w:val="0"/>
        <w:autoSpaceDN w:val="0"/>
        <w:adjustRightInd w:val="0"/>
        <w:spacing w:line="240" w:lineRule="auto"/>
        <w:ind w:left="480" w:hanging="480"/>
        <w:rPr>
          <w:rFonts w:ascii="Tw Cen MT" w:hAnsi="Tw Cen MT" w:cs="Times New Roman"/>
          <w:noProof/>
          <w:sz w:val="24"/>
          <w:szCs w:val="24"/>
          <w:lang w:val="id-ID"/>
        </w:rPr>
      </w:pPr>
      <w:r>
        <w:rPr>
          <w:rFonts w:ascii="Tw Cen MT" w:hAnsi="Tw Cen MT" w:cs="Times New Roman"/>
          <w:noProof/>
          <w:sz w:val="24"/>
          <w:szCs w:val="24"/>
        </w:rPr>
        <w:t>[</w:t>
      </w:r>
      <w:r>
        <w:rPr>
          <w:rFonts w:ascii="Tw Cen MT" w:hAnsi="Tw Cen MT" w:cs="Times New Roman"/>
          <w:noProof/>
          <w:sz w:val="24"/>
          <w:szCs w:val="24"/>
          <w:lang w:val="id-ID"/>
        </w:rPr>
        <w:t>20</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Shobihat Abd. Rosyid, &amp; Mukhoirotin. (2017). </w:t>
      </w:r>
      <w:r w:rsidRPr="004B5017">
        <w:rPr>
          <w:rFonts w:ascii="Tw Cen MT" w:hAnsi="Tw Cen MT" w:cs="Times New Roman"/>
          <w:i/>
          <w:iCs/>
          <w:noProof/>
          <w:sz w:val="24"/>
          <w:szCs w:val="24"/>
        </w:rPr>
        <w:t>Hubungan Perilaku Personal Hygiene Saat Menstruasi Dengan Kejadian Pruritus Vulva Pada Santriwati Di</w:t>
      </w:r>
      <w:r w:rsidRPr="004B5017">
        <w:rPr>
          <w:rFonts w:ascii="Tw Cen MT" w:hAnsi="Tw Cen MT" w:cs="Times New Roman"/>
          <w:noProof/>
          <w:sz w:val="24"/>
          <w:szCs w:val="24"/>
        </w:rPr>
        <w:t xml:space="preserve">. </w:t>
      </w:r>
      <w:r w:rsidRPr="004B5017">
        <w:rPr>
          <w:rFonts w:ascii="Tw Cen MT" w:hAnsi="Tw Cen MT" w:cs="Times New Roman"/>
          <w:i/>
          <w:iCs/>
          <w:noProof/>
          <w:sz w:val="24"/>
          <w:szCs w:val="24"/>
        </w:rPr>
        <w:t>000</w:t>
      </w:r>
      <w:r w:rsidRPr="004B5017">
        <w:rPr>
          <w:rFonts w:ascii="Tw Cen MT" w:hAnsi="Tw Cen MT" w:cs="Times New Roman"/>
          <w:noProof/>
          <w:sz w:val="24"/>
          <w:szCs w:val="24"/>
        </w:rPr>
        <w:t>, 8.</w:t>
      </w:r>
    </w:p>
    <w:p w:rsidR="00B16B90" w:rsidRDefault="00E321B8" w:rsidP="00E321B8">
      <w:pPr>
        <w:widowControl w:val="0"/>
        <w:autoSpaceDE w:val="0"/>
        <w:autoSpaceDN w:val="0"/>
        <w:adjustRightInd w:val="0"/>
        <w:spacing w:line="240" w:lineRule="auto"/>
        <w:ind w:left="480" w:hanging="480"/>
        <w:rPr>
          <w:rFonts w:ascii="Tw Cen MT" w:hAnsi="Tw Cen MT" w:cs="Times New Roman"/>
          <w:noProof/>
          <w:sz w:val="24"/>
          <w:szCs w:val="24"/>
          <w:lang w:val="id-ID"/>
        </w:rPr>
      </w:pPr>
      <w:r>
        <w:rPr>
          <w:rFonts w:ascii="Tw Cen MT" w:hAnsi="Tw Cen MT" w:cs="Times New Roman"/>
          <w:noProof/>
          <w:sz w:val="24"/>
          <w:szCs w:val="24"/>
        </w:rPr>
        <w:t>[</w:t>
      </w:r>
      <w:r>
        <w:rPr>
          <w:rFonts w:ascii="Tw Cen MT" w:hAnsi="Tw Cen MT" w:cs="Times New Roman"/>
          <w:noProof/>
          <w:sz w:val="24"/>
          <w:szCs w:val="24"/>
          <w:lang w:val="id-ID"/>
        </w:rPr>
        <w:t>21</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Titik Lestari, S. K. (2015). Kumpulan Teori Untuk Kajian Pustaka Penelitian Kesehatan. </w:t>
      </w:r>
      <w:r w:rsidRPr="004B5017">
        <w:rPr>
          <w:rFonts w:ascii="Tw Cen MT" w:hAnsi="Tw Cen MT" w:cs="Times New Roman"/>
          <w:i/>
          <w:iCs/>
          <w:noProof/>
          <w:sz w:val="24"/>
          <w:szCs w:val="24"/>
        </w:rPr>
        <w:t>Cambridge Handbook of Psychology, Health and Medicine, Second Edition</w:t>
      </w:r>
      <w:r w:rsidRPr="004B5017">
        <w:rPr>
          <w:rFonts w:ascii="Tw Cen MT" w:hAnsi="Tw Cen MT" w:cs="Times New Roman"/>
          <w:noProof/>
          <w:sz w:val="24"/>
          <w:szCs w:val="24"/>
        </w:rPr>
        <w:t>, Vol. 2, hal. 393–397. https://doi.org/10.1017/CBO9780511543579.087</w:t>
      </w:r>
    </w:p>
    <w:p w:rsidR="00E321B8" w:rsidRPr="004B5017" w:rsidRDefault="00E321B8" w:rsidP="00E321B8">
      <w:pPr>
        <w:widowControl w:val="0"/>
        <w:autoSpaceDE w:val="0"/>
        <w:autoSpaceDN w:val="0"/>
        <w:adjustRightInd w:val="0"/>
        <w:spacing w:line="240" w:lineRule="auto"/>
        <w:ind w:left="480" w:hanging="480"/>
        <w:rPr>
          <w:rFonts w:ascii="Tw Cen MT" w:hAnsi="Tw Cen MT" w:cs="Times New Roman"/>
          <w:noProof/>
          <w:sz w:val="24"/>
        </w:rPr>
      </w:pPr>
      <w:r>
        <w:rPr>
          <w:rFonts w:ascii="Tw Cen MT" w:hAnsi="Tw Cen MT" w:cs="Times New Roman"/>
          <w:noProof/>
          <w:sz w:val="24"/>
          <w:szCs w:val="24"/>
        </w:rPr>
        <w:t>[</w:t>
      </w:r>
      <w:r>
        <w:rPr>
          <w:rFonts w:ascii="Tw Cen MT" w:hAnsi="Tw Cen MT" w:cs="Times New Roman"/>
          <w:noProof/>
          <w:sz w:val="24"/>
          <w:szCs w:val="24"/>
          <w:lang w:val="id-ID"/>
        </w:rPr>
        <w:t>22</w:t>
      </w:r>
      <w:r w:rsidRPr="00A2544E">
        <w:rPr>
          <w:rFonts w:ascii="Tw Cen MT" w:hAnsi="Tw Cen MT" w:cs="Times New Roman"/>
          <w:noProof/>
          <w:sz w:val="24"/>
          <w:szCs w:val="24"/>
        </w:rPr>
        <w:t>]</w:t>
      </w:r>
      <w:r w:rsidRPr="00A2544E">
        <w:rPr>
          <w:rFonts w:ascii="Tw Cen MT" w:hAnsi="Tw Cen MT" w:cs="Times New Roman"/>
          <w:noProof/>
          <w:sz w:val="24"/>
          <w:szCs w:val="24"/>
        </w:rPr>
        <w:tab/>
      </w:r>
      <w:r w:rsidRPr="004B5017">
        <w:rPr>
          <w:rFonts w:ascii="Tw Cen MT" w:hAnsi="Tw Cen MT" w:cs="Times New Roman"/>
          <w:noProof/>
          <w:sz w:val="24"/>
          <w:szCs w:val="24"/>
        </w:rPr>
        <w:t xml:space="preserve">Yuni, N. E. (2015). </w:t>
      </w:r>
      <w:r w:rsidRPr="004B5017">
        <w:rPr>
          <w:rFonts w:ascii="Tw Cen MT" w:hAnsi="Tw Cen MT" w:cs="Times New Roman"/>
          <w:i/>
          <w:iCs/>
          <w:noProof/>
          <w:sz w:val="24"/>
          <w:szCs w:val="24"/>
        </w:rPr>
        <w:t>Buku Saku Personal Hygiene</w:t>
      </w:r>
      <w:r w:rsidRPr="004B5017">
        <w:rPr>
          <w:rFonts w:ascii="Tw Cen MT" w:hAnsi="Tw Cen MT" w:cs="Times New Roman"/>
          <w:noProof/>
          <w:sz w:val="24"/>
          <w:szCs w:val="24"/>
        </w:rPr>
        <w:t xml:space="preserve"> (Vol. 983, hal. 115–127). Vol. 983, hal. 115–127. https://doi.org/10.1007/s11999-007-0054-x</w:t>
      </w:r>
    </w:p>
    <w:p w:rsidR="00E321B8" w:rsidRDefault="00E321B8" w:rsidP="00E321B8">
      <w:pPr>
        <w:widowControl w:val="0"/>
        <w:autoSpaceDE w:val="0"/>
        <w:autoSpaceDN w:val="0"/>
        <w:adjustRightInd w:val="0"/>
        <w:spacing w:line="240" w:lineRule="auto"/>
        <w:ind w:left="480" w:hanging="480"/>
        <w:rPr>
          <w:rFonts w:ascii="Tw Cen MT" w:hAnsi="Tw Cen MT" w:cs="Times New Roman"/>
          <w:noProof/>
          <w:sz w:val="24"/>
          <w:szCs w:val="24"/>
          <w:lang w:val="id-ID"/>
        </w:rPr>
      </w:pPr>
    </w:p>
    <w:p w:rsidR="00E321B8" w:rsidRDefault="00E321B8" w:rsidP="00E321B8">
      <w:pPr>
        <w:widowControl w:val="0"/>
        <w:autoSpaceDE w:val="0"/>
        <w:autoSpaceDN w:val="0"/>
        <w:adjustRightInd w:val="0"/>
        <w:spacing w:line="240" w:lineRule="auto"/>
        <w:ind w:left="480" w:hanging="480"/>
        <w:rPr>
          <w:rFonts w:ascii="Tw Cen MT" w:hAnsi="Tw Cen MT" w:cs="Times New Roman"/>
          <w:noProof/>
          <w:sz w:val="24"/>
          <w:szCs w:val="24"/>
          <w:lang w:val="id-ID"/>
        </w:rPr>
      </w:pPr>
    </w:p>
    <w:p w:rsidR="00E321B8" w:rsidRPr="00E321B8" w:rsidRDefault="00E321B8" w:rsidP="00E321B8">
      <w:pPr>
        <w:widowControl w:val="0"/>
        <w:autoSpaceDE w:val="0"/>
        <w:autoSpaceDN w:val="0"/>
        <w:adjustRightInd w:val="0"/>
        <w:spacing w:line="240" w:lineRule="auto"/>
        <w:ind w:left="480" w:hanging="480"/>
        <w:rPr>
          <w:rFonts w:ascii="Tw Cen MT" w:hAnsi="Tw Cen MT" w:cs="Times New Roman"/>
          <w:noProof/>
          <w:sz w:val="24"/>
          <w:szCs w:val="24"/>
          <w:lang w:val="id-ID"/>
        </w:rPr>
      </w:pPr>
    </w:p>
    <w:p w:rsidR="00AF2DCD" w:rsidRPr="00B16B90" w:rsidRDefault="00AF2DCD" w:rsidP="00B16B90">
      <w:pPr>
        <w:widowControl w:val="0"/>
        <w:autoSpaceDE w:val="0"/>
        <w:autoSpaceDN w:val="0"/>
        <w:adjustRightInd w:val="0"/>
        <w:spacing w:line="240" w:lineRule="auto"/>
        <w:ind w:left="640" w:hanging="640"/>
        <w:rPr>
          <w:rFonts w:ascii="Tw Cen MT" w:hAnsi="Tw Cen MT"/>
          <w:noProof/>
          <w:sz w:val="24"/>
          <w:lang w:val="id-ID"/>
        </w:rPr>
      </w:pPr>
    </w:p>
    <w:p w:rsidR="00AF2DCD" w:rsidRPr="00A213AC" w:rsidRDefault="00AF2DCD" w:rsidP="00AF2DCD">
      <w:pPr>
        <w:widowControl w:val="0"/>
        <w:autoSpaceDE w:val="0"/>
        <w:autoSpaceDN w:val="0"/>
        <w:adjustRightInd w:val="0"/>
        <w:spacing w:line="240" w:lineRule="auto"/>
        <w:ind w:left="480" w:hanging="480"/>
        <w:jc w:val="both"/>
        <w:rPr>
          <w:rFonts w:ascii="Tw Cen MT" w:hAnsi="Tw Cen MT" w:cs="Times New Roman"/>
          <w:sz w:val="24"/>
          <w:szCs w:val="24"/>
          <w:lang w:val="id-ID"/>
        </w:rPr>
        <w:sectPr w:rsidR="00AF2DCD" w:rsidRPr="00A213AC" w:rsidSect="00B176D8">
          <w:type w:val="continuous"/>
          <w:pgSz w:w="11907" w:h="16839" w:code="9"/>
          <w:pgMar w:top="2268" w:right="1701" w:bottom="1701" w:left="2268" w:header="720" w:footer="720" w:gutter="0"/>
          <w:cols w:num="2" w:space="720"/>
          <w:docGrid w:linePitch="360"/>
        </w:sectPr>
      </w:pPr>
      <w:r w:rsidRPr="003F7A78">
        <w:rPr>
          <w:rFonts w:ascii="Tw Cen MT" w:hAnsi="Tw Cen MT" w:cs="Times New Roman"/>
          <w:sz w:val="24"/>
          <w:szCs w:val="24"/>
        </w:rPr>
        <w:fldChar w:fldCharType="end"/>
      </w:r>
    </w:p>
    <w:p w:rsidR="00D93684" w:rsidRPr="00A213AC" w:rsidRDefault="00D93684" w:rsidP="00837B17">
      <w:pPr>
        <w:spacing w:after="0" w:line="240" w:lineRule="auto"/>
        <w:jc w:val="both"/>
        <w:rPr>
          <w:rFonts w:ascii="Tw Cen MT" w:eastAsia="Twentieth Century" w:hAnsi="Tw Cen MT" w:cs="Twentieth Century"/>
          <w:color w:val="0D0D0D"/>
          <w:sz w:val="24"/>
          <w:szCs w:val="24"/>
          <w:lang w:val="id-ID"/>
        </w:rPr>
        <w:sectPr w:rsidR="00D93684" w:rsidRPr="00A213AC" w:rsidSect="00570AD7">
          <w:type w:val="continuous"/>
          <w:pgSz w:w="12240" w:h="15840"/>
          <w:pgMar w:top="1440" w:right="1440" w:bottom="1702" w:left="1440" w:header="720" w:footer="720" w:gutter="0"/>
          <w:cols w:num="2" w:space="720" w:equalWidth="0">
            <w:col w:w="4320" w:space="720"/>
            <w:col w:w="4320" w:space="0"/>
          </w:cols>
        </w:sectPr>
      </w:pPr>
    </w:p>
    <w:p w:rsidR="00D93684" w:rsidRPr="00A213AC" w:rsidRDefault="00D93684">
      <w:pPr>
        <w:spacing w:after="0"/>
        <w:jc w:val="both"/>
        <w:rPr>
          <w:rFonts w:ascii="Tw Cen MT" w:eastAsia="Twentieth Century" w:hAnsi="Tw Cen MT" w:cs="Twentieth Century"/>
          <w:sz w:val="24"/>
          <w:szCs w:val="24"/>
          <w:lang w:val="id-ID"/>
        </w:rPr>
      </w:pPr>
    </w:p>
    <w:sectPr w:rsidR="00D93684" w:rsidRPr="00A213AC">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5D7" w:rsidRDefault="001045D7">
      <w:pPr>
        <w:spacing w:after="0" w:line="240" w:lineRule="auto"/>
      </w:pPr>
      <w:r>
        <w:separator/>
      </w:r>
    </w:p>
  </w:endnote>
  <w:endnote w:type="continuationSeparator" w:id="0">
    <w:p w:rsidR="001045D7" w:rsidRDefault="0010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B035C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 Cen MT" w:hAnsi="Tw Cen MT"/>
        <w:noProof/>
        <w:sz w:val="20"/>
        <w:szCs w:val="20"/>
      </w:rPr>
      <w:t>Kony Putriani</w:t>
    </w:r>
    <w:r w:rsidRPr="00B55A1A">
      <w:rPr>
        <w:rFonts w:ascii="Tw Cen MT" w:hAnsi="Tw Cen MT"/>
        <w:color w:val="000000"/>
        <w:sz w:val="20"/>
        <w:szCs w:val="24"/>
        <w:lang w:val="en-ID"/>
      </w:rPr>
      <w:t xml:space="preserve"> and </w:t>
    </w:r>
    <w:r>
      <w:rPr>
        <w:rFonts w:ascii="Tw Cen MT" w:hAnsi="Tw Cen MT"/>
        <w:color w:val="000000"/>
        <w:sz w:val="20"/>
        <w:szCs w:val="24"/>
        <w:lang w:val="en-ID"/>
      </w:rPr>
      <w:t>konyputriani</w:t>
    </w:r>
    <w:r w:rsidRPr="00B55A1A">
      <w:rPr>
        <w:rFonts w:ascii="Tw Cen MT" w:hAnsi="Tw Cen MT"/>
        <w:color w:val="000000"/>
        <w:sz w:val="20"/>
        <w:szCs w:val="24"/>
        <w:lang w:val="en-ID"/>
      </w:rPr>
      <w:t>@univrab.ac.id</w:t>
    </w:r>
    <w:r>
      <w:rPr>
        <w:noProof/>
        <w:lang w:eastAsia="en-US"/>
      </w:rPr>
      <w:t xml:space="preserve"> </w:t>
    </w:r>
    <w:r w:rsidR="00B43B99">
      <w:rPr>
        <w:noProof/>
        <w:lang w:val="id-ID" w:eastAsia="id-ID"/>
      </w:rPr>
      <mc:AlternateContent>
        <mc:Choice Requires="wpg">
          <w:drawing>
            <wp:anchor distT="0" distB="0" distL="114300" distR="114300" simplePos="0" relativeHeight="251659264" behindDoc="0" locked="0" layoutInCell="1" hidden="0" allowOverlap="1" wp14:anchorId="2B8F001F" wp14:editId="28046986">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6935" cy="28575"/>
                      </a:xfrm>
                      <a:prstGeom prst="rect"/>
                      <a:ln/>
                    </pic:spPr>
                  </pic:pic>
                </a:graphicData>
              </a:graphic>
            </wp:anchor>
          </w:drawing>
        </mc:Fallback>
      </mc:AlternateContent>
    </w:r>
  </w:p>
  <w:p w:rsidR="00D93684" w:rsidRDefault="00B035C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rFonts w:ascii="Twentieth Century" w:eastAsia="Twentieth Century" w:hAnsi="Twentieth Century" w:cs="Twentieth Century"/>
        <w:noProof/>
        <w:color w:val="000000"/>
        <w:sz w:val="18"/>
        <w:szCs w:val="18"/>
        <w:lang w:val="id-ID" w:eastAsia="id-ID"/>
      </w:rPr>
      <mc:AlternateContent>
        <mc:Choice Requires="wps">
          <w:drawing>
            <wp:anchor distT="0" distB="0" distL="114300" distR="114300" simplePos="0" relativeHeight="251660288" behindDoc="0" locked="0" layoutInCell="1" allowOverlap="1" wp14:anchorId="4C50FF5D" wp14:editId="5A6169C7">
              <wp:simplePos x="0" y="0"/>
              <wp:positionH relativeFrom="page">
                <wp:posOffset>5349240</wp:posOffset>
              </wp:positionH>
              <wp:positionV relativeFrom="page">
                <wp:posOffset>9144000</wp:posOffset>
              </wp:positionV>
              <wp:extent cx="1508760" cy="23622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36220"/>
                      </a:xfrm>
                      <a:prstGeom prst="rect">
                        <a:avLst/>
                      </a:prstGeom>
                      <a:noFill/>
                      <a:ln w="6350">
                        <a:noFill/>
                      </a:ln>
                      <a:effectLst/>
                    </wps:spPr>
                    <wps:txbx>
                      <w:txbxContent>
                        <w:p w:rsidR="00B035CE" w:rsidRPr="00B55A1A" w:rsidRDefault="00B035CE" w:rsidP="00B55A1A">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A213AC">
                            <w:rPr>
                              <w:rFonts w:ascii="Tw Cen MT" w:hAnsi="Tw Cen MT"/>
                              <w:noProof/>
                              <w:color w:val="000000"/>
                              <w:sz w:val="20"/>
                              <w:szCs w:val="20"/>
                            </w:rPr>
                            <w:t>41</w:t>
                          </w:r>
                          <w:r w:rsidRPr="00B55A1A">
                            <w:rPr>
                              <w:rFonts w:ascii="Tw Cen MT" w:hAnsi="Tw Cen MT"/>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421.2pt;margin-top:10in;width:118.8pt;height:1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" filled="f" stroked="f" strokeweight=".5pt">
              <v:path arrowok="t"/>
              <v:textbox style="mso-fit-shape-to-text:t">
                <w:txbxContent>
                  <w:p w:rsidR="00B035CE" w:rsidRPr="00B55A1A" w:rsidRDefault="00B035CE" w:rsidP="00B55A1A">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A213AC">
                      <w:rPr>
                        <w:rFonts w:ascii="Tw Cen MT" w:hAnsi="Tw Cen MT"/>
                        <w:noProof/>
                        <w:color w:val="000000"/>
                        <w:sz w:val="20"/>
                        <w:szCs w:val="20"/>
                      </w:rPr>
                      <w:t>41</w:t>
                    </w:r>
                    <w:r w:rsidRPr="00B55A1A">
                      <w:rPr>
                        <w:rFonts w:ascii="Tw Cen MT" w:hAnsi="Tw Cen MT"/>
                        <w:color w:val="00000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5D7" w:rsidRDefault="001045D7">
      <w:pPr>
        <w:spacing w:after="0" w:line="240" w:lineRule="auto"/>
      </w:pPr>
      <w:r>
        <w:separator/>
      </w:r>
    </w:p>
  </w:footnote>
  <w:footnote w:type="continuationSeparator" w:id="0">
    <w:p w:rsidR="001045D7" w:rsidRDefault="00104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CE" w:rsidRDefault="00B035CE" w:rsidP="00B035CE">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sidRPr="00B55A1A">
      <w:rPr>
        <w:rFonts w:ascii="Tw Cen MT" w:hAnsi="Tw Cen MT"/>
        <w:sz w:val="20"/>
        <w:szCs w:val="20"/>
      </w:rPr>
      <w:tab/>
      <w:t xml:space="preserve">    Vol.10, No.1, Mei 2021</w:t>
    </w:r>
    <w:r>
      <w:rPr>
        <w:rFonts w:ascii="Tw Cen MT" w:hAnsi="Tw Cen MT"/>
        <w:sz w:val="20"/>
        <w:szCs w:val="20"/>
      </w:rPr>
      <w:t xml:space="preserve">, pp. </w:t>
    </w:r>
    <w:r w:rsidR="00837B17">
      <w:rPr>
        <w:rFonts w:ascii="Tw Cen MT" w:hAnsi="Tw Cen MT"/>
        <w:sz w:val="20"/>
        <w:szCs w:val="20"/>
      </w:rPr>
      <w:t>35-43</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D93684" w:rsidRPr="00B035CE" w:rsidRDefault="00B43B99" w:rsidP="00B035CE">
    <w:pPr>
      <w:pStyle w:val="Header"/>
      <w:tabs>
        <w:tab w:val="clear" w:pos="4680"/>
        <w:tab w:val="clear" w:pos="9360"/>
      </w:tabs>
      <w:spacing w:before="240"/>
      <w:rPr>
        <w:rFonts w:ascii="Tw Cen MT" w:hAnsi="Tw Cen MT"/>
        <w:sz w:val="20"/>
        <w:szCs w:val="20"/>
      </w:rPr>
    </w:pPr>
    <w:r>
      <w:rPr>
        <w:noProof/>
        <w:lang w:val="id-ID" w:eastAsia="id-ID"/>
      </w:rPr>
      <mc:AlternateContent>
        <mc:Choice Requires="wpg">
          <w:drawing>
            <wp:anchor distT="0" distB="0" distL="114300" distR="114300" simplePos="0" relativeHeight="251658240" behindDoc="0" locked="0" layoutInCell="1" hidden="0" allowOverlap="1" wp14:anchorId="50A880E3" wp14:editId="6B6562DF">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1045D7"/>
    <w:rsid w:val="00126D61"/>
    <w:rsid w:val="00244AA2"/>
    <w:rsid w:val="00296EB9"/>
    <w:rsid w:val="002F05CD"/>
    <w:rsid w:val="004B5017"/>
    <w:rsid w:val="00570AD7"/>
    <w:rsid w:val="005C5D54"/>
    <w:rsid w:val="007608CF"/>
    <w:rsid w:val="007713AA"/>
    <w:rsid w:val="0077731D"/>
    <w:rsid w:val="00777FF0"/>
    <w:rsid w:val="007B4142"/>
    <w:rsid w:val="00837B17"/>
    <w:rsid w:val="008E5399"/>
    <w:rsid w:val="009F0A65"/>
    <w:rsid w:val="00A14BE3"/>
    <w:rsid w:val="00A213AC"/>
    <w:rsid w:val="00AC1A54"/>
    <w:rsid w:val="00AF2DCD"/>
    <w:rsid w:val="00B035CE"/>
    <w:rsid w:val="00B16B90"/>
    <w:rsid w:val="00B43B99"/>
    <w:rsid w:val="00C273E1"/>
    <w:rsid w:val="00C61689"/>
    <w:rsid w:val="00D90149"/>
    <w:rsid w:val="00D93684"/>
    <w:rsid w:val="00DA255F"/>
    <w:rsid w:val="00E321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AC1A54"/>
  </w:style>
  <w:style w:type="table" w:styleId="TableGrid">
    <w:name w:val="Table Grid"/>
    <w:basedOn w:val="TableNormal"/>
    <w:uiPriority w:val="59"/>
    <w:rsid w:val="007608CF"/>
    <w:pPr>
      <w:spacing w:after="0" w:line="240" w:lineRule="auto"/>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70AD7"/>
    <w:rPr>
      <w:sz w:val="16"/>
      <w:szCs w:val="16"/>
    </w:rPr>
  </w:style>
  <w:style w:type="character" w:customStyle="1" w:styleId="ListParagraphChar">
    <w:name w:val="List Paragraph Char"/>
    <w:aliases w:val="UGEX'Z Char"/>
    <w:link w:val="ListParagraph"/>
    <w:uiPriority w:val="34"/>
    <w:locked/>
    <w:rsid w:val="00126D61"/>
    <w:rPr>
      <w:rFonts w:eastAsia="Times New Roman" w:cs="Times New Roman"/>
      <w:sz w:val="22"/>
      <w:szCs w:val="22"/>
      <w:lang w:val="en-GB" w:eastAsia="en-GB"/>
    </w:rPr>
  </w:style>
  <w:style w:type="paragraph" w:styleId="CommentText">
    <w:name w:val="annotation text"/>
    <w:basedOn w:val="Normal"/>
    <w:link w:val="CommentTextChar"/>
    <w:uiPriority w:val="99"/>
    <w:semiHidden/>
    <w:unhideWhenUsed/>
    <w:rsid w:val="002F05CD"/>
    <w:pPr>
      <w:spacing w:line="240" w:lineRule="auto"/>
    </w:pPr>
    <w:rPr>
      <w:sz w:val="20"/>
      <w:szCs w:val="20"/>
    </w:rPr>
  </w:style>
  <w:style w:type="character" w:customStyle="1" w:styleId="CommentTextChar">
    <w:name w:val="Comment Text Char"/>
    <w:basedOn w:val="DefaultParagraphFont"/>
    <w:link w:val="CommentText"/>
    <w:uiPriority w:val="99"/>
    <w:semiHidden/>
    <w:rsid w:val="002F05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05CD"/>
    <w:rPr>
      <w:b/>
      <w:bCs/>
    </w:rPr>
  </w:style>
  <w:style w:type="character" w:customStyle="1" w:styleId="CommentSubjectChar">
    <w:name w:val="Comment Subject Char"/>
    <w:basedOn w:val="CommentTextChar"/>
    <w:link w:val="CommentSubject"/>
    <w:uiPriority w:val="99"/>
    <w:semiHidden/>
    <w:rsid w:val="002F05CD"/>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AC1A54"/>
  </w:style>
  <w:style w:type="table" w:styleId="TableGrid">
    <w:name w:val="Table Grid"/>
    <w:basedOn w:val="TableNormal"/>
    <w:uiPriority w:val="59"/>
    <w:rsid w:val="007608CF"/>
    <w:pPr>
      <w:spacing w:after="0" w:line="240" w:lineRule="auto"/>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70AD7"/>
    <w:rPr>
      <w:sz w:val="16"/>
      <w:szCs w:val="16"/>
    </w:rPr>
  </w:style>
  <w:style w:type="character" w:customStyle="1" w:styleId="ListParagraphChar">
    <w:name w:val="List Paragraph Char"/>
    <w:aliases w:val="UGEX'Z Char"/>
    <w:link w:val="ListParagraph"/>
    <w:uiPriority w:val="34"/>
    <w:locked/>
    <w:rsid w:val="00126D61"/>
    <w:rPr>
      <w:rFonts w:eastAsia="Times New Roman" w:cs="Times New Roman"/>
      <w:sz w:val="22"/>
      <w:szCs w:val="22"/>
      <w:lang w:val="en-GB" w:eastAsia="en-GB"/>
    </w:rPr>
  </w:style>
  <w:style w:type="paragraph" w:styleId="CommentText">
    <w:name w:val="annotation text"/>
    <w:basedOn w:val="Normal"/>
    <w:link w:val="CommentTextChar"/>
    <w:uiPriority w:val="99"/>
    <w:semiHidden/>
    <w:unhideWhenUsed/>
    <w:rsid w:val="002F05CD"/>
    <w:pPr>
      <w:spacing w:line="240" w:lineRule="auto"/>
    </w:pPr>
    <w:rPr>
      <w:sz w:val="20"/>
      <w:szCs w:val="20"/>
    </w:rPr>
  </w:style>
  <w:style w:type="character" w:customStyle="1" w:styleId="CommentTextChar">
    <w:name w:val="Comment Text Char"/>
    <w:basedOn w:val="DefaultParagraphFont"/>
    <w:link w:val="CommentText"/>
    <w:uiPriority w:val="99"/>
    <w:semiHidden/>
    <w:rsid w:val="002F05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05CD"/>
    <w:rPr>
      <w:b/>
      <w:bCs/>
    </w:rPr>
  </w:style>
  <w:style w:type="character" w:customStyle="1" w:styleId="CommentSubjectChar">
    <w:name w:val="Comment Subject Char"/>
    <w:basedOn w:val="CommentTextChar"/>
    <w:link w:val="CommentSubject"/>
    <w:uiPriority w:val="99"/>
    <w:semiHidden/>
    <w:rsid w:val="002F05C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rizkaangrainy@helvetia.ac.i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7EE294-C8A3-4E55-9F1C-1C5240F1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5228</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RIZKA</cp:lastModifiedBy>
  <cp:revision>2</cp:revision>
  <cp:lastPrinted>2021-07-29T08:18:00Z</cp:lastPrinted>
  <dcterms:created xsi:type="dcterms:W3CDTF">2021-08-02T04:53:00Z</dcterms:created>
  <dcterms:modified xsi:type="dcterms:W3CDTF">2021-08-02T04:53:00Z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3d57f580-0ee5-3cdc-b3c4-5ba0e6761be6</vt:lpwstr>
  </property>
  <property fmtid="{D5CDD505-2E9C-101B-9397-08002B2CF9AE}" pid="4" name="Mendeley Citation Style_1">
    <vt:lpwstr>http://www.zotero.org/styles/apa</vt:lpwstr>
  </property>
</Properties>
</file>