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17" w:rsidRDefault="003916D8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  <w:r>
        <w:rPr>
          <w:rFonts w:ascii="Twentieth Century" w:eastAsia="Twentieth Century" w:hAnsi="Twentieth Century" w:cs="Twentieth Century"/>
          <w:b/>
          <w:sz w:val="32"/>
          <w:szCs w:val="32"/>
        </w:rPr>
        <w:t>Uti</w:t>
      </w:r>
      <w:r w:rsidR="00947987"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lization of Pineapple </w:t>
      </w:r>
      <w:proofErr w:type="gramStart"/>
      <w:r w:rsidR="00947987"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Peel </w:t>
      </w:r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(</w:t>
      </w:r>
      <w:proofErr w:type="gramEnd"/>
      <w:r>
        <w:rPr>
          <w:rFonts w:ascii="Twentieth Century" w:eastAsia="Twentieth Century" w:hAnsi="Twentieth Century" w:cs="Twentieth Century"/>
          <w:b/>
          <w:i/>
          <w:iCs/>
          <w:sz w:val="32"/>
          <w:szCs w:val="32"/>
        </w:rPr>
        <w:t xml:space="preserve">Ananas comosus) </w:t>
      </w:r>
      <w:r>
        <w:rPr>
          <w:rFonts w:ascii="Twentieth Century" w:eastAsia="Twentieth Century" w:hAnsi="Twentieth Century" w:cs="Twentieth Century"/>
          <w:b/>
          <w:sz w:val="32"/>
          <w:szCs w:val="32"/>
        </w:rPr>
        <w:t>as a Basic Ingredient of Activated Charcoal</w:t>
      </w:r>
    </w:p>
    <w:p w:rsidR="00947987" w:rsidRDefault="00947987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</w:p>
    <w:p w:rsidR="00577117" w:rsidRDefault="003916D8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  <w:bookmarkStart w:id="0" w:name="_heading=h.ku3htxpixa9v" w:colFirst="0" w:colLast="0"/>
      <w:bookmarkEnd w:id="0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P</w:t>
      </w:r>
      <w:r w:rsidR="00947987"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emanfaataan </w:t>
      </w:r>
      <w:r>
        <w:rPr>
          <w:rFonts w:ascii="Twentieth Century" w:eastAsia="Twentieth Century" w:hAnsi="Twentieth Century" w:cs="Twentieth Century"/>
          <w:b/>
          <w:sz w:val="32"/>
          <w:szCs w:val="32"/>
        </w:rPr>
        <w:t>Kulit Nanas (</w:t>
      </w:r>
      <w:r>
        <w:rPr>
          <w:rFonts w:ascii="Twentieth Century" w:eastAsia="Twentieth Century" w:hAnsi="Twentieth Century" w:cs="Twentieth Century"/>
          <w:b/>
          <w:i/>
          <w:iCs/>
          <w:sz w:val="32"/>
          <w:szCs w:val="32"/>
        </w:rPr>
        <w:t>Ananas comosus</w:t>
      </w:r>
      <w:r>
        <w:rPr>
          <w:rFonts w:ascii="Twentieth Century" w:eastAsia="Twentieth Century" w:hAnsi="Twentieth Century" w:cs="Twentieth Century"/>
          <w:b/>
          <w:sz w:val="32"/>
          <w:szCs w:val="32"/>
        </w:rPr>
        <w:t>) Sebagai Bahan Dasar Arang Aktif</w:t>
      </w:r>
    </w:p>
    <w:p w:rsidR="00577117" w:rsidRDefault="00577117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</w:p>
    <w:p w:rsidR="00577117" w:rsidRDefault="003916D8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r>
        <w:rPr>
          <w:rFonts w:ascii="Twentieth Century" w:eastAsia="Twentieth Century" w:hAnsi="Twentieth Century" w:cs="Twentieth Century"/>
          <w:sz w:val="24"/>
          <w:szCs w:val="24"/>
        </w:rPr>
        <w:t>Denia Pratiwi</w:t>
      </w:r>
      <w:r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 xml:space="preserve">1, </w:t>
      </w:r>
      <w:r>
        <w:rPr>
          <w:rFonts w:ascii="Twentieth Century" w:eastAsia="Twentieth Century" w:hAnsi="Twentieth Century" w:cs="Twentieth Century"/>
          <w:sz w:val="24"/>
          <w:szCs w:val="24"/>
        </w:rPr>
        <w:t>Deri Islami</w:t>
      </w:r>
      <w:r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>1</w:t>
      </w:r>
      <w:r>
        <w:rPr>
          <w:rFonts w:ascii="Twentieth Century" w:eastAsia="Twentieth Century" w:hAnsi="Twentieth Century" w:cs="Twentieth Century"/>
          <w:sz w:val="24"/>
          <w:szCs w:val="24"/>
        </w:rPr>
        <w:t>, Indah Fitria Ningsih</w:t>
      </w:r>
      <w:r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 xml:space="preserve">2 </w:t>
      </w:r>
    </w:p>
    <w:p w:rsidR="00577117" w:rsidRDefault="003916D8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0"/>
          <w:szCs w:val="20"/>
          <w:vertAlign w:val="superscript"/>
        </w:rPr>
      </w:pPr>
      <w:r>
        <w:rPr>
          <w:rFonts w:ascii="Twentieth Century" w:eastAsia="Twentieth Century" w:hAnsi="Twentieth Century" w:cs="Twentieth Century"/>
          <w:sz w:val="20"/>
          <w:szCs w:val="20"/>
        </w:rPr>
        <w:t>Prodi Sarjana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 Farmasi, Universitas Abdurrab</w:t>
      </w:r>
      <w:r>
        <w:rPr>
          <w:rFonts w:ascii="Twentieth Century" w:eastAsia="Twentieth Century" w:hAnsi="Twentieth Century" w:cs="Twentieth Century"/>
          <w:sz w:val="20"/>
          <w:szCs w:val="20"/>
          <w:vertAlign w:val="superscript"/>
        </w:rPr>
        <w:t>1</w:t>
      </w:r>
      <w:r>
        <w:rPr>
          <w:rFonts w:ascii="Twentieth Century" w:eastAsia="Twentieth Century" w:hAnsi="Twentieth Century" w:cs="Twentieth Century"/>
          <w:sz w:val="20"/>
          <w:szCs w:val="20"/>
        </w:rPr>
        <w:t>, Prodi D III Anafarma, Universitas Abdurrab</w:t>
      </w:r>
      <w:r>
        <w:rPr>
          <w:rFonts w:ascii="Twentieth Century" w:eastAsia="Twentieth Century" w:hAnsi="Twentieth Century" w:cs="Twentieth Century"/>
          <w:sz w:val="20"/>
          <w:szCs w:val="20"/>
          <w:vertAlign w:val="superscript"/>
        </w:rPr>
        <w:t>2</w:t>
      </w:r>
    </w:p>
    <w:p w:rsidR="00577117" w:rsidRDefault="003916D8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0"/>
          <w:szCs w:val="20"/>
        </w:rPr>
      </w:pPr>
      <w:r>
        <w:rPr>
          <w:rFonts w:ascii="Twentieth Century" w:eastAsia="Twentieth Century" w:hAnsi="Twentieth Century" w:cs="Twentieth Century"/>
          <w:sz w:val="20"/>
          <w:szCs w:val="20"/>
        </w:rPr>
        <w:t>denia.pratiwi@univrab.ac.id</w:t>
      </w:r>
    </w:p>
    <w:p w:rsidR="00577117" w:rsidRDefault="003916D8">
      <w:pPr>
        <w:spacing w:after="0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5956935" cy="38100"/>
                <wp:effectExtent l="0" t="0" r="0" b="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7058" y="3780000"/>
                          <a:ext cx="59378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pt;margin-top:10pt;height:3pt;width:469.05pt;z-index:251659264;mso-width-relative:page;mso-height-relative:page;" filled="f" stroked="t" coordsize="21600,21600" o:gfxdata="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4P8P1gAAAAcBAAAPAAAAAAAAAAEAIAAAACIAAABkcnMvZG93bnJldi54&#10;bWxQSwECFAAUAAAACACHTuJAjExImfwBAAAPBAAADgAAAAAAAAABACAAAAAlAQAAZHJzL2Uyb0Rv&#10;Yy54bWxQSwUGAAAAAAYABgBZAQAAkwUAAAAA&#10;">
                <v:fill on="f" focussize="0,0"/>
                <v:stroke weight="1.5pt" color="#000000 [3200]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:rsidR="00577117" w:rsidRDefault="003916D8">
      <w:pPr>
        <w:spacing w:after="0"/>
        <w:ind w:left="2399" w:firstLine="719"/>
        <w:rPr>
          <w:rFonts w:ascii="Tw Cen MT" w:eastAsia="Twentieth Century" w:hAnsi="Tw Cen MT" w:cs="Tw Cen MT"/>
        </w:rPr>
      </w:pPr>
      <w:r>
        <w:rPr>
          <w:rFonts w:ascii="Tw Cen MT" w:eastAsia="Twentieth Century" w:hAnsi="Tw Cen MT" w:cs="Tw Cen MT"/>
          <w:b/>
          <w:i/>
          <w:sz w:val="20"/>
          <w:szCs w:val="20"/>
        </w:rPr>
        <w:t>Abstrac</w:t>
      </w:r>
      <w:r>
        <w:rPr>
          <w:rFonts w:ascii="Tw Cen MT" w:eastAsia="Twentieth Century" w:hAnsi="Tw Cen MT" w:cs="Tw Cen MT"/>
          <w:b/>
          <w:i/>
          <w:sz w:val="20"/>
          <w:szCs w:val="20"/>
        </w:rPr>
        <w:t>t</w:t>
      </w:r>
    </w:p>
    <w:p w:rsidR="00577117" w:rsidRDefault="003916D8">
      <w:pPr>
        <w:spacing w:after="0" w:line="240" w:lineRule="auto"/>
        <w:ind w:leftChars="1504" w:left="3158"/>
        <w:jc w:val="both"/>
        <w:rPr>
          <w:rFonts w:ascii="Tw Cen MT" w:eastAsia="Times New Roman" w:hAnsi="Tw Cen MT" w:cs="Tw Cen MT"/>
          <w:i/>
          <w:iCs/>
          <w:sz w:val="24"/>
          <w:szCs w:val="24"/>
          <w:lang w:val="zh-CN"/>
        </w:rPr>
      </w:pPr>
      <w:r>
        <w:rPr>
          <w:rFonts w:ascii="Tw Cen MT" w:hAnsi="Tw Cen MT" w:cs="Tw Cen MT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20955</wp:posOffset>
                </wp:positionV>
                <wp:extent cx="2000885" cy="1581150"/>
                <wp:effectExtent l="0" t="0" r="18415" b="0"/>
                <wp:wrapNone/>
                <wp:docPr id="66" name="Rectang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2998950"/>
                          <a:ext cx="200088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77117" w:rsidRDefault="003916D8">
                            <w:pPr>
                              <w:spacing w:after="0"/>
                              <w:ind w:leftChars="-28" w:left="1" w:hangingChars="30" w:hanging="60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000000"/>
                                <w:sz w:val="20"/>
                              </w:rPr>
                              <w:t xml:space="preserve">Article Info </w:t>
                            </w:r>
                          </w:p>
                          <w:p w:rsidR="00577117" w:rsidRDefault="00577117">
                            <w:pPr>
                              <w:spacing w:after="0"/>
                              <w:ind w:left="-85" w:hanging="170"/>
                            </w:pPr>
                          </w:p>
                          <w:p w:rsidR="00577117" w:rsidRDefault="003916D8">
                            <w:pPr>
                              <w:spacing w:after="0"/>
                              <w:ind w:leftChars="-28" w:left="1" w:hangingChars="30" w:hanging="60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Article history </w:t>
                            </w:r>
                          </w:p>
                          <w:p w:rsidR="00577117" w:rsidRDefault="003916D8">
                            <w:pPr>
                              <w:spacing w:after="0" w:line="240" w:lineRule="auto"/>
                              <w:ind w:leftChars="-26" w:left="-37" w:right="-55" w:hangingChars="9" w:hanging="18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Received date: </w:t>
                            </w:r>
                          </w:p>
                          <w:p w:rsidR="00577117" w:rsidRDefault="003916D8">
                            <w:pPr>
                              <w:spacing w:after="0" w:line="240" w:lineRule="auto"/>
                              <w:ind w:leftChars="-26" w:left="-37" w:right="-55" w:hangingChars="9" w:hanging="18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Revised date: </w:t>
                            </w:r>
                          </w:p>
                          <w:p w:rsidR="00577117" w:rsidRDefault="003916D8">
                            <w:pPr>
                              <w:spacing w:after="0" w:line="240" w:lineRule="auto"/>
                              <w:ind w:leftChars="-26" w:left="-37" w:right="-55" w:hangingChars="9" w:hanging="18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Accepted date: </w:t>
                            </w:r>
                          </w:p>
                          <w:p w:rsidR="00577117" w:rsidRDefault="00577117">
                            <w:pPr>
                              <w:spacing w:after="0"/>
                              <w:ind w:left="-85" w:right="-55" w:hanging="170"/>
                            </w:pPr>
                          </w:p>
                          <w:p w:rsidR="00577117" w:rsidRDefault="00577117"/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-3.55pt;margin-top:1.65pt;height:124.5pt;width:157.55pt;z-index:251662336;v-text-anchor:middle;mso-width-relative:page;mso-height-relative:page;" fillcolor="#FFFFFF [3201]" filled="t" stroked="f" coordsize="21600,21600" o:gfxdata="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+M3W1AAAAAgBAAAPAAAAAAAAAAEAIAAAACIAAABkcnMvZG93bnJldi54&#10;bWxQSwECFAAUAAAACACHTuJABwW27v4BAAD9AwAADgAAAAAAAAABACAAAAAjAQAAZHJzL2Uyb0Rv&#10;Yy54bWxQSwUGAAAAAAYABgBZAQAAkw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spacing w:after="0"/>
                        <w:ind w:left="1" w:leftChars="-28" w:hanging="60" w:hangingChars="30"/>
                      </w:pPr>
                      <w:r>
                        <w:rPr>
                          <w:rFonts w:ascii="Twentieth Century" w:hAnsi="Twentieth Century" w:eastAsia="Twentieth Century" w:cs="Twentieth Century"/>
                          <w:b/>
                          <w:color w:val="000000"/>
                          <w:sz w:val="20"/>
                        </w:rPr>
                        <w:t xml:space="preserve">Article Info </w:t>
                      </w:r>
                    </w:p>
                    <w:p>
                      <w:pPr>
                        <w:spacing w:after="0"/>
                        <w:ind w:left="-85" w:hanging="170"/>
                      </w:pPr>
                    </w:p>
                    <w:p>
                      <w:pPr>
                        <w:spacing w:after="0"/>
                        <w:ind w:left="1" w:leftChars="-28" w:hanging="60" w:hangingChars="30"/>
                      </w:pPr>
                      <w:r>
                        <w:rPr>
                          <w:rFonts w:ascii="Twentieth Century" w:hAnsi="Twentieth Century" w:eastAsia="Twentieth Century" w:cs="Twentieth Century"/>
                          <w:b/>
                          <w:i/>
                          <w:color w:val="000000"/>
                          <w:sz w:val="20"/>
                        </w:rPr>
                        <w:t xml:space="preserve">Article history </w:t>
                      </w:r>
                    </w:p>
                    <w:p>
                      <w:pPr>
                        <w:spacing w:after="0" w:line="240" w:lineRule="auto"/>
                        <w:ind w:left="-37" w:leftChars="-26" w:right="-55" w:hanging="18" w:hangingChars="9"/>
                      </w:pPr>
                      <w:r>
                        <w:rPr>
                          <w:rFonts w:ascii="Twentieth Century" w:hAnsi="Twentieth Century" w:eastAsia="Twentieth Century" w:cs="Twentieth Century"/>
                          <w:color w:val="000000"/>
                          <w:sz w:val="20"/>
                        </w:rPr>
                        <w:t xml:space="preserve">Received date: </w:t>
                      </w:r>
                    </w:p>
                    <w:p>
                      <w:pPr>
                        <w:spacing w:after="0" w:line="240" w:lineRule="auto"/>
                        <w:ind w:left="-37" w:leftChars="-26" w:right="-55" w:hanging="18" w:hangingChars="9"/>
                      </w:pPr>
                      <w:r>
                        <w:rPr>
                          <w:rFonts w:ascii="Twentieth Century" w:hAnsi="Twentieth Century" w:eastAsia="Twentieth Century" w:cs="Twentieth Century"/>
                          <w:color w:val="000000"/>
                          <w:sz w:val="20"/>
                        </w:rPr>
                        <w:t xml:space="preserve">Revised date: </w:t>
                      </w:r>
                    </w:p>
                    <w:p>
                      <w:pPr>
                        <w:spacing w:after="0" w:line="240" w:lineRule="auto"/>
                        <w:ind w:left="-37" w:leftChars="-26" w:right="-55" w:hanging="18" w:hangingChars="9"/>
                      </w:pPr>
                      <w:r>
                        <w:rPr>
                          <w:rFonts w:ascii="Twentieth Century" w:hAnsi="Twentieth Century" w:eastAsia="Twentieth Century" w:cs="Twentieth Century"/>
                          <w:color w:val="000000"/>
                          <w:sz w:val="20"/>
                        </w:rPr>
                        <w:t xml:space="preserve">Accepted date: </w:t>
                      </w:r>
                    </w:p>
                    <w:p>
                      <w:pPr>
                        <w:spacing w:after="0"/>
                        <w:ind w:left="-85" w:right="-55" w:hanging="170"/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Waste utilization in the era of globalization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receives a lack of attention from the community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, because lackness of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public unawareness.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P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ineapple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peel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waste (Ananas comosus)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 can be produce activated charcoal.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This study aims to produce activated charcoal from pineapple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peel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waste that meets SNI requirements, such as water level, ash level, and iodine absorption ability.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Th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is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is a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quantitative research with two repetitions.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 xml:space="preserve"> The results show that the water and ash level of the charcoal was 0.005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>4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% and 0.0010%, respectively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</w:rPr>
        <w:t xml:space="preserve">. 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T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he iodine absorption ability was measured by titration using 0.1 N sodium thiosulfate solution. The iodine absorption ability was 365.6 mg/g utilizing a 1.2 ml titer. In conclusion, the parameters meet the requirement of SNI that stated maximum moisture co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ntent, ash content, and iodine absorbability was 15%, 10%, and 750 mg/g.</w:t>
      </w:r>
      <w:r>
        <w:rPr>
          <w:rFonts w:ascii="Tw Cen MT" w:eastAsia="Times New Roman" w:hAnsi="Tw Cen MT" w:cs="Tw Cen MT"/>
          <w:i/>
          <w:iCs/>
          <w:color w:val="0E101A"/>
          <w:sz w:val="24"/>
          <w:szCs w:val="24"/>
          <w:lang w:val="zh-CN"/>
        </w:rPr>
        <w:t> </w:t>
      </w:r>
    </w:p>
    <w:p w:rsidR="00577117" w:rsidRDefault="003916D8">
      <w:pPr>
        <w:widowControl w:val="0"/>
        <w:spacing w:after="0" w:line="228" w:lineRule="auto"/>
        <w:ind w:left="3150" w:right="-19"/>
        <w:jc w:val="both"/>
        <w:rPr>
          <w:rFonts w:ascii="Tw Cen MT" w:eastAsia="Twentieth Century" w:hAnsi="Tw Cen MT" w:cs="Tw Cen MT"/>
          <w:b/>
          <w:i/>
          <w:sz w:val="20"/>
          <w:szCs w:val="20"/>
        </w:rPr>
      </w:pPr>
      <w:r>
        <w:rPr>
          <w:rFonts w:ascii="Tw Cen MT" w:eastAsia="Twentieth Century" w:hAnsi="Tw Cen MT" w:cs="Tw Cen MT"/>
          <w:b/>
          <w:i/>
          <w:sz w:val="20"/>
          <w:szCs w:val="20"/>
        </w:rPr>
        <w:t>Keywords:</w:t>
      </w:r>
    </w:p>
    <w:p w:rsidR="00577117" w:rsidRDefault="003916D8">
      <w:pPr>
        <w:tabs>
          <w:tab w:val="left" w:pos="426"/>
        </w:tabs>
        <w:spacing w:after="0"/>
        <w:ind w:left="3150"/>
        <w:jc w:val="both"/>
        <w:rPr>
          <w:rFonts w:ascii="Tw Cen MT" w:hAnsi="Tw Cen MT" w:cs="Tw Cen MT"/>
          <w:bCs/>
          <w:iCs/>
          <w:sz w:val="20"/>
          <w:szCs w:val="20"/>
        </w:rPr>
      </w:pPr>
      <w:r>
        <w:rPr>
          <w:rFonts w:ascii="Tw Cen MT" w:hAnsi="Tw Cen MT" w:cs="Tw Cen MT"/>
          <w:bCs/>
          <w:iCs/>
          <w:sz w:val="20"/>
          <w:szCs w:val="20"/>
        </w:rPr>
        <w:t>Pineapple peel waste</w:t>
      </w:r>
      <w:proofErr w:type="gramStart"/>
      <w:r>
        <w:rPr>
          <w:rFonts w:ascii="Tw Cen MT" w:hAnsi="Tw Cen MT" w:cs="Tw Cen MT"/>
          <w:bCs/>
          <w:iCs/>
          <w:sz w:val="20"/>
          <w:szCs w:val="20"/>
        </w:rPr>
        <w:t>,  activated</w:t>
      </w:r>
      <w:proofErr w:type="gramEnd"/>
      <w:r>
        <w:rPr>
          <w:rFonts w:ascii="Tw Cen MT" w:hAnsi="Tw Cen MT" w:cs="Tw Cen MT"/>
          <w:bCs/>
          <w:iCs/>
          <w:sz w:val="20"/>
          <w:szCs w:val="20"/>
        </w:rPr>
        <w:t xml:space="preserve"> charcoal, iodine absorption</w:t>
      </w:r>
    </w:p>
    <w:p w:rsidR="00577117" w:rsidRDefault="003916D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 Cen MT"/>
          <w:b/>
          <w:sz w:val="20"/>
          <w:szCs w:val="20"/>
        </w:rPr>
      </w:pPr>
      <w:r>
        <w:rPr>
          <w:rFonts w:ascii="Tw Cen MT" w:eastAsia="Twentieth Century" w:hAnsi="Tw Cen MT" w:cs="Tw Cen MT"/>
          <w:b/>
          <w:sz w:val="20"/>
          <w:szCs w:val="20"/>
        </w:rPr>
        <w:t>Abstra</w:t>
      </w:r>
      <w:r>
        <w:rPr>
          <w:rFonts w:ascii="Tw Cen MT" w:eastAsia="Twentieth Century" w:hAnsi="Tw Cen MT" w:cs="Tw Cen MT"/>
          <w:b/>
          <w:sz w:val="20"/>
          <w:szCs w:val="20"/>
        </w:rPr>
        <w:t xml:space="preserve">k </w:t>
      </w:r>
    </w:p>
    <w:p w:rsidR="00577117" w:rsidRDefault="003916D8">
      <w:pPr>
        <w:tabs>
          <w:tab w:val="left" w:pos="426"/>
        </w:tabs>
        <w:spacing w:after="0"/>
        <w:ind w:left="3150"/>
        <w:jc w:val="both"/>
        <w:rPr>
          <w:rFonts w:ascii="Tw Cen MT" w:hAnsi="Tw Cen MT" w:cs="Tw Cen MT"/>
          <w:color w:val="000000" w:themeColor="text1"/>
          <w:sz w:val="24"/>
          <w:szCs w:val="24"/>
        </w:rPr>
      </w:pPr>
      <w:proofErr w:type="gramStart"/>
      <w:r>
        <w:rPr>
          <w:rFonts w:ascii="Tw Cen MT" w:hAnsi="Tw Cen MT" w:cs="Tw Cen MT"/>
          <w:sz w:val="20"/>
          <w:szCs w:val="20"/>
        </w:rPr>
        <w:t xml:space="preserve">Pemanfaatan limbah di era globalisasi seperti sekarang ini kurang mendapat perhatian yang khusus dari </w:t>
      </w:r>
      <w:r>
        <w:rPr>
          <w:rFonts w:ascii="Tw Cen MT" w:hAnsi="Tw Cen MT" w:cs="Tw Cen MT"/>
          <w:sz w:val="20"/>
          <w:szCs w:val="20"/>
        </w:rPr>
        <w:t>masyarakat dilingkungan sekitar</w:t>
      </w:r>
      <w:r>
        <w:rPr>
          <w:rFonts w:ascii="Tw Cen MT" w:hAnsi="Tw Cen MT" w:cs="Tw Cen MT"/>
          <w:sz w:val="20"/>
          <w:szCs w:val="20"/>
        </w:rPr>
        <w:t>, dikarenakan kurangnya pengetahuan masyarakat dalam pengolahan limbah.</w:t>
      </w:r>
      <w:proofErr w:type="gramEnd"/>
      <w:r>
        <w:rPr>
          <w:rFonts w:ascii="Tw Cen MT" w:hAnsi="Tw Cen MT" w:cs="Tw Cen MT"/>
          <w:sz w:val="20"/>
          <w:szCs w:val="20"/>
        </w:rPr>
        <w:t xml:space="preserve"> </w:t>
      </w:r>
      <w:proofErr w:type="gramStart"/>
      <w:r>
        <w:rPr>
          <w:rFonts w:ascii="Tw Cen MT" w:hAnsi="Tw Cen MT" w:cs="Tw Cen MT"/>
          <w:sz w:val="20"/>
          <w:szCs w:val="20"/>
        </w:rPr>
        <w:t xml:space="preserve">Limbah kulit nanas </w:t>
      </w:r>
      <w:r>
        <w:rPr>
          <w:rFonts w:ascii="Tw Cen MT" w:hAnsi="Tw Cen MT" w:cs="Tw Cen MT"/>
          <w:sz w:val="20"/>
          <w:szCs w:val="20"/>
        </w:rPr>
        <w:t>(</w:t>
      </w:r>
      <w:r>
        <w:rPr>
          <w:rFonts w:ascii="Tw Cen MT" w:hAnsi="Tw Cen MT" w:cs="Tw Cen MT"/>
          <w:i/>
          <w:sz w:val="20"/>
          <w:szCs w:val="20"/>
        </w:rPr>
        <w:t>Ananas comosus</w:t>
      </w:r>
      <w:r>
        <w:rPr>
          <w:rFonts w:ascii="Tw Cen MT" w:hAnsi="Tw Cen MT" w:cs="Tw Cen MT"/>
          <w:i/>
          <w:sz w:val="20"/>
          <w:szCs w:val="20"/>
        </w:rPr>
        <w:t>)</w:t>
      </w:r>
      <w:r>
        <w:rPr>
          <w:rFonts w:ascii="Tw Cen MT" w:hAnsi="Tw Cen MT" w:cs="Tw Cen MT"/>
          <w:sz w:val="20"/>
          <w:szCs w:val="20"/>
        </w:rPr>
        <w:t xml:space="preserve"> dapat dimanfaatkan </w:t>
      </w:r>
      <w:r>
        <w:rPr>
          <w:rFonts w:ascii="Tw Cen MT" w:hAnsi="Tw Cen MT" w:cs="Tw Cen MT"/>
          <w:sz w:val="20"/>
          <w:szCs w:val="20"/>
        </w:rPr>
        <w:t>dengan diolah menjadi arang aktif.</w:t>
      </w:r>
      <w:proofErr w:type="gramEnd"/>
      <w:r>
        <w:rPr>
          <w:rFonts w:ascii="Tw Cen MT" w:hAnsi="Tw Cen MT" w:cs="Tw Cen MT"/>
          <w:sz w:val="20"/>
          <w:szCs w:val="20"/>
        </w:rPr>
        <w:t xml:space="preserve"> </w:t>
      </w:r>
      <w:r>
        <w:rPr>
          <w:rFonts w:ascii="Tw Cen MT" w:hAnsi="Tw Cen MT" w:cs="Tw Cen MT"/>
          <w:sz w:val="20"/>
          <w:szCs w:val="20"/>
        </w:rPr>
        <w:t xml:space="preserve"> </w:t>
      </w:r>
      <w:proofErr w:type="gramStart"/>
      <w:r>
        <w:rPr>
          <w:rFonts w:ascii="Tw Cen MT" w:hAnsi="Tw Cen MT" w:cs="Tw Cen MT"/>
          <w:sz w:val="20"/>
          <w:szCs w:val="20"/>
        </w:rPr>
        <w:t>Penelitian ini bertujuan untuk menghasilkan arang aktif dari l</w:t>
      </w:r>
      <w:r>
        <w:rPr>
          <w:rFonts w:ascii="Tw Cen MT" w:hAnsi="Tw Cen MT" w:cs="Tw Cen MT"/>
          <w:sz w:val="20"/>
          <w:szCs w:val="20"/>
        </w:rPr>
        <w:t>imbah kulit nanas yang memenuhi syarat sesuai SNI.</w:t>
      </w:r>
      <w:proofErr w:type="gramEnd"/>
      <w:r>
        <w:rPr>
          <w:rFonts w:ascii="Tw Cen MT" w:hAnsi="Tw Cen MT" w:cs="Tw Cen MT"/>
          <w:sz w:val="20"/>
          <w:szCs w:val="20"/>
        </w:rPr>
        <w:t xml:space="preserve"> </w:t>
      </w:r>
      <w:r>
        <w:rPr>
          <w:rFonts w:ascii="Tw Cen MT" w:hAnsi="Tw Cen MT" w:cs="Tw Cen MT"/>
          <w:sz w:val="20"/>
          <w:szCs w:val="20"/>
        </w:rPr>
        <w:t xml:space="preserve">Arang aktif yang telah dihasilkan di lakukan pengujian </w:t>
      </w:r>
      <w:proofErr w:type="gramStart"/>
      <w:r>
        <w:rPr>
          <w:rFonts w:ascii="Tw Cen MT" w:hAnsi="Tw Cen MT" w:cs="Tw Cen MT"/>
          <w:sz w:val="20"/>
          <w:szCs w:val="20"/>
        </w:rPr>
        <w:t>kadar</w:t>
      </w:r>
      <w:proofErr w:type="gramEnd"/>
      <w:r>
        <w:rPr>
          <w:rFonts w:ascii="Tw Cen MT" w:hAnsi="Tw Cen MT" w:cs="Tw Cen MT"/>
          <w:sz w:val="20"/>
          <w:szCs w:val="20"/>
        </w:rPr>
        <w:t xml:space="preserve"> air, kadar abu dan daya serap iodin dengan mentode titrasi. </w:t>
      </w:r>
      <w:proofErr w:type="gramStart"/>
      <w:r>
        <w:rPr>
          <w:rFonts w:ascii="Tw Cen MT" w:hAnsi="Tw Cen MT" w:cs="Tw Cen MT"/>
          <w:sz w:val="20"/>
          <w:szCs w:val="20"/>
        </w:rPr>
        <w:t xml:space="preserve">Penelitian </w:t>
      </w:r>
      <w:r>
        <w:rPr>
          <w:rFonts w:ascii="Tw Cen MT" w:hAnsi="Tw Cen MT" w:cs="Tw Cen MT"/>
          <w:sz w:val="20"/>
          <w:szCs w:val="20"/>
        </w:rPr>
        <w:t xml:space="preserve">ini </w:t>
      </w:r>
      <w:r>
        <w:rPr>
          <w:rFonts w:ascii="Tw Cen MT" w:hAnsi="Tw Cen MT" w:cs="Tw Cen MT"/>
          <w:sz w:val="20"/>
          <w:szCs w:val="20"/>
        </w:rPr>
        <w:t>merupakan penelitian kuantitatif dengan 2 kali pengulangan.</w:t>
      </w:r>
      <w:proofErr w:type="gramEnd"/>
      <w:r>
        <w:rPr>
          <w:rFonts w:ascii="Tw Cen MT" w:hAnsi="Tw Cen MT" w:cs="Tw Cen MT"/>
          <w:sz w:val="20"/>
          <w:szCs w:val="20"/>
        </w:rPr>
        <w:t xml:space="preserve"> </w:t>
      </w:r>
      <w:r>
        <w:rPr>
          <w:rFonts w:ascii="Tw Cen MT" w:hAnsi="Tw Cen MT" w:cs="Tw Cen MT"/>
          <w:color w:val="000000" w:themeColor="text1"/>
          <w:sz w:val="20"/>
          <w:szCs w:val="20"/>
        </w:rPr>
        <w:t>Hasil pen</w:t>
      </w:r>
      <w:r>
        <w:rPr>
          <w:rFonts w:ascii="Tw Cen MT" w:hAnsi="Tw Cen MT" w:cs="Tw Cen MT"/>
          <w:color w:val="000000" w:themeColor="text1"/>
          <w:sz w:val="20"/>
          <w:szCs w:val="20"/>
        </w:rPr>
        <w:t>elitian menunjukkan kadar air 0</w:t>
      </w:r>
      <w:proofErr w:type="gramStart"/>
      <w:r>
        <w:rPr>
          <w:rFonts w:ascii="Tw Cen MT" w:hAnsi="Tw Cen MT" w:cs="Tw Cen MT"/>
          <w:color w:val="000000" w:themeColor="text1"/>
          <w:sz w:val="20"/>
          <w:szCs w:val="20"/>
        </w:rPr>
        <w:t>,005</w:t>
      </w:r>
      <w:r>
        <w:rPr>
          <w:rFonts w:ascii="Tw Cen MT" w:hAnsi="Tw Cen MT" w:cs="Tw Cen MT"/>
          <w:color w:val="000000" w:themeColor="text1"/>
          <w:sz w:val="20"/>
          <w:szCs w:val="20"/>
        </w:rPr>
        <w:t>4</w:t>
      </w:r>
      <w:proofErr w:type="gramEnd"/>
      <w:r>
        <w:rPr>
          <w:rFonts w:ascii="Tw Cen MT" w:hAnsi="Tw Cen MT" w:cs="Tw Cen MT"/>
          <w:color w:val="000000" w:themeColor="text1"/>
          <w:sz w:val="20"/>
          <w:szCs w:val="20"/>
        </w:rPr>
        <w:t>%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 dan p</w:t>
      </w:r>
      <w:r>
        <w:rPr>
          <w:rFonts w:ascii="Tw Cen MT" w:hAnsi="Tw Cen MT" w:cs="Tw Cen MT"/>
          <w:color w:val="000000" w:themeColor="text1"/>
          <w:sz w:val="20"/>
          <w:szCs w:val="20"/>
        </w:rPr>
        <w:t>ada pengujian kadar abu diperoleh hasilnya 0,0010%. Daya serap iodin menggunakan arang aktif limbah kulit nanas dengan larutan iodin 0,1 N yang dititrasi menggunakan larutan natrium tiosulfat 0,1 N diperoleh hasil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 volume rata-rata 1,2 ml dan daya serap 365,6 mg/g. Sesuai dengan ketetapan SNI Kadar Air Maksimal 15%, SNI Kadar Abu Maksimal 10%, SNI Daya Serap Iodium kurang dari 750 mg/g</w:t>
      </w:r>
      <w:r>
        <w:rPr>
          <w:rFonts w:ascii="Tw Cen MT" w:hAnsi="Tw Cen MT" w:cs="Tw Cen MT"/>
          <w:color w:val="000000" w:themeColor="text1"/>
          <w:sz w:val="24"/>
          <w:szCs w:val="24"/>
        </w:rPr>
        <w:t>.</w:t>
      </w:r>
    </w:p>
    <w:p w:rsidR="00577117" w:rsidRDefault="003916D8">
      <w:pPr>
        <w:tabs>
          <w:tab w:val="left" w:pos="426"/>
        </w:tabs>
        <w:spacing w:after="0"/>
        <w:ind w:left="3150"/>
        <w:jc w:val="both"/>
        <w:rPr>
          <w:rFonts w:ascii="Tw Cen MT" w:eastAsia="Twentieth Century" w:hAnsi="Tw Cen MT" w:cs="Tw Cen MT"/>
        </w:rPr>
        <w:sectPr w:rsidR="00577117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w Cen MT" w:eastAsia="Twentieth Century" w:hAnsi="Tw Cen MT" w:cs="Tw Cen MT"/>
          <w:b/>
          <w:sz w:val="20"/>
          <w:szCs w:val="20"/>
        </w:rPr>
        <w:t xml:space="preserve">Kata </w:t>
      </w:r>
      <w:proofErr w:type="gramStart"/>
      <w:r>
        <w:rPr>
          <w:rFonts w:ascii="Tw Cen MT" w:eastAsia="Twentieth Century" w:hAnsi="Tw Cen MT" w:cs="Tw Cen MT"/>
          <w:b/>
          <w:sz w:val="20"/>
          <w:szCs w:val="20"/>
        </w:rPr>
        <w:t>Kunci</w:t>
      </w:r>
      <w:r>
        <w:rPr>
          <w:rFonts w:ascii="Tw Cen MT" w:eastAsia="Twentieth Century" w:hAnsi="Tw Cen MT" w:cs="Tw Cen MT"/>
          <w:b/>
          <w:sz w:val="20"/>
          <w:szCs w:val="20"/>
        </w:rPr>
        <w:t xml:space="preserve"> :</w:t>
      </w:r>
      <w:proofErr w:type="gramEnd"/>
      <w:r>
        <w:rPr>
          <w:rFonts w:ascii="Tw Cen MT" w:eastAsia="Twentieth Century" w:hAnsi="Tw Cen MT" w:cs="Tw Cen MT"/>
          <w:b/>
          <w:sz w:val="20"/>
          <w:szCs w:val="20"/>
        </w:rPr>
        <w:t xml:space="preserve"> </w:t>
      </w:r>
      <w:r>
        <w:rPr>
          <w:rFonts w:ascii="Tw Cen MT" w:hAnsi="Tw Cen MT" w:cs="Tw Cen MT"/>
          <w:bCs/>
          <w:sz w:val="20"/>
          <w:szCs w:val="20"/>
        </w:rPr>
        <w:t xml:space="preserve">Limbah kulit nanas, </w:t>
      </w:r>
      <w:r>
        <w:rPr>
          <w:rFonts w:ascii="Tw Cen MT" w:hAnsi="Tw Cen MT" w:cs="Tw Cen MT"/>
          <w:bCs/>
          <w:iCs/>
          <w:sz w:val="20"/>
          <w:szCs w:val="20"/>
        </w:rPr>
        <w:t>Arang Aktif</w:t>
      </w:r>
      <w:r>
        <w:rPr>
          <w:rFonts w:ascii="Tw Cen MT" w:hAnsi="Tw Cen MT" w:cs="Tw Cen M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975985" cy="38100"/>
                <wp:effectExtent l="0" t="9525" r="5715" b="952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7533" y="3775238"/>
                          <a:ext cx="595693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0pt;margin-top:14pt;height:3pt;width:470.55pt;z-index:251662336;mso-width-relative:page;mso-height-relative:page;" filled="f" stroked="t" coordsize="21600,21600" o:gfxdata="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TPmo9gAAAAGAQAADwAAAAAAAAABACAAAAAiAAAAZHJzL2Rv&#10;d25yZXYueG1sUEsBAhQAFAAAAAgAh07iQIJqA04BAgAAEgQAAA4AAAAAAAAAAQAgAAAAJwEAAGRy&#10;cy9lMm9Eb2MueG1sUEsFBgAAAAAGAAYAWQEAAJoFAAAAAA==&#10;">
                <v:fill on="f" focussize="0,0"/>
                <v:stroke weight="1.5pt" color="#000000 [3200]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ascii="Tw Cen MT" w:hAnsi="Tw Cen MT" w:cs="Tw Cen MT"/>
          <w:bCs/>
          <w:iCs/>
          <w:sz w:val="20"/>
          <w:szCs w:val="20"/>
        </w:rPr>
        <w:t>, daya serap iodin</w:t>
      </w:r>
    </w:p>
    <w:p w:rsidR="00577117" w:rsidRDefault="003916D8">
      <w:pPr>
        <w:tabs>
          <w:tab w:val="left" w:pos="426"/>
        </w:tabs>
        <w:spacing w:after="0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lastRenderedPageBreak/>
        <w:t>PENDAHULUA</w:t>
      </w:r>
      <w:r>
        <w:rPr>
          <w:rFonts w:ascii="Tw Cen MT" w:eastAsia="Twentieth Century" w:hAnsi="Tw Cen MT" w:cs="Tw Cen MT"/>
          <w:b/>
          <w:sz w:val="24"/>
          <w:szCs w:val="24"/>
        </w:rPr>
        <w:t>N</w:t>
      </w:r>
    </w:p>
    <w:p w:rsidR="00577117" w:rsidRDefault="003916D8">
      <w:pPr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Pemanfaatan limbah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di era globalisasi seperti sekarang ini kurang mendapat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perhatian yang khusus dari masyarakat dilingkungan sekitar.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Kurangnya kesadaran masyarakat dalam memanfaatkan limbah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 xml:space="preserve">dikarenakan kurangnya pengetahuan masyarakat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kandungan dalam limbah.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Kebanyaka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 masyarakat hanya berfikir bahwa limbah hanya mendatangkan dampak negatif.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Sebenarnya banyak limbah industri rumah tangga yang dapat dimanfaatkan salah satunya limbah kulit nanas (</w:t>
      </w:r>
      <w:r>
        <w:rPr>
          <w:rFonts w:ascii="Tw Cen MT" w:eastAsia="TimesNewRomanPS-ItalicMT" w:hAnsi="Tw Cen MT" w:cs="Tw Cen MT"/>
          <w:i/>
          <w:iCs/>
          <w:color w:val="000000"/>
          <w:sz w:val="24"/>
          <w:szCs w:val="24"/>
          <w:lang w:eastAsia="zh-CN" w:bidi="ar"/>
        </w:rPr>
        <w:t>Ananas comosus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).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Nanas merupakan salah satu jenis buah yang diminati oleh masyarakat, baik lokal maupun dunia.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Nanas memiliki bagian-bagian yang bersifat buangan antara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lain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adalah kulit yang memiliki tekstur yang tidak rata dan berduri kecil pada permukaan luarnya. Kul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it nanas hanya dibuang begitu saja sebagai limbah, padahal kulit nanas mengandung bahan kimia salah satunya selulosa, yang dapat dijadikan sebagai absorben logam berat,dan selulosa sebagian besar tersusun atas unsur karbon 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2808-893X","author":[{"dropping-particle":"","family":"Rahmidar","given":"Lena","non-dropping-particle":"","parse-names":false,"suffix":""},{"dropping-particle":"","family":"Wahidiniawati","given":"Seruni","non-dropping-particle":"","parse-names":false,"suffix":""},{"dropping-particle":"","family":"Sudiarti","given":"Tety","non-dropping-particle":"","parse-names":false,"suffix":""}],"container-title":"Alotrop","id":"ITEM-1","issue":"1","issued":{"date-parts":[["2018"]]},"title":"Pembuatan dan karakterisasi metil selulosa dari bonggol dan kulit nanas (Ananas comosus)","type":"article-journal","volume":"2"},"uris":["http://www.mendeley.com/documents/?uuid=ce7804bc-2f34-4344-891b-90192c5e2293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905AAB" w:rsidRPr="00905AAB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[1]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Seluosa merupakan senyawa ya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ng memiliki karakter hidrolik karena adanya gugus hidroksil pada tiap unit polimernya.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Permukaan gugus fungsi selulosa alam ataupun turunannya dapat berinteraksi secara fisik atau kimia.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Selulosa memiliki gugus fungsi yang dapat melakukan pengikatan dengan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ion logam.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Gugus fungsi tersebut terutama gugus karboksil dan hidroksil 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Maulana","given":"Iman","non-dropping-particle":"","parse-names":false,"suffix":""},{"dropping-particle":"","family":"Iryani","given":"Ani","non-dropping-particle":"","parse-names":false,"suffix":""},{"dropping-particle":"","family":"Nashrianto","given":"Husain","non-dropping-particle":"","parse-names":false,"suffix":""}],"container-title":"ResearchGate,(June)","id":"ITEM-1","issued":{"date-parts":[["2017"]]},"page":"1-7","title":"Pemanfaatan Ampas Teh Sebagai Adsorben Ion Kalsium (Ca 2+) dan Ion Magnesium (Mg 2+) Dalam Air Sadah","type":"article-journal"},"uris":["http://www.mendeley.com/documents/?uuid=f6edeb96-047f-4aa1-b250-52ce31a0036f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905AAB" w:rsidRPr="00905AAB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[2]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2721-3447","author":[{"dropping-particle":"","family":"Kardiman","given":"Kardiman","non-dropping-particle":"","parse-names":false,"suffix":""},{"dropping-particle":"","family":"Rasyid","given":"Rismawati","non-dropping-particle":"","parse-names":false,"suffix":""}],"container-title":"ILTEK: Jurnal Teknologi","id":"ITEM-1","issue":"2","issued":{"date-parts":[["2019"]]},"page":"2083-2087","title":"Pembuatan Adsorben dari Sabut Kelapa sebagai Penyerap Logam Berat Pb (II)","type":"article-journal","volume":"14"},"uris":["http://www.mendeley.com/documents/?uuid=507e8eea-246a-406a-a653-d63b57bc9784"]}],"mendeley":{"formattedCitation":"[3]","plainTextFormattedCitation":"[3]","previouslyFormattedCitation":"[3]"},"properties":{"noteIndex":0},"schema":"https://github.com/citation-style-language/schema/raw/master/csl-citation.json"}</w:instrTex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905AAB" w:rsidRPr="00905AAB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[3]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. Pada serat kulit nanas terdapat 19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,8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% selulosa.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Adanya senyawa-senyawa karbon seperti selulosa dan lignin yang terdapat didalam kulit nanas, sehingga berpotensi untuk dijadika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 sebagai bahan dasar adsorben.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Adapun berbagai jenis absorben yang telah dikembangkan salah satunya menggunakan arang aktif.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Arang aktif merupakan arang yang memiliki ruang pori sangat banyak dengan ukuran tertentu yang dapat menangkap partikel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-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partikel ya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ng akan diserap 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2503-0310","author":[{"dropping-particle":"","family":"Irmanto","given":"Irmanto","non-dropping-particle":"","parse-names":false,"suffix":""},{"dropping-particle":"","family":"Suyata","given":"Suyata","non-dropping-particle":"","parse-names":false,"suffix":""}],"container-title":"Molekul","id":"ITEM-1","issue":"1","issued":{"date-parts":[["2010"]]},"page":"22-32","title":"Optimasi Penurunan Nilai BOD, COD dan TSS Limbah Cair Industri Tapioka Menggunakan Arang Aktif dari Ampas Kopi","type":"article-journal","volume":"5"},"uris":["http://www.mendeley.com/documents/?uuid=3a217d46-eb0b-4e70-8cd5-8714bdd0956b"]}],"mendeley":{"formattedCitation":"[4]","plainTextFormattedCitation":"[4]","previouslyFormattedCitation":"[4]"},"properties":{"noteIndex":0},"schema":"https://github.com/citation-style-language/schema/raw/master/csl-citation.json"}</w:instrTex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905AAB" w:rsidRPr="00905AAB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[4]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. Berdasarkan SNI 06- 3730-1995 tentang arang aktif teknis, arang aktif berbentuk serbuk yang berkualitas baik memiliki kadar air maksimal sebesar 15%, kadar zat mudah menguap maksimal 25%, kadar abu maksimal 10% dan kadar karbon minimal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65% Untuk daya serapnya, arang aktif yang baik memiliki daya serap terhadap I2 minimal sebesar 750 mg/g dan daya serap terhadap metilen biru minimal sebesar 120 mg/g 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{"citationItems":[{"id":"ITEM-1","itemData":{"ISBN":"9793132388","author":[{"dropping-particle":"","family":"Sudradjat","given":"R","non-dropping-particle":"","parse-names":false,"suffix":""}],"id":"ITEM-1","issued":{"date-parts":[["2011"]]},"publisher":"Badan Penelitian dan Pengembangan Kehutanan","title":"Arang aktif: teknologi pengolahan dan masa depannya","type":"book"},"uris":["http://www.mendeley.com/documents/?uuid=1a8bdf52-d402-4125-a389-bac2ab223933"]}],"mendeley":{"formattedCitation":"[5]","plainTextFormattedCitation":"[5]","previouslyFormattedCitation":"[5]"},"properties":{"noteIndex":0},"schema":"https://github.com/citation-style-language/schema/raw/master/csl-citation.json"}</w:instrTex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905AAB" w:rsidRPr="00905AAB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[5]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{"citationItems":[{"id":"ITEM-1","itemData":{"author":[{"dropping-particle":"","family":"Indonesia","given":"Standar Nasional","non-dropping-particle":"","parse-names":false,"suffix":""}],"container-title":"Jakarta: Badan Standardisasi Nasional","id":"ITEM-1","issued":{"date-parts":[["1995"]]},"title":"SNI 06-3730-1995: Arang aktif teknis","type":"article-journal"},"uris":["http://www.mendeley.com/documents/?uuid=2d8c6e14-03b0-436e-b376-5005010c2c5d"]}],"mendeley":{"formattedCitation":"[6]","plainTextFormattedCitation":"[6]","previouslyFormattedCitation":"[6]"},"properties":{"noteIndex":0},"schema":"https://github.com/citation-style-language/schema/raw/master/csl-citation.json"}</w:instrTex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905AAB" w:rsidRPr="00905AAB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[6]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 </w:t>
      </w:r>
    </w:p>
    <w:p w:rsidR="00577117" w:rsidRDefault="003916D8">
      <w:pPr>
        <w:spacing w:after="0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 xml:space="preserve">METODE </w:t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 ini merupakan penelitian kuantitatif, yaitu untuk membuat arang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aktif dari limbah kulit nanas yang memenuhi standar SNI dengan 2 kali pengulangan.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 yang digunakan pada penelitian ini adalah kulit nanas yang dijual di Pasar Pagi Arengka, Pekanbaru.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Penelitian ini dilakukan di Laboratorium Analisa Makanan dan Minu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man Fakultas Farmasi dan Ilmu Kesehatan Universitas Abdurrab pada bulan Juni - Juli 2021.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:rsidR="00577117" w:rsidRDefault="003916D8">
      <w:pPr>
        <w:spacing w:after="0" w:line="240" w:lineRule="auto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Alat yang digunakan pada penelitian ini adalah tanur, desikator, neraca analitik,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seperangkat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alat gelas antara lain botol kaca, botol semprot, cawan porselin, desik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ator, labu ukur, erlemeyer, beaker glass, batang pengaduk, dan spatula. </w:t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Bahan penelitian yang digunakan pada penelitian ini adalah kulit nanas yang berasal dari pasar pagi Arengka, Pekanbaru.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Sedangkan bahan kimia yang digunakan antara lain adalah aquades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, indikator amilum, I2 (Iodin),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Na2S2O3 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TimesNewRomanPS-BoldMT" w:hAnsi="Tw Cen MT" w:cs="Tw Cen MT"/>
          <w:color w:val="000000"/>
          <w:sz w:val="24"/>
          <w:szCs w:val="24"/>
          <w:lang w:eastAsia="zh-CN" w:bidi="ar"/>
        </w:rPr>
        <w:t xml:space="preserve">Prosedur Kerja </w:t>
      </w:r>
    </w:p>
    <w:p w:rsidR="00577117" w:rsidRDefault="003916D8">
      <w:pPr>
        <w:numPr>
          <w:ilvl w:val="0"/>
          <w:numId w:val="1"/>
        </w:num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TimesNewRomanPS-BoldMT" w:hAnsi="Tw Cen MT" w:cs="Tw Cen MT"/>
          <w:color w:val="000000"/>
          <w:sz w:val="24"/>
          <w:szCs w:val="24"/>
          <w:lang w:eastAsia="zh-CN" w:bidi="ar"/>
        </w:rPr>
        <w:t xml:space="preserve">Preparasi Sampel Kulit Nanas </w:t>
      </w:r>
    </w:p>
    <w:p w:rsidR="00577117" w:rsidRDefault="003916D8">
      <w:pPr>
        <w:spacing w:after="0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 xml:space="preserve">Kulit nanas yang diperoleh disortasi terlebih dahulu dengan memilih kulit nanas yang baik, bagus dan bebas dari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hama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untuk dijadikan sampel penelitian.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 kulit na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nas yang sudah dipilih, dicuci bersih menggunakan air mengalir dan dipotong kecil-kecil.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Selanjutnya dikeringkan di suhu ruangan dengan rentang waktu 7 hari.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:rsidR="00577117" w:rsidRDefault="003916D8">
      <w:pPr>
        <w:numPr>
          <w:ilvl w:val="0"/>
          <w:numId w:val="1"/>
        </w:num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TimesNewRomanPS-BoldMT" w:hAnsi="Tw Cen MT" w:cs="Tw Cen MT"/>
          <w:color w:val="000000"/>
          <w:sz w:val="24"/>
          <w:szCs w:val="24"/>
          <w:lang w:eastAsia="zh-CN" w:bidi="ar"/>
        </w:rPr>
        <w:t xml:space="preserve">Pembuatan Arang Aktif </w:t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Pembuatan arang aktif dilakukan mengacu pada penelitian Ogata (2011) dan Kyzas (2012)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1345-8957","author":[{"dropping-particle":"","family":"Ogata","given":"Fumihiko","non-dropping-particle":"","parse-names":false,"suffix":""},{"dropping-particle":"","family":"Tominaga","given":"Hisato","non-dropping-particle":"","parse-names":false,"suffix":""},{"dropping-particle":"","family":"Yabutani","given":"Hitoshi","non-dropping-particle":"","parse-names":false,"suffix":""},{"dropping-particle":"","family":"Kawasaki","given":"Naohito","non-dropping-particle":"","parse-names":false,"suffix":""}],"container-title":"Journal of Oleo Science","id":"ITEM-1","issue":"12","issued":{"date-parts":[["2011"]]},"page":"619-625","publisher":"Japan Oil Chemists' Society","title":"Removal of fluoride ions from water by adsorption onto carbonaceous materials produced from coffee grounds","type":"article-journal","volume":"60"},"uris":["http://www.mendeley.com/documents/?uuid=adbe1942-f5b9-4776-b7ad-3f6d9389b829"]}],"mendeley":{"formattedCitation":"[7]","plainTextFormattedCitation":"[7]","previouslyFormattedCitation":"[7]"},"properties":{"noteIndex":0},"schema":"https://github.com/citation-style-language/schema/raw/master/csl-citation.json"}</w:instrTex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905AAB" w:rsidRPr="00905AAB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[7]</w:t>
      </w:r>
      <w:r w:rsidR="00905AA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{"citationItems":[{"id":"ITEM-1","itemData":{"author":[{"dropping-particle":"","family":"Agwaramgbo","given":"Lovell Odili E","non-dropping-particle":"","parse-names":false,"suffix":""},{"dropping-particle":"","family":"Zulpo","given":"Simone","non-dropping-particle":"","parse-names":false,"suffix":""},{"dropping-particle":"","family":"Lira","given":"Stéfane O","non-dropping-particle":"","parse-names":false,"suffix":""}],"container-title":"Current Journal of Applied Science and Technology","id":"ITEM-1","issue":"4","issued":{"date-parts":[["2017"]]},"page":"1-9","title":"Competitive adsorption of Cu (II) and Zn (II) from binary heavy metal solutions by coffee waste","type":"article-journal","volume":"19"},"uris":["http://www.mendeley.com/documents/?uuid=12df9b2c-aa93-40d5-a40a-14fdd5e91113"]}],"mendeley":{"formattedCitation":"[8]","plainTextFormattedCitation":"[8]","previouslyFormattedCitation":"[8]"},"properties":{"noteIndex":0},"schema":"https://github.com/citation-style-language/schema/raw/master/csl-citation.json"}</w:instrTex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823EA" w:rsidRPr="00F823EA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[8]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Sampel kulit nanas yang sudah kering serta sudah berubah warna kuning kecoklatan dikarbonisasi dalam tanur pada suhu 300oC selama 1 jam.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Arang kulit nanas yang sud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ah dihasilkan didinginkan dan dihitung rendemennya dengan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cara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membandingkan berat sampel sebelum dan setelah dikarbonisasi. </w:t>
      </w:r>
    </w:p>
    <w:p w:rsidR="00577117" w:rsidRDefault="003916D8">
      <w:pPr>
        <w:numPr>
          <w:ilvl w:val="0"/>
          <w:numId w:val="1"/>
        </w:num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Kadar Air </w:t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Penentuan kadar air dilakukan mengacu pada Mu’jizah (2010)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{"citationItems":[{"id":"ITEM-1","itemData":{"ISSN":"2339-1960","author":[{"dropping-particle":"","family":"Dahlan","given":"M Hatta","non-dropping-particle":"","parse-names":false,"suffix":""},{"dropping-particle":"","family":"Siregar","given":"Hariman P","non-dropping-particle":"","parse-names":false,"suffix":""},{"dropping-particle":"","family":"Yusra","given":"Maswardi","non-dropping-particle":"","parse-names":false,"suffix":""}],"container-title":"Jurnal Teknik Kimia","id":"ITEM-1","issue":"3","issued":{"date-parts":[["2013"]]},"title":"Penggunaan karbon aktif dari biji kelor dapat memurnikan minyak jelantah","type":"article-journal","volume":"19"},"uris":["http://www.mendeley.com/documents/?uuid=8fa15472-e340-48ef-91c4-7eb321da3ea7"]}],"mendeley":{"formattedCitation":"[9]","plainTextFormattedCitation":"[9]","previouslyFormattedCitation":"[9]"},"properties":{"noteIndex":0},"schema":"https://github.com/citation-style-language/schema/raw/master/csl-citation.json"}</w:instrTex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823EA" w:rsidRPr="00F823EA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[9]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. Krus porselin dipanaskan pada suhu 110˚C selama 3 jam k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emudian didinginkan dalam desikator selama 30 menit. Selanjutnya ditimbang, prosedur dilakukan beberapa kali dengan selang waktu yang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sama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hingga tercapai berat konstan.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Satu gram arang aktif dimasukkan dalam krus porselin yang telah diketahui beratnya, di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panaskan dalam oven pada suhu 110˚C selama 1 jam dan didinginkan dalam desikator selama 30 menit, kemudian ditimbang.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Prosedur tersebut dilakukan berulang hingga tercapai berat konstan.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Kadar air dihitung sebagai </w:t>
      </w:r>
    </w:p>
    <w:p w:rsidR="00577117" w:rsidRDefault="003916D8">
      <w:pPr>
        <w:jc w:val="both"/>
        <w:rPr>
          <w:rFonts w:ascii="Tw Cen MT" w:hAnsi="Tw Cen MT" w:cs="Tw Cen MT"/>
          <w:sz w:val="24"/>
          <w:szCs w:val="24"/>
        </w:rPr>
      </w:pP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berikut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: </w:t>
      </w: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7C8118DC" wp14:editId="7FA3AF72">
            <wp:extent cx="25146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 xml:space="preserve">4. Kadar Abu </w:t>
      </w:r>
    </w:p>
    <w:p w:rsidR="00577117" w:rsidRDefault="00F823EA">
      <w:p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</w:t>
      </w:r>
      <w:r w:rsidR="003916D8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rang aktif yang telah ditentukan kadar airnya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ditimbang sebanyak 1 gram</w:t>
      </w:r>
      <w:r w:rsidR="003916D8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 dibakar dalam tanur pada suhu 600˚C selama 3 jam dan dimasukkan dalam desikator selama 30 menit, kemudian ditimbang hingga diperoleh berat konstan. Penentu</w:t>
      </w:r>
      <w:r w:rsidR="003916D8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an </w:t>
      </w:r>
      <w:proofErr w:type="gramStart"/>
      <w:r w:rsidR="003916D8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 w:rsidR="003916D8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dihitung menggunakan persamaan berikut: </w:t>
      </w:r>
    </w:p>
    <w:p w:rsidR="00577117" w:rsidRDefault="003916D8">
      <w:pPr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458EAE76" wp14:editId="0DC7BD10">
            <wp:extent cx="2371725" cy="45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5. Daya Serap Iodin </w:t>
      </w:r>
    </w:p>
    <w:p w:rsidR="00577117" w:rsidRDefault="003916D8">
      <w:pPr>
        <w:spacing w:after="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Arang aktif ditimbang sebanyak 0,5 gram, dipindahkan ke dalam botol kaca, dimasukkan larutan iodium 0,1N sebanyak 50 mL dan diaduk menggunakan </w:t>
      </w:r>
      <w:r>
        <w:rPr>
          <w:rFonts w:ascii="Tw Cen MT" w:eastAsia="TimesNewRomanPS-ItalicMT" w:hAnsi="Tw Cen MT" w:cs="Tw Cen MT"/>
          <w:i/>
          <w:iCs/>
          <w:color w:val="000000"/>
          <w:sz w:val="24"/>
          <w:szCs w:val="24"/>
          <w:lang w:eastAsia="zh-CN" w:bidi="ar"/>
        </w:rPr>
        <w:t xml:space="preserve">shaker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selama 15 menit dan didiamkan selama 15 menit.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Selanjutnya disaring dan filtrat diambil sebanyak 10 mL ke dalam erlemeyer.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Kemudian dititrasi dengan Natrium Tiosulfat 0,1 N. Titrasi dilakukan hingga warna kuning hampir hilang, kemudian ditambahkan indikato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 amilum 1% dan dititrasi kembali hingga titik akhir titrasi terjadi yang ditandai dengan warna biru tepat hilang. Perlakuan dilakukan secara duplo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2541-1969","author":[{"dropping-particle":"","family":"Alfiany","given":"Herlin","non-dropping-particle":"","parse-names":false,"suffix":""},{"dropping-particle":"","family":"Bahri","given":"Syaiful","non-dropping-particle":"","parse-names":false,"suffix":""},{"dropping-particle":"","family":"Nurakhirawati","given":"Nurakhirawati","non-dropping-particle":"","parse-names":false,"suffix":""}],"container-title":"Natural Science: Journal of Science and Technology","id":"ITEM-1","issue":"3","issued":{"date-parts":[["2013"]]},"publisher":"Faculty of Science, Tadulako University, Sulawesi, Indonesia.","title":"Kajian penggunaan arang aktif tongkol jagung sebagai adsorben logam Pb dengan beberapa aktivator asam","type":"article-journal","volume":"2"},"uris":["http://www.mendeley.com/documents/?uuid=d01f0a53-2003-44aa-a8ef-2d5b3b6f5912"]}],"mendeley":{"formattedCitation":"[10]","plainTextFormattedCitation":"[10]","previouslyFormattedCitation":"[10]"},"properties":{"noteIndex":0},"schema":"https://github.com/citation-style-language/schema/raw/master/csl-citation.json"}</w:instrTex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823EA" w:rsidRPr="00F823EA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[10]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:rsidR="00577117" w:rsidRDefault="003916D8">
      <w:pPr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42ACBA45" wp14:editId="7772D064">
            <wp:extent cx="2742565" cy="405765"/>
            <wp:effectExtent l="0" t="0" r="635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 w:cs="Tw Cen MT"/>
          <w:noProof/>
          <w:sz w:val="24"/>
          <w:szCs w:val="24"/>
        </w:rPr>
        <w:drawing>
          <wp:inline distT="0" distB="0" distL="114300" distR="114300" wp14:anchorId="0AB178AE" wp14:editId="556F5159">
            <wp:extent cx="2295525" cy="40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117" w:rsidRDefault="003916D8">
      <w:pPr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n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Qm adalah kapasitas adsorpsi daya serap iod (mg/g), BE adalah berat ekuivalen iodin (126,90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4 gr/mol), N adalah bilangan Avogadro (6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,02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x 1023 molekul/mol) dan A adalah luas permukaan 1 mol iodin (0,40 x 10-18 m2/molekul).</w:t>
      </w:r>
    </w:p>
    <w:p w:rsidR="00577117" w:rsidRDefault="003916D8">
      <w:pPr>
        <w:tabs>
          <w:tab w:val="left" w:pos="426"/>
        </w:tabs>
        <w:spacing w:after="0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lastRenderedPageBreak/>
        <w:t>HASIL DAN PEMBAHASAN</w:t>
      </w:r>
    </w:p>
    <w:p w:rsidR="00577117" w:rsidRDefault="003916D8">
      <w:pPr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Pada penelitian ini dilakukan pemanfaatan limbah kulit nanas (</w:t>
      </w:r>
      <w:r>
        <w:rPr>
          <w:rFonts w:ascii="Tw Cen MT" w:eastAsia="TimesNewRomanPS-ItalicMT" w:hAnsi="Tw Cen MT" w:cs="Tw Cen MT"/>
          <w:i/>
          <w:iCs/>
          <w:color w:val="000000"/>
          <w:sz w:val="24"/>
          <w:szCs w:val="24"/>
          <w:lang w:eastAsia="zh-CN" w:bidi="ar"/>
        </w:rPr>
        <w:t>Ananas Comosus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) sebagai bahan dasar arang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aktif ini setelah diperoleh arang aktif, dilakukan pengujian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air, kadar abu, dan daya serap iodin. </w:t>
      </w:r>
      <w:r>
        <w:rPr>
          <w:rFonts w:ascii="Tw Cen MT" w:eastAsia="Twentieth Century" w:hAnsi="Tw Cen MT" w:cs="Tw Cen MT"/>
          <w:sz w:val="24"/>
          <w:szCs w:val="24"/>
        </w:rPr>
        <w:t xml:space="preserve">Hasil pada penelitian ini dapat dilihat pada tabel </w:t>
      </w:r>
      <w:proofErr w:type="gramStart"/>
      <w:r>
        <w:rPr>
          <w:rFonts w:ascii="Tw Cen MT" w:eastAsia="Twentieth Century" w:hAnsi="Tw Cen MT" w:cs="Tw Cen MT"/>
          <w:sz w:val="24"/>
          <w:szCs w:val="24"/>
        </w:rPr>
        <w:t>berikut :</w:t>
      </w:r>
      <w:proofErr w:type="gramEnd"/>
    </w:p>
    <w:p w:rsidR="00577117" w:rsidRDefault="003916D8">
      <w:pPr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  <w:proofErr w:type="gramStart"/>
      <w:r>
        <w:rPr>
          <w:rFonts w:ascii="Tw Cen MT" w:eastAsia="Twentieth Century" w:hAnsi="Tw Cen MT" w:cs="Tw Cen MT"/>
          <w:sz w:val="24"/>
          <w:szCs w:val="24"/>
        </w:rPr>
        <w:t>Tabel 1.</w:t>
      </w:r>
      <w:proofErr w:type="gramEnd"/>
      <w:r>
        <w:rPr>
          <w:rFonts w:ascii="Tw Cen MT" w:eastAsia="Twentieth Century" w:hAnsi="Tw Cen MT" w:cs="Tw Cen MT"/>
          <w:sz w:val="24"/>
          <w:szCs w:val="24"/>
        </w:rPr>
        <w:t xml:space="preserve"> Hasil Pemeriksaan </w:t>
      </w:r>
      <w:proofErr w:type="gramStart"/>
      <w:r>
        <w:rPr>
          <w:rFonts w:ascii="Tw Cen MT" w:eastAsia="Twentieth Century" w:hAnsi="Tw Cen MT" w:cs="Tw Cen MT"/>
          <w:sz w:val="24"/>
          <w:szCs w:val="24"/>
        </w:rPr>
        <w:t>kadar</w:t>
      </w:r>
      <w:proofErr w:type="gramEnd"/>
      <w:r>
        <w:rPr>
          <w:rFonts w:ascii="Tw Cen MT" w:eastAsia="Twentieth Century" w:hAnsi="Tw Cen MT" w:cs="Tw Cen MT"/>
          <w:sz w:val="24"/>
          <w:szCs w:val="24"/>
        </w:rPr>
        <w:t xml:space="preserve"> air dan kadar abu arang aktif dari limbah kulit nanas</w:t>
      </w:r>
    </w:p>
    <w:tbl>
      <w:tblPr>
        <w:tblStyle w:val="Style34"/>
        <w:tblW w:w="4536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625"/>
        <w:gridCol w:w="1321"/>
      </w:tblGrid>
      <w:tr w:rsidR="00577117">
        <w:trPr>
          <w:trHeight w:val="569"/>
          <w:jc w:val="center"/>
        </w:trPr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117" w:rsidRDefault="003916D8">
            <w:pPr>
              <w:spacing w:after="0" w:line="240" w:lineRule="auto"/>
              <w:jc w:val="both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Pem</w:t>
            </w:r>
            <w:r>
              <w:rPr>
                <w:rFonts w:ascii="Tw Cen MT" w:eastAsia="Twentieth Century" w:hAnsi="Tw Cen MT" w:cs="Tw Cen MT"/>
                <w:sz w:val="24"/>
                <w:szCs w:val="24"/>
              </w:rPr>
              <w:t>eriksaan</w:t>
            </w:r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117" w:rsidRDefault="003916D8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Pengulangan I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117" w:rsidRDefault="003916D8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Pengulangan II</w:t>
            </w:r>
          </w:p>
        </w:tc>
      </w:tr>
      <w:tr w:rsidR="00577117">
        <w:trPr>
          <w:trHeight w:val="269"/>
          <w:jc w:val="center"/>
        </w:trPr>
        <w:tc>
          <w:tcPr>
            <w:tcW w:w="1590" w:type="dxa"/>
            <w:tcBorders>
              <w:top w:val="single" w:sz="4" w:space="0" w:color="000000"/>
            </w:tcBorders>
          </w:tcPr>
          <w:p w:rsidR="00577117" w:rsidRDefault="003916D8">
            <w:pPr>
              <w:spacing w:after="0" w:line="240" w:lineRule="auto"/>
              <w:jc w:val="both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Kadar air</w:t>
            </w:r>
          </w:p>
        </w:tc>
        <w:tc>
          <w:tcPr>
            <w:tcW w:w="1625" w:type="dxa"/>
            <w:tcBorders>
              <w:top w:val="single" w:sz="4" w:space="0" w:color="000000"/>
            </w:tcBorders>
          </w:tcPr>
          <w:p w:rsidR="00577117" w:rsidRDefault="003916D8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0,0056%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:rsidR="00577117" w:rsidRDefault="003916D8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0,0051%</w:t>
            </w:r>
          </w:p>
        </w:tc>
      </w:tr>
      <w:tr w:rsidR="00577117">
        <w:trPr>
          <w:trHeight w:val="284"/>
          <w:jc w:val="center"/>
        </w:trPr>
        <w:tc>
          <w:tcPr>
            <w:tcW w:w="1590" w:type="dxa"/>
          </w:tcPr>
          <w:p w:rsidR="00577117" w:rsidRDefault="003916D8">
            <w:pPr>
              <w:spacing w:after="0" w:line="240" w:lineRule="auto"/>
              <w:jc w:val="both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Kadar abu</w:t>
            </w:r>
          </w:p>
        </w:tc>
        <w:tc>
          <w:tcPr>
            <w:tcW w:w="1625" w:type="dxa"/>
          </w:tcPr>
          <w:p w:rsidR="00577117" w:rsidRDefault="003916D8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0,0010%</w:t>
            </w:r>
          </w:p>
        </w:tc>
        <w:tc>
          <w:tcPr>
            <w:tcW w:w="1321" w:type="dxa"/>
          </w:tcPr>
          <w:p w:rsidR="00577117" w:rsidRDefault="003916D8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0,0010%</w:t>
            </w:r>
          </w:p>
        </w:tc>
      </w:tr>
    </w:tbl>
    <w:p w:rsidR="00577117" w:rsidRDefault="00577117">
      <w:pPr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</w:p>
    <w:p w:rsidR="00577117" w:rsidRDefault="003916D8">
      <w:pPr>
        <w:spacing w:after="0" w:line="240" w:lineRule="auto"/>
        <w:jc w:val="both"/>
        <w:rPr>
          <w:rFonts w:ascii="Tw Cen MT" w:eastAsia="Twentieth Century" w:hAnsi="Tw Cen MT" w:cs="Tw Cen MT"/>
          <w:sz w:val="24"/>
          <w:szCs w:val="24"/>
        </w:rPr>
      </w:pPr>
      <w:proofErr w:type="gramStart"/>
      <w:r>
        <w:rPr>
          <w:rFonts w:ascii="Tw Cen MT" w:eastAsia="Twentieth Century" w:hAnsi="Tw Cen MT" w:cs="Tw Cen MT"/>
          <w:sz w:val="24"/>
          <w:szCs w:val="24"/>
        </w:rPr>
        <w:t>Tabel 2.</w:t>
      </w:r>
      <w:proofErr w:type="gramEnd"/>
      <w:r>
        <w:rPr>
          <w:rFonts w:ascii="Tw Cen MT" w:eastAsia="Twentieth Century" w:hAnsi="Tw Cen MT" w:cs="Tw Cen MT"/>
          <w:sz w:val="24"/>
          <w:szCs w:val="24"/>
        </w:rPr>
        <w:t xml:space="preserve"> Hasil Pemeriksaan titrasi daya serap iodin pada arang aktif dari limbah kulit nanas</w:t>
      </w:r>
    </w:p>
    <w:tbl>
      <w:tblPr>
        <w:tblStyle w:val="Style34"/>
        <w:tblW w:w="2946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321"/>
      </w:tblGrid>
      <w:tr w:rsidR="00577117">
        <w:trPr>
          <w:trHeight w:val="569"/>
          <w:jc w:val="center"/>
        </w:trPr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117" w:rsidRDefault="003916D8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Volume rata-rata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77117" w:rsidRDefault="003916D8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Daya serap iodium</w:t>
            </w:r>
          </w:p>
        </w:tc>
      </w:tr>
      <w:tr w:rsidR="00577117">
        <w:trPr>
          <w:trHeight w:val="269"/>
          <w:jc w:val="center"/>
        </w:trPr>
        <w:tc>
          <w:tcPr>
            <w:tcW w:w="1625" w:type="dxa"/>
            <w:tcBorders>
              <w:top w:val="single" w:sz="4" w:space="0" w:color="000000"/>
            </w:tcBorders>
          </w:tcPr>
          <w:p w:rsidR="00577117" w:rsidRDefault="003916D8">
            <w:pPr>
              <w:spacing w:after="0" w:line="240" w:lineRule="auto"/>
              <w:jc w:val="center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1,2 ml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:rsidR="00577117" w:rsidRDefault="003916D8">
            <w:pPr>
              <w:wordWrap w:val="0"/>
              <w:spacing w:after="0" w:line="240" w:lineRule="auto"/>
              <w:jc w:val="right"/>
              <w:rPr>
                <w:rFonts w:ascii="Tw Cen MT" w:eastAsia="Twentieth Century" w:hAnsi="Tw Cen MT" w:cs="Tw Cen MT"/>
                <w:sz w:val="24"/>
                <w:szCs w:val="24"/>
              </w:rPr>
            </w:pPr>
            <w:r>
              <w:rPr>
                <w:rFonts w:ascii="Tw Cen MT" w:eastAsia="Twentieth Century" w:hAnsi="Tw Cen MT" w:cs="Tw Cen MT"/>
                <w:sz w:val="24"/>
                <w:szCs w:val="24"/>
              </w:rPr>
              <w:t>365,6 mg/g</w:t>
            </w:r>
          </w:p>
        </w:tc>
      </w:tr>
      <w:tr w:rsidR="00577117">
        <w:trPr>
          <w:trHeight w:val="284"/>
          <w:jc w:val="center"/>
        </w:trPr>
        <w:tc>
          <w:tcPr>
            <w:tcW w:w="1625" w:type="dxa"/>
          </w:tcPr>
          <w:p w:rsidR="00577117" w:rsidRDefault="00577117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4"/>
                <w:szCs w:val="24"/>
              </w:rPr>
            </w:pPr>
          </w:p>
        </w:tc>
        <w:tc>
          <w:tcPr>
            <w:tcW w:w="1321" w:type="dxa"/>
          </w:tcPr>
          <w:p w:rsidR="00577117" w:rsidRDefault="00577117">
            <w:pPr>
              <w:spacing w:after="0" w:line="240" w:lineRule="auto"/>
              <w:jc w:val="right"/>
              <w:rPr>
                <w:rFonts w:ascii="Tw Cen MT" w:eastAsia="Twentieth Century" w:hAnsi="Tw Cen MT" w:cs="Tw Cen MT"/>
                <w:sz w:val="24"/>
                <w:szCs w:val="24"/>
              </w:rPr>
            </w:pPr>
          </w:p>
        </w:tc>
      </w:tr>
    </w:tbl>
    <w:p w:rsidR="00577117" w:rsidRPr="00050235" w:rsidRDefault="003916D8" w:rsidP="00050235">
      <w:pPr>
        <w:spacing w:after="0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Arang aktif adalah karbon amorf yang mempunyai permukaan dalam (internal surface) dan kemampuan daya serap yang baik 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2579-6054","author":[{"dropping-particle":"","family":"HARIS","given":"ABDUL","non-dropping-particle":"","parse-names":false,"suffix":""},{"dropping-particle":"","family":"NURHILAL","given":"OTONG","non-dropping-particle":"","parse-names":false,"suffix":""},{"dropping-particle":"","family":"SURYANINGSIH","given":"S R I","non-dropping-particle":"","parse-names":false,"suffix":""}],"container-title":"Jurnal Material dan Energi Indonesia","id":"ITEM-1","issue":"01","issued":{"date-parts":[["2019"]]},"page":"1-7","title":"PENGARUH KONSENTRASI AKTIVATOR TERHADAP DAYA SERAP IODIN ARANG AKTIF DARI LIMBAH DAUN KI SABUN DAN DAUN MAHONI (SWIETENIA MAHAGONI)","type":"article-journal","volume":"9"},"uris":["http://www.mendeley.com/documents/?uuid=f569208a-7fb4-475f-bf8d-e3a0573e2e37"]}],"mendeley":{"formattedCitation":"[11]","plainTextFormattedCitation":"[11]","previouslyFormattedCitation":"[11]"},"properties":{"noteIndex":0},"schema":"https://github.com/citation-style-language/schema/raw/master/csl-citation.json"}</w:instrTex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823EA" w:rsidRPr="00F823EA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[11]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Penentuan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bertujuan untuk mengetahui kandungan air yang berada dalam rongga.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Kadar air yang dihasilkan merupakan ukuran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kemampuan zat aktivator sebagai zat pendehidrasi 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2540-864X","author":[{"dropping-particle":"","family":"Erawati","given":"Emi","non-dropping-particle":"","parse-names":false,"suffix":""},{"dropping-particle":"","family":"Fernando","given":"Ardiansyah","non-dropping-particle":"","parse-names":false,"suffix":""}],"container-title":"Jurnal Integrasi Proses","id":"ITEM-1","issue":"2","issued":{"date-parts":[["2018"]]},"page":"58-66","title":"Pengaruh jenis aktivator dan ukuran karbon aktif terhadap pembuatan adsorbent dari serbik gergaji kayu sengon (Paraserianthes Falcataria)","type":"article-journal","volume":"7"},"uris":["http://www.mendeley.com/documents/?uuid=6ee2724e-0273-4107-a49c-99f4fff2e66f"]}],"mendeley":{"formattedCitation":"[12]","plainTextFormattedCitation":"[12]","previouslyFormattedCitation":"[12]"},"properties":{"noteIndex":0},"schema":"https://github.com/citation-style-language/schema/raw/master/csl-citation.json"}</w:instrTex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823EA" w:rsidRPr="00F823EA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[12]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(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Hasil pada tabel 1 menunjukkan bahwa kadar air yang terkandung sesuai persyaratan menurut Standar Nasional Indonesia (SNI) 06-3703-1995 yaitu maksimum 15% 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{"citationItems":[{"id":"ITEM-1","itemData":{"author":[{"dropping-particle":"","family":"Indonesia","given":"Standar Nasional","non-dropping-particle":"","parse-names":false,"suffix":""}],"container-title":"Jakarta: Badan Standardisasi Nasional","id":"ITEM-1","issued":{"date-parts":[["1995"]]},"title":"SNI 06-3730-1995: Arang aktif teknis","type":"article-journal"},"uris":["http://www.mendeley.com/documents/?uuid=2d8c6e14-03b0-436e-b376-5005010c2c5d"]}],"mendeley":{"formattedCitation":"[6]","plainTextFormattedCitation":"[6]","previouslyFormattedCitation":"[6]"},"properties":{"noteIndex":0},"schema":"https://github.com/citation-style-language/schema/raw/master/csl-citation.json"}</w:instrTex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823EA" w:rsidRPr="00F823EA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[6]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Tinggi rendahnya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menunjukkan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banyak atau sedikitnya air yang menutupi pori-pori arang aktif. Kadar air yang rendah menunjukkan banyak rongga atau celah dalam pori yang dapat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ditempati oleh adsorbat sehingga adsorps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i berlangsung secara optimal 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{"citationItems":[{"id":"ITEM-1","itemData":{"ISSN":"2621-9328","author":[{"dropping-particle":"","family":"Sari","given":"Dian Kurnia","non-dropping-particle":"","parse-names":false,"suffix":""},{"dropping-particle":"","family":"Sari","given":"Melati Ireng","non-dropping-particle":"","parse-names":false,"suffix":""}],"container-title":"Jurnal Teknik Patra Akademika","id":"ITEM-1","issue":"01","issued":{"date-parts":[["2021"]]},"page":"51-56","title":"K KARAKTERISTIK KARBON AKTIF DARI LIMBAH DAUN NANAS (Ananas comosus) DENGAN AKTIVATOR H3PO4 1 M","type":"article-journal","volume":"12"},"uris":["http://www.mendeley.com/documents/?uuid=4ee3124c-d6c1-4d0f-9275-67751439a85b"]}],"mendeley":{"formattedCitation":"[13]","plainTextFormattedCitation":"[13]","previouslyFormattedCitation":"[13]"},"properties":{"noteIndex":0},"schema":"https://github.com/citation-style-language/schema/raw/master/csl-citation.json"}</w:instrTex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823EA" w:rsidRPr="00F823EA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[13]</w:t>
      </w:r>
      <w:r w:rsidR="00F823EA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. Aktivator yang dapat mengikat air de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ngan baik dalam arang aktif cenderung menghasilkan kadar air yang relatif rendah 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{"citationItems":[{"id":"ITEM-1","itemData":{"author":[{"dropping-particle":"","family":"Setiawan","given":"Ab Ari","non-dropping-particle":"","parse-names":false,"suffix":""},{"dropping-particle":"","family":"Shofiyani","given":"Anis","non-dropping-particle":"","parse-names":false,"suffix":""},{"dropping-particle":"","family":"Syahbanu","given":"Intan","non-dropping-particle":"","parse-names":false,"suffix":""}],"container-title":"Jurnal Kimia Khatulistiwa","id":"ITEM-1","issue":"3","issued":{"date-parts":[["2017"]]},"title":"Pemanfaatan limbah daun nanas (Ananas comosus) sebagai bahan dasar arang aktif untuk adsorpsi Fe (II)","type":"article-journal","volume":"6"},"uris":["http://www.mendeley.com/documents/?uuid=e4c12453-4552-47fd-935d-03dad8b1d281"]}],"mendeley":{"formattedCitation":"[14]","plainTextFormattedCitation":"[14]","previouslyFormattedCitation":"[14]"},"properties":{"noteIndex":0},"schema":"https://github.com/citation-style-language/schema/raw/master/csl-citation.json"}</w:instrTex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050235" w:rsidRPr="00050235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[14]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Perhitungan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bertujuan mengetahui sifat higroskopis dari karbon aktif, dimana umumnya karbon aktif memiliki sifat afinitas yang sangat besar terhadap air.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Sifat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yang sangat higrokopis inilah yang mengakibatkan karbon aktif digunakan sebagai absorben.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Temperatur dan lamanya waktu karbonisasi memberikan pengaruh yang signifikan terhadap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yang bisa diserap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(karbon aktif singkong)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Kadar air semakin menurun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 kenaikan temperatur dan lamanya waktu karbonisasi.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Terikatnya molekul air yang ada pada karbon aktif oleh aktivator menyebabkan pori-pori pada karbon aktif semakin besar.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 besar poripori maka luas permukaan karbon aktif semakin bertambah.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Hal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ini mengakibatkan meningkatnya kemampuan adsorpsi dari karbon aktif.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Selanjutnya, penentuan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abu bertujuan untuk mengetahui kandungan mineral yang tersisa dalam arang aktif karena bahan dasar pembuatan arang aktif tidak hanya mengandung senyawa karb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on saja </w:t>
      </w:r>
      <w:r w:rsidRP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melainkan terdapat beberapa mineral. </w:t>
      </w:r>
      <w:r w:rsidRPr="00050235"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Penetapan </w:t>
      </w:r>
      <w:proofErr w:type="gramStart"/>
      <w:r w:rsidRPr="00050235"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kadar</w:t>
      </w:r>
      <w:proofErr w:type="gramEnd"/>
      <w:r w:rsidRPr="00050235"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 abu bertujuan untuk </w:t>
      </w:r>
      <w:r w:rsidRPr="00050235"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 xml:space="preserve">mengetahui kandungan oksida logam </w:t>
      </w:r>
      <w:r w:rsidRPr="00050235">
        <w:rPr>
          <w:rFonts w:ascii="Tw Cen MT" w:eastAsia="SimSun" w:hAnsi="Tw Cen MT" w:cs="Arial"/>
          <w:color w:val="000000"/>
          <w:sz w:val="24"/>
          <w:szCs w:val="24"/>
          <w:lang w:eastAsia="zh-CN" w:bidi="ar"/>
        </w:rPr>
        <w:t>dalam karbon aktif (pengaruh suhu pemanasan)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Mineral umumnya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hilang pada saat proses karbonisasi serta aktivasi tetapi masih dimungkinkan terdapat kandungan yang tertinggal didalam pori-pori arang aktif. Kandungan abu akan mengakibatkan kualitas dari arang aktif turun menyebabkan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penyumbatan dar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i pori arang aktif sehingga akan mempengaruhi daya serap pada adsorpsi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2407-5973","author":[{"dropping-particle":"","family":"Kusdarini","given":"Esthi","non-dropping-particle":"","parse-names":false,"suffix":""},{"dropping-particle":"","family":"Budianto","given":"Agus","non-dropping-particle":"","parse-names":false,"suffix":""},{"dropping-particle":"","family":"Ghafarunnisa","given":"Desyana","non-dropping-particle":"","parse-names":false,"suffix":""}],"container-title":"Reaktor","id":"ITEM-1","issue":"2","issued":{"date-parts":[["2017"]]},"page":"74-80","publisher":"Dept. of Chemical Engineering, Diponegoro University","title":"Produksi karbon aktif dari batubara bituminus dengan aktivasi tunggal H3PO4, kombinasi H3PO4-NH4HCO3, dan termal","type":"article-journal","volume":"17"},"uris":["http://www.mendeley.com/documents/?uuid=9e8ec583-0cee-4aae-89a5-6f4f38a75fc9"]}],"mendeley":{"formattedCitation":"[15]","plainTextFormattedCitation":"[15]","previouslyFormattedCitation":"[15]"},"properties":{"noteIndex":0},"schema":"https://github.com/citation-style-language/schema/raw/master/csl-citation.json"}</w:instrTex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050235" w:rsidRPr="00050235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[15]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{"citationItems":[{"id":"ITEM-1","itemData":{"ISSN":"2540-9131","author":[{"dropping-particle":"","family":"Abdi","given":"Chairul","non-dropping-particle":"","parse-names":false,"suffix":""},{"dropping-particle":"","family":"Khair","given":"Riza Miftahul","non-dropping-particle":"","parse-names":false,"suffix":""},{"dropping-particle":"","family":"Saputra","given":"M Wahyuddin","non-dropping-particle":"","parse-names":false,"suffix":""}],"container-title":"Jukung (Jurnal Teknik Lingkungan)","id":"ITEM-1","issue":"1","issued":{"date-parts":[["2015"]]},"title":"Pemanfaatan limbah kulit pisang kepok (Musa acuminate L.) sebagai karbon aktif untuk pengolahan air sumur kota Banjarbaru: Fe Dan Mn","type":"article-journal","volume":"1"},"uris":["http://www.mendeley.com/documents/?uuid=dcf36b89-9360-45b6-a611-110e371c2f97"]}],"mendeley":{"formattedCitation":"[16]","plainTextFormattedCitation":"[16]","previouslyFormattedCitation":"[16]"},"properties":{"noteIndex":0},"schema":"https://github.com/citation-style-language/schema/raw/master/csl-citation.json"}</w:instrTex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050235" w:rsidRPr="00050235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[16]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</w:p>
    <w:p w:rsidR="00577117" w:rsidRDefault="003916D8" w:rsidP="00050235">
      <w:pPr>
        <w:spacing w:after="0"/>
        <w:ind w:firstLine="720"/>
        <w:jc w:val="both"/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Luas permukaan pada arang aktif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berkurang akibat dari penyumbatan pori tersebut. Berdasarkan hasil yang diperoleh dari proses kadar ab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 dengan 2 kali pengulangan sebesar 0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,0010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% dan pengulangan ke-2 sebesar 0,0010%. Hasil dari penentuan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abu yang diperoleh menyatakan bahwa sisa-sisa kandungan mineral dalam arang aktif yang diperoleh mengalami pembuangan pada saat proses aktivasi seh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ingga tidak mengalami penutupan pori pada arang aktif. Berdasarkan Standar Nasional Indonesia,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abu arang aktif kulit nanas masih masuk dalam rentang yang diperolehkan, yaitu maksimum 10%.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ab/>
      </w:r>
    </w:p>
    <w:p w:rsidR="00577117" w:rsidRDefault="003916D8">
      <w:pPr>
        <w:spacing w:after="0"/>
        <w:ind w:firstLine="720"/>
        <w:jc w:val="both"/>
        <w:rPr>
          <w:rFonts w:ascii="Tw Cen MT" w:hAnsi="Tw Cen MT" w:cs="Tw Cen MT"/>
          <w:sz w:val="24"/>
          <w:szCs w:val="24"/>
        </w:rPr>
      </w:pP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Penentuan daya serap iodin bertujuan untuk mengetahui kemamp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uan dari arang aktif untuk mengadsorpsi adsorbat.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Berdasarkan hasil penelitian daya serap iodin dari arang aktif kulit nanas yang dititrasi menggunakan natrium tiosulfat 0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,1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 dengan 2x pengulangan.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Pengulangan pertama sebesar 1,2mL kemudian titrasi kedua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setelah penambahan amilum 1% 2,4mL, dan pengulangan kedua sebesar 1,2mL selanjutnya ditambahkan amilum 1% menjadi 2,1mL.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Dengan daya serap iodium diperoleh hasil 365,6mg/g.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:rsidR="00577117" w:rsidRDefault="003916D8">
      <w:pPr>
        <w:spacing w:after="0"/>
        <w:ind w:firstLine="720"/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Tinggi rendahnya suatu daya serap arang aktif terhadap iodin menunjukkan jumlah mi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kropori yang terbentuk dalam arang aktif yang dihasilkan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2614-011X","author":[{"dropping-particle":"","family":"Rahman","given":"Abdul","non-dropping-particle":"","parse-names":false,"suffix":""},{"dropping-particle":"","family":"Aziz","given":"Rizal","non-dropping-particle":"","parse-names":false,"suffix":""},{"dropping-particle":"","family":"Indrawati","given":"Asmah","non-dropping-particle":"","parse-names":false,"suffix":""},{"dropping-particle":"","family":"Usman","given":"Muhammad","non-dropping-particle":"","parse-names":false,"suffix":""}],"container-title":"Agrotekma: Jurnal Agroteknologi dan Ilmu Pertanian","id":"ITEM-1","issue":"1","issued":{"date-parts":[["2020"]]},"page":"42-54","title":"Pemanfaatan Beberapa Jenis Arang Aktif sebagai Bahan Absorben Logam Berat Cadmium (Cd) pada Tanah Sedimen Drainase Kota Medan sebagai Media Tanam","type":"article-journal","volume":"5"},"uris":["http://www.mendeley.com/documents/?uuid=4e391aaf-cd8b-47b4-9e90-882474af2678"]}],"mendeley":{"formattedCitation":"[17]","plainTextFormattedCitation":"[17]","previouslyFormattedCitation":"[17]"},"properties":{"noteIndex":0},"schema":"https://github.com/citation-style-language/schema/raw/master/csl-citation.json"}</w:instrTex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050235" w:rsidRPr="00050235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[17]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Hal ini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terjadi jika angka iodin yang dihasilkan semakin besar maka suatu daya adsorpsi oleh adsorben terhadap adsorbat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 xml:space="preserve">akan semakin meningkat, sehingga iodium yang terserap akan lebih banyak.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Sebaliknya jika nilai iodin yang dihasilkan semakin kecil maka daya adsorpsi terhadap adsorben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semakin rendah terhadap adsorbat.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Daya adsorpsi karbon aktif terhadap iod memiliki korelasi dengan luas permukaan dari karbon aktif.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 besar angka iod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maka semakin besar kemampuannya dalam mengadsorpsi adsorbat atau zat terlarut.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Untuk bilangan Iodin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akan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semakin bertambah, daya serap terhadap Iod semakin besar dengan kenaikan suhu, ini berarti bahwa kualitas arang aktif akan semakin baik dalam penyerap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an. Luas area permukaan pori merupakan suatu parameter yang sangat penting dalam menentukan kualitas dari suatu karbon aktif sebagai adsorben</w: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{"citationItems":[{"id":"ITEM-1","itemData":{"ISSN":"2477-8451","author":[{"dropping-particle":"","family":"Laos","given":"Landiana Etni","non-dropping-particle":"","parse-names":false,"suffix":""}],"container-title":"JIPF (Jurnal Ilmu Pendidikan Fisika)","id":"ITEM-1","issue":"1","issued":{"date-parts":[["2016"]]},"page":"32-36","title":"Pemanfaatan kulit singkong sebagai bahan baku karbon aktif","type":"article-journal","volume":"1"},"uris":["http://www.mendeley.com/documents/?uuid=8adf4406-4de2-4376-80d5-5b611a1d09b8"]}],"mendeley":{"formattedCitation":"[18]","plainTextFormattedCitation":"[18]","previouslyFormattedCitation":"[18]"},"properties":{"noteIndex":0},"schema":"https://github.com/citation-style-language/schema/raw/master/csl-citation.json"}</w:instrTex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C6DF3" w:rsidRPr="00FC6DF3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[18]</w: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Hal ini disebabkan karena luas area permukaan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pori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merupakan salah satu faktor yang mempengaruhi daya adsorpsi da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ri suatu adsorben.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Kereaktifan dari karbon aktif dapat dilihat dari kemampuannya mengadsorpsi substrat.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Daya adsorpsi tersebut dapat ditunjukkan dengan besarnya angka iod yaitu angka yang menunjukkan seberapa besar 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adsorben dapat mengadsorpsi iod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Syahrir","given":"Irmawati","non-dropping-particle":"","parse-names":false,"suffix":""},{"dropping-particle":"","family":"Sahraeni","given":"Sitti","non-dropping-particle":"","parse-names":false,"suffix":""},{"dropping-particle":"","family":"Kurniawan","given":"Andri","non-dropping-particle":"","parse-names":false,"suffix":""},{"dropping-particle":"","family":"Syaifuddin","given":"Putri Fatmawati","non-dropping-particle":"","parse-names":false,"suffix":""}],"container-title":"Seminar Nasional Hasil Penelitian &amp; Pengabdian Kepada Masyarakat (SNP2M)","id":"ITEM-1","issued":{"date-parts":[["2019"]]},"page":"88-93","title":"Efektivitas Pemurnian Minyak Goreng Bekas dengan Adsorben Arang Aktif Sabut Kelapa dan Ekstrak Bawang Merah","type":"paper-conference"},"uris":["http://www.mendeley.com/documents/?uuid=2f3b4010-7846-46da-9e43-e8a75f40c1eb"]}],"mendeley":{"formattedCitation":"[19]","plainTextFormattedCitation":"[19]","previouslyFormattedCitation":"[19]"},"properties":{"noteIndex":0},"schema":"https://github.com/citation-style-language/schema/raw/master/csl-citation.json"}</w:instrTex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C6DF3" w:rsidRPr="00FC6DF3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[19]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 besar nilai angka iod maka semakin besar pula daya adsorpsi dari adsorben.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Penambahan larutan iod berfungsi sebagai adsorbat yang akan diserap oleh karbon aktif sebagai adsorbennya</w: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5C69DB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ISSN":"2580-5436","author":[{"dropping-particle":"","family":"Dewi","given":"Rozanna","non-dropping-particle":"","parse-names":false,"suffix":""},{"dropping-particle":"","family":"Azhari","given":"Azhari","non-dropping-particle":"","parse-names":false,"suffix":""},{"dropping-particle":"","family":"Nofriadi","given":"Indra","non-dropping-particle":"","parse-names":false,"suffix":""}],"container-title":"Jurnal Teknologi Kimia Unimal","id":"ITEM-1","issue":"2","issued":{"date-parts":[["2021"]]},"page":"12-22","title":"Aktivasi karbon dari kulit pinang dengan menggunakan aktivator kimia KOH","type":"article-journal","volume":"9"},"uris":["http://www.mendeley.com/documents/?uuid=83be1055-a818-41d9-8f35-378cc34499a4"]}],"mendeley":{"formattedCitation":"[20]","plainTextFormattedCitation":"[20]","previouslyFormattedCitation":"[20]"},"properties":{"noteIndex":0},"schema":"https://github.com/citation-style-language/schema/raw/master/csl-citation.json"}</w:instrTex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FC6DF3" w:rsidRPr="00FC6DF3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[20]</w:t>
      </w:r>
      <w:r w:rsidR="00FC6DF3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Terserapnya larutan iod ditunju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kkan dengan adanya pengurangan konsentrasi larutan iod.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Pengukuran konsentrasi iod sisa dapat dilakukan dengan menitrasi larutan iod dengan natrium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lastRenderedPageBreak/>
        <w:t>triosulfat 0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,1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N dan indikator yang digunakan yaitu amilum.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Peningkatan bilangan Iod terjadi sebagai akibat 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 banyaknya pengotor yang terlepas dari permukaan karbon aktif.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Seiring dengan peningkatan suhu, pengotor-pengotor yang mulanya terdapat pada bagian pori dan menutupi pori, ikut terlepas atau teruapkan sehinggga me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mperluas permukaan karbon aktif 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begin" w:fldLock="1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instrText>ADDIN CSL_CITATION {"citationItems":[{"id":"ITEM-1","itemData":{"author":[{"dropping-particle":"","family":"Setiawan","given":"Ab Ari","non-dropping-particle":"","parse-names":false,"suffix":""},{"dropping-particle":"","family":"Shofiyani","given":"Anis","non-dropping-particle":"","parse-names":false,"suffix":""},{"dropping-particle":"","family":"Syahbanu","given":"Intan","non-dropping-particle":"","parse-names":false,"suffix":""}],"container-title":"Jurnal Kimia Khatulistiwa","id":"ITEM-1","issue":"3","issued":{"date-parts":[["2017"]]},"title":"Pemanfaatan limbah daun nanas (Ananas comosus) sebagai bahan dasar arang aktif untuk adsorpsi Fe (II)","type":"article-journal","volume":"6"},"uris":["http://www.mendeley.com/documents/?uuid=e4c12453-4552-47fd-935d-03dad8b1d281"]}],"mendeley":{"formattedCitation":"[14]","plainTextFormattedCitation":"[14]","previouslyFormattedCitation":"[14]"},"properties":{"noteIndex":0},"schema":"https://github.com/citation-style-language/schema/raw/master/csl-citation.json"}</w:instrTex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separate"/>
      </w:r>
      <w:r w:rsidR="00050235" w:rsidRPr="00050235">
        <w:rPr>
          <w:rFonts w:ascii="Tw Cen MT" w:eastAsia="SimSun" w:hAnsi="Tw Cen MT" w:cs="Tw Cen MT"/>
          <w:noProof/>
          <w:color w:val="000000"/>
          <w:sz w:val="24"/>
          <w:szCs w:val="24"/>
          <w:lang w:eastAsia="zh-CN" w:bidi="ar"/>
        </w:rPr>
        <w:t>[14]</w:t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fldChar w:fldCharType="end"/>
      </w:r>
      <w:r w:rsidR="00050235"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.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Semakin besar luas permukaan karbon aktif maka semakin besar kemampuan adsorpsi karbon aktif.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</w:t>
      </w:r>
    </w:p>
    <w:p w:rsidR="00577117" w:rsidRDefault="00577117">
      <w:pPr>
        <w:spacing w:after="0" w:line="36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</w:p>
    <w:p w:rsidR="00577117" w:rsidRDefault="003916D8">
      <w:pPr>
        <w:spacing w:after="0" w:line="360" w:lineRule="auto"/>
        <w:jc w:val="both"/>
        <w:rPr>
          <w:rFonts w:ascii="Tw Cen MT" w:eastAsia="Twentieth Century" w:hAnsi="Tw Cen MT" w:cs="Tw Cen MT"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>SIMPULAN</w:t>
      </w:r>
    </w:p>
    <w:p w:rsidR="00577117" w:rsidRDefault="003916D8">
      <w:pPr>
        <w:jc w:val="both"/>
        <w:rPr>
          <w:rFonts w:ascii="Tw Cen MT" w:hAnsi="Tw Cen MT" w:cs="Tw Cen MT"/>
          <w:sz w:val="24"/>
          <w:szCs w:val="24"/>
        </w:rPr>
      </w:pP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Berdasarkan hasil penelitian yang telah dilakukan didapatkan kesimpulan bahwa arang aktif yang dibuat dari limbah kulit nanas memiliki 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kada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r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air dan kadar abu yang memenuhi Standar Nasional Indonesia (SNI) 06-3703-1995. Sedangkan daya serap iodin yang didapatkan adalah 365</w:t>
      </w:r>
      <w:proofErr w:type="gramStart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,6</w:t>
      </w:r>
      <w:proofErr w:type="gramEnd"/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 xml:space="preserve"> mg/g memenuhi syarat SNI.</w:t>
      </w:r>
    </w:p>
    <w:p w:rsidR="00577117" w:rsidRDefault="003916D8">
      <w:pPr>
        <w:tabs>
          <w:tab w:val="left" w:pos="426"/>
        </w:tabs>
        <w:spacing w:after="0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 xml:space="preserve">UCAPAN TERIMA KASIH </w:t>
      </w:r>
    </w:p>
    <w:p w:rsidR="00577117" w:rsidRDefault="003916D8">
      <w:pPr>
        <w:tabs>
          <w:tab w:val="left" w:pos="426"/>
        </w:tabs>
        <w:spacing w:after="0"/>
        <w:jc w:val="both"/>
        <w:rPr>
          <w:rFonts w:ascii="Tw Cen MT" w:eastAsia="Twentieth Century" w:hAnsi="Tw Cen MT" w:cs="Tw Cen MT"/>
          <w:sz w:val="24"/>
          <w:szCs w:val="24"/>
        </w:rPr>
      </w:pPr>
      <w:proofErr w:type="gramStart"/>
      <w:r>
        <w:rPr>
          <w:rFonts w:ascii="Tw Cen MT" w:eastAsia="Twentieth Century" w:hAnsi="Tw Cen MT" w:cs="Tw Cen MT"/>
          <w:sz w:val="24"/>
          <w:szCs w:val="24"/>
        </w:rPr>
        <w:t>Ucapan terima kasih penulis sampaikan kepada prodi D III Anafarma dan Sa</w:t>
      </w:r>
      <w:r>
        <w:rPr>
          <w:rFonts w:ascii="Tw Cen MT" w:eastAsia="Twentieth Century" w:hAnsi="Tw Cen MT" w:cs="Tw Cen MT"/>
          <w:sz w:val="24"/>
          <w:szCs w:val="24"/>
        </w:rPr>
        <w:t>rjana Farmasi Universitas Abdurrab serta mahasiswa yang telah membantu demi kelancaran pelaksanaan penelitian ini.</w:t>
      </w:r>
      <w:proofErr w:type="gramEnd"/>
      <w:r>
        <w:rPr>
          <w:rFonts w:ascii="Tw Cen MT" w:eastAsia="Twentieth Century" w:hAnsi="Tw Cen MT" w:cs="Tw Cen MT"/>
          <w:sz w:val="24"/>
          <w:szCs w:val="24"/>
        </w:rPr>
        <w:t xml:space="preserve"> </w:t>
      </w:r>
    </w:p>
    <w:p w:rsidR="00577117" w:rsidRDefault="00577117">
      <w:pPr>
        <w:spacing w:after="0" w:line="240" w:lineRule="auto"/>
        <w:jc w:val="both"/>
        <w:rPr>
          <w:rFonts w:ascii="Tw Cen MT" w:eastAsia="Twentieth Century" w:hAnsi="Tw Cen MT" w:cs="Tw Cen MT"/>
          <w:b/>
          <w:sz w:val="24"/>
          <w:szCs w:val="24"/>
        </w:rPr>
      </w:pPr>
    </w:p>
    <w:p w:rsidR="00577117" w:rsidRDefault="003916D8">
      <w:pPr>
        <w:tabs>
          <w:tab w:val="left" w:pos="426"/>
        </w:tabs>
        <w:spacing w:after="0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t>DAFTAR PUSTAK</w:t>
      </w:r>
      <w:r w:rsidR="005C69DB">
        <w:rPr>
          <w:rFonts w:ascii="Tw Cen MT" w:eastAsia="Twentieth Century" w:hAnsi="Tw Cen MT" w:cs="Tw Cen MT"/>
          <w:b/>
          <w:sz w:val="24"/>
          <w:szCs w:val="24"/>
        </w:rPr>
        <w:t>A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fldChar w:fldCharType="begin" w:fldLock="1"/>
      </w:r>
      <w:r>
        <w:rPr>
          <w:rFonts w:ascii="Tw Cen MT" w:eastAsia="Twentieth Century" w:hAnsi="Tw Cen MT" w:cs="Tw Cen MT"/>
          <w:b/>
          <w:sz w:val="24"/>
          <w:szCs w:val="24"/>
        </w:rPr>
        <w:instrText xml:space="preserve">ADDIN Mendeley Bibliography CSL_BIBLIOGRAPHY </w:instrText>
      </w:r>
      <w:r>
        <w:rPr>
          <w:rFonts w:ascii="Tw Cen MT" w:eastAsia="Twentieth Century" w:hAnsi="Tw Cen MT" w:cs="Tw Cen MT"/>
          <w:b/>
          <w:sz w:val="24"/>
          <w:szCs w:val="24"/>
        </w:rPr>
        <w:fldChar w:fldCharType="separate"/>
      </w:r>
      <w:r w:rsidRPr="005C69DB">
        <w:rPr>
          <w:rFonts w:ascii="Tw Cen MT" w:hAnsi="Tw Cen MT" w:cs="Times New Roman"/>
          <w:noProof/>
          <w:sz w:val="24"/>
          <w:szCs w:val="24"/>
        </w:rPr>
        <w:t>[1]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L. Rahmidar, S. Wahidiniawati, and T. Sudiarti, “Pembuatan dan karakterisasi metil selulosa dari bonggol dan kulit nanas (Ananas comosus),”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Alotrop</w:t>
      </w:r>
      <w:r w:rsidRPr="005C69DB">
        <w:rPr>
          <w:rFonts w:ascii="Tw Cen MT" w:hAnsi="Tw Cen MT" w:cs="Times New Roman"/>
          <w:noProof/>
          <w:sz w:val="24"/>
          <w:szCs w:val="24"/>
        </w:rPr>
        <w:t>, vol. 2, no. 1, 2018.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[2]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I. Maulana, A. Iryani, and H. Nashrianto, “Pemanfaatan Ampas Teh Sebagai Adsorben Ion Kalsium (Ca </w:t>
      </w:r>
      <w:r w:rsidRPr="005C69DB">
        <w:rPr>
          <w:rFonts w:ascii="Tw Cen MT" w:hAnsi="Tw Cen MT" w:cs="Times New Roman"/>
          <w:noProof/>
          <w:sz w:val="24"/>
          <w:szCs w:val="24"/>
        </w:rPr>
        <w:lastRenderedPageBreak/>
        <w:t xml:space="preserve">2+) dan Ion Magnesium (Mg 2+) Dalam Air Sadah,”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ResearchGate,(June)</w:t>
      </w:r>
      <w:r w:rsidRPr="005C69DB">
        <w:rPr>
          <w:rFonts w:ascii="Tw Cen MT" w:hAnsi="Tw Cen MT" w:cs="Times New Roman"/>
          <w:noProof/>
          <w:sz w:val="24"/>
          <w:szCs w:val="24"/>
        </w:rPr>
        <w:t>, pp. 1–7, 2017.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[3]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K. Kardiman and R. Rasyid, “Pembuatan Adsorben dari Sabut Kelapa sebagai Penyerap Logam Berat Pb (II),”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ILTEK J. Teknol.</w:t>
      </w:r>
      <w:r w:rsidRPr="005C69DB">
        <w:rPr>
          <w:rFonts w:ascii="Tw Cen MT" w:hAnsi="Tw Cen MT" w:cs="Times New Roman"/>
          <w:noProof/>
          <w:sz w:val="24"/>
          <w:szCs w:val="24"/>
        </w:rPr>
        <w:t>, vol. 14, no. 2, pp. 2083–2087, 2019.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[4]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I. Irmanto and S. Suyata, “Optimasi Penurunan Nilai BOD, COD dan TSS Limbah Cair Industri Tapioka Menggunakan Arang Aktif dari Ampas Kopi,”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Molekul</w:t>
      </w:r>
      <w:r w:rsidRPr="005C69DB">
        <w:rPr>
          <w:rFonts w:ascii="Tw Cen MT" w:hAnsi="Tw Cen MT" w:cs="Times New Roman"/>
          <w:noProof/>
          <w:sz w:val="24"/>
          <w:szCs w:val="24"/>
        </w:rPr>
        <w:t>, vol. 5, no. 1, pp. 22–32, 2010.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[5]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R. Sudradjat,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Arang aktif: teknologi pengolahan dan masa depannya</w:t>
      </w:r>
      <w:r w:rsidRPr="005C69DB">
        <w:rPr>
          <w:rFonts w:ascii="Tw Cen MT" w:hAnsi="Tw Cen MT" w:cs="Times New Roman"/>
          <w:noProof/>
          <w:sz w:val="24"/>
          <w:szCs w:val="24"/>
        </w:rPr>
        <w:t>. Badan Penelitian dan Pengembangan Kehutanan, 2011.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[6]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S. N. Indonesia, “SNI 06-3730-1995: Arang aktif teknis,”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Jakarta Badan Stand. Nas.</w:t>
      </w:r>
      <w:r w:rsidRPr="005C69DB">
        <w:rPr>
          <w:rFonts w:ascii="Tw Cen MT" w:hAnsi="Tw Cen MT" w:cs="Times New Roman"/>
          <w:noProof/>
          <w:sz w:val="24"/>
          <w:szCs w:val="24"/>
        </w:rPr>
        <w:t>, 1995.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[7]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F. Ogata, H. Tominaga, H. Yabutani, and N. Kawasaki, “Removal of fluoride ions from water by adsorption onto carbonaceous materials produced from coffee grounds,”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J. Oleo Sci.</w:t>
      </w:r>
      <w:r w:rsidRPr="005C69DB">
        <w:rPr>
          <w:rFonts w:ascii="Tw Cen MT" w:hAnsi="Tw Cen MT" w:cs="Times New Roman"/>
          <w:noProof/>
          <w:sz w:val="24"/>
          <w:szCs w:val="24"/>
        </w:rPr>
        <w:t>, vol. 60, no. 12, pp. 619–625, 2011.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[8]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L. O. E. Agwaramgbo, S. Zulpo, and S. O. Lira, “Competitive adsorption of Cu (II) and Zn (II) from binary heavy metal solutions by coffee waste,”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Curr. J. Appl. Sci. Technol.</w:t>
      </w:r>
      <w:r w:rsidRPr="005C69DB">
        <w:rPr>
          <w:rFonts w:ascii="Tw Cen MT" w:hAnsi="Tw Cen MT" w:cs="Times New Roman"/>
          <w:noProof/>
          <w:sz w:val="24"/>
          <w:szCs w:val="24"/>
        </w:rPr>
        <w:t>, vol. 19, no. 4, pp. 1–9, 2017.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[9]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M. H. Dahlan, H. P. Siregar, and M. Yusra, “Penggunaan karbon aktif dari biji kelor dapat memurnikan minyak jelantah,”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J. Tek. Kim.</w:t>
      </w:r>
      <w:r w:rsidRPr="005C69DB">
        <w:rPr>
          <w:rFonts w:ascii="Tw Cen MT" w:hAnsi="Tw Cen MT" w:cs="Times New Roman"/>
          <w:noProof/>
          <w:sz w:val="24"/>
          <w:szCs w:val="24"/>
        </w:rPr>
        <w:t>, vol. 19, no. 3, 2013.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[10]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H. Alfiany, S. Bahri, and N. Nurakhirawati, “Kajian penggunaan arang aktif tongkol jagung sebagai adsorben logam Pb dengan beberapa aktivator asam,”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Nat. Sci. J. Sci. Technol.</w:t>
      </w:r>
      <w:r w:rsidRPr="005C69DB">
        <w:rPr>
          <w:rFonts w:ascii="Tw Cen MT" w:hAnsi="Tw Cen MT" w:cs="Times New Roman"/>
          <w:noProof/>
          <w:sz w:val="24"/>
          <w:szCs w:val="24"/>
        </w:rPr>
        <w:t>, vol. 2, no. 3, 2013.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[11]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A. HARIS, O. NURHILAL, and S. R. I. SURYANINGSIH, “PENGARUH </w:t>
      </w:r>
      <w:r w:rsidRPr="005C69DB">
        <w:rPr>
          <w:rFonts w:ascii="Tw Cen MT" w:hAnsi="Tw Cen MT" w:cs="Times New Roman"/>
          <w:noProof/>
          <w:sz w:val="24"/>
          <w:szCs w:val="24"/>
        </w:rPr>
        <w:lastRenderedPageBreak/>
        <w:t xml:space="preserve">KONSENTRASI AKTIVATOR TERHADAP DAYA SERAP IODIN ARANG AKTIF DARI LIMBAH DAUN KI SABUN DAN DAUN MAHONI (SWIETENIA MAHAGONI),”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J. Mater. dan Energi Indones.</w:t>
      </w:r>
      <w:r w:rsidRPr="005C69DB">
        <w:rPr>
          <w:rFonts w:ascii="Tw Cen MT" w:hAnsi="Tw Cen MT" w:cs="Times New Roman"/>
          <w:noProof/>
          <w:sz w:val="24"/>
          <w:szCs w:val="24"/>
        </w:rPr>
        <w:t>, vol. 9, no. 01, pp. 1–7, 2019.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[12]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E. Erawati and A. Fernando, “Pengaruh jenis aktivator dan ukuran karbon aktif terhadap pembuatan adsorbent dari serbik gergaji kayu sengon (Paraserianthes Falcataria),”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J. Integr. Proses</w:t>
      </w:r>
      <w:r w:rsidRPr="005C69DB">
        <w:rPr>
          <w:rFonts w:ascii="Tw Cen MT" w:hAnsi="Tw Cen MT" w:cs="Times New Roman"/>
          <w:noProof/>
          <w:sz w:val="24"/>
          <w:szCs w:val="24"/>
        </w:rPr>
        <w:t>, vol. 7, no. 2, pp. 58–66, 2018.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[13]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D. K. Sari and M. I. Sari, “K KARAKTERISTIK KARBON AKTIF DARI LIMBAH DAUN NANAS (Ananas comosus) DENGAN AKTIVATOR H3PO4 1 M,”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J. Tek. Patra Akad.</w:t>
      </w:r>
      <w:r w:rsidRPr="005C69DB">
        <w:rPr>
          <w:rFonts w:ascii="Tw Cen MT" w:hAnsi="Tw Cen MT" w:cs="Times New Roman"/>
          <w:noProof/>
          <w:sz w:val="24"/>
          <w:szCs w:val="24"/>
        </w:rPr>
        <w:t>, vol. 12, no. 01, pp. 51–56, 2021.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[14]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A. A. Setiawan, A. Shofiyani, and I. Syahbanu, “Pemanfaatan limbah daun nanas (Ananas comosus) sebagai bahan dasar arang aktif untuk adsorpsi Fe (II),”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J. Kim. Khatulistiwa</w:t>
      </w:r>
      <w:r w:rsidRPr="005C69DB">
        <w:rPr>
          <w:rFonts w:ascii="Tw Cen MT" w:hAnsi="Tw Cen MT" w:cs="Times New Roman"/>
          <w:noProof/>
          <w:sz w:val="24"/>
          <w:szCs w:val="24"/>
        </w:rPr>
        <w:t>, vol. 6, no. 3, 2017.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[15]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E. Kusdarini, A. Budianto, and D. Ghafarunnisa, “Produksi karbon aktif dari batubara bituminus dengan aktivasi tunggal H3PO4, kombinasi H3PO4-NH4HCO3, dan termal,”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Reaktor</w:t>
      </w:r>
      <w:r w:rsidRPr="005C69DB">
        <w:rPr>
          <w:rFonts w:ascii="Tw Cen MT" w:hAnsi="Tw Cen MT" w:cs="Times New Roman"/>
          <w:noProof/>
          <w:sz w:val="24"/>
          <w:szCs w:val="24"/>
        </w:rPr>
        <w:t>, vol. 17, no. 2, pp. 74–80, 2017.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[16]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C. Abdi, R. M. Khair, and M. W. Saputra, “Pemanfaatan limbah kulit pisang kepok (Musa acuminate L.) sebagai karbon aktif untuk pengolahan air sumur kota Banjarbaru: Fe Dan Mn,”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Jukung (Jurnal Tek. Lingkungan)</w:t>
      </w:r>
      <w:r w:rsidRPr="005C69DB">
        <w:rPr>
          <w:rFonts w:ascii="Tw Cen MT" w:hAnsi="Tw Cen MT" w:cs="Times New Roman"/>
          <w:noProof/>
          <w:sz w:val="24"/>
          <w:szCs w:val="24"/>
        </w:rPr>
        <w:t>, vol. 1, no. 1, 2015.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[17]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A. Rahman, R. Aziz, A. Indrawati, and M. Usman, “Pemanfaatan Beberapa Jenis Arang Aktif sebagai Bahan Absorben Logam Berat Cadmium (Cd) pada Tanah Sedimen Drainase Kota Medan sebagai Media Tanam,”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lastRenderedPageBreak/>
        <w:t>Agrotekma J. Agroteknologi dan Ilmu Pertan.</w:t>
      </w:r>
      <w:r w:rsidRPr="005C69DB">
        <w:rPr>
          <w:rFonts w:ascii="Tw Cen MT" w:hAnsi="Tw Cen MT" w:cs="Times New Roman"/>
          <w:noProof/>
          <w:sz w:val="24"/>
          <w:szCs w:val="24"/>
        </w:rPr>
        <w:t>, vol. 5, no. 1, pp. 42–54, 2020.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[18]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L. E. Laos, “Pemanfaatan kulit singkong sebagai bahan baku karbon aktif,”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JIPF (Jurnal Ilmu Pendidik. Fis.</w:t>
      </w:r>
      <w:r w:rsidRPr="005C69DB">
        <w:rPr>
          <w:rFonts w:ascii="Tw Cen MT" w:hAnsi="Tw Cen MT" w:cs="Times New Roman"/>
          <w:noProof/>
          <w:sz w:val="24"/>
          <w:szCs w:val="24"/>
        </w:rPr>
        <w:t>, vol. 1, no. 1, pp. 32–36, 2016.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 w:cs="Times New Roman"/>
          <w:noProof/>
          <w:sz w:val="24"/>
          <w:szCs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[19]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I. Syahrir, S. Sahraeni, A. Kurniawan, and P. F. Syaifuddin, “Efektivitas Pemurnian Minyak Goreng Bekas dengan Adsorben Arang Aktif Sabut Kelapa dan Ekstrak Bawang Merah,” in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Seminar Nasional Hasil Penelitian &amp; Pengabdian Kepada Masyarakat (SNP2M)</w:t>
      </w:r>
      <w:r w:rsidRPr="005C69DB">
        <w:rPr>
          <w:rFonts w:ascii="Tw Cen MT" w:hAnsi="Tw Cen MT" w:cs="Times New Roman"/>
          <w:noProof/>
          <w:sz w:val="24"/>
          <w:szCs w:val="24"/>
        </w:rPr>
        <w:t>, 2019, pp. 88–93.</w:t>
      </w:r>
    </w:p>
    <w:p w:rsidR="005C69DB" w:rsidRPr="005C69DB" w:rsidRDefault="005C69DB" w:rsidP="005C69DB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w Cen MT" w:hAnsi="Tw Cen MT"/>
          <w:noProof/>
          <w:sz w:val="24"/>
        </w:rPr>
      </w:pPr>
      <w:r w:rsidRPr="005C69DB">
        <w:rPr>
          <w:rFonts w:ascii="Tw Cen MT" w:hAnsi="Tw Cen MT" w:cs="Times New Roman"/>
          <w:noProof/>
          <w:sz w:val="24"/>
          <w:szCs w:val="24"/>
        </w:rPr>
        <w:t>[20]</w:t>
      </w:r>
      <w:r w:rsidRPr="005C69DB">
        <w:rPr>
          <w:rFonts w:ascii="Tw Cen MT" w:hAnsi="Tw Cen MT" w:cs="Times New Roman"/>
          <w:noProof/>
          <w:sz w:val="24"/>
          <w:szCs w:val="24"/>
        </w:rPr>
        <w:tab/>
        <w:t xml:space="preserve">R. Dewi, A. Azhari, and I. Nofriadi, “Aktivasi karbon dari kulit pinang dengan menggunakan aktivator kimia KOH,” </w:t>
      </w:r>
      <w:r w:rsidRPr="005C69DB">
        <w:rPr>
          <w:rFonts w:ascii="Tw Cen MT" w:hAnsi="Tw Cen MT" w:cs="Times New Roman"/>
          <w:i/>
          <w:iCs/>
          <w:noProof/>
          <w:sz w:val="24"/>
          <w:szCs w:val="24"/>
        </w:rPr>
        <w:t>J. Teknol. Kim. Unimal</w:t>
      </w:r>
      <w:r w:rsidRPr="005C69DB">
        <w:rPr>
          <w:rFonts w:ascii="Tw Cen MT" w:hAnsi="Tw Cen MT" w:cs="Times New Roman"/>
          <w:noProof/>
          <w:sz w:val="24"/>
          <w:szCs w:val="24"/>
        </w:rPr>
        <w:t>, vol. 9, no. 2, pp. 12–22, 2021.</w:t>
      </w:r>
    </w:p>
    <w:p w:rsidR="00FC6DF3" w:rsidRDefault="005C69DB">
      <w:pPr>
        <w:tabs>
          <w:tab w:val="left" w:pos="426"/>
        </w:tabs>
        <w:spacing w:after="0"/>
        <w:jc w:val="both"/>
        <w:rPr>
          <w:rFonts w:ascii="Tw Cen MT" w:eastAsia="Twentieth Century" w:hAnsi="Tw Cen MT" w:cs="Tw Cen MT"/>
          <w:b/>
          <w:sz w:val="24"/>
          <w:szCs w:val="24"/>
        </w:rPr>
      </w:pPr>
      <w:r>
        <w:rPr>
          <w:rFonts w:ascii="Tw Cen MT" w:eastAsia="Twentieth Century" w:hAnsi="Tw Cen MT" w:cs="Tw Cen MT"/>
          <w:b/>
          <w:sz w:val="24"/>
          <w:szCs w:val="24"/>
        </w:rPr>
        <w:fldChar w:fldCharType="end"/>
      </w:r>
    </w:p>
    <w:p w:rsidR="00577117" w:rsidRDefault="00577117">
      <w:pPr>
        <w:spacing w:after="0"/>
        <w:jc w:val="both"/>
        <w:rPr>
          <w:rFonts w:ascii="Times New Roman" w:eastAsia="Twentieth Century" w:hAnsi="Times New Roman" w:cs="Times New Roman"/>
          <w:sz w:val="24"/>
          <w:szCs w:val="24"/>
        </w:rPr>
      </w:pPr>
      <w:bookmarkStart w:id="1" w:name="_GoBack"/>
      <w:bookmarkEnd w:id="1"/>
    </w:p>
    <w:sectPr w:rsidR="00577117">
      <w:headerReference w:type="default" r:id="rId17"/>
      <w:footerReference w:type="default" r:id="rId18"/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/>
      </w:cols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0DA73E6" w15:done="0"/>
  <w15:commentEx w15:paraId="162804F9" w15:done="0"/>
  <w15:commentEx w15:paraId="428064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6D8" w:rsidRDefault="003916D8">
      <w:pPr>
        <w:spacing w:line="240" w:lineRule="auto"/>
      </w:pPr>
      <w:r>
        <w:separator/>
      </w:r>
    </w:p>
  </w:endnote>
  <w:endnote w:type="continuationSeparator" w:id="0">
    <w:p w:rsidR="003916D8" w:rsidRDefault="00391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wentieth Century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NewRomanPS-ItalicMT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17" w:rsidRDefault="003916D8">
    <w:pP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20"/>
        <w:szCs w:val="20"/>
      </w:rPr>
    </w:pP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Coresponden Name and email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-215265</wp:posOffset>
              </wp:positionV>
              <wp:extent cx="5985510" cy="5715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32" type="#_x0000_t32" style="position:absolute;left:0pt;margin-left:-0.95pt;margin-top:-16.95pt;height:4.5pt;width:471.3pt;z-index:251662336;mso-width-relative:page;mso-height-relative:page;" filled="f" stroked="t" coordsize="21600,21600" o:gfxdata="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bVlfPZAAAACgEAAA8AAAAAAAAAAQAgAAAAIgAAAGRycy9kb3ducmV2&#10;LnhtbFBLAQIUABQAAAAIAIdO4kByezSc+wEAAA0EAAAOAAAAAAAAAAEAIAAAACgBAABkcnMvZTJv&#10;RG9jLnhtbFBLBQYAAAAABgAGAFkBAACVBQAAAAA=&#10;">
              <v:fill on="f" focussize="0,0"/>
              <v:stroke weight="2.2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:rsidR="00577117" w:rsidRDefault="003916D8">
    <w:pP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4406900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7" name="Rectangle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7117" w:rsidRDefault="003916D8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* Arabic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347pt;margin-top:0pt;height:32.65pt;width:120.3pt;z-index:251662336;mso-width-relative:page;mso-height-relative:page;" filled="f" stroked="f" coordsize="21600,21600" o:gfxdata="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Lbs8dQAAAAH&#10;AQAADwAAAAAAAAABACAAAAAiAAAAZHJzL2Rvd25yZXYueG1sUEsBAhQAFAAAAAgAh07iQHz9ozLn&#10;AQAAz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wentieth Century" w:hAnsi="Twentieth Century" w:eastAsia="Twentieth Century" w:cs="Twentieth Century"/>
                        <w:color w:val="000000"/>
                        <w:sz w:val="20"/>
                      </w:rPr>
                      <w:t xml:space="preserve"> PAGE  \* Arabic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17" w:rsidRDefault="003916D8">
    <w:pP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20"/>
        <w:szCs w:val="20"/>
      </w:rPr>
    </w:pP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Coresponden Name and email 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-215265</wp:posOffset>
              </wp:positionV>
              <wp:extent cx="5985510" cy="57150"/>
              <wp:effectExtent l="0" t="0" r="0" b="0"/>
              <wp:wrapNone/>
              <wp:docPr id="67" name="Straight Arrow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32" type="#_x0000_t32" style="position:absolute;left:0pt;margin-left:-0.95pt;margin-top:-16.95pt;height:4.5pt;width:471.3pt;z-index:251660288;mso-width-relative:page;mso-height-relative:page;" filled="f" stroked="t" coordsize="21600,21600" o:gfxdata="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W1ZXz2QAAAAoBAAAPAAAAAAAAAAEAIAAAACIAAABkcnMvZG93bnJl&#10;di54bWxQSwECFAAUAAAACACHTuJAT05s3vwBAAAPBAAADgAAAAAAAAABACAAAAAoAQAAZHJzL2Uy&#10;b0RvYy54bWxQSwUGAAAAAAYABgBZAQAAlgUAAAAA&#10;">
              <v:fill on="f" focussize="0,0"/>
              <v:stroke weight="2.2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:rsidR="00577117" w:rsidRDefault="003916D8">
    <w:pP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4406900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68" name="Rectangles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77117" w:rsidRDefault="003916D8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* Arabic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347pt;margin-top:0pt;height:32.65pt;width:120.3pt;z-index:251660288;mso-width-relative:page;mso-height-relative:page;" filled="f" stroked="f" coordsize="21600,21600" o:gfxdata="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tuzx1AAA&#10;AAcBAAAPAAAAAAAAAAEAIAAAACIAAABkcnMvZG93bnJldi54bWxQSwECFAAUAAAACACHTuJA+iZf&#10;x+kBAADRAwAADgAAAAAAAAABACAAAAAjAQAAZHJzL2Uyb0RvYy54bWxQSwUGAAAAAAYABgBZAQAA&#10;fgUAAAAA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spacing w:after="0" w:line="240" w:lineRule="auto"/>
                      <w:jc w:val="right"/>
                    </w:pPr>
                    <w:r>
                      <w:rPr>
                        <w:rFonts w:ascii="Twentieth Century" w:hAnsi="Twentieth Century" w:eastAsia="Twentieth Century" w:cs="Twentieth Century"/>
                        <w:color w:val="000000"/>
                        <w:sz w:val="20"/>
                      </w:rPr>
                      <w:t xml:space="preserve"> PAGE  \* Arabic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6D8" w:rsidRDefault="003916D8">
      <w:pPr>
        <w:spacing w:after="0"/>
      </w:pPr>
      <w:r>
        <w:separator/>
      </w:r>
    </w:p>
  </w:footnote>
  <w:footnote w:type="continuationSeparator" w:id="0">
    <w:p w:rsidR="003916D8" w:rsidRDefault="00391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17" w:rsidRDefault="003916D8">
    <w:pPr>
      <w:tabs>
        <w:tab w:val="center" w:pos="4680"/>
        <w:tab w:val="right" w:pos="9360"/>
      </w:tabs>
      <w:spacing w:after="120" w:line="276" w:lineRule="auto"/>
      <w:rPr>
        <w:b/>
        <w:color w:val="1F497D"/>
        <w:sz w:val="28"/>
        <w:szCs w:val="28"/>
      </w:rPr>
    </w:pP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Jurnal 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Proteksi Kesehatan                                                                                                                                   Vol.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No.</w:t>
    </w:r>
    <w:r>
      <w:rPr>
        <w:rFonts w:ascii="Twentieth Century" w:eastAsia="Twentieth Century" w:hAnsi="Twentieth Century" w:cs="Twentieth Century"/>
        <w:sz w:val="20"/>
        <w:szCs w:val="20"/>
      </w:rPr>
      <w:t>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, </w:t>
    </w:r>
    <w:r>
      <w:rPr>
        <w:rFonts w:ascii="Twentieth Century" w:eastAsia="Twentieth Century" w:hAnsi="Twentieth Century" w:cs="Twentieth Century"/>
        <w:sz w:val="20"/>
        <w:szCs w:val="20"/>
      </w:rPr>
      <w:t>Mei 2021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pp. 1-8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  <w:t xml:space="preserve">                                                                          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                             ISSN </w:t>
    </w:r>
    <w:r>
      <w:rPr>
        <w:rFonts w:ascii="Twentieth Century" w:eastAsia="Twentieth Century" w:hAnsi="Twentieth Century" w:cs="Twentieth Century"/>
        <w:sz w:val="20"/>
        <w:szCs w:val="20"/>
      </w:rPr>
      <w:t>2715-1115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(Online), ISSN 23</w:t>
    </w:r>
    <w:r>
      <w:rPr>
        <w:rFonts w:ascii="Twentieth Century" w:eastAsia="Twentieth Century" w:hAnsi="Twentieth Century" w:cs="Twentieth Century"/>
        <w:sz w:val="20"/>
        <w:szCs w:val="20"/>
      </w:rPr>
      <w:t>02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– </w:t>
    </w:r>
    <w:r>
      <w:rPr>
        <w:rFonts w:ascii="Twentieth Century" w:eastAsia="Twentieth Century" w:hAnsi="Twentieth Century" w:cs="Twentieth Century"/>
        <w:sz w:val="20"/>
        <w:szCs w:val="20"/>
      </w:rPr>
      <w:t>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6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(Print)</w:t>
    </w:r>
  </w:p>
  <w:p w:rsidR="00577117" w:rsidRDefault="003916D8">
    <w:pPr>
      <w:pBdr>
        <w:bottom w:val="single" w:sz="4" w:space="1" w:color="A5A5A5"/>
      </w:pBdr>
      <w:tabs>
        <w:tab w:val="left" w:pos="2580"/>
        <w:tab w:val="left" w:pos="2985"/>
        <w:tab w:val="center" w:pos="4680"/>
        <w:tab w:val="right" w:pos="9360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177800</wp:posOffset>
              </wp:positionV>
              <wp:extent cx="5975985" cy="38100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32" type="#_x0000_t32" style="position:absolute;left:0pt;margin-left:0pt;margin-top:14pt;height:3pt;width:470.55pt;z-index:251661312;mso-width-relative:page;mso-height-relative:page;" filled="f" stroked="t" coordsize="21600,21600" o:gfxdata="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z5qPYAAAABgEAAA8AAAAAAAAAAQAgAAAAIgAAAGRycy9kb3ducmV2&#10;LnhtbFBLAQIUABQAAAAIAIdO4kD7GU9m/AEAAA0EAAAOAAAAAAAAAAEAIAAAACcBAABkcnMvZTJv&#10;RG9jLnhtbFBLBQYAAAAABgAGAFkBAACVBQAAAAA=&#10;">
              <v:fill on="f" focussize="0,0"/>
              <v:stroke weight="1.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:rsidR="00577117" w:rsidRDefault="00577117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17" w:rsidRDefault="003916D8">
    <w:pPr>
      <w:tabs>
        <w:tab w:val="center" w:pos="4680"/>
        <w:tab w:val="right" w:pos="9360"/>
      </w:tabs>
      <w:spacing w:after="120" w:line="276" w:lineRule="auto"/>
      <w:rPr>
        <w:b/>
        <w:color w:val="1F497D"/>
        <w:sz w:val="28"/>
        <w:szCs w:val="28"/>
      </w:rPr>
    </w:pPr>
    <w:r>
      <w:rPr>
        <w:rFonts w:ascii="Twentieth Century" w:eastAsia="Twentieth Century" w:hAnsi="Twentieth Century" w:cs="Twentieth Century"/>
        <w:color w:val="000000"/>
        <w:sz w:val="20"/>
        <w:szCs w:val="20"/>
      </w:rPr>
      <w:t>Jurnal Proteksi Kesehatan                                                                                                                                   Vol.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No.</w:t>
    </w:r>
    <w:r>
      <w:rPr>
        <w:rFonts w:ascii="Twentieth Century" w:eastAsia="Twentieth Century" w:hAnsi="Twentieth Century" w:cs="Twentieth Century"/>
        <w:sz w:val="20"/>
        <w:szCs w:val="20"/>
      </w:rPr>
      <w:t>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, </w:t>
    </w:r>
    <w:r>
      <w:rPr>
        <w:rFonts w:ascii="Twentieth Century" w:eastAsia="Twentieth Century" w:hAnsi="Twentieth Century" w:cs="Twentieth Century"/>
        <w:sz w:val="20"/>
        <w:szCs w:val="20"/>
      </w:rPr>
      <w:t>Mei 2021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pp. 1-8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                                                                                                       ISSN </w:t>
    </w:r>
    <w:r>
      <w:rPr>
        <w:rFonts w:ascii="Twentieth Century" w:eastAsia="Twentieth Century" w:hAnsi="Twentieth Century" w:cs="Twentieth Century"/>
        <w:sz w:val="20"/>
        <w:szCs w:val="20"/>
      </w:rPr>
      <w:t>2715-1115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(Online), ISSN 23</w:t>
    </w:r>
    <w:r>
      <w:rPr>
        <w:rFonts w:ascii="Twentieth Century" w:eastAsia="Twentieth Century" w:hAnsi="Twentieth Century" w:cs="Twentieth Century"/>
        <w:sz w:val="20"/>
        <w:szCs w:val="20"/>
      </w:rPr>
      <w:t>02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– </w:t>
    </w:r>
    <w:r>
      <w:rPr>
        <w:rFonts w:ascii="Twentieth Century" w:eastAsia="Twentieth Century" w:hAnsi="Twentieth Century" w:cs="Twentieth Century"/>
        <w:sz w:val="20"/>
        <w:szCs w:val="20"/>
      </w:rPr>
      <w:t>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6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(Print)</w:t>
    </w:r>
  </w:p>
  <w:p w:rsidR="00577117" w:rsidRDefault="003916D8">
    <w:pPr>
      <w:pBdr>
        <w:bottom w:val="single" w:sz="4" w:space="1" w:color="A5A5A5"/>
      </w:pBdr>
      <w:tabs>
        <w:tab w:val="left" w:pos="2580"/>
        <w:tab w:val="left" w:pos="2985"/>
        <w:tab w:val="center" w:pos="4680"/>
        <w:tab w:val="right" w:pos="9360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177800</wp:posOffset>
              </wp:positionV>
              <wp:extent cx="5975985" cy="38100"/>
              <wp:effectExtent l="0" t="0" r="0" b="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32" type="#_x0000_t32" style="position:absolute;left:0pt;margin-left:0pt;margin-top:14pt;height:3pt;width:470.55pt;z-index:251659264;mso-width-relative:page;mso-height-relative:page;" filled="f" stroked="t" coordsize="21600,21600" o:gfxdata="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1M+aj2AAAAAYBAAAPAAAAAAAAAAEAIAAAACIAAABkcnMvZG93bnJl&#10;di54bWxQSwECFAAUAAAACACHTuJAs7OL//0BAAAPBAAADgAAAAAAAAABACAAAAAnAQAAZHJzL2Uy&#10;b0RvYy54bWxQSwUGAAAAAAYABgBZAQAAlgUAAAAA&#10;">
              <v:fill on="f" focussize="0,0"/>
              <v:stroke weight="1.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:rsidR="00577117" w:rsidRDefault="00577117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4DB05C"/>
    <w:multiLevelType w:val="singleLevel"/>
    <w:tmpl w:val="804DB05C"/>
    <w:lvl w:ilvl="0">
      <w:start w:val="1"/>
      <w:numFmt w:val="decimal"/>
      <w:suff w:val="space"/>
      <w:lvlText w:val="%1."/>
      <w:lvlJc w:val="left"/>
    </w:lvl>
  </w:abstractNum>
  <w:abstractNum w:abstractNumId="1">
    <w:nsid w:val="CD9F05A9"/>
    <w:multiLevelType w:val="singleLevel"/>
    <w:tmpl w:val="CD9F05A9"/>
    <w:lvl w:ilvl="0">
      <w:start w:val="1"/>
      <w:numFmt w:val="decimal"/>
      <w:suff w:val="space"/>
      <w:lvlText w:val="[%1]"/>
      <w:lvlJc w:val="left"/>
    </w:lvl>
  </w:abstractNum>
  <w:abstractNum w:abstractNumId="2">
    <w:nsid w:val="5884F44A"/>
    <w:multiLevelType w:val="singleLevel"/>
    <w:tmpl w:val="5884F44A"/>
    <w:lvl w:ilvl="0">
      <w:start w:val="1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99"/>
    <w:rsid w:val="00050235"/>
    <w:rsid w:val="003916D8"/>
    <w:rsid w:val="00577117"/>
    <w:rsid w:val="005C69DB"/>
    <w:rsid w:val="00905AAB"/>
    <w:rsid w:val="00947987"/>
    <w:rsid w:val="00AB276F"/>
    <w:rsid w:val="00BA5999"/>
    <w:rsid w:val="00C566AC"/>
    <w:rsid w:val="00E92FC3"/>
    <w:rsid w:val="00F823EA"/>
    <w:rsid w:val="00FC6DF3"/>
    <w:rsid w:val="0269363F"/>
    <w:rsid w:val="03984E92"/>
    <w:rsid w:val="051C7C51"/>
    <w:rsid w:val="06220F58"/>
    <w:rsid w:val="074B6293"/>
    <w:rsid w:val="0802185E"/>
    <w:rsid w:val="092445AF"/>
    <w:rsid w:val="0A7B3738"/>
    <w:rsid w:val="0E7978AC"/>
    <w:rsid w:val="103B66C3"/>
    <w:rsid w:val="16AE6C12"/>
    <w:rsid w:val="18975FF7"/>
    <w:rsid w:val="18994B45"/>
    <w:rsid w:val="19D40E52"/>
    <w:rsid w:val="1EF13AB7"/>
    <w:rsid w:val="1EF6108C"/>
    <w:rsid w:val="20C80679"/>
    <w:rsid w:val="22F619EB"/>
    <w:rsid w:val="233052E0"/>
    <w:rsid w:val="23FA72FB"/>
    <w:rsid w:val="25AB221E"/>
    <w:rsid w:val="26473281"/>
    <w:rsid w:val="268F0640"/>
    <w:rsid w:val="27A60A1A"/>
    <w:rsid w:val="29904975"/>
    <w:rsid w:val="2C0B2E71"/>
    <w:rsid w:val="2CA435AB"/>
    <w:rsid w:val="2DB536DC"/>
    <w:rsid w:val="2FA345D3"/>
    <w:rsid w:val="30665FF5"/>
    <w:rsid w:val="328A2ED6"/>
    <w:rsid w:val="34BB718F"/>
    <w:rsid w:val="37406C32"/>
    <w:rsid w:val="3D8E5F66"/>
    <w:rsid w:val="40987BD0"/>
    <w:rsid w:val="452A7082"/>
    <w:rsid w:val="45FA400F"/>
    <w:rsid w:val="466F4B93"/>
    <w:rsid w:val="47037077"/>
    <w:rsid w:val="48B77BA6"/>
    <w:rsid w:val="49152C1C"/>
    <w:rsid w:val="4B652C24"/>
    <w:rsid w:val="4C962AE2"/>
    <w:rsid w:val="4C9805D6"/>
    <w:rsid w:val="52943E07"/>
    <w:rsid w:val="56B44C78"/>
    <w:rsid w:val="579064CA"/>
    <w:rsid w:val="58691AA2"/>
    <w:rsid w:val="589F6D90"/>
    <w:rsid w:val="5A7B1DAD"/>
    <w:rsid w:val="5AE035F3"/>
    <w:rsid w:val="5CC90AFC"/>
    <w:rsid w:val="635B2822"/>
    <w:rsid w:val="647718FA"/>
    <w:rsid w:val="699F37ED"/>
    <w:rsid w:val="6AE74AA1"/>
    <w:rsid w:val="7117505E"/>
    <w:rsid w:val="75BA7D48"/>
    <w:rsid w:val="767B300F"/>
    <w:rsid w:val="772B45CC"/>
    <w:rsid w:val="79840D64"/>
    <w:rsid w:val="7A460355"/>
    <w:rsid w:val="7A8218E6"/>
    <w:rsid w:val="7BAA7074"/>
    <w:rsid w:val="7F0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line number" w:semiHidden="1" w:uiPriority="99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88" w:lineRule="auto"/>
    </w:pPr>
    <w:rPr>
      <w:rFonts w:ascii="Calibri" w:eastAsiaTheme="minorEastAsia" w:hAnsi="Calibri" w:cs="Calibri"/>
      <w:sz w:val="21"/>
      <w:szCs w:val="2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qFormat/>
    <w:pPr>
      <w:spacing w:after="200" w:line="288" w:lineRule="auto"/>
    </w:pPr>
    <w:rPr>
      <w:rFonts w:ascii="Calibri" w:eastAsiaTheme="minorEastAsia" w:hAnsi="Calibri" w:cs="Calibri"/>
      <w:sz w:val="21"/>
      <w:szCs w:val="21"/>
      <w:lang w:eastAsia="ja-JP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Times New Roman" w:cs="Angsana New"/>
      <w:color w:val="000000"/>
      <w:sz w:val="24"/>
      <w:szCs w:val="24"/>
    </w:rPr>
  </w:style>
  <w:style w:type="table" w:customStyle="1" w:styleId="Style32">
    <w:name w:val="_Style 32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ommentTextChar">
    <w:name w:val="Comment Text Char"/>
    <w:basedOn w:val="DefaultParagraphFont"/>
    <w:link w:val="CommentText"/>
    <w:rPr>
      <w:rFonts w:ascii="Calibri" w:eastAsiaTheme="minorEastAsia" w:hAnsi="Calibri" w:cs="Calibri"/>
      <w:lang w:val="en-US"/>
    </w:rPr>
  </w:style>
  <w:style w:type="character" w:customStyle="1" w:styleId="CommentSubjectChar">
    <w:name w:val="Comment Subject Char"/>
    <w:basedOn w:val="CommentTextChar"/>
    <w:link w:val="CommentSubject"/>
    <w:rPr>
      <w:rFonts w:ascii="Calibri" w:eastAsiaTheme="minorEastAsia" w:hAnsi="Calibri" w:cs="Calibri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line number" w:semiHidden="1" w:uiPriority="99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88" w:lineRule="auto"/>
    </w:pPr>
    <w:rPr>
      <w:rFonts w:ascii="Calibri" w:eastAsiaTheme="minorEastAsia" w:hAnsi="Calibri" w:cs="Calibri"/>
      <w:sz w:val="21"/>
      <w:szCs w:val="2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qFormat/>
    <w:pPr>
      <w:spacing w:after="200" w:line="288" w:lineRule="auto"/>
    </w:pPr>
    <w:rPr>
      <w:rFonts w:ascii="Calibri" w:eastAsiaTheme="minorEastAsia" w:hAnsi="Calibri" w:cs="Calibri"/>
      <w:sz w:val="21"/>
      <w:szCs w:val="21"/>
      <w:lang w:eastAsia="ja-JP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Times New Roman" w:cs="Angsana New"/>
      <w:color w:val="000000"/>
      <w:sz w:val="24"/>
      <w:szCs w:val="24"/>
    </w:rPr>
  </w:style>
  <w:style w:type="table" w:customStyle="1" w:styleId="Style32">
    <w:name w:val="_Style 32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CommentTextChar">
    <w:name w:val="Comment Text Char"/>
    <w:basedOn w:val="DefaultParagraphFont"/>
    <w:link w:val="CommentText"/>
    <w:rPr>
      <w:rFonts w:ascii="Calibri" w:eastAsiaTheme="minorEastAsia" w:hAnsi="Calibri" w:cs="Calibri"/>
      <w:lang w:val="en-US"/>
    </w:rPr>
  </w:style>
  <w:style w:type="character" w:customStyle="1" w:styleId="CommentSubjectChar">
    <w:name w:val="Comment Subject Char"/>
    <w:basedOn w:val="CommentTextChar"/>
    <w:link w:val="CommentSubject"/>
    <w:rPr>
      <w:rFonts w:ascii="Calibri" w:eastAsiaTheme="minorEastAsia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EDF97CD-4BF4-416E-831B-6E2BB4EF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6052</Words>
  <Characters>34499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Coresponden Name and email</dc:creator>
  <cp:lastModifiedBy>user</cp:lastModifiedBy>
  <cp:revision>6</cp:revision>
  <dcterms:created xsi:type="dcterms:W3CDTF">2021-06-25T08:23:00Z</dcterms:created>
  <dcterms:modified xsi:type="dcterms:W3CDTF">2022-06-17T08:01:00Z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34BD3C5189B74390A178A53E37472956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Name 0_1">
    <vt:lpwstr>American Psychological Association 6th edition</vt:lpwstr>
  </property>
  <property fmtid="{D5CDD505-2E9C-101B-9397-08002B2CF9AE}" pid="6" name="Mendeley Recent Style Id 1_1">
    <vt:lpwstr>http://www.zotero.org/styles/american-sociological-association</vt:lpwstr>
  </property>
  <property fmtid="{D5CDD505-2E9C-101B-9397-08002B2CF9AE}" pid="7" name="Mendeley Recent Style Name 1_1">
    <vt:lpwstr>American Sociological Association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Name 4_1">
    <vt:lpwstr>Harvard reference format 1 (deprecated)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cf439e83-9a91-3fed-86a9-3ce7c9af6f73</vt:lpwstr>
  </property>
  <property fmtid="{D5CDD505-2E9C-101B-9397-08002B2CF9AE}" pid="26" name="Mendeley Citation Style_1">
    <vt:lpwstr>http://www.zotero.org/styles/ieee</vt:lpwstr>
  </property>
</Properties>
</file>