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1A35" w14:textId="03436059" w:rsidR="007F4948" w:rsidRPr="00163BA7" w:rsidRDefault="00163BA7" w:rsidP="00163BA7">
      <w:pPr>
        <w:jc w:val="center"/>
        <w:rPr>
          <w:rFonts w:ascii="Tw Cen MT" w:eastAsia="Twentieth Century" w:hAnsi="Tw Cen MT"/>
          <w:b/>
          <w:sz w:val="32"/>
          <w:szCs w:val="32"/>
        </w:rPr>
      </w:pPr>
      <w:r w:rsidRPr="00163BA7">
        <w:rPr>
          <w:rFonts w:ascii="Tw Cen MT" w:eastAsia="Twentieth Century" w:hAnsi="Tw Cen MT"/>
          <w:b/>
          <w:sz w:val="32"/>
          <w:szCs w:val="32"/>
        </w:rPr>
        <w:t xml:space="preserve">Comparison </w:t>
      </w:r>
      <w:r>
        <w:rPr>
          <w:rFonts w:ascii="Tw Cen MT" w:eastAsia="Twentieth Century" w:hAnsi="Tw Cen MT"/>
          <w:b/>
          <w:sz w:val="32"/>
          <w:szCs w:val="32"/>
        </w:rPr>
        <w:t>o</w:t>
      </w:r>
      <w:r w:rsidRPr="00163BA7">
        <w:rPr>
          <w:rFonts w:ascii="Tw Cen MT" w:eastAsia="Twentieth Century" w:hAnsi="Tw Cen MT"/>
          <w:b/>
          <w:sz w:val="32"/>
          <w:szCs w:val="32"/>
        </w:rPr>
        <w:t xml:space="preserve">f </w:t>
      </w:r>
      <w:r>
        <w:rPr>
          <w:rFonts w:ascii="Tw Cen MT" w:eastAsia="Twentieth Century" w:hAnsi="Tw Cen MT"/>
          <w:b/>
          <w:sz w:val="32"/>
          <w:szCs w:val="32"/>
        </w:rPr>
        <w:t>t</w:t>
      </w:r>
      <w:r w:rsidRPr="00163BA7">
        <w:rPr>
          <w:rFonts w:ascii="Tw Cen MT" w:eastAsia="Twentieth Century" w:hAnsi="Tw Cen MT"/>
          <w:b/>
          <w:sz w:val="32"/>
          <w:szCs w:val="32"/>
        </w:rPr>
        <w:t>he</w:t>
      </w:r>
      <w:r>
        <w:rPr>
          <w:rFonts w:ascii="Tw Cen MT" w:eastAsia="Twentieth Century" w:hAnsi="Tw Cen MT"/>
          <w:b/>
          <w:sz w:val="32"/>
          <w:szCs w:val="32"/>
        </w:rPr>
        <w:t xml:space="preserve"> </w:t>
      </w:r>
      <w:r w:rsidRPr="00AB2BCC">
        <w:rPr>
          <w:rFonts w:ascii="Tw Cen MT" w:eastAsia="Twentieth Century" w:hAnsi="Tw Cen MT"/>
          <w:b/>
          <w:i/>
          <w:sz w:val="32"/>
          <w:szCs w:val="32"/>
        </w:rPr>
        <w:t xml:space="preserve">Aedes </w:t>
      </w:r>
      <w:r w:rsidR="007A770B" w:rsidRPr="00AB2BCC">
        <w:rPr>
          <w:rFonts w:ascii="Tw Cen MT" w:eastAsia="Twentieth Century" w:hAnsi="Tw Cen MT"/>
          <w:b/>
          <w:i/>
          <w:sz w:val="32"/>
          <w:szCs w:val="32"/>
        </w:rPr>
        <w:t>s</w:t>
      </w:r>
      <w:r w:rsidRPr="00AB2BCC">
        <w:rPr>
          <w:rFonts w:ascii="Tw Cen MT" w:eastAsia="Twentieth Century" w:hAnsi="Tw Cen MT"/>
          <w:b/>
          <w:i/>
          <w:sz w:val="32"/>
          <w:szCs w:val="32"/>
        </w:rPr>
        <w:t>pp</w:t>
      </w:r>
      <w:r>
        <w:rPr>
          <w:rFonts w:ascii="Tw Cen MT" w:eastAsia="Twentieth Century" w:hAnsi="Tw Cen MT"/>
          <w:b/>
          <w:sz w:val="32"/>
          <w:szCs w:val="32"/>
        </w:rPr>
        <w:t xml:space="preserve"> Eggs Number Trapped i</w:t>
      </w:r>
      <w:r w:rsidRPr="00163BA7">
        <w:rPr>
          <w:rFonts w:ascii="Tw Cen MT" w:eastAsia="Twentieth Century" w:hAnsi="Tw Cen MT"/>
          <w:b/>
          <w:sz w:val="32"/>
          <w:szCs w:val="32"/>
        </w:rPr>
        <w:t>n Ovitrap Using R</w:t>
      </w:r>
      <w:r w:rsidR="007A770B">
        <w:rPr>
          <w:rFonts w:ascii="Tw Cen MT" w:eastAsia="Twentieth Century" w:hAnsi="Tw Cen MT"/>
          <w:b/>
          <w:sz w:val="32"/>
          <w:szCs w:val="32"/>
        </w:rPr>
        <w:t>ainwater a</w:t>
      </w:r>
      <w:r>
        <w:rPr>
          <w:rFonts w:ascii="Tw Cen MT" w:eastAsia="Twentieth Century" w:hAnsi="Tw Cen MT"/>
          <w:b/>
          <w:sz w:val="32"/>
          <w:szCs w:val="32"/>
        </w:rPr>
        <w:t xml:space="preserve">nd Munic </w:t>
      </w:r>
      <w:r w:rsidRPr="00163BA7">
        <w:rPr>
          <w:rFonts w:ascii="Tw Cen MT" w:eastAsia="Twentieth Century" w:hAnsi="Tw Cen MT"/>
          <w:b/>
          <w:sz w:val="32"/>
          <w:szCs w:val="32"/>
        </w:rPr>
        <w:t>Ipal Water</w:t>
      </w:r>
      <w:bookmarkStart w:id="0" w:name="_heading=h.2zvyxk7t70gr" w:colFirst="0" w:colLast="0"/>
      <w:bookmarkEnd w:id="0"/>
    </w:p>
    <w:p w14:paraId="2E7DDF99" w14:textId="2EFB3F67" w:rsidR="007F4948" w:rsidRPr="00163BA7" w:rsidRDefault="00163BA7" w:rsidP="00163BA7">
      <w:pPr>
        <w:spacing w:after="0" w:line="240" w:lineRule="auto"/>
        <w:jc w:val="center"/>
        <w:rPr>
          <w:rFonts w:ascii="Tw Cen MT" w:eastAsia="Twentieth Century" w:hAnsi="Tw Cen MT" w:cs="Twentieth Century"/>
          <w:b/>
          <w:sz w:val="32"/>
          <w:szCs w:val="32"/>
        </w:rPr>
      </w:pPr>
      <w:bookmarkStart w:id="1" w:name="_heading=h.ku3htxpixa9v" w:colFirst="0" w:colLast="0"/>
      <w:bookmarkEnd w:id="1"/>
      <w:r w:rsidRPr="00163BA7">
        <w:rPr>
          <w:rFonts w:ascii="Tw Cen MT" w:eastAsia="Twentieth Century" w:hAnsi="Tw Cen MT" w:cs="Twentieth Century"/>
          <w:b/>
          <w:sz w:val="32"/>
          <w:szCs w:val="32"/>
        </w:rPr>
        <w:t xml:space="preserve">Perbandingan Jumlah Telur </w:t>
      </w:r>
      <w:r w:rsidRPr="00AB2BCC">
        <w:rPr>
          <w:rFonts w:ascii="Tw Cen MT" w:eastAsia="Twentieth Century" w:hAnsi="Tw Cen MT" w:cs="Twentieth Century"/>
          <w:b/>
          <w:i/>
          <w:sz w:val="32"/>
          <w:szCs w:val="32"/>
        </w:rPr>
        <w:t>Aed</w:t>
      </w:r>
      <w:r w:rsidR="007A770B" w:rsidRPr="00AB2BCC">
        <w:rPr>
          <w:rFonts w:ascii="Tw Cen MT" w:eastAsia="Twentieth Century" w:hAnsi="Tw Cen MT" w:cs="Twentieth Century"/>
          <w:b/>
          <w:i/>
          <w:sz w:val="32"/>
          <w:szCs w:val="32"/>
        </w:rPr>
        <w:t>es spp</w:t>
      </w:r>
      <w:r w:rsidR="007A770B">
        <w:rPr>
          <w:rFonts w:ascii="Tw Cen MT" w:eastAsia="Twentieth Century" w:hAnsi="Tw Cen MT" w:cs="Twentieth Century"/>
          <w:b/>
          <w:sz w:val="32"/>
          <w:szCs w:val="32"/>
        </w:rPr>
        <w:t xml:space="preserve"> yang Terperangkap d</w:t>
      </w:r>
      <w:r w:rsidRPr="00163BA7">
        <w:rPr>
          <w:rFonts w:ascii="Tw Cen MT" w:eastAsia="Twentieth Century" w:hAnsi="Tw Cen MT" w:cs="Twentieth Century"/>
          <w:b/>
          <w:sz w:val="32"/>
          <w:szCs w:val="32"/>
        </w:rPr>
        <w:t>i</w:t>
      </w:r>
      <w:r w:rsidR="007A770B">
        <w:rPr>
          <w:rFonts w:ascii="Tw Cen MT" w:eastAsia="Twentieth Century" w:hAnsi="Tw Cen MT" w:cs="Twentieth Century"/>
          <w:b/>
          <w:sz w:val="32"/>
          <w:szCs w:val="32"/>
        </w:rPr>
        <w:t xml:space="preserve"> Ovitrap Menggunakan Air Hujan dan Air PDAM</w:t>
      </w:r>
    </w:p>
    <w:p w14:paraId="283EC331" w14:textId="77777777" w:rsidR="0016328E" w:rsidRPr="00163BA7" w:rsidRDefault="0016328E" w:rsidP="0016328E">
      <w:pPr>
        <w:spacing w:after="0" w:line="240" w:lineRule="auto"/>
        <w:jc w:val="center"/>
        <w:rPr>
          <w:rFonts w:ascii="Tw Cen MT" w:eastAsia="Twentieth Century" w:hAnsi="Tw Cen MT" w:cs="Twentieth Century"/>
          <w:sz w:val="24"/>
          <w:szCs w:val="24"/>
        </w:rPr>
      </w:pPr>
    </w:p>
    <w:p w14:paraId="27FAF10B" w14:textId="63291296" w:rsidR="00420F93" w:rsidRPr="00163BA7" w:rsidRDefault="00293DB9">
      <w:pPr>
        <w:widowControl w:val="0"/>
        <w:spacing w:after="0" w:line="218" w:lineRule="auto"/>
        <w:ind w:left="7" w:right="-20"/>
        <w:jc w:val="center"/>
        <w:rPr>
          <w:rFonts w:ascii="Tw Cen MT" w:eastAsia="Twentieth Century" w:hAnsi="Tw Cen MT" w:cs="Twentieth Century"/>
          <w:sz w:val="20"/>
          <w:szCs w:val="20"/>
        </w:rPr>
      </w:pPr>
      <w:r w:rsidRPr="00163BA7">
        <w:rPr>
          <w:rFonts w:ascii="Tw Cen MT" w:eastAsia="Twentieth Century" w:hAnsi="Tw Cen MT" w:cs="Twentieth Century"/>
          <w:sz w:val="24"/>
          <w:szCs w:val="24"/>
        </w:rPr>
        <w:t>Rinaldi Daswito</w:t>
      </w:r>
      <w:r w:rsidRPr="00163BA7">
        <w:rPr>
          <w:rFonts w:ascii="Tw Cen MT" w:eastAsia="Twentieth Century" w:hAnsi="Tw Cen MT" w:cs="Twentieth Century"/>
          <w:sz w:val="24"/>
          <w:szCs w:val="24"/>
          <w:vertAlign w:val="superscript"/>
        </w:rPr>
        <w:t>1</w:t>
      </w:r>
      <w:r w:rsidRPr="00163BA7">
        <w:rPr>
          <w:rFonts w:ascii="Tw Cen MT" w:eastAsia="Twentieth Century" w:hAnsi="Tw Cen MT" w:cs="Twentieth Century"/>
          <w:sz w:val="24"/>
          <w:szCs w:val="24"/>
        </w:rPr>
        <w:t>, Ronaldo</w:t>
      </w:r>
      <w:r w:rsidR="00DB156A" w:rsidRPr="00163BA7">
        <w:rPr>
          <w:rFonts w:ascii="Tw Cen MT" w:eastAsia="Twentieth Century" w:hAnsi="Tw Cen MT" w:cs="Twentieth Century"/>
          <w:sz w:val="24"/>
          <w:szCs w:val="24"/>
          <w:vertAlign w:val="superscript"/>
        </w:rPr>
        <w:t>1</w:t>
      </w:r>
      <w:r w:rsidRPr="00163BA7">
        <w:rPr>
          <w:rFonts w:ascii="Tw Cen MT" w:eastAsia="Twentieth Century" w:hAnsi="Tw Cen MT" w:cs="Twentieth Century"/>
          <w:sz w:val="24"/>
          <w:szCs w:val="24"/>
        </w:rPr>
        <w:t>, Risman Kurnia</w:t>
      </w:r>
      <w:r w:rsidRPr="00163BA7">
        <w:rPr>
          <w:rFonts w:ascii="Tw Cen MT" w:eastAsia="Twentieth Century" w:hAnsi="Tw Cen MT" w:cs="Twentieth Century"/>
          <w:sz w:val="24"/>
          <w:szCs w:val="24"/>
          <w:vertAlign w:val="superscript"/>
        </w:rPr>
        <w:t>1</w:t>
      </w:r>
      <w:r w:rsidR="0086728C" w:rsidRPr="00163BA7">
        <w:rPr>
          <w:rFonts w:ascii="Tw Cen MT" w:eastAsia="Twentieth Century" w:hAnsi="Tw Cen MT" w:cs="Twentieth Century"/>
          <w:sz w:val="20"/>
          <w:szCs w:val="20"/>
        </w:rPr>
        <w:t xml:space="preserve">, </w:t>
      </w:r>
    </w:p>
    <w:p w14:paraId="17E68C81" w14:textId="286CB0FA" w:rsidR="00420F93" w:rsidRPr="00163BA7" w:rsidRDefault="00163BA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 xml:space="preserve">Jurusan Kesehatan Lingkungan, </w:t>
      </w:r>
      <w:r w:rsidR="00420F93" w:rsidRPr="00163BA7">
        <w:rPr>
          <w:rFonts w:ascii="Tw Cen MT" w:eastAsia="Twentieth Century" w:hAnsi="Tw Cen MT" w:cs="Twentieth Century"/>
          <w:sz w:val="20"/>
          <w:szCs w:val="20"/>
        </w:rPr>
        <w:t>Poltekkes Kemenkes Tanjungpinang</w:t>
      </w:r>
      <w:r>
        <w:rPr>
          <w:rFonts w:ascii="Tw Cen MT" w:eastAsia="Twentieth Century" w:hAnsi="Tw Cen MT" w:cs="Twentieth Century"/>
          <w:sz w:val="20"/>
          <w:szCs w:val="20"/>
        </w:rPr>
        <w:t>, Tanjungpinang, Indonesia</w:t>
      </w:r>
    </w:p>
    <w:p w14:paraId="23FA8100" w14:textId="49013967" w:rsidR="007F4948" w:rsidRPr="00163BA7" w:rsidRDefault="00163BA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 </w:t>
      </w:r>
      <w:hyperlink r:id="rId9" w:history="1">
        <w:r w:rsidR="00420F93" w:rsidRPr="00163BA7">
          <w:rPr>
            <w:rStyle w:val="Hyperlink"/>
            <w:rFonts w:ascii="Tw Cen MT" w:eastAsia="Twentieth Century" w:hAnsi="Tw Cen MT" w:cs="Twentieth Century"/>
            <w:sz w:val="20"/>
            <w:szCs w:val="20"/>
          </w:rPr>
          <w:t>rinaldi@poltekkes-tanjungpinang.ac.id</w:t>
        </w:r>
      </w:hyperlink>
      <w:r w:rsidR="00420F93" w:rsidRPr="00163BA7">
        <w:rPr>
          <w:rFonts w:ascii="Tw Cen MT" w:eastAsia="Twentieth Century" w:hAnsi="Tw Cen MT" w:cs="Twentieth Century"/>
          <w:sz w:val="20"/>
          <w:szCs w:val="20"/>
        </w:rPr>
        <w:t xml:space="preserve"> </w:t>
      </w:r>
    </w:p>
    <w:p w14:paraId="5C33921F" w14:textId="162227D4" w:rsidR="007F4948" w:rsidRPr="00163BA7" w:rsidRDefault="00AB2BCC">
      <w:pPr>
        <w:spacing w:after="0"/>
        <w:rPr>
          <w:rFonts w:ascii="Tw Cen MT" w:eastAsia="Twentieth Century" w:hAnsi="Tw Cen MT" w:cs="Twentieth Century"/>
        </w:rPr>
      </w:pPr>
      <w:r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299550B9">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r w:rsidR="007A770B">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50F9837">
                <wp:simplePos x="0" y="0"/>
                <wp:positionH relativeFrom="column">
                  <wp:posOffset>19685</wp:posOffset>
                </wp:positionH>
                <wp:positionV relativeFrom="paragraph">
                  <wp:posOffset>149022</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7A770B" w:rsidRPr="00623753" w:rsidRDefault="007A770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7A770B" w:rsidRPr="00623753" w:rsidRDefault="007A770B" w:rsidP="007A770B">
                            <w:pPr>
                              <w:tabs>
                                <w:tab w:val="left" w:pos="567"/>
                              </w:tabs>
                              <w:spacing w:after="0"/>
                              <w:ind w:left="-85"/>
                              <w:rPr>
                                <w:rFonts w:ascii="Arial" w:hAnsi="Arial" w:cs="Arial"/>
                                <w:b/>
                                <w:bCs/>
                                <w:caps/>
                                <w:sz w:val="20"/>
                                <w:szCs w:val="20"/>
                                <w:lang w:val="id-ID"/>
                              </w:rPr>
                            </w:pPr>
                          </w:p>
                          <w:p w14:paraId="0CB2EA20" w14:textId="77777777" w:rsidR="007A770B" w:rsidRPr="00623753" w:rsidRDefault="007A770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77777777" w:rsidR="007A770B" w:rsidRPr="00623753"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77777777" w:rsidR="007A770B"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65822EE9" w14:textId="77777777" w:rsidR="007A770B" w:rsidRPr="00623753"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4E4E8C3E" w14:textId="77777777" w:rsidR="007A770B" w:rsidRPr="00623753" w:rsidRDefault="007A770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77777777" w:rsidR="007A770B" w:rsidRPr="00013A3E" w:rsidRDefault="007A770B"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5pt;margin-top:11.75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BEESoG3QAAAAgBAAAPAAAA&#10;ZHJzL2Rvd25yZXYueG1sTI/BTsMwEETvSP0Haytxo04atdAQp0KgHpAqVS18gBMvSdR4ndpuGv6e&#10;5QTHnRnNvim2k+3FiD50jhSkiwQEUu1MR42Cz4/dwxOIEDUZ3TtCBd8YYFvO7gqdG3ejI46n2Agu&#10;oZBrBW2MQy5lqFu0OizcgMTel/NWRz59I43XNy63vVwmyVpa3RF/aPWAry3W59PVKjiYS/r4Nuz8&#10;aKv3cb+39cHboNT9fHp5BhFxin9h+MVndCiZqXJXMkH0CrKUgwqW2QoE21myYaFiYb1ZgSwL+X9A&#10;+QMAAP//AwBQSwECLQAUAAYACAAAACEAtoM4kv4AAADhAQAAEwAAAAAAAAAAAAAAAAAAAAAAW0Nv&#10;bnRlbnRfVHlwZXNdLnhtbFBLAQItABQABgAIAAAAIQA4/SH/1gAAAJQBAAALAAAAAAAAAAAAAAAA&#10;AC8BAABfcmVscy8ucmVsc1BLAQItABQABgAIAAAAIQDNQ29QbgIAAC4FAAAOAAAAAAAAAAAAAAAA&#10;AC4CAABkcnMvZTJvRG9jLnhtbFBLAQItABQABgAIAAAAIQBEESoG3QAAAAgBAAAPAAAAAAAAAAAA&#10;AAAAAMgEAABkcnMvZG93bnJldi54bWxQSwUGAAAAAAQABADzAAAA0gUAAAAA&#10;" fillcolor="white [3201]" stroked="f" strokeweight="2pt">
                <v:textbox>
                  <w:txbxContent>
                    <w:p w14:paraId="59678A47" w14:textId="77777777" w:rsidR="007A770B" w:rsidRPr="00623753" w:rsidRDefault="007A770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7A770B" w:rsidRPr="00623753" w:rsidRDefault="007A770B" w:rsidP="007A770B">
                      <w:pPr>
                        <w:tabs>
                          <w:tab w:val="left" w:pos="567"/>
                        </w:tabs>
                        <w:spacing w:after="0"/>
                        <w:ind w:left="-85"/>
                        <w:rPr>
                          <w:rFonts w:ascii="Arial" w:hAnsi="Arial" w:cs="Arial"/>
                          <w:b/>
                          <w:bCs/>
                          <w:caps/>
                          <w:sz w:val="20"/>
                          <w:szCs w:val="20"/>
                          <w:lang w:val="id-ID"/>
                        </w:rPr>
                      </w:pPr>
                    </w:p>
                    <w:p w14:paraId="0CB2EA20" w14:textId="77777777" w:rsidR="007A770B" w:rsidRPr="00623753" w:rsidRDefault="007A770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77777777" w:rsidR="007A770B" w:rsidRPr="00623753"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77777777" w:rsidR="007A770B"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65822EE9" w14:textId="77777777" w:rsidR="007A770B" w:rsidRPr="00623753" w:rsidRDefault="007A770B" w:rsidP="007A770B">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4E4E8C3E" w14:textId="77777777" w:rsidR="007A770B" w:rsidRPr="00623753" w:rsidRDefault="007A770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77777777" w:rsidR="007A770B" w:rsidRPr="00013A3E" w:rsidRDefault="007A770B" w:rsidP="007A770B">
                      <w:pPr>
                        <w:rPr>
                          <w:rFonts w:ascii="Tw Cen MT" w:hAnsi="Tw Cen MT"/>
                          <w:sz w:val="20"/>
                          <w:szCs w:val="20"/>
                        </w:rPr>
                      </w:pPr>
                    </w:p>
                  </w:txbxContent>
                </v:textbox>
              </v:rect>
            </w:pict>
          </mc:Fallback>
        </mc:AlternateContent>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r>
      <w:r w:rsidR="0086728C" w:rsidRPr="00163BA7">
        <w:rPr>
          <w:rFonts w:ascii="Tw Cen MT" w:eastAsia="Twentieth Century" w:hAnsi="Tw Cen MT" w:cs="Twentieth Century"/>
        </w:rPr>
        <w:tab/>
        <w:t xml:space="preserve">     </w:t>
      </w:r>
    </w:p>
    <w:p w14:paraId="4179A726" w14:textId="07372FF7" w:rsidR="007F4948" w:rsidRPr="00163BA7" w:rsidRDefault="0086728C">
      <w:pPr>
        <w:spacing w:after="0"/>
        <w:ind w:left="2399" w:firstLine="719"/>
        <w:rPr>
          <w:rFonts w:ascii="Tw Cen MT" w:eastAsia="Twentieth Century" w:hAnsi="Tw Cen MT" w:cs="Twentieth Century"/>
        </w:rPr>
      </w:pPr>
      <w:r w:rsidRPr="00163BA7">
        <w:rPr>
          <w:rFonts w:ascii="Tw Cen MT" w:eastAsia="Twentieth Century" w:hAnsi="Tw Cen MT" w:cs="Twentieth Century"/>
          <w:b/>
          <w:i/>
          <w:sz w:val="20"/>
          <w:szCs w:val="20"/>
        </w:rPr>
        <w:t>Abstract</w:t>
      </w:r>
    </w:p>
    <w:p w14:paraId="6CFC282B" w14:textId="2B7E1DF2" w:rsidR="006334E1" w:rsidRPr="00163BA7" w:rsidRDefault="00B63555">
      <w:pPr>
        <w:widowControl w:val="0"/>
        <w:spacing w:after="0" w:line="228" w:lineRule="auto"/>
        <w:ind w:left="3150" w:right="-19"/>
        <w:jc w:val="both"/>
        <w:rPr>
          <w:rFonts w:ascii="Tw Cen MT" w:eastAsia="Twentieth Century" w:hAnsi="Tw Cen MT" w:cs="Twentieth Century"/>
          <w:i/>
          <w:sz w:val="20"/>
          <w:szCs w:val="20"/>
        </w:rPr>
      </w:pPr>
      <w:r w:rsidRPr="00163BA7">
        <w:rPr>
          <w:rFonts w:ascii="Tw Cen MT" w:eastAsia="Twentieth Century" w:hAnsi="Tw Cen MT" w:cs="Twentieth Century"/>
          <w:i/>
          <w:sz w:val="20"/>
          <w:szCs w:val="20"/>
        </w:rPr>
        <w:t xml:space="preserve">The area of </w:t>
      </w:r>
      <w:r w:rsidRPr="00163BA7">
        <w:rPr>
          <w:rFonts w:ascii="Arial" w:eastAsia="Twentieth Century" w:hAnsi="Arial" w:cs="Arial"/>
          <w:i/>
          <w:sz w:val="20"/>
          <w:szCs w:val="20"/>
        </w:rPr>
        <w:t>​​</w:t>
      </w:r>
      <w:r w:rsidRPr="00163BA7">
        <w:rPr>
          <w:rFonts w:ascii="Tw Cen MT" w:eastAsia="Twentieth Century" w:hAnsi="Tw Cen MT" w:cs="Twentieth Century"/>
          <w:i/>
          <w:sz w:val="20"/>
          <w:szCs w:val="20"/>
        </w:rPr>
        <w:t xml:space="preserve">the Seijang Health Center is an endemic area of </w:t>
      </w:r>
      <w:r w:rsidRPr="00163BA7">
        <w:rPr>
          <w:rFonts w:ascii="Arial" w:eastAsia="Twentieth Century" w:hAnsi="Arial" w:cs="Arial"/>
          <w:i/>
          <w:sz w:val="20"/>
          <w:szCs w:val="20"/>
        </w:rPr>
        <w:t>​​</w:t>
      </w:r>
      <w:r w:rsidRPr="00163BA7">
        <w:rPr>
          <w:rFonts w:ascii="Tw Cen MT" w:eastAsia="Twentieth Century" w:hAnsi="Tw Cen MT" w:cs="Twentieth Century"/>
          <w:i/>
          <w:sz w:val="20"/>
          <w:szCs w:val="20"/>
        </w:rPr>
        <w:t>Dengue Hemorrhagic Fever (DHF). This study aim</w:t>
      </w:r>
      <w:r w:rsidR="00261BB2" w:rsidRPr="00163BA7">
        <w:rPr>
          <w:rFonts w:ascii="Tw Cen MT" w:eastAsia="Twentieth Century" w:hAnsi="Tw Cen MT" w:cs="Twentieth Century"/>
          <w:i/>
          <w:sz w:val="20"/>
          <w:szCs w:val="20"/>
        </w:rPr>
        <w:t>ed</w:t>
      </w:r>
      <w:r w:rsidRPr="00163BA7">
        <w:rPr>
          <w:rFonts w:ascii="Tw Cen MT" w:eastAsia="Twentieth Century" w:hAnsi="Tw Cen MT" w:cs="Twentieth Century"/>
          <w:i/>
          <w:sz w:val="20"/>
          <w:szCs w:val="20"/>
        </w:rPr>
        <w:t xml:space="preserve"> to determine the ratio of the number of eggs trapped in the ovitrap using rainwater and PDAM water. This type of research </w:t>
      </w:r>
      <w:r w:rsidR="00261BB2" w:rsidRPr="00163BA7">
        <w:rPr>
          <w:rFonts w:ascii="Tw Cen MT" w:eastAsia="Twentieth Century" w:hAnsi="Tw Cen MT" w:cs="Twentieth Century"/>
          <w:i/>
          <w:sz w:val="20"/>
          <w:szCs w:val="20"/>
        </w:rPr>
        <w:t>was</w:t>
      </w:r>
      <w:r w:rsidRPr="00163BA7">
        <w:rPr>
          <w:rFonts w:ascii="Tw Cen MT" w:eastAsia="Twentieth Century" w:hAnsi="Tw Cen MT" w:cs="Twentieth Century"/>
          <w:i/>
          <w:sz w:val="20"/>
          <w:szCs w:val="20"/>
        </w:rPr>
        <w:t xml:space="preserve"> quasi-experimental with posttest-only design.</w:t>
      </w:r>
      <w:r w:rsidR="004C01E6" w:rsidRPr="00163BA7">
        <w:rPr>
          <w:rFonts w:ascii="Tw Cen MT" w:eastAsia="Twentieth Century" w:hAnsi="Tw Cen MT" w:cs="Twentieth Century"/>
          <w:i/>
          <w:sz w:val="20"/>
          <w:szCs w:val="20"/>
        </w:rPr>
        <w:t xml:space="preserve"> </w:t>
      </w:r>
      <w:r w:rsidRPr="00163BA7">
        <w:rPr>
          <w:rFonts w:ascii="Tw Cen MT" w:eastAsia="Twentieth Century" w:hAnsi="Tw Cen MT" w:cs="Twentieth Century"/>
          <w:i/>
          <w:sz w:val="20"/>
          <w:szCs w:val="20"/>
        </w:rPr>
        <w:t>The total number of eggs trapped in the ovitrap was 3829 eggs. The number of rainwater ovitraps (2279) traps more Aedes spp mosquito eggs than PDAM water ovitraps (1553). Ovitrap index of 61% in this study was included in the level 4 category or high above 40%. There was no significant difference between the number of eggs trapped in rainwater ovitrap and PDAM water (pvalue=</w:t>
      </w:r>
      <w:bookmarkStart w:id="2" w:name="_GoBack"/>
      <w:bookmarkEnd w:id="2"/>
      <w:r w:rsidRPr="00163BA7">
        <w:rPr>
          <w:rFonts w:ascii="Tw Cen MT" w:eastAsia="Twentieth Century" w:hAnsi="Tw Cen MT" w:cs="Twentieth Century"/>
          <w:i/>
          <w:sz w:val="20"/>
          <w:szCs w:val="20"/>
        </w:rPr>
        <w:t>0.637&gt;0.05). There was no difference in the average number of eggs in rainwater and PDAM water ovitrap media. The community is expected to always carry out the Mosquito Nest Eradication (PSN) movement at least once a week to reduce the proliferation of dengue vectors.</w:t>
      </w:r>
    </w:p>
    <w:p w14:paraId="012B4273" w14:textId="6020FFA4" w:rsidR="007F4948" w:rsidRPr="00163BA7" w:rsidRDefault="0086728C">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70DC38F7" w:rsidR="007F4948" w:rsidRPr="00163BA7" w:rsidRDefault="006334E1">
      <w:pPr>
        <w:tabs>
          <w:tab w:val="left" w:pos="426"/>
        </w:tabs>
        <w:spacing w:after="0" w:line="360" w:lineRule="auto"/>
        <w:ind w:left="3150"/>
        <w:jc w:val="both"/>
        <w:rPr>
          <w:rFonts w:ascii="Tw Cen MT" w:eastAsia="Twentieth Century" w:hAnsi="Tw Cen MT" w:cs="Twentieth Century"/>
          <w:i/>
          <w:sz w:val="20"/>
          <w:szCs w:val="20"/>
        </w:rPr>
      </w:pPr>
      <w:r w:rsidRPr="00163BA7">
        <w:rPr>
          <w:rFonts w:ascii="Tw Cen MT" w:eastAsia="Twentieth Century" w:hAnsi="Tw Cen MT" w:cs="Twentieth Century"/>
          <w:i/>
          <w:sz w:val="20"/>
          <w:szCs w:val="20"/>
        </w:rPr>
        <w:t>Ovitrap Index ; Aedes spp ; DBD</w:t>
      </w:r>
    </w:p>
    <w:p w14:paraId="7CEDCDA1" w14:textId="77777777" w:rsidR="007F4948" w:rsidRPr="00163BA7"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Abstrak</w:t>
      </w:r>
    </w:p>
    <w:p w14:paraId="166CD64A" w14:textId="3E861FF0" w:rsidR="007F4948" w:rsidRPr="00163BA7" w:rsidRDefault="005C30BC">
      <w:pPr>
        <w:tabs>
          <w:tab w:val="left" w:pos="426"/>
        </w:tabs>
        <w:spacing w:after="0"/>
        <w:ind w:left="3150"/>
        <w:jc w:val="both"/>
        <w:rPr>
          <w:rFonts w:ascii="Tw Cen MT" w:eastAsia="Twentieth Century" w:hAnsi="Tw Cen MT" w:cs="Twentieth Century"/>
          <w:sz w:val="20"/>
          <w:szCs w:val="20"/>
        </w:rPr>
      </w:pPr>
      <w:r w:rsidRPr="007A770B">
        <w:rPr>
          <w:rFonts w:ascii="Tw Cen MT" w:eastAsia="Twentieth Century" w:hAnsi="Tw Cen MT" w:cs="Twentieth Century"/>
          <w:color w:val="000000"/>
          <w:sz w:val="20"/>
          <w:szCs w:val="20"/>
        </w:rPr>
        <w:t>Wilayah Puskesmas Seijang merupakan daerah endemis Demam berdarah Dengue (DBD)</w:t>
      </w:r>
      <w:r w:rsidR="00E03962" w:rsidRPr="007A770B">
        <w:rPr>
          <w:rFonts w:ascii="Tw Cen MT" w:eastAsia="Twentieth Century" w:hAnsi="Tw Cen MT" w:cs="Twentieth Century"/>
          <w:color w:val="000000"/>
          <w:sz w:val="20"/>
          <w:szCs w:val="20"/>
        </w:rPr>
        <w:t>.</w:t>
      </w:r>
      <w:r w:rsidRPr="007A770B">
        <w:rPr>
          <w:rFonts w:ascii="Tw Cen MT" w:eastAsia="Twentieth Century" w:hAnsi="Tw Cen MT" w:cs="Twentieth Century"/>
          <w:color w:val="000000"/>
          <w:sz w:val="20"/>
          <w:szCs w:val="20"/>
        </w:rPr>
        <w:t xml:space="preserve"> </w:t>
      </w:r>
      <w:r w:rsidR="00BC34CC" w:rsidRPr="007A770B">
        <w:rPr>
          <w:rFonts w:ascii="Tw Cen MT" w:eastAsia="Twentieth Century" w:hAnsi="Tw Cen MT" w:cs="Twentieth Century"/>
          <w:color w:val="000000"/>
          <w:sz w:val="20"/>
          <w:szCs w:val="20"/>
        </w:rPr>
        <w:t>P</w:t>
      </w:r>
      <w:r w:rsidR="00E03962" w:rsidRPr="007A770B">
        <w:rPr>
          <w:rFonts w:ascii="Tw Cen MT" w:eastAsia="Twentieth Century" w:hAnsi="Tw Cen MT" w:cs="Twentieth Century"/>
          <w:color w:val="000000"/>
          <w:sz w:val="20"/>
          <w:szCs w:val="20"/>
        </w:rPr>
        <w:t xml:space="preserve">enelitian </w:t>
      </w:r>
      <w:r w:rsidR="00BC34CC" w:rsidRPr="007A770B">
        <w:rPr>
          <w:rFonts w:ascii="Tw Cen MT" w:eastAsia="Twentieth Century" w:hAnsi="Tw Cen MT" w:cs="Twentieth Century"/>
          <w:color w:val="000000"/>
          <w:sz w:val="20"/>
          <w:szCs w:val="20"/>
        </w:rPr>
        <w:t>bertujuan</w:t>
      </w:r>
      <w:r w:rsidR="00E03962" w:rsidRPr="007A770B">
        <w:rPr>
          <w:rFonts w:ascii="Tw Cen MT" w:eastAsia="Twentieth Century" w:hAnsi="Tw Cen MT" w:cs="Twentieth Century"/>
          <w:color w:val="000000"/>
          <w:sz w:val="20"/>
          <w:szCs w:val="20"/>
        </w:rPr>
        <w:t xml:space="preserve"> untuk mengetahui perbandingan jumlah telur yang terperangkap di ovitrap menggunakan air hujan dan air PDAM. Jenis penelitian quasi eksperimen dengan rancangan posttest only design. </w:t>
      </w:r>
      <w:r w:rsidR="00BC34CC" w:rsidRPr="007A770B">
        <w:rPr>
          <w:rFonts w:ascii="Tw Cen MT" w:eastAsia="Twentieth Century" w:hAnsi="Tw Cen MT" w:cs="Twentieth Century"/>
          <w:color w:val="000000"/>
          <w:sz w:val="20"/>
          <w:szCs w:val="20"/>
        </w:rPr>
        <w:t>T</w:t>
      </w:r>
      <w:r w:rsidR="00E03962" w:rsidRPr="007A770B">
        <w:rPr>
          <w:rFonts w:ascii="Tw Cen MT" w:eastAsia="Twentieth Century" w:hAnsi="Tw Cen MT" w:cs="Twentieth Century"/>
          <w:color w:val="000000"/>
          <w:sz w:val="20"/>
          <w:szCs w:val="20"/>
        </w:rPr>
        <w:t xml:space="preserve">otal telur yang terperangkap pada ovitrap adalah 3829 telur. Jumlah ovitrap air hujan (2279) lebih banyak memperangkap telur nyamuk Aedes spp dibandingkan dengan ovitrap air PDAM (1553). Ovitrap index sebesar 61% pada penelitian ini masuk dalam kategori level 4 atau tinggi diatas 40%. </w:t>
      </w:r>
      <w:r w:rsidR="00BC34CC" w:rsidRPr="007A770B">
        <w:rPr>
          <w:rFonts w:ascii="Tw Cen MT" w:eastAsia="Twentieth Century" w:hAnsi="Tw Cen MT" w:cs="Twentieth Century"/>
          <w:color w:val="000000"/>
          <w:sz w:val="20"/>
          <w:szCs w:val="20"/>
        </w:rPr>
        <w:t>T</w:t>
      </w:r>
      <w:r w:rsidR="00E03962" w:rsidRPr="007A770B">
        <w:rPr>
          <w:rFonts w:ascii="Tw Cen MT" w:eastAsia="Twentieth Century" w:hAnsi="Tw Cen MT" w:cs="Twentieth Century"/>
          <w:color w:val="000000"/>
          <w:sz w:val="20"/>
          <w:szCs w:val="20"/>
        </w:rPr>
        <w:t xml:space="preserve">idak </w:t>
      </w:r>
      <w:r w:rsidR="00BC34CC" w:rsidRPr="007A770B">
        <w:rPr>
          <w:rFonts w:ascii="Tw Cen MT" w:eastAsia="Twentieth Century" w:hAnsi="Tw Cen MT" w:cs="Twentieth Century"/>
          <w:color w:val="000000"/>
          <w:sz w:val="20"/>
          <w:szCs w:val="20"/>
        </w:rPr>
        <w:t>ada</w:t>
      </w:r>
      <w:r w:rsidR="00E03962" w:rsidRPr="007A770B">
        <w:rPr>
          <w:rFonts w:ascii="Tw Cen MT" w:eastAsia="Twentieth Century" w:hAnsi="Tw Cen MT" w:cs="Twentieth Century"/>
          <w:color w:val="000000"/>
          <w:sz w:val="20"/>
          <w:szCs w:val="20"/>
        </w:rPr>
        <w:t xml:space="preserve"> perbedaan yang signifikan antara jumlah telur yang terperangkap di ovitrap air hujan dan air PDAM</w:t>
      </w:r>
      <w:r w:rsidR="00BC34CC" w:rsidRPr="007A770B">
        <w:rPr>
          <w:rFonts w:ascii="Tw Cen MT" w:eastAsia="Twentieth Century" w:hAnsi="Tw Cen MT" w:cs="Twentieth Century"/>
          <w:color w:val="000000"/>
          <w:sz w:val="20"/>
          <w:szCs w:val="20"/>
        </w:rPr>
        <w:t xml:space="preserve"> (pvalue=0,637&gt;0,05)</w:t>
      </w:r>
      <w:r w:rsidR="00E03962" w:rsidRPr="007A770B">
        <w:rPr>
          <w:rFonts w:ascii="Tw Cen MT" w:eastAsia="Twentieth Century" w:hAnsi="Tw Cen MT" w:cs="Twentieth Century"/>
          <w:color w:val="000000"/>
          <w:sz w:val="20"/>
          <w:szCs w:val="20"/>
        </w:rPr>
        <w:t>. Tidak ada perbedaan rata-rata jumlah telur pada ovitrap media air hujan dan air PDAM. Masyarakat diharapkan agar selalu melakukan gerakan Pemberantasan Sarang Nyamuk (PSN) minimal seminggu sekali untuk mengurangi perkembangbiakan vektor DBD</w:t>
      </w:r>
      <w:r w:rsidR="00E03962" w:rsidRPr="00163BA7">
        <w:rPr>
          <w:rFonts w:ascii="Tw Cen MT" w:eastAsia="Twentieth Century" w:hAnsi="Tw Cen MT" w:cs="Twentieth Century"/>
          <w:i/>
          <w:color w:val="000000"/>
          <w:sz w:val="20"/>
          <w:szCs w:val="20"/>
        </w:rPr>
        <w:t>.</w:t>
      </w:r>
    </w:p>
    <w:p w14:paraId="68659279" w14:textId="77777777" w:rsidR="007F4948" w:rsidRPr="00163BA7" w:rsidRDefault="0086728C">
      <w:pPr>
        <w:tabs>
          <w:tab w:val="left" w:pos="426"/>
        </w:tabs>
        <w:spacing w:after="0"/>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Kata Kunci</w:t>
      </w:r>
    </w:p>
    <w:p w14:paraId="1BB111A3" w14:textId="09F84263" w:rsidR="007F4948" w:rsidRPr="00163BA7" w:rsidRDefault="00AB2BCC">
      <w:pPr>
        <w:ind w:left="2430" w:firstLine="720"/>
        <w:rPr>
          <w:rFonts w:ascii="Tw Cen MT" w:eastAsia="Twentieth Century" w:hAnsi="Tw Cen MT" w:cs="Twentieth Century"/>
        </w:rPr>
        <w:sectPr w:rsidR="007F4948" w:rsidRPr="00163BA7" w:rsidSect="00AB2BCC">
          <w:headerReference w:type="default" r:id="rId10"/>
          <w:footerReference w:type="default" r:id="rId11"/>
          <w:pgSz w:w="12240" w:h="15840"/>
          <w:pgMar w:top="1440" w:right="1440" w:bottom="1440" w:left="1440" w:header="720" w:footer="720" w:gutter="0"/>
          <w:pgNumType w:start="64"/>
          <w:cols w:space="720"/>
        </w:sectPr>
      </w:pPr>
      <w:r w:rsidRPr="00163BA7">
        <w:rPr>
          <w:rFonts w:ascii="Tw Cen MT" w:hAnsi="Tw Cen MT"/>
          <w:noProof/>
        </w:rPr>
        <mc:AlternateContent>
          <mc:Choice Requires="wps">
            <w:drawing>
              <wp:anchor distT="0" distB="0" distL="114300" distR="114300" simplePos="0" relativeHeight="251660288" behindDoc="0" locked="0" layoutInCell="1" hidden="0" allowOverlap="1" wp14:anchorId="45721578" wp14:editId="230F77CA">
                <wp:simplePos x="0" y="0"/>
                <wp:positionH relativeFrom="column">
                  <wp:posOffset>0</wp:posOffset>
                </wp:positionH>
                <wp:positionV relativeFrom="paragraph">
                  <wp:posOffset>179867</wp:posOffset>
                </wp:positionV>
                <wp:extent cx="5975985" cy="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id="Straight Arrow Connector 64" o:spid="_x0000_s1026" type="#_x0000_t32" style="position:absolute;margin-left:0;margin-top:14.15pt;width:470.5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pw2wEAALQDAAAOAAAAZHJzL2Uyb0RvYy54bWysU8tuGyEU3VfqPyD29YyjOo0tj6PKbrqp&#10;WktpP4AA40EBLrqXeOy/7wU7Th+LSlU2DHBf5xzOLG8PwYu9RXIQOzmdtFLYqMG4uOvkj+93726k&#10;oKyiUR6i7eTRkrxdvX2zHNPCXsEA3lgU3CTSYkydHHJOi6YhPdigaALJRg72gEFlPuKuMahG7h58&#10;c9W2180IaBKCtkR8uzkF5ar273ur87e+J5uF7yRjy3XFuj6UtVkt1WKHKg1On2Go/0ARlIs89NJq&#10;o7IST+j+ahWcRiDo80RDaKDvnbaVA7OZtn+wuR9UspULi0PpIhO9Xlv9db9F4Uwnr99LEVXgN7rP&#10;qNxuyOIjIoxiDTGyjoCCU1ivMdGCy9Zxi+cTpS0W8oceQ/kyLXGoGh8vGttDFpovZ/MPs/nNTAr9&#10;HGteChNS/mwhiLLpJJ2BXBBMq8Zq/4Uyj+bC54IyNcKd874+qI9iZDfO2xm/uVbsq96rzNuQmCnF&#10;Xe1D4J0pNaW6Os6uPYq9Yq+Yx2nhyiN+yyrzNoqGU1INnSyE8BRNnT1YZT5FI/IxsZaRXS8LGApS&#10;eMv/CG9qXlbO/zuPAfjIOIroJ5nL7gHMsapf79kaFenZxsV7v55r9cvPtvoJAAD//wMAUEsDBBQA&#10;BgAIAAAAIQCphF2d3AAAAAYBAAAPAAAAZHJzL2Rvd25yZXYueG1sTI/NTsMwEITvSH0Ha5G4USel&#10;VCXEqRC/Ug+VCFy4beNtnBKvo9hpwttjxAGOOzOa+TbfTLYVJ+p941hBOk9AEFdON1wreH97ulyD&#10;8AFZY+uYFHyRh00xO8sx027kVzqVoRaxhH2GCkwIXSalrwxZ9HPXEUfv4HqLIZ59LXWPYyy3rVwk&#10;yUpabDguGOzo3lD1WQ5WwTM9lLvD41i/0MdwvTxuHY7GKXVxPt3dggg0hb8w/OBHdCgi094NrL1o&#10;FcRHgoLF+gpEdG+WaQpi/yvIIpf/8YtvAAAA//8DAFBLAQItABQABgAIAAAAIQC2gziS/gAAAOEB&#10;AAATAAAAAAAAAAAAAAAAAAAAAABbQ29udGVudF9UeXBlc10ueG1sUEsBAi0AFAAGAAgAAAAhADj9&#10;If/WAAAAlAEAAAsAAAAAAAAAAAAAAAAALwEAAF9yZWxzLy5yZWxzUEsBAi0AFAAGAAgAAAAhAPKu&#10;enDbAQAAtAMAAA4AAAAAAAAAAAAAAAAALgIAAGRycy9lMm9Eb2MueG1sUEsBAi0AFAAGAAgAAAAh&#10;AKmEXZ3cAAAABgEAAA8AAAAAAAAAAAAAAAAANQQAAGRycy9kb3ducmV2LnhtbFBLBQYAAAAABAAE&#10;APMAAAA+BQAAAAA=&#10;" strokecolor="black [3200]" strokeweight="1.5pt">
                <v:stroke startarrowwidth="narrow" startarrowlength="short" endarrowwidth="narrow" endarrowlength="short"/>
              </v:shape>
            </w:pict>
          </mc:Fallback>
        </mc:AlternateContent>
      </w:r>
      <w:r w:rsidR="007A770B">
        <w:rPr>
          <w:rFonts w:ascii="Tw Cen MT" w:hAnsi="Tw Cen MT" w:cs="Arial"/>
          <w:i/>
          <w:sz w:val="16"/>
          <w:szCs w:val="16"/>
        </w:rPr>
        <w:t>Ovitrap Index;</w:t>
      </w:r>
      <w:r w:rsidR="00E03962" w:rsidRPr="00163BA7">
        <w:rPr>
          <w:rFonts w:ascii="Tw Cen MT" w:hAnsi="Tw Cen MT" w:cs="Arial"/>
          <w:i/>
          <w:sz w:val="16"/>
          <w:szCs w:val="16"/>
        </w:rPr>
        <w:t xml:space="preserve"> Aedes </w:t>
      </w:r>
      <w:r w:rsidR="007A770B">
        <w:rPr>
          <w:rFonts w:ascii="Tw Cen MT" w:hAnsi="Tw Cen MT" w:cs="Arial"/>
          <w:i/>
          <w:sz w:val="16"/>
          <w:szCs w:val="16"/>
        </w:rPr>
        <w:t>spp;</w:t>
      </w:r>
      <w:r w:rsidR="00E03962" w:rsidRPr="00163BA7">
        <w:rPr>
          <w:rFonts w:ascii="Tw Cen MT" w:hAnsi="Tw Cen MT" w:cs="Arial"/>
          <w:i/>
          <w:sz w:val="16"/>
          <w:szCs w:val="16"/>
        </w:rPr>
        <w:t xml:space="preserve"> DBD</w:t>
      </w:r>
    </w:p>
    <w:p w14:paraId="72FE6058" w14:textId="03D16E22" w:rsidR="007F4948" w:rsidRPr="00163BA7" w:rsidRDefault="002D30A7">
      <w:pPr>
        <w:tabs>
          <w:tab w:val="left" w:pos="426"/>
        </w:tabs>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lastRenderedPageBreak/>
        <w:t>INTRODUCTION</w:t>
      </w:r>
    </w:p>
    <w:p w14:paraId="7942643A" w14:textId="6CC55A6B" w:rsidR="002D30A7"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Dengue Hemorrhagic Fever (DHF) is an infectious disease caused by the bite of the </w:t>
      </w:r>
      <w:r w:rsidRPr="00163BA7">
        <w:rPr>
          <w:rFonts w:ascii="Tw Cen MT" w:eastAsia="Twentieth Century" w:hAnsi="Tw Cen MT" w:cs="Twentieth Century"/>
          <w:sz w:val="24"/>
          <w:szCs w:val="24"/>
        </w:rPr>
        <w:lastRenderedPageBreak/>
        <w:t xml:space="preserve">Aedes spp. Aedes spp. is the fastest-growing mosquito in the world and causes nearly 390 million people to be infected each year. </w:t>
      </w:r>
      <w:r w:rsidRPr="00163BA7">
        <w:rPr>
          <w:rFonts w:ascii="Tw Cen MT" w:eastAsia="Twentieth Century" w:hAnsi="Tw Cen MT" w:cs="Twentieth Century"/>
          <w:sz w:val="24"/>
          <w:szCs w:val="24"/>
        </w:rPr>
        <w:lastRenderedPageBreak/>
        <w:t>Dengue fever has symptoms in the form of fever or pain in the pit of the stomach continuously, bleeding from the nose, mouth, gums</w:t>
      </w:r>
      <w:r w:rsidR="006431BA" w:rsidRPr="00163BA7">
        <w:rPr>
          <w:rFonts w:ascii="Tw Cen MT" w:eastAsia="Twentieth Century" w:hAnsi="Tw Cen MT" w:cs="Twentieth Century"/>
          <w:sz w:val="24"/>
          <w:szCs w:val="24"/>
        </w:rPr>
        <w:t xml:space="preserve">, </w:t>
      </w:r>
      <w:r w:rsidRPr="00163BA7">
        <w:rPr>
          <w:rFonts w:ascii="Tw Cen MT" w:eastAsia="Twentieth Century" w:hAnsi="Tw Cen MT" w:cs="Twentieth Century"/>
          <w:sz w:val="24"/>
          <w:szCs w:val="24"/>
        </w:rPr>
        <w:t xml:space="preserve">or bruising on the skin </w:t>
      </w:r>
      <w:r w:rsidR="00431AAB" w:rsidRPr="00163BA7">
        <w:rPr>
          <w:rFonts w:ascii="Tw Cen MT" w:eastAsia="Twentieth Century" w:hAnsi="Tw Cen MT" w:cs="Twentieth Century"/>
          <w:sz w:val="24"/>
          <w:szCs w:val="24"/>
        </w:rPr>
        <w:fldChar w:fldCharType="begin" w:fldLock="1"/>
      </w:r>
      <w:r w:rsidR="001F1073" w:rsidRPr="00163BA7">
        <w:rPr>
          <w:rFonts w:ascii="Tw Cen MT" w:eastAsia="Twentieth Century" w:hAnsi="Tw Cen MT"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00431AAB" w:rsidRPr="00163BA7">
        <w:rPr>
          <w:rFonts w:ascii="Tw Cen MT" w:eastAsia="Twentieth Century" w:hAnsi="Tw Cen MT" w:cs="Twentieth Century"/>
          <w:sz w:val="24"/>
          <w:szCs w:val="24"/>
        </w:rPr>
        <w:fldChar w:fldCharType="separate"/>
      </w:r>
      <w:r w:rsidR="007368A2" w:rsidRPr="00163BA7">
        <w:rPr>
          <w:rFonts w:ascii="Tw Cen MT" w:eastAsia="Twentieth Century" w:hAnsi="Tw Cen MT" w:cs="Twentieth Century"/>
          <w:noProof/>
          <w:sz w:val="24"/>
          <w:szCs w:val="24"/>
        </w:rPr>
        <w:t>[1]</w:t>
      </w:r>
      <w:r w:rsidR="00431AAB"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w:t>
      </w:r>
      <w:r w:rsidR="00431AAB" w:rsidRPr="00163BA7">
        <w:rPr>
          <w:rFonts w:ascii="Tw Cen MT" w:eastAsia="Twentieth Century" w:hAnsi="Tw Cen MT" w:cs="Twentieth Century"/>
          <w:sz w:val="24"/>
          <w:szCs w:val="24"/>
        </w:rPr>
        <w:t xml:space="preserve"> </w:t>
      </w:r>
    </w:p>
    <w:p w14:paraId="04ED12EE" w14:textId="77777777" w:rsidR="009F6554" w:rsidRPr="00163BA7" w:rsidRDefault="009F6554" w:rsidP="009F6554">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DHF is transmitted to humans through the bite of an Aedes spp mosquito infected with the Dengue virus. Dengue virus causes Dengue Fever (DD), Dengue Hemorrhagic Fever (DHF) and Dengue Shock Syndrome (DSS). This virus belongs to the group B Arthropod Virus (Arboviruesis) which is now known as the genus Flavivirus, family Flaviviridae, and has 4 types of serotypes, namely: Den-1, Den-2, Den-3, Den-4 </w:t>
      </w:r>
      <w:r w:rsidRPr="00163BA7">
        <w:rPr>
          <w:rFonts w:ascii="Tw Cen MT" w:eastAsia="Twentieth Century" w:hAnsi="Tw Cen MT" w:cs="Twentieth Century"/>
          <w:sz w:val="24"/>
          <w:szCs w:val="24"/>
        </w:rPr>
        <w:fldChar w:fldCharType="begin" w:fldLock="1"/>
      </w:r>
      <w:r w:rsidRPr="00163BA7">
        <w:rPr>
          <w:rFonts w:ascii="Tw Cen MT" w:eastAsia="Twentieth Century" w:hAnsi="Tw Cen MT"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Pr="00163BA7">
        <w:rPr>
          <w:rFonts w:ascii="Tw Cen MT" w:eastAsia="Twentieth Century" w:hAnsi="Tw Cen MT" w:cs="Twentieth Century"/>
          <w:sz w:val="24"/>
          <w:szCs w:val="24"/>
        </w:rPr>
        <w:fldChar w:fldCharType="separate"/>
      </w:r>
      <w:r w:rsidRPr="00163BA7">
        <w:rPr>
          <w:rFonts w:ascii="Tw Cen MT" w:eastAsia="Twentieth Century" w:hAnsi="Tw Cen MT" w:cs="Twentieth Century"/>
          <w:noProof/>
          <w:sz w:val="24"/>
          <w:szCs w:val="24"/>
        </w:rPr>
        <w:t>[1]</w:t>
      </w:r>
      <w:r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w:t>
      </w:r>
    </w:p>
    <w:p w14:paraId="58226379" w14:textId="4107C467" w:rsidR="009F6554"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DHF is still one of the main public health problems in Indonesia. The number of sufferers and the area of their distribution </w:t>
      </w:r>
      <w:r w:rsidR="006431BA" w:rsidRPr="00163BA7">
        <w:rPr>
          <w:rFonts w:ascii="Tw Cen MT" w:eastAsia="Twentieth Century" w:hAnsi="Tw Cen MT" w:cs="Twentieth Century"/>
          <w:sz w:val="24"/>
          <w:szCs w:val="24"/>
        </w:rPr>
        <w:t>is</w:t>
      </w:r>
      <w:r w:rsidRPr="00163BA7">
        <w:rPr>
          <w:rFonts w:ascii="Tw Cen MT" w:eastAsia="Twentieth Century" w:hAnsi="Tw Cen MT" w:cs="Twentieth Century"/>
          <w:sz w:val="24"/>
          <w:szCs w:val="24"/>
        </w:rPr>
        <w:t xml:space="preserve"> increasing along with the increasing mobility and population density. DHF was first discovered in Indonesia in the city of Surabaya in 1968, this disease spread widely throughout Indonesia</w:t>
      </w:r>
      <w:r w:rsidR="005E0707" w:rsidRPr="00163BA7">
        <w:rPr>
          <w:rFonts w:ascii="Tw Cen MT" w:eastAsia="Twentieth Century" w:hAnsi="Tw Cen MT" w:cs="Twentieth Century"/>
          <w:sz w:val="24"/>
          <w:szCs w:val="24"/>
        </w:rPr>
        <w:fldChar w:fldCharType="begin" w:fldLock="1"/>
      </w:r>
      <w:r w:rsidR="005E0707" w:rsidRPr="00163BA7">
        <w:rPr>
          <w:rFonts w:ascii="Tw Cen MT" w:eastAsia="Twentieth Century" w:hAnsi="Tw Cen MT"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005E0707" w:rsidRPr="00163BA7">
        <w:rPr>
          <w:rFonts w:ascii="Tw Cen MT" w:eastAsia="Twentieth Century" w:hAnsi="Tw Cen MT" w:cs="Twentieth Century"/>
          <w:sz w:val="24"/>
          <w:szCs w:val="24"/>
        </w:rPr>
        <w:fldChar w:fldCharType="separate"/>
      </w:r>
      <w:r w:rsidR="005E0707" w:rsidRPr="00163BA7">
        <w:rPr>
          <w:rFonts w:ascii="Tw Cen MT" w:eastAsia="Twentieth Century" w:hAnsi="Tw Cen MT" w:cs="Twentieth Century"/>
          <w:noProof/>
          <w:sz w:val="24"/>
          <w:szCs w:val="24"/>
        </w:rPr>
        <w:t>[1]</w:t>
      </w:r>
      <w:r w:rsidR="005E0707"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xml:space="preserve">. </w:t>
      </w:r>
      <w:r w:rsidR="00E067A8" w:rsidRPr="00163BA7">
        <w:rPr>
          <w:rFonts w:ascii="Tw Cen MT" w:eastAsia="Twentieth Century" w:hAnsi="Tw Cen MT" w:cs="Twentieth Century"/>
          <w:sz w:val="24"/>
          <w:szCs w:val="24"/>
        </w:rPr>
        <w:t>The DHF Incidence Rate (IR) in 2016 in Indonesia was 78.9 per 100,000 population, relatively decreased in 2017 and 2018 (26.1 and 24.8) and increased again in 2019 to 51.5. The incidence rate of dengue fever in 2020 is 40 per 100,000 population. Riau Archipelago is the province with the fifth highest DHF incidence in Indonesia (78.2)</w:t>
      </w:r>
      <w:r w:rsidR="00D428B5" w:rsidRPr="00163BA7">
        <w:rPr>
          <w:rFonts w:ascii="Tw Cen MT" w:eastAsia="Twentieth Century" w:hAnsi="Tw Cen MT" w:cs="Twentieth Century"/>
          <w:sz w:val="24"/>
          <w:szCs w:val="24"/>
        </w:rPr>
        <w:fldChar w:fldCharType="begin" w:fldLock="1"/>
      </w:r>
      <w:r w:rsidR="00D428B5" w:rsidRPr="00163BA7">
        <w:rPr>
          <w:rFonts w:ascii="Tw Cen MT" w:eastAsia="Twentieth Century" w:hAnsi="Tw Cen MT" w:cs="Twentieth Century"/>
          <w:sz w:val="24"/>
          <w:szCs w:val="24"/>
        </w:rPr>
        <w:instrText>ADDIN CSL_CITATION {"citationItems":[{"id":"ITEM-1","itemData":{"ISBN":"9786024160654","abstract":"In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mediators.","author":[{"dropping-particle":"","family":"Minister of Health Republic of Indonesia","given":"","non-dropping-particle":"","parse-names":false,"suffix":""}],"container-title":"Jakarta","id":"ITEM-1","issued":{"date-parts":[["2920"]]},"number-of-pages":"480","title":"Indonesia Health Profile 2020","type":"book"},"uris":["http://www.mendeley.com/documents/?uuid=73234802-7ab0-4357-b541-9625f19e805b"]}],"mendeley":{"formattedCitation":"[2]","plainTextFormattedCitation":"[2]"},"properties":{"noteIndex":0},"schema":"https://github.com/citation-style-language/schema/raw/master/csl-citation.json"}</w:instrText>
      </w:r>
      <w:r w:rsidR="00D428B5" w:rsidRPr="00163BA7">
        <w:rPr>
          <w:rFonts w:ascii="Tw Cen MT" w:eastAsia="Twentieth Century" w:hAnsi="Tw Cen MT" w:cs="Twentieth Century"/>
          <w:sz w:val="24"/>
          <w:szCs w:val="24"/>
        </w:rPr>
        <w:fldChar w:fldCharType="separate"/>
      </w:r>
      <w:r w:rsidR="00D428B5" w:rsidRPr="00163BA7">
        <w:rPr>
          <w:rFonts w:ascii="Tw Cen MT" w:eastAsia="Twentieth Century" w:hAnsi="Tw Cen MT" w:cs="Twentieth Century"/>
          <w:noProof/>
          <w:sz w:val="24"/>
          <w:szCs w:val="24"/>
        </w:rPr>
        <w:t>[2]</w:t>
      </w:r>
      <w:r w:rsidR="00D428B5" w:rsidRPr="00163BA7">
        <w:rPr>
          <w:rFonts w:ascii="Tw Cen MT" w:eastAsia="Twentieth Century" w:hAnsi="Tw Cen MT" w:cs="Twentieth Century"/>
          <w:sz w:val="24"/>
          <w:szCs w:val="24"/>
        </w:rPr>
        <w:fldChar w:fldCharType="end"/>
      </w:r>
      <w:r w:rsidR="001F1073" w:rsidRPr="00163BA7">
        <w:rPr>
          <w:rFonts w:ascii="Tw Cen MT" w:eastAsia="Twentieth Century" w:hAnsi="Tw Cen MT" w:cs="Twentieth Century"/>
          <w:sz w:val="24"/>
          <w:szCs w:val="24"/>
        </w:rPr>
        <w:t>.</w:t>
      </w:r>
    </w:p>
    <w:p w14:paraId="0333E42C" w14:textId="3A3898DE" w:rsidR="007006B9"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number of dengue cases in Tanjungpinang city is 430 cases. DHF cases in Tanjungpinang City increased from the previous year which</w:t>
      </w:r>
      <w:r w:rsidR="00F817F4" w:rsidRPr="00163BA7">
        <w:rPr>
          <w:rFonts w:ascii="Tw Cen MT" w:eastAsia="Twentieth Century" w:hAnsi="Tw Cen MT" w:cs="Twentieth Century"/>
          <w:sz w:val="24"/>
          <w:szCs w:val="24"/>
        </w:rPr>
        <w:t xml:space="preserve"> amounted to 353 cases in 2018</w:t>
      </w:r>
      <w:r w:rsidR="00E00E3E" w:rsidRPr="00163BA7">
        <w:rPr>
          <w:rFonts w:ascii="Tw Cen MT" w:eastAsia="Twentieth Century" w:hAnsi="Tw Cen MT" w:cs="Twentieth Century"/>
          <w:sz w:val="24"/>
          <w:szCs w:val="24"/>
        </w:rPr>
        <w:t>.</w:t>
      </w:r>
      <w:r w:rsidR="007006B9" w:rsidRPr="00163BA7">
        <w:rPr>
          <w:rFonts w:ascii="Tw Cen MT" w:eastAsia="Twentieth Century" w:hAnsi="Tw Cen MT" w:cs="Twentieth Century"/>
          <w:sz w:val="24"/>
          <w:szCs w:val="24"/>
        </w:rPr>
        <w:t xml:space="preserve"> </w:t>
      </w:r>
      <w:r w:rsidR="005471FC" w:rsidRPr="00163BA7">
        <w:rPr>
          <w:rFonts w:ascii="Tw Cen MT" w:eastAsia="Twentieth Century" w:hAnsi="Tw Cen MT" w:cs="Twentieth Century"/>
          <w:sz w:val="24"/>
          <w:szCs w:val="24"/>
        </w:rPr>
        <w:t>In 2019 there were 430 cases of DHF with one death</w:t>
      </w:r>
      <w:r w:rsidR="00F817F4" w:rsidRPr="00163BA7">
        <w:rPr>
          <w:rFonts w:ascii="Tw Cen MT" w:eastAsia="Twentieth Century" w:hAnsi="Tw Cen MT" w:cs="Twentieth Century"/>
          <w:sz w:val="24"/>
          <w:szCs w:val="24"/>
        </w:rPr>
        <w:t xml:space="preserve"> </w:t>
      </w:r>
      <w:r w:rsidR="00F817F4" w:rsidRPr="00163BA7">
        <w:rPr>
          <w:rFonts w:ascii="Tw Cen MT" w:eastAsia="Twentieth Century" w:hAnsi="Tw Cen MT" w:cs="Twentieth Century"/>
          <w:sz w:val="24"/>
          <w:szCs w:val="24"/>
        </w:rPr>
        <w:fldChar w:fldCharType="begin" w:fldLock="1"/>
      </w:r>
      <w:r w:rsidR="00D428B5" w:rsidRPr="00163BA7">
        <w:rPr>
          <w:rFonts w:ascii="Tw Cen MT" w:eastAsia="Twentieth Century" w:hAnsi="Tw Cen MT" w:cs="Twentieth Century"/>
          <w:sz w:val="24"/>
          <w:szCs w:val="24"/>
        </w:rPr>
        <w:instrText>ADDIN CSL_CITATION {"citationItems":[{"id":"ITEM-1","itemData":{"author":[{"dropping-particle":"","family":"Dinas Kesehatan Kota Tanjungpinang","given":"","non-dropping-particle":"","parse-names":false,"suffix":""}],"id":"ITEM-1","issued":{"date-parts":[["2022"]]},"publisher":"Dinas Kesehatan Kota Tanjungpinang","title":"Data Demam Berdarah Dengue (DBD) di Kota Tanjungpinang","type":"report"},"uris":["http://www.mendeley.com/documents/?uuid=5f1ae029-f882-487b-93de-948aa9599d79"]}],"mendeley":{"formattedCitation":"[3]","plainTextFormattedCitation":"[3]","previouslyFormattedCitation":"[3]"},"properties":{"noteIndex":0},"schema":"https://github.com/citation-style-language/schema/raw/master/csl-citation.json"}</w:instrText>
      </w:r>
      <w:r w:rsidR="00F817F4" w:rsidRPr="00163BA7">
        <w:rPr>
          <w:rFonts w:ascii="Tw Cen MT" w:eastAsia="Twentieth Century" w:hAnsi="Tw Cen MT" w:cs="Twentieth Century"/>
          <w:sz w:val="24"/>
          <w:szCs w:val="24"/>
        </w:rPr>
        <w:fldChar w:fldCharType="separate"/>
      </w:r>
      <w:r w:rsidR="00F817F4" w:rsidRPr="00163BA7">
        <w:rPr>
          <w:rFonts w:ascii="Tw Cen MT" w:eastAsia="Twentieth Century" w:hAnsi="Tw Cen MT" w:cs="Twentieth Century"/>
          <w:noProof/>
          <w:sz w:val="24"/>
          <w:szCs w:val="24"/>
        </w:rPr>
        <w:t>[3]</w:t>
      </w:r>
      <w:r w:rsidR="00F817F4" w:rsidRPr="00163BA7">
        <w:rPr>
          <w:rFonts w:ascii="Tw Cen MT" w:eastAsia="Twentieth Century" w:hAnsi="Tw Cen MT" w:cs="Twentieth Century"/>
          <w:sz w:val="24"/>
          <w:szCs w:val="24"/>
        </w:rPr>
        <w:fldChar w:fldCharType="end"/>
      </w:r>
      <w:r w:rsidR="00F817F4" w:rsidRPr="00163BA7">
        <w:rPr>
          <w:rFonts w:ascii="Tw Cen MT" w:eastAsia="Twentieth Century" w:hAnsi="Tw Cen MT" w:cs="Twentieth Century"/>
          <w:sz w:val="24"/>
          <w:szCs w:val="24"/>
        </w:rPr>
        <w:t>.</w:t>
      </w:r>
      <w:r w:rsidR="007006B9" w:rsidRPr="00163BA7">
        <w:rPr>
          <w:rFonts w:ascii="Tw Cen MT" w:eastAsia="Twentieth Century" w:hAnsi="Tw Cen MT" w:cs="Twentieth Century"/>
          <w:sz w:val="24"/>
          <w:szCs w:val="24"/>
        </w:rPr>
        <w:t xml:space="preserve"> </w:t>
      </w:r>
    </w:p>
    <w:p w14:paraId="187EA450" w14:textId="4A5392CF" w:rsidR="002D30A7"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number of cases of Dengue Hemorrhagic Fever (DHF) in 2020 in the working area of the Sei Jang Health Center was 78 cases. The highest number of cases was found in the Sei Jang sub-district, which amounted to 46 cases. DHF case data from 2015-2020 shows that the highest number of cases in the working area of the Sei Jang Health Center was in 2019 which amounted to 82 cases and the lowest number of cases was in 2017 which amounted to 17 cases.   </w:t>
      </w:r>
      <w:r w:rsidRPr="00163BA7">
        <w:rPr>
          <w:rFonts w:ascii="Tw Cen MT" w:eastAsia="Twentieth Century" w:hAnsi="Tw Cen MT" w:cs="Twentieth Century"/>
          <w:sz w:val="24"/>
          <w:szCs w:val="24"/>
        </w:rPr>
        <w:tab/>
      </w:r>
    </w:p>
    <w:p w14:paraId="4D724224" w14:textId="6A29307F" w:rsidR="002D30A7"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lastRenderedPageBreak/>
        <w:t xml:space="preserve">Factors that play a role in the emergence of disease based on the epidemiological triangle are influenced by the environment, host, agent, and vector. The environment significantly affects pain for each individual, including social, economic and especially community behavior, increasing population mobility, residential density, better transportation facilities and there are still breeding places for dengue-transmitting mosquitoes </w:t>
      </w:r>
      <w:r w:rsidR="00F817F4" w:rsidRPr="00163BA7">
        <w:rPr>
          <w:rFonts w:ascii="Tw Cen MT" w:eastAsia="Twentieth Century" w:hAnsi="Tw Cen MT" w:cs="Twentieth Century"/>
          <w:sz w:val="24"/>
          <w:szCs w:val="24"/>
        </w:rPr>
        <w:fldChar w:fldCharType="begin" w:fldLock="1"/>
      </w:r>
      <w:r w:rsidR="00F817F4" w:rsidRPr="00163BA7">
        <w:rPr>
          <w:rFonts w:ascii="Tw Cen MT" w:eastAsia="Twentieth Century" w:hAnsi="Tw Cen MT" w:cs="Twentieth Century"/>
          <w:sz w:val="24"/>
          <w:szCs w:val="24"/>
        </w:rPr>
        <w:instrText>ADDIN CSL_CITATION {"citationItems":[{"id":"ITEM-1","itemData":{"DOI":"10.32583/pskm.9.1.2019.28-35","ISSN":"2089-0834","abstract":"Demam Berdarah Dengue (DBD) adalah penyakit infeksi yang masih menjadi masalah kesehatan yang serius karena bersifat endemis. Penyebaran di daerah tropis dan subtropis terutama di Asia Selatan-Timur, Asia Tenggara. Penelitian ini bertujuan untuk menjelaskan beberapa faktor yang berpengaruh terhadap kejadian DBD pada anak usia 6-12 tahun. Penelitian menggunakan desain penelitian campuran atau mixed methode yang mengkobinasikan bentuk kuantitatif dan kualitatif. Spesifikasi penelitian kuantitatif :observasional analitik desain case control study. Dilakukan kajian kualitatif dengan wawancara mendalam. Populasi studi adalah semua anak usia 6-12 tahun yang tinggal di Kota Semarang. Jumlah subyek 70 kasus dan 70 kontrol yang diambil secara consecutive sampling. Data di analisis secara bivariat dan multivariat dengan metode regresi logistik. Faktor-faktor  yang terbukti berpengaruh terhadap kejadian DBD pada anak usia 6-12 tahun; pendidikan ibu rendah (p= 0.004; OR  3.031; 95%CI 1.4281-6.434), kebiasaan tidak memakai obat anti nyamuk ( p= 0.001; OR 4.293; 95%CI 1.935-9.526), kebiasaan tidak memakai pakaian panjang (p= 0.013; OR 2.759; 95%CI 1.240-6.138) Sedangkan faktor yang terbukti tidak berpengaruh; kebiasaan tidur siang, kebiasaan menggantung pakaian dalam rumah, forum penyampaian informasi, rutinitas pemeriksaan jentik dan praktik PSN. Faktor-faktor yang terbukti berpengaruh terhadap kejadian DBD pada anak usia 6-12 tahun adalah pendidikan ibu rendah, kebiasaan tidak memakai obat anti nyamuk dan kebiasaan tidak memakai pakaian panjang memiliki probabilitas 85,3% untuk mengalami DBD.\r Kata kunci  : DBD, nyamuk, dengue.\r  \r VARIOUS FACTORS INFLUENCING THE DENGUE FEVER OCCURRENCES IN \r THE CHILDREN AGE 6 TO 12 YEARS OLD \r  \r ABSTRACT\r The Dengue Fever is an infectious disease that still becomes a serious health issue since it is endemic. The disease spreads in the tropical and subtropical areas particularly in the Southeast Asia. This research aims to explain the various factors influencing the occurrences of the dengue fever in the children age 6 to 12 years old. This research uses mixed method research design combined with both quantitative and qualitative methods. The quantitative research specification is the observational analytic case control design while the indept interview technique is used as the qualitative research method. The population of the study is all children age 6 to 12 years old who live in the Semarang City. The number of the subjects i…","author":[{"dropping-particle":"","family":"Sandra","given":"Tuti","non-dropping-particle":"","parse-names":false,"suffix":""},{"dropping-particle":"","family":"Sofro","given":"Muchlis AU","non-dropping-particle":"","parse-names":false,"suffix":""},{"dropping-particle":"","family":"Suhartono","given":"Suhartono","non-dropping-particle":"","parse-names":false,"suffix":""},{"dropping-particle":"","family":"Martini","given":"Martini","non-dropping-particle":"","parse-names":false,"suffix":""},{"dropping-particle":"","family":"Hadisaputro","given":"Soeharyo","non-dropping-particle":"","parse-names":false,"suffix":""}],"container-title":"Jurnal Ilmiah Permas: Jurnal Ilmiah STIKES Kendal","id":"ITEM-1","issue":"1","issued":{"date-parts":[["2019"]]},"page":"28-35","title":"Faktor Yang Berpengaruh Terhadap Kejadian Demam Berdarah Dengue Pada Anak Usia 6-12 Tahun","type":"article-journal","volume":"9"},"uris":["http://www.mendeley.com/documents/?uuid=5f8bb836-afc3-4b06-899a-c106fcbee1d1"]}],"mendeley":{"formattedCitation":"[4]","plainTextFormattedCitation":"[4]","previouslyFormattedCitation":"[4]"},"properties":{"noteIndex":0},"schema":"https://github.com/citation-style-language/schema/raw/master/csl-citation.json"}</w:instrText>
      </w:r>
      <w:r w:rsidR="00F817F4" w:rsidRPr="00163BA7">
        <w:rPr>
          <w:rFonts w:ascii="Tw Cen MT" w:eastAsia="Twentieth Century" w:hAnsi="Tw Cen MT" w:cs="Twentieth Century"/>
          <w:sz w:val="24"/>
          <w:szCs w:val="24"/>
        </w:rPr>
        <w:fldChar w:fldCharType="separate"/>
      </w:r>
      <w:r w:rsidR="00F817F4" w:rsidRPr="00163BA7">
        <w:rPr>
          <w:rFonts w:ascii="Tw Cen MT" w:eastAsia="Twentieth Century" w:hAnsi="Tw Cen MT" w:cs="Twentieth Century"/>
          <w:noProof/>
          <w:sz w:val="24"/>
          <w:szCs w:val="24"/>
        </w:rPr>
        <w:t>[4]</w:t>
      </w:r>
      <w:r w:rsidR="00F817F4" w:rsidRPr="00163BA7">
        <w:rPr>
          <w:rFonts w:ascii="Tw Cen MT" w:eastAsia="Twentieth Century" w:hAnsi="Tw Cen MT" w:cs="Twentieth Century"/>
          <w:sz w:val="24"/>
          <w:szCs w:val="24"/>
        </w:rPr>
        <w:fldChar w:fldCharType="end"/>
      </w:r>
      <w:r w:rsidR="00F817F4" w:rsidRPr="00163BA7">
        <w:rPr>
          <w:rFonts w:ascii="Tw Cen MT" w:eastAsia="Twentieth Century" w:hAnsi="Tw Cen MT" w:cs="Twentieth Century"/>
          <w:sz w:val="24"/>
          <w:szCs w:val="24"/>
        </w:rPr>
        <w:t>.</w:t>
      </w:r>
    </w:p>
    <w:p w14:paraId="336037F2" w14:textId="42575801" w:rsidR="002D30A7"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Many efforts to control the Aedes aegypti mosquito have been carried out, including chemical, physical and biological control. However, until now control is still focused on the use of chemical insecticides. One method that can be used as a survey tool and a mosquito vector control tool recommended by the World Health Organization (WHO) is the mosquito egg trap or</w:t>
      </w:r>
      <w:r w:rsidR="00F817F4" w:rsidRPr="00163BA7">
        <w:rPr>
          <w:rFonts w:ascii="Tw Cen MT" w:eastAsia="Twentieth Century" w:hAnsi="Tw Cen MT" w:cs="Twentieth Century"/>
          <w:sz w:val="24"/>
          <w:szCs w:val="24"/>
        </w:rPr>
        <w:t xml:space="preserve"> ovitrap </w:t>
      </w:r>
      <w:r w:rsidR="00F817F4" w:rsidRPr="00163BA7">
        <w:rPr>
          <w:rFonts w:ascii="Tw Cen MT" w:eastAsia="Twentieth Century" w:hAnsi="Tw Cen MT" w:cs="Twentieth Century"/>
          <w:sz w:val="24"/>
          <w:szCs w:val="24"/>
        </w:rPr>
        <w:fldChar w:fldCharType="begin" w:fldLock="1"/>
      </w:r>
      <w:r w:rsidR="00F817F4" w:rsidRPr="00163BA7">
        <w:rPr>
          <w:rFonts w:ascii="Tw Cen MT" w:eastAsia="Twentieth Century" w:hAnsi="Tw Cen MT" w:cs="Twentieth Century"/>
          <w:sz w:val="24"/>
          <w:szCs w:val="24"/>
        </w:rPr>
        <w:instrText>ADDIN CSL_CITATION {"citationItems":[{"id":"ITEM-1","itemData":{"DOI":"10.21776/ub.jkb.2016.029.02.10","ISSN":"2338-0772","abstract":"Ovitrap merupakan alat perangkap telur nyamuk yang sukses diaplikasikan di beberapa negara. Penyederhanaan model ovitrap telah dilakukan dan diaplikasikan di Kepanjen, Kabupaten Malang namun sampai saat ini kontribusinya dalam menurunkan kepadatan larva belum pernah dievaluasi. Penelitian ini bertujuan untuk membandingkan House Index, Container Index, Breteau Index, dan Density Index antara daerah perlakuan dan daerah kontrol serta sebelum dan sesudah intervensi, mengetahui trend jumlah telur nyamuk per ovitrap, serta mengidentifikasi jenis larva yang ditetaskan dari telur yang didapat dari ovitrap. Penelitian Eksperimen Kuasi dilakukan di 4 Rukun Warga (RW) dari kelurahan yang berbeda di Kotamadya Malang pada September 2013-Februari 2014 yang memiliki Incidence Rate (per 10.000 penduduk) DBD tertinggi dalam empat bulan pertama 2013 yaitu 11,89 untuk Jatimulyo; 10,52 untuk Merjosari; 31,57 untuk Sumbersari; dan 25,21 untuk Bandulan. Hasilnya menunjukkan bahwa angka kepadatan larva (HI, BI, CI, dan DI) dua RW perlakuan lebih rendah secara signifikan (p&lt;0,05) dibandingkan dua RW kontrol dengan Uji Mann Whitney. Kepadatan larva dan ratarata jumlah telur dari ovitrap sesudah aplikasi ovitrap lebih rendah dibandingkan sebelumnya. Sebagian besar telur yang terperangkap merupakan telur Aedes aegypti. Disimpulkan bahwa aplikasi ovitrap di 4 RW dari kelurahan di Malang efektif untuk menurunkan kepadatan larva dan dapat diterapkan sebagai salah satu cara pengendalian nyamuk Ae. aegypti.","author":[{"dropping-particle":"","family":"Zuhriyah","given":"Lilik","non-dropping-particle":"","parse-names":false,"suffix":""},{"dropping-particle":"","family":"Baskoro Tunggul Satoto","given":"Tri","non-dropping-particle":"","parse-names":false,"suffix":""},{"dropping-particle":"","family":"Kusnanto","given":"Hari","non-dropping-particle":"","parse-names":false,"suffix":""}],"container-title":"Jurnal Kedokteran Brawijaya","id":"ITEM-1","issue":"2","issued":{"date-parts":[["2016"]]},"page":"157-164","title":"Efektifitas Modifikasi Ovitrap Model Kepanjen untuk Menurunkan Angka Kepadatan Larva Aedes aegypti di Malang","type":"article-journal","volume":"29"},"uris":["http://www.mendeley.com/documents/?uuid=ddbd27cb-3553-4735-a683-41fb2cabb69c"]}],"mendeley":{"formattedCitation":"[5]","plainTextFormattedCitation":"[5]","previouslyFormattedCitation":"[5]"},"properties":{"noteIndex":0},"schema":"https://github.com/citation-style-language/schema/raw/master/csl-citation.json"}</w:instrText>
      </w:r>
      <w:r w:rsidR="00F817F4" w:rsidRPr="00163BA7">
        <w:rPr>
          <w:rFonts w:ascii="Tw Cen MT" w:eastAsia="Twentieth Century" w:hAnsi="Tw Cen MT" w:cs="Twentieth Century"/>
          <w:sz w:val="24"/>
          <w:szCs w:val="24"/>
        </w:rPr>
        <w:fldChar w:fldCharType="separate"/>
      </w:r>
      <w:r w:rsidR="00F817F4" w:rsidRPr="00163BA7">
        <w:rPr>
          <w:rFonts w:ascii="Tw Cen MT" w:eastAsia="Twentieth Century" w:hAnsi="Tw Cen MT" w:cs="Twentieth Century"/>
          <w:noProof/>
          <w:sz w:val="24"/>
          <w:szCs w:val="24"/>
        </w:rPr>
        <w:t>[5]</w:t>
      </w:r>
      <w:r w:rsidR="00F817F4"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w:t>
      </w:r>
    </w:p>
    <w:p w14:paraId="0D4F02BA" w14:textId="5884D04E" w:rsidR="002D30A7" w:rsidRPr="00163BA7" w:rsidRDefault="002D30A7" w:rsidP="002D30A7">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Ovitrap is one of the mechanical vector control. Ovitrap has many advantages in producing more specific, economical and sensitive monitoring data. Ovitrap is very easy to care for and clean as you only need to change the water every week and brush the inside. This treatment is the same as the principle of draining a bathtub (3M), only carried out in a </w:t>
      </w:r>
      <w:r w:rsidR="00F817F4" w:rsidRPr="00163BA7">
        <w:rPr>
          <w:rFonts w:ascii="Tw Cen MT" w:eastAsia="Twentieth Century" w:hAnsi="Tw Cen MT" w:cs="Twentieth Century"/>
          <w:sz w:val="24"/>
          <w:szCs w:val="24"/>
        </w:rPr>
        <w:t xml:space="preserve">smaller container </w:t>
      </w:r>
      <w:r w:rsidR="00F817F4" w:rsidRPr="00163BA7">
        <w:rPr>
          <w:rFonts w:ascii="Tw Cen MT" w:eastAsia="Twentieth Century" w:hAnsi="Tw Cen MT" w:cs="Twentieth Century"/>
          <w:sz w:val="24"/>
          <w:szCs w:val="24"/>
        </w:rPr>
        <w:fldChar w:fldCharType="begin" w:fldLock="1"/>
      </w:r>
      <w:r w:rsidR="00F817F4" w:rsidRPr="00163BA7">
        <w:rPr>
          <w:rFonts w:ascii="Tw Cen MT" w:eastAsia="Twentieth Century" w:hAnsi="Tw Cen MT" w:cs="Twentieth Century"/>
          <w:sz w:val="24"/>
          <w:szCs w:val="24"/>
        </w:rPr>
        <w:instrText>ADDIN CSL_CITATION {"citationItems":[{"id":"ITEM-1","itemData":{"ISSN":"2088-8961","abstract":"ABSTRAK Penyakit Demam Berdarah Dengue (DBD) merupakan salah satu masalah kesehatan yang penting di Indonesia. Penularan Penyakit di sebarkan oleh nyamuk Aedes sp. Penularan Virus Dengue (VirDen) terjadi secara transexual atau induk jantan ke induk betina namun juga secara transovarial dari induk betina ke keturunan-keturunanya. Tempat Perkembangbiakan (TP) nyamuk vektor DBD adalah wadah (container) yang berisi air jernih yang ada di dalam dan sekitar rumah. Survai yang dilakukan, angka jentik Aedes sp. di beberapa daerah masih tinggi. Angka CFR DBD Kota Semarang di tahun 2012 meningkat dari tahun 2011 sebanyak 0,77% menjadi 1,76%. Jumlah Penderita DBD di wilayah kerja Puskesmas Rowosari dari bulan Januari-Oktober 2013 mencapai 49 kasus dari 38.396 jiwa dengan IR/10.000 penduduk adalah 11,72. Di Kelurahan Bulusan Kecamatan Tembalang terdapat 5 kasus dari 3924 penduduk RW 03 merupakan kejadian yang paling tinggi yaitu 3 kasus dari 932 penduduk. IR/10.000 sebesar 32,19. Kegiatan monitoring dengan cara survei telur memasang ovitrap dinilai sangat efektif untuk mendeteksi keberadaan nyamuk Aedes sp di suatu daerah dan bahkan pada level yang rendah. Kata kunci : DB , Aedes sp , Ovitrap Pengaruh Ovitrap Sebagai ... Kurnia N.L, Whawan B.A, Tyas I 27 PENDAHULUAN Penyakit DBD merupakan salah satu masalah kesehatan yang penting di Indonesia. Penularan penyakit di sebarkan oleh nyamuk Aedes sp .Penularan Virus Dengue (VirDen) terjadi secara transexual atau induk jantan ke induk betina namun juga secara transovarial dari induk betina ke keturunan-keturunanya. Penyebaran vektor Aedes sp sangat luas mulai dari daerah perkotaan (urban) yang penduduknya padat maupu pedesaan (rural). Upaya pengendalian vektor nyamuk salah satunya adalah dengan pembatasan vektornya. Tempat Perkembangbiakan (TP) nyamuk vektor DBD adalah wadah (container) yang berisi air jernih yang ada di dalam dan sekitar rumah. Survai yang dilakukan, angka jentik Aedes sp. di beberapa daerah masih tinggi. Jumlah penderita DBD sampai tahun 2011 dilaporkan sebanyak 65.725 kasus dan jumlah kematian 597 orang serta terdapat 13 Kabupaten/Kota dari 7 Provinsi yang terjadi KLB (Profil Kesehatan Indonesia, 2011). Angka CFR DBD Kota Semarang di tahun 2012 meningkat dari tahun 2011 sebanyak 0,77% menjadi 1,76%. Jumlah Penderita DBD di wilayah kerja Puskesmas Rowosari dari bulan Januari-Oktober 2013 mencapai 49 kasus dari 38.396 jiwa dengan IR/10.000 penduduk adalah 11,72. Di kelurahan Bulusan Kecamatan Tembalang …","author":[{"dropping-particle":"","family":"Latifa","given":"K.","non-dropping-particle":"","parse-names":false,"suffix":""},{"dropping-particle":"","family":"Arusyid","given":"W.","non-dropping-particle":"","parse-names":false,"suffix":""},{"dropping-particle":"","family":"Iswidaty","given":"T.","non-dropping-particle":"","parse-names":false,"suffix":""},{"dropping-particle":"","family":"Sutiningsih","given":"D.","non-dropping-particle":"","parse-names":false,"suffix":""}],"container-title":"Jurnal Ilmiah Mahasiswa","id":"ITEM-1","issue":"1","issued":{"date-parts":[["2013"]]},"page":"29","title":"Pengaruh ovitrap sebagai monitoring keberadaan vektor Aedes sp di Kelurahan Bulusan Kecamatan Tembalang Kota Semarang","type":"article-journal","volume":"3"},"uris":["http://www.mendeley.com/documents/?uuid=d9b6c108-3b64-4d7e-b508-0159faf74a9a"]}],"mendeley":{"formattedCitation":"[6]","plainTextFormattedCitation":"[6]","previouslyFormattedCitation":"[6]"},"properties":{"noteIndex":0},"schema":"https://github.com/citation-style-language/schema/raw/master/csl-citation.json"}</w:instrText>
      </w:r>
      <w:r w:rsidR="00F817F4" w:rsidRPr="00163BA7">
        <w:rPr>
          <w:rFonts w:ascii="Tw Cen MT" w:eastAsia="Twentieth Century" w:hAnsi="Tw Cen MT" w:cs="Twentieth Century"/>
          <w:sz w:val="24"/>
          <w:szCs w:val="24"/>
        </w:rPr>
        <w:fldChar w:fldCharType="separate"/>
      </w:r>
      <w:r w:rsidR="00F817F4" w:rsidRPr="00163BA7">
        <w:rPr>
          <w:rFonts w:ascii="Tw Cen MT" w:eastAsia="Twentieth Century" w:hAnsi="Tw Cen MT" w:cs="Twentieth Century"/>
          <w:noProof/>
          <w:sz w:val="24"/>
          <w:szCs w:val="24"/>
        </w:rPr>
        <w:t>[6]</w:t>
      </w:r>
      <w:r w:rsidR="00F817F4"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The results of research conduc</w:t>
      </w:r>
      <w:r w:rsidR="008A326F" w:rsidRPr="00163BA7">
        <w:rPr>
          <w:rFonts w:ascii="Tw Cen MT" w:eastAsia="Twentieth Century" w:hAnsi="Tw Cen MT" w:cs="Twentieth Century"/>
          <w:sz w:val="24"/>
          <w:szCs w:val="24"/>
        </w:rPr>
        <w:t xml:space="preserve">ted by </w:t>
      </w:r>
      <w:r w:rsidR="00F817F4" w:rsidRPr="00163BA7">
        <w:rPr>
          <w:rFonts w:ascii="Tw Cen MT" w:eastAsia="Twentieth Century" w:hAnsi="Tw Cen MT" w:cs="Twentieth Century"/>
          <w:sz w:val="24"/>
          <w:szCs w:val="24"/>
        </w:rPr>
        <w:fldChar w:fldCharType="begin" w:fldLock="1"/>
      </w:r>
      <w:r w:rsidR="00E37E90" w:rsidRPr="00163BA7">
        <w:rPr>
          <w:rFonts w:ascii="Tw Cen MT" w:eastAsia="Twentieth Century" w:hAnsi="Tw Cen MT" w:cs="Twentieth Century"/>
          <w:sz w:val="24"/>
          <w:szCs w:val="24"/>
        </w:rPr>
        <w:instrText>ADDIN CSL_CITATION {"citationItems":[{"id":"ITEM-1","itemData":{"abstract":"Ovitrap is one of the environmentally friendly equipment of controlling Aedes aegypti which causes dengue fever. The utilization of ovitraps by adding attractant substances which are placed in certain distances can stimulate the mosquitoes’ sense of smell in order to lure them. The objective of this study were to determine the effective placing distance of ovitrap’s domestic water media on ovitrap’s hay-soaked water medium in order to lure Ae. aegypti on laying eggs, and to understand the oviposition preferences of Ae. aegypti based on the placing distance of ovitrap’s domestic water media on ovitrap’s hay-soaked water medium. This research design was factorial experiment by using Split Plot. The water medium used was hay-soaked water as the control. The domestic water media used were well water, tap water, and rain water which were placed with the distance of 0 meter, 1 meter, 3 meters, and 5 meters from the hay-soaked water by using 3 replications. The independent variable were the placing distance and water media, while the dependent variable was the number of eggs trapped. The data were analyzed by using two-way ANOVA with the significance level of 95%. The findings showed that the placing of ovitrap’s well water and tap water with the distance of 5 meters is still effective to distract the oviposition preferences of Ae aegypti on hay-soaked water, while in the well water was only effective up to 3 meters. The water media has no effect on oviposition preferences of Ae aegypti when they are placed up to 5 meters away from the hay-soaked water. This happens due to the high concentration of ammonia in the hay-soaked water which attract the mosquitoes to choose compared to other water media to lay eggs. Keywords: Aedes aegypti, ovitrap, attractant, hay-soaked water, ammonia","author":[{"dropping-particle":"","family":"Hidayah","given":"Wahyu Nur","non-dropping-particle":"","parse-names":false,"suffix":""},{"dropping-particle":"","family":"Hidayat","given":"Jafron Wasiq","non-dropping-particle":"","parse-names":false,"suffix":""},{"dropping-particle":"","family":"Rahadian","given":"Rully","non-dropping-particle":"","parse-names":false,"suffix":""}],"container-title":"Jurnal Biologi","id":"ITEM-1","issue":"4","issued":{"date-parts":[["2013"]]},"page":"25-34","title":"Preferensi bertelur nyamuk Aedes aegypti l. berdasarkan jarak penempatan ovitrap bermedia air domestik terhadap ovitrap bermedia air rendaman jerami","type":"article-journal","volume":"2"},"uris":["http://www.mendeley.com/documents/?uuid=0842e8b7-611f-49ea-b84a-bca01c80d77c"]}],"mendeley":{"formattedCitation":"[7]","plainTextFormattedCitation":"[7]","previouslyFormattedCitation":"[7]"},"properties":{"noteIndex":0},"schema":"https://github.com/citation-style-language/schema/raw/master/csl-citation.json"}</w:instrText>
      </w:r>
      <w:r w:rsidR="00F817F4" w:rsidRPr="00163BA7">
        <w:rPr>
          <w:rFonts w:ascii="Tw Cen MT" w:eastAsia="Twentieth Century" w:hAnsi="Tw Cen MT" w:cs="Twentieth Century"/>
          <w:sz w:val="24"/>
          <w:szCs w:val="24"/>
        </w:rPr>
        <w:fldChar w:fldCharType="separate"/>
      </w:r>
      <w:r w:rsidR="00F817F4" w:rsidRPr="00163BA7">
        <w:rPr>
          <w:rFonts w:ascii="Tw Cen MT" w:eastAsia="Twentieth Century" w:hAnsi="Tw Cen MT" w:cs="Twentieth Century"/>
          <w:noProof/>
          <w:sz w:val="24"/>
          <w:szCs w:val="24"/>
        </w:rPr>
        <w:t>[7]</w:t>
      </w:r>
      <w:r w:rsidR="00F817F4"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xml:space="preserve"> showed that the number of eggs of Aedes aegypti mosquitoes </w:t>
      </w:r>
      <w:r w:rsidR="008A326F" w:rsidRPr="00163BA7">
        <w:rPr>
          <w:rFonts w:ascii="Tw Cen MT" w:eastAsia="Twentieth Century" w:hAnsi="Tw Cen MT" w:cs="Twentieth Century"/>
          <w:sz w:val="24"/>
          <w:szCs w:val="24"/>
        </w:rPr>
        <w:t>found in municipal</w:t>
      </w:r>
      <w:r w:rsidRPr="00163BA7">
        <w:rPr>
          <w:rFonts w:ascii="Tw Cen MT" w:eastAsia="Twentieth Century" w:hAnsi="Tw Cen MT" w:cs="Twentieth Century"/>
          <w:sz w:val="24"/>
          <w:szCs w:val="24"/>
        </w:rPr>
        <w:t xml:space="preserve"> water media ovitrap had an average of 43 eggs. While in the rainwater ovitrap, the number of Aedes aegypti mosquito eggs found was 39 eggs.</w:t>
      </w:r>
    </w:p>
    <w:p w14:paraId="5A8BD7F9" w14:textId="6C0C4A72" w:rsidR="007F4948" w:rsidRPr="00163BA7" w:rsidRDefault="002D30A7" w:rsidP="002D30A7">
      <w:pPr>
        <w:spacing w:after="0" w:line="240" w:lineRule="auto"/>
        <w:jc w:val="both"/>
        <w:rPr>
          <w:rFonts w:ascii="Tw Cen MT" w:eastAsia="Twentieth Century" w:hAnsi="Tw Cen MT" w:cs="Twentieth Century"/>
          <w:color w:val="000000"/>
          <w:sz w:val="24"/>
          <w:szCs w:val="24"/>
        </w:rPr>
      </w:pPr>
      <w:r w:rsidRPr="00163BA7">
        <w:rPr>
          <w:rFonts w:ascii="Tw Cen MT" w:eastAsia="Twentieth Century" w:hAnsi="Tw Cen MT" w:cs="Twentieth Century"/>
          <w:sz w:val="24"/>
          <w:szCs w:val="24"/>
        </w:rPr>
        <w:t xml:space="preserve">Efforts to control dengue vectors carried out by the Sei Jang Health Center in 2019 were conducting group counseling about dengue disease, conducting epidemiological investigations, </w:t>
      </w:r>
      <w:r w:rsidR="006431BA" w:rsidRPr="00163BA7">
        <w:rPr>
          <w:rFonts w:ascii="Tw Cen MT" w:eastAsia="Twentieth Century" w:hAnsi="Tw Cen MT" w:cs="Twentieth Century"/>
          <w:sz w:val="24"/>
          <w:szCs w:val="24"/>
        </w:rPr>
        <w:t xml:space="preserve">and </w:t>
      </w:r>
      <w:r w:rsidRPr="00163BA7">
        <w:rPr>
          <w:rFonts w:ascii="Tw Cen MT" w:eastAsia="Twentieth Century" w:hAnsi="Tw Cen MT" w:cs="Twentieth Century"/>
          <w:sz w:val="24"/>
          <w:szCs w:val="24"/>
        </w:rPr>
        <w:t>recruiting jumantik cadres. The Puskesmas h</w:t>
      </w:r>
      <w:r w:rsidR="006431BA" w:rsidRPr="00163BA7">
        <w:rPr>
          <w:rFonts w:ascii="Tw Cen MT" w:eastAsia="Twentieth Century" w:hAnsi="Tw Cen MT" w:cs="Twentieth Century"/>
          <w:sz w:val="24"/>
          <w:szCs w:val="24"/>
        </w:rPr>
        <w:t>ave</w:t>
      </w:r>
      <w:r w:rsidRPr="00163BA7">
        <w:rPr>
          <w:rFonts w:ascii="Tw Cen MT" w:eastAsia="Twentieth Century" w:hAnsi="Tw Cen MT" w:cs="Twentieth Century"/>
          <w:sz w:val="24"/>
          <w:szCs w:val="24"/>
        </w:rPr>
        <w:t xml:space="preserve"> often conducted counseling, but public awareness to carry out Mosquito Nest Eradication (PSN) through the 3M Plus movement is still low and cross-sectoral cooperation is still not maximized in mobilizing 3M plus in the community, and until now there has been no research on the use of </w:t>
      </w:r>
      <w:r w:rsidRPr="00163BA7">
        <w:rPr>
          <w:rFonts w:ascii="Tw Cen MT" w:eastAsia="Twentieth Century" w:hAnsi="Tw Cen MT" w:cs="Twentieth Century"/>
          <w:sz w:val="24"/>
          <w:szCs w:val="24"/>
        </w:rPr>
        <w:lastRenderedPageBreak/>
        <w:t>ovitrap. as a survey tool for mosquito vector density in the working area of the Sei Jang Health Center. It is proven that the ABJ rate in</w:t>
      </w:r>
      <w:r w:rsidR="00136E70" w:rsidRPr="00163BA7">
        <w:rPr>
          <w:rFonts w:ascii="Tw Cen MT" w:eastAsia="Twentieth Century" w:hAnsi="Tw Cen MT" w:cs="Twentieth Century"/>
          <w:sz w:val="24"/>
          <w:szCs w:val="24"/>
        </w:rPr>
        <w:t xml:space="preserve"> the </w:t>
      </w:r>
      <w:r w:rsidRPr="00163BA7">
        <w:rPr>
          <w:rFonts w:ascii="Tw Cen MT" w:eastAsia="Twentieth Century" w:hAnsi="Tw Cen MT" w:cs="Twentieth Century"/>
          <w:sz w:val="24"/>
          <w:szCs w:val="24"/>
        </w:rPr>
        <w:t xml:space="preserve">Sei Jang sub-district is 81.2% and has not reached the national target of 95%. The researcher is interested in </w:t>
      </w:r>
      <w:r w:rsidR="000C4719" w:rsidRPr="00163BA7">
        <w:rPr>
          <w:rFonts w:ascii="Tw Cen MT" w:eastAsia="Twentieth Century" w:hAnsi="Tw Cen MT" w:cs="Twentieth Century"/>
          <w:sz w:val="24"/>
          <w:szCs w:val="24"/>
        </w:rPr>
        <w:t xml:space="preserve">researching </w:t>
      </w:r>
      <w:r w:rsidRPr="00163BA7">
        <w:rPr>
          <w:rFonts w:ascii="Tw Cen MT" w:eastAsia="Twentieth Century" w:hAnsi="Tw Cen MT" w:cs="Twentieth Century"/>
          <w:sz w:val="24"/>
          <w:szCs w:val="24"/>
        </w:rPr>
        <w:t>identifying the number of Aedes spp eggs trapped in ovitrap shelters using rainwater a</w:t>
      </w:r>
      <w:r w:rsidR="00F817F4" w:rsidRPr="00163BA7">
        <w:rPr>
          <w:rFonts w:ascii="Tw Cen MT" w:eastAsia="Twentieth Century" w:hAnsi="Tw Cen MT" w:cs="Twentieth Century"/>
          <w:sz w:val="24"/>
          <w:szCs w:val="24"/>
        </w:rPr>
        <w:t>nd municipal</w:t>
      </w:r>
      <w:r w:rsidRPr="00163BA7">
        <w:rPr>
          <w:rFonts w:ascii="Tw Cen MT" w:eastAsia="Twentieth Century" w:hAnsi="Tw Cen MT" w:cs="Twentieth Century"/>
          <w:sz w:val="24"/>
          <w:szCs w:val="24"/>
        </w:rPr>
        <w:t xml:space="preserve"> water in Sei Jang Village, Tanjungpinang.</w:t>
      </w:r>
    </w:p>
    <w:p w14:paraId="41E941C6" w14:textId="77777777" w:rsidR="007F4948" w:rsidRPr="00163BA7" w:rsidRDefault="007F4948">
      <w:pPr>
        <w:spacing w:after="0" w:line="240" w:lineRule="auto"/>
        <w:jc w:val="both"/>
        <w:rPr>
          <w:rFonts w:ascii="Tw Cen MT" w:eastAsia="Twentieth Century" w:hAnsi="Tw Cen MT" w:cs="Twentieth Century"/>
          <w:color w:val="000000"/>
          <w:sz w:val="24"/>
          <w:szCs w:val="24"/>
        </w:rPr>
      </w:pPr>
    </w:p>
    <w:p w14:paraId="2C8D2C5C" w14:textId="2282966B" w:rsidR="007F4948" w:rsidRPr="00163BA7" w:rsidRDefault="0086728C">
      <w:pPr>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t>MET</w:t>
      </w:r>
      <w:r w:rsidR="002D30A7" w:rsidRPr="00163BA7">
        <w:rPr>
          <w:rFonts w:ascii="Tw Cen MT" w:eastAsia="Twentieth Century" w:hAnsi="Tw Cen MT" w:cs="Twentieth Century"/>
          <w:b/>
          <w:sz w:val="24"/>
          <w:szCs w:val="24"/>
        </w:rPr>
        <w:t>HOD</w:t>
      </w:r>
      <w:r w:rsidRPr="00163BA7">
        <w:rPr>
          <w:rFonts w:ascii="Tw Cen MT" w:eastAsia="Twentieth Century" w:hAnsi="Tw Cen MT" w:cs="Twentieth Century"/>
          <w:b/>
          <w:sz w:val="24"/>
          <w:szCs w:val="24"/>
        </w:rPr>
        <w:t xml:space="preserve"> </w:t>
      </w:r>
    </w:p>
    <w:p w14:paraId="43C0F5E9" w14:textId="14355D25" w:rsidR="002D30A7"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type of research that will be conducted </w:t>
      </w:r>
      <w:r w:rsidR="005458B9" w:rsidRPr="00163BA7">
        <w:rPr>
          <w:rFonts w:ascii="Tw Cen MT" w:eastAsia="Twentieth Century" w:hAnsi="Tw Cen MT" w:cs="Twentieth Century"/>
          <w:sz w:val="24"/>
          <w:szCs w:val="24"/>
        </w:rPr>
        <w:t>was</w:t>
      </w:r>
      <w:r w:rsidRPr="00163BA7">
        <w:rPr>
          <w:rFonts w:ascii="Tw Cen MT" w:eastAsia="Twentieth Century" w:hAnsi="Tw Cen MT" w:cs="Twentieth Century"/>
          <w:sz w:val="24"/>
          <w:szCs w:val="24"/>
        </w:rPr>
        <w:t xml:space="preserve"> a quasi-experimental design with a post-test only design. The research was conducted in two Neighborhood Units (RT) in </w:t>
      </w:r>
      <w:r w:rsidR="000C4719" w:rsidRPr="00163BA7">
        <w:rPr>
          <w:rFonts w:ascii="Tw Cen MT" w:eastAsia="Twentieth Century" w:hAnsi="Tw Cen MT" w:cs="Twentieth Century"/>
          <w:sz w:val="24"/>
          <w:szCs w:val="24"/>
        </w:rPr>
        <w:t xml:space="preserve">the </w:t>
      </w:r>
      <w:r w:rsidRPr="00163BA7">
        <w:rPr>
          <w:rFonts w:ascii="Tw Cen MT" w:eastAsia="Twentieth Century" w:hAnsi="Tw Cen MT" w:cs="Twentieth Century"/>
          <w:sz w:val="24"/>
          <w:szCs w:val="24"/>
        </w:rPr>
        <w:t>Sei</w:t>
      </w:r>
      <w:r w:rsidR="00136E70" w:rsidRPr="00163BA7">
        <w:rPr>
          <w:rFonts w:ascii="Tw Cen MT" w:eastAsia="Twentieth Century" w:hAnsi="Tw Cen MT" w:cs="Twentieth Century"/>
          <w:sz w:val="24"/>
          <w:szCs w:val="24"/>
        </w:rPr>
        <w:t xml:space="preserve"> </w:t>
      </w:r>
      <w:r w:rsidR="000C4719" w:rsidRPr="00163BA7">
        <w:rPr>
          <w:rFonts w:ascii="Tw Cen MT" w:eastAsia="Twentieth Century" w:hAnsi="Tw Cen MT" w:cs="Twentieth Century"/>
          <w:sz w:val="24"/>
          <w:szCs w:val="24"/>
        </w:rPr>
        <w:t>J</w:t>
      </w:r>
      <w:r w:rsidRPr="00163BA7">
        <w:rPr>
          <w:rFonts w:ascii="Tw Cen MT" w:eastAsia="Twentieth Century" w:hAnsi="Tw Cen MT" w:cs="Twentieth Century"/>
          <w:sz w:val="24"/>
          <w:szCs w:val="24"/>
        </w:rPr>
        <w:t>ang Village, which is an endemic area of DHF. The time of the research was carried out from February to May 2021.</w:t>
      </w:r>
    </w:p>
    <w:p w14:paraId="0204B97A" w14:textId="7269A621" w:rsidR="002D30A7"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population in this study were all houses in Sei Jang Village. The sample is a house with dengue fever and its surroundings with a radius of 50-100 meters</w:t>
      </w:r>
      <w:r w:rsidR="00F817F4" w:rsidRPr="00163BA7">
        <w:rPr>
          <w:rFonts w:ascii="Tw Cen MT" w:eastAsia="Twentieth Century" w:hAnsi="Tw Cen MT" w:cs="Twentieth Century"/>
          <w:sz w:val="24"/>
          <w:szCs w:val="24"/>
        </w:rPr>
        <w:t xml:space="preserve"> </w:t>
      </w:r>
      <w:r w:rsidR="00E37E90" w:rsidRPr="00163BA7">
        <w:rPr>
          <w:rFonts w:ascii="Tw Cen MT" w:eastAsia="Twentieth Century" w:hAnsi="Tw Cen MT" w:cs="Twentieth Century"/>
          <w:sz w:val="24"/>
          <w:szCs w:val="24"/>
        </w:rPr>
        <w:fldChar w:fldCharType="begin" w:fldLock="1"/>
      </w:r>
      <w:r w:rsidR="00BE7B4C" w:rsidRPr="00163BA7">
        <w:rPr>
          <w:rFonts w:ascii="Tw Cen MT" w:eastAsia="Twentieth Century" w:hAnsi="Tw Cen MT" w:cs="Twentieth Century"/>
          <w:sz w:val="24"/>
          <w:szCs w:val="24"/>
        </w:rPr>
        <w:instrText>ADDIN CSL_CITATION {"citationItems":[{"id":"ITEM-1","itemData":{"ISSN":"1858-1196","abstract":"Abstrak Infeksi virus dengue tersebar di seluruh dunia menyebabkan 3,97 milyar penduduk ber- isiko tertular, termasuk di Indonesia. Obat dan vaksin antivirus dengue belum tersedia sehingga upaya pencegahan difokuskan pada pengendalian populasi nyamuk Ae. ae- gypti. Penelitian tahun 2015 ini bertujuan untuk mengetahui situasi terkini populasi ny- amuk Ae. aegypti di daerah endemis dengue. Pengamatan vektor Dengue melibatkan 20 rumah di sekitar rumah penderita dengue di enam kabupaten/kota di Jawa Tengah, dan tandon air domestik sebagai objek. Variabel penelitian adalah karakteristik tandon air dan keberadaan larva nyamuk. Larva dipelihara menjadi stadium dewasa, diidentifikasi dan menjadi subjek uji kerentanan terhadap insektisida. Indeks kepadatan populasi Ae. aegypti (House Index, Container Index, dan Breteau Index) berkisar antara 27.3 – 55.2, 19.1 – 53.8 dan 44.8 – 72.7 persen. Larva nyamuk ditemukan pada tujuh tipe container. Mortalitas nyamuk dalam uji kerentanan adalah 17%, 67%, dan 100% berdasarkan ba- han aktif Permetrin-0.75%, Deltametrin-0.05%, dan Malathion-5%.","author":[{"dropping-particle":"","family":"Sayono","given":"","non-dropping-particle":"","parse-names":false,"suffix":""},{"dropping-particle":"","family":"Nurullita","given":"Ulfa","non-dropping-particle":"","parse-names":false,"suffix":""}],"container-title":"KEMAS: Jurnal Kesehatan Masyarakat","id":"ITEM-1","issue":"2","issued":{"date-parts":[["2016"]]},"page":"96-105","title":"Situasi Terkini Vektor Dengue (Aedes Aegypti) Di Jawa Tengah","type":"article-journal","volume":"11"},"uris":["http://www.mendeley.com/documents/?uuid=4206b995-e09c-4868-8a73-ab9f708cd70b"]}],"mendeley":{"formattedCitation":"[8]","plainTextFormattedCitation":"[8]","previouslyFormattedCitation":"[8]"},"properties":{"noteIndex":0},"schema":"https://github.com/citation-style-language/schema/raw/master/csl-citation.json"}</w:instrText>
      </w:r>
      <w:r w:rsidR="00E37E90" w:rsidRPr="00163BA7">
        <w:rPr>
          <w:rFonts w:ascii="Tw Cen MT" w:eastAsia="Twentieth Century" w:hAnsi="Tw Cen MT" w:cs="Twentieth Century"/>
          <w:sz w:val="24"/>
          <w:szCs w:val="24"/>
        </w:rPr>
        <w:fldChar w:fldCharType="separate"/>
      </w:r>
      <w:r w:rsidR="00E37E90" w:rsidRPr="00163BA7">
        <w:rPr>
          <w:rFonts w:ascii="Tw Cen MT" w:eastAsia="Twentieth Century" w:hAnsi="Tw Cen MT" w:cs="Twentieth Century"/>
          <w:noProof/>
          <w:sz w:val="24"/>
          <w:szCs w:val="24"/>
        </w:rPr>
        <w:t>[8]</w:t>
      </w:r>
      <w:r w:rsidR="00E37E90"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xml:space="preserve">. The selection of the sample site was carried out by a random sampling system. Determination of the sampling location is done by determining the point of the house of DHF sufferers and their surroundings. The number of houses used </w:t>
      </w:r>
      <w:r w:rsidR="000C4719" w:rsidRPr="00163BA7">
        <w:rPr>
          <w:rFonts w:ascii="Tw Cen MT" w:eastAsia="Twentieth Century" w:hAnsi="Tw Cen MT" w:cs="Twentieth Century"/>
          <w:sz w:val="24"/>
          <w:szCs w:val="24"/>
        </w:rPr>
        <w:t>for</w:t>
      </w:r>
      <w:r w:rsidRPr="00163BA7">
        <w:rPr>
          <w:rFonts w:ascii="Tw Cen MT" w:eastAsia="Twentieth Century" w:hAnsi="Tw Cen MT" w:cs="Twentieth Century"/>
          <w:sz w:val="24"/>
          <w:szCs w:val="24"/>
        </w:rPr>
        <w:t xml:space="preserve"> research is 70 houses in the RT 2 and RT 3 areas.</w:t>
      </w:r>
    </w:p>
    <w:p w14:paraId="0A4C31C6" w14:textId="0954FF65" w:rsidR="002D30A7"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Ovitrap is distributed in DHF endemic areas and then one patient's house is chosen randomly and then placed in a house with a radius of 100 meters from the patient's house according to the cardinal directions. If the number of houses &lt;60,000 installations of ovitraps used to collect mosquito eggs </w:t>
      </w:r>
      <w:r w:rsidR="000C4719" w:rsidRPr="00163BA7">
        <w:rPr>
          <w:rFonts w:ascii="Tw Cen MT" w:eastAsia="Twentieth Century" w:hAnsi="Tw Cen MT" w:cs="Twentieth Century"/>
          <w:sz w:val="24"/>
          <w:szCs w:val="24"/>
        </w:rPr>
        <w:t>is</w:t>
      </w:r>
      <w:r w:rsidRPr="00163BA7">
        <w:rPr>
          <w:rFonts w:ascii="Tw Cen MT" w:eastAsia="Twentieth Century" w:hAnsi="Tw Cen MT" w:cs="Twentieth Century"/>
          <w:sz w:val="24"/>
          <w:szCs w:val="24"/>
        </w:rPr>
        <w:t xml:space="preserve"> 100, if the number of houses is 60,000 to 120,000 installations of ovitraps are 150 units.</w:t>
      </w:r>
    </w:p>
    <w:p w14:paraId="281E321B" w14:textId="6FB6EF61" w:rsidR="002D30A7"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lastRenderedPageBreak/>
        <w:t>The sample in this study amounted to 200 ovitraps, each 100 pieces using rainwate</w:t>
      </w:r>
      <w:r w:rsidR="008A326F" w:rsidRPr="00163BA7">
        <w:rPr>
          <w:rFonts w:ascii="Tw Cen MT" w:eastAsia="Twentieth Century" w:hAnsi="Tw Cen MT" w:cs="Twentieth Century"/>
          <w:sz w:val="24"/>
          <w:szCs w:val="24"/>
        </w:rPr>
        <w:t>r and muni</w:t>
      </w:r>
      <w:r w:rsidR="00E37E90" w:rsidRPr="00163BA7">
        <w:rPr>
          <w:rFonts w:ascii="Tw Cen MT" w:eastAsia="Twentieth Century" w:hAnsi="Tw Cen MT" w:cs="Twentieth Century"/>
          <w:sz w:val="24"/>
          <w:szCs w:val="24"/>
        </w:rPr>
        <w:t>cipal</w:t>
      </w:r>
      <w:r w:rsidRPr="00163BA7">
        <w:rPr>
          <w:rFonts w:ascii="Tw Cen MT" w:eastAsia="Twentieth Century" w:hAnsi="Tw Cen MT" w:cs="Twentieth Century"/>
          <w:sz w:val="24"/>
          <w:szCs w:val="24"/>
        </w:rPr>
        <w:t xml:space="preserve"> water. the time for laying the ovitrap is </w:t>
      </w:r>
      <w:r w:rsidR="000C4719" w:rsidRPr="00163BA7">
        <w:rPr>
          <w:rFonts w:ascii="Tw Cen MT" w:eastAsia="Twentieth Century" w:hAnsi="Tw Cen MT" w:cs="Twentieth Century"/>
          <w:sz w:val="24"/>
          <w:szCs w:val="24"/>
        </w:rPr>
        <w:t>from</w:t>
      </w:r>
      <w:r w:rsidRPr="00163BA7">
        <w:rPr>
          <w:rFonts w:ascii="Tw Cen MT" w:eastAsia="Twentieth Century" w:hAnsi="Tw Cen MT" w:cs="Twentieth Century"/>
          <w:sz w:val="24"/>
          <w:szCs w:val="24"/>
        </w:rPr>
        <w:t xml:space="preserve"> 10.00 to 14.00 WIB. Ovitrap retrieval is carried out 4-7 days after laying, by removing the </w:t>
      </w:r>
      <w:r w:rsidR="000C4719" w:rsidRPr="00163BA7">
        <w:rPr>
          <w:rFonts w:ascii="Tw Cen MT" w:eastAsia="Twentieth Century" w:hAnsi="Tw Cen MT" w:cs="Twentieth Century"/>
          <w:sz w:val="24"/>
          <w:szCs w:val="24"/>
        </w:rPr>
        <w:t>W</w:t>
      </w:r>
      <w:r w:rsidRPr="00163BA7">
        <w:rPr>
          <w:rFonts w:ascii="Tw Cen MT" w:eastAsia="Twentieth Century" w:hAnsi="Tw Cen MT" w:cs="Twentieth Century"/>
          <w:sz w:val="24"/>
          <w:szCs w:val="24"/>
        </w:rPr>
        <w:t>hatman paper from a plastic cup and airing it to dry after that it is put in an envelope to be brought and examined in the laboratory.</w:t>
      </w:r>
    </w:p>
    <w:p w14:paraId="567DB439" w14:textId="328FB2E0" w:rsidR="002D30A7"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tools and materials used in this study were Whatman paper, 14 oz plastic cup, bl</w:t>
      </w:r>
      <w:r w:rsidR="00E37E90" w:rsidRPr="00163BA7">
        <w:rPr>
          <w:rFonts w:ascii="Tw Cen MT" w:eastAsia="Twentieth Century" w:hAnsi="Tw Cen MT" w:cs="Twentieth Century"/>
          <w:sz w:val="24"/>
          <w:szCs w:val="24"/>
        </w:rPr>
        <w:t>ack spr</w:t>
      </w:r>
      <w:r w:rsidR="008A326F" w:rsidRPr="00163BA7">
        <w:rPr>
          <w:rFonts w:ascii="Tw Cen MT" w:eastAsia="Twentieth Century" w:hAnsi="Tw Cen MT" w:cs="Twentieth Century"/>
          <w:sz w:val="24"/>
          <w:szCs w:val="24"/>
        </w:rPr>
        <w:t>ay paint, rainwater, 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label paper, envelopes, scissors, and a stereo microscope.</w:t>
      </w:r>
    </w:p>
    <w:p w14:paraId="70803C8D" w14:textId="062B0CF0" w:rsidR="007F4948" w:rsidRPr="00163BA7" w:rsidRDefault="002D30A7" w:rsidP="002D30A7">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data analysis used in this research is </w:t>
      </w:r>
      <w:r w:rsidR="00160FDD" w:rsidRPr="00163BA7">
        <w:rPr>
          <w:rFonts w:ascii="Tw Cen MT" w:eastAsia="Twentieth Century" w:hAnsi="Tw Cen MT" w:cs="Twentieth Century"/>
          <w:sz w:val="24"/>
          <w:szCs w:val="24"/>
        </w:rPr>
        <w:t xml:space="preserve">a </w:t>
      </w:r>
      <w:r w:rsidRPr="00163BA7">
        <w:rPr>
          <w:rFonts w:ascii="Tw Cen MT" w:eastAsia="Twentieth Century" w:hAnsi="Tw Cen MT" w:cs="Twentieth Century"/>
          <w:sz w:val="24"/>
          <w:szCs w:val="24"/>
        </w:rPr>
        <w:t xml:space="preserve">univariate analysis and bivariate analysis. Univariate analysis was carried out to analyze each of the variables used with a frequency distribution. </w:t>
      </w:r>
      <w:r w:rsidR="00160FDD" w:rsidRPr="00163BA7">
        <w:rPr>
          <w:rFonts w:ascii="Tw Cen MT" w:eastAsia="Twentieth Century" w:hAnsi="Tw Cen MT" w:cs="Twentieth Century"/>
          <w:sz w:val="24"/>
          <w:szCs w:val="24"/>
        </w:rPr>
        <w:t>An i</w:t>
      </w:r>
      <w:r w:rsidRPr="00163BA7">
        <w:rPr>
          <w:rFonts w:ascii="Tw Cen MT" w:eastAsia="Twentieth Century" w:hAnsi="Tw Cen MT" w:cs="Twentieth Century"/>
          <w:sz w:val="24"/>
          <w:szCs w:val="24"/>
        </w:rPr>
        <w:t>ndependent t-test was carried out to see the difference in the average number of Aedes spp eg</w:t>
      </w:r>
      <w:r w:rsidR="008A326F" w:rsidRPr="00163BA7">
        <w:rPr>
          <w:rFonts w:ascii="Tw Cen MT" w:eastAsia="Twentieth Century" w:hAnsi="Tw Cen MT" w:cs="Twentieth Century"/>
          <w:sz w:val="24"/>
          <w:szCs w:val="24"/>
        </w:rPr>
        <w:t>gs trapped in rainwater and municipal</w:t>
      </w:r>
      <w:r w:rsidRPr="00163BA7">
        <w:rPr>
          <w:rFonts w:ascii="Tw Cen MT" w:eastAsia="Twentieth Century" w:hAnsi="Tw Cen MT" w:cs="Twentieth Century"/>
          <w:sz w:val="24"/>
          <w:szCs w:val="24"/>
        </w:rPr>
        <w:t xml:space="preserve"> water using ovitrap. However, if the normality of the data analyzed is not normally distributed, then the alternative test used is the Mann-Whitney test.</w:t>
      </w:r>
    </w:p>
    <w:p w14:paraId="665EBBE3" w14:textId="77777777" w:rsidR="00B241B6" w:rsidRPr="00163BA7" w:rsidRDefault="00B241B6">
      <w:pPr>
        <w:tabs>
          <w:tab w:val="left" w:pos="426"/>
        </w:tabs>
        <w:spacing w:after="0"/>
        <w:jc w:val="both"/>
        <w:rPr>
          <w:rFonts w:ascii="Tw Cen MT" w:eastAsia="Twentieth Century" w:hAnsi="Tw Cen MT" w:cs="Twentieth Century"/>
          <w:b/>
          <w:sz w:val="24"/>
          <w:szCs w:val="24"/>
        </w:rPr>
      </w:pPr>
    </w:p>
    <w:p w14:paraId="029FEB68" w14:textId="5C17B72D" w:rsidR="007F4948" w:rsidRPr="00163BA7" w:rsidRDefault="00B241B6">
      <w:pPr>
        <w:tabs>
          <w:tab w:val="left" w:pos="426"/>
        </w:tabs>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t>RESULT AND DISCUSSIONS</w:t>
      </w:r>
    </w:p>
    <w:p w14:paraId="7E6405D1" w14:textId="59FF4E1E"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Table 1 shows that the total number of eggs was 3,832, of the eggs trapped in the ovitrap type of rainwater media</w:t>
      </w:r>
      <w:r w:rsidR="00160FDD" w:rsidRPr="00163BA7">
        <w:rPr>
          <w:rFonts w:ascii="Tw Cen MT" w:eastAsia="Twentieth Century" w:hAnsi="Tw Cen MT" w:cs="Twentieth Century"/>
          <w:sz w:val="24"/>
          <w:szCs w:val="24"/>
        </w:rPr>
        <w:t>,</w:t>
      </w:r>
      <w:r w:rsidRPr="00163BA7">
        <w:rPr>
          <w:rFonts w:ascii="Tw Cen MT" w:eastAsia="Twentieth Century" w:hAnsi="Tw Cen MT" w:cs="Twentieth Century"/>
          <w:sz w:val="24"/>
          <w:szCs w:val="24"/>
        </w:rPr>
        <w:t xml:space="preserve"> were 2,279 eggs and </w:t>
      </w:r>
      <w:r w:rsidR="008A326F" w:rsidRPr="00163BA7">
        <w:rPr>
          <w:rFonts w:ascii="Tw Cen MT" w:eastAsia="Twentieth Century" w:hAnsi="Tw Cen MT" w:cs="Twentieth Century"/>
          <w:sz w:val="24"/>
          <w:szCs w:val="24"/>
        </w:rPr>
        <w:t>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w</w:t>
      </w:r>
      <w:r w:rsidR="00160FDD" w:rsidRPr="00163BA7">
        <w:rPr>
          <w:rFonts w:ascii="Tw Cen MT" w:eastAsia="Twentieth Century" w:hAnsi="Tw Cen MT" w:cs="Twentieth Century"/>
          <w:sz w:val="24"/>
          <w:szCs w:val="24"/>
        </w:rPr>
        <w:t>as</w:t>
      </w:r>
      <w:r w:rsidRPr="00163BA7">
        <w:rPr>
          <w:rFonts w:ascii="Tw Cen MT" w:eastAsia="Twentieth Century" w:hAnsi="Tw Cen MT" w:cs="Twentieth Century"/>
          <w:sz w:val="24"/>
          <w:szCs w:val="24"/>
        </w:rPr>
        <w:t xml:space="preserve"> 1,553 eggs. These results are from each ovitrap trap installed, namely 100 pieces for rainwater media and 100 pieces for </w:t>
      </w:r>
      <w:r w:rsidR="008A326F" w:rsidRPr="00163BA7">
        <w:rPr>
          <w:rFonts w:ascii="Tw Cen MT" w:eastAsia="Twentieth Century" w:hAnsi="Tw Cen MT" w:cs="Twentieth Century"/>
          <w:sz w:val="24"/>
          <w:szCs w:val="24"/>
        </w:rPr>
        <w:t>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media.</w:t>
      </w:r>
    </w:p>
    <w:p w14:paraId="5E401EA2" w14:textId="5A469223"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calculation results show that the ovitrap index obtained from rainwater media is 70% and </w:t>
      </w:r>
      <w:r w:rsidR="008A326F" w:rsidRPr="00163BA7">
        <w:rPr>
          <w:rFonts w:ascii="Tw Cen MT" w:eastAsia="Twentieth Century" w:hAnsi="Tw Cen MT" w:cs="Twentieth Century"/>
          <w:sz w:val="24"/>
          <w:szCs w:val="24"/>
        </w:rPr>
        <w:t>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media is 52%. So it can be concluded that the rainwater index ovitrap </w:t>
      </w:r>
      <w:r w:rsidRPr="00163BA7">
        <w:rPr>
          <w:rFonts w:ascii="Tw Cen MT" w:eastAsia="Twentieth Century" w:hAnsi="Tw Cen MT" w:cs="Twentieth Century"/>
          <w:sz w:val="24"/>
          <w:szCs w:val="24"/>
        </w:rPr>
        <w:lastRenderedPageBreak/>
        <w:t xml:space="preserve">is more positive than the </w:t>
      </w:r>
      <w:r w:rsidR="008A326F" w:rsidRPr="00163BA7">
        <w:rPr>
          <w:rFonts w:ascii="Tw Cen MT" w:eastAsia="Twentieth Century" w:hAnsi="Tw Cen MT" w:cs="Twentieth Century"/>
          <w:sz w:val="24"/>
          <w:szCs w:val="24"/>
        </w:rPr>
        <w:t>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index ovitrap.</w:t>
      </w:r>
    </w:p>
    <w:p w14:paraId="4DEDE9D6" w14:textId="1683671D" w:rsidR="00D70D6D" w:rsidRPr="00163BA7" w:rsidRDefault="00624B47" w:rsidP="00624B47">
      <w:pPr>
        <w:tabs>
          <w:tab w:val="left" w:pos="426"/>
        </w:tabs>
        <w:spacing w:after="0"/>
        <w:jc w:val="center"/>
        <w:rPr>
          <w:rFonts w:ascii="Tw Cen MT" w:eastAsia="Twentieth Century" w:hAnsi="Tw Cen MT" w:cs="Twentieth Century"/>
          <w:sz w:val="20"/>
          <w:szCs w:val="20"/>
        </w:rPr>
      </w:pPr>
      <w:r w:rsidRPr="00163BA7">
        <w:rPr>
          <w:rFonts w:ascii="Tw Cen MT" w:eastAsia="Twentieth Century" w:hAnsi="Tw Cen MT" w:cs="Twentieth Century"/>
          <w:sz w:val="20"/>
          <w:szCs w:val="20"/>
        </w:rPr>
        <w:t>Tabel 1 Number of trapped Aedes spp eggs</w:t>
      </w:r>
    </w:p>
    <w:tbl>
      <w:tblPr>
        <w:tblStyle w:val="TableGrid"/>
        <w:tblW w:w="4691" w:type="dxa"/>
        <w:tblInd w:w="-34" w:type="dxa"/>
        <w:tblLayout w:type="fixed"/>
        <w:tblLook w:val="04A0" w:firstRow="1" w:lastRow="0" w:firstColumn="1" w:lastColumn="0" w:noHBand="0" w:noVBand="1"/>
      </w:tblPr>
      <w:tblGrid>
        <w:gridCol w:w="534"/>
        <w:gridCol w:w="850"/>
        <w:gridCol w:w="897"/>
        <w:gridCol w:w="33"/>
        <w:gridCol w:w="849"/>
        <w:gridCol w:w="58"/>
        <w:gridCol w:w="749"/>
        <w:gridCol w:w="78"/>
        <w:gridCol w:w="630"/>
        <w:gridCol w:w="13"/>
      </w:tblGrid>
      <w:tr w:rsidR="00624B47" w:rsidRPr="00163BA7" w14:paraId="1A5532A2" w14:textId="77777777" w:rsidTr="00196C16">
        <w:trPr>
          <w:gridAfter w:val="1"/>
          <w:wAfter w:w="13" w:type="dxa"/>
        </w:trPr>
        <w:tc>
          <w:tcPr>
            <w:tcW w:w="534" w:type="dxa"/>
            <w:tcBorders>
              <w:top w:val="single" w:sz="4" w:space="0" w:color="auto"/>
              <w:left w:val="nil"/>
              <w:bottom w:val="single" w:sz="4" w:space="0" w:color="auto"/>
              <w:right w:val="nil"/>
            </w:tcBorders>
            <w:hideMark/>
          </w:tcPr>
          <w:p w14:paraId="5005D1F7" w14:textId="77777777" w:rsidR="00624B47" w:rsidRPr="00163BA7" w:rsidRDefault="00624B47" w:rsidP="00C41A75">
            <w:pPr>
              <w:jc w:val="center"/>
              <w:rPr>
                <w:rFonts w:ascii="Tw Cen MT" w:hAnsi="Tw Cen MT"/>
                <w:b/>
                <w:bCs/>
                <w:sz w:val="20"/>
                <w:szCs w:val="20"/>
              </w:rPr>
            </w:pPr>
            <w:bookmarkStart w:id="3" w:name="_Hlk106012200"/>
            <w:r w:rsidRPr="00163BA7">
              <w:rPr>
                <w:rFonts w:ascii="Tw Cen MT" w:hAnsi="Tw Cen MT"/>
                <w:b/>
                <w:bCs/>
                <w:sz w:val="20"/>
                <w:szCs w:val="20"/>
              </w:rPr>
              <w:t>No</w:t>
            </w:r>
          </w:p>
        </w:tc>
        <w:tc>
          <w:tcPr>
            <w:tcW w:w="850" w:type="dxa"/>
            <w:tcBorders>
              <w:top w:val="single" w:sz="4" w:space="0" w:color="auto"/>
              <w:left w:val="nil"/>
              <w:bottom w:val="single" w:sz="4" w:space="0" w:color="auto"/>
              <w:right w:val="nil"/>
            </w:tcBorders>
            <w:hideMark/>
          </w:tcPr>
          <w:p w14:paraId="0A54CE78" w14:textId="77777777" w:rsidR="00624B47" w:rsidRPr="00163BA7" w:rsidRDefault="00624B47" w:rsidP="00C41A75">
            <w:pPr>
              <w:jc w:val="center"/>
              <w:rPr>
                <w:rFonts w:ascii="Tw Cen MT" w:hAnsi="Tw Cen MT"/>
                <w:b/>
                <w:bCs/>
                <w:sz w:val="20"/>
                <w:szCs w:val="20"/>
              </w:rPr>
            </w:pPr>
            <w:r w:rsidRPr="00163BA7">
              <w:rPr>
                <w:rFonts w:ascii="Tw Cen MT" w:hAnsi="Tw Cen MT"/>
                <w:b/>
                <w:bCs/>
                <w:sz w:val="20"/>
                <w:szCs w:val="20"/>
              </w:rPr>
              <w:t>Media Type</w:t>
            </w:r>
          </w:p>
        </w:tc>
        <w:tc>
          <w:tcPr>
            <w:tcW w:w="930" w:type="dxa"/>
            <w:gridSpan w:val="2"/>
            <w:tcBorders>
              <w:top w:val="single" w:sz="4" w:space="0" w:color="auto"/>
              <w:left w:val="nil"/>
              <w:bottom w:val="single" w:sz="4" w:space="0" w:color="auto"/>
              <w:right w:val="nil"/>
            </w:tcBorders>
            <w:hideMark/>
          </w:tcPr>
          <w:p w14:paraId="72818DFC" w14:textId="77777777" w:rsidR="00624B47" w:rsidRPr="00163BA7" w:rsidRDefault="00624B47" w:rsidP="00C41A75">
            <w:pPr>
              <w:jc w:val="center"/>
              <w:rPr>
                <w:rFonts w:ascii="Tw Cen MT" w:hAnsi="Tw Cen MT"/>
                <w:b/>
                <w:bCs/>
                <w:sz w:val="20"/>
                <w:szCs w:val="20"/>
              </w:rPr>
            </w:pPr>
            <w:r w:rsidRPr="00163BA7">
              <w:rPr>
                <w:rFonts w:ascii="Tw Cen MT" w:hAnsi="Tw Cen MT"/>
                <w:b/>
                <w:bCs/>
                <w:sz w:val="20"/>
                <w:szCs w:val="20"/>
              </w:rPr>
              <w:t>Number of Ovitrap</w:t>
            </w:r>
          </w:p>
          <w:p w14:paraId="6F30E5D2" w14:textId="77777777" w:rsidR="00624B47" w:rsidRPr="00163BA7" w:rsidRDefault="00624B47" w:rsidP="00C41A75">
            <w:pPr>
              <w:jc w:val="center"/>
              <w:rPr>
                <w:rFonts w:ascii="Tw Cen MT" w:hAnsi="Tw Cen MT"/>
                <w:b/>
                <w:bCs/>
                <w:sz w:val="20"/>
                <w:szCs w:val="20"/>
              </w:rPr>
            </w:pPr>
            <w:r w:rsidRPr="00163BA7">
              <w:rPr>
                <w:rFonts w:ascii="Tw Cen MT" w:hAnsi="Tw Cen MT"/>
                <w:b/>
                <w:bCs/>
                <w:sz w:val="20"/>
                <w:szCs w:val="20"/>
              </w:rPr>
              <w:t>Installed</w:t>
            </w:r>
          </w:p>
        </w:tc>
        <w:tc>
          <w:tcPr>
            <w:tcW w:w="849" w:type="dxa"/>
            <w:tcBorders>
              <w:top w:val="single" w:sz="4" w:space="0" w:color="auto"/>
              <w:left w:val="nil"/>
              <w:bottom w:val="single" w:sz="4" w:space="0" w:color="auto"/>
              <w:right w:val="nil"/>
            </w:tcBorders>
            <w:hideMark/>
          </w:tcPr>
          <w:p w14:paraId="41ED8B12" w14:textId="77777777" w:rsidR="00624B47" w:rsidRPr="00163BA7" w:rsidRDefault="00624B47" w:rsidP="00C41A75">
            <w:pPr>
              <w:jc w:val="center"/>
              <w:rPr>
                <w:rFonts w:ascii="Tw Cen MT" w:hAnsi="Tw Cen MT"/>
                <w:b/>
                <w:bCs/>
                <w:sz w:val="20"/>
                <w:szCs w:val="20"/>
              </w:rPr>
            </w:pPr>
            <w:r w:rsidRPr="00163BA7">
              <w:rPr>
                <w:rFonts w:ascii="Tw Cen MT" w:hAnsi="Tw Cen MT"/>
                <w:b/>
                <w:bCs/>
                <w:sz w:val="20"/>
                <w:szCs w:val="20"/>
              </w:rPr>
              <w:t>Jumlah Ovitrap Positif</w:t>
            </w:r>
          </w:p>
        </w:tc>
        <w:tc>
          <w:tcPr>
            <w:tcW w:w="807" w:type="dxa"/>
            <w:gridSpan w:val="2"/>
            <w:tcBorders>
              <w:top w:val="single" w:sz="4" w:space="0" w:color="auto"/>
              <w:left w:val="nil"/>
              <w:bottom w:val="single" w:sz="4" w:space="0" w:color="auto"/>
              <w:right w:val="nil"/>
            </w:tcBorders>
            <w:hideMark/>
          </w:tcPr>
          <w:p w14:paraId="260322CA" w14:textId="77777777" w:rsidR="00196C16" w:rsidRDefault="00624B47" w:rsidP="00C41A75">
            <w:pPr>
              <w:ind w:left="-70" w:firstLine="70"/>
              <w:jc w:val="center"/>
              <w:rPr>
                <w:rFonts w:ascii="Tw Cen MT" w:hAnsi="Tw Cen MT"/>
                <w:b/>
                <w:bCs/>
                <w:sz w:val="20"/>
                <w:szCs w:val="20"/>
              </w:rPr>
            </w:pPr>
            <w:r w:rsidRPr="00163BA7">
              <w:rPr>
                <w:rFonts w:ascii="Tw Cen MT" w:hAnsi="Tw Cen MT"/>
                <w:b/>
                <w:bCs/>
                <w:sz w:val="20"/>
                <w:szCs w:val="20"/>
              </w:rPr>
              <w:t>Positi</w:t>
            </w:r>
          </w:p>
          <w:p w14:paraId="50FD0D07" w14:textId="615A599A" w:rsidR="00624B47" w:rsidRPr="00163BA7" w:rsidRDefault="00624B47" w:rsidP="00C41A75">
            <w:pPr>
              <w:ind w:left="-70" w:firstLine="70"/>
              <w:jc w:val="center"/>
              <w:rPr>
                <w:rFonts w:ascii="Tw Cen MT" w:hAnsi="Tw Cen MT"/>
                <w:b/>
                <w:bCs/>
                <w:sz w:val="20"/>
                <w:szCs w:val="20"/>
              </w:rPr>
            </w:pPr>
            <w:r w:rsidRPr="00163BA7">
              <w:rPr>
                <w:rFonts w:ascii="Tw Cen MT" w:hAnsi="Tw Cen MT"/>
                <w:b/>
                <w:bCs/>
                <w:sz w:val="20"/>
                <w:szCs w:val="20"/>
              </w:rPr>
              <w:t>ve Ovitrap Count</w:t>
            </w:r>
          </w:p>
        </w:tc>
        <w:tc>
          <w:tcPr>
            <w:tcW w:w="708" w:type="dxa"/>
            <w:gridSpan w:val="2"/>
            <w:tcBorders>
              <w:top w:val="single" w:sz="4" w:space="0" w:color="auto"/>
              <w:left w:val="nil"/>
              <w:bottom w:val="single" w:sz="4" w:space="0" w:color="auto"/>
              <w:right w:val="nil"/>
            </w:tcBorders>
          </w:tcPr>
          <w:p w14:paraId="16E99711" w14:textId="6046A01F" w:rsidR="00624B47" w:rsidRPr="00163BA7" w:rsidRDefault="00624B47" w:rsidP="00C41A75">
            <w:pPr>
              <w:jc w:val="center"/>
              <w:rPr>
                <w:rFonts w:ascii="Tw Cen MT" w:hAnsi="Tw Cen MT"/>
                <w:b/>
                <w:bCs/>
                <w:sz w:val="20"/>
                <w:szCs w:val="20"/>
              </w:rPr>
            </w:pPr>
            <w:r w:rsidRPr="00163BA7">
              <w:rPr>
                <w:rFonts w:ascii="Tw Cen MT" w:hAnsi="Tw Cen MT"/>
                <w:b/>
                <w:bCs/>
                <w:sz w:val="20"/>
                <w:szCs w:val="20"/>
              </w:rPr>
              <w:t>Ovit</w:t>
            </w:r>
            <w:r w:rsidR="00AB2BCC">
              <w:rPr>
                <w:rFonts w:ascii="Tw Cen MT" w:hAnsi="Tw Cen MT"/>
                <w:b/>
                <w:bCs/>
                <w:sz w:val="20"/>
                <w:szCs w:val="20"/>
              </w:rPr>
              <w:t xml:space="preserve"> </w:t>
            </w:r>
            <w:r w:rsidRPr="00163BA7">
              <w:rPr>
                <w:rFonts w:ascii="Tw Cen MT" w:hAnsi="Tw Cen MT"/>
                <w:b/>
                <w:bCs/>
                <w:sz w:val="20"/>
                <w:szCs w:val="20"/>
              </w:rPr>
              <w:t>rap Index</w:t>
            </w:r>
          </w:p>
        </w:tc>
      </w:tr>
      <w:tr w:rsidR="00624B47" w:rsidRPr="00163BA7" w14:paraId="2C42CD3E" w14:textId="77777777" w:rsidTr="00196C16">
        <w:trPr>
          <w:gridAfter w:val="1"/>
          <w:wAfter w:w="13" w:type="dxa"/>
        </w:trPr>
        <w:tc>
          <w:tcPr>
            <w:tcW w:w="534" w:type="dxa"/>
            <w:tcBorders>
              <w:top w:val="single" w:sz="4" w:space="0" w:color="auto"/>
              <w:left w:val="nil"/>
              <w:bottom w:val="nil"/>
              <w:right w:val="nil"/>
            </w:tcBorders>
            <w:hideMark/>
          </w:tcPr>
          <w:p w14:paraId="518420F4" w14:textId="77777777" w:rsidR="00624B47" w:rsidRPr="00163BA7" w:rsidRDefault="00624B47" w:rsidP="00624B47">
            <w:pPr>
              <w:ind w:firstLine="70"/>
              <w:jc w:val="center"/>
              <w:rPr>
                <w:rFonts w:ascii="Tw Cen MT" w:hAnsi="Tw Cen MT"/>
                <w:sz w:val="20"/>
                <w:szCs w:val="20"/>
              </w:rPr>
            </w:pPr>
            <w:r w:rsidRPr="00163BA7">
              <w:rPr>
                <w:rFonts w:ascii="Tw Cen MT" w:hAnsi="Tw Cen MT"/>
                <w:sz w:val="20"/>
                <w:szCs w:val="20"/>
              </w:rPr>
              <w:t>1</w:t>
            </w:r>
          </w:p>
        </w:tc>
        <w:tc>
          <w:tcPr>
            <w:tcW w:w="850" w:type="dxa"/>
            <w:tcBorders>
              <w:top w:val="single" w:sz="4" w:space="0" w:color="auto"/>
              <w:left w:val="nil"/>
              <w:bottom w:val="nil"/>
              <w:right w:val="nil"/>
            </w:tcBorders>
            <w:hideMark/>
          </w:tcPr>
          <w:p w14:paraId="54F12202"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Rainwater</w:t>
            </w:r>
          </w:p>
        </w:tc>
        <w:tc>
          <w:tcPr>
            <w:tcW w:w="930" w:type="dxa"/>
            <w:gridSpan w:val="2"/>
            <w:tcBorders>
              <w:top w:val="single" w:sz="4" w:space="0" w:color="auto"/>
              <w:left w:val="nil"/>
              <w:bottom w:val="nil"/>
              <w:right w:val="nil"/>
            </w:tcBorders>
            <w:hideMark/>
          </w:tcPr>
          <w:p w14:paraId="41B279BF"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100</w:t>
            </w:r>
          </w:p>
        </w:tc>
        <w:tc>
          <w:tcPr>
            <w:tcW w:w="849" w:type="dxa"/>
            <w:tcBorders>
              <w:top w:val="single" w:sz="4" w:space="0" w:color="auto"/>
              <w:left w:val="nil"/>
              <w:bottom w:val="nil"/>
              <w:right w:val="nil"/>
            </w:tcBorders>
            <w:hideMark/>
          </w:tcPr>
          <w:p w14:paraId="76F5781D"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70</w:t>
            </w:r>
          </w:p>
        </w:tc>
        <w:tc>
          <w:tcPr>
            <w:tcW w:w="807" w:type="dxa"/>
            <w:gridSpan w:val="2"/>
            <w:tcBorders>
              <w:top w:val="single" w:sz="4" w:space="0" w:color="auto"/>
              <w:left w:val="nil"/>
              <w:bottom w:val="nil"/>
              <w:right w:val="nil"/>
            </w:tcBorders>
            <w:hideMark/>
          </w:tcPr>
          <w:p w14:paraId="420DE7AC"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2279</w:t>
            </w:r>
          </w:p>
        </w:tc>
        <w:tc>
          <w:tcPr>
            <w:tcW w:w="708" w:type="dxa"/>
            <w:gridSpan w:val="2"/>
            <w:tcBorders>
              <w:top w:val="single" w:sz="4" w:space="0" w:color="auto"/>
              <w:left w:val="nil"/>
              <w:bottom w:val="nil"/>
              <w:right w:val="nil"/>
            </w:tcBorders>
          </w:tcPr>
          <w:p w14:paraId="2A7D8422"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70%</w:t>
            </w:r>
          </w:p>
        </w:tc>
      </w:tr>
      <w:tr w:rsidR="00624B47" w:rsidRPr="00163BA7" w14:paraId="6E923F08" w14:textId="77777777" w:rsidTr="00196C16">
        <w:trPr>
          <w:gridAfter w:val="1"/>
          <w:wAfter w:w="13" w:type="dxa"/>
        </w:trPr>
        <w:tc>
          <w:tcPr>
            <w:tcW w:w="534" w:type="dxa"/>
            <w:tcBorders>
              <w:top w:val="nil"/>
              <w:left w:val="nil"/>
              <w:bottom w:val="single" w:sz="4" w:space="0" w:color="auto"/>
              <w:right w:val="nil"/>
            </w:tcBorders>
            <w:hideMark/>
          </w:tcPr>
          <w:p w14:paraId="19C8828A" w14:textId="77777777" w:rsidR="00624B47" w:rsidRPr="00163BA7" w:rsidRDefault="00624B47" w:rsidP="00624B47">
            <w:pPr>
              <w:ind w:firstLine="70"/>
              <w:jc w:val="center"/>
              <w:rPr>
                <w:rFonts w:ascii="Tw Cen MT" w:hAnsi="Tw Cen MT"/>
                <w:sz w:val="20"/>
                <w:szCs w:val="20"/>
              </w:rPr>
            </w:pPr>
            <w:r w:rsidRPr="00163BA7">
              <w:rPr>
                <w:rFonts w:ascii="Tw Cen MT" w:hAnsi="Tw Cen MT"/>
                <w:sz w:val="20"/>
                <w:szCs w:val="20"/>
              </w:rPr>
              <w:t>2</w:t>
            </w:r>
          </w:p>
        </w:tc>
        <w:tc>
          <w:tcPr>
            <w:tcW w:w="850" w:type="dxa"/>
            <w:tcBorders>
              <w:top w:val="nil"/>
              <w:left w:val="nil"/>
              <w:bottom w:val="single" w:sz="4" w:space="0" w:color="auto"/>
              <w:right w:val="nil"/>
            </w:tcBorders>
            <w:hideMark/>
          </w:tcPr>
          <w:p w14:paraId="3C44B8C2" w14:textId="2DFAB12C" w:rsidR="00624B47" w:rsidRPr="00163BA7" w:rsidRDefault="008A326F" w:rsidP="008A326F">
            <w:pPr>
              <w:rPr>
                <w:rFonts w:ascii="Tw Cen MT" w:hAnsi="Tw Cen MT"/>
                <w:sz w:val="20"/>
                <w:szCs w:val="20"/>
              </w:rPr>
            </w:pPr>
            <w:r w:rsidRPr="00163BA7">
              <w:rPr>
                <w:rFonts w:ascii="Tw Cen MT" w:hAnsi="Tw Cen MT"/>
                <w:sz w:val="20"/>
                <w:szCs w:val="20"/>
              </w:rPr>
              <w:t>Minicipal</w:t>
            </w:r>
            <w:r w:rsidR="00624B47" w:rsidRPr="00163BA7">
              <w:rPr>
                <w:rFonts w:ascii="Tw Cen MT" w:hAnsi="Tw Cen MT"/>
                <w:sz w:val="20"/>
                <w:szCs w:val="20"/>
              </w:rPr>
              <w:t xml:space="preserve"> water</w:t>
            </w:r>
          </w:p>
        </w:tc>
        <w:tc>
          <w:tcPr>
            <w:tcW w:w="930" w:type="dxa"/>
            <w:gridSpan w:val="2"/>
            <w:tcBorders>
              <w:top w:val="nil"/>
              <w:left w:val="nil"/>
              <w:bottom w:val="single" w:sz="4" w:space="0" w:color="auto"/>
              <w:right w:val="nil"/>
            </w:tcBorders>
            <w:hideMark/>
          </w:tcPr>
          <w:p w14:paraId="3370AF09"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100</w:t>
            </w:r>
          </w:p>
        </w:tc>
        <w:tc>
          <w:tcPr>
            <w:tcW w:w="849" w:type="dxa"/>
            <w:tcBorders>
              <w:top w:val="nil"/>
              <w:left w:val="nil"/>
              <w:bottom w:val="single" w:sz="4" w:space="0" w:color="auto"/>
              <w:right w:val="nil"/>
            </w:tcBorders>
            <w:hideMark/>
          </w:tcPr>
          <w:p w14:paraId="04F7CDD5"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52</w:t>
            </w:r>
          </w:p>
        </w:tc>
        <w:tc>
          <w:tcPr>
            <w:tcW w:w="807" w:type="dxa"/>
            <w:gridSpan w:val="2"/>
            <w:tcBorders>
              <w:top w:val="nil"/>
              <w:left w:val="nil"/>
              <w:bottom w:val="single" w:sz="4" w:space="0" w:color="auto"/>
              <w:right w:val="nil"/>
            </w:tcBorders>
            <w:hideMark/>
          </w:tcPr>
          <w:p w14:paraId="31A00486"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1553</w:t>
            </w:r>
          </w:p>
        </w:tc>
        <w:tc>
          <w:tcPr>
            <w:tcW w:w="708" w:type="dxa"/>
            <w:gridSpan w:val="2"/>
            <w:tcBorders>
              <w:top w:val="nil"/>
              <w:left w:val="nil"/>
              <w:bottom w:val="single" w:sz="4" w:space="0" w:color="auto"/>
              <w:right w:val="nil"/>
            </w:tcBorders>
          </w:tcPr>
          <w:p w14:paraId="62DA5F98"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52%</w:t>
            </w:r>
          </w:p>
        </w:tc>
      </w:tr>
      <w:tr w:rsidR="00624B47" w:rsidRPr="00163BA7" w14:paraId="0AEBF442" w14:textId="77777777" w:rsidTr="00196C16">
        <w:trPr>
          <w:trHeight w:val="384"/>
        </w:trPr>
        <w:tc>
          <w:tcPr>
            <w:tcW w:w="1384" w:type="dxa"/>
            <w:gridSpan w:val="2"/>
            <w:tcBorders>
              <w:top w:val="single" w:sz="4" w:space="0" w:color="auto"/>
              <w:left w:val="nil"/>
              <w:bottom w:val="single" w:sz="4" w:space="0" w:color="auto"/>
              <w:right w:val="nil"/>
            </w:tcBorders>
            <w:hideMark/>
          </w:tcPr>
          <w:p w14:paraId="7B88F68F"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Total</w:t>
            </w:r>
          </w:p>
        </w:tc>
        <w:tc>
          <w:tcPr>
            <w:tcW w:w="897" w:type="dxa"/>
            <w:tcBorders>
              <w:top w:val="single" w:sz="4" w:space="0" w:color="auto"/>
              <w:left w:val="nil"/>
              <w:bottom w:val="single" w:sz="4" w:space="0" w:color="auto"/>
              <w:right w:val="nil"/>
            </w:tcBorders>
            <w:hideMark/>
          </w:tcPr>
          <w:p w14:paraId="5067D870" w14:textId="77777777" w:rsidR="00624B47" w:rsidRPr="00163BA7" w:rsidRDefault="00624B47" w:rsidP="00C41A75">
            <w:pPr>
              <w:ind w:left="-310"/>
              <w:jc w:val="center"/>
              <w:rPr>
                <w:rFonts w:ascii="Tw Cen MT" w:hAnsi="Tw Cen MT"/>
                <w:sz w:val="20"/>
                <w:szCs w:val="20"/>
              </w:rPr>
            </w:pPr>
            <w:r w:rsidRPr="00163BA7">
              <w:rPr>
                <w:rFonts w:ascii="Tw Cen MT" w:hAnsi="Tw Cen MT"/>
                <w:sz w:val="20"/>
                <w:szCs w:val="20"/>
              </w:rPr>
              <w:t>200</w:t>
            </w:r>
          </w:p>
        </w:tc>
        <w:tc>
          <w:tcPr>
            <w:tcW w:w="940" w:type="dxa"/>
            <w:gridSpan w:val="3"/>
            <w:tcBorders>
              <w:top w:val="single" w:sz="4" w:space="0" w:color="auto"/>
              <w:left w:val="nil"/>
              <w:bottom w:val="single" w:sz="4" w:space="0" w:color="auto"/>
              <w:right w:val="nil"/>
            </w:tcBorders>
            <w:hideMark/>
          </w:tcPr>
          <w:p w14:paraId="3AE730B5"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122</w:t>
            </w:r>
          </w:p>
        </w:tc>
        <w:tc>
          <w:tcPr>
            <w:tcW w:w="827" w:type="dxa"/>
            <w:gridSpan w:val="2"/>
            <w:tcBorders>
              <w:top w:val="single" w:sz="4" w:space="0" w:color="auto"/>
              <w:left w:val="nil"/>
              <w:bottom w:val="single" w:sz="4" w:space="0" w:color="auto"/>
              <w:right w:val="nil"/>
            </w:tcBorders>
            <w:hideMark/>
          </w:tcPr>
          <w:p w14:paraId="5244586F" w14:textId="77777777" w:rsidR="00624B47" w:rsidRPr="00163BA7" w:rsidRDefault="00624B47" w:rsidP="00C41A75">
            <w:pPr>
              <w:jc w:val="center"/>
              <w:rPr>
                <w:rFonts w:ascii="Tw Cen MT" w:hAnsi="Tw Cen MT"/>
                <w:sz w:val="20"/>
                <w:szCs w:val="20"/>
              </w:rPr>
            </w:pPr>
            <w:r w:rsidRPr="00163BA7">
              <w:rPr>
                <w:rFonts w:ascii="Tw Cen MT" w:hAnsi="Tw Cen MT"/>
                <w:sz w:val="20"/>
                <w:szCs w:val="20"/>
              </w:rPr>
              <w:t>3832</w:t>
            </w:r>
          </w:p>
        </w:tc>
        <w:tc>
          <w:tcPr>
            <w:tcW w:w="643" w:type="dxa"/>
            <w:gridSpan w:val="2"/>
            <w:tcBorders>
              <w:top w:val="single" w:sz="4" w:space="0" w:color="auto"/>
              <w:left w:val="nil"/>
              <w:bottom w:val="single" w:sz="4" w:space="0" w:color="auto"/>
              <w:right w:val="nil"/>
            </w:tcBorders>
          </w:tcPr>
          <w:p w14:paraId="23017B82" w14:textId="77777777" w:rsidR="00624B47" w:rsidRPr="00163BA7" w:rsidRDefault="00624B47" w:rsidP="00C41A75">
            <w:pPr>
              <w:rPr>
                <w:rFonts w:ascii="Tw Cen MT" w:hAnsi="Tw Cen MT"/>
                <w:sz w:val="20"/>
                <w:szCs w:val="20"/>
              </w:rPr>
            </w:pPr>
            <w:r w:rsidRPr="00163BA7">
              <w:rPr>
                <w:rFonts w:ascii="Tw Cen MT" w:hAnsi="Tw Cen MT"/>
                <w:sz w:val="20"/>
                <w:szCs w:val="20"/>
              </w:rPr>
              <w:t>61%</w:t>
            </w:r>
          </w:p>
        </w:tc>
      </w:tr>
      <w:bookmarkEnd w:id="3"/>
    </w:tbl>
    <w:p w14:paraId="54914E7C" w14:textId="77777777" w:rsidR="00D70D6D" w:rsidRPr="00163BA7" w:rsidRDefault="00D70D6D" w:rsidP="00B241B6">
      <w:pPr>
        <w:tabs>
          <w:tab w:val="left" w:pos="426"/>
        </w:tabs>
        <w:spacing w:after="0"/>
        <w:jc w:val="both"/>
        <w:rPr>
          <w:rFonts w:ascii="Tw Cen MT" w:eastAsia="Twentieth Century" w:hAnsi="Tw Cen MT" w:cs="Twentieth Century"/>
          <w:sz w:val="24"/>
          <w:szCs w:val="24"/>
        </w:rPr>
      </w:pPr>
    </w:p>
    <w:p w14:paraId="5CE4027E" w14:textId="7262CBE7"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average value (</w:t>
      </w:r>
      <w:r w:rsidRPr="00196C16">
        <w:rPr>
          <w:rFonts w:ascii="Tw Cen MT" w:eastAsia="Twentieth Century" w:hAnsi="Tw Cen MT" w:cs="Twentieth Century"/>
          <w:sz w:val="24"/>
          <w:szCs w:val="24"/>
        </w:rPr>
        <w:t>mean</w:t>
      </w:r>
      <w:r w:rsidRPr="00163BA7">
        <w:rPr>
          <w:rFonts w:ascii="Tw Cen MT" w:eastAsia="Twentieth Century" w:hAnsi="Tw Cen MT" w:cs="Twentieth Century"/>
          <w:sz w:val="24"/>
          <w:szCs w:val="24"/>
        </w:rPr>
        <w:t xml:space="preserve">) of the highest number of eggs found in ovitrap using rainwater media, was 32.56 and the average value of the number of eggs found in ovitrap using </w:t>
      </w:r>
      <w:r w:rsidR="00C20FA8" w:rsidRPr="00163BA7">
        <w:rPr>
          <w:rFonts w:ascii="Tw Cen MT" w:eastAsia="Twentieth Century" w:hAnsi="Tw Cen MT" w:cs="Twentieth Century"/>
          <w:sz w:val="24"/>
          <w:szCs w:val="24"/>
        </w:rPr>
        <w:t>mu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media, which was 29.87 (Table 2). The minimum value of the number of eggs in rainwater media is 4 with a maximum value of 111. In contrast to </w:t>
      </w:r>
      <w:r w:rsidR="00E37E90" w:rsidRPr="00163BA7">
        <w:rPr>
          <w:rFonts w:ascii="Tw Cen MT" w:eastAsia="Twentieth Century" w:hAnsi="Tw Cen MT" w:cs="Twentieth Century"/>
          <w:sz w:val="24"/>
          <w:szCs w:val="24"/>
        </w:rPr>
        <w:t>m</w:t>
      </w:r>
      <w:r w:rsidR="00C20FA8" w:rsidRPr="00163BA7">
        <w:rPr>
          <w:rFonts w:ascii="Tw Cen MT" w:eastAsia="Twentieth Century" w:hAnsi="Tw Cen MT" w:cs="Twentieth Century"/>
          <w:sz w:val="24"/>
          <w:szCs w:val="24"/>
        </w:rPr>
        <w:t>u</w:t>
      </w:r>
      <w:r w:rsidR="00E37E9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t>
      </w:r>
      <w:r w:rsidR="00E37E90" w:rsidRPr="00163BA7">
        <w:rPr>
          <w:rFonts w:ascii="Tw Cen MT" w:eastAsia="Twentieth Century" w:hAnsi="Tw Cen MT" w:cs="Twentieth Century"/>
          <w:sz w:val="24"/>
          <w:szCs w:val="24"/>
        </w:rPr>
        <w:t>water media, it shows that the minimum value is</w:t>
      </w:r>
      <w:r w:rsidRPr="00163BA7">
        <w:rPr>
          <w:rFonts w:ascii="Tw Cen MT" w:eastAsia="Twentieth Century" w:hAnsi="Tw Cen MT" w:cs="Twentieth Century"/>
          <w:sz w:val="24"/>
          <w:szCs w:val="24"/>
        </w:rPr>
        <w:t xml:space="preserve"> 3 and the maximum is 89 (Table 2).</w:t>
      </w:r>
    </w:p>
    <w:p w14:paraId="39D236ED" w14:textId="77777777" w:rsidR="002B20BA" w:rsidRPr="00163BA7" w:rsidRDefault="002B20BA" w:rsidP="002B20BA">
      <w:pPr>
        <w:spacing w:after="0" w:line="240" w:lineRule="auto"/>
        <w:ind w:firstLine="720"/>
        <w:jc w:val="center"/>
        <w:rPr>
          <w:rFonts w:ascii="Tw Cen MT" w:eastAsia="Calibri" w:hAnsi="Tw Cen MT" w:cs="Times New Roman"/>
          <w:bCs/>
          <w:sz w:val="20"/>
          <w:szCs w:val="20"/>
        </w:rPr>
      </w:pPr>
      <w:r w:rsidRPr="00163BA7">
        <w:rPr>
          <w:rFonts w:ascii="Tw Cen MT" w:eastAsia="Calibri" w:hAnsi="Tw Cen MT" w:cs="Times New Roman"/>
          <w:bCs/>
          <w:sz w:val="20"/>
          <w:szCs w:val="20"/>
        </w:rPr>
        <w:t>Tabel 2. Descriptive Table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437"/>
        <w:gridCol w:w="1009"/>
        <w:gridCol w:w="1062"/>
        <w:gridCol w:w="702"/>
      </w:tblGrid>
      <w:tr w:rsidR="002B20BA" w:rsidRPr="00163BA7" w14:paraId="6645D507" w14:textId="77777777" w:rsidTr="00C41A75">
        <w:trPr>
          <w:jc w:val="center"/>
        </w:trPr>
        <w:tc>
          <w:tcPr>
            <w:tcW w:w="1327" w:type="dxa"/>
            <w:tcBorders>
              <w:top w:val="single" w:sz="4" w:space="0" w:color="auto"/>
              <w:left w:val="nil"/>
              <w:bottom w:val="single" w:sz="4" w:space="0" w:color="auto"/>
              <w:right w:val="nil"/>
            </w:tcBorders>
            <w:hideMark/>
          </w:tcPr>
          <w:p w14:paraId="5091FA5D" w14:textId="77777777" w:rsidR="002B20BA" w:rsidRPr="00163BA7" w:rsidRDefault="002B20BA" w:rsidP="00C41A75">
            <w:pPr>
              <w:jc w:val="center"/>
              <w:rPr>
                <w:rFonts w:ascii="Tw Cen MT" w:hAnsi="Tw Cen MT"/>
                <w:b/>
                <w:sz w:val="20"/>
                <w:szCs w:val="20"/>
              </w:rPr>
            </w:pPr>
            <w:r w:rsidRPr="00163BA7">
              <w:rPr>
                <w:rFonts w:ascii="Tw Cen MT" w:hAnsi="Tw Cen MT"/>
                <w:b/>
                <w:sz w:val="20"/>
                <w:szCs w:val="20"/>
              </w:rPr>
              <w:t>Media Type</w:t>
            </w:r>
          </w:p>
        </w:tc>
        <w:tc>
          <w:tcPr>
            <w:tcW w:w="419" w:type="dxa"/>
            <w:tcBorders>
              <w:top w:val="single" w:sz="4" w:space="0" w:color="auto"/>
              <w:left w:val="nil"/>
              <w:bottom w:val="single" w:sz="4" w:space="0" w:color="auto"/>
              <w:right w:val="nil"/>
            </w:tcBorders>
            <w:hideMark/>
          </w:tcPr>
          <w:p w14:paraId="0B3E9A94" w14:textId="77777777" w:rsidR="002B20BA" w:rsidRPr="00163BA7" w:rsidRDefault="002B20BA" w:rsidP="00C41A75">
            <w:pPr>
              <w:jc w:val="center"/>
              <w:rPr>
                <w:rFonts w:ascii="Tw Cen MT" w:hAnsi="Tw Cen MT"/>
                <w:b/>
                <w:sz w:val="20"/>
                <w:szCs w:val="20"/>
              </w:rPr>
            </w:pPr>
            <w:r w:rsidRPr="00163BA7">
              <w:rPr>
                <w:rFonts w:ascii="Tw Cen MT" w:hAnsi="Tw Cen MT"/>
                <w:b/>
                <w:sz w:val="20"/>
                <w:szCs w:val="20"/>
              </w:rPr>
              <w:t>N</w:t>
            </w:r>
          </w:p>
        </w:tc>
        <w:tc>
          <w:tcPr>
            <w:tcW w:w="1009" w:type="dxa"/>
            <w:tcBorders>
              <w:top w:val="single" w:sz="4" w:space="0" w:color="auto"/>
              <w:left w:val="nil"/>
              <w:bottom w:val="single" w:sz="4" w:space="0" w:color="auto"/>
              <w:right w:val="nil"/>
            </w:tcBorders>
            <w:hideMark/>
          </w:tcPr>
          <w:p w14:paraId="7BBCDC9B" w14:textId="77777777" w:rsidR="002B20BA" w:rsidRPr="00163BA7" w:rsidRDefault="002B20BA" w:rsidP="00C41A75">
            <w:pPr>
              <w:jc w:val="center"/>
              <w:rPr>
                <w:rFonts w:ascii="Tw Cen MT" w:hAnsi="Tw Cen MT"/>
                <w:b/>
                <w:sz w:val="20"/>
                <w:szCs w:val="20"/>
              </w:rPr>
            </w:pPr>
            <w:r w:rsidRPr="00163BA7">
              <w:rPr>
                <w:rFonts w:ascii="Tw Cen MT" w:hAnsi="Tw Cen MT"/>
                <w:b/>
                <w:sz w:val="20"/>
                <w:szCs w:val="20"/>
              </w:rPr>
              <w:t>Minimum</w:t>
            </w:r>
          </w:p>
        </w:tc>
        <w:tc>
          <w:tcPr>
            <w:tcW w:w="1040" w:type="dxa"/>
            <w:tcBorders>
              <w:top w:val="single" w:sz="4" w:space="0" w:color="auto"/>
              <w:left w:val="nil"/>
              <w:bottom w:val="single" w:sz="4" w:space="0" w:color="auto"/>
              <w:right w:val="nil"/>
            </w:tcBorders>
            <w:hideMark/>
          </w:tcPr>
          <w:p w14:paraId="17681308" w14:textId="77777777" w:rsidR="002B20BA" w:rsidRPr="00163BA7" w:rsidRDefault="002B20BA" w:rsidP="00C41A75">
            <w:pPr>
              <w:jc w:val="center"/>
              <w:rPr>
                <w:rFonts w:ascii="Tw Cen MT" w:hAnsi="Tw Cen MT"/>
                <w:b/>
                <w:sz w:val="20"/>
                <w:szCs w:val="20"/>
              </w:rPr>
            </w:pPr>
            <w:r w:rsidRPr="00163BA7">
              <w:rPr>
                <w:rFonts w:ascii="Tw Cen MT" w:hAnsi="Tw Cen MT"/>
                <w:b/>
                <w:sz w:val="20"/>
                <w:szCs w:val="20"/>
              </w:rPr>
              <w:t>Maximum</w:t>
            </w:r>
          </w:p>
        </w:tc>
        <w:tc>
          <w:tcPr>
            <w:tcW w:w="322" w:type="dxa"/>
            <w:tcBorders>
              <w:top w:val="single" w:sz="4" w:space="0" w:color="auto"/>
              <w:left w:val="nil"/>
              <w:bottom w:val="single" w:sz="4" w:space="0" w:color="auto"/>
              <w:right w:val="nil"/>
            </w:tcBorders>
            <w:hideMark/>
          </w:tcPr>
          <w:p w14:paraId="0EAEE2F7" w14:textId="77777777" w:rsidR="002B20BA" w:rsidRPr="00163BA7" w:rsidRDefault="002B20BA" w:rsidP="00C41A75">
            <w:pPr>
              <w:jc w:val="center"/>
              <w:rPr>
                <w:rFonts w:ascii="Tw Cen MT" w:hAnsi="Tw Cen MT"/>
                <w:b/>
                <w:sz w:val="20"/>
                <w:szCs w:val="20"/>
              </w:rPr>
            </w:pPr>
            <w:r w:rsidRPr="00163BA7">
              <w:rPr>
                <w:rFonts w:ascii="Tw Cen MT" w:hAnsi="Tw Cen MT"/>
                <w:b/>
                <w:sz w:val="20"/>
                <w:szCs w:val="20"/>
              </w:rPr>
              <w:t>Mean</w:t>
            </w:r>
          </w:p>
        </w:tc>
      </w:tr>
      <w:tr w:rsidR="002B20BA" w:rsidRPr="00163BA7" w14:paraId="54508E0A" w14:textId="77777777" w:rsidTr="00C41A75">
        <w:trPr>
          <w:jc w:val="center"/>
        </w:trPr>
        <w:tc>
          <w:tcPr>
            <w:tcW w:w="1327" w:type="dxa"/>
            <w:tcBorders>
              <w:top w:val="single" w:sz="4" w:space="0" w:color="auto"/>
              <w:left w:val="nil"/>
              <w:bottom w:val="nil"/>
              <w:right w:val="nil"/>
            </w:tcBorders>
            <w:hideMark/>
          </w:tcPr>
          <w:p w14:paraId="200A4955"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Rainwater</w:t>
            </w:r>
          </w:p>
        </w:tc>
        <w:tc>
          <w:tcPr>
            <w:tcW w:w="419" w:type="dxa"/>
            <w:tcBorders>
              <w:top w:val="single" w:sz="4" w:space="0" w:color="auto"/>
              <w:left w:val="nil"/>
              <w:bottom w:val="nil"/>
              <w:right w:val="nil"/>
            </w:tcBorders>
            <w:hideMark/>
          </w:tcPr>
          <w:p w14:paraId="45AC08E9"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70</w:t>
            </w:r>
          </w:p>
        </w:tc>
        <w:tc>
          <w:tcPr>
            <w:tcW w:w="1009" w:type="dxa"/>
            <w:tcBorders>
              <w:top w:val="single" w:sz="4" w:space="0" w:color="auto"/>
              <w:left w:val="nil"/>
              <w:bottom w:val="nil"/>
              <w:right w:val="nil"/>
            </w:tcBorders>
            <w:hideMark/>
          </w:tcPr>
          <w:p w14:paraId="73DEB3F9"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4</w:t>
            </w:r>
          </w:p>
        </w:tc>
        <w:tc>
          <w:tcPr>
            <w:tcW w:w="1040" w:type="dxa"/>
            <w:tcBorders>
              <w:top w:val="single" w:sz="4" w:space="0" w:color="auto"/>
              <w:left w:val="nil"/>
              <w:bottom w:val="nil"/>
              <w:right w:val="nil"/>
            </w:tcBorders>
            <w:hideMark/>
          </w:tcPr>
          <w:p w14:paraId="41AB55C9"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111</w:t>
            </w:r>
          </w:p>
        </w:tc>
        <w:tc>
          <w:tcPr>
            <w:tcW w:w="322" w:type="dxa"/>
            <w:tcBorders>
              <w:top w:val="single" w:sz="4" w:space="0" w:color="auto"/>
              <w:left w:val="nil"/>
              <w:bottom w:val="nil"/>
              <w:right w:val="nil"/>
            </w:tcBorders>
            <w:hideMark/>
          </w:tcPr>
          <w:p w14:paraId="6506E373"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32,56</w:t>
            </w:r>
          </w:p>
        </w:tc>
      </w:tr>
      <w:tr w:rsidR="002B20BA" w:rsidRPr="00163BA7" w14:paraId="72972659" w14:textId="77777777" w:rsidTr="00C41A75">
        <w:trPr>
          <w:jc w:val="center"/>
        </w:trPr>
        <w:tc>
          <w:tcPr>
            <w:tcW w:w="1327" w:type="dxa"/>
            <w:tcBorders>
              <w:top w:val="nil"/>
              <w:left w:val="nil"/>
              <w:bottom w:val="single" w:sz="4" w:space="0" w:color="auto"/>
              <w:right w:val="nil"/>
            </w:tcBorders>
            <w:hideMark/>
          </w:tcPr>
          <w:p w14:paraId="3165F89D"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PDAM water</w:t>
            </w:r>
          </w:p>
        </w:tc>
        <w:tc>
          <w:tcPr>
            <w:tcW w:w="419" w:type="dxa"/>
            <w:tcBorders>
              <w:top w:val="nil"/>
              <w:left w:val="nil"/>
              <w:bottom w:val="single" w:sz="4" w:space="0" w:color="auto"/>
              <w:right w:val="nil"/>
            </w:tcBorders>
            <w:hideMark/>
          </w:tcPr>
          <w:p w14:paraId="2FFF76DA"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52</w:t>
            </w:r>
          </w:p>
        </w:tc>
        <w:tc>
          <w:tcPr>
            <w:tcW w:w="1009" w:type="dxa"/>
            <w:tcBorders>
              <w:top w:val="nil"/>
              <w:left w:val="nil"/>
              <w:bottom w:val="single" w:sz="4" w:space="0" w:color="auto"/>
              <w:right w:val="nil"/>
            </w:tcBorders>
            <w:hideMark/>
          </w:tcPr>
          <w:p w14:paraId="767F5E89"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3</w:t>
            </w:r>
          </w:p>
        </w:tc>
        <w:tc>
          <w:tcPr>
            <w:tcW w:w="1040" w:type="dxa"/>
            <w:tcBorders>
              <w:top w:val="nil"/>
              <w:left w:val="nil"/>
              <w:bottom w:val="single" w:sz="4" w:space="0" w:color="auto"/>
              <w:right w:val="nil"/>
            </w:tcBorders>
            <w:hideMark/>
          </w:tcPr>
          <w:p w14:paraId="0F5AA9B4"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89</w:t>
            </w:r>
          </w:p>
        </w:tc>
        <w:tc>
          <w:tcPr>
            <w:tcW w:w="322" w:type="dxa"/>
            <w:tcBorders>
              <w:top w:val="nil"/>
              <w:left w:val="nil"/>
              <w:bottom w:val="single" w:sz="4" w:space="0" w:color="auto"/>
              <w:right w:val="nil"/>
            </w:tcBorders>
            <w:hideMark/>
          </w:tcPr>
          <w:p w14:paraId="242D22A7" w14:textId="77777777" w:rsidR="002B20BA" w:rsidRPr="00163BA7" w:rsidRDefault="002B20BA" w:rsidP="00C41A75">
            <w:pPr>
              <w:jc w:val="center"/>
              <w:rPr>
                <w:rFonts w:ascii="Tw Cen MT" w:hAnsi="Tw Cen MT"/>
                <w:bCs/>
                <w:sz w:val="20"/>
                <w:szCs w:val="20"/>
              </w:rPr>
            </w:pPr>
            <w:r w:rsidRPr="00163BA7">
              <w:rPr>
                <w:rFonts w:ascii="Tw Cen MT" w:hAnsi="Tw Cen MT"/>
                <w:bCs/>
                <w:sz w:val="20"/>
                <w:szCs w:val="20"/>
              </w:rPr>
              <w:t>29,87</w:t>
            </w:r>
          </w:p>
        </w:tc>
      </w:tr>
    </w:tbl>
    <w:p w14:paraId="56817926" w14:textId="77777777" w:rsidR="007E655E" w:rsidRPr="00163BA7" w:rsidRDefault="007E655E" w:rsidP="00B241B6">
      <w:pPr>
        <w:tabs>
          <w:tab w:val="left" w:pos="426"/>
        </w:tabs>
        <w:spacing w:after="0"/>
        <w:jc w:val="both"/>
        <w:rPr>
          <w:rFonts w:ascii="Tw Cen MT" w:eastAsia="Twentieth Century" w:hAnsi="Tw Cen MT" w:cs="Twentieth Century"/>
          <w:sz w:val="24"/>
          <w:szCs w:val="24"/>
        </w:rPr>
      </w:pPr>
    </w:p>
    <w:p w14:paraId="32408D37" w14:textId="3BFCC892"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In this study, the results of the normality test of the data using the known p-value &lt;0.005, which means the data is not normally distributed, thus the hypothesis test that will be used is the Mann-Whitney test. The results of the Mann-Whitney test in table </w:t>
      </w:r>
      <w:r w:rsidR="00765F40" w:rsidRPr="00163BA7">
        <w:rPr>
          <w:rFonts w:ascii="Tw Cen MT" w:eastAsia="Twentieth Century" w:hAnsi="Tw Cen MT" w:cs="Twentieth Century"/>
          <w:sz w:val="24"/>
          <w:szCs w:val="24"/>
        </w:rPr>
        <w:t xml:space="preserve">3 </w:t>
      </w:r>
      <w:r w:rsidR="00196C16">
        <w:rPr>
          <w:rFonts w:ascii="Tw Cen MT" w:eastAsia="Twentieth Century" w:hAnsi="Tw Cen MT" w:cs="Twentieth Century"/>
          <w:sz w:val="24"/>
          <w:szCs w:val="24"/>
        </w:rPr>
        <w:t>o</w:t>
      </w:r>
      <w:r w:rsidRPr="00163BA7">
        <w:rPr>
          <w:rFonts w:ascii="Tw Cen MT" w:eastAsia="Twentieth Century" w:hAnsi="Tw Cen MT" w:cs="Twentieth Century"/>
          <w:sz w:val="24"/>
          <w:szCs w:val="24"/>
        </w:rPr>
        <w:t>btained a p-value of 0.637 &gt; 0.05, so the results of this test can be interpreted statistically</w:t>
      </w:r>
      <w:r w:rsidR="00160FDD" w:rsidRPr="00163BA7">
        <w:rPr>
          <w:rFonts w:ascii="Tw Cen MT" w:eastAsia="Twentieth Century" w:hAnsi="Tw Cen MT" w:cs="Twentieth Century"/>
          <w:sz w:val="24"/>
          <w:szCs w:val="24"/>
        </w:rPr>
        <w:t xml:space="preserve"> as</w:t>
      </w:r>
      <w:r w:rsidRPr="00163BA7">
        <w:rPr>
          <w:rFonts w:ascii="Tw Cen MT" w:eastAsia="Twentieth Century" w:hAnsi="Tw Cen MT" w:cs="Twentieth Century"/>
          <w:sz w:val="24"/>
          <w:szCs w:val="24"/>
        </w:rPr>
        <w:t xml:space="preserve"> there is no difference in the average number of eggs trapped in the ovitrap using rainwater and </w:t>
      </w:r>
      <w:r w:rsidR="00C20FA8" w:rsidRPr="00163BA7">
        <w:rPr>
          <w:rFonts w:ascii="Tw Cen MT" w:eastAsia="Twentieth Century" w:hAnsi="Tw Cen MT" w:cs="Twentieth Century"/>
          <w:sz w:val="24"/>
          <w:szCs w:val="24"/>
        </w:rPr>
        <w:t>mu</w:t>
      </w:r>
      <w:r w:rsidR="00765F4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w:t>
      </w:r>
    </w:p>
    <w:p w14:paraId="717650F7" w14:textId="58927820"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In this study, more eggs were found in rainwater than in </w:t>
      </w:r>
      <w:r w:rsidR="00C20FA8" w:rsidRPr="00163BA7">
        <w:rPr>
          <w:rFonts w:ascii="Tw Cen MT" w:eastAsia="Twentieth Century" w:hAnsi="Tw Cen MT" w:cs="Twentieth Century"/>
          <w:sz w:val="24"/>
          <w:szCs w:val="24"/>
        </w:rPr>
        <w:t>mu</w:t>
      </w:r>
      <w:r w:rsidR="00765F4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This finding </w:t>
      </w:r>
      <w:r w:rsidRPr="00163BA7">
        <w:rPr>
          <w:rFonts w:ascii="Tw Cen MT" w:eastAsia="Twentieth Century" w:hAnsi="Tw Cen MT" w:cs="Twentieth Century"/>
          <w:sz w:val="24"/>
          <w:szCs w:val="24"/>
        </w:rPr>
        <w:lastRenderedPageBreak/>
        <w:t xml:space="preserve">is different from the research of Hidayah et al. (2013) that the average value of the number of Aedes aegypti eggs in rainwater ovitrap is 39.25 eggs and </w:t>
      </w:r>
      <w:r w:rsidR="00C20FA8" w:rsidRPr="00163BA7">
        <w:rPr>
          <w:rFonts w:ascii="Tw Cen MT" w:eastAsia="Twentieth Century" w:hAnsi="Tw Cen MT" w:cs="Twentieth Century"/>
          <w:sz w:val="24"/>
          <w:szCs w:val="24"/>
        </w:rPr>
        <w:t>mu</w:t>
      </w:r>
      <w:r w:rsidR="00765F4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ovitrap is 43 eggs, which means the number of Aedes aegypti eggs is more found in </w:t>
      </w:r>
      <w:r w:rsidR="00765F40" w:rsidRPr="00163BA7">
        <w:rPr>
          <w:rFonts w:ascii="Tw Cen MT" w:eastAsia="Twentieth Century" w:hAnsi="Tw Cen MT" w:cs="Twentieth Century"/>
          <w:sz w:val="24"/>
          <w:szCs w:val="24"/>
        </w:rPr>
        <w:t>minicipal</w:t>
      </w:r>
      <w:r w:rsidRPr="00163BA7">
        <w:rPr>
          <w:rFonts w:ascii="Tw Cen MT" w:eastAsia="Twentieth Century" w:hAnsi="Tw Cen MT" w:cs="Twentieth Century"/>
          <w:sz w:val="24"/>
          <w:szCs w:val="24"/>
        </w:rPr>
        <w:t xml:space="preserve"> water ovitrap compared to rainwater ovitrap.</w:t>
      </w:r>
    </w:p>
    <w:p w14:paraId="630D19B3" w14:textId="284D458E"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results of the ovitrap index from research conducted in Sei Jang Village RT 2 and RT 3 RW 1 got the highest value on rainwater media by 70% compared to </w:t>
      </w:r>
      <w:r w:rsidR="00C20FA8" w:rsidRPr="00163BA7">
        <w:rPr>
          <w:rFonts w:ascii="Tw Cen MT" w:eastAsia="Twentieth Century" w:hAnsi="Tw Cen MT" w:cs="Twentieth Century"/>
          <w:sz w:val="24"/>
          <w:szCs w:val="24"/>
        </w:rPr>
        <w:t>mu</w:t>
      </w:r>
      <w:r w:rsidR="00765F40"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media</w:t>
      </w:r>
      <w:r w:rsidR="00160FDD" w:rsidRPr="00163BA7">
        <w:rPr>
          <w:rFonts w:ascii="Tw Cen MT" w:eastAsia="Twentieth Century" w:hAnsi="Tw Cen MT" w:cs="Twentieth Century"/>
          <w:sz w:val="24"/>
          <w:szCs w:val="24"/>
        </w:rPr>
        <w:t xml:space="preserve"> by</w:t>
      </w:r>
      <w:r w:rsidR="00C20FA8" w:rsidRPr="00163BA7">
        <w:rPr>
          <w:rFonts w:ascii="Tw Cen MT" w:eastAsia="Twentieth Century" w:hAnsi="Tw Cen MT" w:cs="Twentieth Century"/>
          <w:sz w:val="24"/>
          <w:szCs w:val="24"/>
        </w:rPr>
        <w:t xml:space="preserve"> only 52%. The ov</w:t>
      </w:r>
      <w:r w:rsidRPr="00163BA7">
        <w:rPr>
          <w:rFonts w:ascii="Tw Cen MT" w:eastAsia="Twentieth Century" w:hAnsi="Tw Cen MT" w:cs="Twentieth Century"/>
          <w:sz w:val="24"/>
          <w:szCs w:val="24"/>
        </w:rPr>
        <w:t xml:space="preserve">itrap index criteria according to </w:t>
      </w:r>
      <w:r w:rsidR="008A326F" w:rsidRPr="00163BA7">
        <w:rPr>
          <w:rFonts w:ascii="Tw Cen MT" w:eastAsia="Twentieth Century" w:hAnsi="Tw Cen MT" w:cs="Twentieth Century"/>
          <w:sz w:val="24"/>
          <w:szCs w:val="24"/>
        </w:rPr>
        <w:t xml:space="preserve">the Hong Kong FEDH in </w:t>
      </w:r>
      <w:r w:rsidR="00BE7B4C" w:rsidRPr="00163BA7">
        <w:rPr>
          <w:rFonts w:ascii="Tw Cen MT" w:eastAsia="Twentieth Century" w:hAnsi="Tw Cen MT" w:cs="Twentieth Century"/>
          <w:sz w:val="24"/>
          <w:szCs w:val="24"/>
        </w:rPr>
        <w:fldChar w:fldCharType="begin" w:fldLock="1"/>
      </w:r>
      <w:r w:rsidR="00BE7B4C" w:rsidRPr="00163BA7">
        <w:rPr>
          <w:rFonts w:ascii="Tw Cen MT" w:eastAsia="Twentieth Century" w:hAnsi="Tw Cen MT" w:cs="Twentieth Century"/>
          <w:sz w:val="24"/>
          <w:szCs w:val="24"/>
        </w:rPr>
        <w:instrText>ADDIN CSL_CITATION {"citationItems":[{"id":"ITEM-1","itemData":{"DOI":"10.5994/jei.14.3.126","ISSN":"1829-7722","abstract":"Kejadian demam berdarah dengue (DBD) masih menjadi masalah kesehatan masyarakat di Indonesia. Pengamatan selama kurun waktu 20 sampai 25 tahun sejak awal ditemukan kasus DBD menyatakan bahwa angka kejadian luar biasa DBD mengalami peningkatan setiap lima tahun. Tujuan dari penelitian ini adalah 1) mempelajari keanekaragaman nyamuk Aedes di kota Sukabumi, 2) mengukur populasi Aedes sp. berdasarkan jumlah telur dan indeks ovitrap, dan 3) mengetahui hubungan indeks ovitrap dengan kondisi rumah. Telur Aedes sp. dikumpulkan dari 14 kelurahan di Kota Sukabumi yang memiliki angka insiden tertinggi, mulai dari bulan Mei 2015 hingga Agustus 2015. Pengumpulan telur dilakukan dengan cara memasang perangkap telur (ovitrap) sebanyak 230 buah di 115 rumah (di dalam dan di luar rumah). Hasil pengumpulan ovitrap menunjukan jumlah telur yang diperoleh dari ovitrap di dalam rumah 3 kali lebih banyak dibandingkan dengan telur dari ovitrap di luar rumah  (1307 banding 429). Nyamuk Ae. aegypti ditemukan pada ovitrap di dalam rumah dan Ae. albopictus pada ovitrap di luar rumah. Indeks ovitrap di dalam rumah mencapai 60%, atau 1,6 kali lebih banyak dibandingkan dengan indeks ovitrap di luar rumah (37%). Rumah dengan ventilasi dan sanitasi buruk berisiko 3,09 kali meningkatkan angka indeks ovitrap. Hasil penelitian ini dapat digunakan sebagai informasi dasar bagi masyarakat untuk meningkatkan kebersihan lingkungan melalui pengurangan tempat perindukan nyamuk sehingga menurunkan kejadian DBD.","author":[{"dropping-particle":"","family":"Hidayati","given":"Lisa","non-dropping-particle":"","parse-names":false,"suffix":""},{"dropping-particle":"","family":"Hadi","given":"Upik Kesumawati","non-dropping-particle":"","parse-names":false,"suffix":""},{"dropping-particle":"","family":"Soviana","given":"Susi","non-dropping-particle":"","parse-names":false,"suffix":""}],"container-title":"Jurnal Entomologi Indonesia","id":"ITEM-1","issue":"3","issued":{"date-parts":[["2018"]]},"page":"126","title":"Pemanfaatan ovitrap dalam pengukuran populasi Aedes sp. dan penentuan kondisi rumah","type":"article-journal","volume":"14"},"uris":["http://www.mendeley.com/documents/?uuid=efca169a-f7a0-4509-bee6-32a4e316f2d0"]}],"mendeley":{"formattedCitation":"[9]","plainTextFormattedCitation":"[9]","previouslyFormattedCitation":"[9]"},"properties":{"noteIndex":0},"schema":"https://github.com/citation-style-language/schema/raw/master/csl-citation.json"}</w:instrText>
      </w:r>
      <w:r w:rsidR="00BE7B4C" w:rsidRPr="00163BA7">
        <w:rPr>
          <w:rFonts w:ascii="Tw Cen MT" w:eastAsia="Twentieth Century" w:hAnsi="Tw Cen MT" w:cs="Twentieth Century"/>
          <w:sz w:val="24"/>
          <w:szCs w:val="24"/>
        </w:rPr>
        <w:fldChar w:fldCharType="separate"/>
      </w:r>
      <w:r w:rsidR="00BE7B4C" w:rsidRPr="00163BA7">
        <w:rPr>
          <w:rFonts w:ascii="Tw Cen MT" w:eastAsia="Twentieth Century" w:hAnsi="Tw Cen MT" w:cs="Twentieth Century"/>
          <w:noProof/>
          <w:sz w:val="24"/>
          <w:szCs w:val="24"/>
        </w:rPr>
        <w:t>[9]</w:t>
      </w:r>
      <w:r w:rsidR="00BE7B4C" w:rsidRPr="00163BA7">
        <w:rPr>
          <w:rFonts w:ascii="Tw Cen MT" w:eastAsia="Twentieth Century" w:hAnsi="Tw Cen MT" w:cs="Twentieth Century"/>
          <w:sz w:val="24"/>
          <w:szCs w:val="24"/>
        </w:rPr>
        <w:fldChar w:fldCharType="end"/>
      </w:r>
      <w:r w:rsidR="00196C16">
        <w:rPr>
          <w:rFonts w:ascii="Tw Cen MT" w:eastAsia="Twentieth Century" w:hAnsi="Tw Cen MT" w:cs="Twentieth Century"/>
          <w:sz w:val="24"/>
          <w:szCs w:val="24"/>
        </w:rPr>
        <w:t xml:space="preserve"> </w:t>
      </w:r>
      <w:r w:rsidRPr="00163BA7">
        <w:rPr>
          <w:rFonts w:ascii="Tw Cen MT" w:eastAsia="Twentieth Century" w:hAnsi="Tw Cen MT" w:cs="Twentieth Century"/>
          <w:sz w:val="24"/>
          <w:szCs w:val="24"/>
        </w:rPr>
        <w:t>can be compared with the ovitrap index classification from the calculation results. Based on the Hong Kong FEDH ovitrap index, the ovitrap index is level 1 or very low with an OI value of &lt; 5%, level 2 or low &lt; 20%, level 3 or moderate &lt; 40%, and level 4 or high &gt; 40%. According to the results of the calculation of the ovitrap index value obtained, it is</w:t>
      </w:r>
      <w:r w:rsidR="00C20FA8" w:rsidRPr="00163BA7">
        <w:rPr>
          <w:rFonts w:ascii="Tw Cen MT" w:eastAsia="Twentieth Century" w:hAnsi="Tw Cen MT" w:cs="Twentieth Century"/>
          <w:sz w:val="24"/>
          <w:szCs w:val="24"/>
        </w:rPr>
        <w:t xml:space="preserve"> rainwater media by 70% and municipal</w:t>
      </w:r>
      <w:r w:rsidRPr="00163BA7">
        <w:rPr>
          <w:rFonts w:ascii="Tw Cen MT" w:eastAsia="Twentieth Century" w:hAnsi="Tw Cen MT" w:cs="Twentieth Century"/>
          <w:sz w:val="24"/>
          <w:szCs w:val="24"/>
        </w:rPr>
        <w:t xml:space="preserve"> water media by 52%. It can be compared with the Hong Kong FEDH, the calculated ovitrap index value is included in level 4 (high), meaning that the area is prone to dengue fever because there are many Aedes spp larvae found in the area so environmental management prevention needs to be carried out such as the PSN (Mosquito Nest Eradication) movement with doing 3M plus (Depletion, Closing, and Recycling) or other actions need to be carried out routinely.</w:t>
      </w:r>
    </w:p>
    <w:p w14:paraId="089FDF8B" w14:textId="318142BB" w:rsidR="00B241B6" w:rsidRPr="00163BA7" w:rsidRDefault="00B241B6" w:rsidP="006D261F">
      <w:pPr>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Based on prev</w:t>
      </w:r>
      <w:r w:rsidR="008A326F" w:rsidRPr="00163BA7">
        <w:rPr>
          <w:rFonts w:ascii="Tw Cen MT" w:eastAsia="Twentieth Century" w:hAnsi="Tw Cen MT" w:cs="Twentieth Century"/>
          <w:sz w:val="24"/>
          <w:szCs w:val="24"/>
        </w:rPr>
        <w:t xml:space="preserve">ious research conducted by </w:t>
      </w:r>
      <w:r w:rsidR="00BE7B4C" w:rsidRPr="00163BA7">
        <w:rPr>
          <w:rFonts w:ascii="Tw Cen MT" w:eastAsia="Twentieth Century" w:hAnsi="Tw Cen MT" w:cs="Twentieth Century"/>
          <w:sz w:val="24"/>
          <w:szCs w:val="24"/>
        </w:rPr>
        <w:fldChar w:fldCharType="begin" w:fldLock="1"/>
      </w:r>
      <w:r w:rsidR="00BE7B4C" w:rsidRPr="00163BA7">
        <w:rPr>
          <w:rFonts w:ascii="Tw Cen MT" w:eastAsia="Twentieth Century" w:hAnsi="Tw Cen MT" w:cs="Twentieth Century"/>
          <w:sz w:val="24"/>
          <w:szCs w:val="24"/>
        </w:rPr>
        <w:instrText>ADDIN CSL_CITATION {"citationItems":[{"id":"ITEM-1","itemData":{"author":[{"dropping-particle":"","family":"Tomia","given":"Amalan","non-dropping-particle":"","parse-names":false,"suffix":""}],"container-title":"Jurnal Kedokteran dan Kesehatan","id":"ITEM-1","issue":"2","issued":{"date-parts":[["2020"]]},"page":"143-150","title":"Gambaran Tingkat Kepadatan Nyamuk Aedes Aegypti Berdasarkan Indeks Ovitrap di Kota Ternate","type":"article-journal","volume":"16"},"uris":["http://www.mendeley.com/documents/?uuid=1e6a88f1-911d-47de-9544-1661e88d264d"]}],"mendeley":{"formattedCitation":"[10]","plainTextFormattedCitation":"[10]","previouslyFormattedCitation":"[10]"},"properties":{"noteIndex":0},"schema":"https://github.com/citation-style-language/schema/raw/master/csl-citation.json"}</w:instrText>
      </w:r>
      <w:r w:rsidR="00BE7B4C" w:rsidRPr="00163BA7">
        <w:rPr>
          <w:rFonts w:ascii="Tw Cen MT" w:eastAsia="Twentieth Century" w:hAnsi="Tw Cen MT" w:cs="Twentieth Century"/>
          <w:sz w:val="24"/>
          <w:szCs w:val="24"/>
        </w:rPr>
        <w:fldChar w:fldCharType="separate"/>
      </w:r>
      <w:r w:rsidR="00BE7B4C" w:rsidRPr="00163BA7">
        <w:rPr>
          <w:rFonts w:ascii="Tw Cen MT" w:eastAsia="Twentieth Century" w:hAnsi="Tw Cen MT" w:cs="Twentieth Century"/>
          <w:noProof/>
          <w:sz w:val="24"/>
          <w:szCs w:val="24"/>
        </w:rPr>
        <w:t>[10]</w:t>
      </w:r>
      <w:r w:rsidR="00BE7B4C" w:rsidRPr="00163BA7">
        <w:rPr>
          <w:rFonts w:ascii="Tw Cen MT" w:eastAsia="Twentieth Century" w:hAnsi="Tw Cen MT" w:cs="Twentieth Century"/>
          <w:sz w:val="24"/>
          <w:szCs w:val="24"/>
        </w:rPr>
        <w:fldChar w:fldCharType="end"/>
      </w:r>
      <w:r w:rsidR="00BE7B4C" w:rsidRPr="00163BA7">
        <w:rPr>
          <w:rFonts w:ascii="Tw Cen MT" w:eastAsia="Twentieth Century" w:hAnsi="Tw Cen MT" w:cs="Twentieth Century"/>
          <w:sz w:val="24"/>
          <w:szCs w:val="24"/>
        </w:rPr>
        <w:t xml:space="preserve"> </w:t>
      </w:r>
      <w:r w:rsidR="00196C16">
        <w:rPr>
          <w:rFonts w:ascii="Tw Cen MT" w:eastAsia="Twentieth Century" w:hAnsi="Tw Cen MT" w:cs="Twentieth Century"/>
          <w:sz w:val="24"/>
          <w:szCs w:val="24"/>
        </w:rPr>
        <w:t>a</w:t>
      </w:r>
      <w:r w:rsidRPr="00163BA7">
        <w:rPr>
          <w:rFonts w:ascii="Tw Cen MT" w:eastAsia="Twentieth Century" w:hAnsi="Tw Cen MT" w:cs="Twentieth Century"/>
          <w:sz w:val="24"/>
          <w:szCs w:val="24"/>
        </w:rPr>
        <w:t xml:space="preserve">n overview of the Aedes Aegypti Mosquito Density Level based on the Ovitrap Index in Ternate City, it is known that the average ovitrap index value in Ternate City is in the </w:t>
      </w:r>
      <w:r w:rsidRPr="00163BA7">
        <w:rPr>
          <w:rFonts w:ascii="Tw Cen MT" w:eastAsia="Twentieth Century" w:hAnsi="Tw Cen MT" w:cs="Twentieth Century"/>
          <w:sz w:val="24"/>
          <w:szCs w:val="24"/>
        </w:rPr>
        <w:lastRenderedPageBreak/>
        <w:t>medium to high category with a range between 20% to 60%, in ovitraps that are in houses with a fairly hig</w:t>
      </w:r>
      <w:r w:rsidR="002E7BE2" w:rsidRPr="00163BA7">
        <w:rPr>
          <w:rFonts w:ascii="Tw Cen MT" w:eastAsia="Twentieth Century" w:hAnsi="Tw Cen MT" w:cs="Twentieth Century"/>
          <w:sz w:val="24"/>
          <w:szCs w:val="24"/>
        </w:rPr>
        <w:t>h</w:t>
      </w:r>
      <w:r w:rsidRPr="00163BA7">
        <w:rPr>
          <w:rFonts w:ascii="Tw Cen MT" w:eastAsia="Twentieth Century" w:hAnsi="Tw Cen MT" w:cs="Twentieth Century"/>
          <w:sz w:val="24"/>
          <w:szCs w:val="24"/>
        </w:rPr>
        <w:t xml:space="preserve"> density level. The ovitrap index in Ternate City based on the 2014 FEDH category was in the medium category (level 3) and high category (level 4). This means that it is recommended to carry out control activities to limit larval development by eliminating all potential breeding sites, and the role of the government and the private sector is needed in controlling mosquito development to carry out control measures using larvicides or adulticides.</w:t>
      </w:r>
    </w:p>
    <w:p w14:paraId="784F801B" w14:textId="3A56F522"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laying of ovitrap</w:t>
      </w:r>
      <w:r w:rsidR="002E7BE2" w:rsidRPr="00163BA7">
        <w:rPr>
          <w:rFonts w:ascii="Tw Cen MT" w:eastAsia="Twentieth Century" w:hAnsi="Tw Cen MT" w:cs="Twentieth Century"/>
          <w:sz w:val="24"/>
          <w:szCs w:val="24"/>
        </w:rPr>
        <w:t>s</w:t>
      </w:r>
      <w:r w:rsidRPr="00163BA7">
        <w:rPr>
          <w:rFonts w:ascii="Tw Cen MT" w:eastAsia="Twentieth Century" w:hAnsi="Tw Cen MT" w:cs="Twentieth Century"/>
          <w:sz w:val="24"/>
          <w:szCs w:val="24"/>
        </w:rPr>
        <w:t xml:space="preserve"> carried out in RT 2 and RT 3 RW 1 only outside the house, most likely the number of Aedes spp eggs trapped in the ovitrap is Aedes albopictus mosquito eggs. This is because the Aedes albopictus mosquito rests more outside the house in shady trees, used tires, bushes, battery boxes or batteries, waste containers, and pottery around the house. Aedes albopictus prefers to lay eggs outdoors such as places in the garden, namely in tree holes, indentations of plants and outside the house </w:t>
      </w:r>
      <w:r w:rsidR="00BE7B4C" w:rsidRPr="00163BA7">
        <w:rPr>
          <w:rFonts w:ascii="Tw Cen MT" w:eastAsia="Twentieth Century" w:hAnsi="Tw Cen MT" w:cs="Twentieth Century"/>
          <w:sz w:val="24"/>
          <w:szCs w:val="24"/>
        </w:rPr>
        <w:t xml:space="preserve">or forest edge areas </w:t>
      </w:r>
      <w:r w:rsidR="00BE7B4C" w:rsidRPr="00163BA7">
        <w:rPr>
          <w:rFonts w:ascii="Tw Cen MT" w:eastAsia="Twentieth Century" w:hAnsi="Tw Cen MT" w:cs="Twentieth Century"/>
          <w:sz w:val="24"/>
          <w:szCs w:val="24"/>
        </w:rPr>
        <w:fldChar w:fldCharType="begin" w:fldLock="1"/>
      </w:r>
      <w:r w:rsidR="00BE7B4C" w:rsidRPr="00163BA7">
        <w:rPr>
          <w:rFonts w:ascii="Tw Cen MT" w:eastAsia="Twentieth Century" w:hAnsi="Tw Cen MT" w:cs="Twentieth Century"/>
          <w:sz w:val="24"/>
          <w:szCs w:val="24"/>
        </w:rPr>
        <w:instrText>ADDIN CSL_CITATION {"citationItems":[{"id":"ITEM-1","itemData":{"ISBN":"9789290223870","ISSN":"1098-6596","PMID":"25246403","abstract":"Comprehensive Guidelines for Prevention and Control of Dengue and Dengue Haemorrhagic Fever","author":[{"dropping-particle":"","family":"WHO","given":"","non-dropping-particle":"","parse-names":false,"suffix":""}],"container-title":"WHO Regional Publication SEARO","id":"ITEM-1","issue":"1","issued":{"date-parts":[["2011"]]},"number-of-pages":"159-168","title":"Comprehensive guidelines for prevention and control of dengue and dengue haemorrhagic fever","type":"book"},"uris":["http://www.mendeley.com/documents/?uuid=af19b5a0-99dc-4087-9998-de61e22732f1"]}],"mendeley":{"formattedCitation":"[11]","plainTextFormattedCitation":"[11]","previouslyFormattedCitation":"[11]"},"properties":{"noteIndex":0},"schema":"https://github.com/citation-style-language/schema/raw/master/csl-citation.json"}</w:instrText>
      </w:r>
      <w:r w:rsidR="00BE7B4C" w:rsidRPr="00163BA7">
        <w:rPr>
          <w:rFonts w:ascii="Tw Cen MT" w:eastAsia="Twentieth Century" w:hAnsi="Tw Cen MT" w:cs="Twentieth Century"/>
          <w:sz w:val="24"/>
          <w:szCs w:val="24"/>
        </w:rPr>
        <w:fldChar w:fldCharType="separate"/>
      </w:r>
      <w:r w:rsidR="00BE7B4C" w:rsidRPr="00163BA7">
        <w:rPr>
          <w:rFonts w:ascii="Tw Cen MT" w:eastAsia="Twentieth Century" w:hAnsi="Tw Cen MT" w:cs="Twentieth Century"/>
          <w:noProof/>
          <w:sz w:val="24"/>
          <w:szCs w:val="24"/>
        </w:rPr>
        <w:t>[11]</w:t>
      </w:r>
      <w:r w:rsidR="00BE7B4C"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xml:space="preserve">. The reason why the ovitrap was placed in the house was </w:t>
      </w:r>
      <w:r w:rsidR="00160FDD" w:rsidRPr="00163BA7">
        <w:rPr>
          <w:rFonts w:ascii="Tw Cen MT" w:eastAsia="Twentieth Century" w:hAnsi="Tw Cen MT" w:cs="Twentieth Century"/>
          <w:sz w:val="24"/>
          <w:szCs w:val="24"/>
        </w:rPr>
        <w:t>that</w:t>
      </w:r>
      <w:r w:rsidRPr="00163BA7">
        <w:rPr>
          <w:rFonts w:ascii="Tw Cen MT" w:eastAsia="Twentieth Century" w:hAnsi="Tw Cen MT" w:cs="Twentieth Century"/>
          <w:sz w:val="24"/>
          <w:szCs w:val="24"/>
        </w:rPr>
        <w:t xml:space="preserve"> at the time of the study the number of Covid-19 cases was still high, which caused research respondents to be reluctant to contact the researcher, especially to enter the house.</w:t>
      </w:r>
    </w:p>
    <w:p w14:paraId="1CF276E2" w14:textId="3F9068AB" w:rsidR="00B241B6"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Several factors that can affect the results of observations of ovitrap media as a breeding ground for mosquitoes are temperature, turbidity, humidity, and acidity. Other factors that can affect the number of Aedes spp eggs trapped in the research location are environmental factors such as the presence of </w:t>
      </w:r>
      <w:r w:rsidRPr="00163BA7">
        <w:rPr>
          <w:rFonts w:ascii="Tw Cen MT" w:eastAsia="Twentieth Century" w:hAnsi="Tw Cen MT" w:cs="Twentieth Century"/>
          <w:sz w:val="24"/>
          <w:szCs w:val="24"/>
        </w:rPr>
        <w:lastRenderedPageBreak/>
        <w:t>vacant land or the number of swamps and residential density.</w:t>
      </w:r>
    </w:p>
    <w:p w14:paraId="220C39B8" w14:textId="71095B0D" w:rsidR="00F5431A" w:rsidRPr="00163BA7" w:rsidRDefault="00FE4F92" w:rsidP="00307CDB">
      <w:pPr>
        <w:tabs>
          <w:tab w:val="left" w:pos="426"/>
        </w:tabs>
        <w:spacing w:after="0"/>
        <w:jc w:val="center"/>
        <w:rPr>
          <w:rFonts w:ascii="Tw Cen MT" w:eastAsia="Twentieth Century" w:hAnsi="Tw Cen MT" w:cs="Twentieth Century"/>
          <w:bCs/>
          <w:sz w:val="24"/>
          <w:szCs w:val="24"/>
        </w:rPr>
      </w:pPr>
      <w:r w:rsidRPr="00163BA7">
        <w:rPr>
          <w:rFonts w:ascii="Tw Cen MT" w:hAnsi="Tw Cen MT"/>
          <w:bCs/>
          <w:sz w:val="20"/>
          <w:szCs w:val="20"/>
        </w:rPr>
        <w:t xml:space="preserve">Tabel 3 </w:t>
      </w:r>
      <w:r w:rsidRPr="00163BA7">
        <w:rPr>
          <w:rFonts w:ascii="Tw Cen MT" w:hAnsi="Tw Cen MT"/>
          <w:bCs/>
          <w:i/>
          <w:iCs/>
          <w:sz w:val="20"/>
          <w:szCs w:val="20"/>
        </w:rPr>
        <w:t>Mann-Whitney</w:t>
      </w:r>
      <w:r w:rsidRPr="00163BA7">
        <w:rPr>
          <w:rFonts w:ascii="Tw Cen MT" w:hAnsi="Tw Cen MT"/>
          <w:bCs/>
          <w:sz w:val="20"/>
          <w:szCs w:val="20"/>
        </w:rPr>
        <w:t xml:space="preserve"> test analysis results</w:t>
      </w:r>
    </w:p>
    <w:tbl>
      <w:tblPr>
        <w:tblStyle w:val="TableGrid"/>
        <w:tblW w:w="4320" w:type="dxa"/>
        <w:tblLook w:val="04A0" w:firstRow="1" w:lastRow="0" w:firstColumn="1" w:lastColumn="0" w:noHBand="0" w:noVBand="1"/>
      </w:tblPr>
      <w:tblGrid>
        <w:gridCol w:w="1630"/>
        <w:gridCol w:w="1385"/>
        <w:gridCol w:w="1305"/>
      </w:tblGrid>
      <w:tr w:rsidR="00F5431A" w:rsidRPr="00163BA7" w14:paraId="76029E91" w14:textId="77777777" w:rsidTr="00AB2BCC">
        <w:tc>
          <w:tcPr>
            <w:tcW w:w="1630" w:type="dxa"/>
            <w:tcBorders>
              <w:top w:val="single" w:sz="4" w:space="0" w:color="auto"/>
              <w:left w:val="nil"/>
              <w:bottom w:val="single" w:sz="4" w:space="0" w:color="auto"/>
              <w:right w:val="nil"/>
            </w:tcBorders>
            <w:vAlign w:val="center"/>
          </w:tcPr>
          <w:p w14:paraId="7EF40E47" w14:textId="77777777" w:rsidR="00F5431A" w:rsidRPr="00163BA7" w:rsidRDefault="00F5431A" w:rsidP="00AB2BCC">
            <w:pPr>
              <w:jc w:val="center"/>
              <w:rPr>
                <w:rFonts w:ascii="Tw Cen MT" w:hAnsi="Tw Cen MT"/>
                <w:b/>
                <w:sz w:val="20"/>
                <w:szCs w:val="20"/>
              </w:rPr>
            </w:pPr>
            <w:r w:rsidRPr="00163BA7">
              <w:rPr>
                <w:rFonts w:ascii="Tw Cen MT" w:hAnsi="Tw Cen MT"/>
                <w:b/>
                <w:sz w:val="20"/>
                <w:szCs w:val="20"/>
              </w:rPr>
              <w:t>Variabel</w:t>
            </w:r>
          </w:p>
        </w:tc>
        <w:tc>
          <w:tcPr>
            <w:tcW w:w="1385" w:type="dxa"/>
            <w:tcBorders>
              <w:top w:val="single" w:sz="4" w:space="0" w:color="auto"/>
              <w:left w:val="nil"/>
              <w:bottom w:val="single" w:sz="4" w:space="0" w:color="auto"/>
              <w:right w:val="nil"/>
            </w:tcBorders>
            <w:vAlign w:val="center"/>
            <w:hideMark/>
          </w:tcPr>
          <w:p w14:paraId="73D4C588" w14:textId="77777777" w:rsidR="00F5431A" w:rsidRPr="00163BA7" w:rsidRDefault="00F5431A" w:rsidP="00AB2BCC">
            <w:pPr>
              <w:jc w:val="center"/>
              <w:rPr>
                <w:rFonts w:ascii="Tw Cen MT" w:hAnsi="Tw Cen MT"/>
                <w:b/>
                <w:sz w:val="20"/>
                <w:szCs w:val="20"/>
              </w:rPr>
            </w:pPr>
            <w:r w:rsidRPr="00163BA7">
              <w:rPr>
                <w:rFonts w:ascii="Tw Cen MT" w:hAnsi="Tw Cen MT"/>
                <w:b/>
                <w:sz w:val="20"/>
                <w:szCs w:val="20"/>
              </w:rPr>
              <w:t>Median</w:t>
            </w:r>
          </w:p>
          <w:p w14:paraId="44AAE978" w14:textId="77777777" w:rsidR="00F5431A" w:rsidRPr="00163BA7" w:rsidRDefault="00F5431A" w:rsidP="00AB2BCC">
            <w:pPr>
              <w:jc w:val="center"/>
              <w:rPr>
                <w:rFonts w:ascii="Tw Cen MT" w:hAnsi="Tw Cen MT"/>
                <w:b/>
                <w:sz w:val="20"/>
                <w:szCs w:val="20"/>
              </w:rPr>
            </w:pPr>
            <w:r w:rsidRPr="00163BA7">
              <w:rPr>
                <w:rFonts w:ascii="Tw Cen MT" w:hAnsi="Tw Cen MT"/>
                <w:b/>
                <w:sz w:val="20"/>
                <w:szCs w:val="20"/>
              </w:rPr>
              <w:t>(Minimum-Maksimum)</w:t>
            </w:r>
          </w:p>
        </w:tc>
        <w:tc>
          <w:tcPr>
            <w:tcW w:w="1305" w:type="dxa"/>
            <w:tcBorders>
              <w:top w:val="single" w:sz="4" w:space="0" w:color="auto"/>
              <w:left w:val="nil"/>
              <w:bottom w:val="single" w:sz="4" w:space="0" w:color="auto"/>
              <w:right w:val="nil"/>
            </w:tcBorders>
            <w:vAlign w:val="center"/>
            <w:hideMark/>
          </w:tcPr>
          <w:p w14:paraId="6BCB6C32" w14:textId="77777777" w:rsidR="00F5431A" w:rsidRPr="00163BA7" w:rsidRDefault="00F5431A" w:rsidP="00AB2BCC">
            <w:pPr>
              <w:jc w:val="center"/>
              <w:rPr>
                <w:rFonts w:ascii="Tw Cen MT" w:hAnsi="Tw Cen MT"/>
                <w:b/>
                <w:sz w:val="20"/>
                <w:szCs w:val="20"/>
              </w:rPr>
            </w:pPr>
            <w:r w:rsidRPr="00163BA7">
              <w:rPr>
                <w:rFonts w:ascii="Tw Cen MT" w:hAnsi="Tw Cen MT"/>
                <w:b/>
                <w:sz w:val="20"/>
                <w:szCs w:val="20"/>
              </w:rPr>
              <w:t>Pvalue</w:t>
            </w:r>
          </w:p>
        </w:tc>
      </w:tr>
      <w:tr w:rsidR="00F5431A" w:rsidRPr="00163BA7" w14:paraId="4BE8107E" w14:textId="77777777" w:rsidTr="00AB2BCC">
        <w:tc>
          <w:tcPr>
            <w:tcW w:w="1630" w:type="dxa"/>
            <w:tcBorders>
              <w:top w:val="single" w:sz="4" w:space="0" w:color="auto"/>
              <w:left w:val="nil"/>
              <w:bottom w:val="single" w:sz="4" w:space="0" w:color="auto"/>
              <w:right w:val="nil"/>
            </w:tcBorders>
            <w:vAlign w:val="center"/>
            <w:hideMark/>
          </w:tcPr>
          <w:p w14:paraId="5D8A09CC" w14:textId="77777777" w:rsidR="00F5431A" w:rsidRPr="00163BA7" w:rsidRDefault="00F5431A" w:rsidP="00AB2BCC">
            <w:pPr>
              <w:jc w:val="center"/>
              <w:rPr>
                <w:rFonts w:ascii="Tw Cen MT" w:hAnsi="Tw Cen MT"/>
                <w:sz w:val="20"/>
                <w:szCs w:val="20"/>
              </w:rPr>
            </w:pPr>
            <w:r w:rsidRPr="00163BA7">
              <w:rPr>
                <w:rFonts w:ascii="Tw Cen MT" w:hAnsi="Tw Cen MT"/>
                <w:i/>
                <w:sz w:val="20"/>
                <w:szCs w:val="20"/>
              </w:rPr>
              <w:t>Ovitrap</w:t>
            </w:r>
            <w:r w:rsidRPr="00163BA7">
              <w:rPr>
                <w:rFonts w:ascii="Tw Cen MT" w:hAnsi="Tw Cen MT"/>
                <w:sz w:val="20"/>
                <w:szCs w:val="20"/>
              </w:rPr>
              <w:t xml:space="preserve"> air hujan (n=70)</w:t>
            </w:r>
          </w:p>
          <w:p w14:paraId="13A6D152" w14:textId="77777777" w:rsidR="00F5431A" w:rsidRPr="00163BA7" w:rsidRDefault="00F5431A" w:rsidP="00AB2BCC">
            <w:pPr>
              <w:jc w:val="center"/>
              <w:rPr>
                <w:rFonts w:ascii="Tw Cen MT" w:hAnsi="Tw Cen MT"/>
                <w:sz w:val="20"/>
                <w:szCs w:val="20"/>
              </w:rPr>
            </w:pPr>
            <w:r w:rsidRPr="00163BA7">
              <w:rPr>
                <w:rFonts w:ascii="Tw Cen MT" w:hAnsi="Tw Cen MT"/>
                <w:i/>
                <w:sz w:val="20"/>
                <w:szCs w:val="20"/>
              </w:rPr>
              <w:t>Ovitrap</w:t>
            </w:r>
            <w:r w:rsidRPr="00163BA7">
              <w:rPr>
                <w:rFonts w:ascii="Tw Cen MT" w:hAnsi="Tw Cen MT"/>
                <w:sz w:val="20"/>
                <w:szCs w:val="20"/>
              </w:rPr>
              <w:t xml:space="preserve"> air PDAM (n=52)</w:t>
            </w:r>
          </w:p>
        </w:tc>
        <w:tc>
          <w:tcPr>
            <w:tcW w:w="1385" w:type="dxa"/>
            <w:tcBorders>
              <w:top w:val="single" w:sz="4" w:space="0" w:color="auto"/>
              <w:left w:val="nil"/>
              <w:bottom w:val="single" w:sz="4" w:space="0" w:color="auto"/>
              <w:right w:val="nil"/>
            </w:tcBorders>
            <w:vAlign w:val="center"/>
            <w:hideMark/>
          </w:tcPr>
          <w:p w14:paraId="01B8F416" w14:textId="77777777" w:rsidR="00F5431A" w:rsidRPr="00163BA7" w:rsidRDefault="00F5431A" w:rsidP="00AB2BCC">
            <w:pPr>
              <w:jc w:val="center"/>
              <w:rPr>
                <w:rFonts w:ascii="Tw Cen MT" w:hAnsi="Tw Cen MT"/>
                <w:sz w:val="20"/>
                <w:szCs w:val="20"/>
              </w:rPr>
            </w:pPr>
            <w:r w:rsidRPr="00163BA7">
              <w:rPr>
                <w:rFonts w:ascii="Tw Cen MT" w:hAnsi="Tw Cen MT"/>
                <w:sz w:val="20"/>
                <w:szCs w:val="20"/>
              </w:rPr>
              <w:t>21,50(4-111)</w:t>
            </w:r>
          </w:p>
          <w:p w14:paraId="2F78936F" w14:textId="77777777" w:rsidR="00F5431A" w:rsidRPr="00163BA7" w:rsidRDefault="00F5431A" w:rsidP="00AB2BCC">
            <w:pPr>
              <w:jc w:val="center"/>
              <w:rPr>
                <w:rFonts w:ascii="Tw Cen MT" w:hAnsi="Tw Cen MT"/>
                <w:sz w:val="20"/>
                <w:szCs w:val="20"/>
              </w:rPr>
            </w:pPr>
            <w:r w:rsidRPr="00163BA7">
              <w:rPr>
                <w:rFonts w:ascii="Tw Cen MT" w:hAnsi="Tw Cen MT"/>
                <w:sz w:val="20"/>
                <w:szCs w:val="20"/>
              </w:rPr>
              <w:t>19,50(3-89)</w:t>
            </w:r>
          </w:p>
        </w:tc>
        <w:tc>
          <w:tcPr>
            <w:tcW w:w="1305" w:type="dxa"/>
            <w:tcBorders>
              <w:top w:val="single" w:sz="4" w:space="0" w:color="auto"/>
              <w:left w:val="nil"/>
              <w:bottom w:val="single" w:sz="4" w:space="0" w:color="auto"/>
              <w:right w:val="nil"/>
            </w:tcBorders>
            <w:vAlign w:val="center"/>
            <w:hideMark/>
          </w:tcPr>
          <w:p w14:paraId="3FBCDFF2" w14:textId="77777777" w:rsidR="00F5431A" w:rsidRPr="00163BA7" w:rsidRDefault="00F5431A" w:rsidP="00AB2BCC">
            <w:pPr>
              <w:jc w:val="center"/>
              <w:rPr>
                <w:rFonts w:ascii="Tw Cen MT" w:hAnsi="Tw Cen MT"/>
                <w:sz w:val="20"/>
                <w:szCs w:val="20"/>
              </w:rPr>
            </w:pPr>
            <w:r w:rsidRPr="00163BA7">
              <w:rPr>
                <w:rFonts w:ascii="Tw Cen MT" w:hAnsi="Tw Cen MT"/>
                <w:sz w:val="20"/>
                <w:szCs w:val="20"/>
              </w:rPr>
              <w:t>0,637</w:t>
            </w:r>
          </w:p>
        </w:tc>
      </w:tr>
    </w:tbl>
    <w:p w14:paraId="0EF242A9" w14:textId="77777777" w:rsidR="00F5431A" w:rsidRPr="00163BA7" w:rsidRDefault="00F5431A" w:rsidP="00B241B6">
      <w:pPr>
        <w:tabs>
          <w:tab w:val="left" w:pos="426"/>
        </w:tabs>
        <w:spacing w:after="0"/>
        <w:jc w:val="both"/>
        <w:rPr>
          <w:rFonts w:ascii="Tw Cen MT" w:eastAsia="Twentieth Century" w:hAnsi="Tw Cen MT" w:cs="Twentieth Century"/>
          <w:sz w:val="24"/>
          <w:szCs w:val="24"/>
        </w:rPr>
      </w:pPr>
    </w:p>
    <w:p w14:paraId="1B95456A" w14:textId="6BCDB8BD" w:rsidR="007F4948" w:rsidRPr="00163BA7" w:rsidRDefault="00B241B6" w:rsidP="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 xml:space="preserve">The results of the analysis using the Mann-Whitney test revealed that there was no significant difference in the average number of Aedes spp eggs trapped in rainwater ovitrap media with </w:t>
      </w:r>
      <w:r w:rsidR="00C20FA8" w:rsidRPr="00163BA7">
        <w:rPr>
          <w:rFonts w:ascii="Tw Cen MT" w:eastAsia="Twentieth Century" w:hAnsi="Tw Cen MT" w:cs="Twentieth Century"/>
          <w:sz w:val="24"/>
          <w:szCs w:val="24"/>
        </w:rPr>
        <w:t>mu</w:t>
      </w:r>
      <w:r w:rsidR="00BE7B4C"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media ovitrap. The results of this analysis indicate that both types of water can be a breeding ground for Aedes spp. The findings of this study occurred because mosquitoes chose a water medium as a breeding ground based on the smell of ammonia and also based on the content of organic matter. Based on the results of measuring ammonia conducted by</w:t>
      </w:r>
      <w:r w:rsidR="00BE7B4C" w:rsidRPr="00163BA7">
        <w:rPr>
          <w:rFonts w:ascii="Tw Cen MT" w:eastAsia="Twentieth Century" w:hAnsi="Tw Cen MT" w:cs="Twentieth Century"/>
          <w:sz w:val="24"/>
          <w:szCs w:val="24"/>
        </w:rPr>
        <w:fldChar w:fldCharType="begin" w:fldLock="1"/>
      </w:r>
      <w:r w:rsidR="008A326F" w:rsidRPr="00163BA7">
        <w:rPr>
          <w:rFonts w:ascii="Tw Cen MT" w:eastAsia="Twentieth Century" w:hAnsi="Tw Cen MT" w:cs="Twentieth Century"/>
          <w:sz w:val="24"/>
          <w:szCs w:val="24"/>
        </w:rPr>
        <w:instrText>ADDIN CSL_CITATION {"citationItems":[{"id":"ITEM-1","itemData":{"abstract":"Ovitrap is one of the environmentally friendly equipment of controlling Aedes aegypti which causes dengue fever. The utilization of ovitraps by adding attractant substances which are placed in certain distances can stimulate the mosquitoes’ sense of smell in order to lure them. The objective of this study were to determine the effective placing distance of ovitrap’s domestic water media on ovitrap’s hay-soaked water medium in order to lure Ae. aegypti on laying eggs, and to understand the oviposition preferences of Ae. aegypti based on the placing distance of ovitrap’s domestic water media on ovitrap’s hay-soaked water medium. This research design was factorial experiment by using Split Plot. The water medium used was hay-soaked water as the control. The domestic water media used were well water, tap water, and rain water which were placed with the distance of 0 meter, 1 meter, 3 meters, and 5 meters from the hay-soaked water by using 3 replications. The independent variable were the placing distance and water media, while the dependent variable was the number of eggs trapped. The data were analyzed by using two-way ANOVA with the significance level of 95%. The findings showed that the placing of ovitrap’s well water and tap water with the distance of 5 meters is still effective to distract the oviposition preferences of Ae aegypti on hay-soaked water, while in the well water was only effective up to 3 meters. The water media has no effect on oviposition preferences of Ae aegypti when they are placed up to 5 meters away from the hay-soaked water. This happens due to the high concentration of ammonia in the hay-soaked water which attract the mosquitoes to choose compared to other water media to lay eggs. Keywords: Aedes aegypti, ovitrap, attractant, hay-soaked water, ammonia","author":[{"dropping-particle":"","family":"Hidayah","given":"Wahyu Nur","non-dropping-particle":"","parse-names":false,"suffix":""},{"dropping-particle":"","family":"Hidayat","given":"Jafron Wasiq","non-dropping-particle":"","parse-names":false,"suffix":""},{"dropping-particle":"","family":"Rahadian","given":"Rully","non-dropping-particle":"","parse-names":false,"suffix":""}],"container-title":"Jurnal Biologi","id":"ITEM-1","issue":"4","issued":{"date-parts":[["2013"]]},"page":"25-34","title":"Preferensi bertelur nyamuk Aedes aegypti l. berdasarkan jarak penempatan ovitrap bermedia air domestik terhadap ovitrap bermedia air rendaman jerami","type":"article-journal","volume":"2"},"uris":["http://www.mendeley.com/documents/?uuid=0842e8b7-611f-49ea-b84a-bca01c80d77c"]}],"mendeley":{"formattedCitation":"[7]","plainTextFormattedCitation":"[7]","previouslyFormattedCitation":"[7]"},"properties":{"noteIndex":0},"schema":"https://github.com/citation-style-language/schema/raw/master/csl-citation.json"}</w:instrText>
      </w:r>
      <w:r w:rsidR="00BE7B4C" w:rsidRPr="00163BA7">
        <w:rPr>
          <w:rFonts w:ascii="Tw Cen MT" w:eastAsia="Twentieth Century" w:hAnsi="Tw Cen MT" w:cs="Twentieth Century"/>
          <w:sz w:val="24"/>
          <w:szCs w:val="24"/>
        </w:rPr>
        <w:fldChar w:fldCharType="separate"/>
      </w:r>
      <w:r w:rsidR="00BE7B4C" w:rsidRPr="00163BA7">
        <w:rPr>
          <w:rFonts w:ascii="Tw Cen MT" w:eastAsia="Twentieth Century" w:hAnsi="Tw Cen MT" w:cs="Twentieth Century"/>
          <w:noProof/>
          <w:sz w:val="24"/>
          <w:szCs w:val="24"/>
        </w:rPr>
        <w:t>[7]</w:t>
      </w:r>
      <w:r w:rsidR="00BE7B4C" w:rsidRPr="00163BA7">
        <w:rPr>
          <w:rFonts w:ascii="Tw Cen MT" w:eastAsia="Twentieth Century" w:hAnsi="Tw Cen MT" w:cs="Twentieth Century"/>
          <w:sz w:val="24"/>
          <w:szCs w:val="24"/>
        </w:rPr>
        <w:fldChar w:fldCharType="end"/>
      </w:r>
      <w:r w:rsidRPr="00163BA7">
        <w:rPr>
          <w:rFonts w:ascii="Tw Cen MT" w:eastAsia="Twentieth Century" w:hAnsi="Tw Cen MT" w:cs="Twentieth Century"/>
          <w:sz w:val="24"/>
          <w:szCs w:val="24"/>
        </w:rPr>
        <w:t xml:space="preserve"> rainwater has an ammonia content of 0.19 mg/l while </w:t>
      </w:r>
      <w:r w:rsidR="00C20FA8" w:rsidRPr="00163BA7">
        <w:rPr>
          <w:rFonts w:ascii="Tw Cen MT" w:eastAsia="Twentieth Century" w:hAnsi="Tw Cen MT" w:cs="Twentieth Century"/>
          <w:sz w:val="24"/>
          <w:szCs w:val="24"/>
        </w:rPr>
        <w:t>mu</w:t>
      </w:r>
      <w:r w:rsidR="00BE7B4C"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is 0.004 mg/l, this shows that Aedes spp mosquitoes will prefer rainwater to </w:t>
      </w:r>
      <w:r w:rsidR="00C20FA8" w:rsidRPr="00163BA7">
        <w:rPr>
          <w:rFonts w:ascii="Tw Cen MT" w:eastAsia="Twentieth Century" w:hAnsi="Tw Cen MT" w:cs="Twentieth Century"/>
          <w:sz w:val="24"/>
          <w:szCs w:val="24"/>
        </w:rPr>
        <w:t>mu</w:t>
      </w:r>
      <w:r w:rsidR="00BE7B4C"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 as a breeding ground for laying eggs because rainwater has natural food for more mosquito larvae than </w:t>
      </w:r>
      <w:r w:rsidR="00C20FA8" w:rsidRPr="00163BA7">
        <w:rPr>
          <w:rFonts w:ascii="Tw Cen MT" w:eastAsia="Twentieth Century" w:hAnsi="Tw Cen MT" w:cs="Twentieth Century"/>
          <w:sz w:val="24"/>
          <w:szCs w:val="24"/>
        </w:rPr>
        <w:t>mu</w:t>
      </w:r>
      <w:r w:rsidR="00BE7B4C" w:rsidRPr="00163BA7">
        <w:rPr>
          <w:rFonts w:ascii="Tw Cen MT" w:eastAsia="Twentieth Century" w:hAnsi="Tw Cen MT" w:cs="Twentieth Century"/>
          <w:sz w:val="24"/>
          <w:szCs w:val="24"/>
        </w:rPr>
        <w:t>nicipal</w:t>
      </w:r>
      <w:r w:rsidRPr="00163BA7">
        <w:rPr>
          <w:rFonts w:ascii="Tw Cen MT" w:eastAsia="Twentieth Century" w:hAnsi="Tw Cen MT" w:cs="Twentieth Century"/>
          <w:sz w:val="24"/>
          <w:szCs w:val="24"/>
        </w:rPr>
        <w:t xml:space="preserve"> water.</w:t>
      </w:r>
    </w:p>
    <w:p w14:paraId="76A295C1" w14:textId="77777777" w:rsidR="00B41001" w:rsidRPr="00163BA7" w:rsidRDefault="00B41001">
      <w:pPr>
        <w:spacing w:after="0" w:line="240" w:lineRule="auto"/>
        <w:jc w:val="center"/>
        <w:rPr>
          <w:rFonts w:ascii="Tw Cen MT" w:eastAsia="Twentieth Century" w:hAnsi="Tw Cen MT" w:cs="Twentieth Century"/>
          <w:sz w:val="20"/>
          <w:szCs w:val="20"/>
        </w:rPr>
      </w:pPr>
    </w:p>
    <w:p w14:paraId="54D925CC" w14:textId="63F5FBB8" w:rsidR="007F4948" w:rsidRPr="00163BA7" w:rsidRDefault="00B241B6">
      <w:pPr>
        <w:spacing w:after="0" w:line="360" w:lineRule="auto"/>
        <w:jc w:val="both"/>
        <w:rPr>
          <w:rFonts w:ascii="Tw Cen MT" w:eastAsia="Twentieth Century" w:hAnsi="Tw Cen MT" w:cs="Twentieth Century"/>
        </w:rPr>
      </w:pPr>
      <w:r w:rsidRPr="00163BA7">
        <w:rPr>
          <w:rFonts w:ascii="Tw Cen MT" w:eastAsia="Twentieth Century" w:hAnsi="Tw Cen MT" w:cs="Twentieth Century"/>
          <w:b/>
          <w:sz w:val="24"/>
          <w:szCs w:val="24"/>
        </w:rPr>
        <w:t>CONCLUSION</w:t>
      </w:r>
    </w:p>
    <w:p w14:paraId="3BA90EE2" w14:textId="3E180AEE" w:rsidR="00B241B6" w:rsidRPr="00163BA7" w:rsidRDefault="00B241B6">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number of rainwater ovitraps traps more Ae</w:t>
      </w:r>
      <w:r w:rsidR="00C20FA8" w:rsidRPr="00163BA7">
        <w:rPr>
          <w:rFonts w:ascii="Tw Cen MT" w:eastAsia="Twentieth Century" w:hAnsi="Tw Cen MT" w:cs="Twentieth Century"/>
          <w:sz w:val="24"/>
          <w:szCs w:val="24"/>
        </w:rPr>
        <w:t xml:space="preserve">des spp mosquito eggs than municipal </w:t>
      </w:r>
      <w:r w:rsidRPr="00163BA7">
        <w:rPr>
          <w:rFonts w:ascii="Tw Cen MT" w:eastAsia="Twentieth Century" w:hAnsi="Tw Cen MT" w:cs="Twentieth Century"/>
          <w:sz w:val="24"/>
          <w:szCs w:val="24"/>
        </w:rPr>
        <w:t xml:space="preserve">water ovitraps. The ovitrap index in this study was categorized as level 4 or high. Statistically there was no difference in the average between the number of eggs trapped in rainwater ovitrap and </w:t>
      </w:r>
      <w:r w:rsidR="00C20FA8" w:rsidRPr="00163BA7">
        <w:rPr>
          <w:rFonts w:ascii="Tw Cen MT" w:eastAsia="Twentieth Century" w:hAnsi="Tw Cen MT" w:cs="Twentieth Century"/>
          <w:sz w:val="24"/>
          <w:szCs w:val="24"/>
        </w:rPr>
        <w:t>mu</w:t>
      </w:r>
      <w:r w:rsidR="008A326F" w:rsidRPr="00163BA7">
        <w:rPr>
          <w:rFonts w:ascii="Tw Cen MT" w:eastAsia="Twentieth Century" w:hAnsi="Tw Cen MT" w:cs="Twentieth Century"/>
          <w:sz w:val="24"/>
          <w:szCs w:val="24"/>
        </w:rPr>
        <w:t xml:space="preserve">nicipal </w:t>
      </w:r>
      <w:r w:rsidRPr="00163BA7">
        <w:rPr>
          <w:rFonts w:ascii="Tw Cen MT" w:eastAsia="Twentieth Century" w:hAnsi="Tw Cen MT" w:cs="Twentieth Century"/>
          <w:sz w:val="24"/>
          <w:szCs w:val="24"/>
        </w:rPr>
        <w:t xml:space="preserve">water. These results indicate that both types of water can </w:t>
      </w:r>
      <w:r w:rsidRPr="00163BA7">
        <w:rPr>
          <w:rFonts w:ascii="Tw Cen MT" w:eastAsia="Twentieth Century" w:hAnsi="Tw Cen MT" w:cs="Twentieth Century"/>
          <w:sz w:val="24"/>
          <w:szCs w:val="24"/>
        </w:rPr>
        <w:lastRenderedPageBreak/>
        <w:t>be a potential breeding ground for Aedes spp.</w:t>
      </w:r>
    </w:p>
    <w:p w14:paraId="21231520" w14:textId="7A77A559" w:rsidR="00360085" w:rsidRPr="00163BA7" w:rsidRDefault="00360085">
      <w:pPr>
        <w:tabs>
          <w:tab w:val="left" w:pos="426"/>
        </w:tabs>
        <w:spacing w:after="0"/>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number of eggs trapped in the ovitrap is very large, it is hoped that the community must be aware of the environment around their respective homes by carrying out the Mosquito Nest Eradication (PSN) movement. The PSN movement includes closing unused water reservoirs, draining bathtubs or other water reservoirs at least once a week, and recycling unused used goods suspected of being breeding grounds for mosquitoes.</w:t>
      </w:r>
    </w:p>
    <w:p w14:paraId="03E3E289" w14:textId="77777777" w:rsidR="00B241B6" w:rsidRPr="00163BA7" w:rsidRDefault="00B241B6">
      <w:pPr>
        <w:tabs>
          <w:tab w:val="left" w:pos="426"/>
        </w:tabs>
        <w:spacing w:after="0"/>
        <w:jc w:val="both"/>
        <w:rPr>
          <w:rFonts w:ascii="Tw Cen MT" w:eastAsia="Twentieth Century" w:hAnsi="Tw Cen MT" w:cs="Twentieth Century"/>
          <w:sz w:val="24"/>
          <w:szCs w:val="24"/>
        </w:rPr>
      </w:pPr>
    </w:p>
    <w:p w14:paraId="62A8D2FE" w14:textId="77777777" w:rsidR="00360085" w:rsidRPr="00163BA7" w:rsidRDefault="00360085">
      <w:pPr>
        <w:tabs>
          <w:tab w:val="left" w:pos="426"/>
        </w:tabs>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t>ACKNOWLEDGMENT</w:t>
      </w:r>
    </w:p>
    <w:p w14:paraId="668C6AFB" w14:textId="67FF3E79" w:rsidR="007F4948" w:rsidRPr="00163BA7" w:rsidRDefault="00360085">
      <w:pPr>
        <w:spacing w:after="0" w:line="240" w:lineRule="auto"/>
        <w:jc w:val="both"/>
        <w:rPr>
          <w:rFonts w:ascii="Tw Cen MT" w:eastAsia="Twentieth Century" w:hAnsi="Tw Cen MT" w:cs="Twentieth Century"/>
          <w:sz w:val="24"/>
          <w:szCs w:val="24"/>
        </w:rPr>
      </w:pPr>
      <w:r w:rsidRPr="00163BA7">
        <w:rPr>
          <w:rFonts w:ascii="Tw Cen MT" w:eastAsia="Twentieth Century" w:hAnsi="Tw Cen MT" w:cs="Twentieth Century"/>
          <w:sz w:val="24"/>
          <w:szCs w:val="24"/>
        </w:rPr>
        <w:t>The researcher would like to thank all those who have assisted in the process of collecting data and completing this research.</w:t>
      </w:r>
    </w:p>
    <w:p w14:paraId="460CA41D" w14:textId="77777777" w:rsidR="00360085" w:rsidRPr="00163BA7" w:rsidRDefault="00360085">
      <w:pPr>
        <w:spacing w:after="0" w:line="240" w:lineRule="auto"/>
        <w:jc w:val="both"/>
        <w:rPr>
          <w:rFonts w:ascii="Tw Cen MT" w:eastAsia="Twentieth Century" w:hAnsi="Tw Cen MT" w:cs="Twentieth Century"/>
          <w:b/>
          <w:sz w:val="24"/>
          <w:szCs w:val="24"/>
        </w:rPr>
      </w:pPr>
    </w:p>
    <w:p w14:paraId="33F11A5E" w14:textId="20AE3163" w:rsidR="007F4948" w:rsidRPr="00163BA7" w:rsidRDefault="00DF6E07">
      <w:pPr>
        <w:tabs>
          <w:tab w:val="left" w:pos="426"/>
        </w:tabs>
        <w:spacing w:after="0"/>
        <w:jc w:val="both"/>
        <w:rPr>
          <w:rFonts w:ascii="Tw Cen MT" w:eastAsia="Twentieth Century" w:hAnsi="Tw Cen MT" w:cs="Twentieth Century"/>
          <w:b/>
          <w:sz w:val="24"/>
          <w:szCs w:val="24"/>
        </w:rPr>
      </w:pPr>
      <w:r w:rsidRPr="00163BA7">
        <w:rPr>
          <w:rFonts w:ascii="Tw Cen MT" w:eastAsia="Twentieth Century" w:hAnsi="Tw Cen MT" w:cs="Twentieth Century"/>
          <w:b/>
          <w:sz w:val="24"/>
          <w:szCs w:val="24"/>
        </w:rPr>
        <w:t>REFFERENC</w:t>
      </w:r>
      <w:r w:rsidR="0011263D" w:rsidRPr="00163BA7">
        <w:rPr>
          <w:rFonts w:ascii="Tw Cen MT" w:eastAsia="Twentieth Century" w:hAnsi="Tw Cen MT" w:cs="Twentieth Century"/>
          <w:b/>
          <w:sz w:val="24"/>
          <w:szCs w:val="24"/>
        </w:rPr>
        <w:t>E</w:t>
      </w:r>
    </w:p>
    <w:p w14:paraId="3EE12B4F" w14:textId="1F084A46" w:rsidR="00D428B5" w:rsidRPr="00163BA7" w:rsidRDefault="008A326F"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eastAsia="Twentieth Century" w:hAnsi="Tw Cen MT" w:cs="Twentieth Century"/>
          <w:sz w:val="24"/>
          <w:szCs w:val="24"/>
        </w:rPr>
        <w:fldChar w:fldCharType="begin" w:fldLock="1"/>
      </w:r>
      <w:r w:rsidRPr="00163BA7">
        <w:rPr>
          <w:rFonts w:ascii="Tw Cen MT" w:eastAsia="Twentieth Century" w:hAnsi="Tw Cen MT" w:cs="Twentieth Century"/>
          <w:sz w:val="24"/>
          <w:szCs w:val="24"/>
        </w:rPr>
        <w:instrText xml:space="preserve">ADDIN Mendeley Bibliography CSL_BIBLIOGRAPHY </w:instrText>
      </w:r>
      <w:r w:rsidRPr="00163BA7">
        <w:rPr>
          <w:rFonts w:ascii="Tw Cen MT" w:eastAsia="Twentieth Century" w:hAnsi="Tw Cen MT" w:cs="Twentieth Century"/>
          <w:sz w:val="24"/>
          <w:szCs w:val="24"/>
        </w:rPr>
        <w:fldChar w:fldCharType="separate"/>
      </w:r>
      <w:r w:rsidR="00D428B5" w:rsidRPr="00163BA7">
        <w:rPr>
          <w:rFonts w:ascii="Tw Cen MT" w:hAnsi="Tw Cen MT" w:cs="Times New Roman"/>
          <w:noProof/>
          <w:sz w:val="24"/>
          <w:szCs w:val="24"/>
        </w:rPr>
        <w:t>[1]</w:t>
      </w:r>
      <w:r w:rsidR="00D428B5" w:rsidRPr="00163BA7">
        <w:rPr>
          <w:rFonts w:ascii="Tw Cen MT" w:hAnsi="Tw Cen MT" w:cs="Times New Roman"/>
          <w:noProof/>
          <w:sz w:val="24"/>
          <w:szCs w:val="24"/>
        </w:rPr>
        <w:tab/>
        <w:t xml:space="preserve">Kementerian Kesehatan RI, “Situasi Penyakit Demam Berdarah Di Indonesia 2017,” </w:t>
      </w:r>
      <w:r w:rsidR="00D428B5" w:rsidRPr="00163BA7">
        <w:rPr>
          <w:rFonts w:ascii="Tw Cen MT" w:hAnsi="Tw Cen MT" w:cs="Times New Roman"/>
          <w:i/>
          <w:iCs/>
          <w:noProof/>
          <w:sz w:val="24"/>
          <w:szCs w:val="24"/>
        </w:rPr>
        <w:t>Journal of Vector Ecology</w:t>
      </w:r>
      <w:r w:rsidR="00D428B5" w:rsidRPr="00163BA7">
        <w:rPr>
          <w:rFonts w:ascii="Tw Cen MT" w:hAnsi="Tw Cen MT" w:cs="Times New Roman"/>
          <w:noProof/>
          <w:sz w:val="24"/>
          <w:szCs w:val="24"/>
        </w:rPr>
        <w:t>, vol. 31, no. 1. pp. 71–78, 2017. [Online]. Available: https://www.kemkes.go.id/download.php?file=download/pusdatin/infodatin/InfoDatin-Situasi-Demam-Berdarah-Dengue.pdf</w:t>
      </w:r>
    </w:p>
    <w:p w14:paraId="5F473B15"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[2]</w:t>
      </w:r>
      <w:r w:rsidRPr="00163BA7">
        <w:rPr>
          <w:rFonts w:ascii="Tw Cen MT" w:hAnsi="Tw Cen MT" w:cs="Times New Roman"/>
          <w:noProof/>
          <w:sz w:val="24"/>
          <w:szCs w:val="24"/>
        </w:rPr>
        <w:tab/>
        <w:t xml:space="preserve">Minister of Health Republic of Indonesia, </w:t>
      </w:r>
      <w:r w:rsidRPr="00163BA7">
        <w:rPr>
          <w:rFonts w:ascii="Tw Cen MT" w:hAnsi="Tw Cen MT" w:cs="Times New Roman"/>
          <w:i/>
          <w:iCs/>
          <w:noProof/>
          <w:sz w:val="24"/>
          <w:szCs w:val="24"/>
        </w:rPr>
        <w:t>Indonesia Health Profile 2020</w:t>
      </w:r>
      <w:r w:rsidRPr="00163BA7">
        <w:rPr>
          <w:rFonts w:ascii="Tw Cen MT" w:hAnsi="Tw Cen MT" w:cs="Times New Roman"/>
          <w:noProof/>
          <w:sz w:val="24"/>
          <w:szCs w:val="24"/>
        </w:rPr>
        <w:t>. 2920.</w:t>
      </w:r>
    </w:p>
    <w:p w14:paraId="4AB2761C"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[3]</w:t>
      </w:r>
      <w:r w:rsidRPr="00163BA7">
        <w:rPr>
          <w:rFonts w:ascii="Tw Cen MT" w:hAnsi="Tw Cen MT" w:cs="Times New Roman"/>
          <w:noProof/>
          <w:sz w:val="24"/>
          <w:szCs w:val="24"/>
        </w:rPr>
        <w:tab/>
        <w:t>Dinas Kesehatan Kota Tanjungpinang, “Data Demam Berdarah Dengue (DBD) di Kota Tanjungpinang,” Dinas Kesehatan Kota Tanjungpinang, 2022.</w:t>
      </w:r>
    </w:p>
    <w:p w14:paraId="3B69F613"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[4]</w:t>
      </w:r>
      <w:r w:rsidRPr="00163BA7">
        <w:rPr>
          <w:rFonts w:ascii="Tw Cen MT" w:hAnsi="Tw Cen MT" w:cs="Times New Roman"/>
          <w:noProof/>
          <w:sz w:val="24"/>
          <w:szCs w:val="24"/>
        </w:rPr>
        <w:tab/>
        <w:t xml:space="preserve">T. Sandra, M. A. Sofro, S. Suhartono, M. Martini, and S. Hadisaputro, “Faktor Yang Berpengaruh Terhadap Kejadian Demam Berdarah Dengue Pada Anak Usia 6-12 Tahun,” </w:t>
      </w:r>
      <w:r w:rsidRPr="00163BA7">
        <w:rPr>
          <w:rFonts w:ascii="Tw Cen MT" w:hAnsi="Tw Cen MT" w:cs="Times New Roman"/>
          <w:i/>
          <w:iCs/>
          <w:noProof/>
          <w:sz w:val="24"/>
          <w:szCs w:val="24"/>
        </w:rPr>
        <w:t>J. Ilm. Permas J. Ilm. STIKES Kendal</w:t>
      </w:r>
      <w:r w:rsidRPr="00163BA7">
        <w:rPr>
          <w:rFonts w:ascii="Tw Cen MT" w:hAnsi="Tw Cen MT" w:cs="Times New Roman"/>
          <w:noProof/>
          <w:sz w:val="24"/>
          <w:szCs w:val="24"/>
        </w:rPr>
        <w:t>, vol. 9, no. 1, pp. 28–35, 2019, doi: 10.32583/pskm.9.1.2019.28-35.</w:t>
      </w:r>
    </w:p>
    <w:p w14:paraId="6B1211F0"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[5]</w:t>
      </w:r>
      <w:r w:rsidRPr="00163BA7">
        <w:rPr>
          <w:rFonts w:ascii="Tw Cen MT" w:hAnsi="Tw Cen MT" w:cs="Times New Roman"/>
          <w:noProof/>
          <w:sz w:val="24"/>
          <w:szCs w:val="24"/>
        </w:rPr>
        <w:tab/>
        <w:t xml:space="preserve">L. Zuhriyah, T. Baskoro Tunggul Satoto, </w:t>
      </w:r>
      <w:r w:rsidRPr="00163BA7">
        <w:rPr>
          <w:rFonts w:ascii="Tw Cen MT" w:hAnsi="Tw Cen MT" w:cs="Times New Roman"/>
          <w:noProof/>
          <w:sz w:val="24"/>
          <w:szCs w:val="24"/>
        </w:rPr>
        <w:lastRenderedPageBreak/>
        <w:t xml:space="preserve">and H. Kusnanto, “Efektifitas Modifikasi Ovitrap Model Kepanjen untuk Menurunkan Angka Kepadatan Larva Aedes aegypti di Malang,” </w:t>
      </w:r>
      <w:r w:rsidRPr="00163BA7">
        <w:rPr>
          <w:rFonts w:ascii="Tw Cen MT" w:hAnsi="Tw Cen MT" w:cs="Times New Roman"/>
          <w:i/>
          <w:iCs/>
          <w:noProof/>
          <w:sz w:val="24"/>
          <w:szCs w:val="24"/>
        </w:rPr>
        <w:t>J. Kedokt. Brawijaya</w:t>
      </w:r>
      <w:r w:rsidRPr="00163BA7">
        <w:rPr>
          <w:rFonts w:ascii="Tw Cen MT" w:hAnsi="Tw Cen MT" w:cs="Times New Roman"/>
          <w:noProof/>
          <w:sz w:val="24"/>
          <w:szCs w:val="24"/>
        </w:rPr>
        <w:t>, vol. 29, no. 2, pp. 157–164, 2016, doi: 10.21776/ub.jkb.2016.029.02.10.</w:t>
      </w:r>
    </w:p>
    <w:p w14:paraId="2F4718A1"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[6]</w:t>
      </w:r>
      <w:r w:rsidRPr="00163BA7">
        <w:rPr>
          <w:rFonts w:ascii="Tw Cen MT" w:hAnsi="Tw Cen MT" w:cs="Times New Roman"/>
          <w:noProof/>
          <w:sz w:val="24"/>
          <w:szCs w:val="24"/>
        </w:rPr>
        <w:tab/>
        <w:t xml:space="preserve">K. Latifa, W. Arusyid, T. Iswidaty, and D. Sutiningsih, “Pengaruh ovitrap sebagai monitoring keberadaan vektor Aedes sp di Kelurahan Bulusan Kecamatan Tembalang Kota Semarang,” </w:t>
      </w:r>
      <w:r w:rsidRPr="00163BA7">
        <w:rPr>
          <w:rFonts w:ascii="Tw Cen MT" w:hAnsi="Tw Cen MT" w:cs="Times New Roman"/>
          <w:i/>
          <w:iCs/>
          <w:noProof/>
          <w:sz w:val="24"/>
          <w:szCs w:val="24"/>
        </w:rPr>
        <w:t>J. Ilm. Mhs.</w:t>
      </w:r>
      <w:r w:rsidRPr="00163BA7">
        <w:rPr>
          <w:rFonts w:ascii="Tw Cen MT" w:hAnsi="Tw Cen MT" w:cs="Times New Roman"/>
          <w:noProof/>
          <w:sz w:val="24"/>
          <w:szCs w:val="24"/>
        </w:rPr>
        <w:t>, vol. 3, no. 1, p. 29, 2013.</w:t>
      </w:r>
    </w:p>
    <w:p w14:paraId="55889674"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[7]</w:t>
      </w:r>
      <w:r w:rsidRPr="00163BA7">
        <w:rPr>
          <w:rFonts w:ascii="Tw Cen MT" w:hAnsi="Tw Cen MT" w:cs="Times New Roman"/>
          <w:noProof/>
          <w:sz w:val="24"/>
          <w:szCs w:val="24"/>
        </w:rPr>
        <w:tab/>
        <w:t xml:space="preserve">W. N. Hidayah, J. W. Hidayat, and R. Rahadian, “Preferensi bertelur nyamuk Aedes aegypti l. berdasarkan jarak penempatan ovitrap bermedia air domestik terhadap ovitrap bermedia air rendaman jerami,” </w:t>
      </w:r>
      <w:r w:rsidRPr="00163BA7">
        <w:rPr>
          <w:rFonts w:ascii="Tw Cen MT" w:hAnsi="Tw Cen MT" w:cs="Times New Roman"/>
          <w:i/>
          <w:iCs/>
          <w:noProof/>
          <w:sz w:val="24"/>
          <w:szCs w:val="24"/>
        </w:rPr>
        <w:t>J. Biol.</w:t>
      </w:r>
      <w:r w:rsidRPr="00163BA7">
        <w:rPr>
          <w:rFonts w:ascii="Tw Cen MT" w:hAnsi="Tw Cen MT" w:cs="Times New Roman"/>
          <w:noProof/>
          <w:sz w:val="24"/>
          <w:szCs w:val="24"/>
        </w:rPr>
        <w:t>, vol. 2, no. 4, pp. 25–34, 2013.</w:t>
      </w:r>
    </w:p>
    <w:p w14:paraId="7400C24B"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[8]</w:t>
      </w:r>
      <w:r w:rsidRPr="00163BA7">
        <w:rPr>
          <w:rFonts w:ascii="Tw Cen MT" w:hAnsi="Tw Cen MT" w:cs="Times New Roman"/>
          <w:noProof/>
          <w:sz w:val="24"/>
          <w:szCs w:val="24"/>
        </w:rPr>
        <w:tab/>
        <w:t xml:space="preserve">Sayono and U. Nurullita, “Situasi Terkini Vektor Dengue (Aedes Aegypti) Di Jawa Tengah,” </w:t>
      </w:r>
      <w:r w:rsidRPr="00163BA7">
        <w:rPr>
          <w:rFonts w:ascii="Tw Cen MT" w:hAnsi="Tw Cen MT" w:cs="Times New Roman"/>
          <w:i/>
          <w:iCs/>
          <w:noProof/>
          <w:sz w:val="24"/>
          <w:szCs w:val="24"/>
        </w:rPr>
        <w:t>KEMAS J. Kesehat. Masy.</w:t>
      </w:r>
      <w:r w:rsidRPr="00163BA7">
        <w:rPr>
          <w:rFonts w:ascii="Tw Cen MT" w:hAnsi="Tw Cen MT" w:cs="Times New Roman"/>
          <w:noProof/>
          <w:sz w:val="24"/>
          <w:szCs w:val="24"/>
        </w:rPr>
        <w:t>, vol. 11, no. 2, pp. 96–105, 2016.</w:t>
      </w:r>
    </w:p>
    <w:p w14:paraId="5C2AB580"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[9]</w:t>
      </w:r>
      <w:r w:rsidRPr="00163BA7">
        <w:rPr>
          <w:rFonts w:ascii="Tw Cen MT" w:hAnsi="Tw Cen MT" w:cs="Times New Roman"/>
          <w:noProof/>
          <w:sz w:val="24"/>
          <w:szCs w:val="24"/>
        </w:rPr>
        <w:tab/>
        <w:t xml:space="preserve">L. Hidayati, U. K. Hadi, and S. Soviana, “Pemanfaatan ovitrap dalam pengukuran populasi Aedes sp. dan penentuan kondisi rumah,” </w:t>
      </w:r>
      <w:r w:rsidRPr="00163BA7">
        <w:rPr>
          <w:rFonts w:ascii="Tw Cen MT" w:hAnsi="Tw Cen MT" w:cs="Times New Roman"/>
          <w:i/>
          <w:iCs/>
          <w:noProof/>
          <w:sz w:val="24"/>
          <w:szCs w:val="24"/>
        </w:rPr>
        <w:t>J. Entomol. Indones.</w:t>
      </w:r>
      <w:r w:rsidRPr="00163BA7">
        <w:rPr>
          <w:rFonts w:ascii="Tw Cen MT" w:hAnsi="Tw Cen MT" w:cs="Times New Roman"/>
          <w:noProof/>
          <w:sz w:val="24"/>
          <w:szCs w:val="24"/>
        </w:rPr>
        <w:t>, vol. 14, no. 3, p. 126, 2018, doi: 10.5994/jei.14.3.126.</w:t>
      </w:r>
    </w:p>
    <w:p w14:paraId="6D81CBE2"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63BA7">
        <w:rPr>
          <w:rFonts w:ascii="Tw Cen MT" w:hAnsi="Tw Cen MT" w:cs="Times New Roman"/>
          <w:noProof/>
          <w:sz w:val="24"/>
          <w:szCs w:val="24"/>
        </w:rPr>
        <w:t>[10]</w:t>
      </w:r>
      <w:r w:rsidRPr="00163BA7">
        <w:rPr>
          <w:rFonts w:ascii="Tw Cen MT" w:hAnsi="Tw Cen MT" w:cs="Times New Roman"/>
          <w:noProof/>
          <w:sz w:val="24"/>
          <w:szCs w:val="24"/>
        </w:rPr>
        <w:tab/>
        <w:t xml:space="preserve">A. Tomia, “Gambaran Tingkat Kepadatan Nyamuk Aedes Aegypti Berdasarkan Indeks Ovitrap di Kota Ternate,” </w:t>
      </w:r>
      <w:r w:rsidRPr="00163BA7">
        <w:rPr>
          <w:rFonts w:ascii="Tw Cen MT" w:hAnsi="Tw Cen MT" w:cs="Times New Roman"/>
          <w:i/>
          <w:iCs/>
          <w:noProof/>
          <w:sz w:val="24"/>
          <w:szCs w:val="24"/>
        </w:rPr>
        <w:t>J. Kedokt. dan Kesehat.</w:t>
      </w:r>
      <w:r w:rsidRPr="00163BA7">
        <w:rPr>
          <w:rFonts w:ascii="Tw Cen MT" w:hAnsi="Tw Cen MT" w:cs="Times New Roman"/>
          <w:noProof/>
          <w:sz w:val="24"/>
          <w:szCs w:val="24"/>
        </w:rPr>
        <w:t>, vol. 16, no. 2, pp. 143–150, 2020.</w:t>
      </w:r>
    </w:p>
    <w:p w14:paraId="27779BE2" w14:textId="77777777" w:rsidR="00D428B5" w:rsidRPr="00163BA7" w:rsidRDefault="00D428B5" w:rsidP="00196C16">
      <w:pPr>
        <w:widowControl w:val="0"/>
        <w:autoSpaceDE w:val="0"/>
        <w:autoSpaceDN w:val="0"/>
        <w:adjustRightInd w:val="0"/>
        <w:spacing w:after="0" w:line="240" w:lineRule="auto"/>
        <w:ind w:left="640" w:hanging="640"/>
        <w:jc w:val="both"/>
        <w:rPr>
          <w:rFonts w:ascii="Tw Cen MT" w:hAnsi="Tw Cen MT"/>
          <w:noProof/>
          <w:sz w:val="24"/>
        </w:rPr>
      </w:pPr>
      <w:r w:rsidRPr="00163BA7">
        <w:rPr>
          <w:rFonts w:ascii="Tw Cen MT" w:hAnsi="Tw Cen MT" w:cs="Times New Roman"/>
          <w:noProof/>
          <w:sz w:val="24"/>
          <w:szCs w:val="24"/>
        </w:rPr>
        <w:t>[11]</w:t>
      </w:r>
      <w:r w:rsidRPr="00163BA7">
        <w:rPr>
          <w:rFonts w:ascii="Tw Cen MT" w:hAnsi="Tw Cen MT" w:cs="Times New Roman"/>
          <w:noProof/>
          <w:sz w:val="24"/>
          <w:szCs w:val="24"/>
        </w:rPr>
        <w:tab/>
        <w:t xml:space="preserve">WHO, </w:t>
      </w:r>
      <w:r w:rsidRPr="00163BA7">
        <w:rPr>
          <w:rFonts w:ascii="Tw Cen MT" w:hAnsi="Tw Cen MT" w:cs="Times New Roman"/>
          <w:i/>
          <w:iCs/>
          <w:noProof/>
          <w:sz w:val="24"/>
          <w:szCs w:val="24"/>
        </w:rPr>
        <w:t>Comprehensive guidelines for prevention and control of dengue and dengue haemorrhagic fever</w:t>
      </w:r>
      <w:r w:rsidRPr="00163BA7">
        <w:rPr>
          <w:rFonts w:ascii="Tw Cen MT" w:hAnsi="Tw Cen MT" w:cs="Times New Roman"/>
          <w:noProof/>
          <w:sz w:val="24"/>
          <w:szCs w:val="24"/>
        </w:rPr>
        <w:t>, no. 1. 2011. [Online]. Available: http://scholar.google.com/scholar?hl=en&amp;btnG=Search&amp;q=intitle:Comprehensive+Guidelines+for+Prevention+and+Control+of+Dengue+and+Dengue+Haemorrhagic+Fever#1</w:t>
      </w:r>
    </w:p>
    <w:p w14:paraId="68CD89AC" w14:textId="77777777" w:rsidR="00163BA7" w:rsidRDefault="008A326F">
      <w:pPr>
        <w:spacing w:after="0" w:line="240" w:lineRule="auto"/>
        <w:ind w:left="426" w:hanging="426"/>
        <w:jc w:val="both"/>
        <w:rPr>
          <w:rFonts w:ascii="Tw Cen MT" w:eastAsia="Twentieth Century" w:hAnsi="Tw Cen MT" w:cs="Twentieth Century"/>
          <w:sz w:val="24"/>
          <w:szCs w:val="24"/>
        </w:rPr>
        <w:sectPr w:rsidR="00163BA7" w:rsidSect="006D261F">
          <w:type w:val="continuous"/>
          <w:pgSz w:w="12240" w:h="15840"/>
          <w:pgMar w:top="1440" w:right="1440" w:bottom="1440" w:left="1440" w:header="720" w:footer="720" w:gutter="0"/>
          <w:cols w:num="2" w:space="369" w:equalWidth="0">
            <w:col w:w="4496" w:space="369"/>
            <w:col w:w="4495" w:space="0"/>
          </w:cols>
        </w:sectPr>
      </w:pPr>
      <w:r w:rsidRPr="00163BA7">
        <w:rPr>
          <w:rFonts w:ascii="Tw Cen MT" w:eastAsia="Twentieth Century" w:hAnsi="Tw Cen MT" w:cs="Twentieth Century"/>
          <w:sz w:val="24"/>
          <w:szCs w:val="24"/>
        </w:rPr>
        <w:fldChar w:fldCharType="end"/>
      </w:r>
    </w:p>
    <w:p w14:paraId="1145E53C" w14:textId="77777777" w:rsidR="007F4948" w:rsidRPr="00163BA7" w:rsidRDefault="007F4948" w:rsidP="00AB2BCC">
      <w:pPr>
        <w:rPr>
          <w:rFonts w:ascii="Tw Cen MT" w:eastAsia="Twentieth Century" w:hAnsi="Tw Cen MT" w:cs="Twentieth Century"/>
        </w:rPr>
      </w:pPr>
    </w:p>
    <w:sectPr w:rsidR="007F4948" w:rsidRPr="00163BA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0E00B" w14:textId="77777777" w:rsidR="001C457B" w:rsidRDefault="001C457B">
      <w:pPr>
        <w:spacing w:after="0" w:line="240" w:lineRule="auto"/>
      </w:pPr>
      <w:r>
        <w:separator/>
      </w:r>
    </w:p>
  </w:endnote>
  <w:endnote w:type="continuationSeparator" w:id="0">
    <w:p w14:paraId="69760038" w14:textId="77777777" w:rsidR="001C457B" w:rsidRDefault="001C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742736"/>
      <w:docPartObj>
        <w:docPartGallery w:val="Page Numbers (Bottom of Page)"/>
        <w:docPartUnique/>
      </w:docPartObj>
    </w:sdtPr>
    <w:sdtEndPr>
      <w:rPr>
        <w:noProof/>
      </w:rPr>
    </w:sdtEndPr>
    <w:sdtContent>
      <w:p w14:paraId="27529A77" w14:textId="53BC1079" w:rsidR="006D261F" w:rsidRPr="00FC0FFB" w:rsidRDefault="006D261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VIGbdAAAACAEAAA8AAABkcnMvZG93bnJldi54bWxMj0FvwjAMhe+T9h8iT9oN0sLEoDRF&#10;0zTurOyw3UJj2mqNUyWhFH79PO0wTpb9np6/l29G24kBfWgdKUinCQikypmWagUf++1kCSJETUZ3&#10;jlDBBQNsivu7XGfGnekdhzLWgkMoZFpBE2OfSRmqBq0OU9cjsXZ03urIq6+l8frM4baTsyRZSKtb&#10;4g+N7vG1weq7PFkF7eqLjrRLh/pzv30zfnctL8NVqceH8WUNIuIY/83wi8/oUDDTwZ3IBNEpmKRP&#10;7OQ5m4NgfTVfPIM4/B1kkcvbAsUPAAAA//8DAFBLAQItABQABgAIAAAAIQC2gziS/gAAAOEBAAAT&#10;AAAAAAAAAAAAAAAAAAAAAABbQ29udGVudF9UeXBlc10ueG1sUEsBAi0AFAAGAAgAAAAhADj9If/W&#10;AAAAlAEAAAsAAAAAAAAAAAAAAAAALwEAAF9yZWxzLy5yZWxzUEsBAi0AFAAGAAgAAAAhAPCO2RLX&#10;AQAADQQAAA4AAAAAAAAAAAAAAAAALgIAAGRycy9lMm9Eb2MueG1sUEsBAi0AFAAGAAgAAAAhAIcV&#10;IGbdAAAACA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139346856"/>
            <w:placeholder>
              <w:docPart w:val="717D3EDEB2AF4927AB08A5D0443D7E00"/>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Rinaldi Daswito</w:t>
            </w:r>
            <w:r>
              <w:rPr>
                <w:rFonts w:ascii="Tw Cen MT" w:hAnsi="Tw Cen MT"/>
                <w:color w:val="000000" w:themeColor="text1"/>
                <w:sz w:val="20"/>
                <w:szCs w:val="24"/>
                <w:lang w:val="en-ID"/>
              </w:rPr>
              <w:t xml:space="preserve"> and </w:t>
            </w:r>
            <w:r>
              <w:rPr>
                <w:rFonts w:ascii="Tw Cen MT" w:hAnsi="Tw Cen MT"/>
                <w:color w:val="000000" w:themeColor="text1"/>
                <w:sz w:val="20"/>
                <w:szCs w:val="24"/>
                <w:lang w:val="en-ID"/>
              </w:rPr>
              <w:t>rinaldi@poltekkes-tanjungpinang.ac.id</w:t>
            </w:r>
          </w:sdtContent>
        </w:sdt>
      </w:p>
      <w:p w14:paraId="07382446" w14:textId="51B2C302" w:rsidR="006D261F" w:rsidRDefault="006D261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C133E7">
          <w:rPr>
            <w:rFonts w:ascii="Tw Cen MT" w:hAnsi="Tw Cen MT"/>
            <w:noProof/>
            <w:sz w:val="24"/>
            <w:szCs w:val="24"/>
          </w:rPr>
          <w:t>67</w:t>
        </w:r>
        <w:r w:rsidRPr="006D261F">
          <w:rPr>
            <w:rFonts w:ascii="Tw Cen MT" w:hAnsi="Tw Cen MT"/>
            <w:noProof/>
            <w:sz w:val="24"/>
            <w:szCs w:val="24"/>
          </w:rPr>
          <w:fldChar w:fldCharType="end"/>
        </w:r>
      </w:p>
    </w:sdtContent>
  </w:sdt>
  <w:p w14:paraId="43E38D77" w14:textId="1F62710C" w:rsidR="007F4948" w:rsidRDefault="007F494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7F74C" w14:textId="77777777" w:rsidR="001C457B" w:rsidRDefault="001C457B">
      <w:pPr>
        <w:spacing w:after="0" w:line="240" w:lineRule="auto"/>
      </w:pPr>
      <w:r>
        <w:separator/>
      </w:r>
    </w:p>
  </w:footnote>
  <w:footnote w:type="continuationSeparator" w:id="0">
    <w:p w14:paraId="718F9875" w14:textId="77777777" w:rsidR="001C457B" w:rsidRDefault="001C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172902834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6C5421CC" w:rsidR="007A770B" w:rsidRDefault="007A770B"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sidR="00AB2BCC">
          <w:rPr>
            <w:rFonts w:ascii="Tw Cen MT" w:hAnsi="Tw Cen MT" w:cstheme="minorBidi"/>
            <w:sz w:val="20"/>
            <w:szCs w:val="20"/>
          </w:rPr>
          <w:t>l.11, No.2, November 2022, pp. 64-69</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7F4948" w:rsidRDefault="0086728C"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7CF7E2E5">
              <wp:simplePos x="0" y="0"/>
              <wp:positionH relativeFrom="column">
                <wp:posOffset>0</wp:posOffset>
              </wp:positionH>
              <wp:positionV relativeFrom="paragraph">
                <wp:posOffset>176489</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3.9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NVh4bfbAAAABgEAAA8AAABkcnMvZG93bnJldi54bWxMj0tPwzAQhO9I/AdrkbhRJ1V5&#10;hTgV4ilxQCLthds23iaBeB3FThP+PYs4wHFnRjPf5uvZdepAQ2g9G0gXCSjiytuWawPbzePZFagQ&#10;kS12nsnAFwVYF8dHOWbWT/xGhzLWSko4ZGigibHPtA5VQw7DwvfE4u394DDKOdTaDjhJuev0Mkku&#10;tMOWZaHBnu4aqj7L0Rl4ovvydf8w1c/0Pp6vPl48To035vRkvr0BFWmOf2H4wRd0KIRp50e2QXUG&#10;5JFoYHkp/OJer9IU1O5X0EWu/+MX3wAAAP//AwBQSwECLQAUAAYACAAAACEAtoM4kv4AAADhAQAA&#10;EwAAAAAAAAAAAAAAAAAAAAAAW0NvbnRlbnRfVHlwZXNdLnhtbFBLAQItABQABgAIAAAAIQA4/SH/&#10;1gAAAJQBAAALAAAAAAAAAAAAAAAAAC8BAABfcmVscy8ucmVsc1BLAQItABQABgAIAAAAIQCb+Wpq&#10;2gEAALQDAAAOAAAAAAAAAAAAAAAAAC4CAABkcnMvZTJvRG9jLnhtbFBLAQItABQABgAIAAAAIQDV&#10;YeG32wAAAAYBAAAPAAAAAAAAAAAAAAAAADQEAABkcnMvZG93bnJldi54bWxQSwUGAAAAAAQABADz&#10;AAAAPAUAAAAA&#10;" strokecolor="black [3200]" strokeweight="1.5pt">
              <v:stroke startarrowwidth="narrow" startarrowlength="short" endarrowwidth="narrow" endarrowlength="short"/>
            </v:shape>
          </w:pict>
        </mc:Fallback>
      </mc:AlternateContent>
    </w:r>
  </w:p>
  <w:p w14:paraId="2F2AE68A" w14:textId="77777777" w:rsidR="007F4948" w:rsidRDefault="007F494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46906"/>
    <w:rsid w:val="00082EFF"/>
    <w:rsid w:val="00096D8F"/>
    <w:rsid w:val="000A46F4"/>
    <w:rsid w:val="000B1F81"/>
    <w:rsid w:val="000C4719"/>
    <w:rsid w:val="000D0DFF"/>
    <w:rsid w:val="00106CE2"/>
    <w:rsid w:val="0011263D"/>
    <w:rsid w:val="00113901"/>
    <w:rsid w:val="00136E70"/>
    <w:rsid w:val="00160FDD"/>
    <w:rsid w:val="0016328E"/>
    <w:rsid w:val="00163BA7"/>
    <w:rsid w:val="0016482E"/>
    <w:rsid w:val="00196C16"/>
    <w:rsid w:val="001C457B"/>
    <w:rsid w:val="001F1073"/>
    <w:rsid w:val="002113FB"/>
    <w:rsid w:val="00222E32"/>
    <w:rsid w:val="00223B20"/>
    <w:rsid w:val="00261BB2"/>
    <w:rsid w:val="00293DB9"/>
    <w:rsid w:val="002B20BA"/>
    <w:rsid w:val="002C693D"/>
    <w:rsid w:val="002C73F4"/>
    <w:rsid w:val="002D30A7"/>
    <w:rsid w:val="002E7BE2"/>
    <w:rsid w:val="003069B5"/>
    <w:rsid w:val="00307CDB"/>
    <w:rsid w:val="00360085"/>
    <w:rsid w:val="00361BBD"/>
    <w:rsid w:val="003F6489"/>
    <w:rsid w:val="003F6B0D"/>
    <w:rsid w:val="00420F93"/>
    <w:rsid w:val="00431AAB"/>
    <w:rsid w:val="00463B9A"/>
    <w:rsid w:val="0046541C"/>
    <w:rsid w:val="004C01E6"/>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D261F"/>
    <w:rsid w:val="007006B9"/>
    <w:rsid w:val="007368A2"/>
    <w:rsid w:val="00762C0B"/>
    <w:rsid w:val="00765F40"/>
    <w:rsid w:val="007A1AEF"/>
    <w:rsid w:val="007A770B"/>
    <w:rsid w:val="007D6D9D"/>
    <w:rsid w:val="007E655E"/>
    <w:rsid w:val="007F4948"/>
    <w:rsid w:val="00812425"/>
    <w:rsid w:val="0081569B"/>
    <w:rsid w:val="0086728C"/>
    <w:rsid w:val="008A326F"/>
    <w:rsid w:val="00942731"/>
    <w:rsid w:val="009D73CD"/>
    <w:rsid w:val="009F6554"/>
    <w:rsid w:val="00A343E3"/>
    <w:rsid w:val="00A71279"/>
    <w:rsid w:val="00AB2BCC"/>
    <w:rsid w:val="00AE2862"/>
    <w:rsid w:val="00B241B6"/>
    <w:rsid w:val="00B41001"/>
    <w:rsid w:val="00B63555"/>
    <w:rsid w:val="00BC34CC"/>
    <w:rsid w:val="00BE7B4C"/>
    <w:rsid w:val="00C133E7"/>
    <w:rsid w:val="00C20FA8"/>
    <w:rsid w:val="00CF5715"/>
    <w:rsid w:val="00D06530"/>
    <w:rsid w:val="00D31D13"/>
    <w:rsid w:val="00D37FC1"/>
    <w:rsid w:val="00D428B5"/>
    <w:rsid w:val="00D44301"/>
    <w:rsid w:val="00D466FC"/>
    <w:rsid w:val="00D70D6D"/>
    <w:rsid w:val="00D9262D"/>
    <w:rsid w:val="00DB156A"/>
    <w:rsid w:val="00DB7592"/>
    <w:rsid w:val="00DC2BB5"/>
    <w:rsid w:val="00DF0B65"/>
    <w:rsid w:val="00DF6E07"/>
    <w:rsid w:val="00E00E3E"/>
    <w:rsid w:val="00E03962"/>
    <w:rsid w:val="00E067A8"/>
    <w:rsid w:val="00E37E90"/>
    <w:rsid w:val="00E81E13"/>
    <w:rsid w:val="00EA57B9"/>
    <w:rsid w:val="00ED0E10"/>
    <w:rsid w:val="00F1133F"/>
    <w:rsid w:val="00F5431A"/>
    <w:rsid w:val="00F817F4"/>
    <w:rsid w:val="00F841D1"/>
    <w:rsid w:val="00F9233C"/>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naldi@poltekkes-tanjungpinang.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000000" w:rsidRDefault="00287697" w:rsidP="00287697">
          <w:pPr>
            <w:pStyle w:val="98CABDCE1CAC4D7FA0A11B2A1C225D39"/>
          </w:pPr>
          <w:r>
            <w:rPr>
              <w:b/>
              <w:bCs/>
              <w:color w:val="1F497D" w:themeColor="text2"/>
              <w:sz w:val="28"/>
              <w:szCs w:val="28"/>
            </w:rPr>
            <w:t>[Type the document title]</w:t>
          </w:r>
        </w:p>
      </w:docPartBody>
    </w:docPart>
    <w:docPart>
      <w:docPartPr>
        <w:name w:val="717D3EDEB2AF4927AB08A5D0443D7E00"/>
        <w:category>
          <w:name w:val="General"/>
          <w:gallery w:val="placeholder"/>
        </w:category>
        <w:types>
          <w:type w:val="bbPlcHdr"/>
        </w:types>
        <w:behaviors>
          <w:behavior w:val="content"/>
        </w:behaviors>
        <w:guid w:val="{E2D86162-5F76-4747-8DDC-7DA45AAC4D45}"/>
      </w:docPartPr>
      <w:docPartBody>
        <w:p w:rsidR="00000000" w:rsidRDefault="00287697" w:rsidP="00287697">
          <w:pPr>
            <w:pStyle w:val="717D3EDEB2AF4927AB08A5D0443D7E00"/>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6D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B3667-0383-4819-8013-49691E48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7471</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64-69		                                                                                                        ISSN 2715-1115 (Online), ISSN 2302 – 8610 (Print)</dc:title>
  <dc:creator>Rinaldi Daswito and rinaldi@poltekkes-tanjungpinang.ac.id</dc:creator>
  <cp:lastModifiedBy>HP</cp:lastModifiedBy>
  <cp:revision>2</cp:revision>
  <dcterms:created xsi:type="dcterms:W3CDTF">2022-12-01T03:28:00Z</dcterms:created>
  <dcterms:modified xsi:type="dcterms:W3CDTF">2022-12-01T03:28:00Z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