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CD13" w14:textId="0568E714" w:rsidR="0081084F" w:rsidRPr="00FD4938" w:rsidRDefault="00370710">
      <w:pPr>
        <w:spacing w:after="0" w:line="240" w:lineRule="auto"/>
        <w:jc w:val="center"/>
        <w:rPr>
          <w:rFonts w:ascii="Tw Cen MT" w:eastAsia="Twentieth Century" w:hAnsi="Tw Cen MT" w:cs="Twentieth Century"/>
          <w:b/>
          <w:sz w:val="32"/>
          <w:szCs w:val="32"/>
        </w:rPr>
      </w:pPr>
      <w:r w:rsidRPr="00FD4938">
        <w:rPr>
          <w:rFonts w:ascii="Tw Cen MT" w:eastAsia="Twentieth Century" w:hAnsi="Tw Cen MT" w:cs="Twentieth Century"/>
          <w:b/>
          <w:sz w:val="32"/>
          <w:szCs w:val="32"/>
        </w:rPr>
        <w:t xml:space="preserve">Collaborating the Role of Stakeholders in Waste Management </w:t>
      </w:r>
    </w:p>
    <w:p w14:paraId="013E7109" w14:textId="24758D09" w:rsidR="0081084F" w:rsidRPr="00FD4938" w:rsidRDefault="0081084F" w:rsidP="003A1401">
      <w:pPr>
        <w:widowControl w:val="0"/>
        <w:spacing w:after="0" w:line="218" w:lineRule="auto"/>
        <w:ind w:right="-20"/>
        <w:rPr>
          <w:rFonts w:ascii="Tw Cen MT" w:eastAsia="Twentieth Century" w:hAnsi="Tw Cen MT" w:cs="Twentieth Century"/>
          <w:b/>
          <w:sz w:val="32"/>
          <w:szCs w:val="32"/>
        </w:rPr>
      </w:pPr>
      <w:bookmarkStart w:id="0" w:name="_heading=h.2zvyxk7t70gr" w:colFirst="0" w:colLast="0"/>
      <w:bookmarkEnd w:id="0"/>
    </w:p>
    <w:p w14:paraId="5383049D" w14:textId="46E1FAB5" w:rsidR="0081084F" w:rsidRPr="00FD4938" w:rsidRDefault="00370710">
      <w:pPr>
        <w:widowControl w:val="0"/>
        <w:spacing w:after="0" w:line="218" w:lineRule="auto"/>
        <w:ind w:left="7" w:right="-20"/>
        <w:jc w:val="center"/>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Zainul</w:t>
      </w:r>
      <w:proofErr w:type="spellEnd"/>
      <w:r w:rsidRPr="00FD4938">
        <w:rPr>
          <w:rFonts w:ascii="Tw Cen MT" w:eastAsia="Twentieth Century" w:hAnsi="Tw Cen MT" w:cs="Twentieth Century"/>
          <w:sz w:val="24"/>
          <w:szCs w:val="24"/>
        </w:rPr>
        <w:t xml:space="preserve"> Ikhwan</w:t>
      </w:r>
      <w:r w:rsidR="00F75E18" w:rsidRPr="00F75E18">
        <w:rPr>
          <w:rFonts w:ascii="Tw Cen MT" w:eastAsia="Twentieth Century" w:hAnsi="Tw Cen MT" w:cs="Twentieth Century"/>
          <w:sz w:val="24"/>
          <w:szCs w:val="24"/>
          <w:vertAlign w:val="superscript"/>
        </w:rPr>
        <w:t>1</w:t>
      </w:r>
    </w:p>
    <w:p w14:paraId="6454EA87" w14:textId="5189B397" w:rsidR="00930079" w:rsidRDefault="00F75E18">
      <w:pPr>
        <w:widowControl w:val="0"/>
        <w:spacing w:after="0" w:line="218" w:lineRule="auto"/>
        <w:ind w:left="7" w:right="-20"/>
        <w:jc w:val="center"/>
        <w:rPr>
          <w:rFonts w:ascii="Tw Cen MT" w:eastAsia="Twentieth Century" w:hAnsi="Tw Cen MT" w:cs="Twentieth Century"/>
          <w:sz w:val="20"/>
          <w:szCs w:val="20"/>
        </w:rPr>
      </w:pPr>
      <w:r w:rsidRPr="00F75E18">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En</w:t>
      </w:r>
      <w:r w:rsidR="00370710" w:rsidRPr="00FD4938">
        <w:rPr>
          <w:rFonts w:ascii="Tw Cen MT" w:eastAsia="Twentieth Century" w:hAnsi="Tw Cen MT" w:cs="Twentieth Century"/>
          <w:sz w:val="20"/>
          <w:szCs w:val="20"/>
        </w:rPr>
        <w:t xml:space="preserve">vironmental Health Study Program, Health Polytechnic of </w:t>
      </w:r>
      <w:proofErr w:type="spellStart"/>
      <w:r w:rsidR="00370710" w:rsidRPr="00FD4938">
        <w:rPr>
          <w:rFonts w:ascii="Tw Cen MT" w:eastAsia="Twentieth Century" w:hAnsi="Tw Cen MT" w:cs="Twentieth Century"/>
          <w:sz w:val="20"/>
          <w:szCs w:val="20"/>
        </w:rPr>
        <w:t>Tanjungpinang</w:t>
      </w:r>
      <w:proofErr w:type="spellEnd"/>
      <w:r w:rsidR="00370710" w:rsidRPr="00FD4938">
        <w:rPr>
          <w:rFonts w:ascii="Tw Cen MT" w:eastAsia="Twentieth Century" w:hAnsi="Tw Cen MT" w:cs="Twentieth Century"/>
          <w:sz w:val="20"/>
          <w:szCs w:val="20"/>
        </w:rPr>
        <w:t xml:space="preserve">, </w:t>
      </w:r>
      <w:proofErr w:type="spellStart"/>
      <w:r w:rsidR="00370710" w:rsidRPr="00FD4938">
        <w:rPr>
          <w:rFonts w:ascii="Tw Cen MT" w:eastAsia="Twentieth Century" w:hAnsi="Tw Cen MT" w:cs="Twentieth Century"/>
          <w:sz w:val="20"/>
          <w:szCs w:val="20"/>
        </w:rPr>
        <w:t>Tanjungpinang</w:t>
      </w:r>
      <w:proofErr w:type="spellEnd"/>
      <w:r w:rsidR="00370710" w:rsidRPr="00FD4938">
        <w:rPr>
          <w:rFonts w:ascii="Tw Cen MT" w:eastAsia="Twentieth Century" w:hAnsi="Tw Cen MT" w:cs="Twentieth Century"/>
          <w:sz w:val="20"/>
          <w:szCs w:val="20"/>
        </w:rPr>
        <w:t>, Indonesia</w:t>
      </w:r>
    </w:p>
    <w:p w14:paraId="05F08BB0" w14:textId="7365D7F8" w:rsidR="00F75E18" w:rsidRDefault="00AB4019" w:rsidP="00F75E18">
      <w:pPr>
        <w:widowControl w:val="0"/>
        <w:spacing w:after="120" w:line="218" w:lineRule="auto"/>
        <w:ind w:left="6" w:right="-23"/>
        <w:jc w:val="center"/>
        <w:rPr>
          <w:rStyle w:val="Hyperlink"/>
          <w:rFonts w:ascii="Tw Cen MT" w:eastAsia="Twentieth Century" w:hAnsi="Tw Cen MT" w:cs="Twentieth Century"/>
          <w:color w:val="000000" w:themeColor="text1"/>
          <w:sz w:val="20"/>
          <w:szCs w:val="20"/>
          <w:u w:val="none"/>
        </w:rPr>
      </w:pPr>
      <w:r w:rsidRPr="00FD4938">
        <w:rPr>
          <w:rFonts w:ascii="Tw Cen MT" w:hAnsi="Tw Cen MT"/>
          <w:noProof/>
        </w:rPr>
        <mc:AlternateContent>
          <mc:Choice Requires="wps">
            <w:drawing>
              <wp:anchor distT="0" distB="0" distL="114300" distR="114300" simplePos="0" relativeHeight="251659264" behindDoc="0" locked="0" layoutInCell="1" hidden="0" allowOverlap="1" wp14:anchorId="5E7F20C7" wp14:editId="0ED7C7AC">
                <wp:simplePos x="0" y="0"/>
                <wp:positionH relativeFrom="column">
                  <wp:posOffset>12700</wp:posOffset>
                </wp:positionH>
                <wp:positionV relativeFrom="paragraph">
                  <wp:posOffset>127000</wp:posOffset>
                </wp:positionV>
                <wp:extent cx="1943100" cy="1333500"/>
                <wp:effectExtent l="0" t="0" r="0" b="0"/>
                <wp:wrapNone/>
                <wp:docPr id="66" name="Rectangle 66"/>
                <wp:cNvGraphicFramePr/>
                <a:graphic xmlns:a="http://schemas.openxmlformats.org/drawingml/2006/main">
                  <a:graphicData uri="http://schemas.microsoft.com/office/word/2010/wordprocessingShape">
                    <wps:wsp>
                      <wps:cNvSpPr/>
                      <wps:spPr>
                        <a:xfrm>
                          <a:off x="0" y="0"/>
                          <a:ext cx="1943100" cy="1333500"/>
                        </a:xfrm>
                        <a:prstGeom prst="rect">
                          <a:avLst/>
                        </a:prstGeom>
                        <a:solidFill>
                          <a:schemeClr val="lt1"/>
                        </a:solidFill>
                        <a:ln>
                          <a:noFill/>
                        </a:ln>
                      </wps:spPr>
                      <wps:txbx>
                        <w:txbxContent>
                          <w:p w14:paraId="53C7F368" w14:textId="77777777" w:rsidR="0081084F" w:rsidRPr="00174DAB" w:rsidRDefault="004162E8" w:rsidP="00FD4938">
                            <w:pPr>
                              <w:spacing w:after="0"/>
                              <w:ind w:left="85" w:hanging="170"/>
                              <w:textDirection w:val="btLr"/>
                              <w:rPr>
                                <w:rFonts w:ascii="Tw Cen MT" w:hAnsi="Tw Cen MT"/>
                              </w:rPr>
                            </w:pPr>
                            <w:r w:rsidRPr="00174DAB">
                              <w:rPr>
                                <w:rFonts w:ascii="Tw Cen MT" w:eastAsia="Twentieth Century" w:hAnsi="Tw Cen MT" w:cs="Twentieth Century"/>
                                <w:b/>
                                <w:color w:val="000000"/>
                                <w:sz w:val="20"/>
                              </w:rPr>
                              <w:t xml:space="preserve">Article Info </w:t>
                            </w:r>
                          </w:p>
                          <w:p w14:paraId="38D1B712" w14:textId="77777777" w:rsidR="0081084F" w:rsidRPr="00174DAB" w:rsidRDefault="0081084F" w:rsidP="00FD4938">
                            <w:pPr>
                              <w:spacing w:after="0"/>
                              <w:ind w:left="85" w:hanging="170"/>
                              <w:textDirection w:val="btLr"/>
                              <w:rPr>
                                <w:rFonts w:ascii="Tw Cen MT" w:hAnsi="Tw Cen MT"/>
                              </w:rPr>
                            </w:pPr>
                          </w:p>
                          <w:p w14:paraId="606902A8" w14:textId="77777777" w:rsidR="0081084F" w:rsidRPr="00174DAB" w:rsidRDefault="004162E8" w:rsidP="00FD4938">
                            <w:pPr>
                              <w:spacing w:after="0"/>
                              <w:ind w:left="85" w:hanging="170"/>
                              <w:textDirection w:val="btLr"/>
                              <w:rPr>
                                <w:rFonts w:ascii="Tw Cen MT" w:hAnsi="Tw Cen MT"/>
                              </w:rPr>
                            </w:pPr>
                            <w:r w:rsidRPr="00174DAB">
                              <w:rPr>
                                <w:rFonts w:ascii="Tw Cen MT" w:eastAsia="Twentieth Century" w:hAnsi="Tw Cen MT" w:cs="Twentieth Century"/>
                                <w:b/>
                                <w:i/>
                                <w:color w:val="000000"/>
                                <w:sz w:val="20"/>
                              </w:rPr>
                              <w:t>Article history</w:t>
                            </w:r>
                          </w:p>
                          <w:p w14:paraId="3797CE0F" w14:textId="50A5F6F8" w:rsidR="0081084F" w:rsidRPr="00174DAB" w:rsidRDefault="004162E8" w:rsidP="00FD4938">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Received date: </w:t>
                            </w:r>
                            <w:r w:rsidR="00033605" w:rsidRPr="00033605">
                              <w:rPr>
                                <w:rFonts w:ascii="Tw Cen MT" w:eastAsia="Twentieth Century" w:hAnsi="Tw Cen MT" w:cs="Twentieth Century"/>
                                <w:color w:val="000000"/>
                                <w:sz w:val="20"/>
                              </w:rPr>
                              <w:t>2022-06-13</w:t>
                            </w:r>
                          </w:p>
                          <w:p w14:paraId="55C8E5EC" w14:textId="472C7BF6" w:rsidR="0081084F" w:rsidRPr="00174DAB" w:rsidRDefault="004162E8" w:rsidP="00FD4938">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Revised date: </w:t>
                            </w:r>
                            <w:r w:rsidR="00033605" w:rsidRPr="00033605">
                              <w:rPr>
                                <w:rFonts w:ascii="Tw Cen MT" w:eastAsia="Twentieth Century" w:hAnsi="Tw Cen MT" w:cs="Twentieth Century"/>
                                <w:color w:val="000000"/>
                                <w:sz w:val="20"/>
                              </w:rPr>
                              <w:t>2022-10-27</w:t>
                            </w:r>
                          </w:p>
                          <w:p w14:paraId="13C68EB4" w14:textId="39E5B344" w:rsidR="0081084F" w:rsidRPr="00AB4019" w:rsidRDefault="004162E8" w:rsidP="00AB4019">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Accepted date: </w:t>
                            </w:r>
                            <w:r w:rsidR="00033605" w:rsidRPr="00033605">
                              <w:rPr>
                                <w:rFonts w:ascii="Tw Cen MT" w:eastAsia="Twentieth Century" w:hAnsi="Tw Cen MT" w:cs="Twentieth Century"/>
                                <w:color w:val="000000"/>
                                <w:sz w:val="20"/>
                              </w:rPr>
                              <w:t>2022-11-10</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7F20C7" id="Rectangle 66" o:spid="_x0000_s1026" style="position:absolute;left:0;text-align:left;margin-left:1pt;margin-top:10pt;width:153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" fillcolor="white [3201]" stroked="f">
                <v:textbox inset="2.53958mm,1.2694mm,2.53958mm,1.2694mm">
                  <w:txbxContent>
                    <w:p w14:paraId="53C7F368" w14:textId="77777777" w:rsidR="0081084F" w:rsidRPr="00174DAB" w:rsidRDefault="004162E8" w:rsidP="00FD4938">
                      <w:pPr>
                        <w:spacing w:after="0"/>
                        <w:ind w:left="85" w:hanging="170"/>
                        <w:textDirection w:val="btLr"/>
                        <w:rPr>
                          <w:rFonts w:ascii="Tw Cen MT" w:hAnsi="Tw Cen MT"/>
                        </w:rPr>
                      </w:pPr>
                      <w:r w:rsidRPr="00174DAB">
                        <w:rPr>
                          <w:rFonts w:ascii="Tw Cen MT" w:eastAsia="Twentieth Century" w:hAnsi="Tw Cen MT" w:cs="Twentieth Century"/>
                          <w:b/>
                          <w:color w:val="000000"/>
                          <w:sz w:val="20"/>
                        </w:rPr>
                        <w:t xml:space="preserve">Article Info </w:t>
                      </w:r>
                    </w:p>
                    <w:p w14:paraId="38D1B712" w14:textId="77777777" w:rsidR="0081084F" w:rsidRPr="00174DAB" w:rsidRDefault="0081084F" w:rsidP="00FD4938">
                      <w:pPr>
                        <w:spacing w:after="0"/>
                        <w:ind w:left="85" w:hanging="170"/>
                        <w:textDirection w:val="btLr"/>
                        <w:rPr>
                          <w:rFonts w:ascii="Tw Cen MT" w:hAnsi="Tw Cen MT"/>
                        </w:rPr>
                      </w:pPr>
                    </w:p>
                    <w:p w14:paraId="606902A8" w14:textId="77777777" w:rsidR="0081084F" w:rsidRPr="00174DAB" w:rsidRDefault="004162E8" w:rsidP="00FD4938">
                      <w:pPr>
                        <w:spacing w:after="0"/>
                        <w:ind w:left="85" w:hanging="170"/>
                        <w:textDirection w:val="btLr"/>
                        <w:rPr>
                          <w:rFonts w:ascii="Tw Cen MT" w:hAnsi="Tw Cen MT"/>
                        </w:rPr>
                      </w:pPr>
                      <w:r w:rsidRPr="00174DAB">
                        <w:rPr>
                          <w:rFonts w:ascii="Tw Cen MT" w:eastAsia="Twentieth Century" w:hAnsi="Tw Cen MT" w:cs="Twentieth Century"/>
                          <w:b/>
                          <w:i/>
                          <w:color w:val="000000"/>
                          <w:sz w:val="20"/>
                        </w:rPr>
                        <w:t>Article history</w:t>
                      </w:r>
                    </w:p>
                    <w:p w14:paraId="3797CE0F" w14:textId="50A5F6F8" w:rsidR="0081084F" w:rsidRPr="00174DAB" w:rsidRDefault="004162E8" w:rsidP="00FD4938">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Received date: </w:t>
                      </w:r>
                      <w:r w:rsidR="00033605" w:rsidRPr="00033605">
                        <w:rPr>
                          <w:rFonts w:ascii="Tw Cen MT" w:eastAsia="Twentieth Century" w:hAnsi="Tw Cen MT" w:cs="Twentieth Century"/>
                          <w:color w:val="000000"/>
                          <w:sz w:val="20"/>
                        </w:rPr>
                        <w:t>2022-06-13</w:t>
                      </w:r>
                    </w:p>
                    <w:p w14:paraId="55C8E5EC" w14:textId="472C7BF6" w:rsidR="0081084F" w:rsidRPr="00174DAB" w:rsidRDefault="004162E8" w:rsidP="00FD4938">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Revised date: </w:t>
                      </w:r>
                      <w:r w:rsidR="00033605" w:rsidRPr="00033605">
                        <w:rPr>
                          <w:rFonts w:ascii="Tw Cen MT" w:eastAsia="Twentieth Century" w:hAnsi="Tw Cen MT" w:cs="Twentieth Century"/>
                          <w:color w:val="000000"/>
                          <w:sz w:val="20"/>
                        </w:rPr>
                        <w:t>2022-10-27</w:t>
                      </w:r>
                    </w:p>
                    <w:p w14:paraId="13C68EB4" w14:textId="39E5B344" w:rsidR="0081084F" w:rsidRPr="00AB4019" w:rsidRDefault="004162E8" w:rsidP="00AB4019">
                      <w:pPr>
                        <w:spacing w:after="0" w:line="240" w:lineRule="auto"/>
                        <w:ind w:left="45" w:right="-55" w:hanging="125"/>
                        <w:textDirection w:val="btLr"/>
                        <w:rPr>
                          <w:rFonts w:ascii="Tw Cen MT" w:hAnsi="Tw Cen MT"/>
                        </w:rPr>
                      </w:pPr>
                      <w:r w:rsidRPr="00174DAB">
                        <w:rPr>
                          <w:rFonts w:ascii="Tw Cen MT" w:eastAsia="Twentieth Century" w:hAnsi="Tw Cen MT" w:cs="Twentieth Century"/>
                          <w:color w:val="000000"/>
                          <w:sz w:val="20"/>
                        </w:rPr>
                        <w:t xml:space="preserve">Accepted date: </w:t>
                      </w:r>
                      <w:r w:rsidR="00033605" w:rsidRPr="00033605">
                        <w:rPr>
                          <w:rFonts w:ascii="Tw Cen MT" w:eastAsia="Twentieth Century" w:hAnsi="Tw Cen MT" w:cs="Twentieth Century"/>
                          <w:color w:val="000000"/>
                          <w:sz w:val="20"/>
                        </w:rPr>
                        <w:t>2022-11-10</w:t>
                      </w:r>
                    </w:p>
                  </w:txbxContent>
                </v:textbox>
              </v:rect>
            </w:pict>
          </mc:Fallback>
        </mc:AlternateContent>
      </w:r>
      <w:r w:rsidR="00370710" w:rsidRPr="00FD4938">
        <w:rPr>
          <w:rFonts w:ascii="Tw Cen MT" w:eastAsia="Twentieth Century" w:hAnsi="Tw Cen MT" w:cs="Twentieth Century"/>
          <w:sz w:val="20"/>
          <w:szCs w:val="20"/>
        </w:rPr>
        <w:t>e-mail</w:t>
      </w:r>
      <w:r w:rsidR="00F75E18">
        <w:rPr>
          <w:rFonts w:ascii="Tw Cen MT" w:eastAsia="Twentieth Century" w:hAnsi="Tw Cen MT" w:cs="Twentieth Century"/>
          <w:sz w:val="20"/>
          <w:szCs w:val="20"/>
        </w:rPr>
        <w:t>:</w:t>
      </w:r>
      <w:r w:rsidR="00370710" w:rsidRPr="00FD4938">
        <w:rPr>
          <w:rFonts w:ascii="Tw Cen MT" w:eastAsia="Twentieth Century" w:hAnsi="Tw Cen MT" w:cs="Twentieth Century"/>
          <w:sz w:val="20"/>
          <w:szCs w:val="20"/>
        </w:rPr>
        <w:t xml:space="preserve"> </w:t>
      </w:r>
      <w:hyperlink r:id="rId8" w:history="1">
        <w:r w:rsidR="00370710" w:rsidRPr="00F75E18">
          <w:rPr>
            <w:rStyle w:val="Hyperlink"/>
            <w:rFonts w:ascii="Tw Cen MT" w:eastAsia="Twentieth Century" w:hAnsi="Tw Cen MT" w:cs="Twentieth Century"/>
            <w:color w:val="000000" w:themeColor="text1"/>
            <w:sz w:val="20"/>
            <w:szCs w:val="20"/>
            <w:u w:val="none"/>
          </w:rPr>
          <w:t>zainul.ikhwan@gmail.com</w:t>
        </w:r>
      </w:hyperlink>
    </w:p>
    <w:p w14:paraId="2B6B4A63" w14:textId="601727FC" w:rsidR="0081084F" w:rsidRPr="00F75E18" w:rsidRDefault="00F75E18" w:rsidP="00F75E18">
      <w:pPr>
        <w:widowControl w:val="0"/>
        <w:spacing w:after="0" w:line="218" w:lineRule="auto"/>
        <w:ind w:left="7" w:right="-20"/>
        <w:jc w:val="center"/>
        <w:rPr>
          <w:rFonts w:ascii="Tw Cen MT" w:eastAsia="Twentieth Century" w:hAnsi="Tw Cen MT" w:cs="Twentieth Century"/>
          <w:color w:val="000000" w:themeColor="text1"/>
          <w:sz w:val="20"/>
          <w:szCs w:val="20"/>
        </w:rPr>
      </w:pPr>
      <w:r>
        <w:rPr>
          <w:rFonts w:ascii="Tw Cen MT" w:hAnsi="Tw Cen MT" w:cstheme="majorBidi"/>
          <w:bCs/>
          <w:iCs/>
          <w:noProof/>
          <w:color w:val="000000"/>
          <w:sz w:val="20"/>
          <w:szCs w:val="20"/>
        </w:rPr>
        <mc:AlternateContent>
          <mc:Choice Requires="wps">
            <w:drawing>
              <wp:anchor distT="0" distB="0" distL="114300" distR="114300" simplePos="0" relativeHeight="251662336" behindDoc="0" locked="0" layoutInCell="1" allowOverlap="1" wp14:anchorId="38273A81" wp14:editId="53FC2E1F">
                <wp:simplePos x="0" y="0"/>
                <wp:positionH relativeFrom="column">
                  <wp:posOffset>0</wp:posOffset>
                </wp:positionH>
                <wp:positionV relativeFrom="paragraph">
                  <wp:posOffset>18415</wp:posOffset>
                </wp:positionV>
                <wp:extent cx="5868063" cy="7951"/>
                <wp:effectExtent l="19050" t="19050" r="37465" b="30480"/>
                <wp:wrapNone/>
                <wp:docPr id="3" name="Straight Connector 3"/>
                <wp:cNvGraphicFramePr/>
                <a:graphic xmlns:a="http://schemas.openxmlformats.org/drawingml/2006/main">
                  <a:graphicData uri="http://schemas.microsoft.com/office/word/2010/wordprocessingShape">
                    <wps:wsp>
                      <wps:cNvCnPr/>
                      <wps:spPr>
                        <a:xfrm>
                          <a:off x="0" y="0"/>
                          <a:ext cx="5868063" cy="795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A8D9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45pt" to="46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" strokecolor="black [3040]" strokeweight="2.25pt"/>
            </w:pict>
          </mc:Fallback>
        </mc:AlternateContent>
      </w:r>
    </w:p>
    <w:p w14:paraId="3B83F7C0" w14:textId="77777777" w:rsidR="00AB4019" w:rsidRDefault="00AB4019">
      <w:pPr>
        <w:spacing w:after="0"/>
        <w:ind w:left="2399" w:firstLine="719"/>
        <w:rPr>
          <w:rFonts w:ascii="Tw Cen MT" w:eastAsia="Twentieth Century" w:hAnsi="Tw Cen MT" w:cs="Twentieth Century"/>
          <w:b/>
          <w:i/>
          <w:sz w:val="20"/>
          <w:szCs w:val="20"/>
        </w:rPr>
        <w:sectPr w:rsidR="00AB4019" w:rsidSect="00A95D38">
          <w:headerReference w:type="default" r:id="rId9"/>
          <w:footerReference w:type="default" r:id="rId10"/>
          <w:pgSz w:w="12240" w:h="15840"/>
          <w:pgMar w:top="1440" w:right="1440" w:bottom="1440" w:left="1440" w:header="720" w:footer="720" w:gutter="0"/>
          <w:pgNumType w:start="70"/>
          <w:cols w:space="720"/>
        </w:sectPr>
      </w:pPr>
    </w:p>
    <w:p w14:paraId="4E11878A" w14:textId="69548981" w:rsidR="0081084F" w:rsidRPr="00FD4938" w:rsidRDefault="004162E8">
      <w:pPr>
        <w:spacing w:after="0"/>
        <w:ind w:left="2399" w:firstLine="719"/>
        <w:rPr>
          <w:rFonts w:ascii="Tw Cen MT" w:eastAsia="Twentieth Century" w:hAnsi="Tw Cen MT" w:cs="Twentieth Century"/>
        </w:rPr>
      </w:pPr>
      <w:r w:rsidRPr="00FD4938">
        <w:rPr>
          <w:rFonts w:ascii="Tw Cen MT" w:eastAsia="Twentieth Century" w:hAnsi="Tw Cen MT" w:cs="Twentieth Century"/>
          <w:b/>
          <w:i/>
          <w:sz w:val="20"/>
          <w:szCs w:val="20"/>
        </w:rPr>
        <w:t>Abstract</w:t>
      </w:r>
    </w:p>
    <w:p w14:paraId="5D887968" w14:textId="48A5C42C" w:rsidR="00853072" w:rsidRPr="00853072" w:rsidRDefault="00AB4019" w:rsidP="00853072">
      <w:pPr>
        <w:spacing w:after="0" w:line="240" w:lineRule="auto"/>
        <w:ind w:left="3150"/>
        <w:jc w:val="both"/>
        <w:rPr>
          <w:rFonts w:ascii="Tw Cen MT" w:eastAsia="Twentieth Century" w:hAnsi="Tw Cen MT" w:cs="Twentieth Century"/>
          <w:i/>
          <w:sz w:val="20"/>
          <w:szCs w:val="20"/>
          <w:lang w:val="en-ID"/>
        </w:rPr>
      </w:pPr>
      <w:r>
        <w:rPr>
          <w:rFonts w:ascii="Tw Cen MT" w:hAnsi="Tw Cen MT"/>
          <w:i/>
          <w:noProof/>
          <w:sz w:val="20"/>
          <w:szCs w:val="20"/>
        </w:rPr>
        <w:drawing>
          <wp:anchor distT="0" distB="0" distL="114300" distR="114300" simplePos="0" relativeHeight="251664384" behindDoc="0" locked="0" layoutInCell="1" allowOverlap="1" wp14:anchorId="1FC30304" wp14:editId="3183FA45">
            <wp:simplePos x="0" y="0"/>
            <wp:positionH relativeFrom="column">
              <wp:posOffset>69850</wp:posOffset>
            </wp:positionH>
            <wp:positionV relativeFrom="paragraph">
              <wp:posOffset>964565</wp:posOffset>
            </wp:positionV>
            <wp:extent cx="846579" cy="298450"/>
            <wp:effectExtent l="0" t="0" r="0" b="635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6579" cy="298450"/>
                    </a:xfrm>
                    <a:prstGeom prst="rect">
                      <a:avLst/>
                    </a:prstGeom>
                  </pic:spPr>
                </pic:pic>
              </a:graphicData>
            </a:graphic>
            <wp14:sizeRelH relativeFrom="page">
              <wp14:pctWidth>0</wp14:pctWidth>
            </wp14:sizeRelH>
            <wp14:sizeRelV relativeFrom="page">
              <wp14:pctHeight>0</wp14:pctHeight>
            </wp14:sizeRelV>
          </wp:anchor>
        </w:drawing>
      </w:r>
      <w:r w:rsidR="00853072" w:rsidRPr="00853072">
        <w:rPr>
          <w:rFonts w:ascii="Tw Cen MT" w:eastAsia="Twentieth Century" w:hAnsi="Tw Cen MT" w:cs="Twentieth Century"/>
          <w:i/>
          <w:iCs/>
          <w:sz w:val="20"/>
          <w:szCs w:val="20"/>
          <w:lang w:val="en-ID"/>
        </w:rPr>
        <w:t xml:space="preserve">The main problem of waste management on small islands is that the amount of waste often exceeds the capacity that the island can handle, due to the limited availability of land, volume of land, budget, and human resources. Unmanaged waste generation has ecological impacts such as environmental pollution, and loss of natural resources; economic impacts such as decreased productivity; social impacts such as the emergence of conflict, and health impacts such as increasing the number of environmental-based diseases in the community and the wider environment. The stakeholder role collaboration strategy is needed. This study aims to formulate a collaborative strategy for the role of stakeholders in the proper management of </w:t>
      </w:r>
      <w:proofErr w:type="spellStart"/>
      <w:r w:rsidR="00853072" w:rsidRPr="00853072">
        <w:rPr>
          <w:rFonts w:ascii="Tw Cen MT" w:eastAsia="Twentieth Century" w:hAnsi="Tw Cen MT" w:cs="Twentieth Century"/>
          <w:i/>
          <w:iCs/>
          <w:sz w:val="20"/>
          <w:szCs w:val="20"/>
          <w:lang w:val="en-ID"/>
        </w:rPr>
        <w:t>Penyengat</w:t>
      </w:r>
      <w:proofErr w:type="spellEnd"/>
      <w:r w:rsidR="00853072" w:rsidRPr="00853072">
        <w:rPr>
          <w:rFonts w:ascii="Tw Cen MT" w:eastAsia="Twentieth Century" w:hAnsi="Tw Cen MT" w:cs="Twentieth Century"/>
          <w:i/>
          <w:iCs/>
          <w:sz w:val="20"/>
          <w:szCs w:val="20"/>
          <w:lang w:val="en-ID"/>
        </w:rPr>
        <w:t xml:space="preserve"> Island, </w:t>
      </w:r>
      <w:proofErr w:type="spellStart"/>
      <w:r w:rsidR="00853072" w:rsidRPr="00853072">
        <w:rPr>
          <w:rFonts w:ascii="Tw Cen MT" w:eastAsia="Twentieth Century" w:hAnsi="Tw Cen MT" w:cs="Twentieth Century"/>
          <w:i/>
          <w:iCs/>
          <w:sz w:val="20"/>
          <w:szCs w:val="20"/>
          <w:lang w:val="en-ID"/>
        </w:rPr>
        <w:t>Tanjungpinang</w:t>
      </w:r>
      <w:proofErr w:type="spellEnd"/>
      <w:r w:rsidR="00853072" w:rsidRPr="00853072">
        <w:rPr>
          <w:rFonts w:ascii="Tw Cen MT" w:eastAsia="Twentieth Century" w:hAnsi="Tw Cen MT" w:cs="Twentieth Century"/>
          <w:i/>
          <w:iCs/>
          <w:sz w:val="20"/>
          <w:szCs w:val="20"/>
          <w:lang w:val="en-ID"/>
        </w:rPr>
        <w:t xml:space="preserve"> City. This research method is qualitative. Waste management on the island of </w:t>
      </w:r>
      <w:proofErr w:type="spellStart"/>
      <w:r w:rsidR="00853072" w:rsidRPr="00853072">
        <w:rPr>
          <w:rFonts w:ascii="Tw Cen MT" w:eastAsia="Twentieth Century" w:hAnsi="Tw Cen MT" w:cs="Twentieth Century"/>
          <w:i/>
          <w:iCs/>
          <w:sz w:val="20"/>
          <w:szCs w:val="20"/>
          <w:lang w:val="en-ID"/>
        </w:rPr>
        <w:t>Penyengat</w:t>
      </w:r>
      <w:proofErr w:type="spellEnd"/>
      <w:r w:rsidR="00853072" w:rsidRPr="00853072">
        <w:rPr>
          <w:rFonts w:ascii="Tw Cen MT" w:eastAsia="Twentieth Century" w:hAnsi="Tw Cen MT" w:cs="Twentieth Century"/>
          <w:i/>
          <w:iCs/>
          <w:sz w:val="20"/>
          <w:szCs w:val="20"/>
          <w:lang w:val="en-ID"/>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w:t>
      </w:r>
    </w:p>
    <w:p w14:paraId="65487298" w14:textId="23FA2204" w:rsidR="00370710" w:rsidRPr="00853072" w:rsidRDefault="00370710" w:rsidP="00853072">
      <w:pPr>
        <w:spacing w:after="0" w:line="240" w:lineRule="auto"/>
        <w:ind w:left="3150"/>
        <w:jc w:val="both"/>
        <w:rPr>
          <w:rFonts w:ascii="Tw Cen MT" w:eastAsia="Twentieth Century" w:hAnsi="Tw Cen MT" w:cs="Twentieth Century"/>
          <w:i/>
          <w:sz w:val="20"/>
          <w:szCs w:val="20"/>
        </w:rPr>
      </w:pPr>
    </w:p>
    <w:p w14:paraId="276118D9" w14:textId="77777777" w:rsidR="0081084F" w:rsidRPr="00FD4938" w:rsidRDefault="004162E8">
      <w:pPr>
        <w:widowControl w:val="0"/>
        <w:spacing w:after="0" w:line="228" w:lineRule="auto"/>
        <w:ind w:left="3150" w:right="-19"/>
        <w:jc w:val="both"/>
        <w:rPr>
          <w:rFonts w:ascii="Tw Cen MT" w:eastAsia="Twentieth Century" w:hAnsi="Tw Cen MT" w:cs="Twentieth Century"/>
          <w:b/>
          <w:i/>
          <w:sz w:val="20"/>
          <w:szCs w:val="20"/>
        </w:rPr>
      </w:pPr>
      <w:r w:rsidRPr="00FD4938">
        <w:rPr>
          <w:rFonts w:ascii="Tw Cen MT" w:eastAsia="Twentieth Century" w:hAnsi="Tw Cen MT" w:cs="Twentieth Century"/>
          <w:b/>
          <w:i/>
          <w:sz w:val="20"/>
          <w:szCs w:val="20"/>
        </w:rPr>
        <w:t>Keywords:</w:t>
      </w:r>
    </w:p>
    <w:p w14:paraId="50C4551E" w14:textId="06BC5B5D" w:rsidR="00AB4019" w:rsidRDefault="00370710">
      <w:pPr>
        <w:tabs>
          <w:tab w:val="left" w:pos="426"/>
        </w:tabs>
        <w:spacing w:after="0"/>
        <w:ind w:left="3150"/>
        <w:jc w:val="both"/>
        <w:rPr>
          <w:rFonts w:ascii="Tw Cen MT" w:eastAsia="Twentieth Century" w:hAnsi="Tw Cen MT" w:cs="Twentieth Century"/>
          <w:i/>
          <w:sz w:val="20"/>
          <w:szCs w:val="20"/>
        </w:rPr>
        <w:sectPr w:rsidR="00AB4019" w:rsidSect="00AB4019">
          <w:type w:val="continuous"/>
          <w:pgSz w:w="12240" w:h="15840"/>
          <w:pgMar w:top="1440" w:right="1440" w:bottom="1440" w:left="1440" w:header="720" w:footer="720" w:gutter="0"/>
          <w:cols w:space="720"/>
        </w:sectPr>
      </w:pPr>
      <w:r w:rsidRPr="00FD4938">
        <w:rPr>
          <w:rFonts w:ascii="Tw Cen MT" w:eastAsia="Twentieth Century" w:hAnsi="Tw Cen MT" w:cs="Twentieth Century"/>
          <w:i/>
          <w:sz w:val="20"/>
          <w:szCs w:val="20"/>
        </w:rPr>
        <w:t xml:space="preserve">Collaboration, Stakeholders, </w:t>
      </w:r>
      <w:r w:rsidR="00357139" w:rsidRPr="00FD4938">
        <w:rPr>
          <w:rFonts w:ascii="Tw Cen MT" w:eastAsia="Twentieth Century" w:hAnsi="Tw Cen MT" w:cs="Twentieth Century"/>
          <w:i/>
          <w:sz w:val="20"/>
          <w:szCs w:val="20"/>
        </w:rPr>
        <w:t>Waste Management, The Small Island</w:t>
      </w:r>
    </w:p>
    <w:p w14:paraId="5302F853" w14:textId="490227C5" w:rsidR="0081084F" w:rsidRPr="00FD4938" w:rsidRDefault="0081084F">
      <w:pPr>
        <w:tabs>
          <w:tab w:val="left" w:pos="426"/>
        </w:tabs>
        <w:spacing w:after="0"/>
        <w:ind w:left="3150"/>
        <w:jc w:val="both"/>
        <w:rPr>
          <w:rFonts w:ascii="Tw Cen MT" w:eastAsia="Twentieth Century" w:hAnsi="Tw Cen MT" w:cs="Twentieth Century"/>
          <w:i/>
          <w:sz w:val="20"/>
          <w:szCs w:val="20"/>
        </w:rPr>
      </w:pPr>
    </w:p>
    <w:p w14:paraId="2F66F5FB" w14:textId="77777777" w:rsidR="003A1401" w:rsidRDefault="003A1401" w:rsidP="00370710">
      <w:pPr>
        <w:rPr>
          <w:rFonts w:ascii="Tw Cen MT" w:eastAsia="Twentieth Century" w:hAnsi="Tw Cen MT" w:cs="Twentieth Century"/>
        </w:rPr>
      </w:pPr>
      <w:r>
        <w:rPr>
          <w:rFonts w:ascii="Tw Cen MT" w:eastAsia="Twentieth Century" w:hAnsi="Tw Cen MT" w:cs="Twentieth Century"/>
          <w:i/>
          <w:noProof/>
          <w:sz w:val="20"/>
          <w:szCs w:val="20"/>
        </w:rPr>
        <mc:AlternateContent>
          <mc:Choice Requires="wps">
            <w:drawing>
              <wp:anchor distT="0" distB="0" distL="114300" distR="114300" simplePos="0" relativeHeight="251660288" behindDoc="0" locked="0" layoutInCell="1" allowOverlap="1" wp14:anchorId="4CD538E5" wp14:editId="4262F87F">
                <wp:simplePos x="0" y="0"/>
                <wp:positionH relativeFrom="column">
                  <wp:posOffset>0</wp:posOffset>
                </wp:positionH>
                <wp:positionV relativeFrom="paragraph">
                  <wp:posOffset>94615</wp:posOffset>
                </wp:positionV>
                <wp:extent cx="59842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984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0684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45pt" to="47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" strokecolor="black [3040]"/>
            </w:pict>
          </mc:Fallback>
        </mc:AlternateContent>
      </w:r>
    </w:p>
    <w:p w14:paraId="43F1E344" w14:textId="722439E7" w:rsidR="0081084F" w:rsidRPr="00FD4938" w:rsidRDefault="00AB4019" w:rsidP="00FD4938">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w:t>
      </w:r>
      <w:r w:rsidR="00370710" w:rsidRPr="00FD4938">
        <w:rPr>
          <w:rFonts w:ascii="Tw Cen MT" w:eastAsia="Twentieth Century" w:hAnsi="Tw Cen MT" w:cs="Twentieth Century"/>
          <w:b/>
          <w:sz w:val="24"/>
          <w:szCs w:val="24"/>
        </w:rPr>
        <w:t>NTRODUCTION</w:t>
      </w:r>
    </w:p>
    <w:p w14:paraId="31A87BA0" w14:textId="60BCD0FD" w:rsidR="00FD4938" w:rsidRPr="003A1401" w:rsidRDefault="00FD4938" w:rsidP="001A1991">
      <w:pPr>
        <w:spacing w:after="0" w:line="240" w:lineRule="auto"/>
        <w:jc w:val="both"/>
        <w:rPr>
          <w:rStyle w:val="jlqj4b"/>
          <w:rFonts w:ascii="Tw Cen MT" w:hAnsi="Tw Cen MT"/>
          <w:sz w:val="24"/>
          <w:szCs w:val="24"/>
        </w:rPr>
      </w:pPr>
      <w:r w:rsidRPr="00FD4938">
        <w:rPr>
          <w:rStyle w:val="jlqj4b"/>
          <w:rFonts w:ascii="Tw Cen MT" w:hAnsi="Tw Cen MT"/>
          <w:sz w:val="24"/>
          <w:szCs w:val="24"/>
          <w:lang w:val="id-ID"/>
        </w:rPr>
        <w:t xml:space="preserve">Increased production and consumption of goods manufacturing and packaging leads to an increase in waste production. Most countries struggle to cope with the increasing and </w:t>
      </w:r>
      <w:proofErr w:type="spellStart"/>
      <w:r w:rsidRPr="00FD4938">
        <w:rPr>
          <w:rStyle w:val="jlqj4b"/>
          <w:rFonts w:ascii="Tw Cen MT" w:hAnsi="Tw Cen MT"/>
          <w:sz w:val="24"/>
          <w:szCs w:val="24"/>
          <w:lang w:val="id-ID"/>
        </w:rPr>
        <w:t>complex</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waste</w:t>
      </w:r>
      <w:proofErr w:type="spellEnd"/>
      <w:r w:rsidRPr="00FD4938">
        <w:rPr>
          <w:rStyle w:val="jlqj4b"/>
          <w:rFonts w:ascii="Tw Cen MT" w:hAnsi="Tw Cen MT"/>
          <w:sz w:val="24"/>
          <w:szCs w:val="24"/>
          <w:lang w:val="id-ID"/>
        </w:rPr>
        <w:t xml:space="preserve"> problem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{"citationItems":[{"id":"ITEM-1","itemData":{"DOI":"10.5902/19834659","ISBN":"1983465929118","abstract":"This paper analyzes the current scenario of technology-based incubators (TBIs) in South Brazil from a socioeconomic and intellectual perspective, through correlations with higher education institutes with stricto sensu graduate programs, intellectual property rights, investments in science and technology, Gross Domestic Product (GDP) and Human Development Index (HDI). The study focused on the Brazilian South region, since it presents some of the best social indicators in the country. Based on correlation analysis, it was possible to investigate an outstanding scenario in developed nations, the technology-based entrepreneurship. The results show that: (1) the presence of TBIs is strongly related to the existence of higher education institutes with stricto sensu graduate programs; (2) the existence of TBIs is highly associated with high levels of intellectual production; (3) the States that receive more investment in science and technology are positively correlated with TBIs; (4) the existence of TBIs presents a negligible correlation with the GDP; (5) the existence of TBIs shows a weak correlation with the HDI. Thus, this study allowed the investigation of the South Brazilian scenario related to the implementation and operation of TBIs.","author":[{"dropping-particle":"","family":"Siluk","given":"Julio Cezar Mairesse","non-dropping-particle":"","parse-names":false,"suffix":""},{"dropping-particle":"","family":"Garlet","given":"Taís Bisognin","non-dropping-particle":"","parse-names":false,"suffix":""},{"dropping-particle":"","family":"Marcuzzo","given":"Rafael","non-dropping-particle":"","parse-names":false,"suffix":""},{"dropping-particle":"","family":"Michelin","given":"Cláudia de Freitas","non-dropping-particle":"","parse-names":false,"suffix":""},{"dropping-particle":"","family":"Minello","given":"Italo Fernando","non-dropping-particle":"","parse-names":false,"suffix":""}],"container-title":"Rev. Adm. UFSM","id":"ITEM-1","issue":"2","issued":{"date-parts":[["2018"]]},"page":"471-488","title":"Technology-based Entrepreneurship in South Brazil","type":"article-journal","volume":"11"},"uris":["http://www.mendeley.com/documents/?uuid=1b7090eb-eb39-4ca6-ba80-5e87db0c44ec"]},{"id":"ITEM-2","itemData":{"DOI":"10.1177/0734242X09103191","ISSN":"0734242X","PMID":"19470545","abstract":"Drivers of sustainable waste management are defined as groups of related factors that influence the development (or lack thereof) of industry. There has been no attempt to reasonably list the drivers that influence sustainable waste management in Asia. In this review, four groups of drivers of sustainable waste management, specifically of Asia, are explained. The four groups of drivers consist of three human elements (human, economic and institutional) and the environment as a single driving group. Typically, the first three groups have been very influential, with the environment driver, noticeably, only considered when preceded by other groups of drivers. The interconnectedness of the drivers and neglect of the environment driver is discussed. It is concluded that while the essence of the four groups of drivers can be found all over Asia, each driving group must be investigated in a local context and all information combined to devise sustainable waste management policies or strategies. © The Author(s) 2009.","author":[{"dropping-particle":"","family":"Agamuthu","given":"P.","non-dropping-particle":"","parse-names":false,"suffix":""},{"dropping-particle":"","family":"Khidzir","given":"K. M.","non-dropping-particle":"","parse-names":false,"suffix":""},{"dropping-particle":"","family":"Hamid","given":"Fauziah Shahul","non-dropping-particle":"","parse-names":false,"suffix":""}],"container-title":"Waste Management and Research","id":"ITEM-2","issue":"7","issued":{"date-parts":[["2009"]]},"page":"625-633","title":"Drivers of sustainable waste management in Asia","type":"article-journal","volume":"27"},"uris":["http://www.mendeley.com/documents/?uuid=c028c714-ee37-4e05-a450-7aa190067050"]},{"id":"ITEM-3","itemData":{"DOI":"10.1177/0734242X09103819","ISSN":"0734242X","PMID":"19423594","abstract":"In the urban-rural fringe of the Bangkok Metropolitan Region, rapid urbanization is creating a land-use mixture of agricultural fields and residential areas. To develop appropriate policies to enhance recycling of municipal solid waste (MSW), current MSW management was investigated in the oboto (local administrative district) of Bang Maenang in Nonthaburi Province, adjoining Bangkok. The authors conducted a structural interview survey with waste-related organizations and local residents, analysed household waste generation, and performed global positioning system (GPS) tracking of municipal garbage trucks. It was found that MSW was collected and treated by local government, private-sector entities, and the local community separately. Lack of integrated management of these entities complicated waste flow in the study area, and some residences were not served by MSW collection. Organic waste, such as kitchen garbage and yard waste, accounted for a large proportion of waste generation but was underutilized. Through GPS/GIS analysis, the waste collection rate of the generated waste amount was estimated to be 45.5- 51.1% of total generation.","author":[{"dropping-particle":"","family":"Hiramatsu","given":"Ai","non-dropping-particle":"","parse-names":false,"suffix":""},{"dropping-particle":"","family":"Hara","given":"Yuji","non-dropping-particle":"","parse-names":false,"suffix":""},{"dropping-particle":"","family":"Sekiyama","given":"Makiko","non-dropping-particle":"","parse-names":false,"suffix":""},{"dropping-particle":"","family":"Honda","given":"Ryo","non-dropping-particle":"","parse-names":false,"suffix":""},{"dropping-particle":"","family":"Chiemchaisri","given":"Chart","non-dropping-particle":"","parse-names":false,"suffix":""}],"container-title":"Waste Management and Research","id":"ITEM-3","issue":"10","issued":{"date-parts":[["2009"]]},"page":"951-960","title":"Municipal solid waste flow and waste generation characteristics in an urban-rural fringe area in Thailand","type":"article-journal","volume":"27"},"uris":["http://www.mendeley.com/documents/?uuid=1e3a1638-e7a4-45e5-8ff9-cea50da91e76"]}],"mendeley":{"formattedCitation":"[1]–[3]","plainTextFormattedCitation":"[1]–[3]","previouslyFormattedCitation":"[1]–[3]"},"properties":{"noteIndex":0},"schema":"https://github.com/citation-style-language/schema/raw/master/csl-citation.json"}</w:instrText>
      </w:r>
      <w:r w:rsidR="00000000">
        <w:rPr>
          <w:rStyle w:val="jlqj4b"/>
          <w:rFonts w:ascii="Tw Cen MT" w:hAnsi="Tw Cen MT" w:cstheme="majorBidi"/>
          <w:sz w:val="24"/>
          <w:szCs w:val="24"/>
        </w:rPr>
        <w:fldChar w:fldCharType="separate"/>
      </w:r>
      <w:r w:rsidRPr="00FD4938">
        <w:rPr>
          <w:rStyle w:val="jlqj4b"/>
          <w:rFonts w:ascii="Tw Cen MT" w:hAnsi="Tw Cen MT" w:cstheme="majorBidi"/>
          <w:sz w:val="24"/>
          <w:szCs w:val="24"/>
        </w:rPr>
        <w:fldChar w:fldCharType="end"/>
      </w:r>
      <w:r w:rsidR="003A1401">
        <w:rPr>
          <w:rStyle w:val="jlqj4b"/>
          <w:rFonts w:ascii="Tw Cen MT" w:hAnsi="Tw Cen MT"/>
          <w:sz w:val="24"/>
          <w:szCs w:val="24"/>
          <w:lang w:val="id-ID"/>
        </w:rPr>
        <w:fldChar w:fldCharType="begin" w:fldLock="1"/>
      </w:r>
      <w:r w:rsidR="003A1401">
        <w:rPr>
          <w:rStyle w:val="jlqj4b"/>
          <w:rFonts w:ascii="Tw Cen MT" w:hAnsi="Tw Cen MT"/>
          <w:sz w:val="24"/>
          <w:szCs w:val="24"/>
          <w:lang w:val="id-ID"/>
        </w:rPr>
        <w:instrText>ADDIN CSL_CITATION {"citationItems":[{"id":"ITEM-1","itemData":{"DOI":"10.5902/19834659","ISBN":"1983465929118","abstract":"This paper analyzes the current scenario of technology-based incubators (TBIs) in South Brazil from a socioeconomic and intellectual perspective, through correlations with higher education institutes with stricto sensu graduate programs, intellectual property rights, investments in science and technology, Gross Domestic Product (GDP) and Human Development Index (HDI). The study focused on the Brazilian South region, since it presents some of the best social indicators in the country. Based on correlation analysis, it was possible to investigate an outstanding scenario in developed nations, the technology-based entrepreneurship. The results show that: (1) the presence of TBIs is strongly related to the existence of higher education institutes with stricto sensu graduate programs; (2) the existence of TBIs is highly associated with high levels of intellectual production; (3) the States that receive more investment in science and technology are positively correlated with TBIs; (4) the existence of TBIs presents a negligible correlation with the GDP; (5) the existence of TBIs shows a weak correlation with the HDI. Thus, this study allowed the investigation of the South Brazilian scenario related to the implementation and operation of TBIs.","author":[{"dropping-particle":"","family":"Siluk","given":"Julio Cezar Mairesse","non-dropping-particle":"","parse-names":false,"suffix":""},{"dropping-particle":"","family":"Garlet","given":"Taís Bisognin","non-dropping-particle":"","parse-names":false,"suffix":""},{"dropping-particle":"","family":"Marcuzzo","given":"Rafael","non-dropping-particle":"","parse-names":false,"suffix":""},{"dropping-particle":"","family":"Michelin","given":"Cláudia de Freitas","non-dropping-particle":"","parse-names":false,"suffix":""},{"dropping-particle":"","family":"Minello","given":"Italo Fernando","non-dropping-particle":"","parse-names":false,"suffix":""}],"container-title":"Rev. Adm. UFSM","id":"ITEM-1","issue":"2","issued":{"date-parts":[["2018"]]},"page":"471-488","title":"Technology-based Entrepreneurship in South Brazil","type":"article-journal","volume":"11"},"uris":["http://www.mendeley.com/documents/?uuid=1b7090eb-eb39-4ca6-ba80-5e87db0c44ec"]}],"mendeley":{"formattedCitation":"[1]","plainTextFormattedCitation":"[1]","previouslyFormattedCitation":"[1]"},"properties":{"noteIndex":0},"schema":"https://github.com/citation-style-language/schema/raw/master/csl-citation.json"}</w:instrText>
      </w:r>
      <w:r w:rsidR="003A1401">
        <w:rPr>
          <w:rStyle w:val="jlqj4b"/>
          <w:rFonts w:ascii="Tw Cen MT" w:hAnsi="Tw Cen MT"/>
          <w:sz w:val="24"/>
          <w:szCs w:val="24"/>
          <w:lang w:val="id-ID"/>
        </w:rPr>
        <w:fldChar w:fldCharType="separate"/>
      </w:r>
      <w:r w:rsidR="003A1401" w:rsidRPr="003A1401">
        <w:rPr>
          <w:rStyle w:val="jlqj4b"/>
          <w:rFonts w:ascii="Tw Cen MT" w:hAnsi="Tw Cen MT"/>
          <w:noProof/>
          <w:sz w:val="24"/>
          <w:szCs w:val="24"/>
          <w:lang w:val="id-ID"/>
        </w:rPr>
        <w:t>[1]</w:t>
      </w:r>
      <w:r w:rsidR="003A1401">
        <w:rPr>
          <w:rStyle w:val="jlqj4b"/>
          <w:rFonts w:ascii="Tw Cen MT" w:hAnsi="Tw Cen MT"/>
          <w:sz w:val="24"/>
          <w:szCs w:val="24"/>
          <w:lang w:val="id-ID"/>
        </w:rPr>
        <w:fldChar w:fldCharType="end"/>
      </w:r>
      <w:r w:rsidR="00162B7E">
        <w:rPr>
          <w:rStyle w:val="jlqj4b"/>
          <w:rFonts w:ascii="Tw Cen MT" w:hAnsi="Tw Cen MT"/>
          <w:sz w:val="24"/>
          <w:szCs w:val="24"/>
        </w:rPr>
        <w:t>;</w:t>
      </w:r>
      <w:r w:rsidR="003A1401">
        <w:rPr>
          <w:rStyle w:val="jlqj4b"/>
          <w:rFonts w:ascii="Tw Cen MT" w:hAnsi="Tw Cen MT"/>
          <w:sz w:val="24"/>
          <w:szCs w:val="24"/>
        </w:rPr>
        <w:t xml:space="preserve"> </w:t>
      </w:r>
      <w:r w:rsidR="003A140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{"citationItems":[{"id":"ITEM-1","itemData":{"DOI":"10.1177/0734242X09103191","ISSN":"0734242X","PMID":"19470545","abstract":"Drivers of sustainable waste management are defined as groups of related factors that influence the development (or lack thereof) of industry. There has been no attempt to reasonably list the drivers that influence sustainable waste management in Asia. In this review, four groups of drivers of sustainable waste management, specifically of Asia, are explained. The four groups of drivers consist of three human elements (human, economic and institutional) and the environment as a single driving group. Typically, the first three groups have been very influential, with the environment driver, noticeably, only considered when preceded by other groups of drivers. The interconnectedness of the drivers and neglect of the environment driver is discussed. It is concluded that while the essence of the four groups of drivers can be found all over Asia, each driving group must be investigated in a local context and all information combined to devise sustainable waste management policies or strategies. © The Author(s) 2009.","author":[{"dropping-particle":"","family":"Agamuthu","given":"P.","non-dropping-particle":"","parse-names":false,"suffix":""},{"dropping-particle":"","family":"Khidzir","given":"K. M.","non-dropping-particle":"","parse-names":false,"suffix":""},{"dropping-particle":"","family":"Hamid","given":"Fauziah Shahul","non-dropping-particle":"","parse-names":false,"suffix":""}],"container-title":"Waste Management and Research","id":"ITEM-1","issue":"7","issued":{"date-parts":[["2009"]]},"page":"625-633","title":"Drivers of sustainable waste management in Asia","type":"article-journal","volume":"27"},"uris":["http://www.mendeley.com/documents/?uuid=c028c714-ee37-4e05-a450-7aa190067050"]}],"mendeley":{"formattedCitation":"[2]","plainTextFormattedCitation":"[2]","previouslyFormattedCitation":"[2]"},"properties":{"noteIndex":0},"schema":"https://github.com/citation-style-language/schema/raw/master/csl-citation.json"}</w:instrText>
      </w:r>
      <w:r w:rsidR="003A1401">
        <w:rPr>
          <w:rStyle w:val="jlqj4b"/>
          <w:rFonts w:ascii="Tw Cen MT" w:hAnsi="Tw Cen MT"/>
          <w:sz w:val="24"/>
          <w:szCs w:val="24"/>
        </w:rPr>
        <w:fldChar w:fldCharType="separate"/>
      </w:r>
      <w:r w:rsidR="003A1401" w:rsidRPr="003A1401">
        <w:rPr>
          <w:rStyle w:val="jlqj4b"/>
          <w:rFonts w:ascii="Tw Cen MT" w:hAnsi="Tw Cen MT"/>
          <w:noProof/>
          <w:sz w:val="24"/>
          <w:szCs w:val="24"/>
        </w:rPr>
        <w:t>[2]</w:t>
      </w:r>
      <w:r w:rsidR="003A1401">
        <w:rPr>
          <w:rStyle w:val="jlqj4b"/>
          <w:rFonts w:ascii="Tw Cen MT" w:hAnsi="Tw Cen MT"/>
          <w:sz w:val="24"/>
          <w:szCs w:val="24"/>
        </w:rPr>
        <w:fldChar w:fldCharType="end"/>
      </w:r>
      <w:r w:rsidR="00162B7E">
        <w:rPr>
          <w:rStyle w:val="jlqj4b"/>
          <w:rFonts w:ascii="Tw Cen MT" w:hAnsi="Tw Cen MT"/>
          <w:sz w:val="24"/>
          <w:szCs w:val="24"/>
        </w:rPr>
        <w:t>;</w:t>
      </w:r>
      <w:r w:rsidR="003A1401">
        <w:rPr>
          <w:rStyle w:val="jlqj4b"/>
          <w:rFonts w:ascii="Tw Cen MT" w:hAnsi="Tw Cen MT"/>
          <w:sz w:val="24"/>
          <w:szCs w:val="24"/>
        </w:rPr>
        <w:t xml:space="preserve"> </w:t>
      </w:r>
      <w:r w:rsidR="003A140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{"citationItems":[{"id":"ITEM-1","itemData":{"DOI":"10.1177/0734242X09103819","ISSN":"0734242X","PMID":"19423594","abstract":"In the urban-rural fringe of the Bangkok Metropolitan Region, rapid urbanization is creating a land-use mixture of agricultural fields and residential areas. To develop appropriate policies to enhance recycling of municipal solid waste (MSW), current MSW management was investigated in the oboto (local administrative district) of Bang Maenang in Nonthaburi Province, adjoining Bangkok. The authors conducted a structural interview survey with waste-related organizations and local residents, analysed household waste generation, and performed global positioning system (GPS) tracking of municipal garbage trucks. It was found that MSW was collected and treated by local government, private-sector entities, and the local community separately. Lack of integrated management of these entities complicated waste flow in the study area, and some residences were not served by MSW collection. Organic waste, such as kitchen garbage and yard waste, accounted for a large proportion of waste generation but was underutilized. Through GPS/GIS analysis, the waste collection rate of the generated waste amount was estimated to be 45.5- 51.1% of total generation.","author":[{"dropping-particle":"","family":"Hiramatsu","given":"Ai","non-dropping-particle":"","parse-names":false,"suffix":""},{"dropping-particle":"","family":"Hara","given":"Yuji","non-dropping-particle":"","parse-names":false,"suffix":""},{"dropping-particle":"","family":"Sekiyama","given":"Makiko","non-dropping-particle":"","parse-names":false,"suffix":""},{"dropping-particle":"","family":"Honda","given":"Ryo","non-dropping-particle":"","parse-names":false,"suffix":""},{"dropping-particle":"","family":"Chiemchaisri","given":"Chart","non-dropping-particle":"","parse-names":false,"suffix":""}],"container-title":"Waste Management and Research","id":"ITEM-1","issue":"10","issued":{"date-parts":[["2009"]]},"page":"951-960","title":"Municipal solid waste flow and waste generation characteristics in an urban-rural fringe area in Thailand","type":"article-journal","volume":"27"},"uris":["http://www.mendeley.com/documents/?uuid=1e3a1638-e7a4-45e5-8ff9-cea50da91e76"]}],"mendeley":{"formattedCitation":"[3]","plainTextFormattedCitation":"[3]"},"properties":{"noteIndex":0},"schema":"https://github.com/citation-style-language/schema/raw/master/csl-citation.json"}</w:instrText>
      </w:r>
      <w:r w:rsidR="003A1401">
        <w:rPr>
          <w:rStyle w:val="jlqj4b"/>
          <w:rFonts w:ascii="Tw Cen MT" w:hAnsi="Tw Cen MT"/>
          <w:sz w:val="24"/>
          <w:szCs w:val="24"/>
        </w:rPr>
        <w:fldChar w:fldCharType="separate"/>
      </w:r>
      <w:r w:rsidR="003A1401" w:rsidRPr="003A1401">
        <w:rPr>
          <w:rStyle w:val="jlqj4b"/>
          <w:rFonts w:ascii="Tw Cen MT" w:hAnsi="Tw Cen MT"/>
          <w:noProof/>
          <w:sz w:val="24"/>
          <w:szCs w:val="24"/>
        </w:rPr>
        <w:t>[3]</w:t>
      </w:r>
      <w:r w:rsidR="003A1401">
        <w:rPr>
          <w:rStyle w:val="jlqj4b"/>
          <w:rFonts w:ascii="Tw Cen MT" w:hAnsi="Tw Cen MT"/>
          <w:sz w:val="24"/>
          <w:szCs w:val="24"/>
        </w:rPr>
        <w:fldChar w:fldCharType="end"/>
      </w:r>
      <w:r w:rsidR="003A1401">
        <w:rPr>
          <w:rStyle w:val="jlqj4b"/>
          <w:rFonts w:ascii="Tw Cen MT" w:hAnsi="Tw Cen MT"/>
          <w:sz w:val="24"/>
          <w:szCs w:val="24"/>
        </w:rPr>
        <w:t>.</w:t>
      </w:r>
    </w:p>
    <w:p w14:paraId="279B6D63" w14:textId="4A1F5E09" w:rsidR="00FD4938" w:rsidRPr="00FD4938" w:rsidRDefault="00FD4938" w:rsidP="001A1991">
      <w:pPr>
        <w:autoSpaceDE w:val="0"/>
        <w:autoSpaceDN w:val="0"/>
        <w:adjustRightInd w:val="0"/>
        <w:spacing w:after="0" w:line="240" w:lineRule="auto"/>
        <w:jc w:val="both"/>
        <w:rPr>
          <w:rFonts w:ascii="Tw Cen MT" w:hAnsi="Tw Cen MT"/>
          <w:sz w:val="24"/>
          <w:szCs w:val="24"/>
          <w:lang w:val="en-GB"/>
        </w:rPr>
      </w:pPr>
      <w:r w:rsidRPr="00FD4938">
        <w:rPr>
          <w:rStyle w:val="jlqj4b"/>
          <w:rFonts w:ascii="Tw Cen MT" w:hAnsi="Tw Cen MT"/>
          <w:sz w:val="24"/>
          <w:szCs w:val="24"/>
          <w:lang w:val="id-ID"/>
        </w:rPr>
        <w:t xml:space="preserve">Penyengat is a small island with a limited human and environmental carrying capacity. The waste generated is more than the island's ability to manage it, the limited availability of land, the volume of land as cover, and human resources in its operation. Lack of public understanding the awareness in waste management is a big problem. The generation of unmanaged waste has ecological impacts, environmental pollution, economy, and breeding grounds for vectors and nuisance animals to have an impact on increasing environmental-based diseases. Transporting waste from small islands is financially and environmentally beneficial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{"citationItems":[{"id":"ITEM-1","itemData":{"ISSN":"17907632","abstract":"A comparative economic and life cycle based analysis of five management scenarios for the solid waste generated in the island of Syros was conducted. The LCA part was performed with the LCA – IWM software. The four on-site waste management scenarios were: i) source separation of recyclable materials in combination with landfill disposal of the residuals (existing situation), ii) aerobic, windrow type, biological treatment (composting) with land filling of residues, iii) anaerobic biological treatment (digestion) with land filling of residues iv) aerobic mechanical biological treatment (MBT) and land filling of residues. The off-site management scenario examined the transportation of the whole commingled wastes off the island for processing and disposal to the main mechanical and biological pretreatment plant in Athens. The results of analysis showed that the optimum waste management scenario in terms of environmental burdens (based on six environmental impact categories) and economics was off-site transportation, even when the specific landfill tax is included in calculations. The second best scenario in terms of environmental performance included the on-site aerobic MBT plant while the worst scenario was direct land filling with mixed dry recyclables' recycling. On-site anaerobic digestion had less environmental burdens and was more expensive than open windrow composting. Threshold distances were calculated below which the transportation of municipal solid wastes from a small island is financially and environmentally beneficial. {\\textcopyright} 2016 Global NEST Printed in Greece. All rights reserved.","author":[{"dropping-particle":"","family":"Bogiatzidis","given":"C.","non-dropping-particle":"","parse-names":false,"suffix":""},{"dropping-particle":"","family":"Komilis","given":"D.","non-dropping-particle":"","parse-names":false,"suffix":""}],"container-title":"Global Nest Journal","id":"ITEM-1","issued":{"date-parts":[["2016"]]},"title":"Economic and life cycle analysis of municipal solid waste management for small Islands: On-site management scenarios versus off-site transportation","type":"article-journal"},"uris":["http://www.mendeley.com/documents/?uuid=7106a520-2ac2-37d2-a857-9b92d78f8558"]}],"mendeley":{"formattedCitation":"[4]","plainTextFormattedCitation":"[4]","previouslyFormattedCitation":"[4]"},"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[4]</w:t>
      </w:r>
      <w:r w:rsidRPr="00FD4938">
        <w:rPr>
          <w:rStyle w:val="jlqj4b"/>
          <w:rFonts w:ascii="Tw Cen MT" w:hAnsi="Tw Cen MT" w:cstheme="majorBidi"/>
          <w:sz w:val="24"/>
          <w:szCs w:val="24"/>
        </w:rPr>
        <w:fldChar w:fldCharType="end"/>
      </w:r>
    </w:p>
    <w:p w14:paraId="4E75F66A" w14:textId="77777777" w:rsidR="00AB4019" w:rsidRDefault="00FD4938" w:rsidP="001A1991">
      <w:pPr>
        <w:spacing w:after="0" w:line="240" w:lineRule="auto"/>
        <w:jc w:val="both"/>
        <w:rPr>
          <w:rStyle w:val="jlqj4b"/>
          <w:rFonts w:ascii="Tw Cen MT" w:hAnsi="Tw Cen MT"/>
          <w:sz w:val="24"/>
          <w:szCs w:val="24"/>
          <w:lang w:val="id-ID"/>
        </w:rPr>
      </w:pPr>
      <w:r w:rsidRPr="00FD4938">
        <w:rPr>
          <w:rStyle w:val="jlqj4b"/>
          <w:rFonts w:ascii="Tw Cen MT" w:hAnsi="Tw Cen MT"/>
          <w:sz w:val="24"/>
          <w:szCs w:val="24"/>
          <w:lang w:val="id-ID"/>
        </w:rPr>
        <w:t xml:space="preserve">Activities to reduce the amount of waste by limiting the use of goods that generate waste, </w:t>
      </w:r>
    </w:p>
    <w:p w14:paraId="73979B09" w14:textId="77777777" w:rsidR="00AB4019" w:rsidRDefault="00AB4019" w:rsidP="001A1991">
      <w:pPr>
        <w:spacing w:after="0" w:line="240" w:lineRule="auto"/>
        <w:jc w:val="both"/>
        <w:rPr>
          <w:rStyle w:val="jlqj4b"/>
          <w:rFonts w:ascii="Tw Cen MT" w:hAnsi="Tw Cen MT"/>
          <w:sz w:val="24"/>
          <w:szCs w:val="24"/>
          <w:lang w:val="id-ID"/>
        </w:rPr>
      </w:pPr>
    </w:p>
    <w:p w14:paraId="6422C5CA" w14:textId="77777777" w:rsidR="00AB4019" w:rsidRDefault="00AB4019" w:rsidP="001A1991">
      <w:pPr>
        <w:spacing w:after="0" w:line="240" w:lineRule="auto"/>
        <w:jc w:val="both"/>
        <w:rPr>
          <w:rStyle w:val="jlqj4b"/>
          <w:rFonts w:ascii="Tw Cen MT" w:hAnsi="Tw Cen MT"/>
          <w:sz w:val="24"/>
          <w:szCs w:val="24"/>
          <w:lang w:val="id-ID"/>
        </w:rPr>
      </w:pPr>
    </w:p>
    <w:p w14:paraId="293F080A" w14:textId="77777777" w:rsidR="00AB4019" w:rsidRDefault="00AB4019" w:rsidP="001A1991">
      <w:pPr>
        <w:spacing w:after="0" w:line="240" w:lineRule="auto"/>
        <w:jc w:val="both"/>
        <w:rPr>
          <w:rStyle w:val="jlqj4b"/>
          <w:rFonts w:ascii="Tw Cen MT" w:hAnsi="Tw Cen MT"/>
          <w:sz w:val="24"/>
          <w:szCs w:val="24"/>
          <w:lang w:val="id-ID"/>
        </w:rPr>
      </w:pPr>
    </w:p>
    <w:p w14:paraId="10C034A7" w14:textId="250AC547" w:rsidR="004A3BD1" w:rsidRPr="004A3BD1" w:rsidRDefault="00FD4938" w:rsidP="001A1991">
      <w:pPr>
        <w:spacing w:after="0" w:line="240" w:lineRule="auto"/>
        <w:jc w:val="both"/>
        <w:rPr>
          <w:rFonts w:ascii="Tw Cen MT" w:hAnsi="Tw Cen MT"/>
          <w:sz w:val="24"/>
          <w:szCs w:val="24"/>
        </w:rPr>
      </w:pPr>
      <w:proofErr w:type="spellStart"/>
      <w:r w:rsidRPr="00FD4938">
        <w:rPr>
          <w:rStyle w:val="jlqj4b"/>
          <w:rFonts w:ascii="Tw Cen MT" w:hAnsi="Tw Cen MT"/>
          <w:sz w:val="24"/>
          <w:szCs w:val="24"/>
          <w:lang w:val="id-ID"/>
        </w:rPr>
        <w:t>reuse</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and</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recycle</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waste</w:t>
      </w:r>
      <w:proofErr w:type="spellEnd"/>
      <w:r w:rsidRPr="00FD4938">
        <w:rPr>
          <w:rStyle w:val="jlqj4b"/>
          <w:rFonts w:ascii="Tw Cen MT" w:hAnsi="Tw Cen MT"/>
          <w:sz w:val="24"/>
          <w:szCs w:val="24"/>
          <w:lang w:val="id-ID"/>
        </w:rPr>
        <w:t xml:space="preserve"> into valuable items. Meanwhile, good waste management separates by type, collection, transportation, and waste processing for the final stage. The waste reduction should have been carried out at the source of waste by each individual. Agencies carry out waste management activities which responsible for cleanliness in an area, including a series of waste handling processes ranging from TPS (Waste Landfills) to TPAS (Final Waste Processing Sites) in an environmentally sound manner. The waste minimization model correlates with waste reduction: on-site waste segregation, reuse, and recycling. After training the waste minimization model, there was a significant decrease</w:t>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{"citationItems":[{"id":"ITEM-1","itemData":{"DOI":"10.15244/pjoes/35518","ISSN":"12301485","abstract":"Malaysia has aspired to be an industrialized country by 2020 [1] while manufacturing industries have tried to enhance the nation's economic growth for four decades [2]. In line with the vision 2020 and industrial development, the level of recycling should increase up to 22% [3]. It was reported that solid waste management has a steady develop-ment but the current waste management system in Malaysia is landfill disposal, and just 5% of wastes have been recycled [4, 5]. However, it was estimated that the recycling rate in Japan was about 40%, and 13% in China [6]. Abstract Manufacturing industries in Malaysia play a fundamental role in economic growth and enhancing the population's standard of living. However, a huge quantity of industrial wastes is generated daily, exacerbating landfill disposal issues. Waste minimization as the most sustainable approach of waste handling contributes to a significant reduction of waste. In Malaysia, practicing waste minimization by manufacturing firms is not very common. Thus, this study attempted to determine the most commonly practiced methods of minimiza-tion by manufacturing firms in Malaysia. Also, the effectiveness of each method in waste reduction was explored. Data were collected through survey and analyzed through the quantitative and qualitative approach-es from 214 manufacturing firms that cover small, medium, and large sizes with a 67.5% response rate. The questionnaire was developed based on the review of literature and is validated by a panel of experts. Paired sample T-test was used to compare the solid waste generation one year before and one year after prac-ticing methods. Spearman Rho Correlation and multiple linear regression analysis were used to explore the relationships of methods and their significant contribution in waste reduction. Findings revealed that waste generation was significantly different after practicing waste minimization methods (p&lt;0.05). With respect to the methods correlation and effectiveness in waste reduction, all waste minimization methods have a signifi-cant and positive correlation with waste reduction (p&lt;0.05). Methods include segregation of wastes, on-site reuse and recycle, improved housekeeping, and equipment modification – all of which were found to be effec-tive in waste reduction for Malaysian manufacturing firms (p&lt;0.05).","author":[{"dropping-particle":"","family":"Mallak","given":"Shadi Kafi","non-dropping-particle":"","parse-names":false,"suffix":""},{"dropping-particle":"","family":"Ishak","given":"Mohd Bakri","non-dropping-particle":"","parse-names":false,"suffix":""},{"dropping-particle":"","family":"Kasim","given":"Mohamad Roslan Mohamad","non-dropping-particle":"","parse-names":false,"suffix":""},{"dropping-particle":"","family":"Samah","given":"Mohd Armi Abu","non-dropping-particle":"","parse-names":false,"suffix":""}],"container-title":"Polish Journal of Environmental Studies","id":"ITEM-1","issue":"5","issued":{"date-parts":[["2015"]]},"page":"2063-2071","title":"Assessing the effectiveness of waste minimization methods in solid waste reduction at the source by manufacturing firms in Malaysia","type":"article-journal","volume":"24"},"uris":["http://www.mendeley.com/documents/?uuid=82d9c860-9e88-42a8-9204-e8814559dc55"]}],"mendeley":{"formattedCitation":"[5]","plainTextFormattedCitation":"[5]","previouslyFormattedCitation":"[5]"},"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[5]</w:t>
      </w:r>
      <w:r w:rsidR="004A3BD1">
        <w:rPr>
          <w:rStyle w:val="jlqj4b"/>
          <w:rFonts w:ascii="Tw Cen MT" w:hAnsi="Tw Cen MT"/>
          <w:sz w:val="24"/>
          <w:szCs w:val="24"/>
        </w:rPr>
        <w:fldChar w:fldCharType="end"/>
      </w:r>
      <w:r w:rsidR="00162B7E">
        <w:rPr>
          <w:rStyle w:val="jlqj4b"/>
          <w:rFonts w:ascii="Tw Cen MT" w:hAnsi="Tw Cen MT"/>
          <w:sz w:val="24"/>
          <w:szCs w:val="24"/>
        </w:rPr>
        <w:t>;</w:t>
      </w:r>
      <w:r w:rsidR="003A140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{"citationItems":[{"id":"ITEM-1","itemData":{"ISSN":"2320-0936","abstract":"Malaysia is faced with daunting challenges relating to household waste segregation. Due to an increase in population, economic growth, enforcement, infrastructure, public attitude, awareness and participation among others, source segregation is considered a crucial issue in Malaysia, particularly in urban settings. This paper presents the key findings of the quantitative (questionnaire) survey administered among 235 households in Kuching South City and qualitative (interview) survey with the Natural Resource &amp; Environmental Board (NREB) and Kuching South City Council. This survey attempts to identify the limiting and motivating factors on the part of households to waste segregation. The result shows that age, sex, race and education is insignificant towards waste segregation. The result also shows a significant difference between waste segregators and non-waste separators on their level of perception towards implementation of laws for source segregation. Result also shows that the ease of access to facilities and the methods of collection are the major limiting factors preventing households from waste segregation in Kuching South City.","author":[{"dropping-particle":"","family":"Otitoju","given":"Tunmise A","non-dropping-particle":"","parse-names":false,"suffix":""},{"dropping-particle":"","family":"Seng","given":"Lau","non-dropping-particle":"","parse-names":false,"suffix":""}],"container-title":"American Journal of Engineering Research (AJER)","id":"ITEM-1","issue":"06","issued":{"date-parts":[["2014"]]},"page":"82-91","title":"Municipal Solid Waste Management: Household Waste Segregation in Kuching South City, Sarawak, Malaysia","type":"article-journal","volume":"03"},"uris":["http://www.mendeley.com/documents/?uuid=2d75acc8-27ba-3709-af92-8fd57b84669a"]}],"mendeley":{"formattedCitation":"[6]","plainTextFormattedCitation":"[6]","previouslyFormattedCitation":"[6]"},"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[6]</w:t>
      </w:r>
      <w:r w:rsidR="004A3BD1">
        <w:rPr>
          <w:rStyle w:val="jlqj4b"/>
          <w:rFonts w:ascii="Tw Cen MT" w:hAnsi="Tw Cen MT"/>
          <w:sz w:val="24"/>
          <w:szCs w:val="24"/>
          <w:lang w:val="id-ID"/>
        </w:rPr>
        <w:fldChar w:fldCharType="end"/>
      </w:r>
      <w:r w:rsidR="00162B7E">
        <w:rPr>
          <w:rStyle w:val="jlqj4b"/>
          <w:rFonts w:ascii="Tw Cen MT" w:hAnsi="Tw Cen MT"/>
          <w:sz w:val="24"/>
          <w:szCs w:val="24"/>
        </w:rPr>
        <w:t>;</w:t>
      </w:r>
      <w:r w:rsidR="003A140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{"citationItems":[{"id":"ITEM-1","itemData":{"ISSN":"2320-0936","abstract":"Attitudes of the waste generators in the community appears to be critical as their points of understanding in waste recycling eventually play a significant role in providing answers to municipal solid waste management problems in Lagos State. Individual involvement has a direct bearing on an effective recycling practice. This study investigates factors influencing individual waste recycling performance and their likelihood to participation in Lagos State. This paper presents the results of the quantitative survey administered among 201 individuals in Lagos State. The result shows that gender is significant towards waste recycling participation in Lagos. Result also shows that the lack of knowledge is the major limiting factors preventing individuals from waste recycling in Lagos State. The result also shows a significant difference between waste recyclers and non-waste recyclers on their requirements for participation towards regular awareness, workshop &amp; exhibition likewise also showing an insignificant difference on individual requirements towards the provision of facilities, regular collection, incentives, and legislation in waste recycling.","author":[{"dropping-particle":"","family":"Otitoju","given":"Tunmise A","non-dropping-particle":"","parse-names":false,"suffix":""}],"container-title":"American Journal of Engineering Research","id":"ITEM-1","issue":"07","issued":{"date-parts":[["2014"]]},"page":"78-88","publisher":"AJER","title":"Individual Attitude toward Recycling of Municipal Solid Waste in Lagos, Nigeria","type":"article-journal","volume":"3"},"uris":["http://www.mendeley.com/documents/?uuid=2ba54f57-e916-34b9-b01a-e1dadefeed53"]}],"mendeley":{"formattedCitation":"[7]","plainTextFormattedCitation":"[7]","previouslyFormattedCitation":"[7]"},"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[7]</w:t>
      </w:r>
      <w:r w:rsidR="004A3BD1">
        <w:rPr>
          <w:rStyle w:val="jlqj4b"/>
          <w:rFonts w:ascii="Tw Cen MT" w:hAnsi="Tw Cen MT"/>
          <w:sz w:val="24"/>
          <w:szCs w:val="24"/>
          <w:lang w:val="id-ID"/>
        </w:rPr>
        <w:fldChar w:fldCharType="end"/>
      </w:r>
      <w:r w:rsidR="004A3BD1">
        <w:rPr>
          <w:rStyle w:val="jlqj4b"/>
          <w:rFonts w:ascii="Tw Cen MT" w:hAnsi="Tw Cen MT"/>
          <w:sz w:val="24"/>
          <w:szCs w:val="24"/>
        </w:rPr>
        <w:t>.</w:t>
      </w:r>
    </w:p>
    <w:p w14:paraId="2FF99AD1" w14:textId="2217D457" w:rsidR="00FD4938" w:rsidRPr="00FD4938" w:rsidRDefault="00FD4938" w:rsidP="001A1991">
      <w:pPr>
        <w:spacing w:after="0" w:line="240" w:lineRule="auto"/>
        <w:jc w:val="both"/>
        <w:rPr>
          <w:rFonts w:ascii="Tw Cen MT" w:eastAsia="Times New Roman" w:hAnsi="Tw Cen MT"/>
          <w:i/>
          <w:iCs/>
          <w:color w:val="000000"/>
          <w:sz w:val="24"/>
          <w:szCs w:val="24"/>
          <w:lang w:val="id-ID" w:eastAsia="id-ID"/>
        </w:rPr>
      </w:pPr>
      <w:r w:rsidRPr="00FD4938">
        <w:rPr>
          <w:rFonts w:ascii="Tw Cen MT" w:eastAsia="Times New Roman" w:hAnsi="Tw Cen MT"/>
          <w:color w:val="000000"/>
          <w:sz w:val="24"/>
          <w:szCs w:val="24"/>
          <w:lang w:val="id-ID" w:eastAsia="id-ID"/>
        </w:rPr>
        <w:t>Collaborative partnerships between the environmental NGOs and stakeholders</w:t>
      </w:r>
      <w:r w:rsidR="003A1401">
        <w:rPr>
          <w:rFonts w:ascii="Tw Cen MT" w:eastAsia="Times New Roman" w:hAnsi="Tw Cen MT"/>
          <w:color w:val="000000"/>
          <w:sz w:val="24"/>
          <w:szCs w:val="24"/>
          <w:lang w:eastAsia="id-ID"/>
        </w:rPr>
        <w:t xml:space="preserve"> </w:t>
      </w:r>
      <w:r w:rsidRPr="00FD4938">
        <w:rPr>
          <w:rFonts w:ascii="Tw Cen MT" w:eastAsia="Times New Roman" w:hAnsi="Tw Cen MT"/>
          <w:color w:val="000000"/>
          <w:sz w:val="24"/>
          <w:szCs w:val="24"/>
          <w:lang w:val="id-ID" w:eastAsia="id-ID"/>
        </w:rPr>
        <w:t>that ha</w:t>
      </w:r>
      <w:r w:rsidR="00272A5C">
        <w:rPr>
          <w:rFonts w:ascii="Tw Cen MT" w:eastAsia="Times New Roman" w:hAnsi="Tw Cen MT"/>
          <w:color w:val="000000"/>
          <w:sz w:val="24"/>
          <w:szCs w:val="24"/>
          <w:lang w:eastAsia="id-ID"/>
        </w:rPr>
        <w:t>s</w:t>
      </w:r>
      <w:r w:rsidRPr="00FD4938">
        <w:rPr>
          <w:rFonts w:ascii="Tw Cen MT" w:eastAsia="Times New Roman" w:hAnsi="Tw Cen MT"/>
          <w:color w:val="000000"/>
          <w:sz w:val="24"/>
          <w:szCs w:val="24"/>
          <w:lang w:val="id-ID" w:eastAsia="id-ID"/>
        </w:rPr>
        <w:t xml:space="preserve"> improved with stakeholder engagement, access to resources, financial support, transparency and accountability, and implementing key initiatives (separation of </w:t>
      </w:r>
      <w:r w:rsidRPr="00FD4938">
        <w:rPr>
          <w:rFonts w:ascii="Tw Cen MT" w:eastAsia="Times New Roman" w:hAnsi="Tw Cen MT"/>
          <w:color w:val="000000"/>
          <w:sz w:val="24"/>
          <w:szCs w:val="24"/>
          <w:lang w:val="id-ID" w:eastAsia="id-ID"/>
        </w:rPr>
        <w:lastRenderedPageBreak/>
        <w:t xml:space="preserve">sources, expansion of collection services, revision of fees, reuse of materials, education, and awareness and planning) of sustainable waste management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[8]</w:t>
      </w:r>
      <w:r w:rsidRPr="00FD4938">
        <w:rPr>
          <w:rFonts w:ascii="Tw Cen MT" w:hAnsi="Tw Cen MT"/>
          <w:sz w:val="24"/>
          <w:szCs w:val="24"/>
        </w:rPr>
        <w:fldChar w:fldCharType="end"/>
      </w:r>
      <w:r w:rsidRPr="00FD4938">
        <w:rPr>
          <w:rFonts w:ascii="Tw Cen MT" w:eastAsia="Times New Roman" w:hAnsi="Tw Cen MT"/>
          <w:color w:val="000000"/>
          <w:sz w:val="24"/>
          <w:szCs w:val="24"/>
          <w:lang w:val="id-ID" w:eastAsia="id-ID"/>
        </w:rPr>
        <w:t xml:space="preserve">. The city government in Langkawi needs to find and adopt a model for waste management that emphasizes efficient and sustainable waste management on Langkawi Island, based on waste composition, </w:t>
      </w:r>
      <w:r w:rsidR="00272A5C">
        <w:rPr>
          <w:rFonts w:ascii="Tw Cen MT" w:eastAsia="Times New Roman" w:hAnsi="Tw Cen MT"/>
          <w:color w:val="000000"/>
          <w:sz w:val="24"/>
          <w:szCs w:val="24"/>
          <w:lang w:eastAsia="id-ID"/>
        </w:rPr>
        <w:t xml:space="preserve">and </w:t>
      </w:r>
      <w:r w:rsidRPr="00FD4938">
        <w:rPr>
          <w:rFonts w:ascii="Tw Cen MT" w:eastAsia="Times New Roman" w:hAnsi="Tw Cen MT"/>
          <w:color w:val="000000"/>
          <w:sz w:val="24"/>
          <w:szCs w:val="24"/>
          <w:lang w:val="id-ID" w:eastAsia="id-ID"/>
        </w:rPr>
        <w:t xml:space="preserve">views of residents and tourists on the island's waste management issues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{"citationItems":[{"id":"ITEM-1","itemData":{"DOI":"10.1155/2011/709549","ISSN":"1687-9805","abstract":"The population growth, changing consumption patterns, and rapid urbanization contribute significantly to the growing volumes of solid waste that are generated in urban settings. As the rate of urbanization increases, demand on the services of solid waste management increases. The rapid urban growth in Langkawi Island, Malaysia, combined with the increasing rates of solid waste production has provided evidence that the traditional solid waste management practices, particularly the methods of waste collection and disposal, are inefficient and quite nonsustainable. Accordingly, municipal managers and planners in Langkawi need to look for and adopt a model for solid waste management that emphasizes an efficient and sustainable management of solid wastes in Langkawi Island. This study presents the current practices of solid waste management in Langkawi Island, describes the composition of the solid waste generated in that area, and presents views of local residents and tourist on issues related to solid waste management like the aesthetic value of the island environment. The most important issue of this paper is that it is the first time that integrated solid waste management is investigated in the Langkawi Island.","author":[{"dropping-particle":"","family":"Shamshiry","given":"Elmira","non-dropping-particle":"","parse-names":false,"suffix":""},{"dropping-particle":"","family":"Nadi","given":"Behzad","non-dropping-particle":"","parse-names":false,"suffix":""},{"dropping-particle":"","family":"Mokhtar","given":"Mazlin","non-dropping-particle":"Bin","parse-names":false,"suffix":""},{"dropping-particle":"","family":"Komoo","given":"Ibrahim","non-dropping-particle":"","parse-names":false,"suffix":""},{"dropping-particle":"","family":"Saadiah Hashim","given":"Halimaton","non-dropping-particle":"","parse-names":false,"suffix":""},{"dropping-particle":"","family":"Yahaya","given":"Nadzri","non-dropping-particle":"","parse-names":false,"suffix":""}],"container-title":"Journal of Environmental and Public Health","id":"ITEM-1","issued":{"date-parts":[["2011"]]},"page":"1-5","title":"Integrated Models for Solid Waste Management in Tourism Regions: Langkawi Island, Malaysia","type":"article-journal","volume":"2011"},"uris":["http://www.mendeley.com/documents/?uuid=0ed74143-2bdc-40d0-938c-60837b10e640"]}],"mendeley":{"formattedCitation":"[9]","plainTextFormattedCitation":"[9]","previouslyFormattedCitation":"[9]"},"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[9]</w:t>
      </w:r>
      <w:r w:rsidRPr="00FD4938">
        <w:rPr>
          <w:rFonts w:ascii="Tw Cen MT" w:hAnsi="Tw Cen MT"/>
          <w:sz w:val="24"/>
          <w:szCs w:val="24"/>
        </w:rPr>
        <w:fldChar w:fldCharType="end"/>
      </w:r>
      <w:r w:rsidRPr="00FD4938">
        <w:rPr>
          <w:rFonts w:ascii="Tw Cen MT" w:hAnsi="Tw Cen MT"/>
          <w:sz w:val="24"/>
          <w:szCs w:val="24"/>
          <w:lang w:val="id-ID"/>
        </w:rPr>
        <w:t>.</w:t>
      </w:r>
    </w:p>
    <w:p w14:paraId="15B503FE" w14:textId="6FB8F35C" w:rsidR="00FD4938" w:rsidRPr="00FD4938" w:rsidRDefault="00FD4938" w:rsidP="001A1991">
      <w:pPr>
        <w:spacing w:after="0" w:line="240" w:lineRule="auto"/>
        <w:jc w:val="both"/>
        <w:rPr>
          <w:rStyle w:val="tlid-translation"/>
          <w:rFonts w:ascii="Tw Cen MT" w:hAnsi="Tw Cen MT"/>
          <w:sz w:val="24"/>
          <w:szCs w:val="24"/>
          <w:lang w:val="id-ID"/>
        </w:rPr>
      </w:pPr>
      <w:r w:rsidRPr="00FD4938">
        <w:rPr>
          <w:rStyle w:val="tlid-translation"/>
          <w:rFonts w:ascii="Tw Cen MT" w:hAnsi="Tw Cen MT"/>
          <w:sz w:val="24"/>
          <w:szCs w:val="24"/>
          <w:lang w:val="id-ID"/>
        </w:rPr>
        <w:t xml:space="preserve">One of the boosters for recycling and waste reduction in the Japanese context is the shortage of final processing sites due to the country's high population density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{"citationItems":[{"id":"ITEM-1","itemData":{"DOI":"10.1177/0734242X09349417","ISSN":"0734242X","PMID":"19942650","abstract":"Despite some progress, municipal solid waste (MSW) still poses pressure on cities and remains one of the major challenges in environmental management. There is no single solution to the problem since the drivers behind MSW systems may vary significantly from city to city. In this context, the development of a common strategy to attain a sustainable management has been increasingly difficult. This paper presents an issue-driven analytical framework to evaluate the past, present and future MSW management strategy for the cities of Yokohama and Boston considering four driver categories while evaluating if the relevance of these drivers has changed over time. These categories represent: (i) legal drivers (e.g. laws and regulations); (ii) technology development and institutional drivers (e.g. available technologies); (iii) regional and international drivers (e.g. solid waste flow as recyclable resources); and (iv) socio-economic drivers (e.g. population trends and public awareness). The analysis indicated that solid waste management capacity for both cases was under stress due to different reasons. In the case of Boston, the moratorium for disposal facilities played an important role while increasing population was a key driver for the city of Yokohama. The future management scenario suggests that various waste-to-energy alternatives and strong solid waste reduction policies will play a key role for Boston. In Yokohama, a shift on waste composition and generation triggered by a demographic change may open the path for new technologies while also considering the international demand of solid waste as a recyclable resource.","author":[{"dropping-particle":"","family":"Contreras","given":"Francisco","non-dropping-particle":"","parse-names":false,"suffix":""},{"dropping-particle":"","family":"Ishii","given":"Satoshi","non-dropping-particle":"","parse-names":false,"suffix":""},{"dropping-particle":"","family":"Aramaki","given":"Toshiya","non-dropping-particle":"","parse-names":false,"suffix":""},{"dropping-particle":"","family":"Hanaki","given":"Keisuke","non-dropping-particle":"","parse-names":false,"suffix":""},{"dropping-particle":"","family":"Connors","given":"Stephen","non-dropping-particle":"","parse-names":false,"suffix":""}],"container-title":"Waste Management and Research","id":"ITEM-1","issue":"1","issued":{"date-parts":[["2010"]]},"page":"76-93","title":"Drivers in current and future municipal solid waste management systems: Cases in Yokohama and Boston","type":"article-journal","volume":"28"},"uris":["http://www.mendeley.com/documents/?uuid=0ccd1243-3eed-4b55-bb9d-dcad53d8ecdc"]}],"mendeley":{"formattedCitation":"[10]","plainTextFormattedCitation":"[10]","previouslyFormattedCitation":"[10]"},"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[10]</w:t>
      </w:r>
      <w:r w:rsidRPr="00FD4938">
        <w:rPr>
          <w:rFonts w:ascii="Tw Cen MT" w:hAnsi="Tw Cen MT"/>
          <w:sz w:val="24"/>
          <w:szCs w:val="24"/>
        </w:rPr>
        <w:fldChar w:fldCharType="end"/>
      </w:r>
      <w:r w:rsidRPr="00FD4938">
        <w:rPr>
          <w:rFonts w:ascii="Tw Cen MT" w:hAnsi="Tw Cen MT"/>
          <w:sz w:val="24"/>
          <w:szCs w:val="24"/>
          <w:lang w:val="id-ID"/>
        </w:rPr>
        <w:t xml:space="preserve"> </w:t>
      </w:r>
      <w:r w:rsidRPr="00FD4938">
        <w:rPr>
          <w:rStyle w:val="tlid-translation"/>
          <w:rFonts w:ascii="Tw Cen MT" w:hAnsi="Tw Cen MT"/>
          <w:sz w:val="24"/>
          <w:szCs w:val="24"/>
          <w:lang w:val="id-ID"/>
        </w:rPr>
        <w:t xml:space="preserve">indicates limited waste management capacity boosted by increasing population policies. Sole ownership and management of the landfill site by the government (as opposed to joint ownership or the absence of a landfill site) assists in </w:t>
      </w:r>
      <w:r w:rsidR="00272A5C">
        <w:rPr>
          <w:rStyle w:val="tlid-translation"/>
          <w:rFonts w:ascii="Tw Cen MT" w:hAnsi="Tw Cen MT"/>
          <w:sz w:val="24"/>
          <w:szCs w:val="24"/>
        </w:rPr>
        <w:t xml:space="preserve">the </w:t>
      </w:r>
      <w:r w:rsidRPr="00FD4938">
        <w:rPr>
          <w:rStyle w:val="tlid-translation"/>
          <w:rFonts w:ascii="Tw Cen MT" w:hAnsi="Tw Cen MT"/>
          <w:sz w:val="24"/>
          <w:szCs w:val="24"/>
          <w:lang w:val="id-ID"/>
        </w:rPr>
        <w:t xml:space="preserve">segregation and collection of resources and extends the span of the landfill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{"citationItems":[{"id":"ITEM-1","itemData":{"DOI":"10.1080/00036846.2016.1270414","ISSN":"14664283","abstract":"Some empirical studies have attempted to clarify the mechanism of illegal dumping by examining the degree to which per-bag pricing plays a role. However, previous research on the behaviour of avoiding paying a charge for waste collection has tended to neglect so-called ‘immoral disposal,’ which is less risky than illegal dumping because there is no legal penalty. In this study, we define immoral disposal as the dumping of waste in a manner that is immoral but not illegal. To detect the existence of immoral disposal, we apply a spatial econometric approach, namely an extended panel spatial Durbin model, to identify the actual spillover effect of garbage pricing in neighbouring municipalities on immoral disposal from the total waste. A major finding of this study is that immoral disposal exists in unit-based pricing, two-tiered pricing, and fixed pricing.","author":[{"dropping-particle":"","family":"Usui","given":"Takehiro","non-dropping-particle":"","parse-names":false,"suffix":""},{"dropping-particle":"","family":"Chikasada","given":"Mitsuko","non-dropping-particle":"","parse-names":false,"suffix":""},{"dropping-particle":"","family":"Kakamu","given":"Kazuhiko","non-dropping-particle":"","parse-names":false,"suffix":""}],"container-title":"Applied Economics","id":"ITEM-1","issue":"38","issued":{"date-parts":[["2017"]]},"page":"3829-3840","publisher":"Routledge","title":"Does garbage pricing increase the immoral disposal of household waste?","type":"article-journal","volume":"49"},"uris":["http://www.mendeley.com/documents/?uuid=a2824db6-e3a9-4b32-96f4-7c60e22aa99a"]}],"mendeley":{"formattedCitation":"[11]","plainTextFormattedCitation":"[11]","previouslyFormattedCitation":"[11]"},"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[11]</w:t>
      </w:r>
      <w:r w:rsidRPr="00FD4938">
        <w:rPr>
          <w:rFonts w:ascii="Tw Cen MT" w:hAnsi="Tw Cen MT"/>
          <w:sz w:val="24"/>
          <w:szCs w:val="24"/>
        </w:rPr>
        <w:fldChar w:fldCharType="end"/>
      </w:r>
      <w:r w:rsidRPr="00FD4938">
        <w:rPr>
          <w:rFonts w:ascii="Tw Cen MT" w:hAnsi="Tw Cen MT"/>
          <w:sz w:val="24"/>
          <w:szCs w:val="24"/>
          <w:lang w:val="id-ID"/>
        </w:rPr>
        <w:t xml:space="preserve">. </w:t>
      </w:r>
    </w:p>
    <w:p w14:paraId="4A8A10C7" w14:textId="46FC8F1F" w:rsidR="00FD4938" w:rsidRPr="00FD4938" w:rsidRDefault="00FD4938" w:rsidP="001A1991">
      <w:pPr>
        <w:spacing w:after="0" w:line="240" w:lineRule="auto"/>
        <w:jc w:val="both"/>
        <w:rPr>
          <w:rFonts w:ascii="Tw Cen MT" w:hAnsi="Tw Cen MT"/>
          <w:sz w:val="24"/>
          <w:szCs w:val="24"/>
        </w:rPr>
      </w:pPr>
      <w:r w:rsidRPr="00FD4938">
        <w:rPr>
          <w:rFonts w:ascii="Tw Cen MT" w:hAnsi="Tw Cen MT"/>
          <w:sz w:val="24"/>
          <w:szCs w:val="24"/>
        </w:rPr>
        <w:t>Empowerment is a concept</w:t>
      </w:r>
      <w:r w:rsidR="00272A5C">
        <w:rPr>
          <w:rFonts w:ascii="Tw Cen MT" w:hAnsi="Tw Cen MT"/>
          <w:sz w:val="24"/>
          <w:szCs w:val="24"/>
        </w:rPr>
        <w:t xml:space="preserve"> </w:t>
      </w:r>
      <w:r w:rsidRPr="00FD4938">
        <w:rPr>
          <w:rFonts w:ascii="Tw Cen MT" w:hAnsi="Tw Cen MT"/>
          <w:sz w:val="24"/>
          <w:szCs w:val="24"/>
        </w:rPr>
        <w:t xml:space="preserve">oriented towards reducing formal and informal barriers, as well as efforts to give strength to communities, institutions, and government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{"citationItems":[{"id":"ITEM-1","itemData":{"DOI":"10.1080/09640568.2019.1576510","ISSN":"0964-0568","author":[{"dropping-particle":"","family":"Serge Kubanza","given":"Nzalalemba","non-dropping-particle":"","parse-names":false,"suffix":""},{"dropping-particle":"","family":"Simatele","given":"Mulala Danny","non-dropping-particle":"","parse-names":false,"suffix":""}],"container-title":"Journal of Environmental Planning and Management","id":"ITEM-1","issue":"0","issued":{"date-parts":[["2019"]]},"page":"1-14","publisher":"Routledge","title":"Sustainable solid waste management in developing countries: a study of institutional strengthening for solid waste management in Johannesburg, South Africa","type":"article-journal","volume":"0"},"uris":["http://www.mendeley.com/documents/?uuid=de5c9cef-65b6-4dd9-b0f0-2d3983214a46"]}],"mendeley":{"formattedCitation":"[12]","plainTextFormattedCitation":"[12]","previouslyFormattedCitation":"[12]"},"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[12]</w:t>
      </w:r>
      <w:r w:rsidRPr="00FD4938">
        <w:rPr>
          <w:rFonts w:ascii="Tw Cen MT" w:hAnsi="Tw Cen MT"/>
          <w:sz w:val="24"/>
          <w:szCs w:val="24"/>
        </w:rPr>
        <w:fldChar w:fldCharType="end"/>
      </w:r>
      <w:r w:rsidR="00F75E18">
        <w:rPr>
          <w:rFonts w:ascii="Tw Cen MT" w:hAnsi="Tw Cen MT"/>
          <w:sz w:val="24"/>
          <w:szCs w:val="24"/>
        </w:rPr>
        <w:t>;</w:t>
      </w:r>
      <w:r w:rsidR="003A1401">
        <w:rPr>
          <w:rFonts w:ascii="Tw Cen MT" w:hAnsi="Tw Cen MT"/>
          <w:sz w:val="24"/>
          <w:szCs w:val="24"/>
          <w:lang w:val="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{"citationItems":[{"id":"ITEM-1","itemData":{"DOI":"10.1016/j.wasman.2012.12.023","ISSN":"0956053X","PMID":"23360772","abstract":"Solid waste management (SWM) has become an issue of increasing global concern as urban populations continue to rise and consumption patterns change. The health and environmental implications associated with SWM are mounting in urgency, particularly in the context of developing countries. While systems analyses largely targeting well-defined, engineered systems have been used to help SWM agencies in industrialized countries since the 1960s, collection and removal dominate the SWM sector in developing countries. This review contrasts the history and current paradigms of SWM practices and policies in industrialized countries with the current challenges and complexities faced in developing country SWM. In industrialized countries, public health, environment, resource scarcity, climate change, and public awareness and participation have acted as SWM drivers towards the current paradigm of integrated SWM. However, urbanization, inequality, and economic growth; cultural and socio-economic aspects; policy, governance, and institutional issues; and international influences have complicated SWM in developing countries. This has limited the applicability of approaches that were successful along the SWM development trajectories of industrialized countries. This review demonstrates the importance of founding new SWM approaches for developing country contexts in post-normal science and complex, adaptive systems thinking. © 2013 Elsevier Ltd.","author":[{"dropping-particle":"","family":"Marshall","given":"Rachael E.","non-dropping-particle":"","parse-names":false,"suffix":""},{"dropping-particle":"","family":"Farahbakhsh","given":"Khosrow","non-dropping-particle":"","parse-names":false,"suffix":""}],"container-title":"Waste Management","id":"ITEM-1","issue":"4","issued":{"date-parts":[["2013"]]},"page":"988-1003","title":"Systems approaches to integrated solid waste management in developing countries","type":"article-journal","volume":"33"},"uris":["http://www.mendeley.com/documents/?uuid=b7378f2c-9480-4e3b-a0ab-e798d71b0d21"]}],"mendeley":{"formattedCitation":"[13]","plainTextFormattedCitation":"[13]","previouslyFormattedCitation":"[13]"},"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[13]</w:t>
      </w:r>
      <w:r w:rsidRPr="00FD4938">
        <w:rPr>
          <w:rFonts w:ascii="Tw Cen MT" w:hAnsi="Tw Cen MT"/>
          <w:sz w:val="24"/>
          <w:szCs w:val="24"/>
        </w:rPr>
        <w:fldChar w:fldCharType="end"/>
      </w:r>
      <w:r w:rsidR="00F75E18">
        <w:rPr>
          <w:rFonts w:ascii="Tw Cen MT" w:hAnsi="Tw Cen MT"/>
          <w:sz w:val="24"/>
          <w:szCs w:val="24"/>
        </w:rPr>
        <w:t>;</w:t>
      </w:r>
      <w:r w:rsidRPr="00FD4938">
        <w:rPr>
          <w:rFonts w:ascii="Tw Cen MT" w:hAnsi="Tw Cen MT"/>
          <w:sz w:val="24"/>
          <w:szCs w:val="24"/>
          <w:lang w:val="id-ID"/>
        </w:rPr>
        <w:t xml:space="preserv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author":[{"dropping-particle":"","family":"Keleher","given":"H.","non-dropping-particle":"","parse-names":false,"suffix":""},{"dropping-particle":"","family":"MacDougall","given":"C.","non-dropping-particle":"","parse-names":false,"suffix":""},{"dropping-particle":"","family":"Murphy","given":"B.","non-dropping-particle":"","parse-names":false,"suffix":""}],"id":"ITEM-1","issued":{"date-parts":[["2007"]]},"publisher":"Oxford University Press","publisher-place":"Australia","title":"Understanding health promotion","type":"book"},"uris":["http://www.mendeley.com/documents/?uuid=d714fc08-a27e-4d48-af86-01940ec55605"]}],"mendeley":{"formattedCitation":"[14]","plainTextFormattedCitation":"[14]","previouslyFormattedCitation":"[14]"},"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[14]</w:t>
      </w:r>
      <w:r w:rsidRPr="00FD4938">
        <w:rPr>
          <w:rFonts w:ascii="Tw Cen MT" w:hAnsi="Tw Cen MT"/>
          <w:bCs/>
          <w:sz w:val="24"/>
          <w:szCs w:val="24"/>
        </w:rPr>
        <w:fldChar w:fldCharType="end"/>
      </w:r>
      <w:r w:rsidRPr="00FD4938">
        <w:rPr>
          <w:rFonts w:ascii="Tw Cen MT" w:hAnsi="Tw Cen MT"/>
          <w:bCs/>
          <w:sz w:val="24"/>
          <w:szCs w:val="24"/>
          <w:lang w:val="id-ID"/>
        </w:rPr>
        <w:t xml:space="preserve">. </w:t>
      </w:r>
      <w:r w:rsidRPr="00FD4938">
        <w:rPr>
          <w:rFonts w:ascii="Tw Cen MT" w:hAnsi="Tw Cen MT"/>
          <w:sz w:val="24"/>
          <w:szCs w:val="24"/>
        </w:rPr>
        <w:t xml:space="preserve">Empowerment is an effort to make the community independent so consciously, </w:t>
      </w:r>
      <w:r w:rsidR="00272A5C">
        <w:rPr>
          <w:rFonts w:ascii="Tw Cen MT" w:hAnsi="Tw Cen MT"/>
          <w:sz w:val="24"/>
          <w:szCs w:val="24"/>
        </w:rPr>
        <w:t xml:space="preserve">that </w:t>
      </w:r>
      <w:r w:rsidRPr="00FD4938">
        <w:rPr>
          <w:rFonts w:ascii="Tw Cen MT" w:hAnsi="Tw Cen MT"/>
          <w:sz w:val="24"/>
          <w:szCs w:val="24"/>
        </w:rPr>
        <w:t>they are competent in making decisions and solving problems independently. Empowerment of public health is an effort to raise awareness and the ability of the community to have the strength to live independently in realizing optimal health degrees</w:t>
      </w:r>
      <w:r w:rsidRPr="00FD4938">
        <w:rPr>
          <w:rFonts w:ascii="Tw Cen MT" w:hAnsi="Tw Cen MT"/>
          <w:sz w:val="24"/>
          <w:szCs w:val="24"/>
          <w:lang w:val="id-ID"/>
        </w:rPr>
        <w:t xml:space="preserve">. </w:t>
      </w:r>
      <w:r w:rsidRPr="00FD4938">
        <w:rPr>
          <w:rFonts w:ascii="Tw Cen MT" w:hAnsi="Tw Cen MT"/>
          <w:sz w:val="24"/>
          <w:szCs w:val="24"/>
        </w:rPr>
        <w:t>The occurrence of affective, cognitive, psychomotor, and conative empowerment can contribute to the creation of independence.</w:t>
      </w:r>
    </w:p>
    <w:p w14:paraId="2DB28BA5" w14:textId="4B9522A1" w:rsidR="00CE6FEA" w:rsidRDefault="00FD4938" w:rsidP="001A1991">
      <w:pPr>
        <w:spacing w:after="0" w:line="240" w:lineRule="auto"/>
        <w:jc w:val="both"/>
        <w:rPr>
          <w:rFonts w:ascii="Tw Cen MT" w:hAnsi="Tw Cen MT"/>
          <w:sz w:val="24"/>
          <w:szCs w:val="24"/>
        </w:rPr>
      </w:pPr>
      <w:r w:rsidRPr="00FD4938">
        <w:rPr>
          <w:rFonts w:ascii="Tw Cen MT" w:hAnsi="Tw Cen MT"/>
          <w:sz w:val="24"/>
          <w:szCs w:val="24"/>
        </w:rPr>
        <w:t xml:space="preserve">The wrong assumption in terms of community participation is that local governments must assume responsibility for </w:t>
      </w:r>
    </w:p>
    <w:p w14:paraId="35A3FB41" w14:textId="31B17747" w:rsidR="00FD4938" w:rsidRPr="00FD4938" w:rsidRDefault="00FD4938" w:rsidP="00CE6FEA">
      <w:pPr>
        <w:spacing w:after="0" w:line="240" w:lineRule="auto"/>
        <w:jc w:val="both"/>
        <w:rPr>
          <w:rFonts w:ascii="Tw Cen MT" w:hAnsi="Tw Cen MT"/>
          <w:sz w:val="24"/>
          <w:szCs w:val="24"/>
        </w:rPr>
      </w:pPr>
      <w:r w:rsidRPr="00FD4938">
        <w:rPr>
          <w:rFonts w:ascii="Tw Cen MT" w:hAnsi="Tw Cen MT"/>
          <w:sz w:val="24"/>
          <w:szCs w:val="24"/>
        </w:rPr>
        <w:t xml:space="preserve">waste management and the community is not expected to take part or contribute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{"citationItems":[{"id":"ITEM-1","itemData":{"ISSN":"05643295","abstract":"Low waste collection efficiency and financial constraints along with poor planning and lack of study on changing complexities of municipal waste lead to worsening of municipal solid waste related problem, which results in masking the goal of sustainable management of municipal solid waste (MSW). An integrated planning and capacity building is required backed by financial support to control the situation. Life cycle assessment, categorisation, recycling and reduction in all types of wastes and proper landfilling are required.","author":[{"dropping-particle":"","family":"Jha","given":"Arvind K.","non-dropping-particle":"","parse-names":false,"suffix":""},{"dropping-particle":"","family":"Singh","given":"S. K.","non-dropping-particle":"","parse-names":false,"suffix":""},{"dropping-particle":"","family":"Singh","given":"G. P.","non-dropping-particle":"","parse-names":false,"suffix":""},{"dropping-particle":"","family":"Gupta","given":"Prabhat K.","non-dropping-particle":"","parse-names":false,"suffix":""}],"container-title":"Tropical Ecology","id":"ITEM-1","issue":"1","issued":{"date-parts":[["2011"]]},"page":"123-121","title":"Sustainable municipal solid waste management in low income group of cities: A review","type":"article-journal","volume":"52"},"uris":["http://www.mendeley.com/documents/?uuid=c4504844-e747-4122-b313-525fb9e0db1e"]}],"mendeley":{"formattedCitation":"[15]","plainTextFormattedCitation":"[15]","previouslyFormattedCitation":"[15]"},"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[15]</w:t>
      </w:r>
      <w:r w:rsidRPr="00FD4938">
        <w:rPr>
          <w:rFonts w:ascii="Tw Cen MT" w:hAnsi="Tw Cen MT"/>
          <w:bCs/>
          <w:sz w:val="24"/>
          <w:szCs w:val="24"/>
        </w:rPr>
        <w:fldChar w:fldCharType="end"/>
      </w:r>
      <w:r w:rsidRPr="00FD4938">
        <w:rPr>
          <w:rFonts w:ascii="Tw Cen MT" w:hAnsi="Tw Cen MT"/>
          <w:sz w:val="24"/>
          <w:szCs w:val="24"/>
        </w:rPr>
        <w:t>. The level of community involvement in waste management depends on the initiatives of local authorities</w:t>
      </w:r>
      <w:r w:rsidRPr="00FD4938">
        <w:rPr>
          <w:rFonts w:ascii="Tw Cen MT" w:hAnsi="Tw Cen MT"/>
          <w:sz w:val="24"/>
          <w:szCs w:val="24"/>
          <w:lang w:val="id-ID"/>
        </w:rPr>
        <w:t xml:space="preserve">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{"citationItems":[{"id":"ITEM-1","itemData":{"DOI":"10.4108/eai.22-10-2019.2291486","author":[{"dropping-particle":"","family":"Ikhwan","given":"Zainul","non-dropping-particle":"","parse-names":false,"suffix":""},{"dropping-particle":"","family":"Harahap","given":"R. Hamdani","non-dropping-particle":"","parse-names":false,"suffix":""},{"dropping-particle":"","family":"Andayani","given":"Lita","non-dropping-particle":"","parse-names":false,"suffix":""},{"dropping-particle":"","family":"Mulya","given":"Miswar","non-dropping-particle":"","parse-names":false,"suffix":""}],"container-title":"ICESSD 2019, October 22-23, Jakarta, Indonesia","id":"ITEM-1","issued":{"date-parts":[["2019"]]},"page":"1-10","title":"Partnership As An Effort To Consolidate Waste Management Initiatives In Tourism Destinations On Small Islands: The Case Of Penyengat Island","type":"paper-conference"},"uris":["http://www.mendeley.com/documents/?uuid=04713e19-b3ad-4fe0-8156-d10ad19c8556"]},{"id":"ITEM-2","itemData":{"DOI":"10.1016/j.jssas.2011.03.009","ISSN":"1658077X","abstract":"The liquid and bio-solids (landfill sediments) product from landfills has many toxic substances, which may adversely affect on the environmental health. Thus in order to have a better management of characteristics of Riyadh landfill leachates, 80 representative landfill leachate samples were collected and analyzed from February to May 2008. The analysis of landfill leachates includes pH, ECw, concentrations of soluble ions, chemical oxygen demand (COD), total suspended solids (TSS), and heavy metals contents. The obtained results showed that the landfill leachates are characterized by high concentrations of COD (13,900–22,350) mg 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TSS of (2280</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8912)</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ECw values of (42.5</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58.3)</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dS</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but the pH values ranged 5.49</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6.32. Moreover, the leachates had higher concentrations of soluble Na+, K+, Ca2+, Mg2+, Cl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 HCO3- and SO42-. In addition, the leachates contained Fe, Mn, As, Ni, Cr, Zn and Cu in concentrations equivalent to: 104, 11.0, 1.4, 0.6, 0.25, 0.2 and 0.14</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respectively. While in the bio-solids (landfill sediments) the average content of Cd, Cr, Cu, Fe, Mn, Mo, Ni and V reached to 10, 242, 234, 48,608, 190, 18, 166 and 24 mg kg</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The relatively higher variations between the upper and lower limits (maximum and minimum values) of the studying parameters lead to conclude that it is essential to conduct a long-term monitoring program to obtain representative information and this fluctuation should be considered when operating the leachate treatment plant.","author":[{"dropping-particle":"","family":"Al-Wabel","given":"M. I.","non-dropping-particle":"","parse-names":false,"suffix":""},{"dropping-particle":"","family":"Yehya","given":"W. S.","non-dropping-particle":"Al","parse-names":false,"suffix":""},{"dropping-particle":"","family":"AL-Farraj","given":"A. S.","non-dropping-particle":"","parse-names":false,"suffix":""},{"dropping-particle":"","family":"El-Maghraby","given":"S. E.","non-dropping-particle":"","parse-names":false,"suffix":""}],"container-title":"Journal of the Saudi Society of Agricultural Sciences","id":"ITEM-2","issue":"2","issued":{"date-parts":[["2011"]]},"page":"65-70","publisher":"King Saud University &amp; Saudi Society of Agricultural Sciences","title":"Characteristics of landfill leachates and bio-solids of municipal solid waste (MSW) in Riyadh City, Saudi Arabia","type":"article-journal","volume":"10"},"uris":["http://www.mendeley.com/documents/?uuid=fa30a41b-5638-4066-81a0-22792b462a46"]}],"mendeley":{"formattedCitation":"[16], [17]","plainTextFormattedCitation":"[16], [17]","previouslyFormattedCitation":"[16], [17]"},"properties":{"noteIndex":0},"schema":"https://github.com/citation-style-language/schema/raw/master/csl-citation.json"}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[16]</w:t>
      </w:r>
      <w:r w:rsidR="001A1991">
        <w:rPr>
          <w:rStyle w:val="jlqj4b"/>
          <w:rFonts w:ascii="Tw Cen MT" w:hAnsi="Tw Cen MT" w:cstheme="majorBidi"/>
          <w:noProof/>
          <w:sz w:val="24"/>
          <w:szCs w:val="24"/>
        </w:rPr>
        <w:t>;</w:t>
      </w:r>
      <w:r w:rsidR="004A3BD1" w:rsidRPr="004A3BD1">
        <w:rPr>
          <w:rStyle w:val="jlqj4b"/>
          <w:rFonts w:ascii="Tw Cen MT" w:hAnsi="Tw Cen MT" w:cstheme="majorBidi"/>
          <w:noProof/>
          <w:sz w:val="24"/>
          <w:szCs w:val="24"/>
        </w:rPr>
        <w:t xml:space="preserve"> [17]</w:t>
      </w:r>
      <w:r w:rsidRPr="00FD4938">
        <w:rPr>
          <w:rStyle w:val="jlqj4b"/>
          <w:rFonts w:ascii="Tw Cen MT" w:hAnsi="Tw Cen MT" w:cstheme="majorBidi"/>
          <w:sz w:val="24"/>
          <w:szCs w:val="24"/>
        </w:rPr>
        <w:fldChar w:fldCharType="end"/>
      </w:r>
      <w:r w:rsidRPr="00FD4938">
        <w:rPr>
          <w:rFonts w:ascii="Tw Cen MT" w:hAnsi="Tw Cen MT"/>
          <w:sz w:val="24"/>
          <w:szCs w:val="24"/>
        </w:rPr>
        <w:t xml:space="preserve">. Government agencies and citizens must take an active part </w:t>
      </w:r>
      <w:r w:rsidRPr="00FD4938">
        <w:rPr>
          <w:rFonts w:ascii="Tw Cen MT" w:hAnsi="Tw Cen MT"/>
          <w:sz w:val="24"/>
          <w:szCs w:val="24"/>
        </w:rPr>
        <w:t>to realize the operational efficiency of waste management, and community participation in decision</w:t>
      </w:r>
      <w:r w:rsidR="00272A5C">
        <w:rPr>
          <w:rFonts w:ascii="Tw Cen MT" w:hAnsi="Tw Cen MT"/>
          <w:sz w:val="24"/>
          <w:szCs w:val="24"/>
        </w:rPr>
        <w:t>-</w:t>
      </w:r>
      <w:r w:rsidRPr="00FD4938">
        <w:rPr>
          <w:rFonts w:ascii="Tw Cen MT" w:hAnsi="Tw Cen MT"/>
          <w:sz w:val="24"/>
          <w:szCs w:val="24"/>
        </w:rPr>
        <w:t xml:space="preserve">making is mentioned by experts as a socio-cultural aspect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{"citationItems":[{"id":"ITEM-1","itemData":{"DOI":"10.11648/j.ajaf.20140202.14","ISSN":"2330-8583","author":[{"dropping-particle":"","family":"Fathi, Zangane, Hamed","given":"Moradi","non-dropping-particle":"","parse-names":false,"suffix":""}],"container-title":"American Journal of Agriculture and Forestry","id":"ITEM-1","issue":"2","issued":{"date-parts":[["2014"]]},"page":"39","title":"Municipal Solid Waste Characterization and It Is Assessment for Potential Compost Production: A Case Study in Zanjan City, Iran","type":"article-journal","volume":"2"},"uris":["http://www.mendeley.com/documents/?uuid=07102b8e-4238-417a-ad41-a94faf69c596"]}],"mendeley":{"formattedCitation":"[18]","plainTextFormattedCitation":"[18]","previouslyFormattedCitation":"[18]"},"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[18]</w:t>
      </w:r>
      <w:r w:rsidRPr="00FD4938">
        <w:rPr>
          <w:rFonts w:ascii="Tw Cen MT" w:hAnsi="Tw Cen MT"/>
          <w:bCs/>
          <w:sz w:val="24"/>
          <w:szCs w:val="24"/>
        </w:rPr>
        <w:fldChar w:fldCharType="end"/>
      </w:r>
      <w:r w:rsidRPr="00FD4938">
        <w:rPr>
          <w:rFonts w:ascii="Tw Cen MT" w:hAnsi="Tw Cen MT"/>
          <w:sz w:val="24"/>
          <w:szCs w:val="24"/>
        </w:rPr>
        <w:t xml:space="preserve"> in addition, public awareness and social apathy for solutions </w:t>
      </w:r>
      <w:r w:rsidRPr="00FD4938">
        <w:rPr>
          <w:rFonts w:ascii="Tw Cen MT" w:hAnsi="Tw Cen MT"/>
          <w:bCs/>
          <w:sz w:val="24"/>
          <w:szCs w:val="24"/>
          <w:lang w:val="id-ID"/>
        </w:rPr>
        <w:fldChar w:fldCharType="begin" w:fldLock="1"/>
      </w:r>
      <w:r w:rsidR="004A3BD1">
        <w:rPr>
          <w:rFonts w:ascii="Tw Cen MT" w:hAnsi="Tw Cen MT"/>
          <w:bCs/>
          <w:sz w:val="24"/>
          <w:szCs w:val="24"/>
          <w:lang w:val="id-ID"/>
        </w:rPr>
        <w:instrText>ADDIN CSL_CITATION {"citationItems":[{"id":"ITEM-1","itemData":{"DOI":"10.1016/j.jseaes.2014.12.016","ISSN":"13679120","abstract":"Iran is a mosaic of continental terranes of Cadomian (520-600. Ma) age, stitched together along sutures decorated by Paleozoic and Mesozoic ophiolites. Here we present the current understanding of the Mesozoic (and rare Cenozoic) ophiolites of Iran for the international geoscientific audience. We summarize field, chemical and geochronological data from the literature and our own unpublished data. Mesozoic ophiolites of Iran are mostly Cretaceous in age and are related to the Neotethys and associated backarc basins on the S flank of Eurasia. These ophiolites can be subdivided into five belts: 1. Late Cretaceous Zagros outer belt ophiolites (ZOB) along the Main Zagros Thrust including Late Cretaceous-Early Paleocene Maku-Khoy-Salmas ophiolites in NW Iran as well as Kermanshah-Kurdistan, Neyriz and Esfandagheh (Haji Abad) ophiolites, also Late Cretaceous-Eocene ophiolites along the Iraq-Iran border; 2. Late Cretaceous Zagros inner belt ophiolites (ZIB) including Nain, Dehshir, Shahr-e-Babak and Balvard-Baft ophiolites along the southern periphery of the Central Iranian block and bending north into it; 3. Late Cretaceous-Early Paleocene Sabzevar-Torbat-e-Heydarieh ophiolites of NE Iran; 4. Early to Late Cretaceous Birjand-Nehbandan-Tchehel-Kureh ophiolites in eastern Iran between the Lut and Afghan blocks; and 5. Late Jurassic-Cretaceous Makran ophiolites of SE Iran including Kahnuj ophiolites. Most Mesozoic ophiolites of Iran show supra-subduction zone (SSZ) geochemical signatures, indicating that SW Asia was a site of plate convergence during Late Mesozoic time, but also include a significant proportion showing ocean-island basalt affinities, perhaps indicating the involvement of subcontinental lithospheric mantle.","author":[{"dropping-particle":"","family":"Moghadam","given":"Hadi Shafaii","non-dropping-particle":"","parse-names":false,"suffix":""},{"dropping-particle":"","family":"Stern","given":"Robert J.","non-dropping-particle":"","parse-names":false,"suffix":""}],"container-title":"Journal of Asian Earth Sciences","id":"ITEM-1","issued":{"date-parts":[["2015"]]},"page":"31-59","publisher":"Elsevier Ltd","title":"Ophiolites of Iran: Keys to understanding the tectonic evolution of SW Asia: (II) Mesozoic ophiolites","type":"article-journal","volume":"100"},"uris":["http://www.mendeley.com/documents/?uuid=6d2dfb54-6c48-4938-86a0-287294a2c70a"]}],"mendeley":{"formattedCitation":"[19]","plainTextFormattedCitation":"[19]","previouslyFormattedCitation":"[19]"},"properties":{"noteIndex":0},"schema":"https://github.com/citation-style-language/schema/raw/master/csl-citation.json"}</w:instrText>
      </w:r>
      <w:r w:rsidRPr="00FD4938">
        <w:rPr>
          <w:rFonts w:ascii="Tw Cen MT" w:hAnsi="Tw Cen MT"/>
          <w:bCs/>
          <w:sz w:val="24"/>
          <w:szCs w:val="24"/>
          <w:lang w:val="id-ID"/>
        </w:rPr>
        <w:fldChar w:fldCharType="separate"/>
      </w:r>
      <w:r w:rsidR="004A3BD1" w:rsidRPr="004A3BD1">
        <w:rPr>
          <w:rFonts w:ascii="Tw Cen MT" w:hAnsi="Tw Cen MT"/>
          <w:bCs/>
          <w:noProof/>
          <w:sz w:val="24"/>
          <w:szCs w:val="24"/>
          <w:lang w:val="id-ID"/>
        </w:rPr>
        <w:t>[19]</w:t>
      </w:r>
      <w:r w:rsidRPr="00FD4938">
        <w:rPr>
          <w:rFonts w:ascii="Tw Cen MT" w:hAnsi="Tw Cen MT"/>
          <w:bCs/>
          <w:sz w:val="24"/>
          <w:szCs w:val="24"/>
          <w:lang w:val="id-ID"/>
        </w:rPr>
        <w:fldChar w:fldCharType="end"/>
      </w:r>
      <w:r w:rsidRPr="00FD4938">
        <w:rPr>
          <w:rFonts w:ascii="Tw Cen MT" w:hAnsi="Tw Cen MT"/>
          <w:bCs/>
          <w:sz w:val="24"/>
          <w:szCs w:val="24"/>
          <w:lang w:val="id-ID"/>
        </w:rPr>
        <w:t>.</w:t>
      </w:r>
    </w:p>
    <w:p w14:paraId="6EEABCEF" w14:textId="77777777" w:rsidR="0081084F" w:rsidRPr="00FD4938" w:rsidRDefault="0081084F" w:rsidP="00FD4938">
      <w:pPr>
        <w:spacing w:after="0" w:line="240" w:lineRule="auto"/>
        <w:jc w:val="both"/>
        <w:rPr>
          <w:rFonts w:ascii="Tw Cen MT" w:eastAsia="Twentieth Century" w:hAnsi="Tw Cen MT" w:cs="Twentieth Century"/>
          <w:color w:val="000000"/>
          <w:sz w:val="24"/>
          <w:szCs w:val="24"/>
        </w:rPr>
      </w:pPr>
    </w:p>
    <w:p w14:paraId="3E5F123D" w14:textId="77777777" w:rsidR="00D509F7" w:rsidRPr="00FD4938" w:rsidRDefault="00D509F7" w:rsidP="00FD4938">
      <w:pPr>
        <w:spacing w:after="0" w:line="240" w:lineRule="auto"/>
        <w:jc w:val="both"/>
        <w:rPr>
          <w:rFonts w:ascii="Tw Cen MT" w:hAnsi="Tw Cen MT"/>
          <w:b/>
          <w:sz w:val="24"/>
          <w:szCs w:val="24"/>
        </w:rPr>
      </w:pPr>
      <w:r w:rsidRPr="00FD4938">
        <w:rPr>
          <w:rFonts w:ascii="Tw Cen MT" w:hAnsi="Tw Cen MT"/>
          <w:b/>
          <w:sz w:val="24"/>
          <w:szCs w:val="24"/>
        </w:rPr>
        <w:t>METHOD</w:t>
      </w:r>
    </w:p>
    <w:p w14:paraId="604B79E9" w14:textId="42D279B1"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research method is qualitative. A systems approach is applied to formulate a collaborative strategy for the role of stakeholders in </w:t>
      </w:r>
      <w:r w:rsidR="00272A5C">
        <w:rPr>
          <w:rFonts w:ascii="Tw Cen MT" w:eastAsia="Twentieth Century" w:hAnsi="Tw Cen MT" w:cs="Twentieth Century"/>
          <w:sz w:val="24"/>
          <w:szCs w:val="24"/>
        </w:rPr>
        <w:t xml:space="preserve">the </w:t>
      </w:r>
      <w:r w:rsidRPr="00FD4938">
        <w:rPr>
          <w:rFonts w:ascii="Tw Cen MT" w:eastAsia="Twentieth Century" w:hAnsi="Tw Cen MT" w:cs="Twentieth Century"/>
          <w:sz w:val="24"/>
          <w:szCs w:val="24"/>
        </w:rPr>
        <w:t xml:space="preserve">proper management </w:t>
      </w:r>
      <w:r w:rsidR="00272A5C">
        <w:rPr>
          <w:rFonts w:ascii="Tw Cen MT" w:eastAsia="Twentieth Century" w:hAnsi="Tw Cen MT" w:cs="Twentieth Century"/>
          <w:sz w:val="24"/>
          <w:szCs w:val="24"/>
        </w:rPr>
        <w:t>of</w:t>
      </w: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qualitative approach was performed by in-depth interviews occupying interview guidelines aimed at exploring the implementation of the role of all stakeholders in responding to the needs of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results were refined with FDG and consensus deliberation in determining priority actions to be carried out as an implementation of the collaborative role of stakeholders in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w:t>
      </w:r>
    </w:p>
    <w:p w14:paraId="4A90D1FC"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The sampling method to determine informants for the qualitative approach who are relevant stakeholders to explore information and knowledge (acquisition of expert opinion) is determined/selected intentionally (purposive sampling).</w:t>
      </w:r>
    </w:p>
    <w:p w14:paraId="43982D54" w14:textId="0039A36E"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The principal considerations in determining stakeholders use the following criteria: The existence of respondents and their willingness to be respondents. Has a reputation, position, or position and has demonstrated credibility as an expert or expert in the field under study. Have experience in the research field.</w:t>
      </w:r>
    </w:p>
    <w:p w14:paraId="400FBA98" w14:textId="3E3F7520" w:rsidR="0081084F"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The stakeholders who occupied as respondents were six people; 17 represented stakeholders in this study which consisted of the government elements as a responsible agency and had duties and functions related to waste management. Other stakeholders are the community, religious leaders, traditional leaders, and cultural leaders. The private stakeholders are coming from NGOs and professional organizations</w:t>
      </w:r>
    </w:p>
    <w:p w14:paraId="6F9757DC" w14:textId="77777777" w:rsidR="0081084F" w:rsidRPr="00FD4938" w:rsidRDefault="00D509F7" w:rsidP="00FD4938">
      <w:pPr>
        <w:tabs>
          <w:tab w:val="left" w:pos="426"/>
        </w:tabs>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lastRenderedPageBreak/>
        <w:t>RESULTS AND DISCUSSION</w:t>
      </w:r>
    </w:p>
    <w:p w14:paraId="1C128A6F" w14:textId="4C570AB3"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Waste processing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only lasts until the third stage, namely storage, collection, and transfer, without transportation and the final waste process. The container condition is open overly, without any sorting by type of waste. Garbage collection by the community by utilizing the containers provided on the side of the road is only a route to tourist attractions, while for public settlements, the amount is insufficient. Most people who live in coastal areas throw it into the sea. The stages of the collection and transfer process with the absence of sorting, leaking, and open conditions will cause pollution, both from community sources and government transportation facilities during the storage and transportation process. </w:t>
      </w:r>
    </w:p>
    <w:p w14:paraId="0E5593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Community leaders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0403958E"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daerah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berada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bawah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angkat</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bakar</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darat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soalnya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berat</w:t>
      </w:r>
      <w:proofErr w:type="spellEnd"/>
      <w:r w:rsidRPr="00FD4938">
        <w:rPr>
          <w:rFonts w:ascii="Tw Cen MT" w:eastAsia="Twentieth Century" w:hAnsi="Tw Cen MT" w:cs="Twentieth Century"/>
          <w:sz w:val="24"/>
          <w:szCs w:val="24"/>
        </w:rPr>
        <w:t xml:space="preserve"> juga…" (Community Informant (A))</w:t>
      </w:r>
    </w:p>
    <w:p w14:paraId="188D2D9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Urban Village and also a resident of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56A42FDA" w14:textId="01CE5EC7" w:rsidR="00CE6FEA" w:rsidRDefault="00D509F7" w:rsidP="001A199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tinggal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pantai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w:t>
      </w:r>
    </w:p>
    <w:p w14:paraId="73CC97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kumpul</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dibuang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disediakan</w:t>
      </w:r>
      <w:proofErr w:type="spellEnd"/>
      <w:r w:rsidRPr="00FD4938">
        <w:rPr>
          <w:rFonts w:ascii="Tw Cen MT" w:eastAsia="Twentieth Century" w:hAnsi="Tw Cen MT" w:cs="Twentieth Century"/>
          <w:sz w:val="24"/>
          <w:szCs w:val="24"/>
        </w:rPr>
        <w:t xml:space="preserve"> oleh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jika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sangat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jugalah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kantong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saja</w:t>
      </w:r>
      <w:proofErr w:type="spellEnd"/>
      <w:r w:rsidRPr="00FD4938">
        <w:rPr>
          <w:rFonts w:ascii="Tw Cen MT" w:eastAsia="Twentieth Century" w:hAnsi="Tw Cen MT" w:cs="Twentieth Century"/>
          <w:sz w:val="24"/>
          <w:szCs w:val="24"/>
        </w:rPr>
        <w:t>…" (Urban village informant (A))</w:t>
      </w:r>
    </w:p>
    <w:p w14:paraId="0ADA63F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However, the community's response to this has not been seen; there is a lack of public awareness to provide trash cans on their initiative in households and throw the garbage into the landfill.</w:t>
      </w:r>
    </w:p>
    <w:p w14:paraId="773A41F6"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Garbage collection by the community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LPM stated:</w:t>
      </w:r>
    </w:p>
    <w:p w14:paraId="110179E6" w14:textId="77777777" w:rsidR="00D509F7" w:rsidRPr="00FD4938" w:rsidRDefault="00D509F7" w:rsidP="004A3BD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pelantar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ikan </w:t>
      </w:r>
      <w:proofErr w:type="spellStart"/>
      <w:r w:rsidRPr="00FD4938">
        <w:rPr>
          <w:rFonts w:ascii="Tw Cen MT" w:eastAsia="Twentieth Century" w:hAnsi="Tw Cen MT" w:cs="Twentieth Century"/>
          <w:sz w:val="24"/>
          <w:szCs w:val="24"/>
        </w:rPr>
        <w:t>sayur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terkecuali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Seharusnya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sendiri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mengumpulkan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jangan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terutama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bilang</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biasa</w:t>
      </w:r>
      <w:proofErr w:type="spellEnd"/>
      <w:r w:rsidRPr="00FD4938">
        <w:rPr>
          <w:rFonts w:ascii="Tw Cen MT" w:eastAsia="Twentieth Century" w:hAnsi="Tw Cen MT" w:cs="Twentieth Century"/>
          <w:sz w:val="24"/>
          <w:szCs w:val="24"/>
        </w:rPr>
        <w:t xml:space="preserve">. Latah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sikit-sikit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hilang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begitu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tanggapan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sering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(LPM Informant (M))</w:t>
      </w:r>
    </w:p>
    <w:p w14:paraId="00AE260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Response from Public Works Office stated:</w:t>
      </w:r>
    </w:p>
    <w:p w14:paraId="33F59A3C"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hendak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menata</w:t>
      </w:r>
      <w:proofErr w:type="spellEnd"/>
      <w:r w:rsidRPr="00FD4938">
        <w:rPr>
          <w:rFonts w:ascii="Tw Cen MT" w:eastAsia="Twentieth Century" w:hAnsi="Tw Cen MT" w:cs="Twentieth Century"/>
          <w:sz w:val="24"/>
          <w:szCs w:val="24"/>
        </w:rPr>
        <w:t xml:space="preserve"> tata </w:t>
      </w:r>
      <w:proofErr w:type="spellStart"/>
      <w:r w:rsidRPr="00FD4938">
        <w:rPr>
          <w:rFonts w:ascii="Tw Cen MT" w:eastAsia="Twentieth Century" w:hAnsi="Tw Cen MT" w:cs="Twentieth Century"/>
          <w:sz w:val="24"/>
          <w:szCs w:val="24"/>
        </w:rPr>
        <w:t>ruang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artinya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falititas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berkaiatan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sanitasi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memperhatikan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keberadaan</w:t>
      </w:r>
      <w:proofErr w:type="spellEnd"/>
      <w:r w:rsidRPr="00FD4938">
        <w:rPr>
          <w:rFonts w:ascii="Tw Cen MT" w:eastAsia="Twentieth Century" w:hAnsi="Tw Cen MT" w:cs="Twentieth Century"/>
          <w:sz w:val="24"/>
          <w:szCs w:val="24"/>
        </w:rPr>
        <w:t xml:space="preserve"> situs, </w:t>
      </w:r>
      <w:proofErr w:type="spellStart"/>
      <w:r w:rsidRPr="00FD4938">
        <w:rPr>
          <w:rFonts w:ascii="Tw Cen MT" w:eastAsia="Twentieth Century" w:hAnsi="Tw Cen MT" w:cs="Twentieth Century"/>
          <w:sz w:val="24"/>
          <w:szCs w:val="24"/>
        </w:rPr>
        <w:t>mengingat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adalah</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cagar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budaya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lanjut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pertemuan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minggu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kamaren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tata </w:t>
      </w:r>
      <w:proofErr w:type="spellStart"/>
      <w:r w:rsidRPr="00FD4938">
        <w:rPr>
          <w:rFonts w:ascii="Tw Cen MT" w:eastAsia="Twentieth Century" w:hAnsi="Tw Cen MT" w:cs="Twentieth Century"/>
          <w:sz w:val="24"/>
          <w:szCs w:val="24"/>
        </w:rPr>
        <w:t>kelola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rembuk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(MH))</w:t>
      </w:r>
    </w:p>
    <w:p w14:paraId="310B377B" w14:textId="04EF6B4A" w:rsidR="00CE6FEA"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Operational technical of waste collection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is adjusted to the geographical conditions and the available road facilities. A suitable fleet to use is a tricycle rickshaw with an open box at the back, but ideally, the box is closed and does </w:t>
      </w:r>
    </w:p>
    <w:p w14:paraId="165C36F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not leak easily. The box already has a container that separates organic and inorganic waste. </w:t>
      </w:r>
    </w:p>
    <w:p w14:paraId="6AB45313" w14:textId="6FF3AE4D"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Some land settlements use a communal pattern. Garbage is transported by cleaners from the Sanitation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with a rhythm of transportation time only once a day in the morning. There are twelve officers appointed by the relevant offices for the coastal area, nine officers for the mainland area, and two officers for transporting garbage using a pick-up (3-wheeled motorbike). Waste is transported and collected at one landfill point at the edge of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
    <w:p w14:paraId="22E4017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lastRenderedPageBreak/>
        <w:t xml:space="preserve">Regarding the final processing of waste,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stated:</w:t>
      </w:r>
    </w:p>
    <w:p w14:paraId="20189B28"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"…Di wilayah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paling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dampak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seluruh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tumpuk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ujung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kala </w:t>
      </w:r>
      <w:proofErr w:type="spellStart"/>
      <w:r w:rsidRPr="00FD4938">
        <w:rPr>
          <w:rFonts w:ascii="Tw Cen MT" w:eastAsia="Twentieth Century" w:hAnsi="Tw Cen MT" w:cs="Twentieth Century"/>
          <w:sz w:val="24"/>
          <w:szCs w:val="24"/>
        </w:rPr>
        <w:t>baunya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dikeluhkan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lalat</w:t>
      </w:r>
      <w:proofErr w:type="spellEnd"/>
      <w:r w:rsidRPr="00FD4938">
        <w:rPr>
          <w:rFonts w:ascii="Tw Cen MT" w:eastAsia="Twentieth Century" w:hAnsi="Tw Cen MT" w:cs="Twentieth Century"/>
          <w:sz w:val="24"/>
          <w:szCs w:val="24"/>
        </w:rPr>
        <w:t xml:space="preserve">. Saya </w:t>
      </w:r>
      <w:proofErr w:type="spellStart"/>
      <w:r w:rsidRPr="00FD4938">
        <w:rPr>
          <w:rFonts w:ascii="Tw Cen MT" w:eastAsia="Twentieth Century" w:hAnsi="Tw Cen MT" w:cs="Twentieth Century"/>
          <w:sz w:val="24"/>
          <w:szCs w:val="24"/>
        </w:rPr>
        <w:t>harap</w:t>
      </w:r>
      <w:proofErr w:type="spellEnd"/>
      <w:r w:rsidRPr="00FD4938">
        <w:rPr>
          <w:rFonts w:ascii="Tw Cen MT" w:eastAsia="Twentieth Century" w:hAnsi="Tw Cen MT" w:cs="Twentieth Century"/>
          <w:sz w:val="24"/>
          <w:szCs w:val="24"/>
        </w:rPr>
        <w:t xml:space="preserve"> pada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lah</w:t>
      </w:r>
      <w:proofErr w:type="spellEnd"/>
      <w:r w:rsidRPr="00FD4938">
        <w:rPr>
          <w:rFonts w:ascii="Tw Cen MT" w:eastAsia="Twentieth Century" w:hAnsi="Tw Cen MT" w:cs="Twentieth Century"/>
          <w:sz w:val="24"/>
          <w:szCs w:val="24"/>
        </w:rPr>
        <w:t xml:space="preserv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Informant (M))”</w:t>
      </w:r>
    </w:p>
    <w:p w14:paraId="6B05031A"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it is impossible to transport waste from TPS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to TPA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because there are problems with inadequate waste transportation equipment and high operational costs. </w:t>
      </w:r>
    </w:p>
    <w:p w14:paraId="3A54F7C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Office of Public Housing, Sanitation dan Parking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6A365171" w14:textId="7272B78E" w:rsidR="00CE6FEA" w:rsidRDefault="00D509F7" w:rsidP="001A199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Bintan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dan volume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sedikit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direncanakan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pengadaan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kapal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urug</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TPA Kota yang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w:t>
      </w:r>
      <w:proofErr w:type="spellStart"/>
      <w:r w:rsidRPr="00FD4938">
        <w:rPr>
          <w:rFonts w:ascii="Tw Cen MT" w:eastAsia="Twentieth Century" w:hAnsi="Tw Cen MT" w:cs="Twentieth Century"/>
          <w:sz w:val="24"/>
          <w:szCs w:val="24"/>
        </w:rPr>
        <w:t>disana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sistem</w:t>
      </w:r>
      <w:proofErr w:type="spellEnd"/>
      <w:r w:rsidRPr="00FD4938">
        <w:rPr>
          <w:rFonts w:ascii="Tw Cen MT" w:eastAsia="Twentieth Century" w:hAnsi="Tw Cen MT" w:cs="Twentieth Century"/>
          <w:sz w:val="24"/>
          <w:szCs w:val="24"/>
        </w:rPr>
        <w:t xml:space="preserve"> sanitary landfill,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pengolahan</w:t>
      </w:r>
      <w:proofErr w:type="spellEnd"/>
      <w:r w:rsidRPr="00FD4938">
        <w:rPr>
          <w:rFonts w:ascii="Tw Cen MT" w:eastAsia="Twentieth Century" w:hAnsi="Tw Cen MT" w:cs="Twentieth Century"/>
          <w:sz w:val="24"/>
          <w:szCs w:val="24"/>
        </w:rPr>
        <w:t xml:space="preserve"> </w:t>
      </w:r>
    </w:p>
    <w:p w14:paraId="40DF4DA4"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kompos</w:t>
      </w:r>
      <w:proofErr w:type="spellEnd"/>
      <w:r w:rsidRPr="00FD4938">
        <w:rPr>
          <w:rFonts w:ascii="Tw Cen MT" w:eastAsia="Twentieth Century" w:hAnsi="Tw Cen MT" w:cs="Twentieth Century"/>
          <w:sz w:val="24"/>
          <w:szCs w:val="24"/>
        </w:rPr>
        <w:t xml:space="preserve"> juga…” (Government Informant (SZ))”.</w:t>
      </w:r>
    </w:p>
    <w:p w14:paraId="51B27481" w14:textId="028368DA" w:rsidR="004A3BD1"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Ideally, there should be a system through an institution that empowers the community so that the volume of the transported waste is not large, and the waste transported is only in the form of residual waste. </w:t>
      </w:r>
    </w:p>
    <w:p w14:paraId="462C503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Urban village, and also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native stated:</w:t>
      </w:r>
    </w:p>
    <w:p w14:paraId="2D0EB955"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pernah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akses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namun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dikeluarkan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kisaran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Rp 400.000, - </w:t>
      </w:r>
      <w:r w:rsidRPr="00FD4938">
        <w:rPr>
          <w:rFonts w:ascii="Tw Cen MT" w:eastAsia="Twentieth Century" w:hAnsi="Tw Cen MT" w:cs="Twentieth Century"/>
          <w:sz w:val="24"/>
          <w:szCs w:val="24"/>
        </w:rPr>
        <w:t xml:space="preserve">per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(Urban Village Informant (S))</w:t>
      </w:r>
    </w:p>
    <w:p w14:paraId="28E8B9D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Due to the absence of a transporting waste process from TPS to City TPA according to the waste management system, so the waste accumulates on one land with mixed conditions of organic, non-organic, and B3 waste.</w:t>
      </w:r>
    </w:p>
    <w:p w14:paraId="032D226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758E7C79"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mengurangi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memanfaatkannya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sehingga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diangkut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hanyalah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Sebenarnya</w:t>
      </w:r>
      <w:proofErr w:type="spellEnd"/>
      <w:r w:rsidRPr="00FD4938">
        <w:rPr>
          <w:rFonts w:ascii="Tw Cen MT" w:eastAsia="Twentieth Century" w:hAnsi="Tw Cen MT" w:cs="Twentieth Century"/>
          <w:sz w:val="24"/>
          <w:szCs w:val="24"/>
        </w:rPr>
        <w:t xml:space="preserve"> Kerjasama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sangat </w:t>
      </w:r>
      <w:proofErr w:type="spellStart"/>
      <w:r w:rsidRPr="00FD4938">
        <w:rPr>
          <w:rFonts w:ascii="Tw Cen MT" w:eastAsia="Twentieth Century" w:hAnsi="Tw Cen MT" w:cs="Twentieth Century"/>
          <w:sz w:val="24"/>
          <w:szCs w:val="24"/>
        </w:rPr>
        <w:t>menguntungkan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ustad</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agama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sama-sama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mengingatkan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warisan</w:t>
      </w:r>
      <w:proofErr w:type="spellEnd"/>
      <w:r w:rsidRPr="00FD4938">
        <w:rPr>
          <w:rFonts w:ascii="Tw Cen MT" w:eastAsia="Twentieth Century" w:hAnsi="Tw Cen MT" w:cs="Twentieth Century"/>
          <w:sz w:val="24"/>
          <w:szCs w:val="24"/>
        </w:rPr>
        <w:t>...” (Government Informant (SH))</w:t>
      </w:r>
    </w:p>
    <w:p w14:paraId="764A15B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secondary school on </w:t>
      </w:r>
      <w:proofErr w:type="spellStart"/>
      <w:r w:rsidRPr="00FD4938">
        <w:rPr>
          <w:rFonts w:ascii="Tw Cen MT" w:eastAsia="Twentieth Century" w:hAnsi="Tw Cen MT" w:cs="Twentieth Century"/>
          <w:sz w:val="24"/>
          <w:szCs w:val="24"/>
        </w:rPr>
        <w:t>Penyegat</w:t>
      </w:r>
      <w:proofErr w:type="spellEnd"/>
      <w:r w:rsidRPr="00FD4938">
        <w:rPr>
          <w:rFonts w:ascii="Tw Cen MT" w:eastAsia="Twentieth Century" w:hAnsi="Tw Cen MT" w:cs="Twentieth Century"/>
          <w:sz w:val="24"/>
          <w:szCs w:val="24"/>
        </w:rPr>
        <w:t xml:space="preserve"> Island stated:</w:t>
      </w:r>
    </w:p>
    <w:p w14:paraId="4D85B015" w14:textId="04DBE240" w:rsidR="00CE6FEA" w:rsidRDefault="00D509F7" w:rsidP="001A199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apapun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kala</w:t>
      </w:r>
      <w:r w:rsidR="001A1991">
        <w:rPr>
          <w:rFonts w:ascii="Tw Cen MT" w:eastAsia="Twentieth Century" w:hAnsi="Tw Cen MT" w:cs="Twentieth Century"/>
          <w:sz w:val="24"/>
          <w:szCs w:val="24"/>
        </w:rPr>
        <w: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peningkatan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pengetahuan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karakter</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santun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pendidikan</w:t>
      </w:r>
      <w:proofErr w:type="spellEnd"/>
      <w:r w:rsidRPr="00FD4938">
        <w:rPr>
          <w:rFonts w:ascii="Tw Cen MT" w:eastAsia="Twentieth Century" w:hAnsi="Tw Cen MT" w:cs="Twentieth Century"/>
          <w:sz w:val="24"/>
          <w:szCs w:val="24"/>
        </w:rPr>
        <w:t xml:space="preserve"> </w:t>
      </w:r>
    </w:p>
    <w:p w14:paraId="1CC0E49B" w14:textId="037AF8E5"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karakter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setuju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diberikan</w:t>
      </w:r>
      <w:proofErr w:type="spellEnd"/>
      <w:r w:rsidRPr="00FD4938">
        <w:rPr>
          <w:rFonts w:ascii="Tw Cen MT" w:eastAsia="Twentieth Century" w:hAnsi="Tw Cen MT" w:cs="Twentieth Century"/>
          <w:sz w:val="24"/>
          <w:szCs w:val="24"/>
        </w:rPr>
        <w:t xml:space="preserve">…” (School </w:t>
      </w:r>
      <w:proofErr w:type="spellStart"/>
      <w:r w:rsidRPr="00FD4938">
        <w:rPr>
          <w:rFonts w:ascii="Tw Cen MT" w:eastAsia="Twentieth Century" w:hAnsi="Tw Cen MT" w:cs="Twentieth Century"/>
          <w:sz w:val="24"/>
          <w:szCs w:val="24"/>
        </w:rPr>
        <w:t>Informnat</w:t>
      </w:r>
      <w:proofErr w:type="spellEnd"/>
      <w:r w:rsidRPr="00FD4938">
        <w:rPr>
          <w:rFonts w:ascii="Tw Cen MT" w:eastAsia="Twentieth Century" w:hAnsi="Tw Cen MT" w:cs="Twentieth Century"/>
          <w:sz w:val="24"/>
          <w:szCs w:val="24"/>
        </w:rPr>
        <w:t xml:space="preserve"> (SF))</w:t>
      </w:r>
    </w:p>
    <w:p w14:paraId="2F0ED30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the secondary school 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66C22FF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menerimanya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bimbing</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lakukan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sangat </w:t>
      </w:r>
      <w:proofErr w:type="spellStart"/>
      <w:r w:rsidRPr="00FD4938">
        <w:rPr>
          <w:rFonts w:ascii="Tw Cen MT" w:eastAsia="Twentieth Century" w:hAnsi="Tw Cen MT" w:cs="Twentieth Century"/>
          <w:sz w:val="24"/>
          <w:szCs w:val="24"/>
        </w:rPr>
        <w:t>soal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semua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jadi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sadar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salahnya</w:t>
      </w:r>
      <w:proofErr w:type="spellEnd"/>
      <w:r w:rsidRPr="00FD4938">
        <w:rPr>
          <w:rFonts w:ascii="Tw Cen MT" w:eastAsia="Twentieth Century" w:hAnsi="Tw Cen MT" w:cs="Twentieth Century"/>
          <w:sz w:val="24"/>
          <w:szCs w:val="24"/>
        </w:rPr>
        <w:t>...” (School Informant (EP))</w:t>
      </w:r>
    </w:p>
    <w:p w14:paraId="42B63B8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lihat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penduduk</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terhadap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cuek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sembarangan</w:t>
      </w:r>
      <w:proofErr w:type="spellEnd"/>
      <w:r w:rsidRPr="00FD4938">
        <w:rPr>
          <w:rFonts w:ascii="Tw Cen MT" w:eastAsia="Twentieth Century" w:hAnsi="Tw Cen MT" w:cs="Twentieth Century"/>
          <w:sz w:val="24"/>
          <w:szCs w:val="24"/>
        </w:rPr>
        <w:t xml:space="preserve">. Dunia Pendidikan </w:t>
      </w:r>
      <w:proofErr w:type="spellStart"/>
      <w:r w:rsidRPr="00FD4938">
        <w:rPr>
          <w:rFonts w:ascii="Tw Cen MT" w:eastAsia="Twentieth Century" w:hAnsi="Tw Cen MT" w:cs="Twentieth Century"/>
          <w:sz w:val="24"/>
          <w:szCs w:val="24"/>
        </w:rPr>
        <w:t>Insya</w:t>
      </w:r>
      <w:proofErr w:type="spellEnd"/>
      <w:r w:rsidRPr="00FD4938">
        <w:rPr>
          <w:rFonts w:ascii="Tw Cen MT" w:eastAsia="Twentieth Century" w:hAnsi="Tw Cen MT" w:cs="Twentieth Century"/>
          <w:sz w:val="24"/>
          <w:szCs w:val="24"/>
        </w:rPr>
        <w:t xml:space="preserve"> Allah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mengubahnya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Penanaman</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coba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lastRenderedPageBreak/>
        <w:t>menasehati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langkah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(School Informant (S))</w:t>
      </w:r>
    </w:p>
    <w:p w14:paraId="64171B2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Regarding coaching for Environmental care schools, Local NGO responded by stating:</w:t>
      </w:r>
    </w:p>
    <w:p w14:paraId="6579E1AA"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pak</w:t>
      </w:r>
      <w:proofErr w:type="spellEnd"/>
      <w:r w:rsidRPr="00FD4938">
        <w:rPr>
          <w:rFonts w:ascii="Tw Cen MT" w:eastAsia="Twentieth Century" w:hAnsi="Tw Cen MT" w:cs="Twentieth Century"/>
          <w:sz w:val="24"/>
          <w:szCs w:val="24"/>
        </w:rPr>
        <w:t xml:space="preserve"> (J) </w:t>
      </w:r>
      <w:proofErr w:type="spellStart"/>
      <w:r w:rsidRPr="00FD4938">
        <w:rPr>
          <w:rFonts w:ascii="Tw Cen MT" w:eastAsia="Twentieth Century" w:hAnsi="Tw Cen MT" w:cs="Twentieth Century"/>
          <w:sz w:val="24"/>
          <w:szCs w:val="24"/>
        </w:rPr>
        <w:t>siap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membantu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kami dah lama juga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pada </w:t>
      </w:r>
      <w:proofErr w:type="spellStart"/>
      <w:r w:rsidRPr="00FD4938">
        <w:rPr>
          <w:rFonts w:ascii="Tw Cen MT" w:eastAsia="Twentieth Century" w:hAnsi="Tw Cen MT" w:cs="Twentieth Century"/>
          <w:sz w:val="24"/>
          <w:szCs w:val="24"/>
        </w:rPr>
        <w:t>anak-anak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melayu</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senang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rasanya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bermain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sambil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belajar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terima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kasih</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ikutkan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ingatkan</w:t>
      </w:r>
      <w:proofErr w:type="spellEnd"/>
      <w:r w:rsidRPr="00FD4938">
        <w:rPr>
          <w:rFonts w:ascii="Tw Cen MT" w:eastAsia="Twentieth Century" w:hAnsi="Tw Cen MT" w:cs="Twentieth Century"/>
          <w:sz w:val="24"/>
          <w:szCs w:val="24"/>
        </w:rPr>
        <w:t xml:space="preserve"> PR (</w:t>
      </w:r>
      <w:proofErr w:type="spellStart"/>
      <w:r w:rsidRPr="00FD4938">
        <w:rPr>
          <w:rFonts w:ascii="Tw Cen MT" w:eastAsia="Twentieth Century" w:hAnsi="Tw Cen MT" w:cs="Twentieth Century"/>
          <w:sz w:val="24"/>
          <w:szCs w:val="24"/>
        </w:rPr>
        <w:t>pekerjaan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kami... yang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niatkan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bulan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kak</w:t>
      </w:r>
      <w:proofErr w:type="spellEnd"/>
      <w:r w:rsidRPr="00FD4938">
        <w:rPr>
          <w:rFonts w:ascii="Tw Cen MT" w:eastAsia="Twentieth Century" w:hAnsi="Tw Cen MT" w:cs="Twentieth Century"/>
          <w:sz w:val="24"/>
          <w:szCs w:val="24"/>
        </w:rPr>
        <w:t xml:space="preserve"> (SH) </w:t>
      </w:r>
      <w:proofErr w:type="spellStart"/>
      <w:r w:rsidRPr="00FD4938">
        <w:rPr>
          <w:rFonts w:ascii="Tw Cen MT" w:eastAsia="Twentieth Century" w:hAnsi="Tw Cen MT" w:cs="Twentieth Century"/>
          <w:sz w:val="24"/>
          <w:szCs w:val="24"/>
        </w:rPr>
        <w:t>izin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menyapa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Dinas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Hidup</w:t>
      </w:r>
      <w:proofErr w:type="spellEnd"/>
      <w:r w:rsidRPr="00FD4938">
        <w:rPr>
          <w:rFonts w:ascii="Tw Cen MT" w:eastAsia="Twentieth Century" w:hAnsi="Tw Cen MT" w:cs="Twentieth Century"/>
          <w:sz w:val="24"/>
          <w:szCs w:val="24"/>
        </w:rPr>
        <w:t>...”  (NGOs Informant (K))</w:t>
      </w:r>
    </w:p>
    <w:p w14:paraId="49887635" w14:textId="4A42B4E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terms of financing, there are no costs involved in managing waste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which is issued by the community both in the process of transporting, collecting, and disposing of waste. It is because the process is carried out by the cleaning service through officers. Aspects of legal regulations, regional regulations already have legal provisions governing waste management, namely regional regulations number 14 of 2009 and regional regulations number 3 of 2015. </w:t>
      </w:r>
    </w:p>
    <w:p w14:paraId="132BB15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E3F012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UU no. 18 </w:t>
      </w:r>
      <w:proofErr w:type="spellStart"/>
      <w:r w:rsidRPr="00FD4938">
        <w:rPr>
          <w:rFonts w:ascii="Tw Cen MT" w:eastAsia="Twentieth Century" w:hAnsi="Tw Cen MT" w:cs="Twentieth Century"/>
          <w:sz w:val="24"/>
          <w:szCs w:val="24"/>
        </w:rPr>
        <w:t>trahun</w:t>
      </w:r>
      <w:proofErr w:type="spellEnd"/>
      <w:r w:rsidRPr="00FD4938">
        <w:rPr>
          <w:rFonts w:ascii="Tw Cen MT" w:eastAsia="Twentieth Century" w:hAnsi="Tw Cen MT" w:cs="Twentieth Century"/>
          <w:sz w:val="24"/>
          <w:szCs w:val="24"/>
        </w:rPr>
        <w:t xml:space="preserve"> 2008.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Kota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no. 12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2009, dan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terbaru</w:t>
      </w:r>
      <w:proofErr w:type="spellEnd"/>
      <w:r w:rsidRPr="00FD4938">
        <w:rPr>
          <w:rFonts w:ascii="Tw Cen MT" w:eastAsia="Twentieth Century" w:hAnsi="Tw Cen MT" w:cs="Twentieth Century"/>
          <w:sz w:val="24"/>
          <w:szCs w:val="24"/>
        </w:rPr>
        <w:t xml:space="preserve"> no. 3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2015…</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penerapannya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harapan</w:t>
      </w:r>
      <w:proofErr w:type="spellEnd"/>
      <w:r w:rsidRPr="00FD4938">
        <w:rPr>
          <w:rFonts w:ascii="Tw Cen MT" w:eastAsia="Twentieth Century" w:hAnsi="Tw Cen MT" w:cs="Twentieth Century"/>
          <w:sz w:val="24"/>
          <w:szCs w:val="24"/>
        </w:rPr>
        <w:t>… (Government Informant (SZ))</w:t>
      </w:r>
    </w:p>
    <w:p w14:paraId="221C88B1"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However, the lack of socialization in the delivery of local regulations, so that many people do not know the provisions of waste management, there are even people who throw garbage in the area of cultural heritage sites. This is evidenced by the ongoing processing of waste by burning. </w:t>
      </w:r>
    </w:p>
    <w:p w14:paraId="3BB4BF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Environtmental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201E8DE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penyuluhan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tingkatkan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setelah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peraturan</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perketat</w:t>
      </w:r>
      <w:proofErr w:type="spellEnd"/>
      <w:r w:rsidRPr="00FD4938">
        <w:rPr>
          <w:rFonts w:ascii="Tw Cen MT" w:eastAsia="Twentieth Century" w:hAnsi="Tw Cen MT" w:cs="Twentieth Century"/>
          <w:sz w:val="24"/>
          <w:szCs w:val="24"/>
        </w:rPr>
        <w:t xml:space="preserve"> (Government Informant…” (SH))</w:t>
      </w:r>
    </w:p>
    <w:p w14:paraId="4F35DFE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aspect of community participation is still said to be lacking, the community has not been able to be involved in their initiative. </w:t>
      </w:r>
    </w:p>
    <w:p w14:paraId="60DC9C94"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A6FC1E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menerapkan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sumber</w:t>
      </w:r>
      <w:proofErr w:type="spellEnd"/>
      <w:r w:rsidRPr="00FD4938">
        <w:rPr>
          <w:rFonts w:ascii="Tw Cen MT" w:eastAsia="Twentieth Century" w:hAnsi="Tw Cen MT" w:cs="Twentieth Century"/>
          <w:sz w:val="24"/>
          <w:szCs w:val="24"/>
        </w:rPr>
        <w:t>…” (Government Informant (S))</w:t>
      </w:r>
    </w:p>
    <w:p w14:paraId="7C6F1A4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4D5001B0"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penyampaian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melalui</w:t>
      </w:r>
      <w:proofErr w:type="spellEnd"/>
      <w:r w:rsidRPr="00FD4938">
        <w:rPr>
          <w:rFonts w:ascii="Tw Cen MT" w:eastAsia="Twentieth Century" w:hAnsi="Tw Cen MT" w:cs="Twentieth Century"/>
          <w:sz w:val="24"/>
          <w:szCs w:val="24"/>
        </w:rPr>
        <w:t xml:space="preserve"> radio </w:t>
      </w:r>
      <w:proofErr w:type="spellStart"/>
      <w:r w:rsidRPr="00FD4938">
        <w:rPr>
          <w:rFonts w:ascii="Tw Cen MT" w:eastAsia="Twentieth Century" w:hAnsi="Tw Cen MT" w:cs="Twentieth Century"/>
          <w:sz w:val="24"/>
          <w:szCs w:val="24"/>
        </w:rPr>
        <w:t>atau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televisi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(SH))</w:t>
      </w:r>
    </w:p>
    <w:p w14:paraId="0150FAA3" w14:textId="5F60C221"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If there are institutions that carry out the wishes of a small part of the community, it can be facilitated and disseminated. Dissemination can be done by utilizing the literacy park which is already a library and a location for counseling and training with adequate supporting facilities.</w:t>
      </w:r>
    </w:p>
    <w:p w14:paraId="1AABDFE3"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NGOs stated:</w:t>
      </w:r>
    </w:p>
    <w:p w14:paraId="4EB8C2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gramStart"/>
      <w:r w:rsidRPr="00FD4938">
        <w:rPr>
          <w:rFonts w:ascii="Tw Cen MT" w:eastAsia="Twentieth Century" w:hAnsi="Tw Cen MT" w:cs="Twentieth Century"/>
          <w:sz w:val="24"/>
          <w:szCs w:val="24"/>
        </w:rPr>
        <w:t>“..</w:t>
      </w:r>
      <w:proofErr w:type="spellStart"/>
      <w:proofErr w:type="gramEnd"/>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hal</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kaji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kembali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alam</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timbal </w:t>
      </w:r>
      <w:proofErr w:type="spellStart"/>
      <w:r w:rsidRPr="00FD4938">
        <w:rPr>
          <w:rFonts w:ascii="Tw Cen MT" w:eastAsia="Twentieth Century" w:hAnsi="Tw Cen MT" w:cs="Twentieth Century"/>
          <w:sz w:val="24"/>
          <w:szCs w:val="24"/>
        </w:rPr>
        <w:t>balik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menjaganya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salah juga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bahwa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sejumlah</w:t>
      </w:r>
      <w:proofErr w:type="spellEnd"/>
      <w:r w:rsidRPr="00FD4938">
        <w:rPr>
          <w:rFonts w:ascii="Tw Cen MT" w:eastAsia="Twentieth Century" w:hAnsi="Tw Cen MT" w:cs="Twentieth Century"/>
          <w:sz w:val="24"/>
          <w:szCs w:val="24"/>
        </w:rPr>
        <w:t xml:space="preserve"> dana yang di </w:t>
      </w:r>
      <w:proofErr w:type="spellStart"/>
      <w:r w:rsidRPr="00FD4938">
        <w:rPr>
          <w:rFonts w:ascii="Tw Cen MT" w:eastAsia="Twentieth Century" w:hAnsi="Tw Cen MT" w:cs="Twentieth Century"/>
          <w:sz w:val="24"/>
          <w:szCs w:val="24"/>
        </w:rPr>
        <w:t>pungut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urnuk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wisatawan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datang</w:t>
      </w:r>
      <w:proofErr w:type="spellEnd"/>
      <w:r w:rsidRPr="00FD4938">
        <w:rPr>
          <w:rFonts w:ascii="Tw Cen MT" w:eastAsia="Twentieth Century" w:hAnsi="Tw Cen MT" w:cs="Twentieth Century"/>
          <w:sz w:val="24"/>
          <w:szCs w:val="24"/>
        </w:rPr>
        <w:t xml:space="preserve"> kemari,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kepedulian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penghargaan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atas</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indah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sejuk</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aman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w:t>
      </w:r>
      <w:r w:rsidR="00C224B8" w:rsidRPr="00FD4938">
        <w:rPr>
          <w:rFonts w:ascii="Tw Cen MT" w:eastAsia="Twentieth Century" w:hAnsi="Tw Cen MT" w:cs="Twentieth Century"/>
          <w:sz w:val="24"/>
          <w:szCs w:val="24"/>
        </w:rPr>
        <w:t>iberikan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lingkungan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kepadanya</w:t>
      </w:r>
      <w:proofErr w:type="spellEnd"/>
      <w:r w:rsidR="00C224B8" w:rsidRPr="00FD4938">
        <w:rPr>
          <w:rFonts w:ascii="Tw Cen MT" w:eastAsia="Twentieth Century" w:hAnsi="Tw Cen MT" w:cs="Twentieth Century"/>
          <w:sz w:val="24"/>
          <w:szCs w:val="24"/>
        </w:rPr>
        <w:t>…</w:t>
      </w:r>
      <w:r w:rsidRPr="00FD4938">
        <w:rPr>
          <w:rFonts w:ascii="Tw Cen MT" w:eastAsia="Twentieth Century" w:hAnsi="Tw Cen MT" w:cs="Twentieth Century"/>
          <w:sz w:val="24"/>
          <w:szCs w:val="24"/>
        </w:rPr>
        <w:t>(NGOs Informant (K)).</w:t>
      </w:r>
    </w:p>
    <w:p w14:paraId="2107FFC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participation of stakeholders, especially from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r w:rsidRPr="00FD4938">
        <w:rPr>
          <w:rFonts w:ascii="Tw Cen MT" w:eastAsia="Twentieth Century" w:hAnsi="Tw Cen MT" w:cs="Twentieth Century"/>
          <w:sz w:val="24"/>
          <w:szCs w:val="24"/>
        </w:rPr>
        <w:lastRenderedPageBreak/>
        <w:t xml:space="preserve">City and the 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must become a unified system in integrated and sustainable waste management. A bond that must continue to coordinate with each other, and collaborate in their roles. The Environmental Service is in the realm of waste reduction programs or upstream by providing awareness efforts to all parties, especially the community in terms of reducing waste, especially from good sources from the community and wider producers who produce goods, especially in the form of plastic packaging. The activity is carried out by empowering the community and there has been confirmation from the DLH that there are funds for the provision of tools and operational institutions that carry out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in the form of a Waste Bank.</w:t>
      </w:r>
    </w:p>
    <w:p w14:paraId="40EEE788" w14:textId="7142F49B" w:rsidR="00C224B8"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Then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is the agency responsible for the waste handling process program. Waste management starts from the collection, transportation to final management (at TPA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Activities carried out in the form of a compost house. </w:t>
      </w:r>
      <w:proofErr w:type="gramStart"/>
      <w:r w:rsidRPr="00FD4938">
        <w:rPr>
          <w:rFonts w:ascii="Tw Cen MT" w:eastAsia="Twentieth Century" w:hAnsi="Tw Cen MT" w:cs="Twentieth Century"/>
          <w:sz w:val="24"/>
          <w:szCs w:val="24"/>
        </w:rPr>
        <w:t>So</w:t>
      </w:r>
      <w:proofErr w:type="gramEnd"/>
      <w:r w:rsidRPr="00FD4938">
        <w:rPr>
          <w:rFonts w:ascii="Tw Cen MT" w:eastAsia="Twentieth Century" w:hAnsi="Tw Cen MT" w:cs="Twentieth Century"/>
          <w:sz w:val="24"/>
          <w:szCs w:val="24"/>
        </w:rPr>
        <w:t xml:space="preserve">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a TPS3R institution has been formed which has 2 (two) primary forms of activity, namely the Waste Bank and the Compost House as a form of waste reduction and handling effort. The rest of the waste (residual waste) from TPS3R's efforts will be transported by dredgers to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with a certain period, according to the volume of waste and the level of TPS3R's efforts in reducing waste (confirmed with the rel</w:t>
      </w:r>
      <w:r w:rsidR="00C224B8" w:rsidRPr="00FD4938">
        <w:rPr>
          <w:rFonts w:ascii="Tw Cen MT" w:eastAsia="Twentieth Century" w:hAnsi="Tw Cen MT" w:cs="Twentieth Century"/>
          <w:sz w:val="24"/>
          <w:szCs w:val="24"/>
        </w:rPr>
        <w:t>evant Office at the FGD event).</w:t>
      </w:r>
    </w:p>
    <w:p w14:paraId="28351FF4" w14:textId="678A5D2D" w:rsidR="00C224B8" w:rsidRPr="00FD4938" w:rsidRDefault="00C224B8" w:rsidP="001A1991">
      <w:pPr>
        <w:spacing w:after="0" w:line="240" w:lineRule="auto"/>
        <w:jc w:val="both"/>
        <w:rPr>
          <w:rFonts w:ascii="Tw Cen MT" w:eastAsia="SimSun" w:hAnsi="Tw Cen MT"/>
          <w:sz w:val="24"/>
          <w:szCs w:val="24"/>
          <w:lang w:val="id-ID" w:eastAsia="zh-CN"/>
        </w:rPr>
      </w:pPr>
      <w:r w:rsidRPr="00FD4938">
        <w:rPr>
          <w:rStyle w:val="jlqj4b"/>
          <w:rFonts w:ascii="Tw Cen MT" w:hAnsi="Tw Cen MT"/>
          <w:sz w:val="24"/>
          <w:szCs w:val="24"/>
          <w:lang w:val="id-ID"/>
        </w:rPr>
        <w:t xml:space="preserve">The </w:t>
      </w:r>
      <w:proofErr w:type="spellStart"/>
      <w:r w:rsidRPr="00FD4938">
        <w:rPr>
          <w:rStyle w:val="jlqj4b"/>
          <w:rFonts w:ascii="Tw Cen MT" w:hAnsi="Tw Cen MT"/>
          <w:sz w:val="24"/>
          <w:szCs w:val="24"/>
          <w:lang w:val="id-ID"/>
        </w:rPr>
        <w:t>amount</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of</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waste</w:t>
      </w:r>
      <w:proofErr w:type="spellEnd"/>
      <w:r w:rsidRPr="00FD4938">
        <w:rPr>
          <w:rStyle w:val="jlqj4b"/>
          <w:rFonts w:ascii="Tw Cen MT" w:hAnsi="Tw Cen MT"/>
          <w:sz w:val="24"/>
          <w:szCs w:val="24"/>
          <w:lang w:val="id-ID"/>
        </w:rPr>
        <w:t xml:space="preserve"> often exceeds the island's capacity due to the limited availability of land for waste disposal, budgetary funds, and human resources. As a result, much solid waste is burned or disposed of by the community, some even being dumped directly into the sea</w:t>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{"citationItems":[{"id":"ITEM-1","itemData":{"DOI":"10.25105/urbanenvirotech.v2i1.3557","ISSN":"2579-9150","abstract":"&lt;strong&gt;Aim:&lt;/strong&gt; This study aims to identify, develop, and determine the most suitable concept of solid waste management to be applied in Ifale Village, Yobeh Village, Putali Village, Atamali Village, and Asei Besar Village. Until now, the application of solid waste management system in Jayapura is still far from what people expected since it has been unable to serve the communities who live in rural areas on the islands around Sentani Lake. As a result, 12,554.38 liters/day of solid waste generated by the community in these regions is left untreated. &lt;strong&gt;Methodology and Results:&lt;/strong&gt; The study is using the Analytic Hierarchy Process (AHP) method. The AHP calculations show that the idea of handling solid waste in an integrated treatment facility—following the initial sorting on the household scale—has the highest priority weight (2.05) compared to the other alternatives. Hence, it has been chosen as the best solid waste management concept that can be applied to the study sites. Based on the results as well, the main criteria to be considered include the environmental aspects, social aspects, and technical aspects with each weighing value of 0.534, 0.186, and 0.147, respectively. &lt;strong&gt;Conclution, significans and impact study: &lt;/strong&gt; The sub-criteria with the highest priorities to be considered in making the decision are the soil pollution (due to produced leachate), air pollution (potentially in the form of stench and gas emissions), the transmission of disease vectors, public participation, and the operational convenience.","author":[{"dropping-particle":"","family":"Alfons","given":"Alfred Benjamin","non-dropping-particle":"","parse-names":false,"suffix":""},{"dropping-particle":"","family":"Padmi","given":"Tri","non-dropping-particle":"","parse-names":false,"suffix":""}],"container-title":"Indonesian Journal of Urban and Environmental Technology","id":"ITEM-1","issue":"1","issued":{"date-parts":[["2019"]]},"page":"88","title":"Multi-Criteria Analysis for Selecting Solid Waste Management Concept Case Study: Rural Areas in Sentani Lake Region, Jayapura","type":"article-journal","volume":"2"},"uris":["http://www.mendeley.com/documents/?uuid=087664b5-21ba-4719-9f05-930b8ea01857"]}],"mendeley":{"formattedCitation":"[20]","plainTextFormattedCitation":"[20]","previouslyFormattedCitation":"[20]"},"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[20]</w:t>
      </w:r>
      <w:r w:rsidR="004A3BD1">
        <w:rPr>
          <w:rStyle w:val="jlqj4b"/>
          <w:rFonts w:ascii="Tw Cen MT" w:hAnsi="Tw Cen MT"/>
          <w:sz w:val="24"/>
          <w:szCs w:val="24"/>
        </w:rPr>
        <w:fldChar w:fldCharType="end"/>
      </w:r>
      <w:r w:rsidR="001A1991">
        <w:rPr>
          <w:rStyle w:val="jlqj4b"/>
          <w:rFonts w:ascii="Tw Cen MT" w:hAnsi="Tw Cen MT"/>
          <w:sz w:val="24"/>
          <w:szCs w:val="24"/>
        </w:rPr>
        <w:t>;</w:t>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[21]</w:t>
      </w:r>
      <w:r w:rsidR="004A3BD1">
        <w:rPr>
          <w:rStyle w:val="jlqj4b"/>
          <w:rFonts w:ascii="Tw Cen MT" w:hAnsi="Tw Cen MT"/>
          <w:sz w:val="24"/>
          <w:szCs w:val="24"/>
        </w:rPr>
        <w:fldChar w:fldCharType="end"/>
      </w:r>
      <w:r w:rsidR="004A3BD1">
        <w:rPr>
          <w:rStyle w:val="jlqj4b"/>
          <w:rFonts w:ascii="Tw Cen MT" w:hAnsi="Tw Cen MT"/>
          <w:sz w:val="24"/>
          <w:szCs w:val="24"/>
          <w:lang w:val="id-ID"/>
        </w:rPr>
        <w:t xml:space="preserve">. </w:t>
      </w:r>
      <w:r w:rsidRPr="00FD4938">
        <w:rPr>
          <w:rStyle w:val="jlqj4b"/>
          <w:rFonts w:ascii="Tw Cen MT" w:hAnsi="Tw Cen MT"/>
          <w:sz w:val="24"/>
          <w:szCs w:val="24"/>
          <w:lang w:val="id-ID"/>
        </w:rPr>
        <w:t xml:space="preserve">The process of recycling waste often has difficulty in marketing </w:t>
      </w:r>
      <w:r w:rsidRPr="00FD4938">
        <w:rPr>
          <w:rFonts w:ascii="Tw Cen MT" w:eastAsia="SimSun" w:hAnsi="Tw Cen MT"/>
          <w:sz w:val="24"/>
          <w:szCs w:val="24"/>
          <w:lang w:eastAsia="zh-CN"/>
        </w:rPr>
        <w:fldChar w:fldCharType="begin" w:fldLock="1"/>
      </w:r>
      <w:r w:rsidR="004A3BD1">
        <w:rPr>
          <w:rFonts w:ascii="Tw Cen MT" w:eastAsia="SimSun" w:hAnsi="Tw Cen MT"/>
          <w:sz w:val="24"/>
          <w:szCs w:val="24"/>
          <w:lang w:eastAsia="zh-CN"/>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[8]</w:t>
      </w:r>
      <w:r w:rsidRPr="00FD4938">
        <w:rPr>
          <w:rFonts w:ascii="Tw Cen MT" w:eastAsia="SimSun" w:hAnsi="Tw Cen MT"/>
          <w:sz w:val="24"/>
          <w:szCs w:val="24"/>
          <w:lang w:eastAsia="zh-CN"/>
        </w:rPr>
        <w:fldChar w:fldCharType="end"/>
      </w:r>
      <w:r w:rsidR="001A1991">
        <w:rPr>
          <w:rStyle w:val="jlqj4b"/>
          <w:rFonts w:ascii="Tw Cen MT" w:hAnsi="Tw Cen MT"/>
          <w:sz w:val="24"/>
          <w:szCs w:val="24"/>
        </w:rPr>
        <w:t>;</w:t>
      </w:r>
      <w:r w:rsidR="004A3BD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{"citationItems":[{"id":"ITEM-1","itemData":{"DOI":"10.33258/lakhomi.v2i4.532","ISSN":"2774-4728","abstract":"The main problem of waste management in Penyengat Island is the increasing population growth and increasing volume of waste and limited land so that it is difficult to carry out waste management using the final waste treatment site because it has a large potential for pollution. The low level of public awareness in managing household waste is caused by the community's social, economic, and cultural conditions. This study designs Model of the Importance of Socio-Cultural in Waste Management on Penyengat Island. This research method is an analytical survey with a cross-sectional design, the community subjects who live in Penyengat Island with a sample size of 270 people, taken by random sampling. Data analysis using chi-square test and logistic regression.  Logical regression equation model in (p/(1-p)) - 1,614 + 0,505 (place of residence) + 0.642 (local wisdom). Waste management needs cultural values that already exist and should be maintained as part of one's identity and efforts to maintain the balance of nature and the environment. It is also necessary to conduct a policy study regarding the island's waste management program with a socio-cultural value approach.","author":[{"dropping-particle":"","family":"Zainul Ikhwan","given":"","non-dropping-particle":"","parse-names":false,"suffix":""},{"dropping-particle":"","family":"R. Hamdani Harahap","given":"","non-dropping-particle":"","parse-names":false,"suffix":""},{"dropping-particle":"","family":"Lita Sri Andayani","given":"","non-dropping-particle":"","parse-names":false,"suffix":""},{"dropping-particle":"","family":"Miswar Budi Mulya","given":"","non-dropping-particle":"","parse-names":false,"suffix":""}],"container-title":"Lakhomi Journal Scientific Journal of Culture","id":"ITEM-1","issue":"4","issued":{"date-parts":[["2021"]]},"page":"142-147","title":"Model of the Importance of Socio-Cultural in Waste Management on Penyengat Island","type":"article-journal","volume":"2"},"uris":["http://www.mendeley.com/documents/?uuid=a0aa6723-24bd-4d4b-86e4-3aab24f23f9f"]}],"mendeley":{"formattedCitation":"[22]","plainTextFormattedCitation":"[22]","previouslyFormattedCitation":"[22]"},"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[22]</w:t>
      </w:r>
      <w:r w:rsidR="004A3BD1">
        <w:rPr>
          <w:rStyle w:val="jlqj4b"/>
          <w:rFonts w:ascii="Tw Cen MT" w:hAnsi="Tw Cen MT"/>
          <w:sz w:val="24"/>
          <w:szCs w:val="24"/>
          <w:lang w:val="id-ID"/>
        </w:rPr>
        <w:fldChar w:fldCharType="end"/>
      </w:r>
      <w:r w:rsidR="004A3BD1">
        <w:rPr>
          <w:rStyle w:val="jlqj4b"/>
          <w:rFonts w:ascii="Tw Cen MT" w:hAnsi="Tw Cen MT"/>
          <w:sz w:val="24"/>
          <w:szCs w:val="24"/>
        </w:rPr>
        <w:t>.</w:t>
      </w:r>
      <w:r w:rsidRPr="00FD4938">
        <w:rPr>
          <w:rStyle w:val="jlqj4b"/>
          <w:rFonts w:ascii="Tw Cen MT" w:hAnsi="Tw Cen MT"/>
          <w:sz w:val="24"/>
          <w:szCs w:val="24"/>
          <w:lang w:val="id-ID"/>
        </w:rPr>
        <w:t xml:space="preserve"> Waste management counseling can increase individual knowledge </w:t>
      </w:r>
      <w:r w:rsidRPr="00FD4938">
        <w:rPr>
          <w:rStyle w:val="jlqj4b"/>
          <w:rFonts w:ascii="Tw Cen MT" w:hAnsi="Tw Cen MT"/>
          <w:sz w:val="24"/>
          <w:szCs w:val="24"/>
          <w:lang w:val="id-ID"/>
        </w:rPr>
        <w:t xml:space="preserve">about waste management. Waste management counseling provides individual awareness of the environment, knowledge, skills, values, and experience to solve environmental problems, including waste management. rain and counseling are needed to increase knowledge and environmental attitudes of the community to increase awareness in managing household waste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[21]</w:t>
      </w:r>
      <w:r w:rsidR="004A3BD1">
        <w:rPr>
          <w:rStyle w:val="jlqj4b"/>
          <w:rFonts w:ascii="Tw Cen MT" w:hAnsi="Tw Cen MT"/>
          <w:sz w:val="24"/>
          <w:szCs w:val="24"/>
          <w:lang w:val="id-ID"/>
        </w:rPr>
        <w:fldChar w:fldCharType="end"/>
      </w:r>
      <w:r w:rsidR="001A199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3A1401">
        <w:rPr>
          <w:rStyle w:val="jlqj4b"/>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f1ff78ba-3a96-468a-b3e1-f922b222560e"]}],"mendeley":{"formattedCitation":"[23]","plainTextFormattedCitation":"[23]","previouslyFormattedCitation":"[23]"},"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[23]</w:t>
      </w:r>
      <w:r w:rsidR="004A3BD1">
        <w:rPr>
          <w:rStyle w:val="jlqj4b"/>
          <w:rFonts w:ascii="Tw Cen MT" w:hAnsi="Tw Cen MT"/>
          <w:sz w:val="24"/>
          <w:szCs w:val="24"/>
        </w:rPr>
        <w:fldChar w:fldCharType="end"/>
      </w:r>
      <w:r w:rsidR="004A3BD1">
        <w:rPr>
          <w:rStyle w:val="jlqj4b"/>
          <w:rFonts w:ascii="Tw Cen MT" w:hAnsi="Tw Cen MT"/>
          <w:sz w:val="24"/>
          <w:szCs w:val="24"/>
        </w:rPr>
        <w:t xml:space="preserve">. </w:t>
      </w:r>
      <w:r w:rsidRPr="00FD4938">
        <w:rPr>
          <w:rStyle w:val="jlqj4b"/>
          <w:rFonts w:ascii="Tw Cen MT" w:hAnsi="Tw Cen MT"/>
          <w:sz w:val="24"/>
          <w:szCs w:val="24"/>
          <w:lang w:val="id-ID"/>
        </w:rPr>
        <w:t xml:space="preserve">In the end, it will increase the individual's concern for the environment. Environmental concerns are related to waste sorting and recycling behavior </w:t>
      </w:r>
      <w:r w:rsidRPr="00FD4938">
        <w:rPr>
          <w:rFonts w:ascii="Tw Cen MT" w:eastAsia="SimSun" w:hAnsi="Tw Cen MT"/>
          <w:sz w:val="24"/>
          <w:szCs w:val="24"/>
          <w:lang w:val="id-ID" w:eastAsia="zh-CN"/>
        </w:rPr>
        <w:fldChar w:fldCharType="begin" w:fldLock="1"/>
      </w:r>
      <w:r w:rsidR="003A1401">
        <w:rPr>
          <w:rFonts w:ascii="Tw Cen MT" w:eastAsia="SimSun" w:hAnsi="Tw Cen MT"/>
          <w:sz w:val="24"/>
          <w:szCs w:val="24"/>
          <w:lang w:val="id-ID" w:eastAsia="zh-CN"/>
        </w:rPr>
        <w:instrText>ADDIN CSL_CITATION {"citationItems":[{"id":"ITEM-1","itemData":{"DOI":"10.1051/matecconf/20166600058","ISSN":"2261236X","abstract":"This study aims to identify the set of attributes to facilitate electronic waste (e-waste) behaviour among the community. E-waste disposal is increasing from year to year in parallel with increasing of global population. The short lifespan of electronics and poor e-waste recycling behaviour is among the main contributors to the steadily increasing of e-waste generated. Current recycling rate among the nation is lacking behind, which is only 10.5%. A questionnaire survey has been conducted among the students in Universiti Teknologi Malaysia to evaluate the current e-waste recycling practice. The results showed that majority of the respondents did not recycle their e-waste on campus. Aggressive efforts is needed to realize the country's target of 20% recycling rate in year 2020,","author":[{"dropping-particle":"","family":"Senawi","given":"Nur Hidayah","non-dropping-particle":"","parse-names":false,"suffix":""},{"dropping-particle":"","family":"Sheau-Ting","given":"Low","non-dropping-particle":"","parse-names":false,"suffix":""}],"container-title":"MATEC Web of Conferences","id":"ITEM-1","issue":"2016","issued":{"date-parts":[["2016"]]},"page":"4-8","title":"Attributes to facilitate e-waste recycling behaviour","type":"article-journal","volume":"66"},"uris":["http://www.mendeley.com/documents/?uuid=e675f52e-597b-413f-afff-0c61a36efa28"]}],"mendeley":{"formattedCitation":"[24]","plainTextFormattedCitation":"[24]","previouslyFormattedCitation":"[24]"},"properties":{"noteIndex":0},"schema":"https://github.com/citation-style-language/schema/raw/master/csl-citation.json"}</w:instrText>
      </w:r>
      <w:r w:rsidRPr="00FD4938">
        <w:rPr>
          <w:rFonts w:ascii="Tw Cen MT" w:eastAsia="SimSun" w:hAnsi="Tw Cen MT"/>
          <w:sz w:val="24"/>
          <w:szCs w:val="24"/>
          <w:lang w:val="id-ID" w:eastAsia="zh-CN"/>
        </w:rPr>
        <w:fldChar w:fldCharType="separate"/>
      </w:r>
      <w:r w:rsidR="004A3BD1" w:rsidRPr="004A3BD1">
        <w:rPr>
          <w:rFonts w:ascii="Tw Cen MT" w:eastAsia="SimSun" w:hAnsi="Tw Cen MT"/>
          <w:noProof/>
          <w:sz w:val="24"/>
          <w:szCs w:val="24"/>
          <w:lang w:val="id-ID" w:eastAsia="zh-CN"/>
        </w:rPr>
        <w:t>[24]</w:t>
      </w:r>
      <w:r w:rsidRPr="00FD4938">
        <w:rPr>
          <w:rFonts w:ascii="Tw Cen MT" w:eastAsia="SimSun" w:hAnsi="Tw Cen MT"/>
          <w:sz w:val="24"/>
          <w:szCs w:val="24"/>
          <w:lang w:eastAsia="zh-CN"/>
        </w:rPr>
        <w:fldChar w:fldCharType="end"/>
      </w:r>
      <w:r w:rsidRPr="00FD4938">
        <w:rPr>
          <w:rStyle w:val="jlqj4b"/>
          <w:rFonts w:ascii="Tw Cen MT" w:hAnsi="Tw Cen MT"/>
          <w:sz w:val="24"/>
          <w:szCs w:val="24"/>
          <w:lang w:val="id-ID"/>
        </w:rPr>
        <w:t xml:space="preserve">. That the level of education and income is also related to the behavior of sorting waste at the household level in Penyengat Island. People with low education are more likely to sort their waste than those in highly educated households. Previous research has shown that educated people are more likely to segregate waste than less educated people </w:t>
      </w:r>
      <w:r w:rsidRPr="00FD4938">
        <w:rPr>
          <w:rFonts w:ascii="Tw Cen MT" w:eastAsia="SimSun" w:hAnsi="Tw Cen MT"/>
          <w:sz w:val="24"/>
          <w:szCs w:val="24"/>
          <w:lang w:eastAsia="zh-CN"/>
        </w:rPr>
        <w:fldChar w:fldCharType="begin" w:fldLock="1"/>
      </w:r>
      <w:r w:rsidR="003A1401">
        <w:rPr>
          <w:rFonts w:ascii="Tw Cen MT" w:eastAsia="SimSun" w:hAnsi="Tw Cen MT"/>
          <w:sz w:val="24"/>
          <w:szCs w:val="24"/>
          <w:lang w:eastAsia="zh-CN"/>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[23]"},"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[23]</w:t>
      </w:r>
      <w:r w:rsidRPr="00FD4938">
        <w:rPr>
          <w:rFonts w:ascii="Tw Cen MT" w:eastAsia="SimSun" w:hAnsi="Tw Cen MT"/>
          <w:sz w:val="24"/>
          <w:szCs w:val="24"/>
          <w:lang w:eastAsia="zh-CN"/>
        </w:rPr>
        <w:fldChar w:fldCharType="end"/>
      </w:r>
      <w:r w:rsidRPr="00FD4938">
        <w:rPr>
          <w:rFonts w:ascii="Tw Cen MT" w:eastAsia="SimSun" w:hAnsi="Tw Cen MT"/>
          <w:sz w:val="24"/>
          <w:szCs w:val="24"/>
          <w:lang w:val="id-ID" w:eastAsia="zh-CN"/>
        </w:rPr>
        <w:t xml:space="preserve">. </w:t>
      </w:r>
    </w:p>
    <w:p w14:paraId="09FAE1CD" w14:textId="3266D992" w:rsidR="00C224B8" w:rsidRPr="00FD4938" w:rsidRDefault="00C224B8" w:rsidP="00CE6FEA">
      <w:pPr>
        <w:spacing w:after="0" w:line="240" w:lineRule="auto"/>
        <w:jc w:val="both"/>
        <w:rPr>
          <w:rFonts w:ascii="Tw Cen MT" w:eastAsia="SimSun" w:hAnsi="Tw Cen MT"/>
          <w:sz w:val="24"/>
          <w:szCs w:val="24"/>
          <w:lang w:eastAsia="zh-CN"/>
        </w:rPr>
      </w:pPr>
      <w:r w:rsidRPr="00FD4938">
        <w:rPr>
          <w:rFonts w:ascii="Tw Cen MT" w:hAnsi="Tw Cen MT"/>
          <w:sz w:val="24"/>
          <w:szCs w:val="24"/>
        </w:rPr>
        <w:t xml:space="preserve">An integrated and sustainable waste management model (ISWM-Integrated Sustainable Waste Management) with a multi-actor focus, multi-layer agreement on technical social systems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{"citationItems":[{"id":"ITEM-1","itemData":{"ISBN":"9076639051","abstract":"© 2017 Elsevier B.V. Amorphous drug-polysaccharide nanoparticle complex (or drug nanoplex) had emerged as an ideal supersaturating delivery system of poorly-soluble drugs attributed to its many attractive characteristics. Herein we presented for the first time direct comparison between two nanoplex synthesis platforms, i.e. millifluidics and bulk mixing, representing continuous and batch production modes, respectively. They were compared by the resultant nanoplex's (1) physical characteristics (size, zeta potential, and payload), (2) preparation efficiency, (3) storage stability, (4) dissolution rate/supersaturation generation, and (5) production consistency. The effects of key variables in drug-polysaccharide complexation (pH, charge ratio) were investigated in both platforms. Perphenazine and dextran sulfate were used as the drug and polysaccharide models, respectively. The results showed that both platforms shared similar dependences on pH and charge ratio with similar optimal preparation conditions, where the pH was the governing variable through its influence on size and zeta potential, Nanoplexes having mostly similar characteristics (size ≈70–90 nm, zeta potential ≈</w:instrText>
      </w:r>
      <w:r w:rsidR="004A3BD1">
        <w:rPr>
          <w:rFonts w:ascii="Arial" w:hAnsi="Arial" w:cs="Arial"/>
          <w:sz w:val="24"/>
          <w:szCs w:val="24"/>
        </w:rPr>
        <w:instrText>−</w:instrText>
      </w:r>
      <w:r w:rsidR="004A3BD1">
        <w:rPr>
          <w:rFonts w:ascii="Tw Cen MT" w:hAnsi="Tw Cen MT"/>
          <w:sz w:val="24"/>
          <w:szCs w:val="24"/>
        </w:rPr>
        <w:instrText>50</w:instrText>
      </w:r>
      <w:r w:rsidR="004A3BD1">
        <w:rPr>
          <w:rFonts w:ascii="Tw Cen MT" w:hAnsi="Tw Cen MT" w:cs="Tw Cen MT"/>
          <w:sz w:val="24"/>
          <w:szCs w:val="24"/>
        </w:rPr>
        <w:instrText> </w:instrText>
      </w:r>
      <w:r w:rsidR="004A3BD1">
        <w:rPr>
          <w:rFonts w:ascii="Tw Cen MT" w:hAnsi="Tw Cen MT"/>
          <w:sz w:val="24"/>
          <w:szCs w:val="24"/>
        </w:rPr>
        <w:instrText>mV) were produced by both platforms, except for the payload where bulk mixing resulted in lower payload (65% versus 85%). The lower payload, however, resulted in its superior supersaturation generation. Nevertheless, millifluidics was favored attributed to its superior production consistency and scalability.","author":[{"dropping-particle":"","family":"Anschütz","given":"J","non-dropping-particle":"","parse-names":false,"suffix":""},{"dropping-particle":"","family":"IJgosse","given":"J","non-dropping-particle":"","parse-names":false,"suffix":""},{"dropping-particle":"","family":"Scheinberg","given":"A","non-dropping-particle":"","parse-names":false,"suffix":""}],"container-title":"Waste.Watsan.Net","id":"ITEM-1","issued":{"date-parts":[["2004"]]},"title":"Putting Integrated Sustainable Waste Management into Practice","type":"book"},"uris":["http://www.mendeley.com/documents/?uuid=28bb62ec-79f5-4c2d-95ac-070173404273"]}],"mendeley":{"formattedCitation":"[25]","plainTextFormattedCitation":"[25]","previouslyFormattedCitation":"[25]"},"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[25]</w:t>
      </w:r>
      <w:r w:rsidRPr="00FD4938">
        <w:rPr>
          <w:rFonts w:ascii="Tw Cen MT" w:hAnsi="Tw Cen MT"/>
          <w:sz w:val="24"/>
          <w:szCs w:val="24"/>
        </w:rPr>
        <w:fldChar w:fldCharType="end"/>
      </w:r>
      <w:r w:rsidRPr="00FD4938">
        <w:rPr>
          <w:rFonts w:ascii="Tw Cen MT" w:hAnsi="Tw Cen MT"/>
          <w:sz w:val="24"/>
          <w:szCs w:val="24"/>
        </w:rPr>
        <w:t xml:space="preserve">. ISWM places the formal sector and informal business in the overall technical social system of waste management. The ISWM framework recognizes three main dimensions of waste management, namely stakeholders, elements of the waste system, and aspects of sustainability </w:t>
      </w:r>
      <w:r w:rsidRPr="00FD4938">
        <w:rPr>
          <w:rFonts w:ascii="Tw Cen MT" w:hAnsi="Tw Cen MT"/>
          <w:sz w:val="24"/>
          <w:szCs w:val="24"/>
        </w:rPr>
        <w:fldChar w:fldCharType="begin" w:fldLock="1"/>
      </w:r>
      <w:r w:rsidR="003A1401">
        <w:rPr>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[23]"},"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[23]</w:t>
      </w:r>
      <w:r w:rsidRPr="00FD4938">
        <w:rPr>
          <w:rFonts w:ascii="Tw Cen MT" w:hAnsi="Tw Cen MT"/>
          <w:sz w:val="24"/>
          <w:szCs w:val="24"/>
        </w:rPr>
        <w:fldChar w:fldCharType="end"/>
      </w:r>
      <w:r w:rsidRPr="00FD4938">
        <w:rPr>
          <w:rFonts w:ascii="Tw Cen MT" w:hAnsi="Tw Cen MT"/>
          <w:sz w:val="24"/>
          <w:szCs w:val="24"/>
        </w:rPr>
        <w:t xml:space="preserve">. Integrated waste management combines technology by adapting local situations and conditions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{"citationItems":[{"id":"ITEM-1","itemData":{"DOI":"10.2495/WM100111","ISBN":"9781845644604","ISSN":"17433541","abstract":"The Act regarding Waste Management was enacted in Indonesia in December 2008, requiring all citizens of Jakarta to segregate their waste for recycling. However, \"social capacity\" is required to achieve sound waste recycling. This refers to the people's cooperation and participation in waste management, which is vitally important for establishing a 3R society. The purpose of this research is to determine the level of social capacity in Jakarta for becoming a 3R society, and to propose some effective policies to the government of Jakarta. This research was conducted via interviews with stakeholders of waste management in Jakarta, and a questionnaire survey with a sample of Jakarta citizens. In 2004, Professor Kimura of Nagoya University interviewed the stakeholders of the waste management of Jakarta. This investigation was followed-up in 2007 by us, and the results were compared. The results showed that the social capacity of Jakarta was improving. The following year, in 2008, a questionnaire survey with more than 300 Jakarta citizens was conducted, in order to gauge attitudes towards waste management policy, and the role of big business and individual citizens in waste management. The survey results indicate that the social capacity of Jakarta is gradually increasing. There is a clear hope expressed by the citizens of Jakarta that the city will address the issue of waste management seriously, through such policies as new rules for waste management, educating the people through a media campaign, and the collection of recyclable waste from the front of supermarkets, for example. We propose to examine the introduction of the 'deposit system' versus the 'penalty system', with citizens' participatory conference. © 2010 WIT Press.","author":[{"dropping-particle":"","family":"Okayama","given":"T.","non-dropping-particle":"","parse-names":false,"suffix":""},{"dropping-particle":"","family":"Susanto","given":"J. Prayitno","non-dropping-particle":"","parse-names":false,"suffix":""},{"dropping-particle":"","family":"Indriyati","given":"","non-dropping-particle":"","parse-names":false,"suffix":""},{"dropping-particle":"","family":"Kardono","given":"","non-dropping-particle":"","parse-names":false,"suffix":""}],"container-title":"WIT Transactions on Ecology and the Environment","id":"ITEM-1","issued":{"date-parts":[["2010"]]},"title":"Social capacity of waste and material management of Jakarta","type":"article-journal"},"uris":["http://www.mendeley.com/documents/?uuid=da33c4e0-3e3f-40d0-8128-132fa1ab3e29"]}],"mendeley":{"formattedCitation":"[26]","plainTextFormattedCitation":"[26]","previouslyFormattedCitation":"[26]"},"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[26]</w:t>
      </w:r>
      <w:r w:rsidRPr="00FD4938">
        <w:rPr>
          <w:rFonts w:ascii="Tw Cen MT" w:hAnsi="Tw Cen MT"/>
          <w:sz w:val="24"/>
          <w:szCs w:val="24"/>
        </w:rPr>
        <w:fldChar w:fldCharType="end"/>
      </w:r>
      <w:r w:rsidRPr="00FD4938">
        <w:rPr>
          <w:rFonts w:ascii="Tw Cen MT" w:hAnsi="Tw Cen MT"/>
          <w:sz w:val="24"/>
          <w:szCs w:val="24"/>
        </w:rPr>
        <w:t>.</w:t>
      </w:r>
    </w:p>
    <w:p w14:paraId="78B53622" w14:textId="2EB58EFB" w:rsidR="00C224B8" w:rsidRPr="00FD4938" w:rsidRDefault="00C224B8" w:rsidP="001A1991">
      <w:pPr>
        <w:spacing w:after="0" w:line="240" w:lineRule="auto"/>
        <w:jc w:val="both"/>
        <w:rPr>
          <w:rFonts w:ascii="Tw Cen MT" w:hAnsi="Tw Cen MT"/>
          <w:sz w:val="24"/>
          <w:szCs w:val="24"/>
        </w:rPr>
      </w:pPr>
      <w:r w:rsidRPr="00FD4938">
        <w:rPr>
          <w:rFonts w:ascii="Tw Cen MT" w:hAnsi="Tw Cen MT"/>
          <w:sz w:val="24"/>
          <w:szCs w:val="24"/>
        </w:rPr>
        <w:t xml:space="preserve">The success of waste management is not only the government's responsibility but also the support from the community. No matter how well the system is built, it still requires the role of the community as a producer group as well as waste management and utilization benefits from waste management. The support of government and private cooperation in fostering habits and culture of managing waste in an area. Participate in the form of cost, operational and maintenance </w:t>
      </w:r>
      <w:r w:rsidRPr="00FD4938">
        <w:rPr>
          <w:rFonts w:ascii="Tw Cen MT" w:hAnsi="Tw Cen MT"/>
          <w:sz w:val="24"/>
          <w:szCs w:val="24"/>
        </w:rPr>
        <w:lastRenderedPageBreak/>
        <w:t xml:space="preserve">investments in waste management on small islands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{"citationItems":[{"id":"ITEM-1","itemData":{"author":[{"dropping-particle":"","family":"Kementerian PU","given":"","non-dropping-particle":"","parse-names":false,"suffix":""}],"container-title":"Kementerian PU","id":"ITEM-1","issued":{"date-parts":[["2016"]]},"title":"Tata Cara Penyelenggaraan Sistem Pengelolaan Sampah di Kawasan Pulau Kecil","type":"book"},"uris":["http://www.mendeley.com/documents/?uuid=c891403f-2ef3-4e84-964d-0e65e7e5c7d4"]}],"mendeley":{"formattedCitation":"[27]","plainTextFormattedCitation":"[27]","previouslyFormattedCitation":"[27]"},"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[27]</w:t>
      </w:r>
      <w:r w:rsidRPr="00FD4938">
        <w:rPr>
          <w:rFonts w:ascii="Tw Cen MT" w:hAnsi="Tw Cen MT"/>
          <w:sz w:val="24"/>
          <w:szCs w:val="24"/>
        </w:rPr>
        <w:fldChar w:fldCharType="end"/>
      </w:r>
      <w:r w:rsidRPr="00FD4938">
        <w:rPr>
          <w:rFonts w:ascii="Tw Cen MT" w:hAnsi="Tw Cen MT"/>
          <w:sz w:val="24"/>
          <w:szCs w:val="24"/>
        </w:rPr>
        <w:t xml:space="preserve">. </w:t>
      </w:r>
    </w:p>
    <w:p w14:paraId="227AC3C7" w14:textId="33178D59" w:rsidR="00C224B8" w:rsidRPr="00FD4938" w:rsidRDefault="00C224B8" w:rsidP="00CE6FEA">
      <w:pPr>
        <w:spacing w:after="0" w:line="240" w:lineRule="auto"/>
        <w:jc w:val="both"/>
        <w:rPr>
          <w:rFonts w:ascii="Tw Cen MT" w:hAnsi="Tw Cen MT"/>
          <w:sz w:val="24"/>
          <w:szCs w:val="24"/>
          <w:lang w:val="en-GB"/>
        </w:rPr>
      </w:pPr>
      <w:r w:rsidRPr="00FD4938">
        <w:rPr>
          <w:rFonts w:ascii="Tw Cen MT" w:eastAsia="Times New Roman" w:hAnsi="Tw Cen MT"/>
          <w:color w:val="231F20"/>
          <w:sz w:val="24"/>
          <w:szCs w:val="24"/>
        </w:rPr>
        <w:t xml:space="preserve">Waste management from source to final disposal employing manufacture and separation, collection &amp; transfer, processing, recycling, and final disposal is not enough. An enabling environment and stakeholder engagement that influence each other also play a significant role in providing impact in the sector of waste management. Good waste management must be supported by at least five main aspects, namely legal, institutional, financing, technological, and socio-cultural aspects. In this way, the three main objectives of waste management are public welfare, environmental quality, and turning waste into a resource. </w:t>
      </w:r>
      <w:r w:rsidRPr="00FD4938">
        <w:rPr>
          <w:rFonts w:ascii="Tw Cen MT" w:hAnsi="Tw Cen MT"/>
          <w:sz w:val="24"/>
          <w:szCs w:val="24"/>
          <w:lang w:val="en-GB"/>
        </w:rPr>
        <w:t xml:space="preserve">Consider the area of land, the volume of land to stockpile, the carrying capacity and capacity of the environment as well as from the aspect of financing and human resources in its operation. The importance of reviving community independence in terms of island waste management, then the most likely thing to do is TPS 3 Ron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This system will revive the community's independence because of a high sense of responsibility, need and concern for th</w:t>
      </w:r>
      <w:r w:rsidR="001A1991">
        <w:rPr>
          <w:rFonts w:ascii="Tw Cen MT" w:hAnsi="Tw Cen MT"/>
          <w:sz w:val="24"/>
          <w:szCs w:val="24"/>
          <w:lang w:val="en-GB"/>
        </w:rPr>
        <w:t>e</w:t>
      </w:r>
      <w:r w:rsidR="00A95D38">
        <w:rPr>
          <w:rFonts w:ascii="Tw Cen MT" w:hAnsi="Tw Cen MT"/>
          <w:sz w:val="24"/>
          <w:szCs w:val="24"/>
          <w:lang w:val="en-GB"/>
        </w:rPr>
        <w:t xml:space="preserve"> </w:t>
      </w:r>
      <w:r w:rsidRPr="00FD4938">
        <w:rPr>
          <w:rFonts w:ascii="Tw Cen MT" w:hAnsi="Tw Cen MT"/>
          <w:sz w:val="24"/>
          <w:szCs w:val="24"/>
          <w:lang w:val="en-GB"/>
        </w:rPr>
        <w:t>sustainability of nature and the environment as well as common health.</w:t>
      </w:r>
    </w:p>
    <w:p w14:paraId="5AB566F5" w14:textId="77777777" w:rsidR="00C224B8" w:rsidRPr="00FD4938" w:rsidRDefault="00C224B8" w:rsidP="001A1991">
      <w:pPr>
        <w:spacing w:after="0" w:line="240" w:lineRule="auto"/>
        <w:jc w:val="both"/>
        <w:rPr>
          <w:rFonts w:ascii="Tw Cen MT" w:hAnsi="Tw Cen MT"/>
          <w:sz w:val="24"/>
          <w:szCs w:val="24"/>
        </w:rPr>
      </w:pPr>
      <w:r w:rsidRPr="00FD4938">
        <w:rPr>
          <w:rFonts w:ascii="Tw Cen MT" w:hAnsi="Tw Cen MT"/>
          <w:sz w:val="24"/>
          <w:szCs w:val="24"/>
        </w:rPr>
        <w:t>Incoming waste has been separated from the source. It is to optimize TPS 3R performance. Segregated waste collection can be performed by making bulkheads on garbage collection carts or by creating a scheduling mechanism for transporting waste according to its type, for example, intermittent waste for organic and inorganic. Waste processing through a process of sorting (physics), organic (biological) waste into compost, recycling of inorganic waste, compaction, or enumeration (physical process) to optimize the volume distributed to recyclers, as well as transporting waste to a waste landfill for residual waste. Meanwhile, Hazardous and Toxic Waste (B3) is collected and managed according to applicable regulations.</w:t>
      </w:r>
    </w:p>
    <w:p w14:paraId="7C3BB1A6" w14:textId="77777777" w:rsidR="00C224B8" w:rsidRPr="00FD4938" w:rsidRDefault="00C224B8" w:rsidP="00D509F7">
      <w:pPr>
        <w:tabs>
          <w:tab w:val="left" w:pos="426"/>
        </w:tabs>
        <w:spacing w:after="0" w:line="240" w:lineRule="auto"/>
        <w:jc w:val="both"/>
        <w:rPr>
          <w:rFonts w:ascii="Tw Cen MT" w:eastAsia="Twentieth Century" w:hAnsi="Tw Cen MT" w:cs="Twentieth Century"/>
          <w:sz w:val="24"/>
          <w:szCs w:val="24"/>
        </w:rPr>
      </w:pPr>
    </w:p>
    <w:p w14:paraId="4E2A0540" w14:textId="77777777" w:rsidR="001A1991" w:rsidRDefault="001A1991">
      <w:pPr>
        <w:tabs>
          <w:tab w:val="left" w:pos="426"/>
        </w:tabs>
        <w:spacing w:after="0"/>
        <w:jc w:val="both"/>
        <w:rPr>
          <w:rFonts w:ascii="Tw Cen MT" w:eastAsia="Twentieth Century" w:hAnsi="Tw Cen MT" w:cs="Twentieth Century"/>
          <w:b/>
          <w:sz w:val="24"/>
          <w:szCs w:val="24"/>
        </w:rPr>
      </w:pPr>
    </w:p>
    <w:p w14:paraId="191B15AF" w14:textId="3A9701BA" w:rsidR="0081084F" w:rsidRPr="00FD4938" w:rsidRDefault="00C224B8">
      <w:pPr>
        <w:tabs>
          <w:tab w:val="left" w:pos="426"/>
        </w:tabs>
        <w:spacing w:after="0"/>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ACKNOWLEDGMENTS</w:t>
      </w:r>
    </w:p>
    <w:p w14:paraId="3F1B8F19" w14:textId="77777777" w:rsidR="0081084F" w:rsidRPr="00FD4938" w:rsidRDefault="00C224B8" w:rsidP="001A1991">
      <w:pPr>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sz w:val="24"/>
          <w:szCs w:val="24"/>
        </w:rPr>
        <w:t>We would like to thank all those who contributed to this research. Stakeholders related to the government, community agencies and the community</w:t>
      </w:r>
    </w:p>
    <w:p w14:paraId="1F4D9896" w14:textId="77777777" w:rsidR="00FD4938" w:rsidRPr="00FD4938" w:rsidRDefault="00FD4938" w:rsidP="00FD4938">
      <w:pPr>
        <w:spacing w:after="0" w:line="240" w:lineRule="auto"/>
        <w:jc w:val="both"/>
        <w:rPr>
          <w:rFonts w:ascii="Tw Cen MT" w:eastAsia="Twentieth Century" w:hAnsi="Tw Cen MT" w:cs="Twentieth Century"/>
          <w:b/>
          <w:sz w:val="24"/>
          <w:szCs w:val="24"/>
        </w:rPr>
      </w:pPr>
    </w:p>
    <w:p w14:paraId="7EE3788C" w14:textId="77777777" w:rsidR="00FD4938" w:rsidRPr="00FD4938" w:rsidRDefault="00FD4938" w:rsidP="00FD4938">
      <w:pPr>
        <w:spacing w:after="0" w:line="240" w:lineRule="auto"/>
        <w:jc w:val="both"/>
        <w:rPr>
          <w:rFonts w:ascii="Tw Cen MT" w:hAnsi="Tw Cen MT" w:cstheme="majorBidi"/>
          <w:b/>
          <w:bCs/>
          <w:color w:val="000000"/>
          <w:sz w:val="24"/>
          <w:szCs w:val="24"/>
        </w:rPr>
      </w:pPr>
      <w:r w:rsidRPr="00FD4938">
        <w:rPr>
          <w:rFonts w:ascii="Tw Cen MT" w:hAnsi="Tw Cen MT" w:cstheme="majorBidi"/>
          <w:b/>
          <w:bCs/>
          <w:color w:val="000000"/>
          <w:sz w:val="24"/>
          <w:szCs w:val="24"/>
        </w:rPr>
        <w:t xml:space="preserve">CONCLUSION AND SUGGESTIONS </w:t>
      </w:r>
    </w:p>
    <w:p w14:paraId="77948CB1" w14:textId="77777777" w:rsidR="00C224B8" w:rsidRPr="00FD4938" w:rsidRDefault="00C224B8" w:rsidP="001A1991">
      <w:pPr>
        <w:spacing w:after="0" w:line="240" w:lineRule="auto"/>
        <w:jc w:val="both"/>
        <w:rPr>
          <w:rFonts w:ascii="Tw Cen MT" w:hAnsi="Tw Cen MT"/>
          <w:sz w:val="24"/>
          <w:szCs w:val="24"/>
        </w:rPr>
      </w:pPr>
      <w:r w:rsidRPr="00FD4938">
        <w:rPr>
          <w:rFonts w:ascii="Tw Cen MT" w:hAnsi="Tw Cen MT"/>
          <w:sz w:val="24"/>
          <w:szCs w:val="24"/>
        </w:rPr>
        <w:t xml:space="preserve">Waste management on the island of </w:t>
      </w:r>
      <w:proofErr w:type="spellStart"/>
      <w:r w:rsidRPr="00FD4938">
        <w:rPr>
          <w:rFonts w:ascii="Tw Cen MT" w:hAnsi="Tw Cen MT"/>
          <w:sz w:val="24"/>
          <w:szCs w:val="24"/>
        </w:rPr>
        <w:t>Penyengat</w:t>
      </w:r>
      <w:proofErr w:type="spellEnd"/>
      <w:r w:rsidRPr="00FD4938">
        <w:rPr>
          <w:rFonts w:ascii="Tw Cen MT" w:hAnsi="Tw Cen MT"/>
          <w:sz w:val="24"/>
          <w:szCs w:val="24"/>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 Efforts are made with TPS 3R inorganic waste management through waste banks and organic through compost houses. Meanwhile, the remaining waste that cannot be processed is recommended to be transported by ship to the larger islands where it will be processed using a sanitary landfill system.</w:t>
      </w:r>
    </w:p>
    <w:p w14:paraId="7961AD54" w14:textId="2AFF4EDD" w:rsidR="00C224B8" w:rsidRPr="00FD4938" w:rsidRDefault="00C224B8" w:rsidP="00CE6FEA">
      <w:pPr>
        <w:spacing w:after="0" w:line="240" w:lineRule="auto"/>
        <w:jc w:val="both"/>
        <w:rPr>
          <w:rFonts w:ascii="Tw Cen MT" w:hAnsi="Tw Cen MT"/>
          <w:sz w:val="24"/>
          <w:szCs w:val="24"/>
          <w:lang w:val="en-GB"/>
        </w:rPr>
      </w:pPr>
      <w:r w:rsidRPr="00FD4938">
        <w:rPr>
          <w:rFonts w:ascii="Tw Cen MT" w:hAnsi="Tw Cen MT"/>
          <w:sz w:val="24"/>
          <w:szCs w:val="24"/>
          <w:lang w:val="en-GB"/>
        </w:rPr>
        <w:t xml:space="preserve">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assist the waste care pilot village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as a form of declaration of joint commitment so that it will become a model for its small island and will realize integrated small island management. 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coordinate waste management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with the 3R TPS approach, with the synergy of the government, the private sector, and the community.</w:t>
      </w:r>
    </w:p>
    <w:p w14:paraId="334356B1" w14:textId="77777777" w:rsidR="0081084F" w:rsidRDefault="0081084F" w:rsidP="00FD4938">
      <w:pPr>
        <w:spacing w:after="0" w:line="240" w:lineRule="auto"/>
        <w:jc w:val="both"/>
        <w:rPr>
          <w:rFonts w:ascii="Tw Cen MT" w:eastAsia="Twentieth Century" w:hAnsi="Tw Cen MT" w:cs="Twentieth Century"/>
          <w:b/>
          <w:sz w:val="24"/>
          <w:szCs w:val="24"/>
        </w:rPr>
      </w:pPr>
    </w:p>
    <w:p w14:paraId="3961A2C9" w14:textId="77777777" w:rsidR="00FD4938" w:rsidRDefault="00FD4938" w:rsidP="00FD4938">
      <w:pPr>
        <w:spacing w:after="0" w:line="240" w:lineRule="auto"/>
        <w:rPr>
          <w:rStyle w:val="fontstyle01"/>
          <w:rFonts w:ascii="Tw Cen MT" w:hAnsi="Tw Cen MT"/>
          <w:b/>
        </w:rPr>
      </w:pPr>
      <w:r w:rsidRPr="00FD4938">
        <w:rPr>
          <w:rStyle w:val="fontstyle01"/>
          <w:rFonts w:ascii="Tw Cen MT" w:hAnsi="Tw Cen MT"/>
          <w:b/>
        </w:rPr>
        <w:t>REFERANCES</w:t>
      </w:r>
    </w:p>
    <w:p w14:paraId="546D7066" w14:textId="5E8562BB" w:rsidR="003A1401" w:rsidRPr="003A1401" w:rsidRDefault="004A3BD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Style w:val="fontstyle01"/>
          <w:rFonts w:ascii="Tw Cen MT" w:hAnsi="Tw Cen MT"/>
          <w:b/>
        </w:rPr>
        <w:fldChar w:fldCharType="begin" w:fldLock="1"/>
      </w:r>
      <w:r>
        <w:rPr>
          <w:rStyle w:val="fontstyle01"/>
          <w:rFonts w:ascii="Tw Cen MT" w:hAnsi="Tw Cen MT"/>
          <w:b/>
        </w:rPr>
        <w:instrText xml:space="preserve">ADDIN Mendeley Bibliography CSL_BIBLIOGRAPHY </w:instrText>
      </w:r>
      <w:r>
        <w:rPr>
          <w:rStyle w:val="fontstyle01"/>
          <w:rFonts w:ascii="Tw Cen MT" w:hAnsi="Tw Cen MT"/>
          <w:b/>
        </w:rPr>
        <w:fldChar w:fldCharType="separate"/>
      </w:r>
      <w:r w:rsidR="003A1401" w:rsidRPr="003A1401">
        <w:rPr>
          <w:rFonts w:ascii="Tw Cen MT" w:hAnsi="Tw Cen MT" w:cs="Times New Roman"/>
          <w:noProof/>
          <w:sz w:val="24"/>
          <w:szCs w:val="24"/>
        </w:rPr>
        <w:t>[1]</w:t>
      </w:r>
      <w:r w:rsidR="003A1401" w:rsidRPr="003A1401">
        <w:rPr>
          <w:rFonts w:ascii="Tw Cen MT" w:hAnsi="Tw Cen MT" w:cs="Times New Roman"/>
          <w:noProof/>
          <w:sz w:val="24"/>
          <w:szCs w:val="24"/>
        </w:rPr>
        <w:tab/>
        <w:t xml:space="preserve">J. C. M. Siluk, T. B. Garlet, R. Marcuzzo, C. de F. Michelin, and I. F. Minello, “Technology-based Entrepreneurship in South Brazil,” </w:t>
      </w:r>
      <w:r w:rsidR="003A1401" w:rsidRPr="003A1401">
        <w:rPr>
          <w:rFonts w:ascii="Tw Cen MT" w:hAnsi="Tw Cen MT" w:cs="Times New Roman"/>
          <w:i/>
          <w:iCs/>
          <w:noProof/>
          <w:sz w:val="24"/>
          <w:szCs w:val="24"/>
        </w:rPr>
        <w:t>Rev. Adm. UFSM</w:t>
      </w:r>
      <w:r w:rsidR="003A1401" w:rsidRPr="003A1401">
        <w:rPr>
          <w:rFonts w:ascii="Tw Cen MT" w:hAnsi="Tw Cen MT" w:cs="Times New Roman"/>
          <w:noProof/>
          <w:sz w:val="24"/>
          <w:szCs w:val="24"/>
        </w:rPr>
        <w:t>, vol. 11, no. 2, pp. 471–488, 2018, doi: 10.5902/19834659.</w:t>
      </w:r>
    </w:p>
    <w:p w14:paraId="057DCEDA"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w:t>
      </w:r>
      <w:r w:rsidRPr="003A1401">
        <w:rPr>
          <w:rFonts w:ascii="Tw Cen MT" w:hAnsi="Tw Cen MT" w:cs="Times New Roman"/>
          <w:noProof/>
          <w:sz w:val="24"/>
          <w:szCs w:val="24"/>
        </w:rPr>
        <w:tab/>
        <w:t xml:space="preserve">P. Agamuthu, K. M. Khidzir, and F. S. Hamid, “Drivers of sustainable waste management in Asia,”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27, no. 7, pp. 625–633, 2009, doi: 10.1177/0734242X09103191.</w:t>
      </w:r>
    </w:p>
    <w:p w14:paraId="467533D9"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lastRenderedPageBreak/>
        <w:t>[3]</w:t>
      </w:r>
      <w:r w:rsidRPr="003A1401">
        <w:rPr>
          <w:rFonts w:ascii="Tw Cen MT" w:hAnsi="Tw Cen MT" w:cs="Times New Roman"/>
          <w:noProof/>
          <w:sz w:val="24"/>
          <w:szCs w:val="24"/>
        </w:rPr>
        <w:tab/>
        <w:t xml:space="preserve">A. Hiramatsu, Y. Hara, M. Sekiyama, R. Honda, and C. Chiemchaisri, “Municipal solid waste flow and waste generation characteristics in an urban-rural fringe area in Thailand,”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27, no. 10, pp. 951–960, 2009, doi: 10.1177/0734242X09103819.</w:t>
      </w:r>
    </w:p>
    <w:p w14:paraId="1952DD95"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[4]</w:t>
      </w:r>
      <w:r w:rsidRPr="003A1401">
        <w:rPr>
          <w:rFonts w:ascii="Tw Cen MT" w:hAnsi="Tw Cen MT" w:cs="Times New Roman"/>
          <w:noProof/>
          <w:sz w:val="24"/>
          <w:szCs w:val="24"/>
        </w:rPr>
        <w:tab/>
        <w:t xml:space="preserve">C. Bogiatzidis and D. Komilis, “Economic and life cycle analysis of municipal solid waste management for small Islands: On-site management scenarios versus off-site transportation,” </w:t>
      </w:r>
      <w:r w:rsidRPr="003A1401">
        <w:rPr>
          <w:rFonts w:ascii="Tw Cen MT" w:hAnsi="Tw Cen MT" w:cs="Times New Roman"/>
          <w:i/>
          <w:iCs/>
          <w:noProof/>
          <w:sz w:val="24"/>
          <w:szCs w:val="24"/>
        </w:rPr>
        <w:t>Glob. Nest J.</w:t>
      </w:r>
      <w:r w:rsidRPr="003A1401">
        <w:rPr>
          <w:rFonts w:ascii="Tw Cen MT" w:hAnsi="Tw Cen MT" w:cs="Times New Roman"/>
          <w:noProof/>
          <w:sz w:val="24"/>
          <w:szCs w:val="24"/>
        </w:rPr>
        <w:t>, 2016.</w:t>
      </w:r>
    </w:p>
    <w:p w14:paraId="1B0B5720"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[5]</w:t>
      </w:r>
      <w:r w:rsidRPr="003A1401">
        <w:rPr>
          <w:rFonts w:ascii="Tw Cen MT" w:hAnsi="Tw Cen MT" w:cs="Times New Roman"/>
          <w:noProof/>
          <w:sz w:val="24"/>
          <w:szCs w:val="24"/>
        </w:rPr>
        <w:tab/>
        <w:t xml:space="preserve">S. K. Mallak, M. B. Ishak, M. R. M. Kasim, and M. A. A. Samah, “Assessing the effectiveness of waste minimization methods in solid waste reduction at the source by manufacturing firms in Malaysia,” </w:t>
      </w:r>
      <w:r w:rsidRPr="003A1401">
        <w:rPr>
          <w:rFonts w:ascii="Tw Cen MT" w:hAnsi="Tw Cen MT" w:cs="Times New Roman"/>
          <w:i/>
          <w:iCs/>
          <w:noProof/>
          <w:sz w:val="24"/>
          <w:szCs w:val="24"/>
        </w:rPr>
        <w:t>Polish J. Environ. Stud.</w:t>
      </w:r>
      <w:r w:rsidRPr="003A1401">
        <w:rPr>
          <w:rFonts w:ascii="Tw Cen MT" w:hAnsi="Tw Cen MT" w:cs="Times New Roman"/>
          <w:noProof/>
          <w:sz w:val="24"/>
          <w:szCs w:val="24"/>
        </w:rPr>
        <w:t>, vol. 24, no. 5, pp. 2063–2071, 2015, doi: 10.15244/pjoes/35518.</w:t>
      </w:r>
    </w:p>
    <w:p w14:paraId="1D1A30BB"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[6]</w:t>
      </w:r>
      <w:r w:rsidRPr="003A1401">
        <w:rPr>
          <w:rFonts w:ascii="Tw Cen MT" w:hAnsi="Tw Cen MT" w:cs="Times New Roman"/>
          <w:noProof/>
          <w:sz w:val="24"/>
          <w:szCs w:val="24"/>
        </w:rPr>
        <w:tab/>
        <w:t xml:space="preserve">T. A. Otitoju and L. Seng, “Municipal Solid Waste Management: Household Waste Segregation in Kuching South City, Sarawak, Malaysia,” </w:t>
      </w:r>
      <w:r w:rsidRPr="003A1401">
        <w:rPr>
          <w:rFonts w:ascii="Tw Cen MT" w:hAnsi="Tw Cen MT" w:cs="Times New Roman"/>
          <w:i/>
          <w:iCs/>
          <w:noProof/>
          <w:sz w:val="24"/>
          <w:szCs w:val="24"/>
        </w:rPr>
        <w:t>Am. J. Eng. Res.</w:t>
      </w:r>
      <w:r w:rsidRPr="003A1401">
        <w:rPr>
          <w:rFonts w:ascii="Tw Cen MT" w:hAnsi="Tw Cen MT" w:cs="Times New Roman"/>
          <w:noProof/>
          <w:sz w:val="24"/>
          <w:szCs w:val="24"/>
        </w:rPr>
        <w:t>, vol. 03, no. 06, pp. 82–91, 2014, [Online]. Available: www.ajer.org.</w:t>
      </w:r>
    </w:p>
    <w:p w14:paraId="10CC4210"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[7]</w:t>
      </w:r>
      <w:r w:rsidRPr="003A1401">
        <w:rPr>
          <w:rFonts w:ascii="Tw Cen MT" w:hAnsi="Tw Cen MT" w:cs="Times New Roman"/>
          <w:noProof/>
          <w:sz w:val="24"/>
          <w:szCs w:val="24"/>
        </w:rPr>
        <w:tab/>
        <w:t xml:space="preserve">T. A. Otitoju, “Individual Attitude toward Recycling of Municipal Solid Waste in Lagos, Nigeria,” </w:t>
      </w:r>
      <w:r w:rsidRPr="003A1401">
        <w:rPr>
          <w:rFonts w:ascii="Tw Cen MT" w:hAnsi="Tw Cen MT" w:cs="Times New Roman"/>
          <w:i/>
          <w:iCs/>
          <w:noProof/>
          <w:sz w:val="24"/>
          <w:szCs w:val="24"/>
        </w:rPr>
        <w:t>Am. J. Eng. Res.</w:t>
      </w:r>
      <w:r w:rsidRPr="003A1401">
        <w:rPr>
          <w:rFonts w:ascii="Tw Cen MT" w:hAnsi="Tw Cen MT" w:cs="Times New Roman"/>
          <w:noProof/>
          <w:sz w:val="24"/>
          <w:szCs w:val="24"/>
        </w:rPr>
        <w:t>, vol. 3, no. 07, pp. 78–88, 2014, [Online]. Available: www.ajer.org.</w:t>
      </w:r>
    </w:p>
    <w:p w14:paraId="070F2846"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[8]</w:t>
      </w:r>
      <w:r w:rsidRPr="003A1401">
        <w:rPr>
          <w:rFonts w:ascii="Tw Cen MT" w:hAnsi="Tw Cen MT" w:cs="Times New Roman"/>
          <w:noProof/>
          <w:sz w:val="24"/>
          <w:szCs w:val="24"/>
        </w:rPr>
        <w:tab/>
        <w:t xml:space="preserve">L. Willmott and S. Graci, “Solid Waste Management in Small Island Destinations: A Case Study of Gili Trawangan, Indonesia,” </w:t>
      </w:r>
      <w:r w:rsidRPr="003A1401">
        <w:rPr>
          <w:rFonts w:ascii="Tw Cen MT" w:hAnsi="Tw Cen MT" w:cs="Times New Roman"/>
          <w:i/>
          <w:iCs/>
          <w:noProof/>
          <w:sz w:val="24"/>
          <w:szCs w:val="24"/>
        </w:rPr>
        <w:t>Téoros Rev. Rech. en Tour.</w:t>
      </w:r>
      <w:r w:rsidRPr="003A1401">
        <w:rPr>
          <w:rFonts w:ascii="Tw Cen MT" w:hAnsi="Tw Cen MT" w:cs="Times New Roman"/>
          <w:noProof/>
          <w:sz w:val="24"/>
          <w:szCs w:val="24"/>
        </w:rPr>
        <w:t>, pp. 71–76, 2012, doi: 10.7202/1036566ar.</w:t>
      </w:r>
    </w:p>
    <w:p w14:paraId="6B88AB57"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[9]</w:t>
      </w:r>
      <w:r w:rsidRPr="003A1401">
        <w:rPr>
          <w:rFonts w:ascii="Tw Cen MT" w:hAnsi="Tw Cen MT" w:cs="Times New Roman"/>
          <w:noProof/>
          <w:sz w:val="24"/>
          <w:szCs w:val="24"/>
        </w:rPr>
        <w:tab/>
        <w:t xml:space="preserve">E. Shamshiry, B. Nadi, M. Bin Mokhtar, I. Komoo, H. Saadiah Hashim, and N. Yahaya, “Integrated Models for Solid Waste Management in Tourism Regions: Langkawi Island, Malaysia,” </w:t>
      </w:r>
      <w:r w:rsidRPr="003A1401">
        <w:rPr>
          <w:rFonts w:ascii="Tw Cen MT" w:hAnsi="Tw Cen MT" w:cs="Times New Roman"/>
          <w:i/>
          <w:iCs/>
          <w:noProof/>
          <w:sz w:val="24"/>
          <w:szCs w:val="24"/>
        </w:rPr>
        <w:t>J. Environ. Public Health</w:t>
      </w:r>
      <w:r w:rsidRPr="003A1401">
        <w:rPr>
          <w:rFonts w:ascii="Tw Cen MT" w:hAnsi="Tw Cen MT" w:cs="Times New Roman"/>
          <w:noProof/>
          <w:sz w:val="24"/>
          <w:szCs w:val="24"/>
        </w:rPr>
        <w:t>, vol. 2011, pp. 1–5, 2011, doi: 10.1155/2011/709549.</w:t>
      </w:r>
    </w:p>
    <w:p w14:paraId="7522255C"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[10]</w:t>
      </w:r>
      <w:r w:rsidRPr="003A1401">
        <w:rPr>
          <w:rFonts w:ascii="Tw Cen MT" w:hAnsi="Tw Cen MT" w:cs="Times New Roman"/>
          <w:noProof/>
          <w:sz w:val="24"/>
          <w:szCs w:val="24"/>
        </w:rPr>
        <w:tab/>
        <w:t xml:space="preserve">F. Contreras, S. Ishii, T. Aramaki, K. </w:t>
      </w:r>
      <w:r w:rsidRPr="003A1401">
        <w:rPr>
          <w:rFonts w:ascii="Tw Cen MT" w:hAnsi="Tw Cen MT" w:cs="Times New Roman"/>
          <w:noProof/>
          <w:sz w:val="24"/>
          <w:szCs w:val="24"/>
        </w:rPr>
        <w:t xml:space="preserve">Hanaki, and S. Connors, “Drivers in current and future municipal solid waste management systems: Cases in Yokohama and Boston,” </w:t>
      </w:r>
      <w:r w:rsidRPr="003A1401">
        <w:rPr>
          <w:rFonts w:ascii="Tw Cen MT" w:hAnsi="Tw Cen MT" w:cs="Times New Roman"/>
          <w:i/>
          <w:iCs/>
          <w:noProof/>
          <w:sz w:val="24"/>
          <w:szCs w:val="24"/>
        </w:rPr>
        <w:t>Waste Manag. Res.</w:t>
      </w:r>
      <w:r w:rsidRPr="003A1401">
        <w:rPr>
          <w:rFonts w:ascii="Tw Cen MT" w:hAnsi="Tw Cen MT" w:cs="Times New Roman"/>
          <w:noProof/>
          <w:sz w:val="24"/>
          <w:szCs w:val="24"/>
        </w:rPr>
        <w:t>, vol. 28, no. 1, pp. 76–93, 2010, doi: 10.1177/0734242X09349417.</w:t>
      </w:r>
    </w:p>
    <w:p w14:paraId="3A0024E5"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[11]</w:t>
      </w:r>
      <w:r w:rsidRPr="003A1401">
        <w:rPr>
          <w:rFonts w:ascii="Tw Cen MT" w:hAnsi="Tw Cen MT" w:cs="Times New Roman"/>
          <w:noProof/>
          <w:sz w:val="24"/>
          <w:szCs w:val="24"/>
        </w:rPr>
        <w:tab/>
        <w:t xml:space="preserve">T. Usui, M. Chikasada, and K. Kakamu, “Does garbage pricing increase the immoral disposal of household waste?,” </w:t>
      </w:r>
      <w:r w:rsidRPr="003A1401">
        <w:rPr>
          <w:rFonts w:ascii="Tw Cen MT" w:hAnsi="Tw Cen MT" w:cs="Times New Roman"/>
          <w:i/>
          <w:iCs/>
          <w:noProof/>
          <w:sz w:val="24"/>
          <w:szCs w:val="24"/>
        </w:rPr>
        <w:t>Appl. Econ.</w:t>
      </w:r>
      <w:r w:rsidRPr="003A1401">
        <w:rPr>
          <w:rFonts w:ascii="Tw Cen MT" w:hAnsi="Tw Cen MT" w:cs="Times New Roman"/>
          <w:noProof/>
          <w:sz w:val="24"/>
          <w:szCs w:val="24"/>
        </w:rPr>
        <w:t>, vol. 49, no. 38, pp. 3829–3840, 2017, doi: 10.1080/00036846.2016.1270414.</w:t>
      </w:r>
    </w:p>
    <w:p w14:paraId="32944361"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[12]</w:t>
      </w:r>
      <w:r w:rsidRPr="003A1401">
        <w:rPr>
          <w:rFonts w:ascii="Tw Cen MT" w:hAnsi="Tw Cen MT" w:cs="Times New Roman"/>
          <w:noProof/>
          <w:sz w:val="24"/>
          <w:szCs w:val="24"/>
        </w:rPr>
        <w:tab/>
        <w:t xml:space="preserve">N. Serge Kubanza and M. D. Simatele, “Sustainable solid waste management in developing countries: a study of institutional strengthening for solid waste management in Johannesburg, South Africa,” </w:t>
      </w:r>
      <w:r w:rsidRPr="003A1401">
        <w:rPr>
          <w:rFonts w:ascii="Tw Cen MT" w:hAnsi="Tw Cen MT" w:cs="Times New Roman"/>
          <w:i/>
          <w:iCs/>
          <w:noProof/>
          <w:sz w:val="24"/>
          <w:szCs w:val="24"/>
        </w:rPr>
        <w:t>J. Environ. Plan. Manag.</w:t>
      </w:r>
      <w:r w:rsidRPr="003A1401">
        <w:rPr>
          <w:rFonts w:ascii="Tw Cen MT" w:hAnsi="Tw Cen MT" w:cs="Times New Roman"/>
          <w:noProof/>
          <w:sz w:val="24"/>
          <w:szCs w:val="24"/>
        </w:rPr>
        <w:t>, vol. 0, no. 0, pp. 1–14, 2019, doi: 10.1080/09640568.2019.1576510.</w:t>
      </w:r>
    </w:p>
    <w:p w14:paraId="7CE9A013"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[13]</w:t>
      </w:r>
      <w:r w:rsidRPr="003A1401">
        <w:rPr>
          <w:rFonts w:ascii="Tw Cen MT" w:hAnsi="Tw Cen MT" w:cs="Times New Roman"/>
          <w:noProof/>
          <w:sz w:val="24"/>
          <w:szCs w:val="24"/>
        </w:rPr>
        <w:tab/>
        <w:t xml:space="preserve">R. E. Marshall and K. Farahbakhsh, “Systems approaches to integrated solid waste management in developing countries,” </w:t>
      </w:r>
      <w:r w:rsidRPr="003A1401">
        <w:rPr>
          <w:rFonts w:ascii="Tw Cen MT" w:hAnsi="Tw Cen MT" w:cs="Times New Roman"/>
          <w:i/>
          <w:iCs/>
          <w:noProof/>
          <w:sz w:val="24"/>
          <w:szCs w:val="24"/>
        </w:rPr>
        <w:t>Waste Manag.</w:t>
      </w:r>
      <w:r w:rsidRPr="003A1401">
        <w:rPr>
          <w:rFonts w:ascii="Tw Cen MT" w:hAnsi="Tw Cen MT" w:cs="Times New Roman"/>
          <w:noProof/>
          <w:sz w:val="24"/>
          <w:szCs w:val="24"/>
        </w:rPr>
        <w:t>, vol. 33, no. 4, pp. 988–1003, 2013, doi: 10.1016/j.wasman.2012.12.023.</w:t>
      </w:r>
    </w:p>
    <w:p w14:paraId="29AEEFD1"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[14]</w:t>
      </w:r>
      <w:r w:rsidRPr="003A1401">
        <w:rPr>
          <w:rFonts w:ascii="Tw Cen MT" w:hAnsi="Tw Cen MT" w:cs="Times New Roman"/>
          <w:noProof/>
          <w:sz w:val="24"/>
          <w:szCs w:val="24"/>
        </w:rPr>
        <w:tab/>
        <w:t xml:space="preserve">H. Keleher, C. MacDougall, and B. Murphy, </w:t>
      </w:r>
      <w:r w:rsidRPr="003A1401">
        <w:rPr>
          <w:rFonts w:ascii="Tw Cen MT" w:hAnsi="Tw Cen MT" w:cs="Times New Roman"/>
          <w:i/>
          <w:iCs/>
          <w:noProof/>
          <w:sz w:val="24"/>
          <w:szCs w:val="24"/>
        </w:rPr>
        <w:t>Understanding health promotion</w:t>
      </w:r>
      <w:r w:rsidRPr="003A1401">
        <w:rPr>
          <w:rFonts w:ascii="Tw Cen MT" w:hAnsi="Tw Cen MT" w:cs="Times New Roman"/>
          <w:noProof/>
          <w:sz w:val="24"/>
          <w:szCs w:val="24"/>
        </w:rPr>
        <w:t>. Australia: Oxford University Press, 2007.</w:t>
      </w:r>
    </w:p>
    <w:p w14:paraId="3732E298"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[15]</w:t>
      </w:r>
      <w:r w:rsidRPr="003A1401">
        <w:rPr>
          <w:rFonts w:ascii="Tw Cen MT" w:hAnsi="Tw Cen MT" w:cs="Times New Roman"/>
          <w:noProof/>
          <w:sz w:val="24"/>
          <w:szCs w:val="24"/>
        </w:rPr>
        <w:tab/>
        <w:t xml:space="preserve">A. K. Jha, S. K. Singh, G. P. Singh, and P. K. Gupta, “Sustainable municipal solid waste management in low income group of cities: A review,” </w:t>
      </w:r>
      <w:r w:rsidRPr="003A1401">
        <w:rPr>
          <w:rFonts w:ascii="Tw Cen MT" w:hAnsi="Tw Cen MT" w:cs="Times New Roman"/>
          <w:i/>
          <w:iCs/>
          <w:noProof/>
          <w:sz w:val="24"/>
          <w:szCs w:val="24"/>
        </w:rPr>
        <w:t>Trop. Ecol.</w:t>
      </w:r>
      <w:r w:rsidRPr="003A1401">
        <w:rPr>
          <w:rFonts w:ascii="Tw Cen MT" w:hAnsi="Tw Cen MT" w:cs="Times New Roman"/>
          <w:noProof/>
          <w:sz w:val="24"/>
          <w:szCs w:val="24"/>
        </w:rPr>
        <w:t>, vol. 52, no. 1, pp. 123–121, 2011.</w:t>
      </w:r>
    </w:p>
    <w:p w14:paraId="362BA781"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[16]</w:t>
      </w:r>
      <w:r w:rsidRPr="003A1401">
        <w:rPr>
          <w:rFonts w:ascii="Tw Cen MT" w:hAnsi="Tw Cen MT" w:cs="Times New Roman"/>
          <w:noProof/>
          <w:sz w:val="24"/>
          <w:szCs w:val="24"/>
        </w:rPr>
        <w:tab/>
        <w:t xml:space="preserve">Z. Ikhwan, R. H. Harahap, L. Andayani, and M. Mulya, “Partnership As An Effort To Consolidate Waste Management Initiatives In Tourism Destinations On Small Islands: The Case Of Penyengat Island,” in </w:t>
      </w:r>
      <w:r w:rsidRPr="003A1401">
        <w:rPr>
          <w:rFonts w:ascii="Tw Cen MT" w:hAnsi="Tw Cen MT" w:cs="Times New Roman"/>
          <w:i/>
          <w:iCs/>
          <w:noProof/>
          <w:sz w:val="24"/>
          <w:szCs w:val="24"/>
        </w:rPr>
        <w:t>ICESSD 2019, October 22-23, Jakarta, Indonesia</w:t>
      </w:r>
      <w:r w:rsidRPr="003A1401">
        <w:rPr>
          <w:rFonts w:ascii="Tw Cen MT" w:hAnsi="Tw Cen MT" w:cs="Times New Roman"/>
          <w:noProof/>
          <w:sz w:val="24"/>
          <w:szCs w:val="24"/>
        </w:rPr>
        <w:t>, 2019, pp. 1–10, doi: 10.4108/eai.22-10-2019.2291486.</w:t>
      </w:r>
    </w:p>
    <w:p w14:paraId="43C5C1E0"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[17]</w:t>
      </w:r>
      <w:r w:rsidRPr="003A1401">
        <w:rPr>
          <w:rFonts w:ascii="Tw Cen MT" w:hAnsi="Tw Cen MT" w:cs="Times New Roman"/>
          <w:noProof/>
          <w:sz w:val="24"/>
          <w:szCs w:val="24"/>
        </w:rPr>
        <w:tab/>
        <w:t xml:space="preserve">M. I. Al-Wabel, W. S. Al Yehya, A. S. AL-Farraj, and S. E. El-Maghraby, “Characteristics of landfill leachates and bio-solids of municipal solid waste </w:t>
      </w:r>
      <w:r w:rsidRPr="003A1401">
        <w:rPr>
          <w:rFonts w:ascii="Tw Cen MT" w:hAnsi="Tw Cen MT" w:cs="Times New Roman"/>
          <w:noProof/>
          <w:sz w:val="24"/>
          <w:szCs w:val="24"/>
        </w:rPr>
        <w:lastRenderedPageBreak/>
        <w:t xml:space="preserve">(MSW) in Riyadh City, Saudi Arabia,” </w:t>
      </w:r>
      <w:r w:rsidRPr="003A1401">
        <w:rPr>
          <w:rFonts w:ascii="Tw Cen MT" w:hAnsi="Tw Cen MT" w:cs="Times New Roman"/>
          <w:i/>
          <w:iCs/>
          <w:noProof/>
          <w:sz w:val="24"/>
          <w:szCs w:val="24"/>
        </w:rPr>
        <w:t>J. Saudi Soc. Agric. Sci.</w:t>
      </w:r>
      <w:r w:rsidRPr="003A1401">
        <w:rPr>
          <w:rFonts w:ascii="Tw Cen MT" w:hAnsi="Tw Cen MT" w:cs="Times New Roman"/>
          <w:noProof/>
          <w:sz w:val="24"/>
          <w:szCs w:val="24"/>
        </w:rPr>
        <w:t>, vol. 10, no. 2, pp. 65–70, 2011, doi: 10.1016/j.jssas.2011.03.009.</w:t>
      </w:r>
    </w:p>
    <w:p w14:paraId="14AB8931"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[18]</w:t>
      </w:r>
      <w:r w:rsidRPr="003A1401">
        <w:rPr>
          <w:rFonts w:ascii="Tw Cen MT" w:hAnsi="Tw Cen MT" w:cs="Times New Roman"/>
          <w:noProof/>
          <w:sz w:val="24"/>
          <w:szCs w:val="24"/>
        </w:rPr>
        <w:tab/>
        <w:t xml:space="preserve">M. Fathi, Zangane, Hamed, “Municipal Solid Waste Characterization and It Is Assessment for Potential Compost Production: A Case Study in Zanjan City, Iran,” </w:t>
      </w:r>
      <w:r w:rsidRPr="003A1401">
        <w:rPr>
          <w:rFonts w:ascii="Tw Cen MT" w:hAnsi="Tw Cen MT" w:cs="Times New Roman"/>
          <w:i/>
          <w:iCs/>
          <w:noProof/>
          <w:sz w:val="24"/>
          <w:szCs w:val="24"/>
        </w:rPr>
        <w:t>Am. J. Agric. For.</w:t>
      </w:r>
      <w:r w:rsidRPr="003A1401">
        <w:rPr>
          <w:rFonts w:ascii="Tw Cen MT" w:hAnsi="Tw Cen MT" w:cs="Times New Roman"/>
          <w:noProof/>
          <w:sz w:val="24"/>
          <w:szCs w:val="24"/>
        </w:rPr>
        <w:t>, vol. 2, no. 2, p. 39, 2014, doi: 10.11648/j.ajaf.20140202.14.</w:t>
      </w:r>
    </w:p>
    <w:p w14:paraId="13BAD5F9"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[19]</w:t>
      </w:r>
      <w:r w:rsidRPr="003A1401">
        <w:rPr>
          <w:rFonts w:ascii="Tw Cen MT" w:hAnsi="Tw Cen MT" w:cs="Times New Roman"/>
          <w:noProof/>
          <w:sz w:val="24"/>
          <w:szCs w:val="24"/>
        </w:rPr>
        <w:tab/>
        <w:t xml:space="preserve">H. S. Moghadam and R. J. Stern, “Ophiolites of Iran: Keys to understanding the tectonic evolution of SW Asia: (II) Mesozoic ophiolites,” </w:t>
      </w:r>
      <w:r w:rsidRPr="003A1401">
        <w:rPr>
          <w:rFonts w:ascii="Tw Cen MT" w:hAnsi="Tw Cen MT" w:cs="Times New Roman"/>
          <w:i/>
          <w:iCs/>
          <w:noProof/>
          <w:sz w:val="24"/>
          <w:szCs w:val="24"/>
        </w:rPr>
        <w:t>J. Asian Earth Sci.</w:t>
      </w:r>
      <w:r w:rsidRPr="003A1401">
        <w:rPr>
          <w:rFonts w:ascii="Tw Cen MT" w:hAnsi="Tw Cen MT" w:cs="Times New Roman"/>
          <w:noProof/>
          <w:sz w:val="24"/>
          <w:szCs w:val="24"/>
        </w:rPr>
        <w:t>, vol. 100, pp. 31–59, 2015, doi: 10.1016/j.jseaes.2014.12.016.</w:t>
      </w:r>
    </w:p>
    <w:p w14:paraId="01AF7BA4" w14:textId="3D18496F"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[20]</w:t>
      </w:r>
      <w:r w:rsidRPr="003A1401">
        <w:rPr>
          <w:rFonts w:ascii="Tw Cen MT" w:hAnsi="Tw Cen MT" w:cs="Times New Roman"/>
          <w:noProof/>
          <w:sz w:val="24"/>
          <w:szCs w:val="24"/>
        </w:rPr>
        <w:tab/>
        <w:t xml:space="preserve">A. B. Alfons and T. Padmi, “Multi-Criteria Analysis for Selecting Solid Waste Management Concept Case Study: Rural Areas in Sentani Lake Region, Jayapura,” </w:t>
      </w:r>
      <w:r w:rsidRPr="003A1401">
        <w:rPr>
          <w:rFonts w:ascii="Tw Cen MT" w:hAnsi="Tw Cen MT" w:cs="Times New Roman"/>
          <w:i/>
          <w:iCs/>
          <w:noProof/>
          <w:sz w:val="24"/>
          <w:szCs w:val="24"/>
        </w:rPr>
        <w:t>Indones. J. Urban Environ. Technol.</w:t>
      </w:r>
      <w:r w:rsidRPr="003A1401">
        <w:rPr>
          <w:rFonts w:ascii="Tw Cen MT" w:hAnsi="Tw Cen MT" w:cs="Times New Roman"/>
          <w:noProof/>
          <w:sz w:val="24"/>
          <w:szCs w:val="24"/>
        </w:rPr>
        <w:t>, vol. 2, no. 1, p. 88, 2019, doi: 10.25105/urbanenvirotech.v2i1.3557</w:t>
      </w:r>
    </w:p>
    <w:p w14:paraId="4426EF4F"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[21]</w:t>
      </w:r>
      <w:r w:rsidRPr="003A1401">
        <w:rPr>
          <w:rFonts w:ascii="Tw Cen MT" w:hAnsi="Tw Cen MT" w:cs="Times New Roman"/>
          <w:noProof/>
          <w:sz w:val="24"/>
          <w:szCs w:val="24"/>
        </w:rPr>
        <w:tab/>
        <w:t xml:space="preserve">P. J. Deschenes and M. Chertow, “An island approach to industrial ecology: Towards sustainability in the island context,” </w:t>
      </w:r>
      <w:r w:rsidRPr="003A1401">
        <w:rPr>
          <w:rFonts w:ascii="Tw Cen MT" w:hAnsi="Tw Cen MT" w:cs="Times New Roman"/>
          <w:i/>
          <w:iCs/>
          <w:noProof/>
          <w:sz w:val="24"/>
          <w:szCs w:val="24"/>
        </w:rPr>
        <w:t>J. Environ. Plan. Manag.</w:t>
      </w:r>
      <w:r w:rsidRPr="003A1401">
        <w:rPr>
          <w:rFonts w:ascii="Tw Cen MT" w:hAnsi="Tw Cen MT" w:cs="Times New Roman"/>
          <w:noProof/>
          <w:sz w:val="24"/>
          <w:szCs w:val="24"/>
        </w:rPr>
        <w:t xml:space="preserve">, vol. 47, no. 2, pp. 201–217, Mar. 2004, doi: </w:t>
      </w:r>
      <w:r w:rsidRPr="003A1401">
        <w:rPr>
          <w:rFonts w:ascii="Tw Cen MT" w:hAnsi="Tw Cen MT" w:cs="Times New Roman"/>
          <w:noProof/>
          <w:sz w:val="24"/>
          <w:szCs w:val="24"/>
        </w:rPr>
        <w:t>10.1080/0964056042000209102.</w:t>
      </w:r>
    </w:p>
    <w:p w14:paraId="24B79467"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[22]</w:t>
      </w:r>
      <w:r w:rsidRPr="003A1401">
        <w:rPr>
          <w:rFonts w:ascii="Tw Cen MT" w:hAnsi="Tw Cen MT" w:cs="Times New Roman"/>
          <w:noProof/>
          <w:sz w:val="24"/>
          <w:szCs w:val="24"/>
        </w:rPr>
        <w:tab/>
        <w:t xml:space="preserve">Zainul Ikhwan, R. Hamdani Harahap, Lita Sri Andayani, and Miswar Budi Mulya, “Model of the Importance of Socio-Cultural in Waste Management on Penyengat Island,” </w:t>
      </w:r>
      <w:r w:rsidRPr="003A1401">
        <w:rPr>
          <w:rFonts w:ascii="Tw Cen MT" w:hAnsi="Tw Cen MT" w:cs="Times New Roman"/>
          <w:i/>
          <w:iCs/>
          <w:noProof/>
          <w:sz w:val="24"/>
          <w:szCs w:val="24"/>
        </w:rPr>
        <w:t>Lakhomi J. Sci. J. Cult.</w:t>
      </w:r>
      <w:r w:rsidRPr="003A1401">
        <w:rPr>
          <w:rFonts w:ascii="Tw Cen MT" w:hAnsi="Tw Cen MT" w:cs="Times New Roman"/>
          <w:noProof/>
          <w:sz w:val="24"/>
          <w:szCs w:val="24"/>
        </w:rPr>
        <w:t>, vol. 2, no. 4, pp. 142–147, 2021, doi: 10.33258/lakhomi.v2i4.532.</w:t>
      </w:r>
    </w:p>
    <w:p w14:paraId="31C4F0B6"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[23]</w:t>
      </w:r>
      <w:r w:rsidRPr="003A1401">
        <w:rPr>
          <w:rFonts w:ascii="Tw Cen MT" w:hAnsi="Tw Cen MT" w:cs="Times New Roman"/>
          <w:noProof/>
          <w:sz w:val="24"/>
          <w:szCs w:val="24"/>
        </w:rPr>
        <w:tab/>
        <w:t xml:space="preserve">N. Indrianti, “Community-based Solid Waste Bank Model for Sustainable Education,” </w:t>
      </w:r>
      <w:r w:rsidRPr="003A1401">
        <w:rPr>
          <w:rFonts w:ascii="Tw Cen MT" w:hAnsi="Tw Cen MT" w:cs="Times New Roman"/>
          <w:i/>
          <w:iCs/>
          <w:noProof/>
          <w:sz w:val="24"/>
          <w:szCs w:val="24"/>
        </w:rPr>
        <w:t>Procedia - Soc. Behav. Sci.</w:t>
      </w:r>
      <w:r w:rsidRPr="003A1401">
        <w:rPr>
          <w:rFonts w:ascii="Tw Cen MT" w:hAnsi="Tw Cen MT" w:cs="Times New Roman"/>
          <w:noProof/>
          <w:sz w:val="24"/>
          <w:szCs w:val="24"/>
        </w:rPr>
        <w:t>, vol. 224, no. August 2015, pp. 158–166, 2016, doi: 10.1016/j.sbspro.2016.05.431.</w:t>
      </w:r>
    </w:p>
    <w:p w14:paraId="6B533FEB"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[24]</w:t>
      </w:r>
      <w:r w:rsidRPr="003A1401">
        <w:rPr>
          <w:rFonts w:ascii="Tw Cen MT" w:hAnsi="Tw Cen MT" w:cs="Times New Roman"/>
          <w:noProof/>
          <w:sz w:val="24"/>
          <w:szCs w:val="24"/>
        </w:rPr>
        <w:tab/>
        <w:t xml:space="preserve">N. H. Senawi and L. Sheau-Ting, “Attributes to facilitate e-waste recycling behaviour,” </w:t>
      </w:r>
      <w:r w:rsidRPr="003A1401">
        <w:rPr>
          <w:rFonts w:ascii="Tw Cen MT" w:hAnsi="Tw Cen MT" w:cs="Times New Roman"/>
          <w:i/>
          <w:iCs/>
          <w:noProof/>
          <w:sz w:val="24"/>
          <w:szCs w:val="24"/>
        </w:rPr>
        <w:t>MATEC Web Conf.</w:t>
      </w:r>
      <w:r w:rsidRPr="003A1401">
        <w:rPr>
          <w:rFonts w:ascii="Tw Cen MT" w:hAnsi="Tw Cen MT" w:cs="Times New Roman"/>
          <w:noProof/>
          <w:sz w:val="24"/>
          <w:szCs w:val="24"/>
        </w:rPr>
        <w:t>, vol. 66, no. 2016, pp. 4–8, 2016, doi: 10.1051/matecconf/20166600058.</w:t>
      </w:r>
    </w:p>
    <w:p w14:paraId="73C81759"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[25]</w:t>
      </w:r>
      <w:r w:rsidRPr="003A1401">
        <w:rPr>
          <w:rFonts w:ascii="Tw Cen MT" w:hAnsi="Tw Cen MT" w:cs="Times New Roman"/>
          <w:noProof/>
          <w:sz w:val="24"/>
          <w:szCs w:val="24"/>
        </w:rPr>
        <w:tab/>
        <w:t xml:space="preserve">J. Anschütz, J. IJgosse, and A. Scheinberg, </w:t>
      </w:r>
      <w:r w:rsidRPr="003A1401">
        <w:rPr>
          <w:rFonts w:ascii="Tw Cen MT" w:hAnsi="Tw Cen MT" w:cs="Times New Roman"/>
          <w:i/>
          <w:iCs/>
          <w:noProof/>
          <w:sz w:val="24"/>
          <w:szCs w:val="24"/>
        </w:rPr>
        <w:t>Putting Integrated Sustainable Waste Management into Practice</w:t>
      </w:r>
      <w:r w:rsidRPr="003A1401">
        <w:rPr>
          <w:rFonts w:ascii="Tw Cen MT" w:hAnsi="Tw Cen MT" w:cs="Times New Roman"/>
          <w:noProof/>
          <w:sz w:val="24"/>
          <w:szCs w:val="24"/>
        </w:rPr>
        <w:t>. 2004.</w:t>
      </w:r>
    </w:p>
    <w:p w14:paraId="5E34B0A2" w14:textId="77777777" w:rsidR="003A1401" w:rsidRPr="003A1401" w:rsidRDefault="003A1401" w:rsidP="001A199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3A1401">
        <w:rPr>
          <w:rFonts w:ascii="Tw Cen MT" w:hAnsi="Tw Cen MT" w:cs="Times New Roman"/>
          <w:noProof/>
          <w:sz w:val="24"/>
          <w:szCs w:val="24"/>
        </w:rPr>
        <w:t>[26]</w:t>
      </w:r>
      <w:r w:rsidRPr="003A1401">
        <w:rPr>
          <w:rFonts w:ascii="Tw Cen MT" w:hAnsi="Tw Cen MT" w:cs="Times New Roman"/>
          <w:noProof/>
          <w:sz w:val="24"/>
          <w:szCs w:val="24"/>
        </w:rPr>
        <w:tab/>
        <w:t xml:space="preserve">T. Okayama, J. P. Susanto, Indriyati, and Kardono, “Social capacity of waste and material management of Jakarta,” </w:t>
      </w:r>
      <w:r w:rsidRPr="003A1401">
        <w:rPr>
          <w:rFonts w:ascii="Tw Cen MT" w:hAnsi="Tw Cen MT" w:cs="Times New Roman"/>
          <w:i/>
          <w:iCs/>
          <w:noProof/>
          <w:sz w:val="24"/>
          <w:szCs w:val="24"/>
        </w:rPr>
        <w:t>WIT Trans. Ecol. Environ.</w:t>
      </w:r>
      <w:r w:rsidRPr="003A1401">
        <w:rPr>
          <w:rFonts w:ascii="Tw Cen MT" w:hAnsi="Tw Cen MT" w:cs="Times New Roman"/>
          <w:noProof/>
          <w:sz w:val="24"/>
          <w:szCs w:val="24"/>
        </w:rPr>
        <w:t>, 2010, doi: 10.2495/WM100111.</w:t>
      </w:r>
    </w:p>
    <w:p w14:paraId="26004857" w14:textId="1F81333A" w:rsidR="0081084F" w:rsidRPr="00FD4938" w:rsidRDefault="003A1401" w:rsidP="001A1991">
      <w:pPr>
        <w:widowControl w:val="0"/>
        <w:autoSpaceDE w:val="0"/>
        <w:autoSpaceDN w:val="0"/>
        <w:adjustRightInd w:val="0"/>
        <w:spacing w:after="0" w:line="240" w:lineRule="auto"/>
        <w:ind w:left="640" w:hanging="640"/>
        <w:jc w:val="both"/>
        <w:rPr>
          <w:rFonts w:ascii="Tw Cen MT" w:eastAsia="Twentieth Century" w:hAnsi="Tw Cen MT" w:cs="Twentieth Century"/>
        </w:rPr>
        <w:sectPr w:rsidR="0081084F" w:rsidRPr="00FD4938" w:rsidSect="00AB4019">
          <w:type w:val="continuous"/>
          <w:pgSz w:w="12240" w:h="15840"/>
          <w:pgMar w:top="1440" w:right="1440" w:bottom="1440" w:left="1440" w:header="720" w:footer="720" w:gutter="0"/>
          <w:cols w:num="2" w:space="720" w:equalWidth="0">
            <w:col w:w="4320" w:space="720"/>
            <w:col w:w="4320" w:space="0"/>
          </w:cols>
        </w:sectPr>
      </w:pPr>
      <w:r w:rsidRPr="003A1401">
        <w:rPr>
          <w:rFonts w:ascii="Tw Cen MT" w:hAnsi="Tw Cen MT" w:cs="Times New Roman"/>
          <w:noProof/>
          <w:sz w:val="24"/>
          <w:szCs w:val="24"/>
        </w:rPr>
        <w:t>[27]</w:t>
      </w:r>
      <w:r w:rsidRPr="003A1401">
        <w:rPr>
          <w:rFonts w:ascii="Tw Cen MT" w:hAnsi="Tw Cen MT" w:cs="Times New Roman"/>
          <w:noProof/>
          <w:sz w:val="24"/>
          <w:szCs w:val="24"/>
        </w:rPr>
        <w:tab/>
        <w:t xml:space="preserve">Kementerian PU, </w:t>
      </w:r>
      <w:r w:rsidRPr="003A1401">
        <w:rPr>
          <w:rFonts w:ascii="Tw Cen MT" w:hAnsi="Tw Cen MT" w:cs="Times New Roman"/>
          <w:i/>
          <w:iCs/>
          <w:noProof/>
          <w:sz w:val="24"/>
          <w:szCs w:val="24"/>
        </w:rPr>
        <w:t>Tata Cara Penyelenggaraan Sistem Pengelolaan Sampah di Kawasan Pulau Kecil</w:t>
      </w:r>
      <w:r w:rsidRPr="003A1401">
        <w:rPr>
          <w:rFonts w:ascii="Tw Cen MT" w:hAnsi="Tw Cen MT" w:cs="Times New Roman"/>
          <w:noProof/>
          <w:sz w:val="24"/>
          <w:szCs w:val="24"/>
        </w:rPr>
        <w:t>. 2016.</w:t>
      </w:r>
      <w:r w:rsidR="004A3BD1">
        <w:rPr>
          <w:rStyle w:val="fontstyle01"/>
          <w:rFonts w:ascii="Tw Cen MT" w:hAnsi="Tw Cen MT"/>
          <w:b/>
        </w:rPr>
        <w:fldChar w:fldCharType="end"/>
      </w:r>
    </w:p>
    <w:p w14:paraId="5945C635" w14:textId="7FC61B50" w:rsidR="0081084F" w:rsidRPr="00FD4938" w:rsidRDefault="0081084F">
      <w:pPr>
        <w:spacing w:after="0"/>
        <w:jc w:val="both"/>
        <w:rPr>
          <w:rFonts w:ascii="Tw Cen MT" w:eastAsia="Twentieth Century" w:hAnsi="Tw Cen MT" w:cs="Twentieth Century"/>
          <w:sz w:val="24"/>
          <w:szCs w:val="24"/>
        </w:rPr>
      </w:pPr>
    </w:p>
    <w:sectPr w:rsidR="0081084F" w:rsidRPr="00FD4938">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16F4" w14:textId="77777777" w:rsidR="00FC62B2" w:rsidRDefault="00FC62B2">
      <w:pPr>
        <w:spacing w:after="0" w:line="240" w:lineRule="auto"/>
      </w:pPr>
      <w:r>
        <w:separator/>
      </w:r>
    </w:p>
  </w:endnote>
  <w:endnote w:type="continuationSeparator" w:id="0">
    <w:p w14:paraId="69E90D6A" w14:textId="77777777" w:rsidR="00FC62B2" w:rsidRDefault="00FC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7407" w14:textId="27D9F08D" w:rsidR="0081084F" w:rsidRPr="00F75E18" w:rsidRDefault="00174DAB">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rPr>
    </w:pPr>
    <w:r>
      <w:rPr>
        <w:rFonts w:ascii="Tw Cen MT" w:hAnsi="Tw Cen MT" w:cstheme="majorBidi"/>
        <w:bCs/>
        <w:iCs/>
        <w:noProof/>
        <w:color w:val="000000"/>
        <w:sz w:val="20"/>
        <w:szCs w:val="20"/>
      </w:rPr>
      <mc:AlternateContent>
        <mc:Choice Requires="wps">
          <w:drawing>
            <wp:anchor distT="0" distB="0" distL="114300" distR="114300" simplePos="0" relativeHeight="251662336" behindDoc="0" locked="0" layoutInCell="1" allowOverlap="1" wp14:anchorId="030195F7" wp14:editId="5D7BA2B2">
              <wp:simplePos x="0" y="0"/>
              <wp:positionH relativeFrom="column">
                <wp:posOffset>0</wp:posOffset>
              </wp:positionH>
              <wp:positionV relativeFrom="paragraph">
                <wp:posOffset>-117475</wp:posOffset>
              </wp:positionV>
              <wp:extent cx="5937250" cy="0"/>
              <wp:effectExtent l="0" t="19050" r="25400" b="19050"/>
              <wp:wrapNone/>
              <wp:docPr id="4" name="Straight Connector 4"/>
              <wp:cNvGraphicFramePr/>
              <a:graphic xmlns:a="http://schemas.openxmlformats.org/drawingml/2006/main">
                <a:graphicData uri="http://schemas.microsoft.com/office/word/2010/wordprocessingShape">
                  <wps:wsp>
                    <wps:cNvCnPr/>
                    <wps:spPr>
                      <a:xfrm>
                        <a:off x="0" y="0"/>
                        <a:ext cx="59372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6FCD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25pt" to="46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" strokecolor="black [3040]" strokeweight="2.25pt"/>
          </w:pict>
        </mc:Fallback>
      </mc:AlternateContent>
    </w:r>
    <w:r w:rsidR="00F75E18">
      <w:rPr>
        <w:noProof/>
      </w:rPr>
      <mc:AlternateContent>
        <mc:Choice Requires="wps">
          <w:drawing>
            <wp:anchor distT="0" distB="0" distL="114300" distR="114300" simplePos="0" relativeHeight="251660288" behindDoc="0" locked="0" layoutInCell="1" hidden="0" allowOverlap="1" wp14:anchorId="4A99402E" wp14:editId="191BDEDE">
              <wp:simplePos x="0" y="0"/>
              <wp:positionH relativeFrom="column">
                <wp:posOffset>4445000</wp:posOffset>
              </wp:positionH>
              <wp:positionV relativeFrom="paragraph">
                <wp:posOffset>-39370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0" y="0"/>
                        <a:ext cx="1527810" cy="414655"/>
                      </a:xfrm>
                      <a:prstGeom prst="rect">
                        <a:avLst/>
                      </a:prstGeom>
                      <a:noFill/>
                      <a:ln>
                        <a:noFill/>
                      </a:ln>
                    </wps:spPr>
                    <wps:txbx>
                      <w:txbxContent>
                        <w:p w14:paraId="7F2EB329" w14:textId="18281C5E" w:rsidR="0081084F" w:rsidRPr="00F75E18" w:rsidRDefault="004162E8">
                          <w:pPr>
                            <w:spacing w:after="0" w:line="240" w:lineRule="auto"/>
                            <w:jc w:val="right"/>
                            <w:textDirection w:val="btLr"/>
                            <w:rPr>
                              <w:rFonts w:ascii="Tw Cen MT" w:hAnsi="Tw Cen MT"/>
                            </w:rPr>
                          </w:pPr>
                          <w:r w:rsidRPr="00F75E18">
                            <w:rPr>
                              <w:rFonts w:ascii="Tw Cen MT" w:eastAsia="Twentieth Century" w:hAnsi="Tw Cen MT" w:cs="Twentieth Century"/>
                              <w:color w:val="000000"/>
                              <w:sz w:val="20"/>
                            </w:rPr>
                            <w:t xml:space="preserve"> </w:t>
                          </w:r>
                          <w:r w:rsidR="00F75E18" w:rsidRPr="00F75E18">
                            <w:rPr>
                              <w:rFonts w:ascii="Tw Cen MT" w:eastAsia="Twentieth Century" w:hAnsi="Tw Cen MT" w:cs="Twentieth Century"/>
                              <w:color w:val="000000"/>
                              <w:sz w:val="20"/>
                            </w:rPr>
                            <w:fldChar w:fldCharType="begin"/>
                          </w:r>
                          <w:r w:rsidR="00F75E18" w:rsidRPr="00F75E18">
                            <w:rPr>
                              <w:rFonts w:ascii="Tw Cen MT" w:eastAsia="Twentieth Century" w:hAnsi="Tw Cen MT" w:cs="Twentieth Century"/>
                              <w:color w:val="000000"/>
                              <w:sz w:val="20"/>
                            </w:rPr>
                            <w:instrText xml:space="preserve"> PAGE   \* MERGEFORMAT </w:instrText>
                          </w:r>
                          <w:r w:rsidR="00F75E18" w:rsidRPr="00F75E18">
                            <w:rPr>
                              <w:rFonts w:ascii="Tw Cen MT" w:eastAsia="Twentieth Century" w:hAnsi="Tw Cen MT" w:cs="Twentieth Century"/>
                              <w:color w:val="000000"/>
                              <w:sz w:val="20"/>
                            </w:rPr>
                            <w:fldChar w:fldCharType="separate"/>
                          </w:r>
                          <w:r w:rsidR="00F75E18" w:rsidRPr="00F75E18">
                            <w:rPr>
                              <w:rFonts w:ascii="Tw Cen MT" w:eastAsia="Twentieth Century" w:hAnsi="Tw Cen MT" w:cs="Twentieth Century"/>
                              <w:noProof/>
                              <w:color w:val="000000"/>
                              <w:sz w:val="20"/>
                            </w:rPr>
                            <w:t>1</w:t>
                          </w:r>
                          <w:r w:rsidR="00F75E18" w:rsidRPr="00F75E18">
                            <w:rPr>
                              <w:rFonts w:ascii="Tw Cen MT" w:eastAsia="Twentieth Century" w:hAnsi="Tw Cen MT" w:cs="Twentieth Century"/>
                              <w:noProof/>
                              <w:color w:val="000000"/>
                              <w:sz w:val="20"/>
                            </w:rPr>
                            <w:fldChar w:fldCharType="end"/>
                          </w:r>
                        </w:p>
                      </w:txbxContent>
                    </wps:txbx>
                    <wps:bodyPr spcFirstLastPara="1" wrap="square" lIns="91425" tIns="45700" rIns="91425" bIns="45700" anchor="t" anchorCtr="0">
                      <a:noAutofit/>
                    </wps:bodyPr>
                  </wps:wsp>
                </a:graphicData>
              </a:graphic>
            </wp:anchor>
          </w:drawing>
        </mc:Choice>
        <mc:Fallback>
          <w:pict>
            <v:rect w14:anchorId="4A99402E" id="Rectangle 68" o:spid="_x0000_s1027" style="position:absolute;margin-left:350pt;margin-top:-3.1pt;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" filled="f" stroked="f">
              <v:textbox inset="2.53958mm,1.2694mm,2.53958mm,1.2694mm">
                <w:txbxContent>
                  <w:p w14:paraId="7F2EB329" w14:textId="18281C5E" w:rsidR="0081084F" w:rsidRPr="00F75E18" w:rsidRDefault="004162E8">
                    <w:pPr>
                      <w:spacing w:after="0" w:line="240" w:lineRule="auto"/>
                      <w:jc w:val="right"/>
                      <w:textDirection w:val="btLr"/>
                      <w:rPr>
                        <w:rFonts w:ascii="Tw Cen MT" w:hAnsi="Tw Cen MT"/>
                      </w:rPr>
                    </w:pPr>
                    <w:r w:rsidRPr="00F75E18">
                      <w:rPr>
                        <w:rFonts w:ascii="Tw Cen MT" w:eastAsia="Twentieth Century" w:hAnsi="Tw Cen MT" w:cs="Twentieth Century"/>
                        <w:color w:val="000000"/>
                        <w:sz w:val="20"/>
                      </w:rPr>
                      <w:t xml:space="preserve"> </w:t>
                    </w:r>
                    <w:r w:rsidR="00F75E18" w:rsidRPr="00F75E18">
                      <w:rPr>
                        <w:rFonts w:ascii="Tw Cen MT" w:eastAsia="Twentieth Century" w:hAnsi="Tw Cen MT" w:cs="Twentieth Century"/>
                        <w:color w:val="000000"/>
                        <w:sz w:val="20"/>
                      </w:rPr>
                      <w:fldChar w:fldCharType="begin"/>
                    </w:r>
                    <w:r w:rsidR="00F75E18" w:rsidRPr="00F75E18">
                      <w:rPr>
                        <w:rFonts w:ascii="Tw Cen MT" w:eastAsia="Twentieth Century" w:hAnsi="Tw Cen MT" w:cs="Twentieth Century"/>
                        <w:color w:val="000000"/>
                        <w:sz w:val="20"/>
                      </w:rPr>
                      <w:instrText xml:space="preserve"> PAGE   \* MERGEFORMAT </w:instrText>
                    </w:r>
                    <w:r w:rsidR="00F75E18" w:rsidRPr="00F75E18">
                      <w:rPr>
                        <w:rFonts w:ascii="Tw Cen MT" w:eastAsia="Twentieth Century" w:hAnsi="Tw Cen MT" w:cs="Twentieth Century"/>
                        <w:color w:val="000000"/>
                        <w:sz w:val="20"/>
                      </w:rPr>
                      <w:fldChar w:fldCharType="separate"/>
                    </w:r>
                    <w:r w:rsidR="00F75E18" w:rsidRPr="00F75E18">
                      <w:rPr>
                        <w:rFonts w:ascii="Tw Cen MT" w:eastAsia="Twentieth Century" w:hAnsi="Tw Cen MT" w:cs="Twentieth Century"/>
                        <w:noProof/>
                        <w:color w:val="000000"/>
                        <w:sz w:val="20"/>
                      </w:rPr>
                      <w:t>1</w:t>
                    </w:r>
                    <w:r w:rsidR="00F75E18" w:rsidRPr="00F75E18">
                      <w:rPr>
                        <w:rFonts w:ascii="Tw Cen MT" w:eastAsia="Twentieth Century" w:hAnsi="Tw Cen MT" w:cs="Twentieth Century"/>
                        <w:noProof/>
                        <w:color w:val="000000"/>
                        <w:sz w:val="20"/>
                      </w:rPr>
                      <w:fldChar w:fldCharType="end"/>
                    </w:r>
                  </w:p>
                </w:txbxContent>
              </v:textbox>
            </v:rect>
          </w:pict>
        </mc:Fallback>
      </mc:AlternateContent>
    </w:r>
    <w:proofErr w:type="spellStart"/>
    <w:r w:rsidR="00F75E18">
      <w:rPr>
        <w:rFonts w:ascii="Tw Cen MT" w:eastAsia="Twentieth Century" w:hAnsi="Tw Cen MT" w:cs="Twentieth Century"/>
        <w:color w:val="000000"/>
        <w:sz w:val="20"/>
        <w:szCs w:val="20"/>
      </w:rPr>
      <w:t>Zainul</w:t>
    </w:r>
    <w:proofErr w:type="spellEnd"/>
    <w:r w:rsidR="00F75E18">
      <w:rPr>
        <w:rFonts w:ascii="Tw Cen MT" w:eastAsia="Twentieth Century" w:hAnsi="Tw Cen MT" w:cs="Twentieth Century"/>
        <w:color w:val="000000"/>
        <w:sz w:val="20"/>
        <w:szCs w:val="20"/>
      </w:rPr>
      <w:t xml:space="preserve"> Ikhwan, zainul.ikhwan@gmail.com</w:t>
    </w:r>
    <w:r w:rsidR="004162E8" w:rsidRPr="00F75E18">
      <w:rPr>
        <w:rFonts w:ascii="Tw Cen MT" w:eastAsia="Twentieth Century" w:hAnsi="Tw Cen MT" w:cs="Twentieth Century"/>
        <w:color w:val="000000"/>
        <w:sz w:val="20"/>
        <w:szCs w:val="20"/>
      </w:rPr>
      <w:t xml:space="preserve"> </w:t>
    </w:r>
  </w:p>
  <w:p w14:paraId="3155F960" w14:textId="43F01405" w:rsidR="0081084F" w:rsidRDefault="0081084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229A" w14:textId="77777777" w:rsidR="00FC62B2" w:rsidRDefault="00FC62B2">
      <w:pPr>
        <w:spacing w:after="0" w:line="240" w:lineRule="auto"/>
      </w:pPr>
      <w:r>
        <w:separator/>
      </w:r>
    </w:p>
  </w:footnote>
  <w:footnote w:type="continuationSeparator" w:id="0">
    <w:p w14:paraId="4C2E4568" w14:textId="77777777" w:rsidR="00FC62B2" w:rsidRDefault="00FC6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6C2D" w14:textId="3A037E78" w:rsidR="00FD4938" w:rsidRDefault="00F75E18" w:rsidP="00F75E18">
    <w:pPr>
      <w:pStyle w:val="Header"/>
      <w:rPr>
        <w:rFonts w:ascii="Tw Cen MT" w:hAnsi="Tw Cen MT"/>
        <w:sz w:val="20"/>
        <w:szCs w:val="20"/>
      </w:rPr>
    </w:pPr>
    <w:proofErr w:type="spellStart"/>
    <w:r w:rsidRPr="00F75E18">
      <w:rPr>
        <w:rFonts w:ascii="Tw Cen MT" w:hAnsi="Tw Cen MT"/>
        <w:sz w:val="20"/>
        <w:szCs w:val="20"/>
      </w:rPr>
      <w:t>Jurnal</w:t>
    </w:r>
    <w:proofErr w:type="spellEnd"/>
    <w:r w:rsidRPr="00F75E18">
      <w:rPr>
        <w:rFonts w:ascii="Tw Cen MT" w:hAnsi="Tw Cen MT"/>
        <w:sz w:val="20"/>
        <w:szCs w:val="20"/>
      </w:rPr>
      <w:t xml:space="preserve"> Proteksi Kesehatan                                                                                                                                   Vol.11, No.</w:t>
    </w:r>
    <w:r>
      <w:rPr>
        <w:rFonts w:ascii="Tw Cen MT" w:hAnsi="Tw Cen MT"/>
        <w:sz w:val="20"/>
        <w:szCs w:val="20"/>
      </w:rPr>
      <w:t>2</w:t>
    </w:r>
    <w:r w:rsidRPr="00F75E18">
      <w:rPr>
        <w:rFonts w:ascii="Tw Cen MT" w:hAnsi="Tw Cen MT"/>
        <w:sz w:val="20"/>
        <w:szCs w:val="20"/>
      </w:rPr>
      <w:t xml:space="preserve">, </w:t>
    </w:r>
    <w:r>
      <w:rPr>
        <w:rFonts w:ascii="Tw Cen MT" w:hAnsi="Tw Cen MT"/>
        <w:sz w:val="20"/>
        <w:szCs w:val="20"/>
      </w:rPr>
      <w:t>November</w:t>
    </w:r>
    <w:r w:rsidRPr="00F75E18">
      <w:rPr>
        <w:rFonts w:ascii="Tw Cen MT" w:hAnsi="Tw Cen MT"/>
        <w:sz w:val="20"/>
        <w:szCs w:val="20"/>
      </w:rPr>
      <w:t xml:space="preserve"> 2022, pp. </w:t>
    </w:r>
    <w:r>
      <w:rPr>
        <w:rFonts w:ascii="Tw Cen MT" w:hAnsi="Tw Cen MT"/>
        <w:sz w:val="20"/>
        <w:szCs w:val="20"/>
      </w:rPr>
      <w:t xml:space="preserve">70 - </w:t>
    </w:r>
    <w:r w:rsidR="001A1991">
      <w:rPr>
        <w:rFonts w:ascii="Tw Cen MT" w:hAnsi="Tw Cen MT"/>
        <w:sz w:val="20"/>
        <w:szCs w:val="20"/>
      </w:rPr>
      <w:t>7</w:t>
    </w:r>
    <w:r w:rsidR="00A95D38">
      <w:rPr>
        <w:rFonts w:ascii="Tw Cen MT" w:hAnsi="Tw Cen MT"/>
        <w:sz w:val="20"/>
        <w:szCs w:val="20"/>
      </w:rPr>
      <w:t>8</w:t>
    </w:r>
    <w:r w:rsidRPr="00F75E18">
      <w:rPr>
        <w:rFonts w:ascii="Tw Cen MT" w:hAnsi="Tw Cen MT"/>
        <w:sz w:val="20"/>
        <w:szCs w:val="20"/>
      </w:rPr>
      <w:tab/>
    </w:r>
    <w:r w:rsidRPr="00F75E18">
      <w:rPr>
        <w:rFonts w:ascii="Tw Cen MT" w:hAnsi="Tw Cen MT"/>
        <w:sz w:val="20"/>
        <w:szCs w:val="20"/>
      </w:rPr>
      <w:tab/>
      <w:t xml:space="preserve">                                                                                                        ISSN 2715-1115 (Online), ISSN 2302 – 8610 (Print)</w:t>
    </w:r>
  </w:p>
  <w:p w14:paraId="76976A52" w14:textId="29D6D3A3" w:rsidR="00174DAB" w:rsidRPr="00F75E18" w:rsidRDefault="00174DAB" w:rsidP="00F75E18">
    <w:pPr>
      <w:pStyle w:val="Header"/>
    </w:pPr>
    <w:r>
      <w:rPr>
        <w:noProof/>
        <w:color w:val="000000" w:themeColor="text1"/>
      </w:rPr>
      <mc:AlternateContent>
        <mc:Choice Requires="wps">
          <w:drawing>
            <wp:anchor distT="0" distB="0" distL="114300" distR="114300" simplePos="0" relativeHeight="251664384" behindDoc="0" locked="0" layoutInCell="1" allowOverlap="1" wp14:anchorId="3181D3D5" wp14:editId="5CA84E05">
              <wp:simplePos x="0" y="0"/>
              <wp:positionH relativeFrom="column">
                <wp:posOffset>0</wp:posOffset>
              </wp:positionH>
              <wp:positionV relativeFrom="paragraph">
                <wp:posOffset>0</wp:posOffset>
              </wp:positionV>
              <wp:extent cx="595693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0AF4F"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" strokecolor="black [3213]"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4F"/>
    <w:rsid w:val="00005547"/>
    <w:rsid w:val="00033605"/>
    <w:rsid w:val="0014235C"/>
    <w:rsid w:val="00162B7E"/>
    <w:rsid w:val="00174DAB"/>
    <w:rsid w:val="001A1991"/>
    <w:rsid w:val="00272A5C"/>
    <w:rsid w:val="002A0FD8"/>
    <w:rsid w:val="0032235D"/>
    <w:rsid w:val="00357139"/>
    <w:rsid w:val="00370710"/>
    <w:rsid w:val="003A1401"/>
    <w:rsid w:val="004162E8"/>
    <w:rsid w:val="004A3BD1"/>
    <w:rsid w:val="00657001"/>
    <w:rsid w:val="006E1903"/>
    <w:rsid w:val="0081084F"/>
    <w:rsid w:val="00853072"/>
    <w:rsid w:val="00864FDF"/>
    <w:rsid w:val="008A712F"/>
    <w:rsid w:val="00930079"/>
    <w:rsid w:val="00A67F14"/>
    <w:rsid w:val="00A95D38"/>
    <w:rsid w:val="00AB4019"/>
    <w:rsid w:val="00B06AED"/>
    <w:rsid w:val="00C224B8"/>
    <w:rsid w:val="00C469D8"/>
    <w:rsid w:val="00CE6FEA"/>
    <w:rsid w:val="00D509F7"/>
    <w:rsid w:val="00DC4D4A"/>
    <w:rsid w:val="00EF1E35"/>
    <w:rsid w:val="00F04D18"/>
    <w:rsid w:val="00F75E18"/>
    <w:rsid w:val="00FC62B2"/>
    <w:rsid w:val="00FD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A251"/>
  <w15:docId w15:val="{F24F2842-2F0F-784D-BBB3-36FA742C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jlqj4b">
    <w:name w:val="jlqj4b"/>
    <w:basedOn w:val="DefaultParagraphFont"/>
    <w:rsid w:val="00C224B8"/>
  </w:style>
  <w:style w:type="character" w:customStyle="1" w:styleId="tlid-translation">
    <w:name w:val="tlid-translation"/>
    <w:basedOn w:val="DefaultParagraphFont"/>
    <w:rsid w:val="00FD4938"/>
  </w:style>
  <w:style w:type="character" w:customStyle="1" w:styleId="fontstyle01">
    <w:name w:val="fontstyle01"/>
    <w:basedOn w:val="DefaultParagraphFont"/>
    <w:rsid w:val="00FD4938"/>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CE6FEA"/>
    <w:rPr>
      <w:sz w:val="16"/>
      <w:szCs w:val="16"/>
    </w:rPr>
  </w:style>
  <w:style w:type="paragraph" w:styleId="CommentText">
    <w:name w:val="annotation text"/>
    <w:basedOn w:val="Normal"/>
    <w:link w:val="CommentTextChar"/>
    <w:uiPriority w:val="99"/>
    <w:semiHidden/>
    <w:unhideWhenUsed/>
    <w:rsid w:val="00CE6FEA"/>
    <w:pPr>
      <w:spacing w:line="240" w:lineRule="auto"/>
    </w:pPr>
    <w:rPr>
      <w:sz w:val="20"/>
      <w:szCs w:val="20"/>
    </w:rPr>
  </w:style>
  <w:style w:type="character" w:customStyle="1" w:styleId="CommentTextChar">
    <w:name w:val="Comment Text Char"/>
    <w:basedOn w:val="DefaultParagraphFont"/>
    <w:link w:val="CommentText"/>
    <w:uiPriority w:val="99"/>
    <w:semiHidden/>
    <w:rsid w:val="00CE6F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FEA"/>
    <w:rPr>
      <w:b/>
      <w:bCs/>
    </w:rPr>
  </w:style>
  <w:style w:type="character" w:customStyle="1" w:styleId="CommentSubjectChar">
    <w:name w:val="Comment Subject Char"/>
    <w:basedOn w:val="CommentTextChar"/>
    <w:link w:val="CommentSubject"/>
    <w:uiPriority w:val="99"/>
    <w:semiHidden/>
    <w:rsid w:val="00CE6FE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7454">
      <w:bodyDiv w:val="1"/>
      <w:marLeft w:val="0"/>
      <w:marRight w:val="0"/>
      <w:marTop w:val="0"/>
      <w:marBottom w:val="0"/>
      <w:divBdr>
        <w:top w:val="none" w:sz="0" w:space="0" w:color="auto"/>
        <w:left w:val="none" w:sz="0" w:space="0" w:color="auto"/>
        <w:bottom w:val="none" w:sz="0" w:space="0" w:color="auto"/>
        <w:right w:val="none" w:sz="0" w:space="0" w:color="auto"/>
      </w:divBdr>
    </w:div>
    <w:div w:id="12046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l.ikhw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C795DB40-D826-48B1-A0CE-91150639F2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15591</Words>
  <Characters>88873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Fathul Jannah</cp:lastModifiedBy>
  <cp:revision>8</cp:revision>
  <dcterms:created xsi:type="dcterms:W3CDTF">2022-12-05T03:46:00Z</dcterms:created>
  <dcterms:modified xsi:type="dcterms:W3CDTF">2022-12-05T09:02:00Z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5940ae81-115f-3740-b6cd-12cf6cb7d7b3</vt:lpwstr>
  </property>
</Properties>
</file>