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customXml/itemProps16.xml" ContentType="application/vnd.openxmlformats-officedocument.customXmlProperties+xml"/>
  <Override PartName="/customXml/itemProps11.xml" ContentType="application/vnd.openxmlformats-officedocument.customXmlProperties+xml"/>
  <Override PartName="/customXml/itemProps29.xml" ContentType="application/vnd.openxmlformats-officedocument.customXmlProperties+xml"/>
  <Override PartName="/customXml/itemProps25.xml" ContentType="application/vnd.openxmlformats-officedocument.customXmlProperties+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customXml/itemProps17.xml" ContentType="application/vnd.openxmlformats-officedocument.customXmlProperties+xml"/>
  <Override PartName="/word/settings.xml" ContentType="application/vnd.openxmlformats-officedocument.wordprocessingml.settings+xml"/>
  <Override PartName="/customXml/itemProps6.xml" ContentType="application/vnd.openxmlformats-officedocument.customXmlProperties+xml"/>
  <Override PartName="/customXml/itemProps32.xml" ContentType="application/vnd.openxmlformats-officedocument.customXmlProperties+xml"/>
  <Override PartName="/customXml/itemProps15.xml" ContentType="application/vnd.openxmlformats-officedocument.customXmlProperties+xml"/>
  <Override PartName="/customXml/itemProps34.xml" ContentType="application/vnd.openxmlformats-officedocument.customXmlProperties+xml"/>
  <Override PartName="/customXml/itemProps21.xml" ContentType="application/vnd.openxmlformats-officedocument.customXmlProperties+xml"/>
  <Override PartName="/customXml/itemProps28.xml" ContentType="application/vnd.openxmlformats-officedocument.customXmlProperties+xml"/>
  <Override PartName="/customXml/itemProps12.xml" ContentType="application/vnd.openxmlformats-officedocument.customXmlProperties+xml"/>
  <Override PartName="/word/document.xml" ContentType="application/vnd.openxmlformats-officedocument.wordprocessingml.document.main+xml"/>
  <Override PartName="/customXml/itemProps24.xml" ContentType="application/vnd.openxmlformats-officedocument.customXmlProperties+xml"/>
  <Override PartName="/customXml/itemProps1.xml" ContentType="application/vnd.openxmlformats-officedocument.customXmlProperties+xml"/>
  <Override PartName="/word/footer2.xml" ContentType="application/vnd.openxmlformats-officedocument.wordprocessingml.footer+xml"/>
  <Override PartName="/customXml/itemProps9.xml" ContentType="application/vnd.openxmlformats-officedocument.customXmlProperties+xml"/>
  <Override PartName="/customXml/itemProps20.xml" ContentType="application/vnd.openxmlformats-officedocument.customXmlProperties+xml"/>
  <Override PartName="/customXml/itemProps5.xml" ContentType="application/vnd.openxmlformats-officedocument.customXmlProperties+xml"/>
  <Override PartName="/customXml/itemProps33.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customXml/itemProps27.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customXml/itemProps22.xml" ContentType="application/vnd.openxmlformats-officedocument.customXmlProperties+xml"/>
  <Override PartName="/customXml/itemProps14.xml" ContentType="application/vnd.openxmlformats-officedocument.customXmlProperties+xml"/>
  <Override PartName="/docProps/core.xml" ContentType="application/vnd.openxmlformats-package.core-properties+xml"/>
  <Override PartName="/customXml/itemProps36.xml" ContentType="application/vnd.openxmlformats-officedocument.customXmlProperties+xml"/>
  <Override PartName="/customXml/itemProps19.xml" ContentType="application/vnd.openxmlformats-officedocument.customXmlProperties+xml"/>
  <Override PartName="/customXml/itemProps30.xml" ContentType="application/vnd.openxmlformats-officedocument.customXmlProperties+xml"/>
  <Override PartName="/customXml/itemProps8.xml" ContentType="application/vnd.openxmlformats-officedocument.customXmlProperties+xml"/>
  <Override PartName="/docProps/custom.xml" ContentType="application/vnd.openxmlformats-officedocument.custom-properties+xml"/>
  <Override PartName="/customXml/itemProps10.xml" ContentType="application/vnd.openxmlformats-officedocument.customXmlProperties+xml"/>
  <Override PartName="/customXml/itemProps23.xml" ContentType="application/vnd.openxmlformats-officedocument.customXmlProperties+xml"/>
  <Override PartName="/customXml/itemProps13.xml" ContentType="application/vnd.openxmlformats-officedocument.customXmlProperties+xml"/>
  <Override PartName="/customXml/itemProps26.xml" ContentType="application/vnd.openxmlformats-officedocument.customXmlProperties+xml"/>
  <Override PartName="/customXml/itemProps18.xml" ContentType="application/vnd.openxmlformats-officedocument.customXmlProperties+xml"/>
  <Override PartName="/customXml/itemProps31.xml" ContentType="application/vnd.openxmlformats-officedocument.customXmlProperties+xml"/>
  <Override PartName="/customXml/itemProps3.xml" ContentType="application/vnd.openxmlformats-officedocument.customXmlProperties+xml"/>
  <Override PartName="/customXml/itemProps35.xml" ContentType="application/vnd.openxmlformats-officedocument.customXmlProperties+xml"/>
  <Override PartName="/customXml/itemProps7.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jc w:val="center"/>
        <w:rPr>
          <w:rFonts w:ascii="Twentieth Century" w:cs="Times New Roman" w:hAnsi="Twentieth Century" w:hint="eastAsia"/>
          <w:b/>
          <w:bCs/>
          <w:i/>
          <w:iCs/>
          <w:sz w:val="32"/>
          <w:szCs w:val="32"/>
        </w:rPr>
      </w:pPr>
      <w:bookmarkStart w:id="0" w:name="_heading=h.2zvyxk7t70gr" w:colFirst="0" w:colLast="0"/>
      <w:bookmarkStart w:id="1" w:name="_Hlk112661203"/>
      <w:bookmarkEnd w:id="0"/>
      <w:r>
        <w:rPr>
          <w:rFonts w:ascii="Twentieth Century" w:cs="Times New Roman" w:hAnsi="Twentieth Century"/>
          <w:b/>
          <w:bCs/>
          <w:i/>
          <w:iCs/>
          <w:sz w:val="32"/>
          <w:szCs w:val="32"/>
        </w:rPr>
        <w:t xml:space="preserve">The Concept Of Awarness An Selection Of Contraceptive In Couple Mature Age During Pandemid Covid-19 </w:t>
      </w:r>
    </w:p>
    <w:p>
      <w:pPr>
        <w:pStyle w:val="style0"/>
        <w:spacing w:after="0" w:lineRule="auto" w:line="240"/>
        <w:jc w:val="center"/>
        <w:rPr>
          <w:rFonts w:ascii="Twentieth Century" w:cs="Times New Roman" w:hAnsi="Twentieth Century" w:hint="eastAsia"/>
          <w:b/>
          <w:bCs/>
          <w:i/>
          <w:iCs/>
          <w:sz w:val="24"/>
          <w:szCs w:val="24"/>
        </w:rPr>
      </w:pPr>
      <w:r>
        <w:rPr>
          <w:rFonts w:ascii="Twentieth Century" w:cs="Times New Roman" w:hAnsi="Twentieth Century"/>
          <w:b/>
          <w:bCs/>
          <w:i/>
          <w:iCs/>
          <w:sz w:val="32"/>
          <w:szCs w:val="32"/>
        </w:rPr>
        <w:t>At Puskesmas Gilingan</w:t>
      </w:r>
    </w:p>
    <w:bookmarkEnd w:id="1"/>
    <w:p>
      <w:pPr>
        <w:pStyle w:val="style0"/>
        <w:spacing w:after="0" w:lineRule="auto" w:line="240"/>
        <w:jc w:val="center"/>
        <w:rPr>
          <w:rFonts w:ascii="Twentieth Century" w:cs="Twentieth Century" w:eastAsia="Twentieth Century" w:hAnsi="Twentieth Century"/>
          <w:b/>
          <w:sz w:val="32"/>
          <w:szCs w:val="32"/>
        </w:rPr>
      </w:pPr>
    </w:p>
    <w:bookmarkStart w:id="2" w:name="_heading=h.ku3htxpixa9v" w:colFirst="0" w:colLast="0"/>
    <w:bookmarkEnd w:id="2"/>
    <w:p>
      <w:pPr>
        <w:pStyle w:val="style0"/>
        <w:spacing w:after="0" w:lineRule="auto" w:line="240"/>
        <w:jc w:val="center"/>
        <w:rPr>
          <w:rFonts w:ascii="Twentieth Century" w:cs="Times New Roman" w:hAnsi="Twentieth Century" w:hint="eastAsia"/>
          <w:b/>
          <w:bCs/>
          <w:sz w:val="32"/>
          <w:szCs w:val="32"/>
        </w:rPr>
      </w:pPr>
      <w:r>
        <w:rPr>
          <w:rFonts w:ascii="Twentieth Century" w:cs="Twentieth Century" w:eastAsia="Twentieth Century" w:hAnsi="Twentieth Century"/>
          <w:b/>
          <w:sz w:val="32"/>
          <w:szCs w:val="32"/>
        </w:rPr>
        <w:t xml:space="preserve"> </w:t>
      </w:r>
      <w:r>
        <w:rPr>
          <w:rFonts w:ascii="Twentieth Century" w:cs="Times New Roman" w:hAnsi="Twentieth Century"/>
          <w:b/>
          <w:bCs/>
          <w:sz w:val="32"/>
          <w:szCs w:val="32"/>
        </w:rPr>
        <w:t>G</w:t>
      </w:r>
      <w:r>
        <w:rPr>
          <w:rFonts w:ascii="Twentieth Century" w:cs="Times New Roman" w:hAnsi="Twentieth Century"/>
          <w:b/>
          <w:bCs/>
          <w:sz w:val="32"/>
          <w:szCs w:val="32"/>
        </w:rPr>
        <w:t>ambaran</w:t>
      </w:r>
      <w:r>
        <w:rPr>
          <w:rFonts w:ascii="Twentieth Century" w:cs="Times New Roman" w:hAnsi="Twentieth Century"/>
          <w:b/>
          <w:bCs/>
          <w:sz w:val="32"/>
          <w:szCs w:val="32"/>
        </w:rPr>
        <w:t xml:space="preserve"> P</w:t>
      </w:r>
      <w:r>
        <w:rPr>
          <w:rFonts w:ascii="Twentieth Century" w:cs="Times New Roman" w:hAnsi="Twentieth Century"/>
          <w:b/>
          <w:bCs/>
          <w:sz w:val="32"/>
          <w:szCs w:val="32"/>
        </w:rPr>
        <w:t>engetahuan</w:t>
      </w:r>
      <w:r>
        <w:rPr>
          <w:rFonts w:ascii="Twentieth Century" w:cs="Times New Roman" w:hAnsi="Twentieth Century"/>
          <w:b/>
          <w:bCs/>
          <w:sz w:val="32"/>
          <w:szCs w:val="32"/>
        </w:rPr>
        <w:t xml:space="preserve"> D</w:t>
      </w:r>
      <w:r>
        <w:rPr>
          <w:rFonts w:ascii="Twentieth Century" w:cs="Times New Roman" w:hAnsi="Twentieth Century"/>
          <w:b/>
          <w:bCs/>
          <w:sz w:val="32"/>
          <w:szCs w:val="32"/>
        </w:rPr>
        <w:t>an</w:t>
      </w:r>
      <w:r>
        <w:rPr>
          <w:rFonts w:ascii="Twentieth Century" w:cs="Times New Roman" w:hAnsi="Twentieth Century"/>
          <w:b/>
          <w:bCs/>
          <w:sz w:val="32"/>
          <w:szCs w:val="32"/>
        </w:rPr>
        <w:t xml:space="preserve"> P</w:t>
      </w:r>
      <w:r>
        <w:rPr>
          <w:rFonts w:ascii="Twentieth Century" w:cs="Times New Roman" w:hAnsi="Twentieth Century"/>
          <w:b/>
          <w:bCs/>
          <w:sz w:val="32"/>
          <w:szCs w:val="32"/>
        </w:rPr>
        <w:t>emilihan</w:t>
      </w:r>
      <w:r>
        <w:rPr>
          <w:rFonts w:ascii="Twentieth Century" w:cs="Times New Roman" w:hAnsi="Twentieth Century"/>
          <w:b/>
          <w:bCs/>
          <w:sz w:val="32"/>
          <w:szCs w:val="32"/>
        </w:rPr>
        <w:t xml:space="preserve"> A</w:t>
      </w:r>
      <w:r>
        <w:rPr>
          <w:rFonts w:ascii="Twentieth Century" w:cs="Times New Roman" w:hAnsi="Twentieth Century"/>
          <w:b/>
          <w:bCs/>
          <w:sz w:val="32"/>
          <w:szCs w:val="32"/>
        </w:rPr>
        <w:t>lat</w:t>
      </w:r>
      <w:r>
        <w:rPr>
          <w:rFonts w:ascii="Twentieth Century" w:cs="Times New Roman" w:hAnsi="Twentieth Century"/>
          <w:b/>
          <w:bCs/>
          <w:sz w:val="32"/>
          <w:szCs w:val="32"/>
        </w:rPr>
        <w:t xml:space="preserve"> K</w:t>
      </w:r>
      <w:r>
        <w:rPr>
          <w:rFonts w:ascii="Twentieth Century" w:cs="Times New Roman" w:hAnsi="Twentieth Century"/>
          <w:b/>
          <w:bCs/>
          <w:sz w:val="32"/>
          <w:szCs w:val="32"/>
        </w:rPr>
        <w:t>ontrasepsi</w:t>
      </w:r>
      <w:r>
        <w:rPr>
          <w:rFonts w:ascii="Twentieth Century" w:cs="Times New Roman" w:hAnsi="Twentieth Century"/>
          <w:b/>
          <w:bCs/>
          <w:sz w:val="32"/>
          <w:szCs w:val="32"/>
        </w:rPr>
        <w:t xml:space="preserve"> P</w:t>
      </w:r>
      <w:r>
        <w:rPr>
          <w:rFonts w:ascii="Twentieth Century" w:cs="Times New Roman" w:hAnsi="Twentieth Century"/>
          <w:b/>
          <w:bCs/>
          <w:sz w:val="32"/>
          <w:szCs w:val="32"/>
        </w:rPr>
        <w:t>ada</w:t>
      </w:r>
      <w:r>
        <w:rPr>
          <w:rFonts w:ascii="Twentieth Century" w:cs="Times New Roman" w:hAnsi="Twentieth Century"/>
          <w:b/>
          <w:bCs/>
          <w:sz w:val="32"/>
          <w:szCs w:val="32"/>
        </w:rPr>
        <w:t xml:space="preserve"> P</w:t>
      </w:r>
      <w:r>
        <w:rPr>
          <w:rFonts w:ascii="Twentieth Century" w:cs="Times New Roman" w:hAnsi="Twentieth Century"/>
          <w:b/>
          <w:bCs/>
          <w:sz w:val="32"/>
          <w:szCs w:val="32"/>
        </w:rPr>
        <w:t>asangan</w:t>
      </w:r>
      <w:r>
        <w:rPr>
          <w:rFonts w:ascii="Twentieth Century" w:cs="Times New Roman" w:hAnsi="Twentieth Century"/>
          <w:b/>
          <w:bCs/>
          <w:sz w:val="32"/>
          <w:szCs w:val="32"/>
        </w:rPr>
        <w:t xml:space="preserve"> </w:t>
      </w:r>
      <w:r>
        <w:rPr>
          <w:rFonts w:ascii="Twentieth Century" w:cs="Times New Roman" w:hAnsi="Twentieth Century"/>
          <w:b/>
          <w:bCs/>
          <w:sz w:val="32"/>
          <w:szCs w:val="32"/>
        </w:rPr>
        <w:t>U</w:t>
      </w:r>
      <w:r>
        <w:rPr>
          <w:rFonts w:ascii="Twentieth Century" w:cs="Times New Roman" w:hAnsi="Twentieth Century"/>
          <w:b/>
          <w:bCs/>
          <w:sz w:val="32"/>
          <w:szCs w:val="32"/>
        </w:rPr>
        <w:t>sia</w:t>
      </w:r>
      <w:r>
        <w:rPr>
          <w:rFonts w:ascii="Twentieth Century" w:cs="Times New Roman" w:hAnsi="Twentieth Century"/>
          <w:b/>
          <w:bCs/>
          <w:sz w:val="32"/>
          <w:szCs w:val="32"/>
        </w:rPr>
        <w:t xml:space="preserve"> S</w:t>
      </w:r>
      <w:r>
        <w:rPr>
          <w:rFonts w:ascii="Twentieth Century" w:cs="Times New Roman" w:hAnsi="Twentieth Century"/>
          <w:b/>
          <w:bCs/>
          <w:sz w:val="32"/>
          <w:szCs w:val="32"/>
        </w:rPr>
        <w:t>ubur</w:t>
      </w:r>
      <w:r>
        <w:rPr>
          <w:rFonts w:ascii="Twentieth Century" w:cs="Times New Roman" w:hAnsi="Twentieth Century"/>
          <w:b/>
          <w:bCs/>
          <w:sz w:val="32"/>
          <w:szCs w:val="32"/>
        </w:rPr>
        <w:t xml:space="preserve"> S</w:t>
      </w:r>
      <w:r>
        <w:rPr>
          <w:rFonts w:ascii="Twentieth Century" w:cs="Times New Roman" w:hAnsi="Twentieth Century"/>
          <w:b/>
          <w:bCs/>
          <w:sz w:val="32"/>
          <w:szCs w:val="32"/>
        </w:rPr>
        <w:t>elama</w:t>
      </w:r>
      <w:r>
        <w:rPr>
          <w:rFonts w:ascii="Twentieth Century" w:cs="Times New Roman" w:hAnsi="Twentieth Century"/>
          <w:b/>
          <w:bCs/>
          <w:sz w:val="32"/>
          <w:szCs w:val="32"/>
        </w:rPr>
        <w:t xml:space="preserve"> M</w:t>
      </w:r>
      <w:r>
        <w:rPr>
          <w:rFonts w:ascii="Twentieth Century" w:cs="Times New Roman" w:hAnsi="Twentieth Century"/>
          <w:b/>
          <w:bCs/>
          <w:sz w:val="32"/>
          <w:szCs w:val="32"/>
        </w:rPr>
        <w:t>asa</w:t>
      </w:r>
      <w:r>
        <w:rPr>
          <w:rFonts w:ascii="Twentieth Century" w:cs="Times New Roman" w:hAnsi="Twentieth Century"/>
          <w:b/>
          <w:bCs/>
          <w:sz w:val="32"/>
          <w:szCs w:val="32"/>
        </w:rPr>
        <w:t xml:space="preserve"> P</w:t>
      </w:r>
      <w:r>
        <w:rPr>
          <w:rFonts w:ascii="Twentieth Century" w:cs="Times New Roman" w:hAnsi="Twentieth Century"/>
          <w:b/>
          <w:bCs/>
          <w:sz w:val="32"/>
          <w:szCs w:val="32"/>
        </w:rPr>
        <w:t>andemi</w:t>
      </w:r>
      <w:r>
        <w:rPr>
          <w:rFonts w:ascii="Twentieth Century" w:cs="Times New Roman" w:hAnsi="Twentieth Century"/>
          <w:b/>
          <w:bCs/>
          <w:sz w:val="32"/>
          <w:szCs w:val="32"/>
        </w:rPr>
        <w:t xml:space="preserve"> C</w:t>
      </w:r>
      <w:r>
        <w:rPr>
          <w:rFonts w:ascii="Twentieth Century" w:cs="Times New Roman" w:hAnsi="Twentieth Century"/>
          <w:b/>
          <w:bCs/>
          <w:sz w:val="32"/>
          <w:szCs w:val="32"/>
        </w:rPr>
        <w:t>ovid</w:t>
      </w:r>
      <w:r>
        <w:rPr>
          <w:rFonts w:ascii="Twentieth Century" w:cs="Times New Roman" w:hAnsi="Twentieth Century"/>
          <w:b/>
          <w:bCs/>
          <w:sz w:val="32"/>
          <w:szCs w:val="32"/>
        </w:rPr>
        <w:t xml:space="preserve">-19 </w:t>
      </w:r>
    </w:p>
    <w:p>
      <w:pPr>
        <w:pStyle w:val="style0"/>
        <w:spacing w:after="0" w:lineRule="auto" w:line="240"/>
        <w:jc w:val="center"/>
        <w:rPr>
          <w:rFonts w:ascii="Twentieth Century" w:cs="Twentieth Century" w:eastAsia="Twentieth Century" w:hAnsi="Twentieth Century"/>
          <w:b/>
          <w:sz w:val="32"/>
          <w:szCs w:val="32"/>
        </w:rPr>
      </w:pPr>
      <w:r>
        <w:rPr>
          <w:rFonts w:ascii="Twentieth Century" w:cs="Times New Roman" w:hAnsi="Twentieth Century"/>
          <w:b/>
          <w:bCs/>
          <w:sz w:val="32"/>
          <w:szCs w:val="32"/>
        </w:rPr>
        <w:t>D</w:t>
      </w:r>
      <w:r>
        <w:rPr>
          <w:rFonts w:ascii="Twentieth Century" w:cs="Times New Roman" w:hAnsi="Twentieth Century"/>
          <w:b/>
          <w:bCs/>
          <w:sz w:val="32"/>
          <w:szCs w:val="32"/>
        </w:rPr>
        <w:t>i</w:t>
      </w:r>
      <w:r>
        <w:rPr>
          <w:rFonts w:ascii="Twentieth Century" w:cs="Times New Roman" w:hAnsi="Twentieth Century"/>
          <w:b/>
          <w:bCs/>
          <w:sz w:val="32"/>
          <w:szCs w:val="32"/>
        </w:rPr>
        <w:t xml:space="preserve"> P</w:t>
      </w:r>
      <w:r>
        <w:rPr>
          <w:rFonts w:ascii="Twentieth Century" w:cs="Times New Roman" w:hAnsi="Twentieth Century"/>
          <w:b/>
          <w:bCs/>
          <w:sz w:val="32"/>
          <w:szCs w:val="32"/>
        </w:rPr>
        <w:t>uskesmas</w:t>
      </w:r>
      <w:r>
        <w:rPr>
          <w:rFonts w:ascii="Twentieth Century" w:cs="Times New Roman" w:hAnsi="Twentieth Century"/>
          <w:b/>
          <w:bCs/>
          <w:sz w:val="32"/>
          <w:szCs w:val="32"/>
        </w:rPr>
        <w:t xml:space="preserve"> G</w:t>
      </w:r>
      <w:r>
        <w:rPr>
          <w:rFonts w:ascii="Twentieth Century" w:cs="Times New Roman" w:hAnsi="Twentieth Century"/>
          <w:b/>
          <w:bCs/>
          <w:sz w:val="32"/>
          <w:szCs w:val="32"/>
        </w:rPr>
        <w:t>ilingan</w:t>
      </w:r>
    </w:p>
    <w:p>
      <w:pPr>
        <w:pStyle w:val="style0"/>
        <w:widowControl w:val="false"/>
        <w:spacing w:after="0" w:lineRule="auto" w:line="218"/>
        <w:ind w:left="7" w:right="-20"/>
        <w:jc w:val="center"/>
        <w:rPr>
          <w:rFonts w:ascii="Twentieth Century" w:cs="Twentieth Century" w:eastAsia="Twentieth Century" w:hAnsi="Twentieth Century"/>
          <w:sz w:val="24"/>
          <w:szCs w:val="24"/>
        </w:rPr>
      </w:pPr>
    </w:p>
    <w:p>
      <w:pPr>
        <w:pStyle w:val="style0"/>
        <w:widowControl w:val="false"/>
        <w:spacing w:after="0" w:lineRule="auto" w:line="240"/>
        <w:ind w:left="7" w:right="-20"/>
        <w:jc w:val="center"/>
        <w:rPr>
          <w:rFonts w:ascii="Twentieth Century" w:cs="Twentieth Century" w:eastAsia="Twentieth Century" w:hAnsi="Twentieth Century"/>
          <w:sz w:val="24"/>
          <w:szCs w:val="24"/>
        </w:rPr>
      </w:pPr>
      <w:r>
        <w:rPr>
          <w:rFonts w:ascii="Twentieth Century" w:cs="Times New Roman" w:hAnsi="Twentieth Century"/>
          <w:sz w:val="24"/>
          <w:szCs w:val="24"/>
        </w:rPr>
        <w:t>Pratiwi Righita Pramesty</w:t>
      </w:r>
      <w:r>
        <w:rPr>
          <w:rFonts w:ascii="Twentieth Century" w:cs="Twentieth Century" w:eastAsia="Twentieth Century" w:hAnsi="Twentieth Century"/>
          <w:sz w:val="24"/>
          <w:szCs w:val="24"/>
          <w:vertAlign w:val="superscript"/>
        </w:rPr>
        <w:t xml:space="preserve">1, </w:t>
      </w:r>
      <w:r>
        <w:rPr>
          <w:rFonts w:ascii="Twentieth Century" w:cs="Times New Roman" w:hAnsi="Twentieth Century"/>
          <w:sz w:val="24"/>
          <w:szCs w:val="24"/>
        </w:rPr>
        <w:t>Hermawati</w:t>
      </w:r>
      <w:r>
        <w:rPr>
          <w:rFonts w:ascii="Twentieth Century" w:cs="Twentieth Century" w:eastAsia="Twentieth Century" w:hAnsi="Twentieth Century"/>
          <w:sz w:val="24"/>
          <w:szCs w:val="24"/>
          <w:vertAlign w:val="superscript"/>
        </w:rPr>
        <w:t>2</w:t>
      </w:r>
    </w:p>
    <w:p>
      <w:pPr>
        <w:pStyle w:val="style0"/>
        <w:spacing w:after="0" w:lineRule="auto" w:line="240"/>
        <w:jc w:val="center"/>
        <w:rPr>
          <w:rFonts w:ascii="Twentieth Century" w:cs="Times New Roman" w:hAnsi="Twentieth Century" w:hint="eastAsia"/>
          <w:sz w:val="24"/>
          <w:szCs w:val="24"/>
        </w:rPr>
      </w:pPr>
      <w:r>
        <w:rPr>
          <w:rFonts w:ascii="Twentieth Century" w:cs="Times New Roman" w:hAnsi="Twentieth Century"/>
          <w:sz w:val="24"/>
          <w:szCs w:val="24"/>
        </w:rPr>
        <w:t>Universitas ‘Aisyiyah Surakarta</w:t>
      </w:r>
    </w:p>
    <w:p>
      <w:pPr>
        <w:pStyle w:val="style0"/>
        <w:spacing w:after="0" w:lineRule="auto" w:line="240"/>
        <w:jc w:val="center"/>
        <w:rPr>
          <w:rFonts w:ascii="Twentieth Century" w:cs="Times New Roman" w:hAnsi="Twentieth Century" w:hint="eastAsia"/>
          <w:sz w:val="20"/>
          <w:szCs w:val="20"/>
        </w:rPr>
      </w:pPr>
      <w:r>
        <w:rPr>
          <w:rFonts w:ascii="Twentieth Century" w:cs="Twentieth Century" w:eastAsia="Twentieth Century" w:hAnsi="Twentieth Century"/>
          <w:sz w:val="20"/>
          <w:szCs w:val="20"/>
        </w:rPr>
        <w:t>Emai</w:t>
      </w:r>
      <w:r>
        <w:rPr>
          <w:rFonts w:ascii="Twentieth Century" w:cs="Twentieth Century" w:eastAsia="Twentieth Century" w:hAnsi="Twentieth Century"/>
          <w:sz w:val="20"/>
          <w:szCs w:val="20"/>
        </w:rPr>
        <w:t xml:space="preserve">l </w:t>
      </w:r>
      <w:r>
        <w:rPr/>
        <w:fldChar w:fldCharType="begin"/>
      </w:r>
      <w:r>
        <w:instrText xml:space="preserve"> HYPERLINK "mailto:pramestypratiwirighita@gmail.com" </w:instrText>
      </w:r>
      <w:r>
        <w:rPr/>
        <w:fldChar w:fldCharType="separate"/>
      </w:r>
      <w:r>
        <w:rPr>
          <w:rStyle w:val="style85"/>
          <w:rFonts w:ascii="Twentieth Century" w:cs="Times New Roman" w:hAnsi="Twentieth Century"/>
          <w:sz w:val="20"/>
          <w:szCs w:val="20"/>
        </w:rPr>
        <w:t>pramestypratiwirighita@gmail.com</w:t>
      </w:r>
      <w:r>
        <w:rPr/>
        <w:fldChar w:fldCharType="end"/>
      </w:r>
      <w:r>
        <w:rPr>
          <w:rFonts w:ascii="Twentieth Century" w:cs="Twentieth Century" w:eastAsia="Twentieth Century" w:hAnsi="Twentieth Century"/>
          <w:sz w:val="20"/>
          <w:szCs w:val="20"/>
        </w:rPr>
        <w:t xml:space="preserve"> </w:t>
      </w:r>
    </w:p>
    <w:p>
      <w:pPr>
        <w:pStyle w:val="style0"/>
        <w:spacing w:after="0" w:lineRule="auto" w:line="240"/>
        <w:rPr>
          <w:rFonts w:ascii="Twentieth Century" w:cs="Twentieth Century" w:eastAsia="Twentieth Century" w:hAnsi="Twentieth Century"/>
        </w:rPr>
      </w:pPr>
      <w:r>
        <w:rPr>
          <w:rFonts w:ascii="Twentieth Century" w:cs="Twentieth Century" w:eastAsia="Twentieth Century" w:hAnsi="Twentieth Century"/>
        </w:rPr>
        <w:tab/>
      </w:r>
      <w:r>
        <w:rPr>
          <w:rFonts w:ascii="Twentieth Century" w:cs="Twentieth Century" w:eastAsia="Twentieth Century" w:hAnsi="Twentieth Century"/>
        </w:rPr>
        <w:tab/>
      </w:r>
      <w:r>
        <w:rPr>
          <w:rFonts w:ascii="Twentieth Century" w:cs="Twentieth Century" w:eastAsia="Twentieth Century" w:hAnsi="Twentieth Century"/>
        </w:rPr>
        <w:tab/>
      </w:r>
      <w:r>
        <w:rPr>
          <w:rFonts w:ascii="Twentieth Century" w:cs="Twentieth Century" w:eastAsia="Twentieth Century" w:hAnsi="Twentieth Century"/>
        </w:rPr>
        <w:tab/>
      </w:r>
      <w:r>
        <w:rPr>
          <w:rFonts w:ascii="Twentieth Century" w:cs="Twentieth Century" w:eastAsia="Twentieth Century" w:hAnsi="Twentieth Century"/>
        </w:rPr>
        <w:t xml:space="preserve">     </w:t>
      </w:r>
      <w:r>
        <w:rPr>
          <w:rFonts w:ascii="Twentieth Century" w:hAnsi="Twentieth Century"/>
          <w:noProof/>
          <w:lang w:bidi="ar-SA" w:eastAsia="en-US"/>
        </w:rPr>
        <mc:AlternateContent>
          <mc:Choice Requires="wps">
            <w:drawing>
              <wp:anchor distT="0" distB="0" distL="0" distR="0" simplePos="false" relativeHeight="2" behindDoc="false" locked="false" layoutInCell="true" allowOverlap="true">
                <wp:simplePos x="0" y="0"/>
                <wp:positionH relativeFrom="column">
                  <wp:posOffset>12700</wp:posOffset>
                </wp:positionH>
                <wp:positionV relativeFrom="paragraph">
                  <wp:posOffset>127000</wp:posOffset>
                </wp:positionV>
                <wp:extent cx="5956935" cy="38100"/>
                <wp:effectExtent l="0" t="0" r="0" b="0"/>
                <wp:wrapNone/>
                <wp:docPr id="1026" name="Straight Arrow Connector 6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56935" cy="38100"/>
                        </a:xfrm>
                        <a:prstGeom prst="straightConnector1"/>
                        <a:ln cmpd="sng" cap="flat" w="19050">
                          <a:solidFill>
                            <a:srgbClr val="000000"/>
                          </a:solidFill>
                          <a:prstDash val="solid"/>
                          <a:round/>
                          <a:headEnd len="sm" w="sm" type="none"/>
                          <a:tailEnd len="sm" w="sm" type="none"/>
                        </a:ln>
                      </wps:spPr>
                      <wps:bodyPr>
                        <a:prstTxWarp prst="textNoShape"/>
                      </wps:bodyPr>
                    </wps:wsp>
                  </a:graphicData>
                </a:graphic>
              </wp:anchor>
            </w:drawing>
          </mc:Choice>
          <mc:Fallback>
            <w:pict>
              <v:shapetype id="_x0000_t32" coordsize="21600,21600" o:spt="32" o:oned="t" path="m,l21600,21600e">
                <v:path arrowok="t" fillok="f" o:connecttype="none"/>
                <o:lock v:ext="edit" shapetype="t"/>
              </v:shapetype>
              <v:shape id="1026" type="#_x0000_t32" filled="f" style="position:absolute;margin-left:1.0pt;margin-top:10.0pt;width:469.05pt;height:3.0pt;z-index:2;mso-position-horizontal-relative:text;mso-position-vertical-relative:text;mso-width-relative:page;mso-height-relative:page;mso-wrap-distance-left:0.0pt;mso-wrap-distance-right:0.0pt;visibility:visible;">
                <v:stroke startarrowwidth="narrow" startarrowlength="short" endarrowwidth="narrow" endarrowlength="short" weight="1.5pt"/>
                <v:fill/>
              </v:shape>
            </w:pict>
          </mc:Fallback>
        </mc:AlternateContent>
      </w:r>
      <w:r>
        <w:rPr>
          <w:rFonts w:ascii="Twentieth Century" w:hAnsi="Twentieth Century"/>
          <w:noProof/>
          <w:lang w:bidi="ar-SA" w:eastAsia="en-US"/>
        </w:rPr>
        <mc:AlternateContent>
          <mc:Choice Requires="wps">
            <w:drawing>
              <wp:anchor distT="0" distB="0" distL="0" distR="0" simplePos="false" relativeHeight="3" behindDoc="false" locked="false" layoutInCell="true" allowOverlap="true">
                <wp:simplePos x="0" y="0"/>
                <wp:positionH relativeFrom="column">
                  <wp:posOffset>12700</wp:posOffset>
                </wp:positionH>
                <wp:positionV relativeFrom="paragraph">
                  <wp:posOffset>152400</wp:posOffset>
                </wp:positionV>
                <wp:extent cx="1962149" cy="1581150"/>
                <wp:effectExtent l="0" t="0" r="0" b="0"/>
                <wp:wrapNone/>
                <wp:docPr id="1027" name="Rectangle 6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962149" cy="1581150"/>
                        </a:xfrm>
                        <a:prstGeom prst="rect"/>
                        <a:solidFill>
                          <a:srgbClr val="ffffff"/>
                        </a:solidFill>
                        <a:ln>
                          <a:noFill/>
                        </a:ln>
                      </wps:spPr>
                      <wps:txbx id="1027">
                        <w:txbxContent>
                          <w:p>
                            <w:pPr>
                              <w:pStyle w:val="style0"/>
                              <w:spacing w:after="0"/>
                              <w:ind w:left="-85" w:hanging="57"/>
                              <w:textDirection w:val="btLr"/>
                              <w:rPr/>
                            </w:pPr>
                            <w:r>
                              <w:rPr>
                                <w:rFonts w:ascii="Twentieth Century" w:cs="Twentieth Century" w:eastAsia="Twentieth Century" w:hAnsi="Twentieth Century"/>
                                <w:b/>
                                <w:color w:val="000000"/>
                                <w:sz w:val="20"/>
                              </w:rPr>
                              <w:t xml:space="preserve">Article Info </w:t>
                            </w:r>
                          </w:p>
                          <w:p>
                            <w:pPr>
                              <w:pStyle w:val="style0"/>
                              <w:spacing w:after="0"/>
                              <w:ind w:left="-85" w:hanging="57"/>
                              <w:textDirection w:val="btLr"/>
                              <w:rPr/>
                            </w:pPr>
                          </w:p>
                          <w:p>
                            <w:pPr>
                              <w:pStyle w:val="style0"/>
                              <w:spacing w:after="0"/>
                              <w:ind w:left="-85" w:hanging="57"/>
                              <w:textDirection w:val="btLr"/>
                              <w:rPr/>
                            </w:pPr>
                            <w:r>
                              <w:rPr>
                                <w:rFonts w:ascii="Twentieth Century" w:cs="Twentieth Century" w:eastAsia="Twentieth Century" w:hAnsi="Twentieth Century"/>
                                <w:b/>
                                <w:i/>
                                <w:color w:val="000000"/>
                                <w:sz w:val="20"/>
                              </w:rPr>
                              <w:t>Article history</w:t>
                            </w:r>
                          </w:p>
                          <w:p>
                            <w:pPr>
                              <w:pStyle w:val="style0"/>
                              <w:spacing w:after="0" w:lineRule="auto" w:line="240"/>
                              <w:ind w:left="142" w:right="-55" w:hanging="125"/>
                              <w:textDirection w:val="btLr"/>
                              <w:rPr/>
                            </w:pPr>
                            <w:r>
                              <w:rPr>
                                <w:rFonts w:ascii="Twentieth Century" w:cs="Twentieth Century" w:eastAsia="Twentieth Century" w:hAnsi="Twentieth Century"/>
                                <w:color w:val="000000"/>
                                <w:sz w:val="20"/>
                              </w:rPr>
                              <w:t xml:space="preserve">Received date: </w:t>
                            </w:r>
                          </w:p>
                          <w:p>
                            <w:pPr>
                              <w:pStyle w:val="style0"/>
                              <w:spacing w:after="0" w:lineRule="auto" w:line="240"/>
                              <w:ind w:left="142" w:right="-55" w:hanging="125"/>
                              <w:textDirection w:val="btLr"/>
                              <w:rPr/>
                            </w:pPr>
                            <w:r>
                              <w:rPr>
                                <w:rFonts w:ascii="Twentieth Century" w:cs="Twentieth Century" w:eastAsia="Twentieth Century" w:hAnsi="Twentieth Century"/>
                                <w:color w:val="000000"/>
                                <w:sz w:val="20"/>
                              </w:rPr>
                              <w:t xml:space="preserve">Revised date: </w:t>
                            </w:r>
                          </w:p>
                          <w:p>
                            <w:pPr>
                              <w:pStyle w:val="style0"/>
                              <w:spacing w:after="0" w:lineRule="auto" w:line="240"/>
                              <w:ind w:left="142" w:right="-55" w:hanging="125"/>
                              <w:textDirection w:val="btLr"/>
                              <w:rPr/>
                            </w:pPr>
                            <w:r>
                              <w:rPr>
                                <w:rFonts w:ascii="Twentieth Century" w:cs="Twentieth Century" w:eastAsia="Twentieth Century" w:hAnsi="Twentieth Century"/>
                                <w:color w:val="000000"/>
                                <w:sz w:val="20"/>
                              </w:rPr>
                              <w:t xml:space="preserve">Accepted date: </w:t>
                            </w:r>
                          </w:p>
                          <w:p>
                            <w:pPr>
                              <w:pStyle w:val="style0"/>
                              <w:spacing w:after="0"/>
                              <w:ind w:left="-85" w:right="-55" w:hanging="170"/>
                              <w:textDirection w:val="btLr"/>
                              <w:rPr/>
                            </w:pPr>
                          </w:p>
                          <w:p>
                            <w:pPr>
                              <w:pStyle w:val="style0"/>
                              <w:textDirection w:val="btLr"/>
                              <w:rPr/>
                            </w:pPr>
                          </w:p>
                        </w:txbxContent>
                      </wps:txbx>
                      <wps:bodyPr lIns="91425" rIns="91425" tIns="45700" bIns="45700" anchor="ctr" wrap="square">
                        <a:prstTxWarp prst="textNoShape"/>
                        <a:noAutofit/>
                      </wps:bodyPr>
                    </wps:wsp>
                  </a:graphicData>
                </a:graphic>
              </wp:anchor>
            </w:drawing>
          </mc:Choice>
          <mc:Fallback>
            <w:pict>
              <v:rect id="1027" fillcolor="white" stroked="f" style="position:absolute;margin-left:1.0pt;margin-top:12.0pt;width:154.5pt;height:124.5pt;z-index:3;mso-position-horizontal-relative:text;mso-position-vertical-relative:text;mso-width-relative:page;mso-height-relative:page;mso-wrap-distance-left:0.0pt;mso-wrap-distance-right:0.0pt;visibility:visible;v-text-anchor:middle;">
                <v:stroke on="f"/>
                <v:fill/>
                <v:textbox inset="7.2pt,3.6pt,7.2pt,3.6pt">
                  <w:txbxContent>
                    <w:p>
                      <w:pPr>
                        <w:pStyle w:val="style0"/>
                        <w:spacing w:after="0"/>
                        <w:ind w:left="-85" w:hanging="57"/>
                        <w:textDirection w:val="btLr"/>
                        <w:rPr/>
                      </w:pPr>
                      <w:r>
                        <w:rPr>
                          <w:rFonts w:ascii="Twentieth Century" w:cs="Twentieth Century" w:eastAsia="Twentieth Century" w:hAnsi="Twentieth Century"/>
                          <w:b/>
                          <w:color w:val="000000"/>
                          <w:sz w:val="20"/>
                        </w:rPr>
                        <w:t xml:space="preserve">Article Info </w:t>
                      </w:r>
                    </w:p>
                    <w:p>
                      <w:pPr>
                        <w:pStyle w:val="style0"/>
                        <w:spacing w:after="0"/>
                        <w:ind w:left="-85" w:hanging="57"/>
                        <w:textDirection w:val="btLr"/>
                        <w:rPr/>
                      </w:pPr>
                    </w:p>
                    <w:p>
                      <w:pPr>
                        <w:pStyle w:val="style0"/>
                        <w:spacing w:after="0"/>
                        <w:ind w:left="-85" w:hanging="57"/>
                        <w:textDirection w:val="btLr"/>
                        <w:rPr/>
                      </w:pPr>
                      <w:r>
                        <w:rPr>
                          <w:rFonts w:ascii="Twentieth Century" w:cs="Twentieth Century" w:eastAsia="Twentieth Century" w:hAnsi="Twentieth Century"/>
                          <w:b/>
                          <w:i/>
                          <w:color w:val="000000"/>
                          <w:sz w:val="20"/>
                        </w:rPr>
                        <w:t>Article history</w:t>
                      </w:r>
                    </w:p>
                    <w:p>
                      <w:pPr>
                        <w:pStyle w:val="style0"/>
                        <w:spacing w:after="0" w:lineRule="auto" w:line="240"/>
                        <w:ind w:left="142" w:right="-55" w:hanging="125"/>
                        <w:textDirection w:val="btLr"/>
                        <w:rPr/>
                      </w:pPr>
                      <w:r>
                        <w:rPr>
                          <w:rFonts w:ascii="Twentieth Century" w:cs="Twentieth Century" w:eastAsia="Twentieth Century" w:hAnsi="Twentieth Century"/>
                          <w:color w:val="000000"/>
                          <w:sz w:val="20"/>
                        </w:rPr>
                        <w:t xml:space="preserve">Received date: </w:t>
                      </w:r>
                    </w:p>
                    <w:p>
                      <w:pPr>
                        <w:pStyle w:val="style0"/>
                        <w:spacing w:after="0" w:lineRule="auto" w:line="240"/>
                        <w:ind w:left="142" w:right="-55" w:hanging="125"/>
                        <w:textDirection w:val="btLr"/>
                        <w:rPr/>
                      </w:pPr>
                      <w:r>
                        <w:rPr>
                          <w:rFonts w:ascii="Twentieth Century" w:cs="Twentieth Century" w:eastAsia="Twentieth Century" w:hAnsi="Twentieth Century"/>
                          <w:color w:val="000000"/>
                          <w:sz w:val="20"/>
                        </w:rPr>
                        <w:t xml:space="preserve">Revised date: </w:t>
                      </w:r>
                    </w:p>
                    <w:p>
                      <w:pPr>
                        <w:pStyle w:val="style0"/>
                        <w:spacing w:after="0" w:lineRule="auto" w:line="240"/>
                        <w:ind w:left="142" w:right="-55" w:hanging="125"/>
                        <w:textDirection w:val="btLr"/>
                        <w:rPr/>
                      </w:pPr>
                      <w:r>
                        <w:rPr>
                          <w:rFonts w:ascii="Twentieth Century" w:cs="Twentieth Century" w:eastAsia="Twentieth Century" w:hAnsi="Twentieth Century"/>
                          <w:color w:val="000000"/>
                          <w:sz w:val="20"/>
                        </w:rPr>
                        <w:t xml:space="preserve">Accepted date: </w:t>
                      </w:r>
                    </w:p>
                    <w:p>
                      <w:pPr>
                        <w:pStyle w:val="style0"/>
                        <w:spacing w:after="0"/>
                        <w:ind w:left="-85" w:right="-55" w:hanging="170"/>
                        <w:textDirection w:val="btLr"/>
                        <w:rPr/>
                      </w:pPr>
                    </w:p>
                    <w:p>
                      <w:pPr>
                        <w:pStyle w:val="style0"/>
                        <w:textDirection w:val="btLr"/>
                        <w:rPr/>
                      </w:pPr>
                    </w:p>
                  </w:txbxContent>
                </v:textbox>
              </v:rect>
            </w:pict>
          </mc:Fallback>
        </mc:AlternateContent>
      </w:r>
    </w:p>
    <w:p>
      <w:pPr>
        <w:pStyle w:val="style0"/>
        <w:spacing w:after="0"/>
        <w:ind w:left="2399" w:firstLine="719"/>
        <w:rPr>
          <w:rFonts w:ascii="Twentieth Century" w:cs="Twentieth Century" w:eastAsia="Twentieth Century" w:hAnsi="Twentieth Century"/>
        </w:rPr>
      </w:pPr>
      <w:r>
        <w:rPr>
          <w:rFonts w:ascii="Twentieth Century" w:cs="Twentieth Century" w:eastAsia="Twentieth Century" w:hAnsi="Twentieth Century"/>
          <w:b/>
          <w:i/>
          <w:sz w:val="20"/>
          <w:szCs w:val="20"/>
        </w:rPr>
        <w:t>Abstract</w:t>
      </w:r>
    </w:p>
    <w:p>
      <w:pPr>
        <w:pStyle w:val="style0"/>
        <w:spacing w:after="0" w:lineRule="auto" w:line="240"/>
        <w:ind w:left="3150"/>
        <w:jc w:val="both"/>
        <w:rPr>
          <w:rFonts w:ascii="Twentieth Century" w:cs="Twentieth Century" w:eastAsia="Twentieth Century" w:hAnsi="Twentieth Century"/>
          <w:sz w:val="20"/>
          <w:szCs w:val="20"/>
        </w:rPr>
      </w:pPr>
      <w:r>
        <w:rPr>
          <w:rFonts w:cs="Times New Roman" w:hAnsi="Twentieth Century"/>
          <w:bCs/>
          <w:i/>
          <w:sz w:val="20"/>
          <w:szCs w:val="20"/>
          <w:lang w:val="en-US"/>
        </w:rPr>
        <w:t xml:space="preserve">Introduction </w:t>
      </w:r>
      <w:r>
        <w:rPr>
          <w:rFonts w:ascii="Twentieth Century" w:cs="Times New Roman" w:hAnsi="Twentieth Century"/>
          <w:bCs/>
          <w:i/>
          <w:sz w:val="20"/>
          <w:szCs w:val="20"/>
        </w:rPr>
        <w:t>:</w:t>
      </w:r>
      <w:r>
        <w:rPr>
          <w:rFonts w:ascii="Twentieth Century" w:cs="Times New Roman" w:hAnsi="Twentieth Century"/>
          <w:bCs/>
          <w:i/>
          <w:sz w:val="20"/>
          <w:szCs w:val="20"/>
        </w:rPr>
        <w:t xml:space="preserve"> The family planning program is an effort to control the birth rate and pregnancy spacing with contraception. </w:t>
      </w:r>
      <w:r>
        <w:rPr>
          <w:rFonts w:ascii="Twentieth Century" w:cs="Times New Roman" w:hAnsi="Twentieth Century"/>
          <w:bCs/>
          <w:i/>
          <w:sz w:val="20"/>
          <w:szCs w:val="20"/>
        </w:rPr>
        <w:t>Availability of types of contraceptives in health facilities.</w:t>
      </w:r>
      <w:r>
        <w:rPr>
          <w:rFonts w:ascii="Twentieth Century" w:cs="Times New Roman" w:hAnsi="Twentieth Century"/>
          <w:bCs/>
          <w:i/>
          <w:sz w:val="20"/>
          <w:szCs w:val="20"/>
        </w:rPr>
        <w:t xml:space="preserve"> The results of reports from the Puskesmas Gilingan use 53% of hormonal contraception and 47% of non-hormonal contraception. The Pandemic period is a transitional condition and adjustment of new habits that must be adjusted to government regulations. </w:t>
      </w:r>
      <w:r>
        <w:rPr>
          <w:rFonts w:cs="Times New Roman" w:hAnsi="Twentieth Century"/>
          <w:bCs/>
          <w:i/>
          <w:sz w:val="20"/>
          <w:szCs w:val="20"/>
          <w:lang w:val="en-US"/>
        </w:rPr>
        <w:t xml:space="preserve">Methods </w:t>
      </w:r>
      <w:r>
        <w:rPr>
          <w:rFonts w:ascii="Twentieth Century" w:cs="Times New Roman" w:hAnsi="Twentieth Century"/>
          <w:bCs/>
          <w:i/>
          <w:sz w:val="20"/>
          <w:szCs w:val="20"/>
        </w:rPr>
        <w:t xml:space="preserve">: Descriptive survey research with retrospective approach, population 1,199, sample 92 respondents, research instrument using closed questionnaire. </w:t>
      </w:r>
      <w:r>
        <w:rPr>
          <w:rFonts w:ascii="Twentieth Century" w:cs="Times New Roman" w:hAnsi="Twentieth Century"/>
          <w:bCs/>
          <w:i/>
          <w:sz w:val="20"/>
          <w:szCs w:val="20"/>
        </w:rPr>
        <w:t>Univariate data analysis.</w:t>
      </w:r>
      <w:r>
        <w:rPr>
          <w:rFonts w:ascii="Twentieth Century" w:cs="Times New Roman" w:hAnsi="Twentieth Century"/>
          <w:bCs/>
          <w:i/>
          <w:sz w:val="20"/>
          <w:szCs w:val="20"/>
        </w:rPr>
        <w:t xml:space="preserve"> </w:t>
      </w:r>
      <w:r>
        <w:rPr>
          <w:rFonts w:cs="Times New Roman" w:hAnsi="Twentieth Century"/>
          <w:bCs/>
          <w:i/>
          <w:sz w:val="20"/>
          <w:szCs w:val="20"/>
          <w:lang w:val="en-US"/>
        </w:rPr>
        <w:t xml:space="preserve">Results </w:t>
      </w:r>
      <w:r>
        <w:rPr>
          <w:rFonts w:ascii="Twentieth Century" w:cs="Times New Roman" w:hAnsi="Twentieth Century"/>
          <w:bCs/>
          <w:i/>
          <w:sz w:val="20"/>
          <w:szCs w:val="20"/>
        </w:rPr>
        <w:t xml:space="preserve">: The results showed that the majority of respondents aged 31-40 years were 51 respondents, the last education was SMA/SMK as many as 36 respondents and the majority of respondents worked as many as 50 respondents, with a lack of knowledge as many as 37 respondents and the majority of the choice of contraceptives using long-term contraception as many as 57 respondents. </w:t>
      </w:r>
      <w:r>
        <w:rPr>
          <w:rFonts w:cs="Times New Roman" w:hAnsi="Twentieth Century"/>
          <w:bCs/>
          <w:i/>
          <w:sz w:val="20"/>
          <w:szCs w:val="20"/>
          <w:lang w:val="en-US"/>
        </w:rPr>
        <w:t xml:space="preserve">Conclusion </w:t>
      </w:r>
      <w:r>
        <w:rPr>
          <w:rFonts w:ascii="Twentieth Century" w:cs="Times New Roman" w:hAnsi="Twentieth Century"/>
          <w:bCs/>
          <w:i/>
          <w:sz w:val="20"/>
          <w:szCs w:val="20"/>
        </w:rPr>
        <w:t>: The level of knowledge of mothers is less as many as 37 respondents and the majority of the choice of contraceptive use long-term contraception as many as 57 respondents</w:t>
      </w:r>
      <w:r>
        <w:rPr>
          <w:rFonts w:ascii="Twentieth Century" w:cs="Times New Roman" w:hAnsi="Twentieth Century"/>
          <w:i/>
          <w:sz w:val="20"/>
          <w:szCs w:val="20"/>
        </w:rPr>
        <w:t>.</w:t>
      </w:r>
    </w:p>
    <w:p>
      <w:pPr>
        <w:pStyle w:val="style0"/>
        <w:widowControl w:val="false"/>
        <w:spacing w:after="0" w:lineRule="auto" w:line="240"/>
        <w:ind w:left="3150" w:right="-19"/>
        <w:jc w:val="both"/>
        <w:rPr>
          <w:rFonts w:ascii="Twentieth Century" w:cs="Twentieth Century" w:eastAsia="Twentieth Century" w:hAnsi="Twentieth Century"/>
          <w:b/>
          <w:i/>
          <w:sz w:val="20"/>
          <w:szCs w:val="20"/>
        </w:rPr>
      </w:pPr>
      <w:r>
        <w:rPr>
          <w:rFonts w:ascii="Twentieth Century" w:cs="Twentieth Century" w:eastAsia="Twentieth Century" w:hAnsi="Twentieth Century"/>
          <w:b/>
          <w:i/>
          <w:sz w:val="20"/>
          <w:szCs w:val="20"/>
        </w:rPr>
        <w:t>Keywords:</w:t>
      </w:r>
    </w:p>
    <w:p>
      <w:pPr>
        <w:pStyle w:val="style0"/>
        <w:tabs>
          <w:tab w:val="left" w:leader="none" w:pos="426"/>
        </w:tabs>
        <w:spacing w:after="0" w:lineRule="auto" w:line="240"/>
        <w:ind w:left="3150"/>
        <w:jc w:val="both"/>
        <w:rPr>
          <w:rFonts w:ascii="Twentieth Century" w:cs="Twentieth Century" w:eastAsia="Twentieth Century" w:hAnsi="Twentieth Century"/>
          <w:i/>
          <w:sz w:val="20"/>
          <w:szCs w:val="20"/>
        </w:rPr>
      </w:pPr>
      <w:r>
        <w:rPr>
          <w:rFonts w:ascii="Twentieth Century" w:cs="Twentieth Century" w:eastAsia="Twentieth Century" w:hAnsi="Twentieth Century"/>
          <w:i/>
          <w:sz w:val="20"/>
          <w:szCs w:val="20"/>
        </w:rPr>
        <w:t>Couple of mature age 1; knowledge 2; selection of contraceptives 3</w:t>
      </w:r>
    </w:p>
    <w:p>
      <w:pPr>
        <w:pStyle w:val="style0"/>
        <w:tabs>
          <w:tab w:val="left" w:leader="none" w:pos="426"/>
        </w:tabs>
        <w:spacing w:after="0" w:lineRule="auto" w:line="240"/>
        <w:ind w:left="3150"/>
        <w:jc w:val="both"/>
        <w:rPr>
          <w:rFonts w:ascii="Twentieth Century" w:cs="Twentieth Century" w:eastAsia="Twentieth Century" w:hAnsi="Twentieth Century"/>
          <w:b/>
          <w:sz w:val="20"/>
          <w:szCs w:val="20"/>
        </w:rPr>
      </w:pPr>
    </w:p>
    <w:p>
      <w:pPr>
        <w:pStyle w:val="style0"/>
        <w:tabs>
          <w:tab w:val="left" w:leader="none" w:pos="426"/>
        </w:tabs>
        <w:spacing w:after="0" w:lineRule="auto" w:line="240"/>
        <w:ind w:left="3150"/>
        <w:jc w:val="both"/>
        <w:rPr>
          <w:rFonts w:ascii="Twentieth Century" w:cs="Twentieth Century" w:eastAsia="Twentieth Century" w:hAnsi="Twentieth Century"/>
          <w:b/>
          <w:sz w:val="20"/>
          <w:szCs w:val="20"/>
        </w:rPr>
      </w:pPr>
      <w:r>
        <w:rPr>
          <w:rFonts w:ascii="Twentieth Century" w:cs="Twentieth Century" w:eastAsia="Twentieth Century" w:hAnsi="Twentieth Century"/>
          <w:b/>
          <w:sz w:val="20"/>
          <w:szCs w:val="20"/>
        </w:rPr>
        <w:t>Abstrak</w:t>
      </w:r>
    </w:p>
    <w:p>
      <w:pPr>
        <w:pStyle w:val="style0"/>
        <w:tabs>
          <w:tab w:val="left" w:leader="none" w:pos="426"/>
        </w:tabs>
        <w:spacing w:after="0" w:lineRule="auto" w:line="240"/>
        <w:ind w:left="3150"/>
        <w:jc w:val="both"/>
        <w:rPr>
          <w:rFonts w:ascii="Twentieth Century" w:cs="Twentieth Century" w:eastAsia="Twentieth Century" w:hAnsi="Twentieth Century"/>
          <w:bCs/>
          <w:sz w:val="20"/>
          <w:szCs w:val="20"/>
        </w:rPr>
      </w:pPr>
      <w:r>
        <w:rPr>
          <w:rFonts w:hAnsi="Twentieth Century"/>
          <w:bCs/>
          <w:sz w:val="20"/>
          <w:szCs w:val="20"/>
          <w:lang w:val="en-US"/>
        </w:rPr>
        <w:t xml:space="preserve">Pendahuluan </w:t>
      </w:r>
      <w:r>
        <w:rPr>
          <w:rFonts w:ascii="Twentieth Century" w:hAnsi="Twentieth Century"/>
          <w:bCs/>
          <w:sz w:val="20"/>
          <w:szCs w:val="20"/>
        </w:rPr>
        <w:t>:</w:t>
      </w:r>
      <w:r>
        <w:rPr>
          <w:rFonts w:ascii="Twentieth Century" w:hAnsi="Twentieth Century"/>
          <w:bCs/>
          <w:sz w:val="20"/>
          <w:szCs w:val="20"/>
        </w:rPr>
        <w:t xml:space="preserve"> Program KB merupakan upaya mengendalikan angka kelahiran dan jarak kehamilan dengan kontrasepsi. </w:t>
      </w:r>
      <w:r>
        <w:rPr>
          <w:rFonts w:ascii="Twentieth Century" w:hAnsi="Twentieth Century"/>
          <w:bCs/>
          <w:sz w:val="20"/>
          <w:szCs w:val="20"/>
        </w:rPr>
        <w:t>Tersedianya jenis alat kontrasepsi di fasilitas kesehatan.</w:t>
      </w:r>
      <w:r>
        <w:rPr>
          <w:rFonts w:ascii="Twentieth Century" w:hAnsi="Twentieth Century"/>
          <w:bCs/>
          <w:sz w:val="20"/>
          <w:szCs w:val="20"/>
        </w:rPr>
        <w:t xml:space="preserve"> </w:t>
      </w:r>
      <w:r>
        <w:rPr>
          <w:rFonts w:ascii="Twentieth Century" w:hAnsi="Twentieth Century"/>
          <w:bCs/>
          <w:sz w:val="20"/>
          <w:szCs w:val="20"/>
        </w:rPr>
        <w:t>Hasil laporan dari Puskesmas Gilingan penggunaan kontrasepsi hormonal 53% dan non hormonal 47%.</w:t>
      </w:r>
      <w:r>
        <w:rPr>
          <w:rFonts w:ascii="Twentieth Century" w:hAnsi="Twentieth Century"/>
          <w:bCs/>
          <w:sz w:val="20"/>
          <w:szCs w:val="20"/>
        </w:rPr>
        <w:t xml:space="preserve"> Masa Pandemi merupakan kondisi peralihan dan penyesuaian kebiasaan baru yang harus disesuaikan dengan peraturan </w:t>
      </w:r>
      <w:r>
        <w:rPr>
          <w:rFonts w:hAnsi="Twentieth Century"/>
          <w:bCs/>
          <w:sz w:val="20"/>
          <w:szCs w:val="20"/>
          <w:lang w:val="en-US"/>
        </w:rPr>
        <w:t xml:space="preserve">pemerintah. Metode </w:t>
      </w:r>
      <w:r>
        <w:rPr>
          <w:rFonts w:ascii="Twentieth Century" w:hAnsi="Twentieth Century"/>
          <w:bCs/>
          <w:sz w:val="20"/>
          <w:szCs w:val="20"/>
        </w:rPr>
        <w:t>:</w:t>
      </w:r>
      <w:r>
        <w:rPr>
          <w:rFonts w:ascii="Twentieth Century" w:hAnsi="Twentieth Century"/>
          <w:bCs/>
          <w:sz w:val="20"/>
          <w:szCs w:val="20"/>
        </w:rPr>
        <w:t xml:space="preserve"> Penelitian </w:t>
      </w:r>
      <w:r>
        <w:rPr>
          <w:rFonts w:ascii="Twentieth Century" w:hAnsi="Twentieth Century"/>
          <w:bCs/>
          <w:i/>
          <w:iCs/>
          <w:sz w:val="20"/>
          <w:szCs w:val="20"/>
        </w:rPr>
        <w:t>descriptive survey</w:t>
      </w:r>
      <w:r>
        <w:rPr>
          <w:rFonts w:ascii="Twentieth Century" w:hAnsi="Twentieth Century"/>
          <w:bCs/>
          <w:sz w:val="20"/>
          <w:szCs w:val="20"/>
        </w:rPr>
        <w:t xml:space="preserve"> dengan pendekatan retrospektif, populasi 1.199, sampel 92 </w:t>
      </w:r>
      <w:r>
        <w:rPr>
          <w:rFonts w:ascii="Twentieth Century" w:hAnsi="Twentieth Century"/>
          <w:bCs/>
          <w:sz w:val="20"/>
          <w:szCs w:val="20"/>
        </w:rPr>
        <w:t xml:space="preserve">responden, instrumen penelitian menggunakan kuesioner bersifat tertutup. </w:t>
      </w:r>
      <w:r>
        <w:rPr>
          <w:rFonts w:ascii="Twentieth Century" w:hAnsi="Twentieth Century"/>
          <w:bCs/>
          <w:sz w:val="20"/>
          <w:szCs w:val="20"/>
        </w:rPr>
        <w:t>Analisa data univariat.</w:t>
      </w:r>
      <w:r>
        <w:rPr>
          <w:rFonts w:ascii="Twentieth Century" w:hAnsi="Twentieth Century"/>
          <w:bCs/>
          <w:sz w:val="20"/>
          <w:szCs w:val="20"/>
        </w:rPr>
        <w:t xml:space="preserve"> </w:t>
      </w:r>
      <w:r>
        <w:rPr>
          <w:rFonts w:hAnsi="Twentieth Century"/>
          <w:bCs/>
          <w:sz w:val="20"/>
          <w:szCs w:val="20"/>
          <w:lang w:val="en-US"/>
        </w:rPr>
        <w:t>Pembahasan dan Kesimpulan</w:t>
      </w:r>
      <w:r>
        <w:rPr>
          <w:rFonts w:ascii="Twentieth Century" w:hAnsi="Twentieth Century"/>
          <w:bCs/>
          <w:sz w:val="20"/>
          <w:szCs w:val="20"/>
        </w:rPr>
        <w:t xml:space="preserve"> : Hasil penelitian menunjukan mayoritas responden berusia 31-40 tahun sebanyak 51 responden, pendidikan terakhir SMA/SMK sebanyak 36 responden dan mayoritas responden bekerja sebanyak 50 responden, dengan tingkat pengetahuan kurang sebanyak 37 responden dan pemilihan alat kontrasepsi mayoritas menggunakan kontrasepsi jangka panjang sebanyak 57 responden. Tingkat pengetahuan ibu adalah kurang sebanyak 37 responden dan pemilihan alat kontrasepsi mayoritas menggunakan kontrasepsi jangka panjang yaitu sebanyak 57 responden.</w:t>
      </w:r>
      <w:r>
        <w:rPr>
          <w:bCs/>
        </w:rPr>
        <w:t xml:space="preserve"> </w:t>
      </w:r>
    </w:p>
    <w:p>
      <w:pPr>
        <w:pStyle w:val="style0"/>
        <w:tabs>
          <w:tab w:val="left" w:leader="none" w:pos="426"/>
        </w:tabs>
        <w:spacing w:after="0"/>
        <w:ind w:left="3150"/>
        <w:jc w:val="both"/>
        <w:rPr>
          <w:rFonts w:ascii="Twentieth Century" w:cs="Twentieth Century" w:eastAsia="Twentieth Century" w:hAnsi="Twentieth Century"/>
          <w:b/>
          <w:sz w:val="20"/>
          <w:szCs w:val="20"/>
        </w:rPr>
      </w:pPr>
      <w:r>
        <w:rPr>
          <w:rFonts w:ascii="Twentieth Century" w:cs="Twentieth Century" w:eastAsia="Twentieth Century" w:hAnsi="Twentieth Century"/>
          <w:b/>
          <w:sz w:val="20"/>
          <w:szCs w:val="20"/>
        </w:rPr>
        <w:t>Kata Kunci</w:t>
      </w:r>
    </w:p>
    <w:p>
      <w:pPr>
        <w:pStyle w:val="style0"/>
        <w:ind w:left="2430" w:firstLine="720"/>
        <w:rPr>
          <w:rFonts w:ascii="Twentieth Century" w:cs="Twentieth Century" w:eastAsia="Twentieth Century" w:hAnsi="Twentieth Century"/>
        </w:rPr>
        <w:sectPr>
          <w:headerReference w:type="default" r:id="rId2"/>
          <w:footerReference w:type="default" r:id="rId3"/>
          <w:pgSz w:w="12240" w:h="15840" w:orient="portrait"/>
          <w:pgMar w:top="1440" w:right="1440" w:bottom="1440" w:left="1440" w:header="720" w:footer="720" w:gutter="0"/>
          <w:pgNumType w:start="1"/>
          <w:cols w:space="720"/>
        </w:sectPr>
      </w:pPr>
      <w:r>
        <w:rPr>
          <w:rFonts w:ascii="Twentieth Century" w:cs="Twentieth Century" w:eastAsia="Twentieth Century" w:hAnsi="Twentieth Century"/>
          <w:sz w:val="20"/>
          <w:szCs w:val="20"/>
        </w:rPr>
        <w:t xml:space="preserve">Pasangan </w:t>
      </w:r>
      <w:r>
        <w:rPr>
          <w:rFonts w:ascii="Twentieth Century" w:cs="Twentieth Century" w:eastAsia="Twentieth Century" w:hAnsi="Twentieth Century"/>
          <w:sz w:val="20"/>
          <w:szCs w:val="20"/>
        </w:rPr>
        <w:t>usia</w:t>
      </w:r>
      <w:r>
        <w:rPr>
          <w:rFonts w:ascii="Twentieth Century" w:cs="Twentieth Century" w:eastAsia="Twentieth Century" w:hAnsi="Twentieth Century"/>
          <w:sz w:val="20"/>
          <w:szCs w:val="20"/>
        </w:rPr>
        <w:t xml:space="preserve"> subur 1, pemilihan alat kontrasepsi 2, pengetahuan 3</w:t>
      </w:r>
      <w:r>
        <w:rPr>
          <w:noProof/>
          <w:lang w:bidi="ar-SA" w:eastAsia="en-US"/>
        </w:rPr>
        <mc:AlternateContent>
          <mc:Choice Requires="wps">
            <w:drawing>
              <wp:anchor distT="0" distB="0" distL="0" distR="0" simplePos="false" relativeHeight="4" behindDoc="false" locked="false" layoutInCell="true" allowOverlap="true">
                <wp:simplePos x="0" y="0"/>
                <wp:positionH relativeFrom="column">
                  <wp:posOffset>0</wp:posOffset>
                </wp:positionH>
                <wp:positionV relativeFrom="paragraph">
                  <wp:posOffset>177800</wp:posOffset>
                </wp:positionV>
                <wp:extent cx="5975985" cy="38100"/>
                <wp:effectExtent l="0" t="0" r="0" b="0"/>
                <wp:wrapNone/>
                <wp:docPr id="1028" name="Straight Arrow Connector 6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75985" cy="38100"/>
                        </a:xfrm>
                        <a:prstGeom prst="straightConnector1"/>
                        <a:ln cmpd="sng" cap="flat" w="19050">
                          <a:solidFill>
                            <a:srgbClr val="000000"/>
                          </a:solidFill>
                          <a:prstDash val="solid"/>
                          <a:round/>
                          <a:headEnd len="sm" w="sm" type="none"/>
                          <a:tailEnd len="sm" w="sm" type="none"/>
                        </a:ln>
                      </wps:spPr>
                      <wps:bodyPr>
                        <a:prstTxWarp prst="textNoShape"/>
                      </wps:bodyPr>
                    </wps:wsp>
                  </a:graphicData>
                </a:graphic>
              </wp:anchor>
            </w:drawing>
          </mc:Choice>
          <mc:Fallback>
            <w:pict>
              <v:shape id="1028" type="#_x0000_t32" filled="f" style="position:absolute;margin-left:0.0pt;margin-top:14.0pt;width:470.55pt;height:3.0pt;z-index:4;mso-position-horizontal-relative:text;mso-position-vertical-relative:text;mso-width-relative:page;mso-height-relative:page;mso-wrap-distance-left:0.0pt;mso-wrap-distance-right:0.0pt;visibility:visible;">
                <v:stroke startarrowwidth="narrow" startarrowlength="short" endarrowwidth="narrow" endarrowlength="short" weight="1.5pt"/>
                <v:fill/>
              </v:shape>
            </w:pict>
          </mc:Fallback>
        </mc:AlternateContent>
      </w:r>
    </w:p>
    <w:p>
      <w:pPr>
        <w:pStyle w:val="style0"/>
        <w:tabs>
          <w:tab w:val="left" w:leader="none" w:pos="426"/>
        </w:tabs>
        <w:spacing w:after="0"/>
        <w:jc w:val="both"/>
        <w:rPr>
          <w:rFonts w:ascii="Twentieth Century" w:cs="Twentieth Century" w:eastAsia="Twentieth Century" w:hAnsi="Twentieth Century"/>
          <w:b/>
          <w:sz w:val="24"/>
          <w:szCs w:val="24"/>
        </w:rPr>
      </w:pPr>
      <w:r>
        <w:rPr>
          <w:rFonts w:ascii="Twentieth Century" w:cs="Twentieth Century" w:eastAsia="Twentieth Century" w:hAnsi="Twentieth Century"/>
          <w:b/>
          <w:sz w:val="24"/>
          <w:szCs w:val="24"/>
        </w:rPr>
        <w:t>PENDAHULUAN</w:t>
      </w:r>
    </w:p>
    <w:p>
      <w:pPr>
        <w:pStyle w:val="style0"/>
        <w:spacing w:after="0" w:lineRule="auto" w:line="240"/>
        <w:ind w:firstLine="567"/>
        <w:jc w:val="both"/>
        <w:rPr>
          <w:rFonts w:ascii="Twentieth Century" w:cs="Times New Roman" w:hAnsi="Twentieth Century" w:hint="eastAsia"/>
          <w:sz w:val="24"/>
          <w:szCs w:val="24"/>
        </w:rPr>
      </w:pPr>
      <w:r>
        <w:rPr>
          <w:rFonts w:ascii="Twentieth Century" w:hAnsi="Twentieth Century"/>
          <w:color w:val="000000"/>
          <w:sz w:val="24"/>
          <w:szCs w:val="24"/>
        </w:rPr>
        <w:t xml:space="preserve">Coronavirus </w:t>
      </w:r>
      <w:r>
        <w:rPr>
          <w:rFonts w:ascii="Twentieth Century" w:hAnsi="Twentieth Century"/>
          <w:sz w:val="24"/>
          <w:szCs w:val="24"/>
        </w:rPr>
        <w:t xml:space="preserve">Disease-19 (COVID-19) merupakan </w:t>
      </w:r>
      <w:r>
        <w:rPr>
          <w:rFonts w:ascii="Twentieth Century" w:cs="Times New Roman" w:hAnsi="Twentieth Century"/>
          <w:color w:val="000000"/>
          <w:sz w:val="24"/>
          <w:szCs w:val="24"/>
        </w:rPr>
        <w:t xml:space="preserve">Pandemi </w:t>
      </w:r>
      <w:r>
        <w:rPr>
          <w:rFonts w:ascii="Twentieth Century" w:cs="Times New Roman" w:hAnsi="Twentieth Century"/>
          <w:sz w:val="24"/>
          <w:szCs w:val="24"/>
        </w:rPr>
        <w:t xml:space="preserve">COVID-19 merupakan virus yang menyebabkan penyakit </w:t>
      </w:r>
      <w:r>
        <w:rPr>
          <w:rFonts w:ascii="Twentieth Century" w:cs="Times New Roman" w:hAnsi="Twentieth Century"/>
          <w:color w:val="000000"/>
          <w:sz w:val="24"/>
          <w:szCs w:val="24"/>
        </w:rPr>
        <w:t>infeksi saluran pernapasan, mulai dari flu biasa hingga penyakit yang serius seperti MERS dan SARS</w:t>
      </w:r>
      <w:r>
        <w:rPr>
          <w:rFonts w:ascii="Twentieth Century" w:cs="Times New Roman" w:hAnsi="Twentieth Century"/>
          <w:sz w:val="24"/>
          <w:szCs w:val="24"/>
        </w:rPr>
        <w:t>.</w:t>
      </w:r>
      <w:r>
        <w:rPr>
          <w:rFonts w:ascii="Twentieth Century" w:cs="Times New Roman" w:hAnsi="Twentieth Century"/>
          <w:sz w:val="24"/>
          <w:szCs w:val="24"/>
        </w:rPr>
        <w:t xml:space="preserve"> </w:t>
      </w:r>
      <w:r>
        <w:rPr>
          <w:rFonts w:ascii="Twentieth Century" w:cs="Times New Roman" w:hAnsi="Twentieth Century"/>
          <w:sz w:val="24"/>
          <w:szCs w:val="24"/>
        </w:rPr>
        <w:t>Pada akhir tahun 2019 WHO menyatakan virus COVID-19 sebagai darurat kesehatan global.</w:t>
      </w:r>
      <w:r>
        <w:rPr>
          <w:rFonts w:ascii="Twentieth Century" w:cs="Times New Roman" w:hAnsi="Twentieth Century"/>
          <w:sz w:val="24"/>
          <w:szCs w:val="24"/>
        </w:rPr>
        <w:t xml:space="preserve"> </w:t>
      </w:r>
      <w:r>
        <w:rPr>
          <w:rFonts w:ascii="Twentieth Century" w:cs="Times New Roman" w:hAnsi="Twentieth Century"/>
          <w:sz w:val="24"/>
          <w:szCs w:val="24"/>
        </w:rPr>
        <w:t xml:space="preserve">Maka dari itu Pemerintah Indonesia mengeluarkan peraturan tentang Pedoman Pembatasan Sosial Berskala Besar (PSBB) dalam rangka percepatan penanganan </w:t>
      </w:r>
      <w:r>
        <w:rPr>
          <w:rFonts w:cs="Times New Roman" w:hAnsi="Twentieth Century"/>
          <w:sz w:val="24"/>
          <w:szCs w:val="24"/>
          <w:lang w:val="en-US"/>
        </w:rPr>
        <w:t>Covid-19.</w:t>
      </w:r>
    </w:p>
    <w:p>
      <w:pPr>
        <w:pStyle w:val="style0"/>
        <w:spacing w:after="0" w:lineRule="auto" w:line="240"/>
        <w:ind w:firstLine="567"/>
        <w:jc w:val="both"/>
        <w:rPr>
          <w:rFonts w:ascii="Twentieth Century" w:hAnsi="Twentieth Century" w:hint="eastAsia"/>
          <w:sz w:val="24"/>
          <w:szCs w:val="24"/>
        </w:rPr>
      </w:pPr>
      <w:r>
        <w:rPr>
          <w:rFonts w:ascii="Twentieth Century" w:cs="Times New Roman" w:hAnsi="Twentieth Century"/>
          <w:sz w:val="24"/>
          <w:szCs w:val="24"/>
        </w:rPr>
        <w:t>Pemberlakuan PSBB sangat berpengaruh terhadap seluruh aspek kegiatan masyarakat di Indonesia termasuk mekanisme pelayanan kesehatan dan berdampak terhadap kelangsungan pelayanan Keluarga Berencana</w:t>
      </w:r>
      <w:r>
        <w:rPr>
          <w:rFonts w:ascii="Twentieth Century" w:cs="Times New Roman" w:hAnsi="Twentieth Century"/>
          <w:sz w:val="24"/>
          <w:szCs w:val="24"/>
          <w:lang w:val="id-ID"/>
        </w:rPr>
        <w:t>.</w:t>
      </w:r>
      <w:r>
        <w:rPr>
          <w:rFonts w:ascii="Twentieth Century" w:cs="Times New Roman" w:hAnsi="Twentieth Century"/>
          <w:sz w:val="24"/>
          <w:szCs w:val="24"/>
        </w:rPr>
        <w:t xml:space="preserve"> </w:t>
      </w:r>
      <w:r>
        <w:rPr>
          <w:rFonts w:ascii="Twentieth Century" w:hAnsi="Twentieth Century"/>
          <w:sz w:val="24"/>
          <w:szCs w:val="24"/>
        </w:rPr>
        <w:t>Secara global, jumlah kasus C</w:t>
      </w:r>
      <w:r>
        <w:rPr>
          <w:rFonts w:ascii="Twentieth Century" w:hAnsi="Twentieth Century"/>
          <w:sz w:val="24"/>
          <w:szCs w:val="24"/>
          <w:lang w:val="id-ID"/>
        </w:rPr>
        <w:t>ovid</w:t>
      </w:r>
      <w:r>
        <w:rPr>
          <w:rFonts w:ascii="Twentieth Century" w:hAnsi="Twentieth Century"/>
          <w:sz w:val="24"/>
          <w:szCs w:val="24"/>
        </w:rPr>
        <w:t>-19 meningkat mencapai 397,996,788 juta kasus</w:t>
      </w:r>
      <w:r>
        <w:rPr>
          <w:rFonts w:ascii="Twentieth Century" w:hAnsi="Twentieth Century"/>
          <w:sz w:val="24"/>
          <w:szCs w:val="24"/>
          <w:lang w:val="id-ID"/>
        </w:rPr>
        <w:t xml:space="preserve"> </w:t>
      </w:r>
      <w:r>
        <w:rPr>
          <w:rFonts w:ascii="Twentieth Century" w:hAnsi="Twentieth Century"/>
          <w:sz w:val="24"/>
          <w:szCs w:val="24"/>
        </w:rPr>
        <w:t xml:space="preserve">pada </w:t>
      </w:r>
      <w:r>
        <w:rPr>
          <w:rFonts w:hAnsi="Twentieth Century"/>
          <w:sz w:val="24"/>
          <w:szCs w:val="24"/>
          <w:lang w:val="en-US"/>
        </w:rPr>
        <w:t>tahun [1]</w:t>
      </w:r>
      <w:r>
        <w:rPr>
          <w:rFonts w:ascii="Twentieth Century" w:hAnsi="Twentieth Century"/>
          <w:sz w:val="24"/>
          <w:szCs w:val="24"/>
        </w:rPr>
        <w:t>.</w:t>
      </w:r>
    </w:p>
    <w:p>
      <w:pPr>
        <w:pStyle w:val="style66"/>
        <w:tabs>
          <w:tab w:val="left" w:leader="none" w:pos="993"/>
        </w:tabs>
        <w:ind w:firstLine="567"/>
        <w:jc w:val="both"/>
        <w:rPr>
          <w:rFonts w:ascii="Twentieth Century" w:hAnsi="Twentieth Century"/>
        </w:rPr>
      </w:pPr>
      <w:r>
        <w:rPr>
          <w:rFonts w:ascii="Twentieth Century" w:hAnsi="Twentieth Century"/>
        </w:rPr>
        <w:t xml:space="preserve">Dampak pelayanan KB di era pandemi Covid-19 mengalami penurunan keikutsertaan layanan diakibatkan oleh terhambatnya pelayanan KB, karena adanya pembatasan kunjungan ke fasilitas kesehatan. Pertumbuhan penduduk Indonesia cenderung meningkat setiap tahunnya, dengan perkiraan jumlah </w:t>
      </w:r>
      <w:r>
        <w:rPr>
          <w:rFonts w:ascii="Twentieth Century" w:hAnsi="Twentieth Century"/>
        </w:rPr>
        <w:t>penduduk</w:t>
      </w:r>
      <w:r>
        <w:rPr>
          <w:rFonts w:ascii="Twentieth Century" w:hAnsi="Twentieth Century"/>
          <w:lang w:val="en-US"/>
        </w:rPr>
        <w:t xml:space="preserve"> </w:t>
      </w:r>
      <w:r>
        <w:rPr>
          <w:rFonts w:ascii="Twentieth Century" w:hAnsi="Twentieth Century"/>
        </w:rPr>
        <w:t>2</w:t>
      </w:r>
      <w:r>
        <w:rPr>
          <w:rFonts w:ascii="Twentieth Century" w:hAnsi="Twentieth Century"/>
          <w:lang w:val="en-US"/>
        </w:rPr>
        <w:t>70</w:t>
      </w:r>
      <w:r>
        <w:rPr>
          <w:rFonts w:ascii="Twentieth Century" w:hAnsi="Twentieth Century"/>
        </w:rPr>
        <w:t>,</w:t>
      </w:r>
      <w:r>
        <w:rPr>
          <w:rFonts w:ascii="Twentieth Century" w:hAnsi="Twentieth Century"/>
          <w:lang w:val="en-US"/>
        </w:rPr>
        <w:t>2</w:t>
      </w:r>
      <w:r>
        <w:rPr>
          <w:rFonts w:ascii="Twentieth Century" w:hAnsi="Twentieth Century"/>
        </w:rPr>
        <w:t xml:space="preserve"> juta </w:t>
      </w:r>
      <w:r>
        <w:rPr>
          <w:rFonts w:hAnsi="Twentieth Century"/>
          <w:lang w:val="en-US"/>
        </w:rPr>
        <w:t xml:space="preserve">orang [2]. </w:t>
      </w:r>
    </w:p>
    <w:p>
      <w:pPr>
        <w:pStyle w:val="style0"/>
        <w:autoSpaceDE w:val="false"/>
        <w:autoSpaceDN w:val="false"/>
        <w:adjustRightInd w:val="false"/>
        <w:spacing w:after="0" w:lineRule="auto" w:line="240"/>
        <w:ind w:firstLine="720"/>
        <w:jc w:val="both"/>
        <w:rPr>
          <w:rFonts w:ascii="Twentieth Century" w:cs="Times New Roman" w:hAnsi="Twentieth Century" w:hint="eastAsia"/>
          <w:sz w:val="24"/>
          <w:szCs w:val="24"/>
        </w:rPr>
      </w:pPr>
      <w:r>
        <w:rPr>
          <w:rFonts w:ascii="Twentieth Century" w:cs="Times New Roman" w:hAnsi="Twentieth Century"/>
          <w:sz w:val="24"/>
          <w:szCs w:val="24"/>
          <w:lang w:val="id-ID"/>
        </w:rPr>
        <w:t xml:space="preserve">Program keluarga berencana merupakan salah satu upaya mengendalikan angka kelahiran, KB juga bertujuan untuk meningkatkan kualitas agar dapat timbul rasa aman, tentram dan harapan masa depan yang lebih baik dalam mewujudkan kesejahteraan lahir dan kebahagiaan </w:t>
      </w:r>
      <w:r>
        <w:rPr>
          <w:rFonts w:cs="Times New Roman" w:hAnsi="Twentieth Century"/>
          <w:sz w:val="24"/>
          <w:szCs w:val="24"/>
          <w:lang w:val="en-US"/>
        </w:rPr>
        <w:t xml:space="preserve">batin [3]. </w:t>
      </w:r>
    </w:p>
    <w:p>
      <w:pPr>
        <w:pStyle w:val="style0"/>
        <w:autoSpaceDE w:val="false"/>
        <w:autoSpaceDN w:val="false"/>
        <w:adjustRightInd w:val="false"/>
        <w:spacing w:after="0" w:lineRule="auto" w:line="240"/>
        <w:ind w:firstLine="720"/>
        <w:jc w:val="both"/>
        <w:rPr>
          <w:rFonts w:ascii="Twentieth Century" w:cs="Times New Roman" w:hAnsi="Twentieth Century" w:hint="eastAsia"/>
          <w:sz w:val="24"/>
          <w:szCs w:val="24"/>
        </w:rPr>
      </w:pPr>
      <w:r>
        <w:rPr>
          <w:rFonts w:ascii="Twentieth Century" w:cs="Times New Roman" w:hAnsi="Twentieth Century"/>
          <w:sz w:val="24"/>
          <w:szCs w:val="24"/>
        </w:rPr>
        <w:t>Prevalensi kondisi akseptor KB saat pandemi Covid-19 menyebabkan kebutuhan ber-KB pasangan usia subur yang tidak terlayani (</w:t>
      </w:r>
      <w:r>
        <w:rPr>
          <w:rFonts w:ascii="Twentieth Century" w:cs="Times New Roman" w:hAnsi="Twentieth Century"/>
          <w:i/>
          <w:iCs/>
          <w:sz w:val="24"/>
          <w:szCs w:val="24"/>
        </w:rPr>
        <w:t>unmet need</w:t>
      </w:r>
      <w:r>
        <w:rPr>
          <w:rFonts w:ascii="Twentieth Century" w:cs="Times New Roman" w:hAnsi="Twentieth Century"/>
          <w:sz w:val="24"/>
          <w:szCs w:val="24"/>
        </w:rPr>
        <w:t>) tetap tinggi (13</w:t>
      </w:r>
      <w:r>
        <w:rPr>
          <w:rFonts w:ascii="Twentieth Century" w:cs="Times New Roman" w:hAnsi="Twentieth Century"/>
          <w:sz w:val="24"/>
          <w:szCs w:val="24"/>
        </w:rPr>
        <w:t>,4</w:t>
      </w:r>
      <w:r>
        <w:rPr>
          <w:rFonts w:ascii="Twentieth Century" w:cs="Times New Roman" w:hAnsi="Twentieth Century"/>
          <w:sz w:val="24"/>
          <w:szCs w:val="24"/>
        </w:rPr>
        <w:t>%) sementara pemakaian kontrasepsi modern 57,9%.</w:t>
      </w:r>
      <w:r>
        <w:rPr>
          <w:rFonts w:ascii="Twentieth Century" w:cs="Times New Roman" w:hAnsi="Twentieth Century"/>
          <w:sz w:val="24"/>
          <w:szCs w:val="24"/>
        </w:rPr>
        <w:t xml:space="preserve"> </w:t>
      </w:r>
      <w:r>
        <w:rPr>
          <w:rFonts w:ascii="Twentieth Century" w:cs="Times New Roman" w:hAnsi="Twentieth Century"/>
          <w:sz w:val="24"/>
          <w:szCs w:val="24"/>
        </w:rPr>
        <w:t xml:space="preserve">Berdasarkan data dari </w:t>
      </w:r>
      <w:r>
        <w:rPr>
          <w:rFonts w:ascii="Twentieth Century" w:cs="Times New Roman" w:hAnsi="Twentieth Century"/>
          <w:color w:val="000000"/>
          <w:sz w:val="24"/>
          <w:szCs w:val="24"/>
        </w:rPr>
        <w:t>Dinas Pengendalian Penduduk dan Keluarga</w:t>
      </w:r>
      <w:r>
        <w:rPr>
          <w:rFonts w:ascii="Twentieth Century" w:cs="Times New Roman" w:hAnsi="Twentieth Century"/>
          <w:color w:val="000000"/>
          <w:sz w:val="24"/>
          <w:szCs w:val="24"/>
        </w:rPr>
        <w:t xml:space="preserve"> </w:t>
      </w:r>
      <w:r>
        <w:rPr>
          <w:rFonts w:ascii="Twentieth Century" w:cs="Times New Roman" w:hAnsi="Twentieth Century"/>
          <w:color w:val="000000"/>
          <w:sz w:val="24"/>
          <w:szCs w:val="24"/>
        </w:rPr>
        <w:t>Berencana Kota Surakarta, jumlah PUS tahun 2020 sebanyak 61.048, dari</w:t>
      </w:r>
      <w:r>
        <w:rPr>
          <w:rFonts w:ascii="Twentieth Century" w:cs="Times New Roman" w:hAnsi="Twentieth Century"/>
          <w:color w:val="000000"/>
          <w:sz w:val="24"/>
          <w:szCs w:val="24"/>
        </w:rPr>
        <w:t xml:space="preserve"> </w:t>
      </w:r>
      <w:r>
        <w:rPr>
          <w:rFonts w:ascii="Twentieth Century" w:cs="Times New Roman" w:hAnsi="Twentieth Century"/>
          <w:color w:val="000000"/>
          <w:sz w:val="24"/>
          <w:szCs w:val="24"/>
        </w:rPr>
        <w:t xml:space="preserve">jumlah PUS yang ada, 70,89% telah menjadi peserta KB aktif. </w:t>
      </w:r>
    </w:p>
    <w:p>
      <w:pPr>
        <w:pStyle w:val="style0"/>
        <w:autoSpaceDE w:val="false"/>
        <w:autoSpaceDN w:val="false"/>
        <w:adjustRightInd w:val="false"/>
        <w:spacing w:after="0" w:lineRule="auto" w:line="240"/>
        <w:ind w:firstLine="720"/>
        <w:jc w:val="both"/>
        <w:rPr>
          <w:rFonts w:ascii="Twentieth Century" w:cs="Times New Roman" w:hAnsi="Twentieth Century" w:hint="eastAsia"/>
          <w:sz w:val="24"/>
          <w:szCs w:val="24"/>
        </w:rPr>
      </w:pPr>
      <w:r>
        <w:rPr>
          <w:rFonts w:ascii="Twentieth Century" w:cs="Times New Roman" w:hAnsi="Twentieth Century"/>
          <w:sz w:val="24"/>
          <w:szCs w:val="24"/>
        </w:rPr>
        <w:t xml:space="preserve">Dibuktikan juga dengan </w:t>
      </w:r>
      <w:r>
        <w:rPr>
          <w:rFonts w:ascii="Twentieth Century" w:cs="Times New Roman" w:hAnsi="Twentieth Century"/>
          <w:color w:val="000000"/>
          <w:sz w:val="24"/>
          <w:szCs w:val="24"/>
        </w:rPr>
        <w:t xml:space="preserve">hasil data dari puskesmas Gilingan, didapatkan pengguna kontrasepsi hormonal lebih banyak dibandingkan dengan pengguna </w:t>
      </w:r>
      <w:r>
        <w:rPr>
          <w:rFonts w:ascii="Twentieth Century" w:cs="Times New Roman" w:hAnsi="Twentieth Century"/>
          <w:color w:val="000000"/>
          <w:sz w:val="24"/>
          <w:szCs w:val="24"/>
        </w:rPr>
        <w:t>kontrasepsi  non</w:t>
      </w:r>
      <w:r>
        <w:rPr>
          <w:rFonts w:ascii="Twentieth Century" w:cs="Times New Roman" w:hAnsi="Twentieth Century"/>
          <w:color w:val="000000"/>
          <w:sz w:val="24"/>
          <w:szCs w:val="24"/>
        </w:rPr>
        <w:t xml:space="preserve">  hormonal</w:t>
      </w:r>
      <w:r>
        <w:rPr>
          <w:rFonts w:ascii="Twentieth Century" w:cs="Times New Roman" w:hAnsi="Twentieth Century"/>
          <w:color w:val="000000"/>
          <w:sz w:val="24"/>
          <w:szCs w:val="24"/>
        </w:rPr>
        <w:t>.</w:t>
      </w:r>
      <w:r>
        <w:rPr>
          <w:rFonts w:ascii="Twentieth Century" w:cs="Times New Roman" w:hAnsi="Twentieth Century"/>
          <w:color w:val="000000"/>
          <w:sz w:val="24"/>
          <w:szCs w:val="24"/>
        </w:rPr>
        <w:t xml:space="preserve"> Data yang didapatkan </w:t>
      </w:r>
      <w:r>
        <w:rPr>
          <w:rFonts w:ascii="Twentieth Century" w:cs="Times New Roman" w:hAnsi="Twentieth Century"/>
          <w:color w:val="000000"/>
          <w:sz w:val="24"/>
          <w:szCs w:val="24"/>
        </w:rPr>
        <w:t>pada Puskesmas Gilingan</w:t>
      </w:r>
      <w:r>
        <w:rPr>
          <w:rFonts w:ascii="Twentieth Century" w:cs="Times New Roman" w:hAnsi="Twentieth Century"/>
          <w:color w:val="000000"/>
          <w:sz w:val="24"/>
          <w:szCs w:val="24"/>
        </w:rPr>
        <w:t xml:space="preserve"> tahun 20</w:t>
      </w:r>
      <w:r>
        <w:rPr>
          <w:rFonts w:ascii="Twentieth Century" w:cs="Times New Roman" w:hAnsi="Twentieth Century"/>
          <w:color w:val="000000"/>
          <w:sz w:val="24"/>
          <w:szCs w:val="24"/>
        </w:rPr>
        <w:t>22</w:t>
      </w:r>
      <w:r>
        <w:rPr>
          <w:rFonts w:ascii="Twentieth Century" w:cs="Times New Roman" w:hAnsi="Twentieth Century"/>
          <w:color w:val="000000"/>
          <w:sz w:val="24"/>
          <w:szCs w:val="24"/>
        </w:rPr>
        <w:t xml:space="preserve"> yang menunjukan bahwa sebanyak 53%  pengguna kontrasepsi hormonal, sedangkan pengguna kontrasepsi non hormonal hanya 47%.</w:t>
      </w:r>
    </w:p>
    <w:p>
      <w:pPr>
        <w:pStyle w:val="style0"/>
        <w:spacing w:after="0" w:lineRule="auto" w:line="240"/>
        <w:ind w:firstLine="720"/>
        <w:jc w:val="both"/>
        <w:rPr>
          <w:rFonts w:ascii="Twentieth Century" w:cs="Twentieth Century" w:eastAsia="Twentieth Century" w:hAnsi="Twentieth Century"/>
          <w:color w:val="000000"/>
          <w:sz w:val="24"/>
          <w:szCs w:val="24"/>
        </w:rPr>
      </w:pPr>
      <w:r>
        <w:rPr>
          <w:rFonts w:ascii="Twentieth Century" w:cs="Times New Roman" w:hAnsi="Twentieth Century"/>
          <w:color w:val="000000"/>
          <w:sz w:val="24"/>
          <w:szCs w:val="24"/>
        </w:rPr>
        <w:t xml:space="preserve">Berdasarkan studi pendahuluan pada maret 2022 melakukan wawancara dengan 5 akseptor KB, 2 akseptor merasa lebih nyaman dan aman menggunakan </w:t>
      </w:r>
      <w:r>
        <w:rPr>
          <w:rFonts w:ascii="Twentieth Century" w:cs="Times New Roman" w:hAnsi="Twentieth Century"/>
          <w:color w:val="000000"/>
          <w:sz w:val="24"/>
          <w:szCs w:val="24"/>
        </w:rPr>
        <w:t>KB hormonal</w:t>
      </w:r>
      <w:r>
        <w:rPr>
          <w:rFonts w:ascii="Twentieth Century" w:cs="Times New Roman" w:hAnsi="Twentieth Century"/>
          <w:color w:val="000000"/>
          <w:sz w:val="24"/>
          <w:szCs w:val="24"/>
        </w:rPr>
        <w:t xml:space="preserve"> karena dari pengetahuan yang ibu dapatkan bahwa kb hormonal lebih efektif mencegah kehamilan</w:t>
      </w:r>
      <w:r>
        <w:rPr>
          <w:rFonts w:ascii="Twentieth Century" w:cs="Times New Roman" w:hAnsi="Twentieth Century"/>
          <w:color w:val="000000"/>
          <w:sz w:val="24"/>
          <w:szCs w:val="24"/>
        </w:rPr>
        <w:t xml:space="preserve"> </w:t>
      </w:r>
      <w:r>
        <w:rPr>
          <w:rFonts w:ascii="Twentieth Century" w:cs="Times New Roman" w:hAnsi="Twentieth Century"/>
          <w:color w:val="000000"/>
          <w:sz w:val="24"/>
          <w:szCs w:val="24"/>
        </w:rPr>
        <w:t xml:space="preserve">dan 3 akseptor lainnya lebih memilih kontrasepsi yang berjangka pendek seperti pil atau suntik </w:t>
      </w:r>
      <w:r>
        <w:rPr>
          <w:rFonts w:ascii="Twentieth Century" w:cs="Times New Roman" w:hAnsi="Twentieth Century"/>
          <w:color w:val="000000"/>
          <w:sz w:val="24"/>
          <w:szCs w:val="24"/>
        </w:rPr>
        <w:t>atau KB non hormonal</w:t>
      </w:r>
      <w:r>
        <w:rPr>
          <w:rFonts w:ascii="Twentieth Century" w:cs="Times New Roman" w:hAnsi="Twentieth Century"/>
          <w:color w:val="000000"/>
          <w:sz w:val="24"/>
          <w:szCs w:val="24"/>
        </w:rPr>
        <w:t>.</w:t>
      </w:r>
    </w:p>
    <w:p>
      <w:pPr>
        <w:pStyle w:val="style0"/>
        <w:spacing w:after="0" w:lineRule="auto" w:line="240"/>
        <w:jc w:val="both"/>
        <w:rPr>
          <w:rFonts w:ascii="Twentieth Century" w:cs="Twentieth Century" w:eastAsia="Twentieth Century" w:hAnsi="Twentieth Century"/>
          <w:color w:val="000000"/>
          <w:sz w:val="24"/>
          <w:szCs w:val="24"/>
        </w:rPr>
      </w:pPr>
    </w:p>
    <w:p>
      <w:pPr>
        <w:pStyle w:val="style0"/>
        <w:spacing w:after="0" w:lineRule="auto" w:line="240"/>
        <w:jc w:val="both"/>
        <w:rPr>
          <w:rFonts w:ascii="Twentieth Century" w:cs="Twentieth Century" w:eastAsia="Twentieth Century" w:hAnsi="Twentieth Century"/>
          <w:b/>
          <w:sz w:val="24"/>
          <w:szCs w:val="24"/>
        </w:rPr>
      </w:pPr>
      <w:r>
        <w:rPr>
          <w:rFonts w:ascii="Twentieth Century" w:cs="Twentieth Century" w:eastAsia="Twentieth Century" w:hAnsi="Twentieth Century"/>
          <w:b/>
          <w:sz w:val="24"/>
          <w:szCs w:val="24"/>
        </w:rPr>
        <w:t xml:space="preserve">METODE </w:t>
      </w:r>
    </w:p>
    <w:p>
      <w:pPr>
        <w:pStyle w:val="style0"/>
        <w:spacing w:after="0" w:lineRule="auto" w:line="240"/>
        <w:ind w:firstLine="720"/>
        <w:jc w:val="both"/>
        <w:rPr>
          <w:rFonts w:ascii="Twentieth Century" w:cs="Times New Roman" w:hAnsi="Twentieth Century" w:hint="eastAsia"/>
          <w:sz w:val="24"/>
          <w:szCs w:val="24"/>
        </w:rPr>
      </w:pPr>
      <w:r>
        <w:rPr>
          <w:rFonts w:ascii="Twentieth Century" w:cs="Times New Roman" w:hAnsi="Twentieth Century"/>
          <w:sz w:val="24"/>
          <w:szCs w:val="24"/>
        </w:rPr>
        <w:t>Jenis penelitian yang di gunakan adalah Deskriptif yang bertujuan untuk</w:t>
      </w:r>
      <w:r>
        <w:rPr>
          <w:rFonts w:ascii="Twentieth Century" w:cs="Times New Roman" w:hAnsi="Twentieth Century"/>
          <w:sz w:val="24"/>
          <w:szCs w:val="24"/>
        </w:rPr>
        <w:t xml:space="preserve"> </w:t>
      </w:r>
      <w:r>
        <w:rPr>
          <w:rFonts w:ascii="Twentieth Century" w:hAnsi="Twentieth Century"/>
          <w:sz w:val="24"/>
          <w:szCs w:val="24"/>
        </w:rPr>
        <w:t>mendeskripsikan vari</w:t>
      </w:r>
      <w:r>
        <w:rPr>
          <w:rFonts w:ascii="Twentieth Century" w:hAnsi="Twentieth Century"/>
          <w:sz w:val="24"/>
          <w:szCs w:val="24"/>
        </w:rPr>
        <w:t xml:space="preserve">able yaitu gambaran pengetahuan </w:t>
      </w:r>
      <w:r>
        <w:rPr>
          <w:rFonts w:ascii="Twentieth Century" w:hAnsi="Twentieth Century"/>
          <w:sz w:val="24"/>
          <w:szCs w:val="24"/>
        </w:rPr>
        <w:t xml:space="preserve">dan pemilihan alat kontrasepsi pada pasangan </w:t>
      </w:r>
      <w:r>
        <w:rPr>
          <w:rFonts w:ascii="Twentieth Century" w:hAnsi="Twentieth Century"/>
          <w:sz w:val="24"/>
          <w:szCs w:val="24"/>
        </w:rPr>
        <w:t>usia</w:t>
      </w:r>
      <w:r>
        <w:rPr>
          <w:rFonts w:ascii="Twentieth Century" w:hAnsi="Twentieth Century"/>
          <w:sz w:val="24"/>
          <w:szCs w:val="24"/>
        </w:rPr>
        <w:t xml:space="preserve"> subur selama masa pandemi Covid-19 Di Puskesmas Gilingan</w:t>
      </w:r>
      <w:r>
        <w:rPr>
          <w:rFonts w:ascii="Twentieth Century" w:cs="Times New Roman" w:hAnsi="Twentieth Century"/>
          <w:sz w:val="24"/>
          <w:szCs w:val="24"/>
        </w:rPr>
        <w:t xml:space="preserve">. </w:t>
      </w:r>
      <w:r>
        <w:rPr>
          <w:rFonts w:ascii="Twentieth Century" w:cs="Times New Roman" w:hAnsi="Twentieth Century"/>
          <w:sz w:val="24"/>
          <w:szCs w:val="24"/>
        </w:rPr>
        <w:t>Pada penelitian ini menggunakan rancangan</w:t>
      </w:r>
      <w:r>
        <w:rPr>
          <w:rFonts w:ascii="Twentieth Century" w:cs="Times New Roman" w:hAnsi="Twentieth Century"/>
          <w:sz w:val="24"/>
          <w:szCs w:val="24"/>
        </w:rPr>
        <w:t xml:space="preserve"> </w:t>
      </w:r>
      <w:r>
        <w:rPr>
          <w:rFonts w:ascii="Twentieth Century" w:hAnsi="Twentieth Century"/>
          <w:i/>
          <w:sz w:val="24"/>
          <w:szCs w:val="24"/>
        </w:rPr>
        <w:t>Retrospektif</w:t>
      </w:r>
      <w:r>
        <w:rPr>
          <w:rFonts w:ascii="Twentieth Century" w:cs="Times New Roman" w:hAnsi="Twentieth Century"/>
          <w:sz w:val="24"/>
          <w:szCs w:val="24"/>
        </w:rPr>
        <w:t xml:space="preserve"> </w:t>
      </w:r>
      <w:r>
        <w:rPr>
          <w:rFonts w:ascii="Twentieth Century" w:cs="Times New Roman" w:hAnsi="Twentieth Century"/>
          <w:sz w:val="24"/>
          <w:szCs w:val="24"/>
        </w:rPr>
        <w:t>untuk</w:t>
      </w:r>
      <w:r>
        <w:rPr>
          <w:rFonts w:ascii="Twentieth Century" w:cs="Times New Roman" w:hAnsi="Twentieth Century"/>
          <w:sz w:val="24"/>
          <w:szCs w:val="24"/>
        </w:rPr>
        <w:t xml:space="preserve"> </w:t>
      </w:r>
      <w:r>
        <w:rPr>
          <w:rFonts w:ascii="Twentieth Century" w:hAnsi="Twentieth Century"/>
          <w:sz w:val="24"/>
          <w:szCs w:val="24"/>
        </w:rPr>
        <w:t>membuat</w:t>
      </w:r>
      <w:r>
        <w:rPr>
          <w:rFonts w:ascii="Twentieth Century" w:hAnsi="Twentieth Century"/>
          <w:spacing w:val="1"/>
          <w:sz w:val="24"/>
          <w:szCs w:val="24"/>
        </w:rPr>
        <w:t xml:space="preserve"> </w:t>
      </w:r>
      <w:r>
        <w:rPr>
          <w:rFonts w:ascii="Twentieth Century" w:hAnsi="Twentieth Century"/>
          <w:sz w:val="24"/>
          <w:szCs w:val="24"/>
        </w:rPr>
        <w:t>gambaran</w:t>
      </w:r>
      <w:r>
        <w:rPr>
          <w:rFonts w:ascii="Twentieth Century" w:hAnsi="Twentieth Century"/>
          <w:spacing w:val="1"/>
          <w:sz w:val="24"/>
          <w:szCs w:val="24"/>
        </w:rPr>
        <w:t xml:space="preserve"> </w:t>
      </w:r>
      <w:r>
        <w:rPr>
          <w:rFonts w:ascii="Twentieth Century" w:hAnsi="Twentieth Century"/>
          <w:sz w:val="24"/>
          <w:szCs w:val="24"/>
        </w:rPr>
        <w:t>atau</w:t>
      </w:r>
      <w:r>
        <w:rPr>
          <w:rFonts w:ascii="Twentieth Century" w:hAnsi="Twentieth Century"/>
          <w:spacing w:val="1"/>
          <w:sz w:val="24"/>
          <w:szCs w:val="24"/>
        </w:rPr>
        <w:t xml:space="preserve"> </w:t>
      </w:r>
      <w:r>
        <w:rPr>
          <w:rFonts w:ascii="Twentieth Century" w:hAnsi="Twentieth Century"/>
          <w:sz w:val="24"/>
          <w:szCs w:val="24"/>
        </w:rPr>
        <w:t>deskripsi tentang suatu keadaan secara objektif dengan melihat kebelakang</w:t>
      </w:r>
      <w:r>
        <w:rPr>
          <w:rFonts w:ascii="Twentieth Century" w:cs="Times New Roman" w:hAnsi="Twentieth Century"/>
          <w:sz w:val="24"/>
          <w:szCs w:val="24"/>
        </w:rPr>
        <w:t>.</w:t>
      </w:r>
      <w:r>
        <w:rPr>
          <w:rFonts w:ascii="Twentieth Century" w:cs="Times New Roman" w:hAnsi="Twentieth Century"/>
          <w:sz w:val="24"/>
          <w:szCs w:val="24"/>
        </w:rPr>
        <w:t xml:space="preserve"> </w:t>
      </w:r>
      <w:r>
        <w:rPr>
          <w:rFonts w:ascii="Twentieth Century" w:cs="Times New Roman" w:hAnsi="Twentieth Century"/>
          <w:sz w:val="24"/>
          <w:szCs w:val="24"/>
        </w:rPr>
        <w:t>Tehnik</w:t>
      </w:r>
      <w:r>
        <w:rPr>
          <w:rFonts w:ascii="Twentieth Century" w:cs="Times New Roman" w:hAnsi="Twentieth Century"/>
          <w:sz w:val="24"/>
          <w:szCs w:val="24"/>
        </w:rPr>
        <w:t xml:space="preserve"> pengambilan sempel mengunakan </w:t>
      </w:r>
      <w:r>
        <w:rPr>
          <w:rFonts w:ascii="Twentieth Century" w:cs="Times New Roman" w:hAnsi="Twentieth Century"/>
          <w:sz w:val="24"/>
          <w:szCs w:val="24"/>
        </w:rPr>
        <w:t>teh</w:t>
      </w:r>
      <w:r>
        <w:rPr>
          <w:rFonts w:ascii="Twentieth Century" w:cs="Times New Roman" w:hAnsi="Twentieth Century"/>
          <w:sz w:val="24"/>
          <w:szCs w:val="24"/>
        </w:rPr>
        <w:t>nik random sampling</w:t>
      </w:r>
      <w:r>
        <w:rPr>
          <w:rFonts w:ascii="Twentieth Century" w:cs="Times New Roman" w:hAnsi="Twentieth Century"/>
          <w:color w:val="202124"/>
          <w:sz w:val="24"/>
          <w:szCs w:val="24"/>
          <w:shd w:val="clear" w:color="auto" w:fill="ffffff"/>
        </w:rPr>
        <w:t>.</w:t>
      </w:r>
      <w:r>
        <w:rPr>
          <w:rFonts w:ascii="Twentieth Century" w:cs="Times New Roman" w:hAnsi="Twentieth Century"/>
          <w:color w:val="202124"/>
          <w:sz w:val="24"/>
          <w:szCs w:val="24"/>
          <w:shd w:val="clear" w:color="auto" w:fill="ffffff"/>
        </w:rPr>
        <w:t xml:space="preserve"> </w:t>
      </w:r>
      <w:r>
        <w:rPr>
          <w:rFonts w:ascii="Twentieth Century" w:cs="Times New Roman" w:hAnsi="Twentieth Century"/>
          <w:sz w:val="24"/>
          <w:szCs w:val="24"/>
        </w:rPr>
        <w:t xml:space="preserve">Penelitian ini di lakukan di </w:t>
      </w:r>
      <w:r>
        <w:rPr>
          <w:rFonts w:ascii="Twentieth Century" w:cs="Times New Roman" w:hAnsi="Twentieth Century"/>
          <w:sz w:val="24"/>
          <w:szCs w:val="24"/>
        </w:rPr>
        <w:t>Puskesmas Gilingan</w:t>
      </w:r>
      <w:r>
        <w:rPr>
          <w:rFonts w:ascii="Twentieth Century" w:cs="Times New Roman" w:hAnsi="Twentieth Century"/>
          <w:sz w:val="24"/>
          <w:szCs w:val="24"/>
        </w:rPr>
        <w:t xml:space="preserve"> dengan sempel </w:t>
      </w:r>
      <w:r>
        <w:rPr>
          <w:rFonts w:ascii="Twentieth Century" w:cs="Times New Roman" w:hAnsi="Twentieth Century"/>
          <w:sz w:val="24"/>
          <w:szCs w:val="24"/>
        </w:rPr>
        <w:t>92</w:t>
      </w:r>
      <w:r>
        <w:rPr>
          <w:rFonts w:ascii="Twentieth Century" w:cs="Times New Roman" w:hAnsi="Twentieth Century"/>
          <w:sz w:val="24"/>
          <w:szCs w:val="24"/>
        </w:rPr>
        <w:t xml:space="preserve"> </w:t>
      </w:r>
      <w:r>
        <w:rPr>
          <w:rFonts w:ascii="Twentieth Century" w:cs="Times New Roman" w:hAnsi="Twentieth Century"/>
          <w:sz w:val="24"/>
          <w:szCs w:val="24"/>
        </w:rPr>
        <w:t>responden</w:t>
      </w:r>
      <w:r>
        <w:rPr>
          <w:rFonts w:ascii="Twentieth Century" w:cs="Times New Roman" w:hAnsi="Twentieth Century"/>
          <w:sz w:val="24"/>
          <w:szCs w:val="24"/>
        </w:rPr>
        <w:t>.</w:t>
      </w:r>
      <w:r>
        <w:rPr>
          <w:rFonts w:ascii="Twentieth Century" w:cs="Times New Roman" w:hAnsi="Twentieth Century"/>
          <w:sz w:val="24"/>
          <w:szCs w:val="24"/>
        </w:rPr>
        <w:t xml:space="preserve"> </w:t>
      </w:r>
      <w:r>
        <w:rPr>
          <w:rFonts w:ascii="Twentieth Century" w:cs="Times New Roman" w:hAnsi="Twentieth Century"/>
          <w:sz w:val="24"/>
          <w:szCs w:val="24"/>
        </w:rPr>
        <w:t>Instrumen penelitian ini menggunakan kusioner.</w:t>
      </w:r>
      <w:r>
        <w:rPr>
          <w:rFonts w:ascii="Twentieth Century" w:cs="Times New Roman" w:hAnsi="Twentieth Century"/>
          <w:sz w:val="24"/>
          <w:szCs w:val="24"/>
        </w:rPr>
        <w:t xml:space="preserve"> </w:t>
      </w:r>
      <w:r>
        <w:rPr>
          <w:rFonts w:ascii="Twentieth Century" w:cs="Times New Roman" w:hAnsi="Twentieth Century"/>
          <w:sz w:val="24"/>
          <w:szCs w:val="24"/>
        </w:rPr>
        <w:t>Analisa data menggunakan analisa univariat.</w:t>
      </w:r>
    </w:p>
    <w:p>
      <w:pPr>
        <w:pStyle w:val="style0"/>
        <w:tabs>
          <w:tab w:val="left" w:leader="none" w:pos="426"/>
        </w:tabs>
        <w:spacing w:after="0" w:lineRule="auto" w:line="240"/>
        <w:jc w:val="both"/>
        <w:rPr>
          <w:rFonts w:ascii="Twentieth Century" w:cs="Twentieth Century" w:eastAsia="Twentieth Century" w:hAnsi="Twentieth Century"/>
          <w:sz w:val="24"/>
          <w:szCs w:val="24"/>
        </w:rPr>
      </w:pPr>
    </w:p>
    <w:p>
      <w:pPr>
        <w:pStyle w:val="style0"/>
        <w:tabs>
          <w:tab w:val="left" w:leader="none" w:pos="426"/>
        </w:tabs>
        <w:spacing w:after="0" w:lineRule="auto" w:line="240"/>
        <w:jc w:val="both"/>
        <w:rPr>
          <w:rFonts w:ascii="Twentieth Century" w:cs="Twentieth Century" w:eastAsia="Twentieth Century" w:hAnsi="Twentieth Century"/>
          <w:b/>
          <w:sz w:val="24"/>
          <w:szCs w:val="24"/>
        </w:rPr>
      </w:pPr>
      <w:r>
        <w:rPr>
          <w:rFonts w:ascii="Twentieth Century" w:cs="Twentieth Century" w:eastAsia="Twentieth Century" w:hAnsi="Twentieth Century"/>
          <w:b/>
          <w:sz w:val="24"/>
          <w:szCs w:val="24"/>
        </w:rPr>
        <w:t>HASIL DAN PEMBAHASAN</w:t>
      </w:r>
    </w:p>
    <w:p>
      <w:pPr>
        <w:pStyle w:val="style0"/>
        <w:tabs>
          <w:tab w:val="left" w:leader="none" w:pos="426"/>
        </w:tabs>
        <w:spacing w:after="0" w:lineRule="auto" w:line="240"/>
        <w:jc w:val="both"/>
        <w:rPr>
          <w:rFonts w:ascii="Twentieth Century" w:cs="Twentieth Century" w:eastAsia="Twentieth Century" w:hAnsi="Twentieth Century"/>
          <w:sz w:val="24"/>
          <w:szCs w:val="24"/>
        </w:rPr>
      </w:pPr>
      <w:r>
        <w:rPr>
          <w:rFonts w:ascii="Twentieth Century" w:cs="Twentieth Century" w:eastAsia="Twentieth Century" w:hAnsi="Twentieth Century"/>
          <w:sz w:val="24"/>
          <w:szCs w:val="24"/>
        </w:rPr>
        <w:t>Hasil penelitian ini menggunakan analisa univariat</w:t>
      </w:r>
      <w:r>
        <w:rPr>
          <w:rFonts w:ascii="Twentieth Century" w:cs="Twentieth Century" w:eastAsia="Twentieth Century" w:hAnsi="Twentieth Century"/>
          <w:sz w:val="24"/>
          <w:szCs w:val="24"/>
        </w:rPr>
        <w:t>.</w:t>
      </w:r>
    </w:p>
    <w:p>
      <w:pPr>
        <w:pStyle w:val="style179"/>
        <w:numPr>
          <w:ilvl w:val="0"/>
          <w:numId w:val="1"/>
        </w:numPr>
        <w:spacing w:lineRule="auto" w:line="240"/>
        <w:ind w:left="426"/>
        <w:jc w:val="both"/>
        <w:rPr>
          <w:rFonts w:ascii="Twentieth Century" w:hAnsi="Twentieth Century"/>
          <w:b/>
          <w:sz w:val="24"/>
          <w:szCs w:val="24"/>
        </w:rPr>
      </w:pPr>
      <w:r>
        <w:rPr>
          <w:rFonts w:ascii="Twentieth Century" w:hAnsi="Twentieth Century"/>
          <w:b/>
          <w:sz w:val="24"/>
          <w:szCs w:val="24"/>
        </w:rPr>
        <w:t>Karakteristik responden</w:t>
      </w:r>
    </w:p>
    <w:p>
      <w:pPr>
        <w:pStyle w:val="style179"/>
        <w:numPr>
          <w:ilvl w:val="0"/>
          <w:numId w:val="2"/>
        </w:numPr>
        <w:spacing w:lineRule="auto" w:line="240"/>
        <w:jc w:val="both"/>
        <w:rPr>
          <w:rFonts w:ascii="Twentieth Century" w:hAnsi="Twentieth Century"/>
          <w:sz w:val="24"/>
          <w:szCs w:val="24"/>
        </w:rPr>
      </w:pPr>
      <w:r>
        <w:rPr>
          <w:rFonts w:ascii="Twentieth Century" w:hAnsi="Twentieth Century"/>
          <w:sz w:val="24"/>
          <w:szCs w:val="24"/>
        </w:rPr>
        <w:t xml:space="preserve">Distribus </w:t>
      </w:r>
      <w:r>
        <w:rPr>
          <w:rFonts w:ascii="Twentieth Century" w:hAnsi="Twentieth Century"/>
          <w:sz w:val="24"/>
          <w:szCs w:val="24"/>
          <w:lang w:val="en-US"/>
        </w:rPr>
        <w:t>F</w:t>
      </w:r>
      <w:r>
        <w:rPr>
          <w:rFonts w:ascii="Twentieth Century" w:hAnsi="Twentieth Century"/>
          <w:sz w:val="24"/>
          <w:szCs w:val="24"/>
        </w:rPr>
        <w:t xml:space="preserve">rekuensi </w:t>
      </w:r>
      <w:r>
        <w:rPr>
          <w:rFonts w:ascii="Twentieth Century" w:hAnsi="Twentieth Century"/>
          <w:sz w:val="24"/>
          <w:szCs w:val="24"/>
          <w:lang w:val="en-US"/>
        </w:rPr>
        <w:t>B</w:t>
      </w:r>
      <w:r>
        <w:rPr>
          <w:rFonts w:ascii="Twentieth Century" w:hAnsi="Twentieth Century"/>
          <w:sz w:val="24"/>
          <w:szCs w:val="24"/>
        </w:rPr>
        <w:t xml:space="preserve">erdasarkan </w:t>
      </w:r>
      <w:r>
        <w:rPr>
          <w:rFonts w:ascii="Twentieth Century" w:hAnsi="Twentieth Century"/>
          <w:sz w:val="24"/>
          <w:szCs w:val="24"/>
          <w:lang w:val="en-US"/>
        </w:rPr>
        <w:t>U</w:t>
      </w:r>
      <w:r>
        <w:rPr>
          <w:rFonts w:ascii="Twentieth Century" w:hAnsi="Twentieth Century"/>
          <w:sz w:val="24"/>
          <w:szCs w:val="24"/>
        </w:rPr>
        <w:t xml:space="preserve">sia </w:t>
      </w:r>
      <w:r>
        <w:rPr>
          <w:rFonts w:ascii="Twentieth Century" w:hAnsi="Twentieth Century"/>
          <w:sz w:val="24"/>
          <w:szCs w:val="24"/>
          <w:lang w:val="en-US"/>
        </w:rPr>
        <w:t>R</w:t>
      </w:r>
      <w:r>
        <w:rPr>
          <w:rFonts w:ascii="Twentieth Century" w:hAnsi="Twentieth Century"/>
          <w:sz w:val="24"/>
          <w:szCs w:val="24"/>
        </w:rPr>
        <w:t>esponden</w:t>
      </w:r>
    </w:p>
    <w:p>
      <w:pPr>
        <w:pStyle w:val="style179"/>
        <w:spacing w:lineRule="auto" w:line="240"/>
        <w:ind w:left="1069"/>
        <w:jc w:val="center"/>
        <w:rPr>
          <w:rFonts w:ascii="Twentieth Century" w:hAnsi="Twentieth Century"/>
          <w:b/>
          <w:sz w:val="20"/>
          <w:szCs w:val="20"/>
        </w:rPr>
      </w:pPr>
      <w:r>
        <w:rPr>
          <w:rFonts w:ascii="Twentieth Century" w:hAnsi="Twentieth Century"/>
          <w:b/>
          <w:sz w:val="24"/>
          <w:szCs w:val="24"/>
        </w:rPr>
        <w:t xml:space="preserve">Tabel </w:t>
      </w:r>
      <w:r>
        <w:rPr>
          <w:rFonts w:hAnsi="Twentieth Century"/>
          <w:b/>
          <w:sz w:val="24"/>
          <w:szCs w:val="24"/>
          <w:lang w:val="en-US"/>
        </w:rPr>
        <w:t xml:space="preserve">1. </w:t>
      </w:r>
      <w:r>
        <w:rPr>
          <w:rFonts w:ascii="Twentieth Century" w:hAnsi="Twentieth Century"/>
          <w:b/>
          <w:sz w:val="24"/>
          <w:szCs w:val="24"/>
        </w:rPr>
        <w:t xml:space="preserve">Distribusi </w:t>
      </w:r>
      <w:r>
        <w:rPr>
          <w:rFonts w:ascii="Twentieth Century" w:hAnsi="Twentieth Century"/>
          <w:b/>
          <w:sz w:val="20"/>
          <w:szCs w:val="20"/>
          <w:lang w:val="en-US"/>
        </w:rPr>
        <w:t>K</w:t>
      </w:r>
      <w:r>
        <w:rPr>
          <w:rFonts w:ascii="Twentieth Century" w:hAnsi="Twentieth Century"/>
          <w:b/>
          <w:sz w:val="20"/>
          <w:szCs w:val="20"/>
        </w:rPr>
        <w:t xml:space="preserve">arakteristik </w:t>
      </w:r>
      <w:r>
        <w:rPr>
          <w:rFonts w:ascii="Twentieth Century" w:hAnsi="Twentieth Century"/>
          <w:b/>
          <w:sz w:val="20"/>
          <w:szCs w:val="20"/>
          <w:lang w:val="en-US"/>
        </w:rPr>
        <w:t>R</w:t>
      </w:r>
      <w:r>
        <w:rPr>
          <w:rFonts w:ascii="Twentieth Century" w:hAnsi="Twentieth Century"/>
          <w:b/>
          <w:sz w:val="20"/>
          <w:szCs w:val="20"/>
        </w:rPr>
        <w:t xml:space="preserve">esponden </w:t>
      </w:r>
      <w:r>
        <w:rPr>
          <w:rFonts w:ascii="Twentieth Century" w:hAnsi="Twentieth Century"/>
          <w:b/>
          <w:sz w:val="20"/>
          <w:szCs w:val="20"/>
          <w:lang w:val="en-US"/>
        </w:rPr>
        <w:t>B</w:t>
      </w:r>
      <w:r>
        <w:rPr>
          <w:rFonts w:ascii="Twentieth Century" w:hAnsi="Twentieth Century"/>
          <w:b/>
          <w:sz w:val="20"/>
          <w:szCs w:val="20"/>
        </w:rPr>
        <w:t xml:space="preserve">erdasarkan </w:t>
      </w:r>
      <w:r>
        <w:rPr>
          <w:rFonts w:ascii="Twentieth Century" w:hAnsi="Twentieth Century"/>
          <w:b/>
          <w:sz w:val="20"/>
          <w:szCs w:val="20"/>
          <w:lang w:val="en-US"/>
        </w:rPr>
        <w:t>U</w:t>
      </w:r>
      <w:r>
        <w:rPr>
          <w:rFonts w:ascii="Twentieth Century" w:hAnsi="Twentieth Century"/>
          <w:b/>
          <w:sz w:val="20"/>
          <w:szCs w:val="20"/>
        </w:rPr>
        <w:t>sia</w:t>
      </w:r>
    </w:p>
    <w:tbl>
      <w:tblPr>
        <w:tblStyle w:val="style154"/>
        <w:tblW w:w="0" w:type="auto"/>
        <w:tblInd w:w="1069"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186"/>
        <w:gridCol w:w="1404"/>
        <w:gridCol w:w="878"/>
      </w:tblGrid>
      <w:tr>
        <w:trPr/>
        <w:tc>
          <w:tcPr>
            <w:tcW w:w="2718" w:type="dxa"/>
            <w:tcBorders>
              <w:bottom w:val="single" w:sz="4" w:space="0" w:color="auto"/>
            </w:tcBorders>
          </w:tcPr>
          <w:p>
            <w:pPr>
              <w:pStyle w:val="style179"/>
              <w:spacing w:lineRule="auto" w:line="240"/>
              <w:ind w:left="0"/>
              <w:jc w:val="center"/>
              <w:rPr>
                <w:rFonts w:ascii="Twentieth Century" w:hAnsi="Twentieth Century"/>
                <w:sz w:val="24"/>
                <w:szCs w:val="24"/>
              </w:rPr>
            </w:pPr>
            <w:r>
              <w:rPr>
                <w:rFonts w:ascii="Twentieth Century" w:hAnsi="Twentieth Century"/>
                <w:sz w:val="24"/>
                <w:szCs w:val="24"/>
              </w:rPr>
              <w:t>Usia</w:t>
            </w:r>
          </w:p>
        </w:tc>
        <w:tc>
          <w:tcPr>
            <w:tcW w:w="2718" w:type="dxa"/>
            <w:tcBorders>
              <w:bottom w:val="single" w:sz="4" w:space="0" w:color="auto"/>
            </w:tcBorders>
          </w:tcPr>
          <w:p>
            <w:pPr>
              <w:pStyle w:val="style179"/>
              <w:spacing w:lineRule="auto" w:line="240"/>
              <w:ind w:left="0"/>
              <w:jc w:val="center"/>
              <w:rPr>
                <w:rFonts w:ascii="Twentieth Century" w:hAnsi="Twentieth Century"/>
                <w:sz w:val="24"/>
                <w:szCs w:val="24"/>
              </w:rPr>
            </w:pPr>
            <w:r>
              <w:rPr>
                <w:rFonts w:ascii="Twentieth Century" w:hAnsi="Twentieth Century"/>
                <w:sz w:val="24"/>
                <w:szCs w:val="24"/>
              </w:rPr>
              <w:t>Frekuensi</w:t>
            </w:r>
          </w:p>
        </w:tc>
        <w:tc>
          <w:tcPr>
            <w:tcW w:w="2718" w:type="dxa"/>
            <w:tcBorders>
              <w:bottom w:val="single" w:sz="4" w:space="0" w:color="auto"/>
            </w:tcBorders>
          </w:tcPr>
          <w:p>
            <w:pPr>
              <w:pStyle w:val="style179"/>
              <w:spacing w:lineRule="auto" w:line="240"/>
              <w:ind w:left="0"/>
              <w:jc w:val="center"/>
              <w:rPr>
                <w:rFonts w:ascii="Twentieth Century" w:hAnsi="Twentieth Century"/>
                <w:sz w:val="24"/>
                <w:szCs w:val="24"/>
              </w:rPr>
            </w:pPr>
            <w:r>
              <w:rPr>
                <w:rFonts w:ascii="Twentieth Century" w:hAnsi="Twentieth Century"/>
                <w:sz w:val="24"/>
                <w:szCs w:val="24"/>
              </w:rPr>
              <w:t>%</w:t>
            </w:r>
          </w:p>
        </w:tc>
      </w:tr>
      <w:tr>
        <w:tblPrEx/>
        <w:trPr/>
        <w:tc>
          <w:tcPr>
            <w:tcW w:w="2718" w:type="dxa"/>
            <w:tcBorders>
              <w:bottom w:val="nil"/>
            </w:tcBorders>
          </w:tcPr>
          <w:p>
            <w:pPr>
              <w:pStyle w:val="style179"/>
              <w:spacing w:lineRule="auto" w:line="240"/>
              <w:ind w:left="0"/>
              <w:jc w:val="center"/>
              <w:rPr>
                <w:rFonts w:ascii="Twentieth Century" w:hAnsi="Twentieth Century"/>
                <w:sz w:val="24"/>
                <w:szCs w:val="24"/>
              </w:rPr>
            </w:pPr>
            <w:r>
              <w:rPr>
                <w:rFonts w:ascii="Twentieth Century" w:hAnsi="Twentieth Century"/>
                <w:sz w:val="24"/>
                <w:szCs w:val="24"/>
              </w:rPr>
              <w:t>20-30 tahun</w:t>
            </w:r>
          </w:p>
        </w:tc>
        <w:tc>
          <w:tcPr>
            <w:tcW w:w="2718" w:type="dxa"/>
            <w:tcBorders>
              <w:bottom w:val="nil"/>
            </w:tcBorders>
          </w:tcPr>
          <w:p>
            <w:pPr>
              <w:pStyle w:val="style179"/>
              <w:spacing w:lineRule="auto" w:line="240"/>
              <w:ind w:left="0"/>
              <w:jc w:val="center"/>
              <w:rPr>
                <w:rFonts w:ascii="Twentieth Century" w:hAnsi="Twentieth Century"/>
                <w:sz w:val="24"/>
                <w:szCs w:val="24"/>
              </w:rPr>
            </w:pPr>
            <w:r>
              <w:rPr>
                <w:rFonts w:ascii="Twentieth Century" w:hAnsi="Twentieth Century"/>
                <w:sz w:val="24"/>
                <w:szCs w:val="24"/>
              </w:rPr>
              <w:t>41</w:t>
            </w:r>
          </w:p>
        </w:tc>
        <w:tc>
          <w:tcPr>
            <w:tcW w:w="2718" w:type="dxa"/>
            <w:tcBorders>
              <w:bottom w:val="nil"/>
            </w:tcBorders>
          </w:tcPr>
          <w:p>
            <w:pPr>
              <w:pStyle w:val="style179"/>
              <w:spacing w:lineRule="auto" w:line="240"/>
              <w:ind w:left="0"/>
              <w:jc w:val="center"/>
              <w:rPr>
                <w:rFonts w:ascii="Twentieth Century" w:hAnsi="Twentieth Century"/>
                <w:sz w:val="24"/>
                <w:szCs w:val="24"/>
              </w:rPr>
            </w:pPr>
            <w:r>
              <w:rPr>
                <w:rFonts w:ascii="Twentieth Century" w:hAnsi="Twentieth Century"/>
                <w:sz w:val="24"/>
                <w:szCs w:val="24"/>
              </w:rPr>
              <w:t>44,6</w:t>
            </w:r>
          </w:p>
        </w:tc>
      </w:tr>
      <w:tr>
        <w:tblPrEx/>
        <w:trPr/>
        <w:tc>
          <w:tcPr>
            <w:tcW w:w="2718" w:type="dxa"/>
            <w:tcBorders>
              <w:top w:val="nil"/>
            </w:tcBorders>
          </w:tcPr>
          <w:p>
            <w:pPr>
              <w:pStyle w:val="style179"/>
              <w:spacing w:lineRule="auto" w:line="240"/>
              <w:ind w:left="0"/>
              <w:jc w:val="center"/>
              <w:rPr>
                <w:rFonts w:ascii="Twentieth Century" w:hAnsi="Twentieth Century"/>
                <w:sz w:val="24"/>
                <w:szCs w:val="24"/>
              </w:rPr>
            </w:pPr>
            <w:r>
              <w:rPr>
                <w:rFonts w:ascii="Twentieth Century" w:hAnsi="Twentieth Century"/>
                <w:sz w:val="24"/>
                <w:szCs w:val="24"/>
              </w:rPr>
              <w:t>31-40 tahun</w:t>
            </w:r>
          </w:p>
        </w:tc>
        <w:tc>
          <w:tcPr>
            <w:tcW w:w="2718" w:type="dxa"/>
            <w:tcBorders>
              <w:top w:val="nil"/>
            </w:tcBorders>
          </w:tcPr>
          <w:p>
            <w:pPr>
              <w:pStyle w:val="style179"/>
              <w:spacing w:lineRule="auto" w:line="240"/>
              <w:ind w:left="0"/>
              <w:jc w:val="center"/>
              <w:rPr>
                <w:rFonts w:ascii="Twentieth Century" w:hAnsi="Twentieth Century"/>
                <w:sz w:val="24"/>
                <w:szCs w:val="24"/>
              </w:rPr>
            </w:pPr>
            <w:r>
              <w:rPr>
                <w:rFonts w:ascii="Twentieth Century" w:hAnsi="Twentieth Century"/>
                <w:sz w:val="24"/>
                <w:szCs w:val="24"/>
              </w:rPr>
              <w:t>51</w:t>
            </w:r>
          </w:p>
        </w:tc>
        <w:tc>
          <w:tcPr>
            <w:tcW w:w="2718" w:type="dxa"/>
            <w:tcBorders>
              <w:top w:val="nil"/>
            </w:tcBorders>
          </w:tcPr>
          <w:p>
            <w:pPr>
              <w:pStyle w:val="style179"/>
              <w:spacing w:lineRule="auto" w:line="240"/>
              <w:ind w:left="0"/>
              <w:jc w:val="center"/>
              <w:rPr>
                <w:rFonts w:ascii="Twentieth Century" w:hAnsi="Twentieth Century"/>
                <w:sz w:val="24"/>
                <w:szCs w:val="24"/>
              </w:rPr>
            </w:pPr>
            <w:r>
              <w:rPr>
                <w:rFonts w:ascii="Twentieth Century" w:hAnsi="Twentieth Century"/>
                <w:sz w:val="24"/>
                <w:szCs w:val="24"/>
              </w:rPr>
              <w:t>55,4</w:t>
            </w:r>
          </w:p>
        </w:tc>
      </w:tr>
      <w:tr>
        <w:tblPrEx/>
        <w:trPr/>
        <w:tc>
          <w:tcPr>
            <w:tcW w:w="2718" w:type="dxa"/>
            <w:tcBorders/>
          </w:tcPr>
          <w:p>
            <w:pPr>
              <w:pStyle w:val="style179"/>
              <w:spacing w:lineRule="auto" w:line="240"/>
              <w:ind w:left="0"/>
              <w:jc w:val="center"/>
              <w:rPr>
                <w:rFonts w:ascii="Twentieth Century" w:hAnsi="Twentieth Century"/>
                <w:sz w:val="24"/>
                <w:szCs w:val="24"/>
              </w:rPr>
            </w:pPr>
            <w:r>
              <w:rPr>
                <w:rFonts w:ascii="Twentieth Century" w:hAnsi="Twentieth Century"/>
                <w:sz w:val="24"/>
                <w:szCs w:val="24"/>
              </w:rPr>
              <w:t>Jumlah</w:t>
            </w:r>
          </w:p>
        </w:tc>
        <w:tc>
          <w:tcPr>
            <w:tcW w:w="2718" w:type="dxa"/>
            <w:tcBorders/>
          </w:tcPr>
          <w:p>
            <w:pPr>
              <w:pStyle w:val="style179"/>
              <w:spacing w:lineRule="auto" w:line="240"/>
              <w:ind w:left="0"/>
              <w:jc w:val="center"/>
              <w:rPr>
                <w:rFonts w:ascii="Twentieth Century" w:hAnsi="Twentieth Century"/>
                <w:sz w:val="24"/>
                <w:szCs w:val="24"/>
              </w:rPr>
            </w:pPr>
            <w:r>
              <w:rPr>
                <w:rFonts w:ascii="Twentieth Century" w:hAnsi="Twentieth Century"/>
                <w:sz w:val="24"/>
                <w:szCs w:val="24"/>
              </w:rPr>
              <w:t>92</w:t>
            </w:r>
          </w:p>
        </w:tc>
        <w:tc>
          <w:tcPr>
            <w:tcW w:w="2718" w:type="dxa"/>
            <w:tcBorders/>
          </w:tcPr>
          <w:p>
            <w:pPr>
              <w:pStyle w:val="style179"/>
              <w:spacing w:lineRule="auto" w:line="240"/>
              <w:ind w:left="0"/>
              <w:jc w:val="center"/>
              <w:rPr>
                <w:rFonts w:ascii="Twentieth Century" w:hAnsi="Twentieth Century"/>
                <w:sz w:val="24"/>
                <w:szCs w:val="24"/>
              </w:rPr>
            </w:pPr>
            <w:r>
              <w:rPr>
                <w:rFonts w:ascii="Twentieth Century" w:hAnsi="Twentieth Century"/>
                <w:sz w:val="24"/>
                <w:szCs w:val="24"/>
              </w:rPr>
              <w:t>100</w:t>
            </w:r>
          </w:p>
        </w:tc>
      </w:tr>
    </w:tbl>
    <w:p>
      <w:pPr>
        <w:pStyle w:val="style179"/>
        <w:spacing w:after="0" w:lineRule="auto" w:line="240"/>
        <w:ind w:left="993"/>
        <w:rPr>
          <w:rFonts w:ascii="Twentieth Century" w:hAnsi="Twentieth Century"/>
          <w:i/>
          <w:sz w:val="24"/>
          <w:szCs w:val="24"/>
        </w:rPr>
      </w:pPr>
      <w:r>
        <w:rPr>
          <w:rFonts w:ascii="Twentieth Century" w:hAnsi="Twentieth Century"/>
          <w:i/>
          <w:sz w:val="24"/>
          <w:szCs w:val="24"/>
        </w:rPr>
        <w:t>Sumber :</w:t>
      </w:r>
      <w:r>
        <w:rPr>
          <w:rFonts w:ascii="Twentieth Century" w:hAnsi="Twentieth Century"/>
          <w:i/>
          <w:sz w:val="24"/>
          <w:szCs w:val="24"/>
        </w:rPr>
        <w:t xml:space="preserve"> Data primer diolah 2022</w:t>
      </w:r>
    </w:p>
    <w:p>
      <w:pPr>
        <w:pStyle w:val="style0"/>
        <w:spacing w:after="0" w:lineRule="auto" w:line="240"/>
        <w:ind w:left="1069" w:firstLine="720"/>
        <w:jc w:val="both"/>
        <w:rPr>
          <w:rFonts w:ascii="Twentieth Century" w:cs="Times New Roman" w:hAnsi="Twentieth Century" w:hint="eastAsia"/>
          <w:sz w:val="24"/>
          <w:szCs w:val="24"/>
        </w:rPr>
      </w:pPr>
      <w:r>
        <w:rPr>
          <w:rFonts w:cs="Times New Roman" w:hAnsi="Twentieth Century"/>
          <w:sz w:val="24"/>
          <w:szCs w:val="24"/>
          <w:lang w:val="en-US"/>
        </w:rPr>
        <w:t>Tabel 1. M</w:t>
      </w:r>
      <w:r>
        <w:rPr>
          <w:rFonts w:ascii="Twentieth Century" w:cs="Times New Roman" w:hAnsi="Twentieth Century"/>
          <w:sz w:val="24"/>
          <w:szCs w:val="24"/>
        </w:rPr>
        <w:t>enjelaskan bahwa didapatkan hasil karakteristik responden berdasarkan usia responden mayoritas responden berusia 31- 40 (55</w:t>
      </w:r>
      <w:r>
        <w:rPr>
          <w:rFonts w:ascii="Twentieth Century" w:cs="Times New Roman" w:hAnsi="Twentieth Century"/>
          <w:sz w:val="24"/>
          <w:szCs w:val="24"/>
        </w:rPr>
        <w:t>,4</w:t>
      </w:r>
      <w:r>
        <w:rPr>
          <w:rFonts w:ascii="Twentieth Century" w:cs="Times New Roman" w:hAnsi="Twentieth Century"/>
          <w:sz w:val="24"/>
          <w:szCs w:val="24"/>
        </w:rPr>
        <w:t>%)</w:t>
      </w:r>
    </w:p>
    <w:p>
      <w:pPr>
        <w:pStyle w:val="style0"/>
        <w:spacing w:after="0" w:lineRule="auto" w:line="240"/>
        <w:ind w:left="1069" w:firstLine="720"/>
        <w:jc w:val="both"/>
        <w:rPr>
          <w:rFonts w:ascii="Twentieth Century" w:cs="Times New Roman" w:hAnsi="Twentieth Century" w:hint="eastAsia"/>
          <w:sz w:val="24"/>
          <w:szCs w:val="24"/>
        </w:rPr>
      </w:pPr>
    </w:p>
    <w:p>
      <w:pPr>
        <w:pStyle w:val="style179"/>
        <w:numPr>
          <w:ilvl w:val="0"/>
          <w:numId w:val="2"/>
        </w:numPr>
        <w:spacing w:lineRule="auto" w:line="240"/>
        <w:jc w:val="both"/>
        <w:rPr>
          <w:rFonts w:ascii="Twentieth Century" w:hAnsi="Twentieth Century"/>
          <w:sz w:val="24"/>
          <w:szCs w:val="24"/>
        </w:rPr>
      </w:pPr>
      <w:r>
        <w:rPr>
          <w:rFonts w:ascii="Twentieth Century" w:hAnsi="Twentieth Century"/>
          <w:sz w:val="24"/>
          <w:szCs w:val="24"/>
        </w:rPr>
        <w:t xml:space="preserve">Distribus </w:t>
      </w:r>
      <w:r>
        <w:rPr>
          <w:rFonts w:ascii="Twentieth Century" w:hAnsi="Twentieth Century"/>
          <w:sz w:val="24"/>
          <w:szCs w:val="24"/>
          <w:lang w:val="en-US"/>
        </w:rPr>
        <w:t>F</w:t>
      </w:r>
      <w:r>
        <w:rPr>
          <w:rFonts w:ascii="Twentieth Century" w:hAnsi="Twentieth Century"/>
          <w:sz w:val="24"/>
          <w:szCs w:val="24"/>
        </w:rPr>
        <w:t xml:space="preserve">rekuensi </w:t>
      </w:r>
      <w:r>
        <w:rPr>
          <w:rFonts w:ascii="Twentieth Century" w:hAnsi="Twentieth Century"/>
          <w:sz w:val="24"/>
          <w:szCs w:val="24"/>
          <w:lang w:val="en-US"/>
        </w:rPr>
        <w:t>B</w:t>
      </w:r>
      <w:r>
        <w:rPr>
          <w:rFonts w:ascii="Twentieth Century" w:hAnsi="Twentieth Century"/>
          <w:sz w:val="24"/>
          <w:szCs w:val="24"/>
        </w:rPr>
        <w:t xml:space="preserve">erdasarkan </w:t>
      </w:r>
      <w:r>
        <w:rPr>
          <w:rFonts w:ascii="Twentieth Century" w:hAnsi="Twentieth Century"/>
          <w:sz w:val="24"/>
          <w:szCs w:val="24"/>
          <w:lang w:val="en-US"/>
        </w:rPr>
        <w:t>P</w:t>
      </w:r>
      <w:r>
        <w:rPr>
          <w:rFonts w:ascii="Twentieth Century" w:hAnsi="Twentieth Century"/>
          <w:sz w:val="24"/>
          <w:szCs w:val="24"/>
        </w:rPr>
        <w:t xml:space="preserve">endidikan </w:t>
      </w:r>
      <w:r>
        <w:rPr>
          <w:rFonts w:ascii="Twentieth Century" w:hAnsi="Twentieth Century"/>
          <w:sz w:val="24"/>
          <w:szCs w:val="24"/>
          <w:lang w:val="en-US"/>
        </w:rPr>
        <w:t>R</w:t>
      </w:r>
      <w:r>
        <w:rPr>
          <w:rFonts w:ascii="Twentieth Century" w:hAnsi="Twentieth Century"/>
          <w:sz w:val="24"/>
          <w:szCs w:val="24"/>
        </w:rPr>
        <w:t>esponden</w:t>
      </w:r>
    </w:p>
    <w:p>
      <w:pPr>
        <w:pStyle w:val="style179"/>
        <w:spacing w:lineRule="auto" w:line="240"/>
        <w:ind w:left="1069"/>
        <w:jc w:val="center"/>
        <w:rPr>
          <w:rFonts w:ascii="Twentieth Century" w:hAnsi="Twentieth Century"/>
          <w:b/>
          <w:sz w:val="20"/>
          <w:szCs w:val="20"/>
        </w:rPr>
      </w:pPr>
      <w:r>
        <w:rPr>
          <w:rFonts w:ascii="Twentieth Century" w:hAnsi="Twentieth Century"/>
          <w:b/>
          <w:sz w:val="20"/>
          <w:szCs w:val="20"/>
        </w:rPr>
        <w:t xml:space="preserve">Tabel </w:t>
      </w:r>
      <w:r>
        <w:rPr>
          <w:rFonts w:hAnsi="Twentieth Century"/>
          <w:b/>
          <w:sz w:val="20"/>
          <w:szCs w:val="20"/>
          <w:lang w:val="en-US"/>
        </w:rPr>
        <w:t>2.</w:t>
      </w:r>
      <w:r>
        <w:rPr>
          <w:rFonts w:ascii="Twentieth Century" w:hAnsi="Twentieth Century"/>
          <w:b/>
          <w:sz w:val="20"/>
          <w:szCs w:val="20"/>
        </w:rPr>
        <w:t xml:space="preserve"> Distribusi </w:t>
      </w:r>
      <w:r>
        <w:rPr>
          <w:rFonts w:ascii="Twentieth Century" w:hAnsi="Twentieth Century"/>
          <w:b/>
          <w:sz w:val="20"/>
          <w:szCs w:val="20"/>
          <w:lang w:val="en-US"/>
        </w:rPr>
        <w:t>K</w:t>
      </w:r>
      <w:r>
        <w:rPr>
          <w:rFonts w:ascii="Twentieth Century" w:hAnsi="Twentieth Century"/>
          <w:b/>
          <w:sz w:val="20"/>
          <w:szCs w:val="20"/>
        </w:rPr>
        <w:t xml:space="preserve">arakteristik </w:t>
      </w:r>
      <w:r>
        <w:rPr>
          <w:rFonts w:ascii="Twentieth Century" w:hAnsi="Twentieth Century"/>
          <w:b/>
          <w:sz w:val="20"/>
          <w:szCs w:val="20"/>
          <w:lang w:val="en-US"/>
        </w:rPr>
        <w:t>R</w:t>
      </w:r>
      <w:r>
        <w:rPr>
          <w:rFonts w:ascii="Twentieth Century" w:hAnsi="Twentieth Century"/>
          <w:b/>
          <w:sz w:val="20"/>
          <w:szCs w:val="20"/>
        </w:rPr>
        <w:t xml:space="preserve">esponden </w:t>
      </w:r>
      <w:r>
        <w:rPr>
          <w:rFonts w:ascii="Twentieth Century" w:hAnsi="Twentieth Century"/>
          <w:b/>
          <w:sz w:val="20"/>
          <w:szCs w:val="20"/>
          <w:lang w:val="en-US"/>
        </w:rPr>
        <w:t>B</w:t>
      </w:r>
      <w:r>
        <w:rPr>
          <w:rFonts w:ascii="Twentieth Century" w:hAnsi="Twentieth Century"/>
          <w:b/>
          <w:sz w:val="20"/>
          <w:szCs w:val="20"/>
        </w:rPr>
        <w:t>erdasarkan Pendidikan</w:t>
      </w:r>
    </w:p>
    <w:tbl>
      <w:tblPr>
        <w:tblStyle w:val="style154"/>
        <w:tblW w:w="0" w:type="auto"/>
        <w:tblInd w:w="1069"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370"/>
        <w:gridCol w:w="1266"/>
        <w:gridCol w:w="833"/>
      </w:tblGrid>
      <w:tr>
        <w:trPr/>
        <w:tc>
          <w:tcPr>
            <w:tcW w:w="2718" w:type="dxa"/>
            <w:tcBorders>
              <w:bottom w:val="single" w:sz="4" w:space="0" w:color="auto"/>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Pendidikan</w:t>
            </w:r>
          </w:p>
        </w:tc>
        <w:tc>
          <w:tcPr>
            <w:tcW w:w="2718" w:type="dxa"/>
            <w:tcBorders>
              <w:bottom w:val="single" w:sz="4" w:space="0" w:color="auto"/>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Frekuensi</w:t>
            </w:r>
          </w:p>
        </w:tc>
        <w:tc>
          <w:tcPr>
            <w:tcW w:w="2718" w:type="dxa"/>
            <w:tcBorders>
              <w:bottom w:val="single" w:sz="4" w:space="0" w:color="auto"/>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w:t>
            </w:r>
          </w:p>
        </w:tc>
      </w:tr>
      <w:tr>
        <w:tblPrEx/>
        <w:trPr/>
        <w:tc>
          <w:tcPr>
            <w:tcW w:w="2718" w:type="dxa"/>
            <w:tcBorders>
              <w:bottom w:val="nil"/>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SD</w:t>
            </w:r>
          </w:p>
        </w:tc>
        <w:tc>
          <w:tcPr>
            <w:tcW w:w="2718" w:type="dxa"/>
            <w:tcBorders>
              <w:bottom w:val="nil"/>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13</w:t>
            </w:r>
          </w:p>
        </w:tc>
        <w:tc>
          <w:tcPr>
            <w:tcW w:w="2718" w:type="dxa"/>
            <w:tcBorders>
              <w:bottom w:val="nil"/>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14,1</w:t>
            </w:r>
          </w:p>
        </w:tc>
      </w:tr>
      <w:tr>
        <w:tblPrEx/>
        <w:trPr/>
        <w:tc>
          <w:tcPr>
            <w:tcW w:w="2718" w:type="dxa"/>
            <w:tcBorders>
              <w:top w:val="nil"/>
              <w:bottom w:val="nil"/>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SMP</w:t>
            </w:r>
          </w:p>
        </w:tc>
        <w:tc>
          <w:tcPr>
            <w:tcW w:w="2718" w:type="dxa"/>
            <w:tcBorders>
              <w:top w:val="nil"/>
              <w:bottom w:val="nil"/>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30</w:t>
            </w:r>
          </w:p>
        </w:tc>
        <w:tc>
          <w:tcPr>
            <w:tcW w:w="2718" w:type="dxa"/>
            <w:tcBorders>
              <w:top w:val="nil"/>
              <w:bottom w:val="nil"/>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32,6</w:t>
            </w:r>
          </w:p>
        </w:tc>
      </w:tr>
      <w:tr>
        <w:tblPrEx/>
        <w:trPr/>
        <w:tc>
          <w:tcPr>
            <w:tcW w:w="2718" w:type="dxa"/>
            <w:tcBorders>
              <w:top w:val="nil"/>
              <w:bottom w:val="nil"/>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lang w:val="en-US"/>
              </w:rPr>
              <w:t>SMA/</w:t>
            </w:r>
            <w:r>
              <w:rPr>
                <w:rFonts w:ascii="Twentieth Century" w:hAnsi="Twentieth Century"/>
                <w:sz w:val="20"/>
                <w:szCs w:val="20"/>
              </w:rPr>
              <w:t>SMK</w:t>
            </w:r>
          </w:p>
        </w:tc>
        <w:tc>
          <w:tcPr>
            <w:tcW w:w="2718" w:type="dxa"/>
            <w:tcBorders>
              <w:top w:val="nil"/>
              <w:bottom w:val="nil"/>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36</w:t>
            </w:r>
          </w:p>
        </w:tc>
        <w:tc>
          <w:tcPr>
            <w:tcW w:w="2718" w:type="dxa"/>
            <w:tcBorders>
              <w:top w:val="nil"/>
              <w:bottom w:val="nil"/>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39,1</w:t>
            </w:r>
          </w:p>
        </w:tc>
      </w:tr>
      <w:tr>
        <w:tblPrEx/>
        <w:trPr/>
        <w:tc>
          <w:tcPr>
            <w:tcW w:w="2718" w:type="dxa"/>
            <w:tcBorders>
              <w:top w:val="nil"/>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D3/S1</w:t>
            </w:r>
          </w:p>
        </w:tc>
        <w:tc>
          <w:tcPr>
            <w:tcW w:w="2718" w:type="dxa"/>
            <w:tcBorders>
              <w:top w:val="nil"/>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13</w:t>
            </w:r>
          </w:p>
        </w:tc>
        <w:tc>
          <w:tcPr>
            <w:tcW w:w="2718" w:type="dxa"/>
            <w:tcBorders>
              <w:top w:val="nil"/>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14,1</w:t>
            </w:r>
          </w:p>
        </w:tc>
      </w:tr>
      <w:tr>
        <w:tblPrEx/>
        <w:trPr/>
        <w:tc>
          <w:tcPr>
            <w:tcW w:w="2718" w:type="dxa"/>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Jumlah</w:t>
            </w:r>
          </w:p>
        </w:tc>
        <w:tc>
          <w:tcPr>
            <w:tcW w:w="2718" w:type="dxa"/>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92</w:t>
            </w:r>
          </w:p>
        </w:tc>
        <w:tc>
          <w:tcPr>
            <w:tcW w:w="2718" w:type="dxa"/>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100</w:t>
            </w:r>
          </w:p>
        </w:tc>
      </w:tr>
    </w:tbl>
    <w:p>
      <w:pPr>
        <w:pStyle w:val="style179"/>
        <w:spacing w:after="0" w:lineRule="auto" w:line="240"/>
        <w:ind w:left="993"/>
        <w:rPr>
          <w:rFonts w:ascii="Twentieth Century" w:hAnsi="Twentieth Century"/>
          <w:i/>
          <w:sz w:val="24"/>
          <w:szCs w:val="24"/>
        </w:rPr>
      </w:pPr>
      <w:r>
        <w:rPr>
          <w:rFonts w:ascii="Twentieth Century" w:hAnsi="Twentieth Century"/>
          <w:i/>
          <w:sz w:val="24"/>
          <w:szCs w:val="24"/>
        </w:rPr>
        <w:t>Sumber :</w:t>
      </w:r>
      <w:r>
        <w:rPr>
          <w:rFonts w:ascii="Twentieth Century" w:hAnsi="Twentieth Century"/>
          <w:i/>
          <w:sz w:val="24"/>
          <w:szCs w:val="24"/>
        </w:rPr>
        <w:t xml:space="preserve"> Data primer diolah 2022</w:t>
      </w:r>
    </w:p>
    <w:p>
      <w:pPr>
        <w:pStyle w:val="style0"/>
        <w:spacing w:after="0" w:lineRule="auto" w:line="240"/>
        <w:ind w:left="1069" w:firstLine="720"/>
        <w:jc w:val="both"/>
        <w:rPr>
          <w:rFonts w:ascii="Twentieth Century" w:cs="Times New Roman" w:hAnsi="Twentieth Century" w:hint="eastAsia"/>
          <w:sz w:val="24"/>
          <w:szCs w:val="24"/>
        </w:rPr>
      </w:pPr>
      <w:r>
        <w:rPr>
          <w:rFonts w:ascii="Twentieth Century" w:cs="Times New Roman" w:hAnsi="Twentieth Century"/>
          <w:sz w:val="24"/>
          <w:szCs w:val="24"/>
        </w:rPr>
        <w:t xml:space="preserve">Tabel </w:t>
      </w:r>
      <w:r>
        <w:rPr>
          <w:rFonts w:cs="Times New Roman" w:hAnsi="Twentieth Century"/>
          <w:sz w:val="24"/>
          <w:szCs w:val="24"/>
          <w:lang w:val="en-US"/>
        </w:rPr>
        <w:t>2.</w:t>
      </w:r>
      <w:r>
        <w:rPr>
          <w:rFonts w:ascii="Twentieth Century" w:cs="Times New Roman" w:hAnsi="Twentieth Century"/>
          <w:sz w:val="24"/>
          <w:szCs w:val="24"/>
        </w:rPr>
        <w:t xml:space="preserve"> menjelaskan bahwa didapatkan hasil karakteristik responden berdasarkan pendidikan responden, menunjukkan bahwa mayoritas responden mempunyai pendidikan Terakhir yaitu SMA/ SMK sebanyak 36 responden (39</w:t>
      </w:r>
      <w:r>
        <w:rPr>
          <w:rFonts w:ascii="Twentieth Century" w:cs="Times New Roman" w:hAnsi="Twentieth Century"/>
          <w:sz w:val="24"/>
          <w:szCs w:val="24"/>
        </w:rPr>
        <w:t>,1</w:t>
      </w:r>
      <w:r>
        <w:rPr>
          <w:rFonts w:ascii="Twentieth Century" w:cs="Times New Roman" w:hAnsi="Twentieth Century"/>
          <w:sz w:val="24"/>
          <w:szCs w:val="24"/>
        </w:rPr>
        <w:t>%).</w:t>
      </w:r>
    </w:p>
    <w:p>
      <w:pPr>
        <w:pStyle w:val="style0"/>
        <w:spacing w:after="0" w:lineRule="auto" w:line="240"/>
        <w:ind w:left="1069" w:firstLine="720"/>
        <w:jc w:val="both"/>
        <w:rPr>
          <w:rFonts w:ascii="Twentieth Century" w:cs="Times New Roman" w:hAnsi="Twentieth Century" w:hint="eastAsia"/>
          <w:sz w:val="24"/>
          <w:szCs w:val="24"/>
        </w:rPr>
      </w:pPr>
    </w:p>
    <w:p>
      <w:pPr>
        <w:pStyle w:val="style179"/>
        <w:numPr>
          <w:ilvl w:val="0"/>
          <w:numId w:val="2"/>
        </w:numPr>
        <w:spacing w:after="0" w:lineRule="auto" w:line="240"/>
        <w:jc w:val="both"/>
        <w:rPr>
          <w:rFonts w:ascii="Twentieth Century" w:hAnsi="Twentieth Century"/>
          <w:sz w:val="24"/>
          <w:szCs w:val="24"/>
        </w:rPr>
      </w:pPr>
      <w:r>
        <w:rPr>
          <w:rFonts w:ascii="Twentieth Century" w:hAnsi="Twentieth Century"/>
          <w:sz w:val="24"/>
          <w:szCs w:val="24"/>
        </w:rPr>
        <w:t xml:space="preserve">Distribus </w:t>
      </w:r>
      <w:r>
        <w:rPr>
          <w:rFonts w:ascii="Twentieth Century" w:hAnsi="Twentieth Century"/>
          <w:sz w:val="24"/>
          <w:szCs w:val="24"/>
          <w:lang w:val="en-US"/>
        </w:rPr>
        <w:t>F</w:t>
      </w:r>
      <w:r>
        <w:rPr>
          <w:rFonts w:ascii="Twentieth Century" w:hAnsi="Twentieth Century"/>
          <w:sz w:val="24"/>
          <w:szCs w:val="24"/>
        </w:rPr>
        <w:t xml:space="preserve">rekuensi </w:t>
      </w:r>
      <w:r>
        <w:rPr>
          <w:rFonts w:ascii="Twentieth Century" w:hAnsi="Twentieth Century"/>
          <w:sz w:val="24"/>
          <w:szCs w:val="24"/>
          <w:lang w:val="en-US"/>
        </w:rPr>
        <w:t>B</w:t>
      </w:r>
      <w:r>
        <w:rPr>
          <w:rFonts w:ascii="Twentieth Century" w:hAnsi="Twentieth Century"/>
          <w:sz w:val="24"/>
          <w:szCs w:val="24"/>
        </w:rPr>
        <w:t xml:space="preserve">erdasarkan </w:t>
      </w:r>
      <w:r>
        <w:rPr>
          <w:rFonts w:ascii="Twentieth Century" w:hAnsi="Twentieth Century"/>
          <w:sz w:val="24"/>
          <w:szCs w:val="24"/>
          <w:lang w:val="en-US"/>
        </w:rPr>
        <w:t>P</w:t>
      </w:r>
      <w:r>
        <w:rPr>
          <w:rFonts w:ascii="Twentieth Century" w:hAnsi="Twentieth Century"/>
          <w:sz w:val="24"/>
          <w:szCs w:val="24"/>
        </w:rPr>
        <w:t xml:space="preserve">ekerjaan </w:t>
      </w:r>
      <w:r>
        <w:rPr>
          <w:rFonts w:ascii="Twentieth Century" w:hAnsi="Twentieth Century"/>
          <w:sz w:val="24"/>
          <w:szCs w:val="24"/>
          <w:lang w:val="en-US"/>
        </w:rPr>
        <w:t>R</w:t>
      </w:r>
      <w:r>
        <w:rPr>
          <w:rFonts w:ascii="Twentieth Century" w:hAnsi="Twentieth Century"/>
          <w:sz w:val="24"/>
          <w:szCs w:val="24"/>
        </w:rPr>
        <w:t>esponden</w:t>
      </w:r>
    </w:p>
    <w:p>
      <w:pPr>
        <w:pStyle w:val="style179"/>
        <w:spacing w:lineRule="auto" w:line="240"/>
        <w:ind w:left="1069"/>
        <w:jc w:val="center"/>
        <w:rPr>
          <w:rFonts w:ascii="Twentieth Century" w:hAnsi="Twentieth Century"/>
          <w:b/>
          <w:sz w:val="20"/>
          <w:szCs w:val="20"/>
        </w:rPr>
      </w:pPr>
      <w:r>
        <w:rPr>
          <w:rFonts w:ascii="Twentieth Century" w:hAnsi="Twentieth Century"/>
          <w:b/>
          <w:sz w:val="20"/>
          <w:szCs w:val="20"/>
        </w:rPr>
        <w:t xml:space="preserve">Tabel </w:t>
      </w:r>
      <w:r>
        <w:rPr>
          <w:rFonts w:hAnsi="Twentieth Century"/>
          <w:b/>
          <w:sz w:val="20"/>
          <w:szCs w:val="20"/>
          <w:lang w:val="en-US"/>
        </w:rPr>
        <w:t>3.</w:t>
      </w:r>
      <w:r>
        <w:rPr>
          <w:rFonts w:ascii="Twentieth Century" w:hAnsi="Twentieth Century"/>
          <w:b/>
          <w:sz w:val="20"/>
          <w:szCs w:val="20"/>
        </w:rPr>
        <w:t xml:space="preserve"> Distribusi </w:t>
      </w:r>
      <w:r>
        <w:rPr>
          <w:rFonts w:ascii="Twentieth Century" w:hAnsi="Twentieth Century"/>
          <w:b/>
          <w:sz w:val="20"/>
          <w:szCs w:val="20"/>
          <w:lang w:val="en-US"/>
        </w:rPr>
        <w:t>K</w:t>
      </w:r>
      <w:r>
        <w:rPr>
          <w:rFonts w:ascii="Twentieth Century" w:hAnsi="Twentieth Century"/>
          <w:b/>
          <w:sz w:val="20"/>
          <w:szCs w:val="20"/>
        </w:rPr>
        <w:t xml:space="preserve">arakteristik </w:t>
      </w:r>
      <w:r>
        <w:rPr>
          <w:rFonts w:ascii="Twentieth Century" w:hAnsi="Twentieth Century"/>
          <w:b/>
          <w:sz w:val="20"/>
          <w:szCs w:val="20"/>
          <w:lang w:val="en-US"/>
        </w:rPr>
        <w:t>R</w:t>
      </w:r>
      <w:r>
        <w:rPr>
          <w:rFonts w:ascii="Twentieth Century" w:hAnsi="Twentieth Century"/>
          <w:b/>
          <w:sz w:val="20"/>
          <w:szCs w:val="20"/>
        </w:rPr>
        <w:t xml:space="preserve">esponden </w:t>
      </w:r>
      <w:r>
        <w:rPr>
          <w:rFonts w:ascii="Twentieth Century" w:hAnsi="Twentieth Century"/>
          <w:b/>
          <w:sz w:val="20"/>
          <w:szCs w:val="20"/>
          <w:lang w:val="en-US"/>
        </w:rPr>
        <w:t>B</w:t>
      </w:r>
      <w:r>
        <w:rPr>
          <w:rFonts w:ascii="Twentieth Century" w:hAnsi="Twentieth Century"/>
          <w:b/>
          <w:sz w:val="20"/>
          <w:szCs w:val="20"/>
        </w:rPr>
        <w:t xml:space="preserve">erdasarkan </w:t>
      </w:r>
      <w:r>
        <w:rPr>
          <w:rFonts w:ascii="Twentieth Century" w:hAnsi="Twentieth Century"/>
          <w:b/>
          <w:sz w:val="20"/>
          <w:szCs w:val="20"/>
          <w:lang w:val="en-US"/>
        </w:rPr>
        <w:t>P</w:t>
      </w:r>
      <w:r>
        <w:rPr>
          <w:rFonts w:ascii="Twentieth Century" w:hAnsi="Twentieth Century"/>
          <w:b/>
          <w:sz w:val="20"/>
          <w:szCs w:val="20"/>
        </w:rPr>
        <w:t>ekerjaan</w:t>
      </w:r>
    </w:p>
    <w:tbl>
      <w:tblPr>
        <w:tblStyle w:val="style154"/>
        <w:tblW w:w="0" w:type="auto"/>
        <w:tblInd w:w="1069"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308"/>
        <w:gridCol w:w="1293"/>
        <w:gridCol w:w="868"/>
      </w:tblGrid>
      <w:tr>
        <w:trPr/>
        <w:tc>
          <w:tcPr>
            <w:tcW w:w="2718" w:type="dxa"/>
            <w:tcBorders>
              <w:bottom w:val="single" w:sz="4" w:space="0" w:color="auto"/>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Pekerjaan</w:t>
            </w:r>
          </w:p>
        </w:tc>
        <w:tc>
          <w:tcPr>
            <w:tcW w:w="2718" w:type="dxa"/>
            <w:tcBorders>
              <w:bottom w:val="single" w:sz="4" w:space="0" w:color="auto"/>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Frekuensi</w:t>
            </w:r>
          </w:p>
        </w:tc>
        <w:tc>
          <w:tcPr>
            <w:tcW w:w="2718" w:type="dxa"/>
            <w:tcBorders>
              <w:bottom w:val="single" w:sz="4" w:space="0" w:color="auto"/>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w:t>
            </w:r>
          </w:p>
        </w:tc>
      </w:tr>
      <w:tr>
        <w:tblPrEx/>
        <w:trPr/>
        <w:tc>
          <w:tcPr>
            <w:tcW w:w="2718" w:type="dxa"/>
            <w:tcBorders>
              <w:bottom w:val="nil"/>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Bekerja</w:t>
            </w:r>
          </w:p>
        </w:tc>
        <w:tc>
          <w:tcPr>
            <w:tcW w:w="2718" w:type="dxa"/>
            <w:tcBorders>
              <w:bottom w:val="nil"/>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50</w:t>
            </w:r>
          </w:p>
        </w:tc>
        <w:tc>
          <w:tcPr>
            <w:tcW w:w="2718" w:type="dxa"/>
            <w:tcBorders>
              <w:bottom w:val="nil"/>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54,3</w:t>
            </w:r>
          </w:p>
        </w:tc>
      </w:tr>
      <w:tr>
        <w:tblPrEx/>
        <w:trPr/>
        <w:tc>
          <w:tcPr>
            <w:tcW w:w="2718" w:type="dxa"/>
            <w:tcBorders>
              <w:top w:val="nil"/>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Tidak bekerja</w:t>
            </w:r>
          </w:p>
        </w:tc>
        <w:tc>
          <w:tcPr>
            <w:tcW w:w="2718" w:type="dxa"/>
            <w:tcBorders>
              <w:top w:val="nil"/>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42</w:t>
            </w:r>
          </w:p>
        </w:tc>
        <w:tc>
          <w:tcPr>
            <w:tcW w:w="2718" w:type="dxa"/>
            <w:tcBorders>
              <w:top w:val="nil"/>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45,7</w:t>
            </w:r>
          </w:p>
        </w:tc>
      </w:tr>
      <w:tr>
        <w:tblPrEx/>
        <w:trPr/>
        <w:tc>
          <w:tcPr>
            <w:tcW w:w="2718" w:type="dxa"/>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Jumlah</w:t>
            </w:r>
          </w:p>
        </w:tc>
        <w:tc>
          <w:tcPr>
            <w:tcW w:w="2718" w:type="dxa"/>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92</w:t>
            </w:r>
          </w:p>
        </w:tc>
        <w:tc>
          <w:tcPr>
            <w:tcW w:w="2718" w:type="dxa"/>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100</w:t>
            </w:r>
          </w:p>
        </w:tc>
      </w:tr>
    </w:tbl>
    <w:p>
      <w:pPr>
        <w:pStyle w:val="style179"/>
        <w:spacing w:lineRule="auto" w:line="240"/>
        <w:ind w:left="993"/>
        <w:rPr>
          <w:rFonts w:ascii="Twentieth Century" w:hAnsi="Twentieth Century"/>
          <w:i/>
          <w:sz w:val="20"/>
          <w:szCs w:val="20"/>
        </w:rPr>
      </w:pPr>
      <w:r>
        <w:rPr>
          <w:rFonts w:ascii="Twentieth Century" w:hAnsi="Twentieth Century"/>
          <w:i/>
          <w:sz w:val="20"/>
          <w:szCs w:val="20"/>
        </w:rPr>
        <w:t>Sumber : Data primer diolah 2022</w:t>
      </w:r>
    </w:p>
    <w:p>
      <w:pPr>
        <w:pStyle w:val="style179"/>
        <w:spacing w:lineRule="auto" w:line="240"/>
        <w:ind w:left="1440" w:firstLine="403"/>
        <w:jc w:val="both"/>
        <w:rPr>
          <w:rFonts w:ascii="Twentieth Century" w:hAnsi="Twentieth Century"/>
          <w:sz w:val="24"/>
          <w:szCs w:val="24"/>
        </w:rPr>
      </w:pPr>
      <w:r>
        <w:rPr>
          <w:rFonts w:ascii="Twentieth Century" w:hAnsi="Twentieth Century"/>
          <w:sz w:val="24"/>
          <w:szCs w:val="24"/>
        </w:rPr>
        <w:t xml:space="preserve">Tabel </w:t>
      </w:r>
      <w:r>
        <w:rPr>
          <w:rFonts w:hAnsi="Twentieth Century"/>
          <w:sz w:val="24"/>
          <w:szCs w:val="24"/>
          <w:lang w:val="en-US"/>
        </w:rPr>
        <w:t>3. M</w:t>
      </w:r>
      <w:r>
        <w:rPr>
          <w:rFonts w:ascii="Twentieth Century" w:hAnsi="Twentieth Century"/>
          <w:sz w:val="24"/>
          <w:szCs w:val="24"/>
        </w:rPr>
        <w:t>enjelaskan bahwa didapatkan hasil karakteristik responden berdasarkan pekerjaan responden, menunjukan bahwa mayoritas responden bekerja yaitu sebanyak 50 responden (54</w:t>
      </w:r>
      <w:r>
        <w:rPr>
          <w:rFonts w:ascii="Twentieth Century" w:hAnsi="Twentieth Century"/>
          <w:sz w:val="24"/>
          <w:szCs w:val="24"/>
        </w:rPr>
        <w:t>,3</w:t>
      </w:r>
      <w:r>
        <w:rPr>
          <w:rFonts w:ascii="Twentieth Century" w:hAnsi="Twentieth Century"/>
          <w:sz w:val="24"/>
          <w:szCs w:val="24"/>
        </w:rPr>
        <w:t xml:space="preserve">%). </w:t>
      </w:r>
    </w:p>
    <w:p>
      <w:pPr>
        <w:pStyle w:val="style179"/>
        <w:spacing w:lineRule="auto" w:line="240"/>
        <w:ind w:left="1440" w:firstLine="720"/>
        <w:rPr>
          <w:rFonts w:ascii="Twentieth Century" w:hAnsi="Twentieth Century"/>
          <w:sz w:val="24"/>
          <w:szCs w:val="24"/>
        </w:rPr>
      </w:pPr>
    </w:p>
    <w:p>
      <w:pPr>
        <w:pStyle w:val="style179"/>
        <w:numPr>
          <w:ilvl w:val="0"/>
          <w:numId w:val="1"/>
        </w:numPr>
        <w:spacing w:after="0" w:lineRule="auto" w:line="240"/>
        <w:ind w:left="709"/>
        <w:jc w:val="both"/>
        <w:rPr>
          <w:rFonts w:ascii="Twentieth Century" w:hAnsi="Twentieth Century"/>
          <w:sz w:val="24"/>
          <w:szCs w:val="24"/>
        </w:rPr>
      </w:pPr>
      <w:r>
        <w:rPr>
          <w:rFonts w:ascii="Twentieth Century" w:hAnsi="Twentieth Century"/>
          <w:b/>
          <w:sz w:val="24"/>
          <w:szCs w:val="24"/>
        </w:rPr>
        <w:t>Graviditas</w:t>
      </w:r>
    </w:p>
    <w:p>
      <w:pPr>
        <w:pStyle w:val="style179"/>
        <w:spacing w:lineRule="auto" w:line="240"/>
        <w:ind w:left="1080"/>
        <w:rPr>
          <w:rFonts w:ascii="Twentieth Century" w:hAnsi="Twentieth Century"/>
          <w:sz w:val="24"/>
          <w:szCs w:val="24"/>
        </w:rPr>
      </w:pPr>
      <w:r>
        <w:rPr>
          <w:rFonts w:ascii="Twentieth Century" w:hAnsi="Twentieth Century"/>
          <w:sz w:val="24"/>
          <w:szCs w:val="24"/>
        </w:rPr>
        <w:t xml:space="preserve">Distribus </w:t>
      </w:r>
      <w:r>
        <w:rPr>
          <w:rFonts w:ascii="Twentieth Century" w:hAnsi="Twentieth Century"/>
          <w:sz w:val="24"/>
          <w:szCs w:val="24"/>
          <w:lang w:val="en-US"/>
        </w:rPr>
        <w:t>F</w:t>
      </w:r>
      <w:r>
        <w:rPr>
          <w:rFonts w:ascii="Twentieth Century" w:hAnsi="Twentieth Century"/>
          <w:sz w:val="24"/>
          <w:szCs w:val="24"/>
        </w:rPr>
        <w:t xml:space="preserve">rekuensi </w:t>
      </w:r>
      <w:r>
        <w:rPr>
          <w:rFonts w:ascii="Twentieth Century" w:hAnsi="Twentieth Century"/>
          <w:sz w:val="24"/>
          <w:szCs w:val="24"/>
          <w:lang w:val="en-US"/>
        </w:rPr>
        <w:t>B</w:t>
      </w:r>
      <w:r>
        <w:rPr>
          <w:rFonts w:ascii="Twentieth Century" w:hAnsi="Twentieth Century"/>
          <w:sz w:val="24"/>
          <w:szCs w:val="24"/>
        </w:rPr>
        <w:t xml:space="preserve">erdasarkan </w:t>
      </w:r>
      <w:r>
        <w:rPr>
          <w:rFonts w:ascii="Twentieth Century" w:hAnsi="Twentieth Century"/>
          <w:sz w:val="24"/>
          <w:szCs w:val="24"/>
          <w:lang w:val="en-US"/>
        </w:rPr>
        <w:t>S</w:t>
      </w:r>
      <w:r>
        <w:rPr>
          <w:rFonts w:ascii="Twentieth Century" w:hAnsi="Twentieth Century"/>
          <w:sz w:val="24"/>
          <w:szCs w:val="24"/>
        </w:rPr>
        <w:t xml:space="preserve">tatus </w:t>
      </w:r>
      <w:r>
        <w:rPr>
          <w:rFonts w:ascii="Twentieth Century" w:hAnsi="Twentieth Century"/>
          <w:sz w:val="24"/>
          <w:szCs w:val="24"/>
          <w:lang w:val="en-US"/>
        </w:rPr>
        <w:t>G</w:t>
      </w:r>
      <w:r>
        <w:rPr>
          <w:rFonts w:ascii="Twentieth Century" w:hAnsi="Twentieth Century"/>
          <w:sz w:val="24"/>
          <w:szCs w:val="24"/>
        </w:rPr>
        <w:t xml:space="preserve">raviditas </w:t>
      </w:r>
      <w:r>
        <w:rPr>
          <w:rFonts w:ascii="Twentieth Century" w:hAnsi="Twentieth Century"/>
          <w:sz w:val="24"/>
          <w:szCs w:val="24"/>
          <w:lang w:val="en-US"/>
        </w:rPr>
        <w:t>R</w:t>
      </w:r>
      <w:r>
        <w:rPr>
          <w:rFonts w:ascii="Twentieth Century" w:hAnsi="Twentieth Century"/>
          <w:sz w:val="24"/>
          <w:szCs w:val="24"/>
        </w:rPr>
        <w:t>esponden</w:t>
      </w:r>
    </w:p>
    <w:p>
      <w:pPr>
        <w:pStyle w:val="style179"/>
        <w:spacing w:lineRule="auto" w:line="240"/>
        <w:ind w:left="1069"/>
        <w:jc w:val="center"/>
        <w:rPr>
          <w:rFonts w:ascii="Twentieth Century" w:hAnsi="Twentieth Century"/>
          <w:b/>
          <w:sz w:val="20"/>
          <w:szCs w:val="20"/>
          <w:lang w:val="en-US"/>
        </w:rPr>
      </w:pPr>
      <w:r>
        <w:rPr>
          <w:rFonts w:ascii="Twentieth Century" w:hAnsi="Twentieth Century"/>
          <w:b/>
          <w:sz w:val="20"/>
          <w:szCs w:val="20"/>
        </w:rPr>
        <w:t xml:space="preserve">Tabel </w:t>
      </w:r>
      <w:r>
        <w:rPr>
          <w:rFonts w:hAnsi="Twentieth Century"/>
          <w:b/>
          <w:sz w:val="20"/>
          <w:szCs w:val="20"/>
          <w:lang w:val="en-US"/>
        </w:rPr>
        <w:t>4.</w:t>
      </w:r>
      <w:r>
        <w:rPr>
          <w:rFonts w:ascii="Twentieth Century" w:hAnsi="Twentieth Century"/>
          <w:b/>
          <w:sz w:val="20"/>
          <w:szCs w:val="20"/>
        </w:rPr>
        <w:t xml:space="preserve"> Distribusi </w:t>
      </w:r>
      <w:r>
        <w:rPr>
          <w:rFonts w:ascii="Twentieth Century" w:hAnsi="Twentieth Century"/>
          <w:b/>
          <w:sz w:val="20"/>
          <w:szCs w:val="20"/>
          <w:lang w:val="en-US"/>
        </w:rPr>
        <w:t>K</w:t>
      </w:r>
      <w:r>
        <w:rPr>
          <w:rFonts w:ascii="Twentieth Century" w:hAnsi="Twentieth Century"/>
          <w:b/>
          <w:sz w:val="20"/>
          <w:szCs w:val="20"/>
        </w:rPr>
        <w:t xml:space="preserve">arakteristik </w:t>
      </w:r>
      <w:r>
        <w:rPr>
          <w:rFonts w:ascii="Twentieth Century" w:hAnsi="Twentieth Century"/>
          <w:b/>
          <w:sz w:val="20"/>
          <w:szCs w:val="20"/>
          <w:lang w:val="en-US"/>
        </w:rPr>
        <w:t>R</w:t>
      </w:r>
      <w:r>
        <w:rPr>
          <w:rFonts w:ascii="Twentieth Century" w:hAnsi="Twentieth Century"/>
          <w:b/>
          <w:sz w:val="20"/>
          <w:szCs w:val="20"/>
        </w:rPr>
        <w:t xml:space="preserve">esponden </w:t>
      </w:r>
      <w:r>
        <w:rPr>
          <w:rFonts w:ascii="Twentieth Century" w:hAnsi="Twentieth Century"/>
          <w:b/>
          <w:sz w:val="20"/>
          <w:szCs w:val="20"/>
          <w:lang w:val="en-US"/>
        </w:rPr>
        <w:t>B</w:t>
      </w:r>
      <w:r>
        <w:rPr>
          <w:rFonts w:ascii="Twentieth Century" w:hAnsi="Twentieth Century"/>
          <w:b/>
          <w:sz w:val="20"/>
          <w:szCs w:val="20"/>
        </w:rPr>
        <w:t xml:space="preserve">erdasarkan </w:t>
      </w:r>
      <w:r>
        <w:rPr>
          <w:rFonts w:ascii="Twentieth Century" w:hAnsi="Twentieth Century"/>
          <w:b/>
          <w:sz w:val="20"/>
          <w:szCs w:val="20"/>
          <w:lang w:val="en-US"/>
        </w:rPr>
        <w:t>Graviditas</w:t>
      </w:r>
    </w:p>
    <w:tbl>
      <w:tblPr>
        <w:tblStyle w:val="style154"/>
        <w:tblW w:w="0" w:type="auto"/>
        <w:tblInd w:w="1069"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468"/>
        <w:gridCol w:w="1239"/>
        <w:gridCol w:w="762"/>
      </w:tblGrid>
      <w:tr>
        <w:trPr/>
        <w:tc>
          <w:tcPr>
            <w:tcW w:w="2718" w:type="dxa"/>
            <w:tcBorders>
              <w:bottom w:val="single" w:sz="4" w:space="0" w:color="auto"/>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Graviditas</w:t>
            </w:r>
          </w:p>
        </w:tc>
        <w:tc>
          <w:tcPr>
            <w:tcW w:w="2718" w:type="dxa"/>
            <w:tcBorders>
              <w:bottom w:val="single" w:sz="4" w:space="0" w:color="auto"/>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Frekuensi</w:t>
            </w:r>
          </w:p>
        </w:tc>
        <w:tc>
          <w:tcPr>
            <w:tcW w:w="2718" w:type="dxa"/>
            <w:tcBorders>
              <w:bottom w:val="single" w:sz="4" w:space="0" w:color="auto"/>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w:t>
            </w:r>
          </w:p>
        </w:tc>
      </w:tr>
      <w:tr>
        <w:tblPrEx/>
        <w:trPr/>
        <w:tc>
          <w:tcPr>
            <w:tcW w:w="2718" w:type="dxa"/>
            <w:tcBorders>
              <w:bottom w:val="nil"/>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Primigravida</w:t>
            </w:r>
          </w:p>
        </w:tc>
        <w:tc>
          <w:tcPr>
            <w:tcW w:w="2718" w:type="dxa"/>
            <w:tcBorders>
              <w:bottom w:val="nil"/>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57</w:t>
            </w:r>
          </w:p>
        </w:tc>
        <w:tc>
          <w:tcPr>
            <w:tcW w:w="2718" w:type="dxa"/>
            <w:tcBorders>
              <w:bottom w:val="nil"/>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62</w:t>
            </w:r>
          </w:p>
        </w:tc>
      </w:tr>
      <w:tr>
        <w:tblPrEx/>
        <w:trPr/>
        <w:tc>
          <w:tcPr>
            <w:tcW w:w="2718" w:type="dxa"/>
            <w:tcBorders>
              <w:top w:val="nil"/>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Multigravida</w:t>
            </w:r>
          </w:p>
        </w:tc>
        <w:tc>
          <w:tcPr>
            <w:tcW w:w="2718" w:type="dxa"/>
            <w:tcBorders>
              <w:top w:val="nil"/>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35</w:t>
            </w:r>
          </w:p>
        </w:tc>
        <w:tc>
          <w:tcPr>
            <w:tcW w:w="2718" w:type="dxa"/>
            <w:tcBorders>
              <w:top w:val="nil"/>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38</w:t>
            </w:r>
          </w:p>
        </w:tc>
      </w:tr>
      <w:tr>
        <w:tblPrEx/>
        <w:trPr/>
        <w:tc>
          <w:tcPr>
            <w:tcW w:w="2718" w:type="dxa"/>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Jumlah</w:t>
            </w:r>
          </w:p>
        </w:tc>
        <w:tc>
          <w:tcPr>
            <w:tcW w:w="2718" w:type="dxa"/>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92</w:t>
            </w:r>
          </w:p>
        </w:tc>
        <w:tc>
          <w:tcPr>
            <w:tcW w:w="2718" w:type="dxa"/>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100</w:t>
            </w:r>
          </w:p>
        </w:tc>
      </w:tr>
    </w:tbl>
    <w:p>
      <w:pPr>
        <w:pStyle w:val="style179"/>
        <w:spacing w:after="0" w:lineRule="auto" w:line="240"/>
        <w:ind w:left="993"/>
        <w:rPr>
          <w:rFonts w:ascii="Twentieth Century" w:hAnsi="Twentieth Century"/>
          <w:i/>
          <w:sz w:val="20"/>
          <w:szCs w:val="20"/>
        </w:rPr>
      </w:pPr>
      <w:r>
        <w:rPr>
          <w:rFonts w:ascii="Twentieth Century" w:hAnsi="Twentieth Century"/>
          <w:i/>
          <w:sz w:val="20"/>
          <w:szCs w:val="20"/>
        </w:rPr>
        <w:t>Sumber : Data primer diolah 2022</w:t>
      </w:r>
    </w:p>
    <w:p>
      <w:pPr>
        <w:pStyle w:val="style0"/>
        <w:spacing w:after="0" w:lineRule="auto" w:line="240"/>
        <w:ind w:left="1069" w:firstLine="720"/>
        <w:jc w:val="both"/>
        <w:rPr>
          <w:rFonts w:ascii="Twentieth Century" w:cs="Times New Roman" w:hAnsi="Twentieth Century" w:hint="eastAsia"/>
          <w:sz w:val="24"/>
          <w:szCs w:val="24"/>
        </w:rPr>
      </w:pPr>
      <w:r>
        <w:rPr>
          <w:rFonts w:ascii="Twentieth Century" w:cs="Times New Roman" w:hAnsi="Twentieth Century"/>
          <w:sz w:val="24"/>
          <w:szCs w:val="24"/>
        </w:rPr>
        <w:t xml:space="preserve">Tabel </w:t>
      </w:r>
      <w:r>
        <w:rPr>
          <w:rFonts w:cs="Times New Roman" w:hAnsi="Twentieth Century"/>
          <w:sz w:val="24"/>
          <w:szCs w:val="24"/>
          <w:lang w:val="en-US"/>
        </w:rPr>
        <w:t>4. M</w:t>
      </w:r>
      <w:r>
        <w:rPr>
          <w:rFonts w:ascii="Twentieth Century" w:cs="Times New Roman" w:hAnsi="Twentieth Century"/>
          <w:sz w:val="24"/>
          <w:szCs w:val="24"/>
        </w:rPr>
        <w:t>enjelaskan bahwa didapatkan hasil frekuensi responden berdasarkan status graviditas responden menunjukan bahwa mayoritas responden berstatus primigravida, yaitu sebanyak 57 responden (62%).</w:t>
      </w:r>
    </w:p>
    <w:p>
      <w:pPr>
        <w:pStyle w:val="style0"/>
        <w:spacing w:after="0" w:lineRule="auto" w:line="240"/>
        <w:ind w:left="1069" w:firstLine="720"/>
        <w:jc w:val="both"/>
        <w:rPr>
          <w:rFonts w:ascii="Twentieth Century" w:cs="Times New Roman" w:hAnsi="Twentieth Century" w:hint="eastAsia"/>
          <w:sz w:val="24"/>
          <w:szCs w:val="24"/>
        </w:rPr>
      </w:pPr>
      <w:r>
        <w:rPr>
          <w:rFonts w:ascii="Twentieth Century" w:cs="Times New Roman" w:hAnsi="Twentieth Century"/>
          <w:sz w:val="24"/>
          <w:szCs w:val="24"/>
        </w:rPr>
        <w:t xml:space="preserve"> </w:t>
      </w:r>
    </w:p>
    <w:p>
      <w:pPr>
        <w:pStyle w:val="style179"/>
        <w:numPr>
          <w:ilvl w:val="0"/>
          <w:numId w:val="1"/>
        </w:numPr>
        <w:spacing w:lineRule="auto" w:line="240"/>
        <w:ind w:left="709"/>
        <w:jc w:val="both"/>
        <w:rPr>
          <w:rFonts w:ascii="Twentieth Century" w:hAnsi="Twentieth Century"/>
          <w:sz w:val="24"/>
          <w:szCs w:val="24"/>
        </w:rPr>
      </w:pPr>
      <w:r>
        <w:rPr>
          <w:rFonts w:ascii="Twentieth Century" w:hAnsi="Twentieth Century"/>
          <w:b/>
          <w:sz w:val="24"/>
          <w:szCs w:val="24"/>
        </w:rPr>
        <w:t xml:space="preserve">Tingkat Pengetahuan </w:t>
      </w:r>
    </w:p>
    <w:p>
      <w:pPr>
        <w:pStyle w:val="style179"/>
        <w:spacing w:lineRule="auto" w:line="240"/>
        <w:ind w:left="709"/>
        <w:rPr>
          <w:rFonts w:ascii="Twentieth Century" w:hAnsi="Twentieth Century"/>
          <w:sz w:val="24"/>
          <w:szCs w:val="24"/>
        </w:rPr>
      </w:pPr>
      <w:r>
        <w:rPr>
          <w:rFonts w:ascii="Twentieth Century" w:hAnsi="Twentieth Century"/>
          <w:sz w:val="24"/>
          <w:szCs w:val="24"/>
        </w:rPr>
        <w:t xml:space="preserve">Distribusi </w:t>
      </w:r>
      <w:r>
        <w:rPr>
          <w:rFonts w:ascii="Twentieth Century" w:hAnsi="Twentieth Century"/>
          <w:sz w:val="24"/>
          <w:szCs w:val="24"/>
          <w:lang w:val="en-US"/>
        </w:rPr>
        <w:t>F</w:t>
      </w:r>
      <w:r>
        <w:rPr>
          <w:rFonts w:ascii="Twentieth Century" w:hAnsi="Twentieth Century"/>
          <w:sz w:val="24"/>
          <w:szCs w:val="24"/>
        </w:rPr>
        <w:t xml:space="preserve">rekuensi </w:t>
      </w:r>
      <w:r>
        <w:rPr>
          <w:rFonts w:ascii="Twentieth Century" w:hAnsi="Twentieth Century"/>
          <w:sz w:val="24"/>
          <w:szCs w:val="24"/>
          <w:lang w:val="en-US"/>
        </w:rPr>
        <w:t>B</w:t>
      </w:r>
      <w:r>
        <w:rPr>
          <w:rFonts w:ascii="Twentieth Century" w:hAnsi="Twentieth Century"/>
          <w:sz w:val="24"/>
          <w:szCs w:val="24"/>
        </w:rPr>
        <w:t xml:space="preserve">erdasarkan </w:t>
      </w:r>
      <w:r>
        <w:rPr>
          <w:rFonts w:ascii="Twentieth Century" w:hAnsi="Twentieth Century"/>
          <w:sz w:val="24"/>
          <w:szCs w:val="24"/>
          <w:lang w:val="en-US"/>
        </w:rPr>
        <w:t>T</w:t>
      </w:r>
      <w:r>
        <w:rPr>
          <w:rFonts w:ascii="Twentieth Century" w:hAnsi="Twentieth Century"/>
          <w:sz w:val="24"/>
          <w:szCs w:val="24"/>
        </w:rPr>
        <w:t xml:space="preserve">ingkat </w:t>
      </w:r>
      <w:r>
        <w:rPr>
          <w:rFonts w:ascii="Twentieth Century" w:hAnsi="Twentieth Century"/>
          <w:sz w:val="24"/>
          <w:szCs w:val="24"/>
          <w:lang w:val="en-US"/>
        </w:rPr>
        <w:t>P</w:t>
      </w:r>
      <w:r>
        <w:rPr>
          <w:rFonts w:ascii="Twentieth Century" w:hAnsi="Twentieth Century"/>
          <w:sz w:val="24"/>
          <w:szCs w:val="24"/>
        </w:rPr>
        <w:t xml:space="preserve">engetahuan </w:t>
      </w:r>
      <w:r>
        <w:rPr>
          <w:rFonts w:ascii="Twentieth Century" w:hAnsi="Twentieth Century"/>
          <w:sz w:val="24"/>
          <w:szCs w:val="24"/>
          <w:lang w:val="en-US"/>
        </w:rPr>
        <w:t>R</w:t>
      </w:r>
      <w:r>
        <w:rPr>
          <w:rFonts w:ascii="Twentieth Century" w:hAnsi="Twentieth Century"/>
          <w:sz w:val="24"/>
          <w:szCs w:val="24"/>
        </w:rPr>
        <w:t xml:space="preserve">esponden, sebagai </w:t>
      </w:r>
      <w:r>
        <w:rPr>
          <w:rFonts w:ascii="Twentieth Century" w:hAnsi="Twentieth Century"/>
          <w:sz w:val="24"/>
          <w:szCs w:val="24"/>
        </w:rPr>
        <w:t>berikut :</w:t>
      </w:r>
      <w:r>
        <w:rPr>
          <w:rFonts w:ascii="Twentieth Century" w:hAnsi="Twentieth Century"/>
          <w:sz w:val="24"/>
          <w:szCs w:val="24"/>
        </w:rPr>
        <w:t xml:space="preserve"> </w:t>
      </w:r>
    </w:p>
    <w:p>
      <w:pPr>
        <w:pStyle w:val="style179"/>
        <w:spacing w:lineRule="auto" w:line="240"/>
        <w:ind w:left="1080"/>
        <w:jc w:val="center"/>
        <w:rPr>
          <w:rFonts w:ascii="Twentieth Century" w:hAnsi="Twentieth Century"/>
          <w:b/>
          <w:sz w:val="20"/>
          <w:szCs w:val="20"/>
        </w:rPr>
      </w:pPr>
      <w:r>
        <w:rPr>
          <w:rFonts w:ascii="Twentieth Century" w:hAnsi="Twentieth Century"/>
          <w:b/>
          <w:sz w:val="20"/>
          <w:szCs w:val="20"/>
        </w:rPr>
        <w:t xml:space="preserve">Tabel </w:t>
      </w:r>
      <w:r>
        <w:rPr>
          <w:rFonts w:hAnsi="Twentieth Century"/>
          <w:b/>
          <w:sz w:val="20"/>
          <w:szCs w:val="20"/>
          <w:lang w:val="en-US"/>
        </w:rPr>
        <w:t>5.</w:t>
      </w:r>
      <w:r>
        <w:rPr>
          <w:rFonts w:ascii="Twentieth Century" w:hAnsi="Twentieth Century"/>
          <w:b/>
          <w:sz w:val="20"/>
          <w:szCs w:val="20"/>
        </w:rPr>
        <w:t xml:space="preserve">  Distribusi </w:t>
      </w:r>
      <w:r>
        <w:rPr>
          <w:rFonts w:ascii="Twentieth Century" w:hAnsi="Twentieth Century"/>
          <w:b/>
          <w:sz w:val="20"/>
          <w:szCs w:val="20"/>
          <w:lang w:val="en-US"/>
        </w:rPr>
        <w:t>K</w:t>
      </w:r>
      <w:r>
        <w:rPr>
          <w:rFonts w:ascii="Twentieth Century" w:hAnsi="Twentieth Century"/>
          <w:b/>
          <w:sz w:val="20"/>
          <w:szCs w:val="20"/>
        </w:rPr>
        <w:t xml:space="preserve">arakteristik </w:t>
      </w:r>
      <w:r>
        <w:rPr>
          <w:rFonts w:ascii="Twentieth Century" w:hAnsi="Twentieth Century"/>
          <w:b/>
          <w:sz w:val="20"/>
          <w:szCs w:val="20"/>
          <w:lang w:val="en-US"/>
        </w:rPr>
        <w:t>R</w:t>
      </w:r>
      <w:r>
        <w:rPr>
          <w:rFonts w:ascii="Twentieth Century" w:hAnsi="Twentieth Century"/>
          <w:b/>
          <w:sz w:val="20"/>
          <w:szCs w:val="20"/>
        </w:rPr>
        <w:t xml:space="preserve">esponden </w:t>
      </w:r>
      <w:r>
        <w:rPr>
          <w:rFonts w:ascii="Twentieth Century" w:hAnsi="Twentieth Century"/>
          <w:b/>
          <w:sz w:val="20"/>
          <w:szCs w:val="20"/>
          <w:lang w:val="en-US"/>
        </w:rPr>
        <w:t>B</w:t>
      </w:r>
      <w:r>
        <w:rPr>
          <w:rFonts w:ascii="Twentieth Century" w:hAnsi="Twentieth Century"/>
          <w:b/>
          <w:sz w:val="20"/>
          <w:szCs w:val="20"/>
        </w:rPr>
        <w:t xml:space="preserve">erdasarkan </w:t>
      </w:r>
      <w:r>
        <w:rPr>
          <w:rFonts w:ascii="Twentieth Century" w:hAnsi="Twentieth Century"/>
          <w:b/>
          <w:sz w:val="20"/>
          <w:szCs w:val="20"/>
          <w:lang w:val="en-US"/>
        </w:rPr>
        <w:t>T</w:t>
      </w:r>
      <w:r>
        <w:rPr>
          <w:rFonts w:ascii="Twentieth Century" w:hAnsi="Twentieth Century"/>
          <w:b/>
          <w:sz w:val="20"/>
          <w:szCs w:val="20"/>
        </w:rPr>
        <w:t xml:space="preserve">ingkat </w:t>
      </w:r>
      <w:r>
        <w:rPr>
          <w:rFonts w:ascii="Twentieth Century" w:hAnsi="Twentieth Century"/>
          <w:b/>
          <w:sz w:val="20"/>
          <w:szCs w:val="20"/>
          <w:lang w:val="en-US"/>
        </w:rPr>
        <w:t>P</w:t>
      </w:r>
      <w:r>
        <w:rPr>
          <w:rFonts w:ascii="Twentieth Century" w:hAnsi="Twentieth Century"/>
          <w:b/>
          <w:sz w:val="20"/>
          <w:szCs w:val="20"/>
        </w:rPr>
        <w:t>engetahuan</w:t>
      </w:r>
    </w:p>
    <w:tbl>
      <w:tblPr>
        <w:tblStyle w:val="style154"/>
        <w:tblW w:w="0" w:type="auto"/>
        <w:tblInd w:w="993"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530"/>
        <w:gridCol w:w="1157"/>
        <w:gridCol w:w="640"/>
      </w:tblGrid>
      <w:tr>
        <w:trPr/>
        <w:tc>
          <w:tcPr>
            <w:tcW w:w="1530" w:type="dxa"/>
            <w:tcBorders>
              <w:bottom w:val="single" w:sz="4" w:space="0" w:color="auto"/>
            </w:tcBorders>
          </w:tcPr>
          <w:p>
            <w:pPr>
              <w:pStyle w:val="style179"/>
              <w:spacing w:lineRule="auto" w:line="240"/>
              <w:ind w:left="-49"/>
              <w:jc w:val="center"/>
              <w:rPr>
                <w:rFonts w:ascii="Twentieth Century" w:hAnsi="Twentieth Century"/>
                <w:sz w:val="20"/>
                <w:szCs w:val="20"/>
              </w:rPr>
            </w:pPr>
            <w:r>
              <w:rPr>
                <w:rFonts w:ascii="Twentieth Century" w:hAnsi="Twentieth Century"/>
                <w:sz w:val="20"/>
                <w:szCs w:val="20"/>
              </w:rPr>
              <w:t>Pengetahuan</w:t>
            </w:r>
          </w:p>
        </w:tc>
        <w:tc>
          <w:tcPr>
            <w:tcW w:w="1157" w:type="dxa"/>
            <w:tcBorders>
              <w:bottom w:val="single" w:sz="4" w:space="0" w:color="auto"/>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Frekuensi</w:t>
            </w:r>
          </w:p>
        </w:tc>
        <w:tc>
          <w:tcPr>
            <w:tcW w:w="640" w:type="dxa"/>
            <w:tcBorders>
              <w:bottom w:val="single" w:sz="4" w:space="0" w:color="auto"/>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w:t>
            </w:r>
          </w:p>
        </w:tc>
      </w:tr>
      <w:tr>
        <w:tblPrEx/>
        <w:trPr/>
        <w:tc>
          <w:tcPr>
            <w:tcW w:w="1530" w:type="dxa"/>
            <w:tcBorders>
              <w:bottom w:val="nil"/>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Baik</w:t>
            </w:r>
          </w:p>
        </w:tc>
        <w:tc>
          <w:tcPr>
            <w:tcW w:w="1157" w:type="dxa"/>
            <w:tcBorders>
              <w:bottom w:val="nil"/>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25</w:t>
            </w:r>
          </w:p>
        </w:tc>
        <w:tc>
          <w:tcPr>
            <w:tcW w:w="640" w:type="dxa"/>
            <w:tcBorders>
              <w:bottom w:val="nil"/>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27,2</w:t>
            </w:r>
          </w:p>
        </w:tc>
      </w:tr>
      <w:tr>
        <w:tblPrEx/>
        <w:trPr/>
        <w:tc>
          <w:tcPr>
            <w:tcW w:w="1530" w:type="dxa"/>
            <w:tcBorders>
              <w:top w:val="nil"/>
              <w:bottom w:val="nil"/>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Cukup</w:t>
            </w:r>
          </w:p>
        </w:tc>
        <w:tc>
          <w:tcPr>
            <w:tcW w:w="1157" w:type="dxa"/>
            <w:tcBorders>
              <w:top w:val="nil"/>
              <w:bottom w:val="nil"/>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30</w:t>
            </w:r>
          </w:p>
        </w:tc>
        <w:tc>
          <w:tcPr>
            <w:tcW w:w="640" w:type="dxa"/>
            <w:tcBorders>
              <w:top w:val="nil"/>
              <w:bottom w:val="nil"/>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32,6</w:t>
            </w:r>
          </w:p>
        </w:tc>
      </w:tr>
      <w:tr>
        <w:tblPrEx/>
        <w:trPr/>
        <w:tc>
          <w:tcPr>
            <w:tcW w:w="1530" w:type="dxa"/>
            <w:tcBorders>
              <w:top w:val="nil"/>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Kurang</w:t>
            </w:r>
          </w:p>
        </w:tc>
        <w:tc>
          <w:tcPr>
            <w:tcW w:w="1157" w:type="dxa"/>
            <w:tcBorders>
              <w:top w:val="nil"/>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37</w:t>
            </w:r>
          </w:p>
        </w:tc>
        <w:tc>
          <w:tcPr>
            <w:tcW w:w="640" w:type="dxa"/>
            <w:tcBorders>
              <w:top w:val="nil"/>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40,2</w:t>
            </w:r>
          </w:p>
        </w:tc>
      </w:tr>
      <w:tr>
        <w:tblPrEx/>
        <w:trPr/>
        <w:tc>
          <w:tcPr>
            <w:tcW w:w="1530" w:type="dxa"/>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Jumlah</w:t>
            </w:r>
          </w:p>
        </w:tc>
        <w:tc>
          <w:tcPr>
            <w:tcW w:w="1157" w:type="dxa"/>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92</w:t>
            </w:r>
          </w:p>
        </w:tc>
        <w:tc>
          <w:tcPr>
            <w:tcW w:w="640" w:type="dxa"/>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100</w:t>
            </w:r>
          </w:p>
        </w:tc>
      </w:tr>
    </w:tbl>
    <w:p>
      <w:pPr>
        <w:pStyle w:val="style179"/>
        <w:spacing w:after="0" w:lineRule="auto" w:line="240"/>
        <w:ind w:left="993"/>
        <w:rPr>
          <w:rFonts w:ascii="Twentieth Century" w:hAnsi="Twentieth Century"/>
          <w:i/>
          <w:sz w:val="20"/>
          <w:szCs w:val="20"/>
        </w:rPr>
      </w:pPr>
      <w:r>
        <w:rPr>
          <w:rFonts w:ascii="Twentieth Century" w:hAnsi="Twentieth Century"/>
          <w:i/>
          <w:sz w:val="20"/>
          <w:szCs w:val="20"/>
        </w:rPr>
        <w:t>Sumber : Data primer diolah 2022</w:t>
      </w:r>
    </w:p>
    <w:p>
      <w:pPr>
        <w:pStyle w:val="style0"/>
        <w:spacing w:after="0" w:lineRule="auto" w:line="240"/>
        <w:ind w:left="1080" w:firstLine="720"/>
        <w:jc w:val="both"/>
        <w:rPr>
          <w:rFonts w:ascii="Twentieth Century" w:cs="Times New Roman" w:hAnsi="Twentieth Century" w:hint="eastAsia"/>
          <w:sz w:val="24"/>
          <w:szCs w:val="24"/>
        </w:rPr>
      </w:pPr>
      <w:r>
        <w:rPr>
          <w:rFonts w:ascii="Twentieth Century" w:cs="Times New Roman" w:hAnsi="Twentieth Century"/>
          <w:sz w:val="24"/>
          <w:szCs w:val="24"/>
        </w:rPr>
        <w:t xml:space="preserve">Tabel </w:t>
      </w:r>
      <w:r>
        <w:rPr>
          <w:rFonts w:cs="Times New Roman" w:hAnsi="Twentieth Century"/>
          <w:sz w:val="24"/>
          <w:szCs w:val="24"/>
          <w:lang w:val="en-US"/>
        </w:rPr>
        <w:t>5. Me</w:t>
      </w:r>
      <w:r>
        <w:rPr>
          <w:rFonts w:ascii="Twentieth Century" w:cs="Times New Roman" w:hAnsi="Twentieth Century"/>
          <w:sz w:val="24"/>
          <w:szCs w:val="24"/>
        </w:rPr>
        <w:t>njelaskan bahwa didapatkan hasil frekuensi responden berdasarkan pengetahuan tentang pemilihan alat kontrasepsi di masa pandemi COVID-19 menunjukan bahwa mayoritas responden mempunyai pengetahuan kurang, yaitu sebanyak 37 responden (40</w:t>
      </w:r>
      <w:r>
        <w:rPr>
          <w:rFonts w:ascii="Twentieth Century" w:cs="Times New Roman" w:hAnsi="Twentieth Century"/>
          <w:sz w:val="24"/>
          <w:szCs w:val="24"/>
        </w:rPr>
        <w:t>,2</w:t>
      </w:r>
      <w:r>
        <w:rPr>
          <w:rFonts w:ascii="Twentieth Century" w:cs="Times New Roman" w:hAnsi="Twentieth Century"/>
          <w:sz w:val="24"/>
          <w:szCs w:val="24"/>
        </w:rPr>
        <w:t xml:space="preserve">%). </w:t>
      </w:r>
    </w:p>
    <w:p>
      <w:pPr>
        <w:pStyle w:val="style0"/>
        <w:spacing w:after="0" w:lineRule="auto" w:line="240"/>
        <w:ind w:left="1080" w:firstLine="720"/>
        <w:jc w:val="both"/>
        <w:rPr>
          <w:rFonts w:ascii="Twentieth Century" w:cs="Times New Roman" w:hAnsi="Twentieth Century" w:hint="eastAsia"/>
          <w:sz w:val="24"/>
          <w:szCs w:val="24"/>
        </w:rPr>
      </w:pPr>
    </w:p>
    <w:p>
      <w:pPr>
        <w:pStyle w:val="style179"/>
        <w:numPr>
          <w:ilvl w:val="0"/>
          <w:numId w:val="1"/>
        </w:numPr>
        <w:spacing w:lineRule="auto" w:line="240"/>
        <w:ind w:left="709"/>
        <w:jc w:val="both"/>
        <w:rPr>
          <w:rFonts w:ascii="Twentieth Century" w:hAnsi="Twentieth Century"/>
          <w:sz w:val="24"/>
          <w:szCs w:val="24"/>
        </w:rPr>
      </w:pPr>
      <w:r>
        <w:rPr>
          <w:rFonts w:ascii="Twentieth Century" w:hAnsi="Twentieth Century"/>
          <w:b/>
          <w:sz w:val="24"/>
          <w:szCs w:val="24"/>
        </w:rPr>
        <w:t>Pemilihan Alat Kontrasepsi</w:t>
      </w:r>
    </w:p>
    <w:p>
      <w:pPr>
        <w:pStyle w:val="style179"/>
        <w:spacing w:lineRule="auto" w:line="240"/>
        <w:ind w:left="709"/>
        <w:rPr>
          <w:rFonts w:ascii="Twentieth Century" w:hAnsi="Twentieth Century"/>
          <w:sz w:val="24"/>
          <w:szCs w:val="24"/>
        </w:rPr>
      </w:pPr>
      <w:r>
        <w:rPr>
          <w:rFonts w:ascii="Twentieth Century" w:hAnsi="Twentieth Century"/>
          <w:sz w:val="24"/>
          <w:szCs w:val="24"/>
        </w:rPr>
        <w:t xml:space="preserve">Distribusi </w:t>
      </w:r>
      <w:r>
        <w:rPr>
          <w:rFonts w:ascii="Twentieth Century" w:hAnsi="Twentieth Century"/>
          <w:sz w:val="24"/>
          <w:szCs w:val="24"/>
          <w:lang w:val="en-US"/>
        </w:rPr>
        <w:t>F</w:t>
      </w:r>
      <w:r>
        <w:rPr>
          <w:rFonts w:ascii="Twentieth Century" w:hAnsi="Twentieth Century"/>
          <w:sz w:val="24"/>
          <w:szCs w:val="24"/>
        </w:rPr>
        <w:t xml:space="preserve">rekuensi </w:t>
      </w:r>
      <w:r>
        <w:rPr>
          <w:rFonts w:ascii="Twentieth Century" w:hAnsi="Twentieth Century"/>
          <w:sz w:val="24"/>
          <w:szCs w:val="24"/>
          <w:lang w:val="en-US"/>
        </w:rPr>
        <w:t>B</w:t>
      </w:r>
      <w:r>
        <w:rPr>
          <w:rFonts w:ascii="Twentieth Century" w:hAnsi="Twentieth Century"/>
          <w:sz w:val="24"/>
          <w:szCs w:val="24"/>
        </w:rPr>
        <w:t xml:space="preserve">erdasarkan </w:t>
      </w:r>
      <w:r>
        <w:rPr>
          <w:rFonts w:ascii="Twentieth Century" w:hAnsi="Twentieth Century"/>
          <w:sz w:val="24"/>
          <w:szCs w:val="24"/>
          <w:lang w:val="en-US"/>
        </w:rPr>
        <w:t>P</w:t>
      </w:r>
      <w:r>
        <w:rPr>
          <w:rFonts w:ascii="Twentieth Century" w:hAnsi="Twentieth Century"/>
          <w:sz w:val="24"/>
          <w:szCs w:val="24"/>
        </w:rPr>
        <w:t xml:space="preserve">emilihan </w:t>
      </w:r>
      <w:r>
        <w:rPr>
          <w:rFonts w:ascii="Twentieth Century" w:hAnsi="Twentieth Century"/>
          <w:sz w:val="24"/>
          <w:szCs w:val="24"/>
          <w:lang w:val="en-US"/>
        </w:rPr>
        <w:t>A</w:t>
      </w:r>
      <w:r>
        <w:rPr>
          <w:rFonts w:ascii="Twentieth Century" w:hAnsi="Twentieth Century"/>
          <w:sz w:val="24"/>
          <w:szCs w:val="24"/>
        </w:rPr>
        <w:t xml:space="preserve">lat </w:t>
      </w:r>
      <w:r>
        <w:rPr>
          <w:rFonts w:ascii="Twentieth Century" w:hAnsi="Twentieth Century"/>
          <w:sz w:val="24"/>
          <w:szCs w:val="24"/>
          <w:lang w:val="en-US"/>
        </w:rPr>
        <w:t>K</w:t>
      </w:r>
      <w:r>
        <w:rPr>
          <w:rFonts w:ascii="Twentieth Century" w:hAnsi="Twentieth Century"/>
          <w:sz w:val="24"/>
          <w:szCs w:val="24"/>
        </w:rPr>
        <w:t xml:space="preserve">ontrasepsi  </w:t>
      </w:r>
      <w:r>
        <w:rPr>
          <w:rFonts w:ascii="Twentieth Century" w:hAnsi="Twentieth Century"/>
          <w:sz w:val="24"/>
          <w:szCs w:val="24"/>
          <w:lang w:val="en-US"/>
        </w:rPr>
        <w:t>R</w:t>
      </w:r>
      <w:r>
        <w:rPr>
          <w:rFonts w:ascii="Twentieth Century" w:hAnsi="Twentieth Century"/>
          <w:sz w:val="24"/>
          <w:szCs w:val="24"/>
        </w:rPr>
        <w:t>esponden</w:t>
      </w:r>
      <w:r>
        <w:rPr>
          <w:rFonts w:ascii="Twentieth Century" w:hAnsi="Twentieth Century"/>
          <w:sz w:val="24"/>
          <w:szCs w:val="24"/>
        </w:rPr>
        <w:t xml:space="preserve">, sebagai berikut : </w:t>
      </w:r>
    </w:p>
    <w:p>
      <w:pPr>
        <w:pStyle w:val="style179"/>
        <w:spacing w:lineRule="auto" w:line="240"/>
        <w:ind w:left="1080"/>
        <w:jc w:val="center"/>
        <w:rPr>
          <w:rFonts w:ascii="Twentieth Century" w:hAnsi="Twentieth Century"/>
          <w:b/>
          <w:sz w:val="20"/>
          <w:szCs w:val="20"/>
        </w:rPr>
      </w:pPr>
      <w:r>
        <w:rPr>
          <w:rFonts w:ascii="Twentieth Century" w:hAnsi="Twentieth Century"/>
          <w:b/>
          <w:sz w:val="20"/>
          <w:szCs w:val="20"/>
        </w:rPr>
        <w:t xml:space="preserve">Tabel </w:t>
      </w:r>
      <w:r>
        <w:rPr>
          <w:rFonts w:hAnsi="Twentieth Century"/>
          <w:b/>
          <w:sz w:val="20"/>
          <w:szCs w:val="20"/>
          <w:lang w:val="en-US"/>
        </w:rPr>
        <w:t>6.</w:t>
      </w:r>
      <w:r>
        <w:rPr>
          <w:rFonts w:ascii="Twentieth Century" w:hAnsi="Twentieth Century"/>
          <w:b/>
          <w:sz w:val="20"/>
          <w:szCs w:val="20"/>
        </w:rPr>
        <w:t xml:space="preserve"> Distribusi </w:t>
      </w:r>
      <w:r>
        <w:rPr>
          <w:rFonts w:ascii="Twentieth Century" w:hAnsi="Twentieth Century"/>
          <w:b/>
          <w:sz w:val="20"/>
          <w:szCs w:val="20"/>
          <w:lang w:val="en-US"/>
        </w:rPr>
        <w:t>K</w:t>
      </w:r>
      <w:r>
        <w:rPr>
          <w:rFonts w:ascii="Twentieth Century" w:hAnsi="Twentieth Century"/>
          <w:b/>
          <w:sz w:val="20"/>
          <w:szCs w:val="20"/>
        </w:rPr>
        <w:t xml:space="preserve">arakteristik </w:t>
      </w:r>
      <w:r>
        <w:rPr>
          <w:rFonts w:ascii="Twentieth Century" w:hAnsi="Twentieth Century"/>
          <w:b/>
          <w:sz w:val="20"/>
          <w:szCs w:val="20"/>
          <w:lang w:val="en-US"/>
        </w:rPr>
        <w:t>R</w:t>
      </w:r>
      <w:r>
        <w:rPr>
          <w:rFonts w:ascii="Twentieth Century" w:hAnsi="Twentieth Century"/>
          <w:b/>
          <w:sz w:val="20"/>
          <w:szCs w:val="20"/>
        </w:rPr>
        <w:t xml:space="preserve">esponden </w:t>
      </w:r>
      <w:r>
        <w:rPr>
          <w:rFonts w:ascii="Twentieth Century" w:hAnsi="Twentieth Century"/>
          <w:b/>
          <w:sz w:val="20"/>
          <w:szCs w:val="20"/>
          <w:lang w:val="en-US"/>
        </w:rPr>
        <w:t>B</w:t>
      </w:r>
      <w:r>
        <w:rPr>
          <w:rFonts w:ascii="Twentieth Century" w:hAnsi="Twentieth Century"/>
          <w:b/>
          <w:sz w:val="20"/>
          <w:szCs w:val="20"/>
        </w:rPr>
        <w:t>erdasark</w:t>
      </w:r>
      <w:r>
        <w:rPr>
          <w:rFonts w:ascii="Twentieth Century" w:hAnsi="Twentieth Century"/>
          <w:b/>
          <w:sz w:val="20"/>
          <w:szCs w:val="20"/>
          <w:lang w:val="en-US"/>
        </w:rPr>
        <w:t>a</w:t>
      </w:r>
      <w:r>
        <w:rPr>
          <w:rFonts w:ascii="Twentieth Century" w:hAnsi="Twentieth Century"/>
          <w:b/>
          <w:sz w:val="20"/>
          <w:szCs w:val="20"/>
        </w:rPr>
        <w:t xml:space="preserve">n </w:t>
      </w:r>
      <w:r>
        <w:rPr>
          <w:rFonts w:ascii="Twentieth Century" w:hAnsi="Twentieth Century"/>
          <w:b/>
          <w:sz w:val="20"/>
          <w:szCs w:val="20"/>
          <w:lang w:val="en-US"/>
        </w:rPr>
        <w:t>P</w:t>
      </w:r>
      <w:r>
        <w:rPr>
          <w:rFonts w:ascii="Twentieth Century" w:hAnsi="Twentieth Century"/>
          <w:b/>
          <w:sz w:val="20"/>
          <w:szCs w:val="20"/>
        </w:rPr>
        <w:t xml:space="preserve">emilihan </w:t>
      </w:r>
      <w:r>
        <w:rPr>
          <w:rFonts w:ascii="Twentieth Century" w:hAnsi="Twentieth Century"/>
          <w:b/>
          <w:sz w:val="20"/>
          <w:szCs w:val="20"/>
          <w:lang w:val="en-US"/>
        </w:rPr>
        <w:t>A</w:t>
      </w:r>
      <w:r>
        <w:rPr>
          <w:rFonts w:ascii="Twentieth Century" w:hAnsi="Twentieth Century"/>
          <w:b/>
          <w:sz w:val="20"/>
          <w:szCs w:val="20"/>
        </w:rPr>
        <w:t xml:space="preserve">lat </w:t>
      </w:r>
      <w:r>
        <w:rPr>
          <w:rFonts w:ascii="Twentieth Century" w:hAnsi="Twentieth Century"/>
          <w:b/>
          <w:sz w:val="20"/>
          <w:szCs w:val="20"/>
          <w:lang w:val="en-US"/>
        </w:rPr>
        <w:t>K</w:t>
      </w:r>
      <w:r>
        <w:rPr>
          <w:rFonts w:ascii="Twentieth Century" w:hAnsi="Twentieth Century"/>
          <w:b/>
          <w:sz w:val="20"/>
          <w:szCs w:val="20"/>
        </w:rPr>
        <w:t>ontrasepsi</w:t>
      </w:r>
    </w:p>
    <w:tbl>
      <w:tblPr>
        <w:tblStyle w:val="style154"/>
        <w:tblW w:w="0" w:type="auto"/>
        <w:tblInd w:w="1069"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419"/>
        <w:gridCol w:w="1259"/>
        <w:gridCol w:w="791"/>
      </w:tblGrid>
      <w:tr>
        <w:trPr>
          <w:trHeight w:val="312" w:hRule="atLeast"/>
        </w:trPr>
        <w:tc>
          <w:tcPr>
            <w:tcW w:w="2422" w:type="dxa"/>
            <w:tcBorders>
              <w:bottom w:val="single" w:sz="4" w:space="0" w:color="auto"/>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Alat kontrasepsi</w:t>
            </w:r>
          </w:p>
        </w:tc>
        <w:tc>
          <w:tcPr>
            <w:tcW w:w="2375" w:type="dxa"/>
            <w:tcBorders>
              <w:bottom w:val="single" w:sz="4" w:space="0" w:color="auto"/>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Frekuensi</w:t>
            </w:r>
          </w:p>
        </w:tc>
        <w:tc>
          <w:tcPr>
            <w:tcW w:w="2288" w:type="dxa"/>
            <w:tcBorders>
              <w:bottom w:val="single" w:sz="4" w:space="0" w:color="auto"/>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w:t>
            </w:r>
          </w:p>
        </w:tc>
      </w:tr>
      <w:tr>
        <w:tblPrEx/>
        <w:trPr/>
        <w:tc>
          <w:tcPr>
            <w:tcW w:w="2422" w:type="dxa"/>
            <w:tcBorders>
              <w:bottom w:val="nil"/>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MKJP</w:t>
            </w:r>
          </w:p>
        </w:tc>
        <w:tc>
          <w:tcPr>
            <w:tcW w:w="2375" w:type="dxa"/>
            <w:tcBorders>
              <w:bottom w:val="nil"/>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46</w:t>
            </w:r>
          </w:p>
        </w:tc>
        <w:tc>
          <w:tcPr>
            <w:tcW w:w="2288" w:type="dxa"/>
            <w:tcBorders>
              <w:bottom w:val="nil"/>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50</w:t>
            </w:r>
          </w:p>
        </w:tc>
      </w:tr>
      <w:tr>
        <w:tblPrEx/>
        <w:trPr/>
        <w:tc>
          <w:tcPr>
            <w:tcW w:w="2422" w:type="dxa"/>
            <w:tcBorders>
              <w:top w:val="nil"/>
              <w:bottom w:val="nil"/>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Non MKJP</w:t>
            </w:r>
          </w:p>
        </w:tc>
        <w:tc>
          <w:tcPr>
            <w:tcW w:w="2375" w:type="dxa"/>
            <w:tcBorders>
              <w:top w:val="nil"/>
              <w:bottom w:val="nil"/>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46</w:t>
            </w:r>
          </w:p>
        </w:tc>
        <w:tc>
          <w:tcPr>
            <w:tcW w:w="2288" w:type="dxa"/>
            <w:tcBorders>
              <w:top w:val="nil"/>
              <w:bottom w:val="nil"/>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50</w:t>
            </w:r>
          </w:p>
        </w:tc>
      </w:tr>
      <w:tr>
        <w:tblPrEx/>
        <w:trPr/>
        <w:tc>
          <w:tcPr>
            <w:tcW w:w="2422" w:type="dxa"/>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Jumlah</w:t>
            </w:r>
          </w:p>
        </w:tc>
        <w:tc>
          <w:tcPr>
            <w:tcW w:w="2375" w:type="dxa"/>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92</w:t>
            </w:r>
          </w:p>
        </w:tc>
        <w:tc>
          <w:tcPr>
            <w:tcW w:w="2288" w:type="dxa"/>
            <w:tcBorders/>
          </w:tcPr>
          <w:p>
            <w:pPr>
              <w:pStyle w:val="style179"/>
              <w:spacing w:lineRule="auto" w:line="240"/>
              <w:ind w:left="0"/>
              <w:jc w:val="center"/>
              <w:rPr>
                <w:rFonts w:ascii="Twentieth Century" w:hAnsi="Twentieth Century"/>
                <w:sz w:val="20"/>
                <w:szCs w:val="20"/>
              </w:rPr>
            </w:pPr>
            <w:r>
              <w:rPr>
                <w:rFonts w:ascii="Twentieth Century" w:hAnsi="Twentieth Century"/>
                <w:sz w:val="20"/>
                <w:szCs w:val="20"/>
              </w:rPr>
              <w:t>100</w:t>
            </w:r>
          </w:p>
        </w:tc>
      </w:tr>
    </w:tbl>
    <w:p>
      <w:pPr>
        <w:pStyle w:val="style179"/>
        <w:spacing w:after="0" w:lineRule="auto" w:line="240"/>
        <w:ind w:left="851"/>
        <w:rPr>
          <w:rFonts w:ascii="Twentieth Century" w:hAnsi="Twentieth Century"/>
          <w:i/>
          <w:sz w:val="20"/>
          <w:szCs w:val="20"/>
        </w:rPr>
      </w:pPr>
      <w:r>
        <w:rPr>
          <w:rFonts w:ascii="Twentieth Century" w:hAnsi="Twentieth Century"/>
          <w:i/>
          <w:sz w:val="20"/>
          <w:szCs w:val="20"/>
        </w:rPr>
        <w:t>Sumber : Data primer diolah 2022</w:t>
      </w:r>
    </w:p>
    <w:p>
      <w:pPr>
        <w:pStyle w:val="style0"/>
        <w:spacing w:after="0" w:lineRule="auto" w:line="240"/>
        <w:ind w:left="1080" w:firstLine="720"/>
        <w:jc w:val="both"/>
        <w:rPr>
          <w:rFonts w:ascii="Twentieth Century" w:cs="Times New Roman" w:hAnsi="Twentieth Century" w:hint="eastAsia"/>
          <w:sz w:val="24"/>
          <w:szCs w:val="24"/>
        </w:rPr>
      </w:pPr>
      <w:r>
        <w:rPr>
          <w:rFonts w:ascii="Twentieth Century" w:cs="Times New Roman" w:hAnsi="Twentieth Century"/>
          <w:sz w:val="24"/>
          <w:szCs w:val="24"/>
        </w:rPr>
        <w:t xml:space="preserve">Tabel </w:t>
      </w:r>
      <w:r>
        <w:rPr>
          <w:rFonts w:cs="Times New Roman" w:hAnsi="Twentieth Century"/>
          <w:sz w:val="24"/>
          <w:szCs w:val="24"/>
          <w:lang w:val="en-US"/>
        </w:rPr>
        <w:t>6. M</w:t>
      </w:r>
      <w:r>
        <w:rPr>
          <w:rFonts w:ascii="Twentieth Century" w:cs="Times New Roman" w:hAnsi="Twentieth Century"/>
          <w:sz w:val="24"/>
          <w:szCs w:val="24"/>
        </w:rPr>
        <w:t xml:space="preserve">enjelaskan bahwa didapatkan hasil frekuensi responden berdasarkan pemilihan alat kontrasepsi menunjukan bahwa responden yang memilih MKJP (Metode Kontrasepsi Jangka Panjang) dan Non MKJP (Non Metode Kontrasepsi Jangka Panjang) frekuensinya sama </w:t>
      </w:r>
      <w:r>
        <w:rPr>
          <w:rFonts w:ascii="Twentieth Century" w:cs="Times New Roman" w:hAnsi="Twentieth Century"/>
          <w:sz w:val="24"/>
          <w:szCs w:val="24"/>
        </w:rPr>
        <w:t>yaitu sebanyak 46 memilih MKJP (50%) dan 46 Non MKJP (50%).</w:t>
      </w:r>
    </w:p>
    <w:p>
      <w:pPr>
        <w:pStyle w:val="style0"/>
        <w:tabs>
          <w:tab w:val="left" w:leader="none" w:pos="426"/>
        </w:tabs>
        <w:spacing w:after="0" w:lineRule="auto" w:line="240"/>
        <w:jc w:val="both"/>
        <w:rPr>
          <w:rFonts w:ascii="Twentieth Century" w:cs="Twentieth Century" w:eastAsia="Twentieth Century" w:hAnsi="Twentieth Century"/>
          <w:sz w:val="24"/>
          <w:szCs w:val="24"/>
        </w:rPr>
      </w:pPr>
    </w:p>
    <w:p>
      <w:pPr>
        <w:pStyle w:val="style0"/>
        <w:spacing w:after="0" w:lineRule="auto" w:line="240"/>
        <w:jc w:val="both"/>
        <w:rPr>
          <w:rFonts w:ascii="Twentieth Century" w:cs="Twentieth Century" w:eastAsia="Twentieth Century" w:hAnsi="Twentieth Century"/>
          <w:b/>
          <w:sz w:val="24"/>
          <w:szCs w:val="24"/>
        </w:rPr>
      </w:pPr>
      <w:r>
        <w:rPr>
          <w:rFonts w:ascii="Twentieth Century" w:cs="Twentieth Century" w:eastAsia="Twentieth Century" w:hAnsi="Twentieth Century"/>
          <w:b/>
          <w:sz w:val="24"/>
          <w:szCs w:val="24"/>
        </w:rPr>
        <w:t>PEMBAHASAN</w:t>
      </w:r>
    </w:p>
    <w:p>
      <w:pPr>
        <w:pStyle w:val="style179"/>
        <w:numPr>
          <w:ilvl w:val="0"/>
          <w:numId w:val="0"/>
        </w:numPr>
        <w:spacing w:after="0" w:lineRule="auto" w:line="240"/>
        <w:ind w:left="709" w:firstLine="0"/>
        <w:jc w:val="both"/>
        <w:rPr>
          <w:rFonts w:ascii="Twentieth Century" w:hAnsi="Twentieth Century"/>
          <w:b/>
          <w:sz w:val="24"/>
          <w:szCs w:val="24"/>
        </w:rPr>
      </w:pPr>
      <w:r>
        <w:rPr>
          <w:rFonts w:ascii="Twentieth Century" w:hAnsi="Twentieth Century"/>
          <w:b/>
          <w:sz w:val="24"/>
          <w:szCs w:val="24"/>
        </w:rPr>
        <w:t xml:space="preserve">Karakteristik </w:t>
      </w:r>
      <w:r>
        <w:rPr>
          <w:rFonts w:ascii="Twentieth Century" w:hAnsi="Twentieth Century"/>
          <w:b/>
          <w:sz w:val="24"/>
          <w:szCs w:val="24"/>
          <w:lang w:val="en-US"/>
        </w:rPr>
        <w:t>R</w:t>
      </w:r>
      <w:r>
        <w:rPr>
          <w:rFonts w:ascii="Twentieth Century" w:hAnsi="Twentieth Century"/>
          <w:b/>
          <w:sz w:val="24"/>
          <w:szCs w:val="24"/>
        </w:rPr>
        <w:t xml:space="preserve">esponden </w:t>
      </w:r>
      <w:r>
        <w:rPr>
          <w:rFonts w:ascii="Twentieth Century" w:hAnsi="Twentieth Century"/>
          <w:b/>
          <w:sz w:val="24"/>
          <w:szCs w:val="24"/>
          <w:lang w:val="en-US"/>
        </w:rPr>
        <w:t>B</w:t>
      </w:r>
      <w:r>
        <w:rPr>
          <w:rFonts w:ascii="Twentieth Century" w:hAnsi="Twentieth Century"/>
          <w:b/>
          <w:sz w:val="24"/>
          <w:szCs w:val="24"/>
        </w:rPr>
        <w:t xml:space="preserve">erdasarkan </w:t>
      </w:r>
      <w:r>
        <w:rPr>
          <w:rFonts w:ascii="Twentieth Century" w:hAnsi="Twentieth Century"/>
          <w:b/>
          <w:sz w:val="24"/>
          <w:szCs w:val="24"/>
          <w:lang w:val="en-US"/>
        </w:rPr>
        <w:t>U</w:t>
      </w:r>
      <w:r>
        <w:rPr>
          <w:rFonts w:ascii="Twentieth Century" w:hAnsi="Twentieth Century"/>
          <w:b/>
          <w:sz w:val="24"/>
          <w:szCs w:val="24"/>
        </w:rPr>
        <w:t xml:space="preserve">sia di Puskesmas Gilingan </w:t>
      </w:r>
    </w:p>
    <w:p>
      <w:pPr>
        <w:pStyle w:val="style0"/>
        <w:spacing w:after="0" w:lineRule="auto" w:line="240"/>
        <w:ind w:left="709" w:firstLine="720"/>
        <w:jc w:val="both"/>
        <w:rPr>
          <w:rFonts w:ascii="Twentieth Century" w:cs="Times New Roman" w:hAnsi="Twentieth Century" w:hint="eastAsia"/>
          <w:sz w:val="24"/>
          <w:szCs w:val="24"/>
        </w:rPr>
      </w:pPr>
      <w:r>
        <w:rPr>
          <w:rFonts w:ascii="Twentieth Century" w:cs="Times New Roman" w:hAnsi="Twentieth Century"/>
          <w:sz w:val="24"/>
          <w:szCs w:val="24"/>
        </w:rPr>
        <w:t>Hasil penelitian distribusi mayoritas responden di Puskesmas Gilingan berusia 31-</w:t>
      </w:r>
      <w:r>
        <w:rPr>
          <w:rFonts w:ascii="Twentieth Century" w:cs="Times New Roman" w:hAnsi="Twentieth Century"/>
          <w:sz w:val="24"/>
          <w:szCs w:val="24"/>
        </w:rPr>
        <w:t>40  tahun</w:t>
      </w:r>
      <w:r>
        <w:rPr>
          <w:rFonts w:ascii="Twentieth Century" w:cs="Times New Roman" w:hAnsi="Twentieth Century"/>
          <w:sz w:val="24"/>
          <w:szCs w:val="24"/>
        </w:rPr>
        <w:t xml:space="preserve"> sebanyak 51 responden (55,4%). Pasangan </w:t>
      </w:r>
      <w:r>
        <w:rPr>
          <w:rFonts w:ascii="Twentieth Century" w:cs="Times New Roman" w:hAnsi="Twentieth Century"/>
          <w:sz w:val="24"/>
          <w:szCs w:val="24"/>
        </w:rPr>
        <w:t>usia</w:t>
      </w:r>
      <w:r>
        <w:rPr>
          <w:rFonts w:ascii="Twentieth Century" w:cs="Times New Roman" w:hAnsi="Twentieth Century"/>
          <w:sz w:val="24"/>
          <w:szCs w:val="24"/>
        </w:rPr>
        <w:t xml:space="preserve"> subur (PUS) di puskesmas gilingan kebanyakan berkisar pada usia 31-41 tahun karena rata-rata usia menikah berada di usia 25 tahun. Penelitian ini sejalan dengan penelitian yang dilakukan oleh </w:t>
      </w:r>
      <w:bookmarkStart w:id="3" w:name="_Hlk112758778"/>
      <w:r>
        <w:rPr>
          <w:rFonts w:ascii="Twentieth Century" w:cs="Times New Roman" w:hAnsi="Twentieth Century"/>
          <w:sz w:val="24"/>
          <w:szCs w:val="24"/>
        </w:rPr>
        <w:t>Fatchiya</w:t>
      </w:r>
      <w:r>
        <w:rPr>
          <w:rFonts w:cs="Times New Roman" w:hAnsi="Twentieth Century"/>
          <w:sz w:val="24"/>
          <w:szCs w:val="24"/>
          <w:lang w:val="en-US"/>
        </w:rPr>
        <w:t>[</w:t>
      </w:r>
      <w:bookmarkEnd w:id="3"/>
      <w:r>
        <w:rPr>
          <w:rFonts w:cs="Times New Roman" w:hAnsi="Twentieth Century"/>
          <w:sz w:val="24"/>
          <w:szCs w:val="24"/>
          <w:lang w:val="en-US"/>
        </w:rPr>
        <w:t xml:space="preserve">4] </w:t>
      </w:r>
      <w:r>
        <w:rPr>
          <w:rFonts w:ascii="Twentieth Century" w:cs="Times New Roman" w:hAnsi="Twentieth Century"/>
          <w:sz w:val="24"/>
          <w:szCs w:val="24"/>
        </w:rPr>
        <w:t>dengan</w:t>
      </w:r>
      <w:r>
        <w:rPr>
          <w:rFonts w:ascii="Twentieth Century" w:cs="Times New Roman" w:hAnsi="Twentieth Century"/>
          <w:sz w:val="24"/>
          <w:szCs w:val="24"/>
        </w:rPr>
        <w:t xml:space="preserve"> mayoritas responden berusia 31-40 tahun yaitu sebanyak 60 responden (50%). </w:t>
      </w:r>
    </w:p>
    <w:p>
      <w:pPr>
        <w:pStyle w:val="style0"/>
        <w:spacing w:after="0" w:lineRule="auto" w:line="240"/>
        <w:ind w:left="709" w:firstLine="720"/>
        <w:jc w:val="both"/>
        <w:rPr>
          <w:rFonts w:ascii="Twentieth Century" w:cs="Times New Roman" w:hAnsi="Twentieth Century" w:hint="eastAsia"/>
          <w:sz w:val="24"/>
          <w:szCs w:val="24"/>
        </w:rPr>
      </w:pPr>
      <w:r>
        <w:rPr>
          <w:rFonts w:ascii="Twentieth Century" w:cs="Times New Roman" w:hAnsi="Twentieth Century"/>
          <w:sz w:val="24"/>
          <w:szCs w:val="24"/>
        </w:rPr>
        <w:t xml:space="preserve">Salah satu faktor yang mempengaruhi tingkat pengetahuan seseorang adalah </w:t>
      </w:r>
      <w:r>
        <w:rPr>
          <w:rFonts w:ascii="Twentieth Century" w:cs="Times New Roman" w:hAnsi="Twentieth Century"/>
          <w:sz w:val="24"/>
          <w:szCs w:val="24"/>
        </w:rPr>
        <w:t>usia</w:t>
      </w:r>
      <w:r>
        <w:rPr>
          <w:rFonts w:ascii="Twentieth Century" w:cs="Times New Roman" w:hAnsi="Twentieth Century"/>
          <w:sz w:val="24"/>
          <w:szCs w:val="24"/>
        </w:rPr>
        <w:t xml:space="preserve">, usia dapat memberi pengaruh pola pikir dan tindakan seseorang. Seseorang dengan </w:t>
      </w:r>
      <w:r>
        <w:rPr>
          <w:rFonts w:ascii="Twentieth Century" w:cs="Times New Roman" w:hAnsi="Twentieth Century"/>
          <w:sz w:val="24"/>
          <w:szCs w:val="24"/>
        </w:rPr>
        <w:t>usia</w:t>
      </w:r>
      <w:r>
        <w:rPr>
          <w:rFonts w:ascii="Twentieth Century" w:cs="Times New Roman" w:hAnsi="Twentieth Century"/>
          <w:sz w:val="24"/>
          <w:szCs w:val="24"/>
        </w:rPr>
        <w:t xml:space="preserve"> yang masih muda cenderung labil dan tidak memperhatikan dampak dari pilihannya, sedangkan pada usia yang lebih tua akan mendorong seseorang mempunyai pengetahuan yang luas dan menghasilkan perilaku yang baik serta pemilihan yang tepat. </w:t>
      </w:r>
    </w:p>
    <w:p>
      <w:pPr>
        <w:pStyle w:val="style0"/>
        <w:spacing w:after="0" w:lineRule="auto" w:line="240"/>
        <w:ind w:left="709" w:firstLine="720"/>
        <w:jc w:val="both"/>
        <w:rPr>
          <w:rFonts w:ascii="Twentieth Century" w:cs="Times New Roman" w:hAnsi="Twentieth Century" w:hint="eastAsia"/>
          <w:sz w:val="24"/>
          <w:szCs w:val="24"/>
        </w:rPr>
      </w:pPr>
      <w:r>
        <w:rPr>
          <w:rFonts w:ascii="Twentieth Century" w:cs="Times New Roman" w:hAnsi="Twentieth Century"/>
          <w:sz w:val="24"/>
          <w:szCs w:val="24"/>
        </w:rPr>
        <w:t>Usia</w:t>
      </w:r>
      <w:r>
        <w:rPr>
          <w:rFonts w:ascii="Twentieth Century" w:cs="Times New Roman" w:hAnsi="Twentieth Century"/>
          <w:sz w:val="24"/>
          <w:szCs w:val="24"/>
        </w:rPr>
        <w:t xml:space="preserve"> seseorang berkisar 31-40 tahun merupakan usia dimana seseorang sudah dewasa dalam menentukan suatu hal, karena di usia- usia tersebut seseorang cenderung memikirkan dampak </w:t>
      </w:r>
      <w:r>
        <w:rPr>
          <w:rFonts w:ascii="Twentieth Century" w:cs="Times New Roman" w:hAnsi="Twentieth Century"/>
          <w:sz w:val="24"/>
          <w:szCs w:val="24"/>
        </w:rPr>
        <w:t>akibat keuntungan dan kerugian dalam menentukan suatu keputusan</w:t>
      </w:r>
      <w:r>
        <w:rPr>
          <w:rFonts w:cs="Times New Roman" w:hAnsi="Twentieth Century"/>
          <w:sz w:val="24"/>
          <w:szCs w:val="24"/>
          <w:lang w:val="en-US"/>
        </w:rPr>
        <w:t>[5]</w:t>
      </w:r>
      <w:bookmarkStart w:id="4" w:name="_Hlk112758766"/>
      <w:r>
        <w:rPr>
          <w:rFonts w:ascii="Twentieth Century" w:cs="Times New Roman" w:hAnsi="Twentieth Century"/>
          <w:sz w:val="24"/>
          <w:szCs w:val="24"/>
        </w:rPr>
        <w:t>.</w:t>
      </w:r>
      <w:bookmarkEnd w:id="4"/>
    </w:p>
    <w:p>
      <w:pPr>
        <w:pStyle w:val="style179"/>
        <w:numPr>
          <w:ilvl w:val="0"/>
          <w:numId w:val="4"/>
        </w:numPr>
        <w:spacing w:after="0" w:lineRule="auto" w:line="240"/>
        <w:ind w:left="709"/>
        <w:jc w:val="both"/>
        <w:rPr>
          <w:rFonts w:ascii="Twentieth Century" w:hAnsi="Twentieth Century"/>
          <w:b/>
          <w:sz w:val="24"/>
          <w:szCs w:val="24"/>
        </w:rPr>
      </w:pPr>
      <w:r>
        <w:rPr>
          <w:rFonts w:ascii="Twentieth Century" w:hAnsi="Twentieth Century"/>
          <w:b/>
          <w:sz w:val="24"/>
          <w:szCs w:val="24"/>
        </w:rPr>
        <w:t xml:space="preserve">Karaktestik </w:t>
      </w:r>
      <w:r>
        <w:rPr>
          <w:rFonts w:ascii="Twentieth Century" w:hAnsi="Twentieth Century"/>
          <w:b/>
          <w:sz w:val="24"/>
          <w:szCs w:val="24"/>
          <w:lang w:val="en-US"/>
        </w:rPr>
        <w:t>R</w:t>
      </w:r>
      <w:r>
        <w:rPr>
          <w:rFonts w:ascii="Twentieth Century" w:hAnsi="Twentieth Century"/>
          <w:b/>
          <w:sz w:val="24"/>
          <w:szCs w:val="24"/>
        </w:rPr>
        <w:t xml:space="preserve">esponden </w:t>
      </w:r>
      <w:r>
        <w:rPr>
          <w:rFonts w:ascii="Twentieth Century" w:hAnsi="Twentieth Century"/>
          <w:b/>
          <w:sz w:val="24"/>
          <w:szCs w:val="24"/>
          <w:lang w:val="en-US"/>
        </w:rPr>
        <w:t>B</w:t>
      </w:r>
      <w:r>
        <w:rPr>
          <w:rFonts w:ascii="Twentieth Century" w:hAnsi="Twentieth Century"/>
          <w:b/>
          <w:sz w:val="24"/>
          <w:szCs w:val="24"/>
        </w:rPr>
        <w:t xml:space="preserve">erdasarkan </w:t>
      </w:r>
      <w:r>
        <w:rPr>
          <w:rFonts w:ascii="Twentieth Century" w:hAnsi="Twentieth Century"/>
          <w:b/>
          <w:sz w:val="24"/>
          <w:szCs w:val="24"/>
          <w:lang w:val="en-US"/>
        </w:rPr>
        <w:t>P</w:t>
      </w:r>
      <w:r>
        <w:rPr>
          <w:rFonts w:ascii="Twentieth Century" w:hAnsi="Twentieth Century"/>
          <w:b/>
          <w:sz w:val="24"/>
          <w:szCs w:val="24"/>
        </w:rPr>
        <w:t xml:space="preserve">endidikan di Puskesmas Gilingan </w:t>
      </w:r>
    </w:p>
    <w:p>
      <w:pPr>
        <w:pStyle w:val="style179"/>
        <w:spacing w:lineRule="auto" w:line="240"/>
        <w:ind w:left="709" w:firstLine="720"/>
        <w:jc w:val="both"/>
        <w:rPr>
          <w:rFonts w:ascii="Twentieth Century" w:hAnsi="Twentieth Century"/>
          <w:sz w:val="24"/>
          <w:szCs w:val="24"/>
        </w:rPr>
      </w:pPr>
      <w:r>
        <w:rPr>
          <w:rFonts w:ascii="Twentieth Century" w:hAnsi="Twentieth Century"/>
          <w:sz w:val="24"/>
          <w:szCs w:val="24"/>
        </w:rPr>
        <w:t>Hasil penelitian distribusi mayoritas responden di Puskesmas Gilingan mempunyai pendidikan SMA</w:t>
      </w:r>
      <w:r>
        <w:rPr>
          <w:rFonts w:ascii="Twentieth Century" w:hAnsi="Twentieth Century"/>
          <w:sz w:val="24"/>
          <w:szCs w:val="24"/>
          <w:lang w:val="en-US"/>
        </w:rPr>
        <w:t>/SMK</w:t>
      </w:r>
      <w:r>
        <w:rPr>
          <w:rFonts w:ascii="Twentieth Century" w:hAnsi="Twentieth Century"/>
          <w:sz w:val="24"/>
          <w:szCs w:val="24"/>
        </w:rPr>
        <w:t xml:space="preserve"> yaitu sebanyak 36 (39</w:t>
      </w:r>
      <w:r>
        <w:rPr>
          <w:rFonts w:ascii="Twentieth Century" w:hAnsi="Twentieth Century"/>
          <w:sz w:val="24"/>
          <w:szCs w:val="24"/>
        </w:rPr>
        <w:t>,1</w:t>
      </w:r>
      <w:r>
        <w:rPr>
          <w:rFonts w:ascii="Twentieth Century" w:hAnsi="Twentieth Century"/>
          <w:sz w:val="24"/>
          <w:szCs w:val="24"/>
        </w:rPr>
        <w:t xml:space="preserve">%). Latar belakang pendidikan </w:t>
      </w:r>
      <w:r>
        <w:rPr>
          <w:rFonts w:ascii="Twentieth Century" w:hAnsi="Twentieth Century"/>
          <w:sz w:val="24"/>
          <w:szCs w:val="24"/>
        </w:rPr>
        <w:t>akan</w:t>
      </w:r>
      <w:r>
        <w:rPr>
          <w:rFonts w:ascii="Twentieth Century" w:hAnsi="Twentieth Century"/>
          <w:sz w:val="24"/>
          <w:szCs w:val="24"/>
        </w:rPr>
        <w:t xml:space="preserve"> membentuk cara pikir seseorang termasuk dalam pemilihan alat kontrasepsi yang tepa</w:t>
      </w:r>
      <w:r>
        <w:rPr>
          <w:rFonts w:ascii="Twentieth Century" w:hAnsi="Twentieth Century"/>
          <w:sz w:val="24"/>
          <w:szCs w:val="24"/>
          <w:lang w:val="en-US"/>
        </w:rPr>
        <w:t>t</w:t>
      </w:r>
      <w:r>
        <w:rPr>
          <w:rFonts w:ascii="Twentieth Century" w:hAnsi="Twentieth Century"/>
          <w:sz w:val="24"/>
          <w:szCs w:val="24"/>
        </w:rPr>
        <w:t>. Seseorang yang mempunyai latar belak</w:t>
      </w:r>
      <w:r>
        <w:rPr>
          <w:rFonts w:ascii="Twentieth Century" w:hAnsi="Twentieth Century"/>
          <w:sz w:val="24"/>
          <w:szCs w:val="24"/>
          <w:lang w:val="en-US"/>
        </w:rPr>
        <w:t>a</w:t>
      </w:r>
      <w:r>
        <w:rPr>
          <w:rFonts w:ascii="Twentieth Century" w:hAnsi="Twentieth Century"/>
          <w:sz w:val="24"/>
          <w:szCs w:val="24"/>
        </w:rPr>
        <w:t xml:space="preserve">ng pendidikan tinggi cenderung </w:t>
      </w:r>
      <w:r>
        <w:rPr>
          <w:rFonts w:ascii="Twentieth Century" w:hAnsi="Twentieth Century"/>
          <w:sz w:val="24"/>
          <w:szCs w:val="24"/>
        </w:rPr>
        <w:t>akan</w:t>
      </w:r>
      <w:r>
        <w:rPr>
          <w:rFonts w:ascii="Twentieth Century" w:hAnsi="Twentieth Century"/>
          <w:sz w:val="24"/>
          <w:szCs w:val="24"/>
        </w:rPr>
        <w:t xml:space="preserve"> memikirkan dampak yang akan terjadi jika dalam pemilihan alat kontrasepsi yang tidak tepat.</w:t>
      </w:r>
    </w:p>
    <w:p>
      <w:pPr>
        <w:pStyle w:val="style179"/>
        <w:spacing w:lineRule="auto" w:line="240"/>
        <w:ind w:left="709" w:firstLine="720"/>
        <w:jc w:val="both"/>
        <w:rPr>
          <w:rFonts w:ascii="Twentieth Century" w:hAnsi="Twentieth Century"/>
          <w:sz w:val="24"/>
          <w:szCs w:val="24"/>
        </w:rPr>
      </w:pPr>
      <w:r>
        <w:rPr>
          <w:rFonts w:ascii="Twentieth Century" w:hAnsi="Twentieth Century"/>
          <w:sz w:val="24"/>
          <w:szCs w:val="24"/>
        </w:rPr>
        <w:t xml:space="preserve">Semakin tinggi tingkat pendidikan </w:t>
      </w:r>
      <w:r>
        <w:rPr>
          <w:rFonts w:ascii="Twentieth Century" w:hAnsi="Twentieth Century"/>
          <w:sz w:val="24"/>
          <w:szCs w:val="24"/>
        </w:rPr>
        <w:t>akan</w:t>
      </w:r>
      <w:r>
        <w:rPr>
          <w:rFonts w:ascii="Twentieth Century" w:hAnsi="Twentieth Century"/>
          <w:sz w:val="24"/>
          <w:szCs w:val="24"/>
        </w:rPr>
        <w:t xml:space="preserve"> sangat mempengaruhi seseorang dalam berpendapat, berpikir serta menentukan sikap serta akan cenderung lebih mandiri dalam mengambil keputusan dan tindakan. Pendidikan seorang wanita </w:t>
      </w:r>
      <w:r>
        <w:rPr>
          <w:rFonts w:ascii="Twentieth Century" w:hAnsi="Twentieth Century"/>
          <w:sz w:val="24"/>
          <w:szCs w:val="24"/>
        </w:rPr>
        <w:t>akan</w:t>
      </w:r>
      <w:r>
        <w:rPr>
          <w:rFonts w:ascii="Twentieth Century" w:hAnsi="Twentieth Century"/>
          <w:sz w:val="24"/>
          <w:szCs w:val="24"/>
        </w:rPr>
        <w:t xml:space="preserve"> mempengaruhi kesadaran untuk memiliki jumlah anak yang sedikit dan hal ini akan berdampak pada keikutsertaan dalam program KB </w:t>
      </w:r>
      <w:r>
        <w:rPr>
          <w:rFonts w:hAnsi="Twentieth Century"/>
          <w:sz w:val="24"/>
          <w:szCs w:val="24"/>
          <w:lang w:val="en-US"/>
        </w:rPr>
        <w:t>[6].</w:t>
      </w:r>
    </w:p>
    <w:p>
      <w:pPr>
        <w:pStyle w:val="style179"/>
        <w:spacing w:lineRule="auto" w:line="240"/>
        <w:ind w:left="709" w:firstLine="720"/>
        <w:jc w:val="both"/>
        <w:rPr>
          <w:rFonts w:ascii="Twentieth Century" w:hAnsi="Twentieth Century"/>
          <w:sz w:val="24"/>
          <w:szCs w:val="24"/>
        </w:rPr>
      </w:pPr>
      <w:r>
        <w:rPr>
          <w:rFonts w:ascii="Twentieth Century" w:hAnsi="Twentieth Century"/>
          <w:sz w:val="24"/>
          <w:szCs w:val="24"/>
        </w:rPr>
        <w:t>Pendidikan  adalah</w:t>
      </w:r>
      <w:r>
        <w:rPr>
          <w:rFonts w:ascii="Twentieth Century" w:hAnsi="Twentieth Century"/>
          <w:sz w:val="24"/>
          <w:szCs w:val="24"/>
        </w:rPr>
        <w:t xml:space="preserve"> bimbingan  yang  diberikan seseorang  pada oran</w:t>
      </w:r>
      <w:r>
        <w:rPr>
          <w:rFonts w:ascii="Twentieth Century" w:hAnsi="Twentieth Century"/>
          <w:sz w:val="24"/>
          <w:szCs w:val="24"/>
          <w:lang w:val="en-US"/>
        </w:rPr>
        <w:t xml:space="preserve">g </w:t>
      </w:r>
      <w:r>
        <w:rPr>
          <w:rFonts w:ascii="Twentieth Century" w:hAnsi="Twentieth Century"/>
          <w:sz w:val="24"/>
          <w:szCs w:val="24"/>
        </w:rPr>
        <w:t>lai</w:t>
      </w:r>
      <w:r>
        <w:rPr>
          <w:rFonts w:ascii="Twentieth Century" w:hAnsi="Twentieth Century"/>
          <w:sz w:val="24"/>
          <w:szCs w:val="24"/>
          <w:lang w:val="en-US"/>
        </w:rPr>
        <w:t xml:space="preserve">n </w:t>
      </w:r>
      <w:r>
        <w:rPr>
          <w:rFonts w:ascii="Twentieth Century" w:hAnsi="Twentieth Century"/>
          <w:sz w:val="24"/>
          <w:szCs w:val="24"/>
        </w:rPr>
        <w:t>terhadap</w:t>
      </w:r>
      <w:r>
        <w:rPr>
          <w:rFonts w:ascii="Twentieth Century" w:hAnsi="Twentieth Century"/>
          <w:sz w:val="24"/>
          <w:szCs w:val="24"/>
          <w:lang w:val="en-US"/>
        </w:rPr>
        <w:t xml:space="preserve"> </w:t>
      </w:r>
      <w:r>
        <w:rPr>
          <w:rFonts w:ascii="Twentieth Century" w:hAnsi="Twentieth Century"/>
          <w:sz w:val="24"/>
          <w:szCs w:val="24"/>
        </w:rPr>
        <w:t>sesuatu</w:t>
      </w:r>
      <w:r>
        <w:rPr>
          <w:rFonts w:ascii="Twentieth Century" w:hAnsi="Twentieth Century"/>
          <w:sz w:val="24"/>
          <w:szCs w:val="24"/>
          <w:lang w:val="en-US"/>
        </w:rPr>
        <w:t xml:space="preserve"> </w:t>
      </w:r>
      <w:r>
        <w:rPr>
          <w:rFonts w:ascii="Twentieth Century" w:hAnsi="Twentieth Century"/>
          <w:sz w:val="24"/>
          <w:szCs w:val="24"/>
        </w:rPr>
        <w:t>hal</w:t>
      </w:r>
      <w:r>
        <w:rPr>
          <w:rFonts w:ascii="Twentieth Century" w:hAnsi="Twentieth Century"/>
          <w:sz w:val="24"/>
          <w:szCs w:val="24"/>
          <w:lang w:val="en-US"/>
        </w:rPr>
        <w:t xml:space="preserve"> </w:t>
      </w:r>
      <w:r>
        <w:rPr>
          <w:rFonts w:ascii="Twentieth Century" w:hAnsi="Twentieth Century"/>
          <w:sz w:val="24"/>
          <w:szCs w:val="24"/>
        </w:rPr>
        <w:t xml:space="preserve">agar mereka dapat memahaminya. Makin tinggi pendidikan seseorang semakin mudah pula </w:t>
      </w:r>
      <w:r>
        <w:rPr>
          <w:rFonts w:ascii="Twentieth Century" w:hAnsi="Twentieth Century"/>
          <w:sz w:val="24"/>
          <w:szCs w:val="24"/>
        </w:rPr>
        <w:t xml:space="preserve">mereka </w:t>
      </w:r>
      <w:r>
        <w:rPr>
          <w:rFonts w:ascii="Twentieth Century" w:hAnsi="Twentieth Century"/>
          <w:sz w:val="24"/>
          <w:szCs w:val="24"/>
          <w:lang w:val="en-US"/>
        </w:rPr>
        <w:t xml:space="preserve"> </w:t>
      </w:r>
      <w:r>
        <w:rPr>
          <w:rFonts w:ascii="Twentieth Century" w:hAnsi="Twentieth Century"/>
          <w:sz w:val="24"/>
          <w:szCs w:val="24"/>
        </w:rPr>
        <w:t>menerima</w:t>
      </w:r>
      <w:r>
        <w:rPr>
          <w:rFonts w:ascii="Twentieth Century" w:hAnsi="Twentieth Century"/>
          <w:sz w:val="24"/>
          <w:szCs w:val="24"/>
          <w:lang w:val="en-US"/>
        </w:rPr>
        <w:t xml:space="preserve"> </w:t>
      </w:r>
      <w:r>
        <w:rPr>
          <w:rFonts w:ascii="Twentieth Century" w:hAnsi="Twentieth Century"/>
          <w:sz w:val="24"/>
          <w:szCs w:val="24"/>
        </w:rPr>
        <w:t>informasi,</w:t>
      </w:r>
      <w:r>
        <w:rPr>
          <w:rFonts w:ascii="Twentieth Century" w:hAnsi="Twentieth Century"/>
          <w:sz w:val="24"/>
          <w:szCs w:val="24"/>
          <w:lang w:val="en-US"/>
        </w:rPr>
        <w:t xml:space="preserve"> </w:t>
      </w:r>
      <w:r>
        <w:rPr>
          <w:rFonts w:ascii="Twentieth Century" w:hAnsi="Twentieth Century"/>
          <w:sz w:val="24"/>
          <w:szCs w:val="24"/>
        </w:rPr>
        <w:t>dan</w:t>
      </w:r>
      <w:r>
        <w:rPr>
          <w:rFonts w:ascii="Twentieth Century" w:hAnsi="Twentieth Century"/>
          <w:sz w:val="24"/>
          <w:szCs w:val="24"/>
          <w:lang w:val="en-US"/>
        </w:rPr>
        <w:t xml:space="preserve"> </w:t>
      </w:r>
      <w:r>
        <w:rPr>
          <w:rFonts w:ascii="Twentieth Century" w:hAnsi="Twentieth Century"/>
          <w:sz w:val="24"/>
          <w:szCs w:val="24"/>
        </w:rPr>
        <w:t xml:space="preserve">pada akhirnya makin  banyak  pula  pengetahuan yang </w:t>
      </w:r>
      <w:r>
        <w:rPr>
          <w:rFonts w:ascii="Twentieth Century" w:hAnsi="Twentieth Century"/>
          <w:sz w:val="24"/>
          <w:szCs w:val="24"/>
        </w:rPr>
        <w:t>dimilikinya. Sebaliknya jika seseorang</w:t>
      </w:r>
      <w:r>
        <w:rPr>
          <w:rFonts w:ascii="Twentieth Century" w:hAnsi="Twentieth Century"/>
          <w:sz w:val="24"/>
          <w:szCs w:val="24"/>
          <w:lang w:val="en-US"/>
        </w:rPr>
        <w:t xml:space="preserve"> </w:t>
      </w:r>
      <w:r>
        <w:rPr>
          <w:rFonts w:ascii="Twentieth Century" w:hAnsi="Twentieth Century"/>
          <w:sz w:val="24"/>
          <w:szCs w:val="24"/>
        </w:rPr>
        <w:t>tingkat</w:t>
      </w:r>
      <w:r>
        <w:rPr>
          <w:rFonts w:ascii="Twentieth Century" w:hAnsi="Twentieth Century"/>
          <w:sz w:val="24"/>
          <w:szCs w:val="24"/>
          <w:lang w:val="en-US"/>
        </w:rPr>
        <w:t xml:space="preserve"> </w:t>
      </w:r>
      <w:r>
        <w:rPr>
          <w:rFonts w:ascii="Twentieth Century" w:hAnsi="Twentieth Century"/>
          <w:sz w:val="24"/>
          <w:szCs w:val="24"/>
        </w:rPr>
        <w:t>pendidikannya  rendah</w:t>
      </w:r>
      <w:r>
        <w:rPr>
          <w:rFonts w:ascii="Twentieth Century" w:hAnsi="Twentieth Century"/>
          <w:sz w:val="24"/>
          <w:szCs w:val="24"/>
        </w:rPr>
        <w:t>, akan</w:t>
      </w:r>
      <w:r>
        <w:rPr>
          <w:rFonts w:ascii="Twentieth Century" w:hAnsi="Twentieth Century"/>
          <w:sz w:val="24"/>
          <w:szCs w:val="24"/>
          <w:lang w:val="en-US"/>
        </w:rPr>
        <w:t xml:space="preserve"> </w:t>
      </w:r>
      <w:r>
        <w:rPr>
          <w:rFonts w:ascii="Twentieth Century" w:hAnsi="Twentieth Century"/>
          <w:sz w:val="24"/>
          <w:szCs w:val="24"/>
        </w:rPr>
        <w:t>menghambat</w:t>
      </w:r>
      <w:r>
        <w:rPr>
          <w:rFonts w:ascii="Twentieth Century" w:hAnsi="Twentieth Century"/>
          <w:sz w:val="24"/>
          <w:szCs w:val="24"/>
          <w:lang w:val="en-US"/>
        </w:rPr>
        <w:t xml:space="preserve"> </w:t>
      </w:r>
      <w:r>
        <w:rPr>
          <w:rFonts w:ascii="Twentieth Century" w:hAnsi="Twentieth Century"/>
          <w:sz w:val="24"/>
          <w:szCs w:val="24"/>
        </w:rPr>
        <w:t>perkembangan</w:t>
      </w:r>
      <w:r>
        <w:rPr>
          <w:rFonts w:ascii="Twentieth Century" w:hAnsi="Twentieth Century"/>
          <w:sz w:val="24"/>
          <w:szCs w:val="24"/>
          <w:lang w:val="en-US"/>
        </w:rPr>
        <w:t xml:space="preserve"> </w:t>
      </w:r>
      <w:r>
        <w:rPr>
          <w:rFonts w:ascii="Twentieth Century" w:hAnsi="Twentieth Century"/>
          <w:sz w:val="24"/>
          <w:szCs w:val="24"/>
        </w:rPr>
        <w:t>sikap seseorang</w:t>
      </w:r>
      <w:r>
        <w:rPr>
          <w:rFonts w:ascii="Twentieth Century" w:hAnsi="Twentieth Century"/>
          <w:sz w:val="24"/>
          <w:szCs w:val="24"/>
          <w:lang w:val="en-US"/>
        </w:rPr>
        <w:t xml:space="preserve"> </w:t>
      </w:r>
      <w:r>
        <w:rPr>
          <w:rFonts w:ascii="Twentieth Century" w:hAnsi="Twentieth Century"/>
          <w:sz w:val="24"/>
          <w:szCs w:val="24"/>
        </w:rPr>
        <w:t>terhadap  penerimaan,  informasi dan nilai -nilai yang baru diperkenalkan</w:t>
      </w:r>
      <w:r>
        <w:rPr>
          <w:rFonts w:hAnsi="Twentieth Century"/>
          <w:sz w:val="24"/>
          <w:szCs w:val="24"/>
          <w:lang w:val="en-US"/>
        </w:rPr>
        <w:t xml:space="preserve">[7]. </w:t>
      </w:r>
    </w:p>
    <w:p>
      <w:pPr>
        <w:pStyle w:val="style179"/>
        <w:numPr>
          <w:ilvl w:val="0"/>
          <w:numId w:val="4"/>
        </w:numPr>
        <w:spacing w:lineRule="auto" w:line="240"/>
        <w:ind w:left="709"/>
        <w:jc w:val="both"/>
        <w:rPr>
          <w:rFonts w:ascii="Twentieth Century" w:hAnsi="Twentieth Century"/>
          <w:b/>
          <w:sz w:val="24"/>
          <w:szCs w:val="24"/>
        </w:rPr>
      </w:pPr>
      <w:r>
        <w:rPr>
          <w:rFonts w:ascii="Twentieth Century" w:hAnsi="Twentieth Century"/>
          <w:b/>
          <w:sz w:val="24"/>
          <w:szCs w:val="24"/>
        </w:rPr>
        <w:t xml:space="preserve">Karakteristik </w:t>
      </w:r>
      <w:r>
        <w:rPr>
          <w:rFonts w:ascii="Twentieth Century" w:hAnsi="Twentieth Century"/>
          <w:b/>
          <w:sz w:val="24"/>
          <w:szCs w:val="24"/>
          <w:lang w:val="en-US"/>
        </w:rPr>
        <w:t>R</w:t>
      </w:r>
      <w:r>
        <w:rPr>
          <w:rFonts w:ascii="Twentieth Century" w:hAnsi="Twentieth Century"/>
          <w:b/>
          <w:sz w:val="24"/>
          <w:szCs w:val="24"/>
        </w:rPr>
        <w:t xml:space="preserve">esponden </w:t>
      </w:r>
      <w:r>
        <w:rPr>
          <w:rFonts w:ascii="Twentieth Century" w:hAnsi="Twentieth Century"/>
          <w:b/>
          <w:sz w:val="24"/>
          <w:szCs w:val="24"/>
          <w:lang w:val="en-US"/>
        </w:rPr>
        <w:t>R</w:t>
      </w:r>
      <w:r>
        <w:rPr>
          <w:rFonts w:ascii="Twentieth Century" w:hAnsi="Twentieth Century"/>
          <w:b/>
          <w:sz w:val="24"/>
          <w:szCs w:val="24"/>
        </w:rPr>
        <w:t xml:space="preserve">erdasarkan </w:t>
      </w:r>
      <w:r>
        <w:rPr>
          <w:rFonts w:ascii="Twentieth Century" w:hAnsi="Twentieth Century"/>
          <w:b/>
          <w:sz w:val="24"/>
          <w:szCs w:val="24"/>
          <w:lang w:val="en-US"/>
        </w:rPr>
        <w:t>P</w:t>
      </w:r>
      <w:r>
        <w:rPr>
          <w:rFonts w:ascii="Twentieth Century" w:hAnsi="Twentieth Century"/>
          <w:b/>
          <w:sz w:val="24"/>
          <w:szCs w:val="24"/>
        </w:rPr>
        <w:t>ekerjaa</w:t>
      </w:r>
      <w:r>
        <w:rPr>
          <w:rFonts w:ascii="Twentieth Century" w:hAnsi="Twentieth Century"/>
          <w:b/>
          <w:sz w:val="24"/>
          <w:szCs w:val="24"/>
          <w:lang w:val="en-US"/>
        </w:rPr>
        <w:t>n</w:t>
      </w:r>
      <w:r>
        <w:rPr>
          <w:rFonts w:ascii="Twentieth Century" w:hAnsi="Twentieth Century"/>
          <w:b/>
          <w:sz w:val="24"/>
          <w:szCs w:val="24"/>
        </w:rPr>
        <w:t xml:space="preserve"> di Puskesmas Gilingan </w:t>
      </w:r>
    </w:p>
    <w:p>
      <w:pPr>
        <w:pStyle w:val="style179"/>
        <w:spacing w:lineRule="auto" w:line="240"/>
        <w:ind w:left="709" w:firstLine="709"/>
        <w:jc w:val="both"/>
        <w:rPr>
          <w:rFonts w:ascii="Twentieth Century" w:hAnsi="Twentieth Century"/>
          <w:sz w:val="24"/>
          <w:szCs w:val="24"/>
        </w:rPr>
      </w:pPr>
      <w:r>
        <w:rPr>
          <w:rFonts w:ascii="Twentieth Century" w:hAnsi="Twentieth Century"/>
          <w:sz w:val="24"/>
          <w:szCs w:val="24"/>
        </w:rPr>
        <w:t>Hasil penelitian distribusi mayoritas responden di Puskesmas Gilingan bekerja yaitu sebanyak 50 responden (54</w:t>
      </w:r>
      <w:r>
        <w:rPr>
          <w:rFonts w:ascii="Twentieth Century" w:hAnsi="Twentieth Century"/>
          <w:sz w:val="24"/>
          <w:szCs w:val="24"/>
        </w:rPr>
        <w:t>,3</w:t>
      </w:r>
      <w:r>
        <w:rPr>
          <w:rFonts w:ascii="Twentieth Century" w:hAnsi="Twentieth Century"/>
          <w:sz w:val="24"/>
          <w:szCs w:val="24"/>
        </w:rPr>
        <w:t>%). Wanita usia subur  yang  bekerja  bermanfaat  untuk  perbaikan  ekonomi  keluarga  dan  sekaligus  perbaikan pembiayaan kesehatan termasuk pembiayaan kontrasepsi hormonal yang diminati. Pekerjaan</w:t>
      </w:r>
      <w:r>
        <w:rPr>
          <w:rFonts w:ascii="Twentieth Century" w:hAnsi="Twentieth Century"/>
          <w:sz w:val="24"/>
          <w:szCs w:val="24"/>
          <w:lang w:val="en-US"/>
        </w:rPr>
        <w:t xml:space="preserve"> </w:t>
      </w:r>
      <w:r>
        <w:rPr>
          <w:rFonts w:ascii="Twentieth Century" w:hAnsi="Twentieth Century"/>
          <w:sz w:val="24"/>
          <w:szCs w:val="24"/>
        </w:rPr>
        <w:t>wanita  memiliki</w:t>
      </w:r>
      <w:r>
        <w:rPr>
          <w:rFonts w:ascii="Twentieth Century" w:hAnsi="Twentieth Century"/>
          <w:sz w:val="24"/>
          <w:szCs w:val="24"/>
        </w:rPr>
        <w:t xml:space="preserve">  pengaruh  terhadap  fertilitas dan  penggunaan  kontrasepsi </w:t>
      </w:r>
      <w:r>
        <w:rPr>
          <w:rFonts w:hAnsi="Twentieth Century"/>
          <w:sz w:val="24"/>
          <w:szCs w:val="24"/>
          <w:lang w:val="en-US"/>
        </w:rPr>
        <w:t xml:space="preserve">[8]. </w:t>
      </w:r>
    </w:p>
    <w:p>
      <w:pPr>
        <w:pStyle w:val="style179"/>
        <w:spacing w:after="0" w:lineRule="auto" w:line="240"/>
        <w:ind w:left="709" w:firstLine="709"/>
        <w:jc w:val="both"/>
        <w:rPr>
          <w:rFonts w:ascii="Twentieth Century" w:hAnsi="Twentieth Century"/>
          <w:sz w:val="24"/>
          <w:szCs w:val="24"/>
        </w:rPr>
      </w:pPr>
      <w:r>
        <w:rPr>
          <w:rFonts w:ascii="Twentieth Century" w:hAnsi="Twentieth Century"/>
          <w:sz w:val="24"/>
          <w:szCs w:val="24"/>
        </w:rPr>
        <w:t xml:space="preserve">Kontrasepsi bagi wanita pekerja, sangat berguna </w:t>
      </w:r>
      <w:r>
        <w:rPr>
          <w:rFonts w:ascii="Twentieth Century" w:hAnsi="Twentieth Century"/>
          <w:sz w:val="24"/>
          <w:szCs w:val="24"/>
        </w:rPr>
        <w:t>untuk  mengatur</w:t>
      </w:r>
      <w:r>
        <w:rPr>
          <w:rFonts w:ascii="Twentieth Century" w:hAnsi="Twentieth Century"/>
          <w:sz w:val="24"/>
          <w:szCs w:val="24"/>
        </w:rPr>
        <w:t xml:space="preserve">  dan  membatasi  kelahiran  dalam  mendukung karier kerja khususnya bagi wanita yang bekerja diluar rumah sebagai karyawati yang diupah dan saat ini WUS karyawati cenderung memiliki anak sedikit di banding yang tidak </w:t>
      </w:r>
      <w:r>
        <w:rPr>
          <w:rFonts w:hAnsi="Twentieth Century"/>
          <w:sz w:val="24"/>
          <w:szCs w:val="24"/>
          <w:lang w:val="en-US"/>
        </w:rPr>
        <w:t>bekerja [7].</w:t>
      </w:r>
    </w:p>
    <w:p>
      <w:pPr>
        <w:pStyle w:val="style0"/>
        <w:spacing w:after="0" w:lineRule="auto" w:line="240"/>
        <w:ind w:left="709" w:firstLine="720"/>
        <w:jc w:val="both"/>
        <w:rPr>
          <w:rFonts w:ascii="Twentieth Century" w:cs="Times New Roman" w:hAnsi="Twentieth Century" w:hint="eastAsia"/>
          <w:sz w:val="24"/>
          <w:szCs w:val="24"/>
        </w:rPr>
      </w:pPr>
      <w:r>
        <w:rPr>
          <w:rFonts w:ascii="Twentieth Century" w:cs="Times New Roman" w:hAnsi="Twentieth Century"/>
          <w:sz w:val="24"/>
          <w:szCs w:val="24"/>
        </w:rPr>
        <w:t xml:space="preserve">Pernyataan ini didukung dengan hasil penelitian yang dilakukan oleh </w:t>
      </w:r>
      <w:bookmarkStart w:id="5" w:name="_Hlk112758837"/>
      <w:r>
        <w:rPr>
          <w:rFonts w:cs="Times New Roman" w:hAnsi="Twentieth Century"/>
          <w:sz w:val="24"/>
          <w:szCs w:val="24"/>
          <w:lang w:val="en-US"/>
        </w:rPr>
        <w:t>Saskara[8]</w:t>
      </w:r>
      <w:bookmarkEnd w:id="5"/>
      <w:r>
        <w:rPr>
          <w:rFonts w:cs="Times New Roman" w:hAnsi="Twentieth Century"/>
          <w:sz w:val="24"/>
          <w:szCs w:val="24"/>
          <w:lang w:val="en-US"/>
        </w:rPr>
        <w:t xml:space="preserve"> </w:t>
      </w:r>
      <w:r>
        <w:rPr>
          <w:rFonts w:ascii="Twentieth Century" w:cs="Times New Roman" w:hAnsi="Twentieth Century"/>
          <w:sz w:val="24"/>
          <w:szCs w:val="24"/>
        </w:rPr>
        <w:t xml:space="preserve">yang menyatakan bahwa wanita yang bekerja bermanfaat untuk perbaikan ekonomi keluarga dan sekaligus perbaikan pembiayaan kesehatan </w:t>
      </w:r>
      <w:r>
        <w:rPr>
          <w:rFonts w:ascii="Twentieth Century" w:cs="Times New Roman" w:hAnsi="Twentieth Century"/>
          <w:sz w:val="24"/>
          <w:szCs w:val="24"/>
        </w:rPr>
        <w:t>termasuk pembiayaan kontrasepsi hormonal yang diminati.</w:t>
      </w:r>
    </w:p>
    <w:p>
      <w:pPr>
        <w:pStyle w:val="style179"/>
        <w:numPr>
          <w:ilvl w:val="0"/>
          <w:numId w:val="4"/>
        </w:numPr>
        <w:spacing w:after="0" w:lineRule="auto" w:line="240"/>
        <w:ind w:left="709"/>
        <w:jc w:val="both"/>
        <w:rPr>
          <w:rFonts w:ascii="Twentieth Century" w:hAnsi="Twentieth Century"/>
          <w:b/>
          <w:sz w:val="24"/>
          <w:szCs w:val="24"/>
        </w:rPr>
      </w:pPr>
      <w:r>
        <w:rPr>
          <w:rFonts w:ascii="Twentieth Century" w:hAnsi="Twentieth Century"/>
          <w:b/>
          <w:sz w:val="24"/>
          <w:szCs w:val="24"/>
        </w:rPr>
        <w:t xml:space="preserve">Karakteristik </w:t>
      </w:r>
      <w:r>
        <w:rPr>
          <w:rFonts w:ascii="Twentieth Century" w:hAnsi="Twentieth Century"/>
          <w:b/>
          <w:sz w:val="24"/>
          <w:szCs w:val="24"/>
          <w:lang w:val="en-US"/>
        </w:rPr>
        <w:t>R</w:t>
      </w:r>
      <w:r>
        <w:rPr>
          <w:rFonts w:ascii="Twentieth Century" w:hAnsi="Twentieth Century"/>
          <w:b/>
          <w:sz w:val="24"/>
          <w:szCs w:val="24"/>
        </w:rPr>
        <w:t xml:space="preserve">esponden </w:t>
      </w:r>
      <w:r>
        <w:rPr>
          <w:rFonts w:ascii="Twentieth Century" w:hAnsi="Twentieth Century"/>
          <w:b/>
          <w:sz w:val="24"/>
          <w:szCs w:val="24"/>
          <w:lang w:val="en-US"/>
        </w:rPr>
        <w:t>B</w:t>
      </w:r>
      <w:r>
        <w:rPr>
          <w:rFonts w:ascii="Twentieth Century" w:hAnsi="Twentieth Century"/>
          <w:b/>
          <w:sz w:val="24"/>
          <w:szCs w:val="24"/>
        </w:rPr>
        <w:t xml:space="preserve">erdasarkan </w:t>
      </w:r>
      <w:r>
        <w:rPr>
          <w:rFonts w:ascii="Twentieth Century" w:hAnsi="Twentieth Century"/>
          <w:b/>
          <w:sz w:val="24"/>
          <w:szCs w:val="24"/>
          <w:lang w:val="en-US"/>
        </w:rPr>
        <w:t>S</w:t>
      </w:r>
      <w:r>
        <w:rPr>
          <w:rFonts w:ascii="Twentieth Century" w:hAnsi="Twentieth Century"/>
          <w:b/>
          <w:sz w:val="24"/>
          <w:szCs w:val="24"/>
        </w:rPr>
        <w:t xml:space="preserve">tatus </w:t>
      </w:r>
      <w:r>
        <w:rPr>
          <w:rFonts w:ascii="Twentieth Century" w:hAnsi="Twentieth Century"/>
          <w:b/>
          <w:sz w:val="24"/>
          <w:szCs w:val="24"/>
          <w:lang w:val="en-US"/>
        </w:rPr>
        <w:t>G</w:t>
      </w:r>
      <w:r>
        <w:rPr>
          <w:rFonts w:ascii="Twentieth Century" w:hAnsi="Twentieth Century"/>
          <w:b/>
          <w:sz w:val="24"/>
          <w:szCs w:val="24"/>
        </w:rPr>
        <w:t>ravid</w:t>
      </w:r>
      <w:r>
        <w:rPr>
          <w:rFonts w:ascii="Twentieth Century" w:hAnsi="Twentieth Century"/>
          <w:b/>
          <w:sz w:val="24"/>
          <w:szCs w:val="24"/>
          <w:lang w:val="en-US"/>
        </w:rPr>
        <w:t>itas</w:t>
      </w:r>
      <w:r>
        <w:rPr>
          <w:rFonts w:ascii="Twentieth Century" w:hAnsi="Twentieth Century"/>
          <w:b/>
          <w:sz w:val="24"/>
          <w:szCs w:val="24"/>
        </w:rPr>
        <w:t xml:space="preserve"> </w:t>
      </w:r>
      <w:r>
        <w:rPr>
          <w:rFonts w:ascii="Twentieth Century" w:hAnsi="Twentieth Century"/>
          <w:b/>
          <w:sz w:val="24"/>
          <w:szCs w:val="24"/>
          <w:lang w:val="en-US"/>
        </w:rPr>
        <w:t>R</w:t>
      </w:r>
      <w:r>
        <w:rPr>
          <w:rFonts w:ascii="Twentieth Century" w:hAnsi="Twentieth Century"/>
          <w:b/>
          <w:sz w:val="24"/>
          <w:szCs w:val="24"/>
        </w:rPr>
        <w:t xml:space="preserve">esponden </w:t>
      </w:r>
    </w:p>
    <w:p>
      <w:pPr>
        <w:pStyle w:val="style179"/>
        <w:spacing w:lineRule="auto" w:line="240"/>
        <w:ind w:left="709" w:firstLine="720"/>
        <w:jc w:val="both"/>
        <w:rPr>
          <w:rFonts w:ascii="Twentieth Century" w:hAnsi="Twentieth Century"/>
          <w:color w:val="36363d"/>
          <w:sz w:val="24"/>
          <w:szCs w:val="24"/>
        </w:rPr>
      </w:pPr>
      <w:r>
        <w:rPr>
          <w:rFonts w:ascii="Twentieth Century" w:hAnsi="Twentieth Century"/>
          <w:sz w:val="24"/>
          <w:szCs w:val="24"/>
        </w:rPr>
        <w:t xml:space="preserve">Hasil penelitian distribusi mayoritas responden di Puskesmas Gilingan mempunyai status </w:t>
      </w:r>
      <w:r>
        <w:rPr>
          <w:rFonts w:ascii="Twentieth Century" w:hAnsi="Twentieth Century"/>
          <w:i/>
          <w:sz w:val="24"/>
          <w:szCs w:val="24"/>
        </w:rPr>
        <w:t xml:space="preserve">primigravida </w:t>
      </w:r>
      <w:r>
        <w:rPr>
          <w:rFonts w:ascii="Twentieth Century" w:hAnsi="Twentieth Century"/>
          <w:sz w:val="24"/>
          <w:szCs w:val="24"/>
        </w:rPr>
        <w:t>sebanyak 57 responden (62%).</w:t>
      </w:r>
      <w:r>
        <w:rPr>
          <w:rFonts w:ascii="Twentieth Century" w:hAnsi="Twentieth Century"/>
          <w:sz w:val="24"/>
          <w:szCs w:val="24"/>
        </w:rPr>
        <w:t xml:space="preserve"> </w:t>
      </w:r>
      <w:r>
        <w:rPr>
          <w:rFonts w:ascii="Twentieth Century" w:hAnsi="Twentieth Century"/>
          <w:sz w:val="24"/>
          <w:szCs w:val="24"/>
        </w:rPr>
        <w:t xml:space="preserve">Penelitian ini sejalan dengan penelitian yang dilakukan oleh </w:t>
      </w:r>
      <w:r>
        <w:rPr>
          <w:rFonts w:ascii="Twentieth Century" w:hAnsi="Twentieth Century"/>
          <w:color w:val="000000"/>
          <w:sz w:val="24"/>
          <w:szCs w:val="24"/>
        </w:rPr>
        <w:t>Yusi</w:t>
      </w:r>
      <w:r>
        <w:rPr>
          <w:rFonts w:hAnsi="Twentieth Century"/>
          <w:color w:val="000000"/>
          <w:sz w:val="24"/>
          <w:szCs w:val="24"/>
          <w:lang w:val="en-US"/>
        </w:rPr>
        <w:t>[9]</w:t>
      </w:r>
      <w:r>
        <w:rPr>
          <w:rFonts w:ascii="Twentieth Century" w:hAnsi="Twentieth Century"/>
          <w:color w:val="000000"/>
          <w:sz w:val="24"/>
          <w:szCs w:val="24"/>
        </w:rPr>
        <w:t xml:space="preserve"> dengan hasil mayoritas </w:t>
      </w:r>
      <w:r>
        <w:rPr>
          <w:rFonts w:ascii="Twentieth Century" w:hAnsi="Twentieth Century"/>
          <w:sz w:val="24"/>
          <w:szCs w:val="24"/>
        </w:rPr>
        <w:t xml:space="preserve">responden merupakan </w:t>
      </w:r>
      <w:r>
        <w:rPr>
          <w:rFonts w:ascii="Twentieth Century" w:hAnsi="Twentieth Century"/>
          <w:i/>
          <w:sz w:val="24"/>
          <w:szCs w:val="24"/>
        </w:rPr>
        <w:t xml:space="preserve">primigravida </w:t>
      </w:r>
      <w:r>
        <w:rPr>
          <w:rFonts w:ascii="Twentieth Century" w:hAnsi="Twentieth Century"/>
          <w:sz w:val="24"/>
          <w:szCs w:val="24"/>
        </w:rPr>
        <w:t>yaitu sebanyak 53 responden.</w:t>
      </w:r>
      <w:r>
        <w:rPr>
          <w:rFonts w:ascii="Twentieth Century" w:hAnsi="Twentieth Century"/>
          <w:sz w:val="24"/>
          <w:szCs w:val="24"/>
        </w:rPr>
        <w:t xml:space="preserve"> </w:t>
      </w:r>
      <w:r>
        <w:rPr>
          <w:rFonts w:ascii="Twentieth Century" w:hAnsi="Twentieth Century"/>
          <w:i/>
          <w:sz w:val="24"/>
          <w:szCs w:val="24"/>
        </w:rPr>
        <w:t xml:space="preserve">Primigravida </w:t>
      </w:r>
      <w:r>
        <w:rPr>
          <w:rFonts w:ascii="Twentieth Century" w:hAnsi="Twentieth Century"/>
          <w:sz w:val="24"/>
          <w:szCs w:val="24"/>
        </w:rPr>
        <w:t xml:space="preserve">merupakan keadaan dimana seorang wanita baru mengalami kehamilan yang pertama kalinya </w:t>
      </w:r>
      <w:bookmarkStart w:id="6" w:name="_Hlk112758854"/>
      <w:r>
        <w:rPr>
          <w:rFonts w:hAnsi="Twentieth Century"/>
          <w:color w:val="36363d"/>
          <w:sz w:val="24"/>
          <w:szCs w:val="24"/>
          <w:lang w:val="en-US"/>
        </w:rPr>
        <w:t>[10]</w:t>
      </w:r>
      <w:r>
        <w:rPr>
          <w:rFonts w:ascii="Twentieth Century" w:hAnsi="Twentieth Century"/>
          <w:color w:val="36363d"/>
          <w:sz w:val="24"/>
          <w:szCs w:val="24"/>
        </w:rPr>
        <w:t xml:space="preserve">. </w:t>
      </w:r>
      <w:bookmarkEnd w:id="6"/>
    </w:p>
    <w:p>
      <w:pPr>
        <w:pStyle w:val="style179"/>
        <w:spacing w:lineRule="auto" w:line="240"/>
        <w:ind w:left="709" w:firstLine="720"/>
        <w:jc w:val="both"/>
        <w:rPr>
          <w:rFonts w:ascii="Twentieth Century" w:hAnsi="Twentieth Century"/>
          <w:sz w:val="24"/>
          <w:szCs w:val="24"/>
        </w:rPr>
      </w:pPr>
      <w:r>
        <w:rPr>
          <w:rFonts w:ascii="Twentieth Century" w:hAnsi="Twentieth Century"/>
          <w:color w:val="36363d"/>
          <w:sz w:val="24"/>
          <w:szCs w:val="24"/>
        </w:rPr>
        <w:t xml:space="preserve">Ibu dengan </w:t>
      </w:r>
      <w:r>
        <w:rPr>
          <w:rFonts w:ascii="Twentieth Century" w:hAnsi="Twentieth Century"/>
          <w:i/>
          <w:color w:val="36363d"/>
          <w:sz w:val="24"/>
          <w:szCs w:val="24"/>
        </w:rPr>
        <w:t xml:space="preserve">primigravida </w:t>
      </w:r>
      <w:r>
        <w:rPr>
          <w:rFonts w:ascii="Twentieth Century" w:hAnsi="Twentieth Century"/>
          <w:color w:val="36363d"/>
          <w:sz w:val="24"/>
          <w:szCs w:val="24"/>
        </w:rPr>
        <w:t>cend</w:t>
      </w:r>
      <w:r>
        <w:rPr>
          <w:rFonts w:ascii="Twentieth Century" w:hAnsi="Twentieth Century"/>
          <w:sz w:val="24"/>
          <w:szCs w:val="24"/>
        </w:rPr>
        <w:t xml:space="preserve">erung belum mempunyai pengetahuan yang cukup dalam memilih alat kontrasepsi yang tepat, karena belum ada nya pengalaman sebelumnya dalam penggunaan alat kontrasepsi, berbeda halnya dengan ibu </w:t>
      </w:r>
      <w:r>
        <w:rPr>
          <w:rFonts w:ascii="Twentieth Century" w:hAnsi="Twentieth Century"/>
          <w:i/>
          <w:sz w:val="24"/>
          <w:szCs w:val="24"/>
        </w:rPr>
        <w:t xml:space="preserve">multigravida </w:t>
      </w:r>
      <w:r>
        <w:rPr>
          <w:rFonts w:ascii="Twentieth Century" w:hAnsi="Twentieth Century"/>
          <w:sz w:val="24"/>
          <w:szCs w:val="24"/>
        </w:rPr>
        <w:t xml:space="preserve"> yang sudah mempunyai pengalaman hamil sebelumnya, dimana sudah mempunyai pengalaman dalam pemilihan alat kontrasepsi yang tepat </w:t>
      </w:r>
      <w:r>
        <w:rPr>
          <w:rFonts w:hAnsi="Twentieth Century"/>
          <w:sz w:val="24"/>
          <w:szCs w:val="24"/>
          <w:lang w:val="en-US"/>
        </w:rPr>
        <w:t>[11].</w:t>
      </w:r>
    </w:p>
    <w:p>
      <w:pPr>
        <w:pStyle w:val="style179"/>
        <w:spacing w:lineRule="auto" w:line="240"/>
        <w:ind w:left="709" w:firstLine="720"/>
        <w:jc w:val="both"/>
        <w:rPr>
          <w:rFonts w:ascii="Twentieth Century" w:hAnsi="Twentieth Century"/>
          <w:sz w:val="24"/>
          <w:szCs w:val="24"/>
        </w:rPr>
      </w:pPr>
    </w:p>
    <w:p>
      <w:pPr>
        <w:pStyle w:val="style179"/>
        <w:numPr>
          <w:ilvl w:val="0"/>
          <w:numId w:val="4"/>
        </w:numPr>
        <w:spacing w:after="0" w:lineRule="auto" w:line="240"/>
        <w:ind w:left="709"/>
        <w:jc w:val="both"/>
        <w:rPr>
          <w:rFonts w:ascii="Twentieth Century" w:hAnsi="Twentieth Century"/>
          <w:b/>
          <w:sz w:val="24"/>
          <w:szCs w:val="24"/>
        </w:rPr>
      </w:pPr>
      <w:r>
        <w:rPr>
          <w:rFonts w:ascii="Twentieth Century" w:hAnsi="Twentieth Century"/>
          <w:b/>
          <w:sz w:val="24"/>
          <w:szCs w:val="24"/>
        </w:rPr>
        <w:t xml:space="preserve">Karakteristik </w:t>
      </w:r>
      <w:r>
        <w:rPr>
          <w:rFonts w:ascii="Twentieth Century" w:hAnsi="Twentieth Century"/>
          <w:b/>
          <w:sz w:val="24"/>
          <w:szCs w:val="24"/>
          <w:lang w:val="en-US"/>
        </w:rPr>
        <w:t>R</w:t>
      </w:r>
      <w:r>
        <w:rPr>
          <w:rFonts w:ascii="Twentieth Century" w:hAnsi="Twentieth Century"/>
          <w:b/>
          <w:sz w:val="24"/>
          <w:szCs w:val="24"/>
        </w:rPr>
        <w:t xml:space="preserve">esponden </w:t>
      </w:r>
      <w:r>
        <w:rPr>
          <w:rFonts w:ascii="Twentieth Century" w:hAnsi="Twentieth Century"/>
          <w:b/>
          <w:sz w:val="24"/>
          <w:szCs w:val="24"/>
          <w:lang w:val="en-US"/>
        </w:rPr>
        <w:t>B</w:t>
      </w:r>
      <w:r>
        <w:rPr>
          <w:rFonts w:ascii="Twentieth Century" w:hAnsi="Twentieth Century"/>
          <w:b/>
          <w:sz w:val="24"/>
          <w:szCs w:val="24"/>
        </w:rPr>
        <w:t xml:space="preserve">erdasarkan </w:t>
      </w:r>
      <w:r>
        <w:rPr>
          <w:rFonts w:ascii="Twentieth Century" w:hAnsi="Twentieth Century"/>
          <w:b/>
          <w:sz w:val="24"/>
          <w:szCs w:val="24"/>
          <w:lang w:val="en-US"/>
        </w:rPr>
        <w:t>P</w:t>
      </w:r>
      <w:r>
        <w:rPr>
          <w:rFonts w:ascii="Twentieth Century" w:hAnsi="Twentieth Century"/>
          <w:b/>
          <w:sz w:val="24"/>
          <w:szCs w:val="24"/>
        </w:rPr>
        <w:t xml:space="preserve">engetahuan tentang </w:t>
      </w:r>
      <w:r>
        <w:rPr>
          <w:rFonts w:ascii="Twentieth Century" w:hAnsi="Twentieth Century"/>
          <w:b/>
          <w:sz w:val="24"/>
          <w:szCs w:val="24"/>
          <w:lang w:val="en-US"/>
        </w:rPr>
        <w:t>P</w:t>
      </w:r>
      <w:r>
        <w:rPr>
          <w:rFonts w:ascii="Twentieth Century" w:hAnsi="Twentieth Century"/>
          <w:b/>
          <w:sz w:val="24"/>
          <w:szCs w:val="24"/>
        </w:rPr>
        <w:t xml:space="preserve">emilihan </w:t>
      </w:r>
      <w:r>
        <w:rPr>
          <w:rFonts w:ascii="Twentieth Century" w:hAnsi="Twentieth Century"/>
          <w:b/>
          <w:sz w:val="24"/>
          <w:szCs w:val="24"/>
          <w:lang w:val="en-US"/>
        </w:rPr>
        <w:t>A</w:t>
      </w:r>
      <w:r>
        <w:rPr>
          <w:rFonts w:ascii="Twentieth Century" w:hAnsi="Twentieth Century"/>
          <w:b/>
          <w:sz w:val="24"/>
          <w:szCs w:val="24"/>
        </w:rPr>
        <w:t xml:space="preserve">lat </w:t>
      </w:r>
      <w:r>
        <w:rPr>
          <w:rFonts w:ascii="Twentieth Century" w:hAnsi="Twentieth Century"/>
          <w:b/>
          <w:sz w:val="24"/>
          <w:szCs w:val="24"/>
          <w:lang w:val="en-US"/>
        </w:rPr>
        <w:t>K</w:t>
      </w:r>
      <w:r>
        <w:rPr>
          <w:rFonts w:ascii="Twentieth Century" w:hAnsi="Twentieth Century"/>
          <w:b/>
          <w:sz w:val="24"/>
          <w:szCs w:val="24"/>
        </w:rPr>
        <w:t xml:space="preserve">ontrasepsi di Puskesmas Gilingan </w:t>
      </w:r>
    </w:p>
    <w:p>
      <w:pPr>
        <w:pStyle w:val="style179"/>
        <w:spacing w:lineRule="auto" w:line="240"/>
        <w:ind w:firstLine="360"/>
        <w:jc w:val="both"/>
        <w:rPr>
          <w:rFonts w:ascii="Twentieth Century" w:hAnsi="Twentieth Century"/>
          <w:sz w:val="24"/>
          <w:szCs w:val="24"/>
        </w:rPr>
      </w:pPr>
      <w:r>
        <w:rPr>
          <w:rFonts w:ascii="Twentieth Century" w:hAnsi="Twentieth Century"/>
          <w:sz w:val="24"/>
          <w:szCs w:val="24"/>
        </w:rPr>
        <w:t>Hasil penelitian distribusi mayoritas responden di Puskesmas Gilingan mempunyai pengetahuan yang kurang yaitu sebanyak 37 responden (40</w:t>
      </w:r>
      <w:r>
        <w:rPr>
          <w:rFonts w:ascii="Twentieth Century" w:hAnsi="Twentieth Century"/>
          <w:sz w:val="24"/>
          <w:szCs w:val="24"/>
        </w:rPr>
        <w:t>,2</w:t>
      </w:r>
      <w:r>
        <w:rPr>
          <w:rFonts w:ascii="Twentieth Century" w:hAnsi="Twentieth Century"/>
          <w:sz w:val="24"/>
          <w:szCs w:val="24"/>
        </w:rPr>
        <w:t xml:space="preserve">%). Pengetahuan </w:t>
      </w:r>
      <w:r>
        <w:rPr>
          <w:rFonts w:ascii="Twentieth Century" w:hAnsi="Twentieth Century"/>
          <w:sz w:val="24"/>
          <w:szCs w:val="24"/>
        </w:rPr>
        <w:t xml:space="preserve">yang kurang pada responden ini diakibatkan oleh kurangnya paparan informasi dari Puskesmas mengenai pemilihan metode kontrasepsi yang tepat pada pasangan </w:t>
      </w:r>
      <w:r>
        <w:rPr>
          <w:rFonts w:ascii="Twentieth Century" w:hAnsi="Twentieth Century"/>
          <w:sz w:val="24"/>
          <w:szCs w:val="24"/>
        </w:rPr>
        <w:t>usia</w:t>
      </w:r>
      <w:r>
        <w:rPr>
          <w:rFonts w:ascii="Twentieth Century" w:hAnsi="Twentieth Century"/>
          <w:sz w:val="24"/>
          <w:szCs w:val="24"/>
        </w:rPr>
        <w:t xml:space="preserve"> subur </w:t>
      </w:r>
    </w:p>
    <w:p>
      <w:pPr>
        <w:pStyle w:val="style179"/>
        <w:spacing w:lineRule="auto" w:line="240"/>
        <w:ind w:firstLine="360"/>
        <w:jc w:val="both"/>
        <w:rPr>
          <w:rFonts w:ascii="Twentieth Century" w:hAnsi="Twentieth Century"/>
          <w:sz w:val="24"/>
          <w:szCs w:val="24"/>
        </w:rPr>
      </w:pPr>
      <w:r>
        <w:rPr>
          <w:rFonts w:ascii="Twentieth Century" w:hAnsi="Twentieth Century"/>
          <w:sz w:val="24"/>
          <w:szCs w:val="24"/>
        </w:rPr>
        <w:t>Faktor</w:t>
      </w:r>
      <w:r>
        <w:rPr>
          <w:rFonts w:ascii="Twentieth Century" w:hAnsi="Twentieth Century"/>
          <w:sz w:val="24"/>
          <w:szCs w:val="24"/>
          <w:lang w:val="en-US"/>
        </w:rPr>
        <w:t>-</w:t>
      </w:r>
      <w:r>
        <w:rPr>
          <w:rFonts w:ascii="Twentieth Century" w:hAnsi="Twentieth Century"/>
          <w:sz w:val="24"/>
          <w:szCs w:val="24"/>
        </w:rPr>
        <w:t xml:space="preserve">faktor yang mempengaruhi pengetahuan seseorang dalam pemilihan alat kontrasepsi yang tepat antara lain meliputi </w:t>
      </w:r>
      <w:r>
        <w:rPr>
          <w:rFonts w:ascii="Twentieth Century" w:hAnsi="Twentieth Century"/>
          <w:sz w:val="24"/>
          <w:szCs w:val="24"/>
        </w:rPr>
        <w:t>usia</w:t>
      </w:r>
      <w:r>
        <w:rPr>
          <w:rFonts w:ascii="Twentieth Century" w:hAnsi="Twentieth Century"/>
          <w:sz w:val="24"/>
          <w:szCs w:val="24"/>
        </w:rPr>
        <w:t xml:space="preserve">, pendidikan, pekerjaan dan status </w:t>
      </w:r>
      <w:r>
        <w:rPr>
          <w:rFonts w:ascii="Twentieth Century" w:hAnsi="Twentieth Century"/>
          <w:i/>
          <w:sz w:val="24"/>
          <w:szCs w:val="24"/>
        </w:rPr>
        <w:t xml:space="preserve">graviditas. </w:t>
      </w:r>
    </w:p>
    <w:p>
      <w:pPr>
        <w:pStyle w:val="style179"/>
        <w:spacing w:after="0" w:lineRule="auto" w:line="240"/>
        <w:ind w:firstLine="360"/>
        <w:jc w:val="both"/>
        <w:rPr>
          <w:rFonts w:ascii="Twentieth Century" w:hAnsi="Twentieth Century"/>
          <w:color w:val="000000"/>
          <w:sz w:val="24"/>
          <w:szCs w:val="24"/>
        </w:rPr>
      </w:pPr>
      <w:r>
        <w:rPr>
          <w:rFonts w:ascii="Twentieth Century" w:hAnsi="Twentieth Century"/>
          <w:color w:val="000000"/>
          <w:sz w:val="24"/>
          <w:szCs w:val="24"/>
        </w:rPr>
        <w:t xml:space="preserve">Penelitian ini sejalan dengan penelitian yang dilakukan oleh </w:t>
      </w:r>
      <w:bookmarkStart w:id="7" w:name="_Hlk112758879"/>
      <w:r>
        <w:rPr>
          <w:rFonts w:ascii="Twentieth Century" w:hAnsi="Twentieth Century"/>
          <w:color w:val="000000"/>
          <w:sz w:val="24"/>
          <w:szCs w:val="24"/>
        </w:rPr>
        <w:t>Gusdianita</w:t>
      </w:r>
      <w:r>
        <w:rPr>
          <w:rFonts w:hAnsi="Twentieth Century"/>
          <w:color w:val="000000"/>
          <w:sz w:val="24"/>
          <w:szCs w:val="24"/>
          <w:lang w:val="en-US"/>
        </w:rPr>
        <w:t>[12]</w:t>
      </w:r>
      <w:r>
        <w:rPr>
          <w:rFonts w:ascii="Twentieth Century" w:hAnsi="Twentieth Century"/>
          <w:color w:val="000000"/>
          <w:sz w:val="24"/>
          <w:szCs w:val="24"/>
        </w:rPr>
        <w:t xml:space="preserve"> </w:t>
      </w:r>
      <w:bookmarkEnd w:id="7"/>
      <w:r>
        <w:rPr>
          <w:rFonts w:ascii="Twentieth Century" w:hAnsi="Twentieth Century"/>
          <w:color w:val="000000"/>
          <w:sz w:val="24"/>
          <w:szCs w:val="24"/>
        </w:rPr>
        <w:t>dengan judul “Faktor-faktor yang berhubungan dengan pemilihan alat kontrasepsi efektif pada wanita usia subur di wilayah kerja puskesmas Rawasari kota jambi” dengan hasil dari 105 responden mayoritas responden yang memiliki pengetahuan rendah sebanyak 57 (54,3%) dan yang memiliki pengetahuan tinggi sebanyak 48 (45,7%).</w:t>
      </w:r>
    </w:p>
    <w:p>
      <w:pPr>
        <w:pStyle w:val="style179"/>
        <w:spacing w:after="0" w:lineRule="auto" w:line="240"/>
        <w:ind w:firstLine="360"/>
        <w:jc w:val="both"/>
        <w:rPr>
          <w:rFonts w:ascii="Tw Cen MT" w:hAnsi="Tw Cen MT"/>
          <w:color w:val="000000"/>
          <w:sz w:val="24"/>
          <w:szCs w:val="24"/>
        </w:rPr>
      </w:pPr>
      <w:r>
        <w:rPr>
          <w:rFonts w:ascii="Tw Cen MT" w:hAnsi="Tw Cen MT"/>
          <w:color w:val="000000"/>
          <w:sz w:val="24"/>
          <w:szCs w:val="24"/>
        </w:rPr>
        <w:t xml:space="preserve">Penelitian yang dilakukan oleh </w:t>
      </w:r>
      <w:bookmarkStart w:id="8" w:name="_Hlk112758890"/>
      <w:r>
        <w:rPr>
          <w:rFonts w:ascii="Tw Cen MT" w:hAnsi="Tw Cen MT"/>
          <w:color w:val="000000"/>
          <w:sz w:val="24"/>
          <w:szCs w:val="24"/>
        </w:rPr>
        <w:t>Gusman</w:t>
      </w:r>
      <w:r>
        <w:rPr>
          <w:rFonts w:hAnsi="Tw Cen MT"/>
          <w:color w:val="000000"/>
          <w:sz w:val="24"/>
          <w:szCs w:val="24"/>
          <w:lang w:val="en-US"/>
        </w:rPr>
        <w:t>[13]</w:t>
      </w:r>
      <w:r>
        <w:rPr>
          <w:rFonts w:ascii="Tw Cen MT" w:hAnsi="Tw Cen MT"/>
          <w:color w:val="000000"/>
          <w:sz w:val="24"/>
          <w:szCs w:val="24"/>
        </w:rPr>
        <w:t xml:space="preserve"> </w:t>
      </w:r>
      <w:bookmarkEnd w:id="8"/>
      <w:r>
        <w:rPr>
          <w:rFonts w:ascii="Tw Cen MT" w:hAnsi="Tw Cen MT"/>
          <w:color w:val="000000"/>
          <w:sz w:val="24"/>
          <w:szCs w:val="24"/>
        </w:rPr>
        <w:t xml:space="preserve">pengetahuan ada hubungan secara signifikan dengan pemilihan MKJP karena pengetahuan yang baik tentang KB dan alat kontrasepsi akan mempengaruhi dalam memilih alat atau metode kontrasepsi yang akan digunakan. Pada penelitian ini, responden dengan pengetahuan yang tinggi memilih menggunakan MKJP. </w:t>
      </w:r>
    </w:p>
    <w:p>
      <w:pPr>
        <w:pStyle w:val="style0"/>
        <w:spacing w:after="0" w:lineRule="auto" w:line="240"/>
        <w:ind w:left="720" w:firstLine="414"/>
        <w:jc w:val="both"/>
        <w:rPr>
          <w:rFonts w:ascii="Tw Cen MT" w:cs="Times New Roman" w:hAnsi="Tw Cen MT"/>
          <w:color w:val="000000"/>
          <w:sz w:val="24"/>
          <w:szCs w:val="24"/>
        </w:rPr>
      </w:pPr>
      <w:r>
        <w:rPr>
          <w:rFonts w:ascii="Tw Cen MT" w:cs="Times New Roman" w:hAnsi="Tw Cen MT"/>
          <w:color w:val="000000"/>
          <w:sz w:val="24"/>
          <w:szCs w:val="24"/>
        </w:rPr>
        <w:t>Hal ini menunjukan bahwa responden bukan hanya mengetahui saja tetapi juga memahami tentang KB dan alkon serta mempertimbangkan mengenai pemilihan alat kontrasepsi dari berbagai faktor seperti umur responden, tujuan mengikuti KB, efek samping yang akan digunakan.</w:t>
      </w:r>
    </w:p>
    <w:p>
      <w:pPr>
        <w:pStyle w:val="style179"/>
        <w:numPr>
          <w:ilvl w:val="0"/>
          <w:numId w:val="4"/>
        </w:numPr>
        <w:spacing w:after="0" w:lineRule="auto" w:line="240"/>
        <w:ind w:left="709"/>
        <w:jc w:val="both"/>
        <w:rPr>
          <w:rFonts w:ascii="Tw Cen MT" w:hAnsi="Tw Cen MT"/>
          <w:b/>
          <w:color w:val="000000"/>
          <w:sz w:val="24"/>
          <w:szCs w:val="24"/>
        </w:rPr>
      </w:pPr>
      <w:r>
        <w:rPr>
          <w:rFonts w:ascii="Tw Cen MT" w:hAnsi="Tw Cen MT"/>
          <w:b/>
          <w:color w:val="000000"/>
          <w:sz w:val="24"/>
          <w:szCs w:val="24"/>
        </w:rPr>
        <w:t xml:space="preserve">Karakteristik </w:t>
      </w:r>
      <w:r>
        <w:rPr>
          <w:rFonts w:ascii="Tw Cen MT" w:hAnsi="Tw Cen MT"/>
          <w:b/>
          <w:color w:val="000000"/>
          <w:sz w:val="24"/>
          <w:szCs w:val="24"/>
          <w:lang w:val="en-US"/>
        </w:rPr>
        <w:t>R</w:t>
      </w:r>
      <w:r>
        <w:rPr>
          <w:rFonts w:ascii="Tw Cen MT" w:hAnsi="Tw Cen MT"/>
          <w:b/>
          <w:color w:val="000000"/>
          <w:sz w:val="24"/>
          <w:szCs w:val="24"/>
        </w:rPr>
        <w:t xml:space="preserve">esponden </w:t>
      </w:r>
      <w:r>
        <w:rPr>
          <w:rFonts w:ascii="Tw Cen MT" w:hAnsi="Tw Cen MT"/>
          <w:b/>
          <w:color w:val="000000"/>
          <w:sz w:val="24"/>
          <w:szCs w:val="24"/>
          <w:lang w:val="en-US"/>
        </w:rPr>
        <w:t>B</w:t>
      </w:r>
      <w:r>
        <w:rPr>
          <w:rFonts w:ascii="Tw Cen MT" w:hAnsi="Tw Cen MT"/>
          <w:b/>
          <w:color w:val="000000"/>
          <w:sz w:val="24"/>
          <w:szCs w:val="24"/>
        </w:rPr>
        <w:t xml:space="preserve">erdasarkan </w:t>
      </w:r>
      <w:r>
        <w:rPr>
          <w:rFonts w:ascii="Tw Cen MT" w:hAnsi="Tw Cen MT"/>
          <w:b/>
          <w:color w:val="000000"/>
          <w:sz w:val="24"/>
          <w:szCs w:val="24"/>
          <w:lang w:val="en-US"/>
        </w:rPr>
        <w:t>P</w:t>
      </w:r>
      <w:r>
        <w:rPr>
          <w:rFonts w:ascii="Tw Cen MT" w:hAnsi="Tw Cen MT"/>
          <w:b/>
          <w:color w:val="000000"/>
          <w:sz w:val="24"/>
          <w:szCs w:val="24"/>
        </w:rPr>
        <w:t xml:space="preserve">emilihan </w:t>
      </w:r>
      <w:r>
        <w:rPr>
          <w:rFonts w:ascii="Tw Cen MT" w:hAnsi="Tw Cen MT"/>
          <w:b/>
          <w:color w:val="000000"/>
          <w:sz w:val="24"/>
          <w:szCs w:val="24"/>
          <w:lang w:val="en-US"/>
        </w:rPr>
        <w:t>A</w:t>
      </w:r>
      <w:r>
        <w:rPr>
          <w:rFonts w:ascii="Tw Cen MT" w:hAnsi="Tw Cen MT"/>
          <w:b/>
          <w:color w:val="000000"/>
          <w:sz w:val="24"/>
          <w:szCs w:val="24"/>
        </w:rPr>
        <w:t xml:space="preserve">lat </w:t>
      </w:r>
      <w:r>
        <w:rPr>
          <w:rFonts w:ascii="Tw Cen MT" w:hAnsi="Tw Cen MT"/>
          <w:b/>
          <w:color w:val="000000"/>
          <w:sz w:val="24"/>
          <w:szCs w:val="24"/>
          <w:lang w:val="en-US"/>
        </w:rPr>
        <w:t>K</w:t>
      </w:r>
      <w:r>
        <w:rPr>
          <w:rFonts w:ascii="Tw Cen MT" w:hAnsi="Tw Cen MT"/>
          <w:b/>
          <w:color w:val="000000"/>
          <w:sz w:val="24"/>
          <w:szCs w:val="24"/>
        </w:rPr>
        <w:t xml:space="preserve">ontrasepsi  di Puskesmas Gilingan </w:t>
      </w:r>
    </w:p>
    <w:p>
      <w:pPr>
        <w:pStyle w:val="style0"/>
        <w:shd w:val="clear" w:color="auto" w:fill="ffffff"/>
        <w:spacing w:after="0" w:lineRule="auto" w:line="240"/>
        <w:ind w:left="709" w:firstLine="720"/>
        <w:jc w:val="both"/>
        <w:rPr>
          <w:rFonts w:ascii="Tw Cen MT" w:cs="Times New Roman" w:hAnsi="Tw Cen MT"/>
          <w:color w:val="000000"/>
          <w:sz w:val="24"/>
          <w:szCs w:val="24"/>
        </w:rPr>
      </w:pPr>
      <w:r>
        <w:rPr>
          <w:rFonts w:ascii="Tw Cen MT" w:cs="Times New Roman" w:hAnsi="Tw Cen MT"/>
          <w:color w:val="000000"/>
          <w:sz w:val="24"/>
          <w:szCs w:val="24"/>
        </w:rPr>
        <w:t>Hasil penelitian distribusi mayoritas responden di Puskesmas Gilingan berdasarkan pemilihan alat kontrasepsi di Puskesmas Gilingan, menunjukan bahwa responden mempunyai frekuensi yang sama dalam pemilihan alat kontrasepsi yaitu sebanyak  46 responden (50%) MKJP dan 46 responden memilih Non MKJP sebanyak 46 responden (50%).</w:t>
      </w:r>
    </w:p>
    <w:p>
      <w:pPr>
        <w:pStyle w:val="style0"/>
        <w:shd w:val="clear" w:color="auto" w:fill="ffffff"/>
        <w:spacing w:after="0" w:lineRule="auto" w:line="240"/>
        <w:ind w:left="709" w:firstLine="720"/>
        <w:jc w:val="both"/>
        <w:rPr>
          <w:rFonts w:ascii="Tw Cen MT" w:cs="Times New Roman" w:eastAsia="Times New Roman" w:hAnsi="Tw Cen MT"/>
          <w:color w:val="000000"/>
          <w:sz w:val="24"/>
          <w:szCs w:val="24"/>
        </w:rPr>
      </w:pPr>
      <w:r>
        <w:rPr>
          <w:rFonts w:ascii="Tw Cen MT" w:cs="Times New Roman" w:eastAsia="Times New Roman" w:hAnsi="Tw Cen MT"/>
          <w:color w:val="000000"/>
          <w:sz w:val="24"/>
          <w:szCs w:val="24"/>
        </w:rPr>
        <w:t>Faktor yang berpengaruh terhadap pemilihan metode kontrasepsi adalah usia, pekerjaan dan pendidikan. Faktor usia dapat berpengaruh terhadap pemilihan metode kontrasepsi karena pada usia 31-40 adalah usia yang matang dalam menentukan keputusan yang tepat bagi dirinya.</w:t>
      </w:r>
    </w:p>
    <w:p>
      <w:pPr>
        <w:pStyle w:val="style0"/>
        <w:shd w:val="clear" w:color="auto" w:fill="ffffff"/>
        <w:spacing w:after="0" w:lineRule="auto" w:line="240"/>
        <w:ind w:left="709" w:firstLine="720"/>
        <w:jc w:val="both"/>
        <w:rPr>
          <w:rFonts w:ascii="Twentieth Century" w:cs="Times New Roman" w:eastAsia="Times New Roman" w:hAnsi="Twentieth Century"/>
          <w:color w:val="000000"/>
          <w:sz w:val="24"/>
          <w:szCs w:val="24"/>
        </w:rPr>
      </w:pPr>
      <w:r>
        <w:rPr>
          <w:rFonts w:ascii="Tw Cen MT" w:cs="Times New Roman" w:eastAsia="Times New Roman" w:hAnsi="Tw Cen MT"/>
          <w:color w:val="000000"/>
          <w:sz w:val="24"/>
          <w:szCs w:val="24"/>
        </w:rPr>
        <w:t xml:space="preserve">Menurut penelitian </w:t>
      </w:r>
      <w:bookmarkStart w:id="9" w:name="_Hlk112758904"/>
      <w:r>
        <w:rPr>
          <w:rFonts w:ascii="Tw Cen MT" w:cs="Times New Roman" w:eastAsia="Times New Roman" w:hAnsi="Tw Cen MT"/>
          <w:color w:val="000000"/>
          <w:sz w:val="24"/>
          <w:szCs w:val="24"/>
        </w:rPr>
        <w:t>Zamroni</w:t>
      </w:r>
      <w:r>
        <w:rPr>
          <w:rFonts w:cs="Times New Roman" w:eastAsia="Times New Roman" w:hAnsi="Tw Cen MT"/>
          <w:color w:val="000000"/>
          <w:sz w:val="24"/>
          <w:szCs w:val="24"/>
          <w:lang w:val="en-US"/>
        </w:rPr>
        <w:t>[14]</w:t>
      </w:r>
      <w:r>
        <w:rPr>
          <w:rFonts w:ascii="Tw Cen MT" w:cs="Times New Roman" w:eastAsia="Times New Roman" w:hAnsi="Tw Cen MT"/>
          <w:color w:val="000000"/>
          <w:sz w:val="24"/>
          <w:szCs w:val="24"/>
        </w:rPr>
        <w:t xml:space="preserve"> </w:t>
      </w:r>
      <w:bookmarkEnd w:id="9"/>
      <w:r>
        <w:rPr>
          <w:rFonts w:ascii="Tw Cen MT" w:cs="Times New Roman" w:eastAsia="Times New Roman" w:hAnsi="Tw Cen MT"/>
          <w:color w:val="000000"/>
          <w:sz w:val="24"/>
          <w:szCs w:val="24"/>
        </w:rPr>
        <w:t xml:space="preserve">minat dalam memilih   kontrasepsi   KB   suntik  dipengaruhi oleh  ibu  yang tidak  bekerja,  ibu  yang  tidak bekerja mempunyai waktu luang untuk mencari informasi  baik  dari  teman,  internet  dan  petugas kesehatan   tentang   alat   kontrasepsi. </w:t>
      </w:r>
    </w:p>
    <w:p>
      <w:pPr>
        <w:pStyle w:val="style0"/>
        <w:shd w:val="clear" w:color="auto" w:fill="ffffff"/>
        <w:spacing w:after="0" w:lineRule="auto" w:line="240"/>
        <w:ind w:left="709" w:firstLine="720"/>
        <w:jc w:val="both"/>
        <w:rPr>
          <w:rFonts w:ascii="Twentieth Century" w:cs="Times New Roman" w:hAnsi="Twentieth Century" w:hint="eastAsia"/>
          <w:color w:val="000000"/>
          <w:sz w:val="24"/>
          <w:szCs w:val="24"/>
        </w:rPr>
      </w:pPr>
      <w:r>
        <w:rPr>
          <w:rFonts w:ascii="Twentieth Century" w:cs="Times New Roman" w:eastAsia="Times New Roman" w:hAnsi="Twentieth Century"/>
          <w:color w:val="000000"/>
          <w:sz w:val="24"/>
          <w:szCs w:val="24"/>
        </w:rPr>
        <w:t xml:space="preserve">Hal ini sesuai  dengan  hasil  penelitian  yang  dilakukan oleh </w:t>
      </w:r>
      <w:bookmarkStart w:id="10" w:name="_Hlk112758918"/>
      <w:r>
        <w:rPr>
          <w:rFonts w:ascii="Twentieth Century" w:cs="Times New Roman" w:eastAsia="Times New Roman" w:hAnsi="Twentieth Century"/>
          <w:color w:val="000000"/>
          <w:sz w:val="24"/>
          <w:szCs w:val="24"/>
        </w:rPr>
        <w:t>Delima</w:t>
      </w:r>
      <w:r>
        <w:rPr>
          <w:rFonts w:cs="Times New Roman" w:eastAsia="Times New Roman" w:hAnsi="Twentieth Century"/>
          <w:color w:val="000000"/>
          <w:sz w:val="24"/>
          <w:szCs w:val="24"/>
          <w:lang w:val="en-US"/>
        </w:rPr>
        <w:t>[15]</w:t>
      </w:r>
      <w:r>
        <w:rPr>
          <w:rFonts w:ascii="Twentieth Century" w:cs="Times New Roman" w:eastAsia="Times New Roman" w:hAnsi="Twentieth Century"/>
          <w:color w:val="000000"/>
          <w:sz w:val="24"/>
          <w:szCs w:val="24"/>
        </w:rPr>
        <w:t xml:space="preserve"> </w:t>
      </w:r>
      <w:bookmarkEnd w:id="10"/>
      <w:r>
        <w:rPr>
          <w:rFonts w:ascii="Twentieth Century" w:cs="Times New Roman" w:eastAsia="Times New Roman" w:hAnsi="Twentieth Century"/>
          <w:color w:val="000000"/>
          <w:sz w:val="24"/>
          <w:szCs w:val="24"/>
        </w:rPr>
        <w:t xml:space="preserve">ibu  rumah  tangga  lebih mempunyai  banyak   waktu   untuk   berdiskusi dengan  suami  serta  kemungkinan  besar untuk mendapatkan dukungan suami secara menyeluruh,    sehingga    untuk   memilih    alat kotrasepsi  melibatkan  suami. Minat  seseorang juga  dapat dipengarui  oleh  jumlah  anak  yang dimiliki  saat  ini </w:t>
      </w:r>
      <w:bookmarkStart w:id="11" w:name="_Hlk112758927"/>
      <w:r>
        <w:rPr>
          <w:rFonts w:cs="Times New Roman" w:eastAsia="Times New Roman" w:hAnsi="Twentieth Century"/>
          <w:color w:val="000000"/>
          <w:sz w:val="24"/>
          <w:szCs w:val="24"/>
          <w:lang w:val="en-US"/>
        </w:rPr>
        <w:t>[16]</w:t>
      </w:r>
      <w:r>
        <w:rPr>
          <w:rFonts w:ascii="Twentieth Century" w:cs="Times New Roman" w:eastAsia="Times New Roman" w:hAnsi="Twentieth Century"/>
          <w:color w:val="000000"/>
          <w:sz w:val="24"/>
          <w:szCs w:val="24"/>
        </w:rPr>
        <w:t>.</w:t>
      </w:r>
      <w:bookmarkEnd w:id="11"/>
    </w:p>
    <w:p>
      <w:pPr>
        <w:pStyle w:val="style0"/>
        <w:spacing w:after="0" w:lineRule="auto" w:line="240"/>
        <w:jc w:val="both"/>
        <w:rPr>
          <w:rFonts w:ascii="Twentieth Century" w:cs="Twentieth Century" w:eastAsia="Twentieth Century" w:hAnsi="Twentieth Century"/>
          <w:color w:val="000000"/>
        </w:rPr>
      </w:pPr>
      <w:r>
        <w:rPr>
          <w:rFonts w:ascii="Twentieth Century" w:cs="Twentieth Century" w:eastAsia="Twentieth Century" w:hAnsi="Twentieth Century"/>
          <w:b/>
          <w:color w:val="000000"/>
          <w:sz w:val="24"/>
          <w:szCs w:val="24"/>
        </w:rPr>
        <w:t>KESIMPULAN</w:t>
      </w:r>
    </w:p>
    <w:p>
      <w:pPr>
        <w:pStyle w:val="style179"/>
        <w:spacing w:lineRule="auto" w:line="240"/>
        <w:ind w:left="0"/>
        <w:rPr>
          <w:rFonts w:ascii="Twentieth Century" w:hAnsi="Twentieth Century"/>
          <w:color w:val="000000"/>
          <w:sz w:val="24"/>
          <w:szCs w:val="24"/>
        </w:rPr>
      </w:pPr>
      <w:r>
        <w:rPr>
          <w:rFonts w:ascii="Twentieth Century" w:hAnsi="Twentieth Century"/>
          <w:color w:val="000000"/>
          <w:sz w:val="24"/>
          <w:szCs w:val="24"/>
        </w:rPr>
        <w:t>Berdasarkan hasil penelitian diatas, maka dapat disimpulkan bahwa :</w:t>
      </w:r>
    </w:p>
    <w:p>
      <w:pPr>
        <w:pStyle w:val="style179"/>
        <w:numPr>
          <w:ilvl w:val="0"/>
          <w:numId w:val="5"/>
        </w:numPr>
        <w:spacing w:lineRule="auto" w:line="240"/>
        <w:ind w:left="284" w:hanging="284"/>
        <w:jc w:val="both"/>
        <w:rPr>
          <w:rFonts w:ascii="Twentieth Century" w:hAnsi="Twentieth Century"/>
          <w:b/>
          <w:color w:val="000000"/>
          <w:sz w:val="24"/>
        </w:rPr>
      </w:pPr>
      <w:r>
        <w:rPr>
          <w:rFonts w:ascii="Twentieth Century" w:hAnsi="Twentieth Century"/>
          <w:color w:val="000000"/>
          <w:sz w:val="24"/>
          <w:szCs w:val="24"/>
        </w:rPr>
        <w:t xml:space="preserve">Karakteristik responden sebagian besar  berusia 31-40 </w:t>
      </w:r>
      <w:r>
        <w:rPr>
          <w:rFonts w:ascii="Twentieth Century" w:hAnsi="Twentieth Century"/>
          <w:color w:val="000000"/>
          <w:sz w:val="24"/>
          <w:szCs w:val="24"/>
          <w:lang w:val="en-US"/>
        </w:rPr>
        <w:t>t</w:t>
      </w:r>
      <w:r>
        <w:rPr>
          <w:rFonts w:ascii="Twentieth Century" w:hAnsi="Twentieth Century"/>
          <w:color w:val="000000"/>
          <w:sz w:val="24"/>
          <w:szCs w:val="24"/>
        </w:rPr>
        <w:t>ahun, pendidikan terakhir sedang (</w:t>
      </w:r>
      <w:r>
        <w:rPr>
          <w:rFonts w:ascii="Twentieth Century" w:hAnsi="Twentieth Century"/>
          <w:color w:val="000000"/>
          <w:sz w:val="24"/>
          <w:szCs w:val="24"/>
          <w:lang w:val="en-US"/>
        </w:rPr>
        <w:t>SMA/</w:t>
      </w:r>
      <w:r>
        <w:rPr>
          <w:rFonts w:ascii="Twentieth Century" w:hAnsi="Twentieth Century"/>
          <w:color w:val="000000"/>
          <w:sz w:val="24"/>
          <w:szCs w:val="24"/>
        </w:rPr>
        <w:t xml:space="preserve">SMK), dan mayoritas responden bekerja. </w:t>
      </w:r>
    </w:p>
    <w:p>
      <w:pPr>
        <w:pStyle w:val="style179"/>
        <w:numPr>
          <w:ilvl w:val="0"/>
          <w:numId w:val="5"/>
        </w:numPr>
        <w:spacing w:lineRule="auto" w:line="240"/>
        <w:ind w:left="284" w:hanging="284"/>
        <w:jc w:val="both"/>
        <w:rPr>
          <w:rFonts w:ascii="Twentieth Century" w:hAnsi="Twentieth Century"/>
          <w:color w:val="000000"/>
          <w:sz w:val="24"/>
          <w:szCs w:val="24"/>
        </w:rPr>
      </w:pPr>
      <w:r>
        <w:rPr>
          <w:rFonts w:ascii="Twentieth Century" w:hAnsi="Twentieth Century"/>
          <w:color w:val="000000"/>
          <w:sz w:val="24"/>
          <w:szCs w:val="24"/>
        </w:rPr>
        <w:t>Tingkat pengetahuan responden tentang pemilihan alat kontrasepsi di Puskesmas Gilingan selama masa pandemi COVID-19 berada pada kategori kurang</w:t>
      </w:r>
    </w:p>
    <w:p>
      <w:pPr>
        <w:pStyle w:val="style179"/>
        <w:numPr>
          <w:ilvl w:val="0"/>
          <w:numId w:val="5"/>
        </w:numPr>
        <w:spacing w:lineRule="auto" w:line="240"/>
        <w:ind w:left="284" w:hanging="284"/>
        <w:jc w:val="both"/>
        <w:rPr>
          <w:color w:val="000000"/>
          <w:sz w:val="24"/>
          <w:szCs w:val="24"/>
        </w:rPr>
      </w:pPr>
      <w:r>
        <w:rPr>
          <w:rFonts w:ascii="Twentieth Century" w:hAnsi="Twentieth Century"/>
          <w:color w:val="000000"/>
          <w:sz w:val="24"/>
          <w:szCs w:val="24"/>
        </w:rPr>
        <w:t>Mayoritas responden di Puskesmas Gilingan berdasarkan pemilihan alat kontrasepsi di Puskesmas Gilingan semasa pandemi COVID-19, menunjukan bahwa mayoritas responden memilih penggunaan MKJP (Metode Kontrasepsi Jangka Panjang) dan Non MKJP (Non Metode Kontrasepsi Jangka Panjang)  jumlahnya seimbang.</w:t>
      </w:r>
      <w:r>
        <w:rPr>
          <w:color w:val="000000"/>
          <w:sz w:val="24"/>
          <w:szCs w:val="24"/>
        </w:rPr>
        <w:t xml:space="preserve"> </w:t>
      </w:r>
    </w:p>
    <w:p>
      <w:pPr>
        <w:pStyle w:val="style0"/>
        <w:tabs>
          <w:tab w:val="left" w:leader="none" w:pos="426"/>
        </w:tabs>
        <w:spacing w:after="0" w:lineRule="auto" w:line="240"/>
        <w:ind w:left="284" w:hanging="284"/>
        <w:jc w:val="both"/>
        <w:rPr>
          <w:rFonts w:ascii="Twentieth Century" w:cs="Twentieth Century" w:eastAsia="Twentieth Century" w:hAnsi="Twentieth Century"/>
          <w:b/>
          <w:color w:val="000000"/>
          <w:sz w:val="24"/>
          <w:szCs w:val="24"/>
        </w:rPr>
      </w:pPr>
      <w:r>
        <w:rPr>
          <w:rFonts w:ascii="Twentieth Century" w:cs="Twentieth Century" w:eastAsia="Twentieth Century" w:hAnsi="Twentieth Century"/>
          <w:b/>
          <w:color w:val="000000"/>
          <w:sz w:val="24"/>
          <w:szCs w:val="24"/>
        </w:rPr>
        <w:t xml:space="preserve">UCAPAN TERIMA KASIH </w:t>
      </w:r>
    </w:p>
    <w:p>
      <w:pPr>
        <w:pStyle w:val="style0"/>
        <w:spacing w:after="0" w:lineRule="auto" w:line="240"/>
        <w:jc w:val="both"/>
        <w:rPr>
          <w:rFonts w:ascii="Twentieth Century" w:cs="Times New Roman" w:eastAsia="Twentieth Century" w:hAnsi="Twentieth Century"/>
          <w:bCs/>
          <w:color w:val="000000"/>
          <w:sz w:val="24"/>
          <w:szCs w:val="24"/>
        </w:rPr>
      </w:pPr>
      <w:r>
        <w:rPr>
          <w:rFonts w:ascii="Twentieth Century" w:cs="Times New Roman" w:eastAsia="Twentieth Century" w:hAnsi="Twentieth Century"/>
          <w:bCs/>
          <w:color w:val="000000"/>
          <w:sz w:val="24"/>
          <w:szCs w:val="24"/>
        </w:rPr>
        <w:t>Terimakasih kepada kedua orang tua saya karena sudah memberikan semangat kepada saya untuk menyelesaikan penelitian ini, saya ucapkan terima kasih kepada dosen pembimbing saya yaitu Ibu Hermawati  karena sudah memberi arahan dan motivasi yang bermanfaat untuk penelitian ini dan saya sangat berterimakasih kepada Universitas Aisyiyah Surakarta karena menjadi sarana pembelajaran untuk saya.</w:t>
      </w:r>
    </w:p>
    <w:p>
      <w:pPr>
        <w:pStyle w:val="style0"/>
        <w:spacing w:after="0" w:lineRule="auto" w:line="240"/>
        <w:jc w:val="both"/>
        <w:rPr>
          <w:rFonts w:ascii="Twentieth Century" w:cs="Twentieth Century" w:eastAsia="Twentieth Century" w:hAnsi="Twentieth Century"/>
          <w:b/>
          <w:color w:val="000000"/>
          <w:sz w:val="24"/>
          <w:szCs w:val="24"/>
        </w:rPr>
      </w:pPr>
    </w:p>
    <w:p>
      <w:pPr>
        <w:pStyle w:val="style0"/>
        <w:tabs>
          <w:tab w:val="left" w:leader="none" w:pos="426"/>
        </w:tabs>
        <w:spacing w:after="0" w:lineRule="auto" w:line="240"/>
        <w:jc w:val="both"/>
        <w:rPr>
          <w:rFonts w:ascii="Twentieth Century" w:cs="Twentieth Century" w:eastAsia="Twentieth Century" w:hAnsi="Twentieth Century"/>
          <w:b/>
          <w:sz w:val="24"/>
          <w:szCs w:val="24"/>
        </w:rPr>
      </w:pPr>
      <w:r>
        <w:rPr>
          <w:rFonts w:ascii="Twentieth Century" w:cs="Twentieth Century" w:eastAsia="Twentieth Century" w:hAnsi="Twentieth Century"/>
          <w:b/>
          <w:sz w:val="24"/>
          <w:szCs w:val="24"/>
        </w:rPr>
        <w:t>DAFTAR PUSTAKA</w:t>
      </w:r>
    </w:p>
    <w:p>
      <w:pPr>
        <w:pStyle w:val="style0"/>
        <w:spacing w:after="0" w:lineRule="auto" w:line="240"/>
        <w:ind w:left="1134" w:hanging="1134"/>
        <w:jc w:val="both"/>
        <w:rPr>
          <w:rFonts w:ascii="Twentieth Century" w:cs="Times New Roman" w:hAnsi="Twentieth Century" w:hint="eastAsia"/>
          <w:sz w:val="24"/>
          <w:szCs w:val="24"/>
          <w:shd w:val="clear" w:color="auto" w:fill="ffffff"/>
        </w:rPr>
      </w:pPr>
      <w:r>
        <w:rPr>
          <w:rFonts w:cs="Times New Roman" w:hAnsi="Twentieth Century"/>
          <w:sz w:val="24"/>
          <w:szCs w:val="24"/>
          <w:shd w:val="clear" w:color="auto" w:fill="ffffff"/>
          <w:lang w:val="en-US"/>
        </w:rPr>
        <w:t xml:space="preserve">[1] </w:t>
      </w:r>
      <w:r>
        <w:rPr>
          <w:rFonts w:ascii="Twentieth Century" w:cs="Times New Roman" w:hAnsi="Twentieth Century"/>
          <w:sz w:val="24"/>
          <w:szCs w:val="24"/>
          <w:shd w:val="clear" w:color="auto" w:fill="ffffff"/>
        </w:rPr>
        <w:t>WHO. WHO Coronavirus (COVID-19) Disease Dashboard. 2020.</w:t>
      </w:r>
    </w:p>
    <w:p>
      <w:pPr>
        <w:pStyle w:val="style0"/>
        <w:spacing w:after="0" w:lineRule="auto" w:line="240"/>
        <w:ind w:left="1134" w:hanging="1134"/>
        <w:jc w:val="both"/>
        <w:rPr>
          <w:rFonts w:ascii="Twentieth Century" w:cs="Times New Roman" w:hAnsi="Twentieth Century" w:hint="eastAsia"/>
          <w:sz w:val="24"/>
          <w:szCs w:val="24"/>
          <w:shd w:val="clear" w:color="auto" w:fill="ffffff"/>
        </w:rPr>
      </w:pPr>
      <w:r>
        <w:rPr>
          <w:rFonts w:hAnsi="Twentieth Century"/>
          <w:sz w:val="24"/>
          <w:szCs w:val="24"/>
          <w:lang w:val="en-US"/>
        </w:rPr>
        <w:t xml:space="preserve">[2] </w:t>
      </w:r>
      <w:r>
        <w:rPr>
          <w:rFonts w:ascii="Twentieth Century" w:hAnsi="Twentieth Century"/>
          <w:sz w:val="24"/>
          <w:szCs w:val="24"/>
        </w:rPr>
        <w:t>BKKBN. 2020.</w:t>
        <w:tab/>
        <w:t xml:space="preserve">Pelayanan Keluarga Berencana. Jurnal Keluarga Berencana. </w:t>
      </w:r>
      <w:r>
        <w:rPr>
          <w:rFonts w:ascii="Twentieth Century" w:hAnsi="Twentieth Century"/>
          <w:spacing w:val="-3"/>
          <w:sz w:val="24"/>
          <w:szCs w:val="24"/>
        </w:rPr>
        <w:t xml:space="preserve">Penerbit </w:t>
      </w:r>
      <w:r>
        <w:rPr>
          <w:rFonts w:ascii="Twentieth Century" w:hAnsi="Twentieth Century"/>
          <w:sz w:val="24"/>
          <w:szCs w:val="24"/>
        </w:rPr>
        <w:t>BKKBN, Jakarta.</w:t>
      </w:r>
    </w:p>
    <w:p>
      <w:pPr>
        <w:pStyle w:val="style0"/>
        <w:spacing w:after="0" w:lineRule="auto" w:line="240"/>
        <w:ind w:left="1134" w:hanging="1134"/>
        <w:jc w:val="both"/>
        <w:rPr>
          <w:rFonts w:ascii="Twentieth Century" w:cs="Times New Roman" w:hAnsi="Twentieth Century" w:hint="eastAsia"/>
          <w:sz w:val="24"/>
          <w:szCs w:val="24"/>
          <w:shd w:val="clear" w:color="auto" w:fill="ffffff"/>
        </w:rPr>
      </w:pPr>
      <w:r>
        <w:rPr>
          <w:rFonts w:cs="Times New Roman" w:hAnsi="Twentieth Century"/>
          <w:sz w:val="24"/>
          <w:szCs w:val="24"/>
          <w:lang w:val="en-US"/>
        </w:rPr>
        <w:t xml:space="preserve">[3] </w:t>
      </w:r>
      <w:r>
        <w:rPr>
          <w:rFonts w:ascii="Twentieth Century" w:cs="Times New Roman" w:hAnsi="Twentieth Century"/>
          <w:sz w:val="24"/>
          <w:szCs w:val="24"/>
        </w:rPr>
        <w:t xml:space="preserve">Kemenkes RI. 2018. Hasil Riset Kesehatan Dasar Tahun 2018. </w:t>
      </w:r>
      <w:r>
        <w:rPr>
          <w:rFonts w:ascii="Twentieth Century" w:cs="Times New Roman" w:hAnsi="Twentieth Century"/>
          <w:i/>
          <w:sz w:val="24"/>
          <w:szCs w:val="24"/>
        </w:rPr>
        <w:t>Kementrian Kesehatan RI</w:t>
      </w:r>
      <w:r>
        <w:rPr>
          <w:rFonts w:ascii="Twentieth Century" w:cs="Times New Roman" w:hAnsi="Twentieth Century"/>
          <w:sz w:val="24"/>
          <w:szCs w:val="24"/>
        </w:rPr>
        <w:t xml:space="preserve">, </w:t>
      </w:r>
      <w:r>
        <w:rPr>
          <w:rFonts w:ascii="Twentieth Century" w:cs="Times New Roman" w:hAnsi="Twentieth Century"/>
          <w:i/>
          <w:sz w:val="24"/>
          <w:szCs w:val="24"/>
        </w:rPr>
        <w:t>53</w:t>
      </w:r>
      <w:r>
        <w:rPr>
          <w:rFonts w:ascii="Twentieth Century" w:cs="Times New Roman" w:hAnsi="Twentieth Century"/>
          <w:sz w:val="24"/>
          <w:szCs w:val="24"/>
        </w:rPr>
        <w:t>(9), 1689–1699.</w:t>
      </w:r>
    </w:p>
    <w:p>
      <w:pPr>
        <w:pStyle w:val="style0"/>
        <w:spacing w:after="0" w:lineRule="auto" w:line="240"/>
        <w:ind w:left="1134" w:hanging="1134"/>
        <w:jc w:val="both"/>
        <w:rPr>
          <w:rFonts w:ascii="Twentieth Century" w:cs="Times New Roman" w:hAnsi="Twentieth Century" w:hint="eastAsia"/>
          <w:sz w:val="24"/>
          <w:szCs w:val="24"/>
          <w:shd w:val="clear" w:color="auto" w:fill="ffffff"/>
        </w:rPr>
      </w:pPr>
      <w:r>
        <w:rPr>
          <w:rFonts w:cs="Times New Roman" w:hAnsi="Twentieth Century"/>
          <w:sz w:val="24"/>
          <w:szCs w:val="24"/>
          <w:shd w:val="clear" w:color="auto" w:fill="ffffff"/>
          <w:lang w:val="en-US"/>
        </w:rPr>
        <w:t xml:space="preserve">[4] </w:t>
      </w:r>
      <w:r>
        <w:rPr>
          <w:rFonts w:ascii="Twentieth Century" w:cs="Times New Roman" w:hAnsi="Twentieth Century"/>
          <w:sz w:val="24"/>
          <w:szCs w:val="24"/>
          <w:shd w:val="clear" w:color="auto" w:fill="ffffff"/>
        </w:rPr>
        <w:t>Fatchiya, A., Sulistyawati, A., Setiawan, B., &amp; Damanik, R. (2021). Peran Penyuluhan Keluarga Berencana dalam Meningkatkan Pengetahuan KB pada Pasangan Usia Subur (PUS) Kelompok Masyarakat Miskin. </w:t>
      </w:r>
      <w:r>
        <w:rPr>
          <w:rFonts w:ascii="Twentieth Century" w:cs="Times New Roman" w:hAnsi="Twentieth Century"/>
          <w:i/>
          <w:iCs/>
          <w:sz w:val="24"/>
          <w:szCs w:val="24"/>
          <w:shd w:val="clear" w:color="auto" w:fill="ffffff"/>
        </w:rPr>
        <w:t>Jurnal Penyuluhan</w:t>
      </w:r>
      <w:r>
        <w:rPr>
          <w:rFonts w:ascii="Twentieth Century" w:cs="Times New Roman" w:hAnsi="Twentieth Century"/>
          <w:sz w:val="24"/>
          <w:szCs w:val="24"/>
          <w:shd w:val="clear" w:color="auto" w:fill="ffffff"/>
        </w:rPr>
        <w:t>, </w:t>
      </w:r>
      <w:r>
        <w:rPr>
          <w:rFonts w:ascii="Twentieth Century" w:cs="Times New Roman" w:hAnsi="Twentieth Century"/>
          <w:i/>
          <w:iCs/>
          <w:sz w:val="24"/>
          <w:szCs w:val="24"/>
          <w:shd w:val="clear" w:color="auto" w:fill="ffffff"/>
        </w:rPr>
        <w:t>17</w:t>
      </w:r>
      <w:r>
        <w:rPr>
          <w:rFonts w:ascii="Twentieth Century" w:cs="Times New Roman" w:hAnsi="Twentieth Century"/>
          <w:sz w:val="24"/>
          <w:szCs w:val="24"/>
          <w:shd w:val="clear" w:color="auto" w:fill="ffffff"/>
        </w:rPr>
        <w:t>(1), 60-71.</w:t>
      </w:r>
    </w:p>
    <w:p>
      <w:pPr>
        <w:pStyle w:val="style0"/>
        <w:spacing w:after="0" w:lineRule="auto" w:line="240"/>
        <w:ind w:left="1134" w:hanging="1134"/>
        <w:jc w:val="both"/>
        <w:rPr>
          <w:rFonts w:ascii="Twentieth Century" w:cs="Times New Roman" w:hAnsi="Twentieth Century" w:hint="eastAsia"/>
          <w:sz w:val="24"/>
          <w:szCs w:val="24"/>
          <w:shd w:val="clear" w:color="auto" w:fill="ffffff"/>
        </w:rPr>
      </w:pPr>
      <w:r>
        <w:rPr>
          <w:rFonts w:cs="Times New Roman" w:hAnsi="Twentieth Century"/>
          <w:sz w:val="24"/>
          <w:szCs w:val="24"/>
          <w:shd w:val="clear" w:color="auto" w:fill="ffffff"/>
          <w:lang w:val="en-US"/>
        </w:rPr>
        <w:t xml:space="preserve">[5] </w:t>
      </w:r>
      <w:r>
        <w:rPr>
          <w:rFonts w:ascii="Twentieth Century" w:cs="Times New Roman" w:hAnsi="Twentieth Century"/>
          <w:sz w:val="24"/>
          <w:szCs w:val="24"/>
          <w:shd w:val="clear" w:color="auto" w:fill="ffffff"/>
        </w:rPr>
        <w:t>Fauziah, A. N., &amp; Hanifah, L. (2018). Pengaruh Umur dan Tingkat Pendidikan terhadap Pemilihan Metode Kontrasepsi Jangka Panjang di BPM Titik Sri Suparti Karang Kendal Musuk Boyolali. </w:t>
      </w:r>
      <w:r>
        <w:rPr>
          <w:rFonts w:ascii="Twentieth Century" w:cs="Times New Roman" w:hAnsi="Twentieth Century"/>
          <w:i/>
          <w:iCs/>
          <w:sz w:val="24"/>
          <w:szCs w:val="24"/>
          <w:shd w:val="clear" w:color="auto" w:fill="ffffff"/>
        </w:rPr>
        <w:t>Jurnal Kebidanan Indonesia</w:t>
      </w:r>
      <w:r>
        <w:rPr>
          <w:rFonts w:ascii="Twentieth Century" w:cs="Times New Roman" w:hAnsi="Twentieth Century"/>
          <w:sz w:val="24"/>
          <w:szCs w:val="24"/>
          <w:shd w:val="clear" w:color="auto" w:fill="ffffff"/>
        </w:rPr>
        <w:t>, </w:t>
      </w:r>
      <w:r>
        <w:rPr>
          <w:rFonts w:ascii="Twentieth Century" w:cs="Times New Roman" w:hAnsi="Twentieth Century"/>
          <w:i/>
          <w:iCs/>
          <w:sz w:val="24"/>
          <w:szCs w:val="24"/>
          <w:shd w:val="clear" w:color="auto" w:fill="ffffff"/>
        </w:rPr>
        <w:t>9</w:t>
      </w:r>
      <w:r>
        <w:rPr>
          <w:rFonts w:ascii="Twentieth Century" w:cs="Times New Roman" w:hAnsi="Twentieth Century"/>
          <w:sz w:val="24"/>
          <w:szCs w:val="24"/>
          <w:shd w:val="clear" w:color="auto" w:fill="ffffff"/>
        </w:rPr>
        <w:t>(2).</w:t>
      </w:r>
    </w:p>
    <w:p>
      <w:pPr>
        <w:pStyle w:val="style0"/>
        <w:spacing w:after="0" w:lineRule="auto" w:line="240"/>
        <w:ind w:left="1134" w:hanging="1134"/>
        <w:jc w:val="both"/>
        <w:rPr>
          <w:rFonts w:ascii="Twentieth Century" w:cs="Times New Roman" w:hAnsi="Twentieth Century" w:hint="eastAsia"/>
          <w:sz w:val="24"/>
          <w:szCs w:val="24"/>
          <w:shd w:val="clear" w:color="auto" w:fill="ffffff"/>
        </w:rPr>
      </w:pPr>
      <w:r>
        <w:rPr>
          <w:rFonts w:cs="Times New Roman" w:hAnsi="Twentieth Century"/>
          <w:sz w:val="24"/>
          <w:szCs w:val="24"/>
          <w:shd w:val="clear" w:color="auto" w:fill="ffffff"/>
          <w:lang w:val="en-US"/>
        </w:rPr>
        <w:t xml:space="preserve">[6]  </w:t>
      </w:r>
      <w:r>
        <w:rPr>
          <w:rFonts w:ascii="Twentieth Century" w:cs="Times New Roman" w:hAnsi="Twentieth Century"/>
          <w:sz w:val="24"/>
          <w:szCs w:val="24"/>
          <w:shd w:val="clear" w:color="auto" w:fill="ffffff"/>
        </w:rPr>
        <w:t>Ariesthi, K. D., Mindarsih, T., &amp; Ulnang, A. (2020). PENGARUH TINGKAT PENDIDIKAN DAN DUKUNGAN KELUARGA TERHADAP PEMILIHAN ALAT KONTRASEPSI PADA AKSEPTOR KB DI KOTA KUPANG. </w:t>
      </w:r>
      <w:r>
        <w:rPr>
          <w:rFonts w:ascii="Twentieth Century" w:cs="Times New Roman" w:hAnsi="Twentieth Century"/>
          <w:i/>
          <w:iCs/>
          <w:sz w:val="24"/>
          <w:szCs w:val="24"/>
          <w:shd w:val="clear" w:color="auto" w:fill="ffffff"/>
        </w:rPr>
        <w:t>Chmk Midwifery Scientific Jo</w:t>
      </w:r>
      <w:bookmarkStart w:id="12" w:name="_GoBack"/>
      <w:bookmarkEnd w:id="12"/>
      <w:r>
        <w:rPr>
          <w:rFonts w:ascii="Twentieth Century" w:cs="Times New Roman" w:hAnsi="Twentieth Century"/>
          <w:i/>
          <w:iCs/>
          <w:sz w:val="24"/>
          <w:szCs w:val="24"/>
          <w:shd w:val="clear" w:color="auto" w:fill="ffffff"/>
        </w:rPr>
        <w:t>urnal</w:t>
      </w:r>
      <w:r>
        <w:rPr>
          <w:rFonts w:ascii="Twentieth Century" w:cs="Times New Roman" w:hAnsi="Twentieth Century"/>
          <w:sz w:val="24"/>
          <w:szCs w:val="24"/>
          <w:shd w:val="clear" w:color="auto" w:fill="ffffff"/>
        </w:rPr>
        <w:t>, </w:t>
      </w:r>
      <w:r>
        <w:rPr>
          <w:rFonts w:ascii="Twentieth Century" w:cs="Times New Roman" w:hAnsi="Twentieth Century"/>
          <w:i/>
          <w:iCs/>
          <w:sz w:val="24"/>
          <w:szCs w:val="24"/>
          <w:shd w:val="clear" w:color="auto" w:fill="ffffff"/>
        </w:rPr>
        <w:t>3</w:t>
      </w:r>
      <w:r>
        <w:rPr>
          <w:rFonts w:ascii="Twentieth Century" w:cs="Times New Roman" w:hAnsi="Twentieth Century"/>
          <w:sz w:val="24"/>
          <w:szCs w:val="24"/>
          <w:shd w:val="clear" w:color="auto" w:fill="ffffff"/>
        </w:rPr>
        <w:t>(3), 209-214</w:t>
      </w:r>
    </w:p>
    <w:p>
      <w:pPr>
        <w:pStyle w:val="style0"/>
        <w:spacing w:after="0" w:lineRule="auto" w:line="240"/>
        <w:ind w:left="1134" w:hanging="1134"/>
        <w:jc w:val="both"/>
        <w:rPr>
          <w:rFonts w:ascii="Twentieth Century" w:cs="Times New Roman" w:hAnsi="Twentieth Century" w:hint="eastAsia"/>
          <w:sz w:val="24"/>
          <w:szCs w:val="24"/>
          <w:shd w:val="clear" w:color="auto" w:fill="ffffff"/>
        </w:rPr>
      </w:pPr>
      <w:r>
        <w:rPr>
          <w:rFonts w:cs="Times New Roman" w:hAnsi="Twentieth Century"/>
          <w:sz w:val="24"/>
          <w:szCs w:val="24"/>
          <w:shd w:val="clear" w:color="auto" w:fill="ffffff"/>
          <w:lang w:val="en-US"/>
        </w:rPr>
        <w:t xml:space="preserve">[7] </w:t>
      </w:r>
      <w:r>
        <w:rPr>
          <w:rFonts w:ascii="Twentieth Century" w:cs="Times New Roman" w:hAnsi="Twentieth Century"/>
          <w:sz w:val="24"/>
          <w:szCs w:val="24"/>
          <w:shd w:val="clear" w:color="auto" w:fill="ffffff"/>
        </w:rPr>
        <w:t>Herowati, D. (2019). Hubungan antara kemampuan reproduksi, kepemilikan anak, tempat tinggal, pendidikan dan status bekerja pada wanita sudah menikah dengan pemakaian kontrasepsi hormonal di Indonesia Tahun 2017. </w:t>
      </w:r>
      <w:r>
        <w:rPr>
          <w:rFonts w:ascii="Twentieth Century" w:cs="Times New Roman" w:hAnsi="Twentieth Century"/>
          <w:i/>
          <w:iCs/>
          <w:sz w:val="24"/>
          <w:szCs w:val="24"/>
          <w:shd w:val="clear" w:color="auto" w:fill="ffffff"/>
        </w:rPr>
        <w:t>Buletin Penelitian Sistem Kesehatan</w:t>
      </w:r>
      <w:r>
        <w:rPr>
          <w:rFonts w:ascii="Twentieth Century" w:cs="Times New Roman" w:hAnsi="Twentieth Century"/>
          <w:sz w:val="24"/>
          <w:szCs w:val="24"/>
          <w:shd w:val="clear" w:color="auto" w:fill="ffffff"/>
        </w:rPr>
        <w:t>, </w:t>
      </w:r>
      <w:r>
        <w:rPr>
          <w:rFonts w:ascii="Twentieth Century" w:cs="Times New Roman" w:hAnsi="Twentieth Century"/>
          <w:i/>
          <w:iCs/>
          <w:sz w:val="24"/>
          <w:szCs w:val="24"/>
          <w:shd w:val="clear" w:color="auto" w:fill="ffffff"/>
        </w:rPr>
        <w:t>22</w:t>
      </w:r>
      <w:r>
        <w:rPr>
          <w:rFonts w:ascii="Twentieth Century" w:cs="Times New Roman" w:hAnsi="Twentieth Century"/>
          <w:sz w:val="24"/>
          <w:szCs w:val="24"/>
          <w:shd w:val="clear" w:color="auto" w:fill="ffffff"/>
        </w:rPr>
        <w:t>(2), 91-98.</w:t>
      </w:r>
    </w:p>
    <w:p>
      <w:pPr>
        <w:pStyle w:val="style0"/>
        <w:spacing w:after="0" w:lineRule="auto" w:line="240"/>
        <w:ind w:left="1134" w:hanging="1134"/>
        <w:jc w:val="both"/>
        <w:rPr>
          <w:rFonts w:ascii="Twentieth Century" w:cs="Times New Roman" w:hAnsi="Twentieth Century" w:hint="eastAsia"/>
          <w:sz w:val="24"/>
          <w:szCs w:val="24"/>
          <w:shd w:val="clear" w:color="auto" w:fill="ffffff"/>
        </w:rPr>
      </w:pPr>
      <w:r>
        <w:rPr>
          <w:rFonts w:cs="Times New Roman" w:hAnsi="Twentieth Century"/>
          <w:sz w:val="24"/>
          <w:szCs w:val="24"/>
          <w:lang w:val="en-US"/>
        </w:rPr>
        <w:t xml:space="preserve">[8] </w:t>
      </w:r>
      <w:r>
        <w:rPr>
          <w:rFonts w:ascii="Twentieth Century" w:cs="Times New Roman" w:hAnsi="Twentieth Century"/>
          <w:sz w:val="24"/>
          <w:szCs w:val="24"/>
        </w:rPr>
        <w:t>Saskara DGA, I., Marhaeni NIA, A., 2015. Pengaruh Faktor Sosial, Ekonomi, dan Demografi Terhadap Penggunaan Kontrasepsi di Denpasar. Jurnal Ekonomi Kuantitatif Terapan, 8, 155–161.</w:t>
      </w:r>
    </w:p>
    <w:p>
      <w:pPr>
        <w:pStyle w:val="style0"/>
        <w:spacing w:after="0" w:lineRule="auto" w:line="240"/>
        <w:ind w:left="1134" w:hanging="1134"/>
        <w:jc w:val="both"/>
        <w:rPr>
          <w:rFonts w:ascii="Twentieth Century" w:cs="Times New Roman" w:hAnsi="Twentieth Century"/>
          <w:color w:val="222222"/>
          <w:sz w:val="24"/>
          <w:szCs w:val="24"/>
          <w:shd w:val="clear" w:color="auto" w:fill="ffffff"/>
        </w:rPr>
      </w:pPr>
      <w:r>
        <w:rPr>
          <w:rFonts w:cs="Times New Roman" w:hAnsi="Twentieth Century"/>
          <w:color w:val="222222"/>
          <w:sz w:val="24"/>
          <w:szCs w:val="24"/>
          <w:shd w:val="clear" w:color="auto" w:fill="ffffff"/>
          <w:lang w:val="en-US"/>
        </w:rPr>
        <w:t>[9] Yusi, L. W. (2019). Hubungan Dukungan Sosial Petugas Kesehatan dengan Pemilihan Kontrasepsi Pascapersalinan Pada Ibu Primigravida di Wilayah Kerja Puskesmas Sumowono Kabupaten Semarang (Doctoral dissertation, Universitas Ngudi Waluyo).</w:t>
      </w:r>
    </w:p>
    <w:p>
      <w:pPr>
        <w:pStyle w:val="style0"/>
        <w:spacing w:after="0" w:lineRule="auto" w:line="240"/>
        <w:ind w:left="1134" w:hanging="1134"/>
        <w:jc w:val="both"/>
        <w:rPr>
          <w:rFonts w:ascii="Twentieth Century" w:cs="Times New Roman" w:hAnsi="Twentieth Century" w:hint="eastAsia"/>
          <w:sz w:val="24"/>
          <w:szCs w:val="24"/>
          <w:shd w:val="clear" w:color="auto" w:fill="ffffff"/>
        </w:rPr>
      </w:pPr>
      <w:r>
        <w:rPr>
          <w:rFonts w:cs="Times New Roman" w:hAnsi="Twentieth Century"/>
          <w:color w:val="222222"/>
          <w:sz w:val="24"/>
          <w:szCs w:val="24"/>
          <w:shd w:val="clear" w:color="auto" w:fill="ffffff"/>
          <w:lang w:val="en-US"/>
        </w:rPr>
        <w:t xml:space="preserve">[10] </w:t>
      </w:r>
      <w:r>
        <w:rPr>
          <w:rFonts w:ascii="Twentieth Century" w:cs="Times New Roman" w:hAnsi="Twentieth Century"/>
          <w:color w:val="222222"/>
          <w:sz w:val="24"/>
          <w:szCs w:val="24"/>
          <w:shd w:val="clear" w:color="auto" w:fill="ffffff"/>
        </w:rPr>
        <w:t>Purnama, N., Immawanti, I., Masniati, M., &amp; Fitriani, L. (2019). Pengalaman ibu hamil primigravida dengan riwayat menikah usia dini. </w:t>
      </w:r>
      <w:r>
        <w:rPr>
          <w:rFonts w:ascii="Twentieth Century" w:cs="Times New Roman" w:hAnsi="Twentieth Century"/>
          <w:i/>
          <w:iCs/>
          <w:color w:val="222222"/>
          <w:sz w:val="24"/>
          <w:szCs w:val="24"/>
          <w:shd w:val="clear" w:color="auto" w:fill="ffffff"/>
        </w:rPr>
        <w:t>NURSCOPE: Jurnal Penelitian dan Pemikiran Ilmiah Keperawatan</w:t>
      </w:r>
      <w:r>
        <w:rPr>
          <w:rFonts w:ascii="Twentieth Century" w:cs="Times New Roman" w:hAnsi="Twentieth Century"/>
          <w:color w:val="222222"/>
          <w:sz w:val="24"/>
          <w:szCs w:val="24"/>
          <w:shd w:val="clear" w:color="auto" w:fill="ffffff"/>
        </w:rPr>
        <w:t>, </w:t>
      </w:r>
      <w:r>
        <w:rPr>
          <w:rFonts w:ascii="Twentieth Century" w:cs="Times New Roman" w:hAnsi="Twentieth Century"/>
          <w:i/>
          <w:iCs/>
          <w:color w:val="222222"/>
          <w:sz w:val="24"/>
          <w:szCs w:val="24"/>
          <w:shd w:val="clear" w:color="auto" w:fill="ffffff"/>
        </w:rPr>
        <w:t>5</w:t>
      </w:r>
      <w:r>
        <w:rPr>
          <w:rFonts w:ascii="Twentieth Century" w:cs="Times New Roman" w:hAnsi="Twentieth Century"/>
          <w:color w:val="222222"/>
          <w:sz w:val="24"/>
          <w:szCs w:val="24"/>
          <w:shd w:val="clear" w:color="auto" w:fill="ffffff"/>
        </w:rPr>
        <w:t>(2), 8-16.</w:t>
      </w:r>
    </w:p>
    <w:p>
      <w:pPr>
        <w:pStyle w:val="style0"/>
        <w:spacing w:after="0" w:lineRule="auto" w:line="240"/>
        <w:ind w:left="1134" w:hanging="1134"/>
        <w:jc w:val="both"/>
        <w:rPr>
          <w:rFonts w:ascii="Twentieth Century" w:cs="Times New Roman" w:hAnsi="Twentieth Century" w:hint="eastAsia"/>
          <w:sz w:val="24"/>
          <w:szCs w:val="24"/>
          <w:shd w:val="clear" w:color="auto" w:fill="ffffff"/>
        </w:rPr>
      </w:pPr>
      <w:r>
        <w:rPr>
          <w:rFonts w:cs="Times New Roman" w:hAnsi="Twentieth Century"/>
          <w:color w:val="222222"/>
          <w:sz w:val="24"/>
          <w:szCs w:val="24"/>
          <w:shd w:val="clear" w:color="auto" w:fill="ffffff"/>
          <w:lang w:val="en-US"/>
        </w:rPr>
        <w:t xml:space="preserve">[11] </w:t>
      </w:r>
      <w:r>
        <w:rPr>
          <w:rFonts w:ascii="Twentieth Century" w:cs="Times New Roman" w:hAnsi="Twentieth Century"/>
          <w:color w:val="222222"/>
          <w:sz w:val="24"/>
          <w:szCs w:val="24"/>
          <w:shd w:val="clear" w:color="auto" w:fill="ffffff"/>
        </w:rPr>
        <w:t>Yuniari, Y. (2018). Yuniari NIM S. 15.1637 Gambaran pengetahuan dan dukungan suami tentang alat kontrasepsi iud pada ibu pasca bersalin di rsud dr. H. Moch ansari saleh Banjarmasin. </w:t>
      </w:r>
      <w:r>
        <w:rPr>
          <w:rFonts w:ascii="Twentieth Century" w:cs="Times New Roman" w:hAnsi="Twentieth Century"/>
          <w:i/>
          <w:iCs/>
          <w:color w:val="222222"/>
          <w:sz w:val="24"/>
          <w:szCs w:val="24"/>
          <w:shd w:val="clear" w:color="auto" w:fill="ffffff"/>
        </w:rPr>
        <w:t>KTI Akademi Kebidanan Sari Mulia</w:t>
      </w:r>
      <w:r>
        <w:rPr>
          <w:rFonts w:ascii="Twentieth Century" w:cs="Times New Roman" w:hAnsi="Twentieth Century"/>
          <w:color w:val="222222"/>
          <w:sz w:val="24"/>
          <w:szCs w:val="24"/>
          <w:shd w:val="clear" w:color="auto" w:fill="ffffff"/>
        </w:rPr>
        <w:t>.</w:t>
      </w:r>
    </w:p>
    <w:p>
      <w:pPr>
        <w:pStyle w:val="style0"/>
        <w:spacing w:after="0" w:lineRule="auto" w:line="240"/>
        <w:ind w:left="1134" w:hanging="1134"/>
        <w:jc w:val="both"/>
        <w:rPr>
          <w:rFonts w:ascii="Twentieth Century" w:cs="Times New Roman" w:hAnsi="Twentieth Century" w:hint="eastAsia"/>
          <w:sz w:val="24"/>
          <w:szCs w:val="24"/>
          <w:shd w:val="clear" w:color="auto" w:fill="ffffff"/>
        </w:rPr>
      </w:pPr>
      <w:r>
        <w:rPr>
          <w:rFonts w:cs="Times New Roman" w:hAnsi="Twentieth Century"/>
          <w:sz w:val="24"/>
          <w:szCs w:val="24"/>
          <w:shd w:val="clear" w:color="auto" w:fill="ffffff"/>
          <w:lang w:val="en-US"/>
        </w:rPr>
        <w:t xml:space="preserve">[12] </w:t>
      </w:r>
      <w:r>
        <w:rPr>
          <w:rFonts w:ascii="Twentieth Century" w:cs="Times New Roman" w:hAnsi="Twentieth Century"/>
          <w:sz w:val="24"/>
          <w:szCs w:val="24"/>
          <w:shd w:val="clear" w:color="auto" w:fill="ffffff"/>
        </w:rPr>
        <w:t>Gusdianita, R., Rahmah, R., &amp; Yuliana, Y. (2018). Faktor-Faktor Yang Berhubungan Dalam Pemilihan Jenis Kontrasepsi Efektif Pada Wanita Pasangan Usia Subur Di Wilayah Kerja Puskesmas Rawasari Kota Jambi. </w:t>
      </w:r>
      <w:r>
        <w:rPr>
          <w:rFonts w:ascii="Twentieth Century" w:cs="Times New Roman" w:hAnsi="Twentieth Century"/>
          <w:i/>
          <w:iCs/>
          <w:sz w:val="24"/>
          <w:szCs w:val="24"/>
          <w:shd w:val="clear" w:color="auto" w:fill="ffffff"/>
        </w:rPr>
        <w:t>Jurnal Akademika Baiturrahim Jambi</w:t>
      </w:r>
      <w:r>
        <w:rPr>
          <w:rFonts w:ascii="Twentieth Century" w:cs="Times New Roman" w:hAnsi="Twentieth Century"/>
          <w:sz w:val="24"/>
          <w:szCs w:val="24"/>
          <w:shd w:val="clear" w:color="auto" w:fill="ffffff"/>
        </w:rPr>
        <w:t>, </w:t>
      </w:r>
      <w:r>
        <w:rPr>
          <w:rFonts w:ascii="Twentieth Century" w:cs="Times New Roman" w:hAnsi="Twentieth Century"/>
          <w:i/>
          <w:iCs/>
          <w:sz w:val="24"/>
          <w:szCs w:val="24"/>
          <w:shd w:val="clear" w:color="auto" w:fill="ffffff"/>
        </w:rPr>
        <w:t>5</w:t>
      </w:r>
      <w:r>
        <w:rPr>
          <w:rFonts w:ascii="Twentieth Century" w:cs="Times New Roman" w:hAnsi="Twentieth Century"/>
          <w:sz w:val="24"/>
          <w:szCs w:val="24"/>
          <w:shd w:val="clear" w:color="auto" w:fill="ffffff"/>
        </w:rPr>
        <w:t>(1), 72-80.</w:t>
      </w:r>
    </w:p>
    <w:p>
      <w:pPr>
        <w:pStyle w:val="style0"/>
        <w:spacing w:after="0" w:lineRule="auto" w:line="240"/>
        <w:ind w:left="1134" w:hanging="1134"/>
        <w:jc w:val="both"/>
        <w:rPr>
          <w:rFonts w:ascii="Twentieth Century" w:cs="Times New Roman" w:hAnsi="Twentieth Century" w:hint="eastAsia"/>
          <w:sz w:val="24"/>
          <w:szCs w:val="24"/>
          <w:shd w:val="clear" w:color="auto" w:fill="ffffff"/>
        </w:rPr>
      </w:pPr>
      <w:r>
        <w:rPr>
          <w:rFonts w:cs="Times New Roman" w:hAnsi="Twentieth Century"/>
          <w:sz w:val="24"/>
          <w:szCs w:val="24"/>
          <w:shd w:val="clear" w:color="auto" w:fill="ffffff"/>
          <w:lang w:val="en-US"/>
        </w:rPr>
        <w:t xml:space="preserve">[13] </w:t>
      </w:r>
      <w:r>
        <w:rPr>
          <w:rFonts w:ascii="Twentieth Century" w:cs="Times New Roman" w:hAnsi="Twentieth Century"/>
          <w:sz w:val="24"/>
          <w:szCs w:val="24"/>
          <w:shd w:val="clear" w:color="auto" w:fill="ffffff"/>
        </w:rPr>
        <w:t xml:space="preserve">Gusman, A. P., Notoatmodjo, S., &amp; Aprilia, Y. T. (2021). Hubungan Pengetahuan Dan Sikap Terhadap Pemilihan Alat Kontrasepsi Jangka Panjang Pada Wanita Usia Subur (WUS) di Wilayah Kerja Polindes Kefa Utara Kab. TTU PROV. </w:t>
      </w:r>
      <w:r>
        <w:rPr>
          <w:rFonts w:cs="Times New Roman" w:hAnsi="Twentieth Century"/>
          <w:sz w:val="24"/>
          <w:szCs w:val="24"/>
          <w:shd w:val="clear" w:color="auto" w:fill="ffffff"/>
          <w:lang w:val="en-US"/>
        </w:rPr>
        <w:t xml:space="preserve">NTT Tahun </w:t>
      </w:r>
      <w:r>
        <w:rPr>
          <w:rFonts w:ascii="Twentieth Century" w:cs="Times New Roman" w:hAnsi="Twentieth Century"/>
          <w:sz w:val="24"/>
          <w:szCs w:val="24"/>
          <w:shd w:val="clear" w:color="auto" w:fill="ffffff"/>
        </w:rPr>
        <w:t>2021. </w:t>
      </w:r>
      <w:r>
        <w:rPr>
          <w:rFonts w:ascii="Twentieth Century" w:cs="Times New Roman" w:hAnsi="Twentieth Century"/>
          <w:i/>
          <w:iCs/>
          <w:sz w:val="24"/>
          <w:szCs w:val="24"/>
          <w:shd w:val="clear" w:color="auto" w:fill="ffffff"/>
        </w:rPr>
        <w:t>Jurnal Untuk Masyarakat Sehat (JUKMAS)</w:t>
      </w:r>
      <w:r>
        <w:rPr>
          <w:rFonts w:ascii="Twentieth Century" w:cs="Times New Roman" w:hAnsi="Twentieth Century"/>
          <w:sz w:val="24"/>
          <w:szCs w:val="24"/>
          <w:shd w:val="clear" w:color="auto" w:fill="ffffff"/>
        </w:rPr>
        <w:t>, </w:t>
      </w:r>
      <w:r>
        <w:rPr>
          <w:rFonts w:ascii="Twentieth Century" w:cs="Times New Roman" w:hAnsi="Twentieth Century"/>
          <w:i/>
          <w:iCs/>
          <w:sz w:val="24"/>
          <w:szCs w:val="24"/>
          <w:shd w:val="clear" w:color="auto" w:fill="ffffff"/>
        </w:rPr>
        <w:t>5</w:t>
      </w:r>
      <w:r>
        <w:rPr>
          <w:rFonts w:ascii="Twentieth Century" w:cs="Times New Roman" w:hAnsi="Twentieth Century"/>
          <w:sz w:val="24"/>
          <w:szCs w:val="24"/>
          <w:shd w:val="clear" w:color="auto" w:fill="ffffff"/>
        </w:rPr>
        <w:t>(2), 120-127.</w:t>
      </w:r>
    </w:p>
    <w:p>
      <w:pPr>
        <w:pStyle w:val="style0"/>
        <w:spacing w:after="0" w:lineRule="auto" w:line="240"/>
        <w:ind w:left="1134" w:hanging="1134"/>
        <w:jc w:val="both"/>
        <w:rPr>
          <w:rFonts w:cs="Times New Roman" w:hAnsi="Twentieth Century"/>
          <w:color w:val="222222"/>
          <w:sz w:val="24"/>
          <w:szCs w:val="24"/>
          <w:shd w:val="clear" w:color="auto" w:fill="ffffff"/>
          <w:lang w:val="en-US"/>
        </w:rPr>
      </w:pPr>
      <w:r>
        <w:rPr>
          <w:rFonts w:cs="Times New Roman" w:hAnsi="Twentieth Century"/>
          <w:color w:val="222222"/>
          <w:sz w:val="24"/>
          <w:szCs w:val="24"/>
          <w:shd w:val="clear" w:color="auto" w:fill="ffffff"/>
          <w:lang w:val="en-US"/>
        </w:rPr>
        <w:t xml:space="preserve">[14] </w:t>
      </w:r>
      <w:r>
        <w:rPr>
          <w:rFonts w:ascii="Twentieth Century" w:cs="Times New Roman" w:hAnsi="Twentieth Century"/>
          <w:color w:val="222222"/>
          <w:sz w:val="24"/>
          <w:szCs w:val="24"/>
          <w:shd w:val="clear" w:color="auto" w:fill="ffffff"/>
        </w:rPr>
        <w:t>Zamroni, S. (2020). HUBUNGAN DUKUNGAN SUAMI DENGAN MINAT IBU DALAM MEMILIH KONTRASEPSI KB SUNTIK DI KELURAHAN KEKALIK JAYA WILAYAH KERJA PUSKESMAS TAJUNG KARANG. </w:t>
      </w:r>
      <w:r>
        <w:rPr>
          <w:rFonts w:ascii="Twentieth Century" w:cs="Times New Roman" w:hAnsi="Twentieth Century"/>
          <w:i/>
          <w:iCs/>
          <w:color w:val="222222"/>
          <w:sz w:val="24"/>
          <w:szCs w:val="24"/>
          <w:shd w:val="clear" w:color="auto" w:fill="ffffff"/>
        </w:rPr>
        <w:t>Jurnal Penelitian dan Kajian Ilmiah Kesehatan Politeknik Medica Farma Husada Mataram</w:t>
      </w:r>
      <w:r>
        <w:rPr>
          <w:rFonts w:ascii="Twentieth Century" w:cs="Times New Roman" w:hAnsi="Twentieth Century"/>
          <w:color w:val="222222"/>
          <w:sz w:val="24"/>
          <w:szCs w:val="24"/>
          <w:shd w:val="clear" w:color="auto" w:fill="ffffff"/>
        </w:rPr>
        <w:t>, </w:t>
      </w:r>
      <w:r>
        <w:rPr>
          <w:rFonts w:ascii="Twentieth Century" w:cs="Times New Roman" w:hAnsi="Twentieth Century"/>
          <w:i/>
          <w:iCs/>
          <w:color w:val="222222"/>
          <w:sz w:val="24"/>
          <w:szCs w:val="24"/>
          <w:shd w:val="clear" w:color="auto" w:fill="ffffff"/>
        </w:rPr>
        <w:t>6</w:t>
      </w:r>
      <w:r>
        <w:rPr>
          <w:rFonts w:ascii="Twentieth Century" w:cs="Times New Roman" w:hAnsi="Twentieth Century"/>
          <w:color w:val="222222"/>
          <w:sz w:val="24"/>
          <w:szCs w:val="24"/>
          <w:shd w:val="clear" w:color="auto" w:fill="ffffff"/>
        </w:rPr>
        <w:t>(2), 269-274.</w:t>
      </w:r>
    </w:p>
    <w:p>
      <w:pPr>
        <w:pStyle w:val="style0"/>
        <w:spacing w:after="0" w:lineRule="auto" w:line="240"/>
        <w:ind w:left="1134" w:hanging="1134"/>
        <w:jc w:val="both"/>
        <w:rPr>
          <w:rFonts w:ascii="Twentieth Century" w:cs="Times New Roman" w:hAnsi="Twentieth Century" w:hint="eastAsia"/>
          <w:sz w:val="24"/>
          <w:szCs w:val="24"/>
          <w:shd w:val="clear" w:color="auto" w:fill="ffffff"/>
        </w:rPr>
      </w:pPr>
      <w:r>
        <w:rPr>
          <w:rFonts w:cs="Times New Roman" w:hAnsi="Twentieth Century"/>
          <w:color w:val="222222"/>
          <w:sz w:val="24"/>
          <w:szCs w:val="24"/>
          <w:shd w:val="clear" w:color="auto" w:fill="ffffff"/>
          <w:lang w:val="en-US"/>
        </w:rPr>
        <w:t>[15] Delima, M., Andriani, Y., &amp; Permana, D. Y. (2022). HUBUNGAN PENGETAHUAN DAN DUKUNGAN SUAMI TERHADAP MINAT IBU DENGAN PENGGUNAAN AKDR. Jurnal Kesehatan Tambusai, 3(2), 292-303.</w:t>
      </w:r>
    </w:p>
    <w:p>
      <w:pPr>
        <w:pStyle w:val="style0"/>
        <w:spacing w:after="0" w:lineRule="auto" w:line="240"/>
        <w:ind w:left="1134" w:hanging="1134"/>
        <w:jc w:val="both"/>
        <w:rPr>
          <w:rFonts w:ascii="Twentieth Century" w:cs="Times New Roman" w:hAnsi="Twentieth Century" w:hint="eastAsia"/>
          <w:sz w:val="24"/>
          <w:szCs w:val="24"/>
          <w:shd w:val="clear" w:color="auto" w:fill="ffffff"/>
        </w:rPr>
      </w:pPr>
      <w:r>
        <w:rPr>
          <w:rFonts w:cs="Times New Roman" w:hAnsi="Twentieth Century" w:hint="default"/>
          <w:color w:val="222222"/>
          <w:sz w:val="24"/>
          <w:szCs w:val="24"/>
          <w:shd w:val="clear" w:color="auto" w:fill="ffffff"/>
          <w:lang w:val="en-US"/>
        </w:rPr>
        <w:t>[16] Kadir, D., &amp; Sembiring, J. (2020). Faktor yang Mempengaruhi Minat Ibu Menggunakan KB IUD di Puskesmas Binjai Estate. Jurnal Ilmiah Kebidanan Indonesia, 10(03), 111-124.</w:t>
      </w:r>
    </w:p>
    <w:p>
      <w:pPr>
        <w:pStyle w:val="style0"/>
        <w:spacing w:after="0" w:lineRule="auto" w:line="240"/>
        <w:ind w:left="1134" w:hanging="1134"/>
        <w:jc w:val="both"/>
        <w:rPr>
          <w:rFonts w:ascii="Twentieth Century" w:cs="Times New Roman" w:hAnsi="Twentieth Century" w:hint="eastAsia"/>
          <w:sz w:val="24"/>
          <w:szCs w:val="24"/>
          <w:shd w:val="clear" w:color="auto" w:fill="ffffff"/>
        </w:rPr>
      </w:pPr>
      <w:r>
        <w:rPr>
          <w:rFonts w:cs="Times New Roman" w:hAnsi="Twentieth Century"/>
          <w:color w:val="222222"/>
          <w:sz w:val="24"/>
          <w:szCs w:val="24"/>
          <w:shd w:val="clear" w:color="auto" w:fill="ffffff"/>
          <w:lang w:val="en-US"/>
        </w:rPr>
        <w:t>[17] Ambarwati, K. D. 2020. Gambaran Kepatuhan Akseptor Keluarga Berencana (KB) dalam Melaksanakan Program Keluarga Berencana pada Masa Pandemi COVID19 Di Puskesmas Karangawen II (Doctoral dissertation, Universitas Muhammadiyah Semarang). 5 September 2020.</w:t>
      </w:r>
    </w:p>
    <w:p>
      <w:pPr>
        <w:pStyle w:val="style0"/>
        <w:spacing w:after="0" w:lineRule="auto" w:line="240"/>
        <w:ind w:left="1134" w:hanging="1134"/>
        <w:jc w:val="both"/>
        <w:rPr>
          <w:rFonts w:cs="Times New Roman" w:hAnsi="Twentieth Century" w:hint="default"/>
          <w:color w:val="222222"/>
          <w:sz w:val="24"/>
          <w:szCs w:val="24"/>
          <w:shd w:val="clear" w:color="auto" w:fill="ffffff"/>
          <w:lang w:val="en-US"/>
        </w:rPr>
      </w:pPr>
      <w:r>
        <w:rPr>
          <w:rFonts w:cs="Times New Roman" w:hAnsi="Twentieth Century"/>
          <w:color w:val="222222"/>
          <w:sz w:val="24"/>
          <w:szCs w:val="24"/>
          <w:shd w:val="clear" w:color="auto" w:fill="ffffff"/>
          <w:lang w:val="en-US"/>
        </w:rPr>
        <w:t>[18] Ulfa, R. 2021. Variabel Penelitian Dalam Penelitian Pendidikan. AL-Fathonah, 1(1), 342-351.</w:t>
      </w:r>
    </w:p>
    <w:p>
      <w:pPr>
        <w:pStyle w:val="style0"/>
        <w:spacing w:after="0" w:lineRule="auto" w:line="240"/>
        <w:ind w:left="1134" w:hanging="1134"/>
        <w:jc w:val="both"/>
        <w:rPr>
          <w:rFonts w:cs="Times New Roman" w:hAnsi="Twentieth Century" w:hint="default"/>
          <w:color w:val="222222"/>
          <w:sz w:val="24"/>
          <w:szCs w:val="24"/>
          <w:shd w:val="clear" w:color="auto" w:fill="ffffff"/>
          <w:lang w:val="en-US"/>
        </w:rPr>
      </w:pPr>
      <w:r>
        <w:rPr>
          <w:rFonts w:cs="Times New Roman" w:hAnsi="Twentieth Century" w:hint="default"/>
          <w:color w:val="222222"/>
          <w:sz w:val="24"/>
          <w:szCs w:val="24"/>
          <w:shd w:val="clear" w:color="auto" w:fill="ffffff"/>
          <w:lang w:val="en-US"/>
        </w:rPr>
        <w:t>[19] Zendrato, W. 2020. Gerakan mencegah daripada mengobati terhadap pandemi covid-19. Jurnal Education and development, 8(2), 242-242.</w:t>
      </w:r>
    </w:p>
    <w:p>
      <w:pPr>
        <w:pStyle w:val="style0"/>
        <w:spacing w:after="0" w:lineRule="auto" w:line="240"/>
        <w:ind w:left="1134" w:hanging="1134"/>
        <w:jc w:val="both"/>
        <w:rPr>
          <w:rFonts w:ascii="Twentieth Century" w:cs="Times New Roman" w:hAnsi="Twentieth Century" w:hint="eastAsia"/>
          <w:color w:val="222222"/>
          <w:sz w:val="24"/>
          <w:szCs w:val="24"/>
          <w:shd w:val="clear" w:color="auto" w:fill="ffffff"/>
          <w:lang w:val="id-ID"/>
        </w:rPr>
      </w:pPr>
      <w:r>
        <w:rPr>
          <w:rFonts w:cs="Times New Roman" w:hAnsi="Twentieth Century" w:hint="default"/>
          <w:color w:val="222222"/>
          <w:sz w:val="24"/>
          <w:szCs w:val="24"/>
          <w:shd w:val="clear" w:color="auto" w:fill="ffffff"/>
          <w:lang w:val="en-US"/>
        </w:rPr>
        <w:t>[20] Zahra, H., Eliayanti, N., &amp; Dewi, S. (2021). Gambaran Pengetahuan Dan Sikap Wanita Pasangan Usia Subur Tentang Pemilihan Alat Kontrasepsi Pada Masa New Normal Di Puskesmas Menteng Periode Januari 2021 (Doctoral dissertation, STIKES RSPAD GATOT SOEBROTO).</w:t>
      </w:r>
    </w:p>
    <w:p>
      <w:pPr>
        <w:pStyle w:val="style0"/>
        <w:spacing w:after="0" w:lineRule="auto" w:line="240"/>
        <w:jc w:val="both"/>
        <w:rPr>
          <w:rFonts w:ascii="Twentieth Century" w:cs="Twentieth Century" w:eastAsia="Twentieth Century" w:hAnsi="Twentieth Century"/>
          <w:color w:val="0d0d0d"/>
          <w:sz w:val="24"/>
          <w:szCs w:val="24"/>
        </w:rPr>
        <w:sectPr>
          <w:type w:val="continuous"/>
          <w:pgSz w:w="12240" w:h="15840" w:orient="portrait"/>
          <w:pgMar w:top="1440" w:right="1440" w:bottom="1440" w:left="1440" w:header="720" w:footer="720" w:gutter="0"/>
          <w:cols w:equalWidth="0" w:space="720" w:num="2">
            <w:col w:w="4320" w:space="720"/>
            <w:col w:w="4320"/>
          </w:cols>
        </w:sectPr>
      </w:pPr>
    </w:p>
    <w:p>
      <w:pPr>
        <w:pStyle w:val="style0"/>
        <w:rPr>
          <w:rFonts w:ascii="Twentieth Century" w:cs="Twentieth Century" w:eastAsia="Twentieth Century" w:hAnsi="Twentieth Century"/>
          <w:sz w:val="24"/>
          <w:szCs w:val="24"/>
        </w:rPr>
      </w:pPr>
    </w:p>
    <w:p>
      <w:pPr>
        <w:pStyle w:val="style0"/>
        <w:spacing w:after="0"/>
        <w:jc w:val="both"/>
        <w:rPr>
          <w:rFonts w:ascii="Twentieth Century" w:cs="Twentieth Century" w:eastAsia="Twentieth Century" w:hAnsi="Twentieth Century"/>
          <w:sz w:val="24"/>
          <w:szCs w:val="24"/>
        </w:rPr>
      </w:pPr>
    </w:p>
    <w:sectPr>
      <w:type w:val="continuous"/>
      <w:pgSz w:w="12240" w:h="15840" w:orient="portrait"/>
      <w:pgMar w:top="1440" w:right="1440" w:bottom="1440" w:left="1440" w:header="720" w:footer="720" w:gutter="0"/>
      <w:cols w:equalWidth="0" w:space="720" w:num="2">
        <w:col w:w="4320" w:space="720"/>
        <w:col w:w="43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Tahoma">
    <w:altName w:val="Tahoma"/>
    <w:panose1 w:val="020b0604030000040204"/>
    <w:charset w:val="00"/>
    <w:family w:val="swiss"/>
    <w:pitch w:val="variable"/>
    <w:sig w:usb0="E1002EFF" w:usb1="C000605B" w:usb2="00000029" w:usb3="00000000" w:csb0="000101FF" w:csb1="00000000"/>
  </w:font>
  <w:font w:name="Cambria">
    <w:altName w:val="Cambria"/>
    <w:panose1 w:val="02040503050000030204"/>
    <w:charset w:val="00"/>
    <w:family w:val="roman"/>
    <w:pitch w:val="variable"/>
    <w:sig w:usb0="E00006FF" w:usb1="420024FF" w:usb2="02000000" w:usb3="00000000" w:csb0="0000019F" w:csb1="00000000"/>
  </w:font>
  <w:font w:name="Angsana New">
    <w:altName w:val="Arial Unicode MS"/>
    <w:panose1 w:val="02020603050000020304"/>
    <w:charset w:val="de"/>
    <w:family w:val="roman"/>
    <w:pitch w:val="variable"/>
    <w:sig w:usb0="01000000" w:usb1="00000000" w:usb2="00000000" w:usb3="00000000" w:csb0="00010000" w:csb1="00000000"/>
  </w:font>
  <w:font w:name="Cordia New">
    <w:altName w:val="Cordia New"/>
    <w:panose1 w:val="020b0304020000020204"/>
    <w:charset w:val="de"/>
    <w:family w:val="roman"/>
    <w:pitch w:val="variable"/>
    <w:sig w:usb0="01000001" w:usb1="00000000" w:usb2="00000000" w:usb3="00000000" w:csb0="00010000" w:csb1="00000000"/>
  </w:font>
  <w:font w:name="Tw Cen MT">
    <w:altName w:val="Tw Cen MT"/>
    <w:panose1 w:val="020b0602020000020603"/>
    <w:charset w:val="00"/>
    <w:family w:val="swiss"/>
    <w:pitch w:val="variable"/>
    <w:sig w:usb0="00000007" w:usb1="00000000" w:usb2="00000000" w:usb3="00000000" w:csb0="00000003" w:csb1="00000000"/>
  </w:font>
  <w:font w:name="宋体">
    <w:altName w:val="宋体"/>
    <w:panose1 w:val="00000000000000000000"/>
    <w:charset w:val="00"/>
    <w:family w:val="auto"/>
    <w:pitch w:val="default"/>
    <w:sig w:usb0="E0002AFF" w:usb1="C0007841" w:usb2="00000009"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right"/>
      <w:rPr/>
    </w:pPr>
    <w:r>
      <w:rPr>
        <w:noProof/>
        <w:lang w:bidi="ar-SA" w:eastAsia="en-US"/>
      </w:rPr>
      <mc:AlternateContent>
        <mc:Choice Requires="wps">
          <w:drawing>
            <wp:anchor distT="0" distB="0" distL="0" distR="0" simplePos="false" relativeHeight="3" behindDoc="false" locked="false" layoutInCell="true" allowOverlap="true">
              <wp:simplePos x="0" y="0"/>
              <wp:positionH relativeFrom="column">
                <wp:posOffset>-1607</wp:posOffset>
              </wp:positionH>
              <wp:positionV relativeFrom="paragraph">
                <wp:posOffset>-11223</wp:posOffset>
              </wp:positionV>
              <wp:extent cx="3303767" cy="262550"/>
              <wp:effectExtent l="0" t="0" r="0" b="4445"/>
              <wp:wrapNone/>
              <wp:docPr id="4098" name="Text Box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303767" cy="262550"/>
                      </a:xfrm>
                      <a:prstGeom prst="rect"/>
                      <a:solidFill>
                        <a:srgbClr val="ffffff"/>
                      </a:solidFill>
                      <a:ln>
                        <a:noFill/>
                      </a:ln>
                    </wps:spPr>
                    <wps:txbx id="4098">
                      <w:txbxContent>
                        <w:p>
                          <w:pPr>
                            <w:pStyle w:val="style0"/>
                            <w:ind w:left="-142" w:right="-388"/>
                            <w:rPr>
                              <w:rFonts w:ascii="Tw Cen MT" w:hAnsi="Tw Cen MT"/>
                              <w:sz w:val="20"/>
                              <w:szCs w:val="20"/>
                            </w:rPr>
                          </w:pPr>
                          <w:r>
                            <w:rPr>
                              <w:rFonts w:ascii="Tw Cen MT" w:hAnsi="Tw Cen MT"/>
                              <w:sz w:val="20"/>
                              <w:szCs w:val="20"/>
                            </w:rPr>
                            <w:t xml:space="preserve">Pratiwi Righita Pramesty and </w:t>
                          </w:r>
                          <w:r>
                            <w:rPr/>
                            <w:fldChar w:fldCharType="begin"/>
                          </w:r>
                          <w:r>
                            <w:instrText xml:space="preserve"> HYPERLINK "mailto:pramestypratiwirighita@gmail.com" </w:instrText>
                          </w:r>
                          <w:r>
                            <w:rPr/>
                            <w:fldChar w:fldCharType="separate"/>
                          </w:r>
                          <w:r>
                            <w:rPr>
                              <w:rStyle w:val="style85"/>
                              <w:rFonts w:ascii="Tw Cen MT" w:cs="Times New Roman" w:hAnsi="Tw Cen MT"/>
                              <w:sz w:val="20"/>
                              <w:szCs w:val="20"/>
                            </w:rPr>
                            <w:t>pramestypratiwirighita@gmail.com</w:t>
                          </w:r>
                          <w:r>
                            <w:rPr/>
                            <w:fldChar w:fldCharType="end"/>
                          </w:r>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4098" fillcolor="white" stroked="f" style="position:absolute;margin-left:-0.13pt;margin-top:-0.88pt;width:260.14pt;height:20.67pt;z-index:3;mso-position-horizontal-relative:text;mso-position-vertical-relative:text;mso-width-percent:0;mso-height-percent:0;mso-width-relative:margin;mso-height-relative:margin;mso-wrap-distance-left:0.0pt;mso-wrap-distance-right:0.0pt;visibility:visible;">
              <v:stroke on="f"/>
              <v:fill/>
              <v:textbox inset="7.2pt,3.6pt,7.2pt,3.6pt">
                <w:txbxContent>
                  <w:p>
                    <w:pPr>
                      <w:pStyle w:val="style0"/>
                      <w:ind w:left="-142" w:right="-388"/>
                      <w:rPr>
                        <w:rFonts w:ascii="Tw Cen MT" w:hAnsi="Tw Cen MT"/>
                        <w:sz w:val="20"/>
                        <w:szCs w:val="20"/>
                      </w:rPr>
                    </w:pPr>
                    <w:r>
                      <w:rPr>
                        <w:rFonts w:ascii="Tw Cen MT" w:hAnsi="Tw Cen MT"/>
                        <w:sz w:val="20"/>
                        <w:szCs w:val="20"/>
                      </w:rPr>
                      <w:t xml:space="preserve">Pratiwi Righita Pramesty and </w:t>
                    </w:r>
                    <w:r>
                      <w:rPr/>
                      <w:fldChar w:fldCharType="begin"/>
                    </w:r>
                    <w:r>
                      <w:instrText xml:space="preserve"> HYPERLINK "mailto:pramestypratiwirighita@gmail.com" </w:instrText>
                    </w:r>
                    <w:r>
                      <w:rPr/>
                      <w:fldChar w:fldCharType="separate"/>
                    </w:r>
                    <w:r>
                      <w:rPr>
                        <w:rStyle w:val="style85"/>
                        <w:rFonts w:ascii="Tw Cen MT" w:cs="Times New Roman" w:hAnsi="Tw Cen MT"/>
                        <w:sz w:val="20"/>
                        <w:szCs w:val="20"/>
                      </w:rPr>
                      <w:t>pramestypratiwirighita@gmail.com</w:t>
                    </w:r>
                    <w:r>
                      <w:rPr/>
                      <w:fldChar w:fldCharType="end"/>
                    </w:r>
                  </w:p>
                </w:txbxContent>
              </v:textbox>
            </v:rect>
          </w:pict>
        </mc:Fallback>
      </mc:AlternateContent>
    </w:r>
    <w:r>
      <w:rPr/>
      <w:fldChar w:fldCharType="begin"/>
    </w:r>
    <w:r>
      <w:instrText>PAGE   \* MERGEFORMAT</w:instrText>
    </w:r>
    <w:r>
      <w:rPr/>
      <w:fldChar w:fldCharType="separate"/>
    </w:r>
    <w:r>
      <w:rPr>
        <w:noProof/>
        <w:lang w:val="id-ID"/>
      </w:rPr>
      <w:t>9</w:t>
    </w:r>
    <w:r>
      <w:rPr/>
      <w:fldChar w:fldCharType="end"/>
    </w:r>
  </w:p>
  <w:p>
    <w:pPr>
      <w:pStyle w:val="style0"/>
      <w:pBdr>
        <w:left w:val="nil"/>
        <w:right w:val="nil"/>
        <w:top w:val="nil"/>
        <w:bottom w:val="nil"/>
        <w:between w:val="nil"/>
      </w:pBdr>
      <w:tabs>
        <w:tab w:val="center" w:leader="none" w:pos="4680"/>
        <w:tab w:val="right" w:leader="none" w:pos="9360"/>
      </w:tabs>
      <w:spacing w:after="0" w:lineRule="auto" w:line="240"/>
      <w:rPr>
        <w:rFonts w:ascii="Twentieth Century" w:cs="Twentieth Century" w:eastAsia="Twentieth Century" w:hAnsi="Twentieth Century"/>
        <w:color w:val="000000"/>
        <w:sz w:val="18"/>
        <w:szCs w:val="18"/>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left w:val="nil"/>
        <w:right w:val="nil"/>
        <w:top w:val="nil"/>
        <w:bottom w:val="nil"/>
        <w:between w:val="nil"/>
      </w:pBdr>
      <w:tabs>
        <w:tab w:val="center" w:leader="none" w:pos="4680"/>
        <w:tab w:val="right" w:leader="none" w:pos="9360"/>
      </w:tabs>
      <w:spacing w:after="120" w:lineRule="auto" w:line="276"/>
      <w:rPr>
        <w:b/>
        <w:color w:val="1f497d"/>
        <w:sz w:val="28"/>
        <w:szCs w:val="28"/>
      </w:rPr>
    </w:pPr>
    <w:r>
      <w:rPr>
        <w:rFonts w:ascii="Twentieth Century" w:cs="Twentieth Century" w:eastAsia="Twentieth Century" w:hAnsi="Twentieth Century"/>
        <w:color w:val="000000"/>
        <w:sz w:val="20"/>
        <w:szCs w:val="20"/>
      </w:rPr>
      <w:t xml:space="preserve">Jurnal Proteksi Kesehatan                             </w:t>
    </w:r>
    <w:r>
      <w:rPr>
        <w:rFonts w:ascii="Twentieth Century" w:cs="Twentieth Century" w:eastAsia="Twentieth Century" w:hAnsi="Twentieth Century"/>
        <w:color w:val="000000"/>
        <w:sz w:val="20"/>
        <w:szCs w:val="20"/>
      </w:rPr>
      <w:t xml:space="preserve">                                                                                                      </w:t>
    </w:r>
    <w:r>
      <w:rPr>
        <w:rFonts w:ascii="Twentieth Century" w:cs="Twentieth Century" w:eastAsia="Twentieth Century" w:hAnsi="Twentieth Century"/>
        <w:color w:val="000000"/>
        <w:sz w:val="20"/>
        <w:szCs w:val="20"/>
      </w:rPr>
      <w:t xml:space="preserve">                   </w:t>
    </w:r>
    <w:r>
      <w:rPr>
        <w:rFonts w:ascii="Twentieth Century" w:cs="Twentieth Century" w:eastAsia="Twentieth Century" w:hAnsi="Twentieth Century"/>
        <w:color w:val="000000"/>
        <w:sz w:val="20"/>
        <w:szCs w:val="20"/>
      </w:rPr>
      <w:t>Vol.</w:t>
    </w:r>
    <w:r>
      <w:rPr>
        <w:rFonts w:ascii="Twentieth Century" w:cs="Twentieth Century" w:eastAsia="Twentieth Century" w:hAnsi="Twentieth Century"/>
        <w:sz w:val="20"/>
        <w:szCs w:val="20"/>
      </w:rPr>
      <w:t>10</w:t>
    </w:r>
    <w:r>
      <w:rPr>
        <w:rFonts w:ascii="Twentieth Century" w:cs="Twentieth Century" w:eastAsia="Twentieth Century" w:hAnsi="Twentieth Century"/>
        <w:color w:val="000000"/>
        <w:sz w:val="20"/>
        <w:szCs w:val="20"/>
      </w:rPr>
      <w:t>, No.</w:t>
    </w:r>
    <w:r>
      <w:rPr>
        <w:rFonts w:ascii="Twentieth Century" w:cs="Twentieth Century" w:eastAsia="Twentieth Century" w:hAnsi="Twentieth Century"/>
        <w:sz w:val="20"/>
        <w:szCs w:val="20"/>
      </w:rPr>
      <w:t>1</w:t>
    </w:r>
    <w:r>
      <w:rPr>
        <w:rFonts w:ascii="Twentieth Century" w:cs="Twentieth Century" w:eastAsia="Twentieth Century" w:hAnsi="Twentieth Century"/>
        <w:color w:val="000000"/>
        <w:sz w:val="20"/>
        <w:szCs w:val="20"/>
      </w:rPr>
      <w:t xml:space="preserve">, </w:t>
    </w:r>
    <w:r>
      <w:rPr>
        <w:rFonts w:ascii="Twentieth Century" w:cs="Twentieth Century" w:eastAsia="Twentieth Century" w:hAnsi="Twentieth Century"/>
        <w:sz w:val="20"/>
        <w:szCs w:val="20"/>
      </w:rPr>
      <w:t>November</w:t>
    </w:r>
    <w:r>
      <w:rPr>
        <w:rFonts w:ascii="Twentieth Century" w:cs="Twentieth Century" w:eastAsia="Twentieth Century" w:hAnsi="Twentieth Century"/>
        <w:sz w:val="20"/>
        <w:szCs w:val="20"/>
      </w:rPr>
      <w:t xml:space="preserve"> 202</w:t>
    </w:r>
    <w:r>
      <w:rPr>
        <w:rFonts w:ascii="Twentieth Century" w:cs="Twentieth Century" w:eastAsia="Twentieth Century" w:hAnsi="Twentieth Century"/>
        <w:sz w:val="20"/>
        <w:szCs w:val="20"/>
      </w:rPr>
      <w:t>2</w:t>
    </w:r>
    <w:r>
      <w:rPr>
        <w:rFonts w:ascii="Twentieth Century" w:cs="Twentieth Century" w:eastAsia="Twentieth Century" w:hAnsi="Twentieth Century"/>
        <w:color w:val="000000"/>
        <w:sz w:val="20"/>
        <w:szCs w:val="20"/>
      </w:rPr>
      <w:t>, pp. 1-</w:t>
    </w:r>
    <w:r>
      <w:rPr>
        <w:rFonts w:ascii="Twentieth Century" w:cs="Twentieth Century" w:eastAsia="Twentieth Century" w:hAnsi="Twentieth Century"/>
        <w:color w:val="000000"/>
        <w:sz w:val="20"/>
        <w:szCs w:val="20"/>
      </w:rPr>
      <w:t>9</w:t>
    </w:r>
    <w:r>
      <w:rPr>
        <w:rFonts w:ascii="Twentieth Century" w:cs="Twentieth Century" w:eastAsia="Twentieth Century" w:hAnsi="Twentieth Century"/>
        <w:color w:val="000000"/>
        <w:sz w:val="20"/>
        <w:szCs w:val="20"/>
      </w:rPr>
      <w:tab/>
    </w:r>
    <w:r>
      <w:rPr>
        <w:rFonts w:ascii="Twentieth Century" w:cs="Twentieth Century" w:eastAsia="Twentieth Century" w:hAnsi="Twentieth Century"/>
        <w:color w:val="000000"/>
        <w:sz w:val="20"/>
        <w:szCs w:val="20"/>
      </w:rPr>
      <w:tab/>
    </w:r>
    <w:r>
      <w:rPr>
        <w:rFonts w:ascii="Twentieth Century" w:cs="Twentieth Century" w:eastAsia="Twentieth Century" w:hAnsi="Twentieth Century"/>
        <w:color w:val="000000"/>
        <w:sz w:val="20"/>
        <w:szCs w:val="20"/>
      </w:rPr>
      <w:t xml:space="preserve">                                                                                                        ISSN </w:t>
    </w:r>
    <w:r>
      <w:rPr>
        <w:rFonts w:ascii="Twentieth Century" w:cs="Twentieth Century" w:eastAsia="Twentieth Century" w:hAnsi="Twentieth Century"/>
        <w:sz w:val="20"/>
        <w:szCs w:val="20"/>
      </w:rPr>
      <w:t>2715-1115</w:t>
    </w:r>
    <w:r>
      <w:rPr>
        <w:rFonts w:ascii="Twentieth Century" w:cs="Twentieth Century" w:eastAsia="Twentieth Century" w:hAnsi="Twentieth Century"/>
        <w:color w:val="000000"/>
        <w:sz w:val="20"/>
        <w:szCs w:val="20"/>
      </w:rPr>
      <w:t xml:space="preserve"> (Online), ISSN 23</w:t>
    </w:r>
    <w:r>
      <w:rPr>
        <w:rFonts w:ascii="Twentieth Century" w:cs="Twentieth Century" w:eastAsia="Twentieth Century" w:hAnsi="Twentieth Century"/>
        <w:sz w:val="20"/>
        <w:szCs w:val="20"/>
      </w:rPr>
      <w:t>02</w:t>
    </w:r>
    <w:r>
      <w:rPr>
        <w:rFonts w:ascii="Twentieth Century" w:cs="Twentieth Century" w:eastAsia="Twentieth Century" w:hAnsi="Twentieth Century"/>
        <w:color w:val="000000"/>
        <w:sz w:val="20"/>
        <w:szCs w:val="20"/>
      </w:rPr>
      <w:t xml:space="preserve"> – </w:t>
    </w:r>
    <w:r>
      <w:rPr>
        <w:rFonts w:ascii="Twentieth Century" w:cs="Twentieth Century" w:eastAsia="Twentieth Century" w:hAnsi="Twentieth Century"/>
        <w:sz w:val="20"/>
        <w:szCs w:val="20"/>
      </w:rPr>
      <w:t>8</w:t>
    </w:r>
    <w:r>
      <w:rPr>
        <w:rFonts w:ascii="Twentieth Century" w:cs="Twentieth Century" w:eastAsia="Twentieth Century" w:hAnsi="Twentieth Century"/>
        <w:color w:val="000000"/>
        <w:sz w:val="20"/>
        <w:szCs w:val="20"/>
      </w:rPr>
      <w:t>6</w:t>
    </w:r>
    <w:r>
      <w:rPr>
        <w:rFonts w:ascii="Twentieth Century" w:cs="Twentieth Century" w:eastAsia="Twentieth Century" w:hAnsi="Twentieth Century"/>
        <w:sz w:val="20"/>
        <w:szCs w:val="20"/>
      </w:rPr>
      <w:t>10</w:t>
    </w:r>
    <w:r>
      <w:rPr>
        <w:rFonts w:ascii="Twentieth Century" w:cs="Twentieth Century" w:eastAsia="Twentieth Century" w:hAnsi="Twentieth Century"/>
        <w:color w:val="000000"/>
        <w:sz w:val="20"/>
        <w:szCs w:val="20"/>
      </w:rPr>
      <w:t xml:space="preserve"> (Print)</w:t>
    </w:r>
  </w:p>
  <w:p>
    <w:pPr>
      <w:pStyle w:val="style0"/>
      <w:pBdr>
        <w:left w:val="nil"/>
        <w:right w:val="nil"/>
        <w:top w:val="nil"/>
        <w:bottom w:val="single" w:sz="4" w:space="1" w:color="a5a5a5"/>
        <w:between w:val="nil"/>
      </w:pBdr>
      <w:tabs>
        <w:tab w:val="left" w:leader="none" w:pos="2580"/>
        <w:tab w:val="left" w:leader="none" w:pos="2985"/>
        <w:tab w:val="center" w:leader="none" w:pos="4680"/>
        <w:tab w:val="right" w:leader="none" w:pos="9360"/>
      </w:tabs>
      <w:spacing w:after="120" w:lineRule="auto" w:line="276"/>
      <w:rPr>
        <w:color w:val="7f7f7f"/>
      </w:rPr>
    </w:pPr>
    <w:r>
      <w:rPr>
        <w:noProof/>
        <w:lang w:bidi="ar-SA" w:eastAsia="en-US"/>
      </w:rPr>
      <mc:AlternateContent>
        <mc:Choice Requires="wps">
          <w:drawing>
            <wp:anchor distT="0" distB="0" distL="0" distR="0" simplePos="false" relativeHeight="2" behindDoc="false" locked="false" layoutInCell="true" allowOverlap="true">
              <wp:simplePos x="0" y="0"/>
              <wp:positionH relativeFrom="column">
                <wp:posOffset>0</wp:posOffset>
              </wp:positionH>
              <wp:positionV relativeFrom="paragraph">
                <wp:posOffset>177800</wp:posOffset>
              </wp:positionV>
              <wp:extent cx="5975985" cy="38100"/>
              <wp:effectExtent l="0" t="0" r="0" b="0"/>
              <wp:wrapNone/>
              <wp:docPr id="4097" name="Straight Arrow Connector 6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75985" cy="38100"/>
                      </a:xfrm>
                      <a:prstGeom prst="straightConnector1"/>
                      <a:ln cmpd="sng" cap="flat" w="19050">
                        <a:solidFill>
                          <a:srgbClr val="000000"/>
                        </a:solidFill>
                        <a:prstDash val="solid"/>
                        <a:round/>
                        <a:headEnd len="sm" w="sm" type="none"/>
                        <a:tailEnd len="sm" w="sm" type="none"/>
                      </a:ln>
                    </wps:spPr>
                    <wps:bodyPr>
                      <a:prstTxWarp prst="textNoShape"/>
                    </wps:bodyPr>
                  </wps:wsp>
                </a:graphicData>
              </a:graphic>
            </wp:anchor>
          </w:drawing>
        </mc:Choice>
        <mc:Fallback>
          <w:pict>
            <v:shape id="4097" type="#_x0000_t32" filled="f" style="position:absolute;margin-left:0.0pt;margin-top:14.0pt;width:470.55pt;height:3.0pt;z-index:2;mso-position-horizontal-relative:text;mso-position-vertical-relative:text;mso-width-relative:page;mso-height-relative:page;mso-wrap-distance-left:0.0pt;mso-wrap-distance-right:0.0pt;visibility:visible;">
              <v:stroke startarrowwidth="narrow" startarrowlength="short" endarrowwidth="narrow" endarrowlength="short" weight="1.5pt"/>
              <v:fill/>
            </v:shape>
          </w:pict>
        </mc:Fallback>
      </mc:AlternateContent>
    </w:r>
  </w:p>
  <w:p>
    <w:pPr>
      <w:pStyle w:val="style0"/>
      <w:pBdr>
        <w:left w:val="nil"/>
        <w:right w:val="nil"/>
        <w:top w:val="nil"/>
        <w:bottom w:val="nil"/>
        <w:between w:val="nil"/>
      </w:pBdr>
      <w:tabs>
        <w:tab w:val="center" w:leader="none" w:pos="4680"/>
        <w:tab w:val="right" w:leader="none" w:pos="9360"/>
      </w:tabs>
      <w:spacing w:after="0" w:lineRule="auto" w:line="24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2B05C84"/>
    <w:lvl w:ilvl="0" w:tplc="A308D1F8">
      <w:start w:val="1"/>
      <w:numFmt w:val="decimal"/>
      <w:lvlText w:val="%1."/>
      <w:lvlJc w:val="left"/>
      <w:pPr>
        <w:ind w:left="644" w:hanging="360"/>
      </w:pPr>
      <w:rPr>
        <w:rFonts w:hint="default"/>
        <w:b w:val="false"/>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0000001"/>
    <w:multiLevelType w:val="hybridMultilevel"/>
    <w:tmpl w:val="107CDB74"/>
    <w:lvl w:ilvl="0" w:tplc="0421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00000002"/>
    <w:multiLevelType w:val="hybridMultilevel"/>
    <w:tmpl w:val="B45CC870"/>
    <w:lvl w:ilvl="0" w:tplc="362A44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0000003"/>
    <w:multiLevelType w:val="hybridMultilevel"/>
    <w:tmpl w:val="AD2CE74E"/>
    <w:lvl w:ilvl="0" w:tplc="49A47CE2">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0000004"/>
    <w:multiLevelType w:val="hybridMultilevel"/>
    <w:tmpl w:val="610C8D14"/>
    <w:lvl w:ilvl="0" w:tplc="BDFE66E8">
      <w:start w:val="1"/>
      <w:numFmt w:val="decimal"/>
      <w:lvlText w:val="%1."/>
      <w:lvlJc w:val="left"/>
      <w:pPr>
        <w:ind w:left="720" w:hanging="360"/>
      </w:pPr>
      <w:rPr>
        <w:rFonts w:hint="default"/>
        <w:b w:val="false"/>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0"/>
  <w:proofState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id-ID" w:bidi="th-TH"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1"/>
        <w:szCs w:val="21"/>
        <w:lang w:val="en-US" w:bidi="th-TH" w:eastAsia="zh-CN"/>
      </w:rPr>
    </w:rPrDefault>
    <w:pPrDefault>
      <w:pPr>
        <w:spacing w:after="200" w:lineRule="auto" w:line="288"/>
      </w:pPr>
    </w:pPrDefault>
  </w:docDefaults>
  <w:style w:type="paragraph" w:default="1" w:styleId="style0">
    <w:name w:val="Normal"/>
    <w:next w:val="style0"/>
    <w:qFormat/>
    <w:pPr/>
    <w:rPr>
      <w:rFonts w:eastAsia="宋体"/>
    </w:rPr>
  </w:style>
  <w:style w:type="paragraph" w:styleId="style1">
    <w:name w:val="heading 1"/>
    <w:basedOn w:val="style0"/>
    <w:next w:val="style0"/>
    <w:qFormat/>
    <w:uiPriority w:val="9"/>
    <w:pPr>
      <w:keepNext/>
      <w:keepLines/>
      <w:spacing w:before="480" w:after="120"/>
      <w:outlineLvl w:val="0"/>
    </w:pPr>
    <w:rPr>
      <w:b/>
      <w:sz w:val="48"/>
      <w:szCs w:val="48"/>
    </w:rPr>
  </w:style>
  <w:style w:type="paragraph" w:styleId="style2">
    <w:name w:val="heading 2"/>
    <w:basedOn w:val="style0"/>
    <w:next w:val="style0"/>
    <w:qFormat/>
    <w:uiPriority w:val="9"/>
    <w:pPr>
      <w:keepNext/>
      <w:keepLines/>
      <w:spacing w:before="360" w:after="80"/>
      <w:outlineLvl w:val="1"/>
    </w:pPr>
    <w:rPr>
      <w:b/>
      <w:sz w:val="36"/>
      <w:szCs w:val="36"/>
    </w:rPr>
  </w:style>
  <w:style w:type="paragraph" w:styleId="style3">
    <w:name w:val="heading 3"/>
    <w:basedOn w:val="style0"/>
    <w:next w:val="style0"/>
    <w:qFormat/>
    <w:uiPriority w:val="9"/>
    <w:pPr>
      <w:keepNext/>
      <w:keepLines/>
      <w:spacing w:before="280" w:after="80"/>
      <w:outlineLvl w:val="2"/>
    </w:pPr>
    <w:rPr>
      <w:b/>
      <w:sz w:val="28"/>
      <w:szCs w:val="28"/>
    </w:rPr>
  </w:style>
  <w:style w:type="paragraph" w:styleId="style4">
    <w:name w:val="heading 4"/>
    <w:basedOn w:val="style0"/>
    <w:next w:val="style0"/>
    <w:qFormat/>
    <w:uiPriority w:val="9"/>
    <w:pPr>
      <w:keepNext/>
      <w:keepLines/>
      <w:spacing w:before="240" w:after="40"/>
      <w:outlineLvl w:val="3"/>
    </w:pPr>
    <w:rPr>
      <w:b/>
      <w:sz w:val="24"/>
      <w:szCs w:val="24"/>
    </w:rPr>
  </w:style>
  <w:style w:type="paragraph" w:styleId="style5">
    <w:name w:val="heading 5"/>
    <w:basedOn w:val="style0"/>
    <w:next w:val="style0"/>
    <w:qFormat/>
    <w:uiPriority w:val="9"/>
    <w:pPr>
      <w:keepNext/>
      <w:keepLines/>
      <w:spacing w:before="220" w:after="40"/>
      <w:outlineLvl w:val="4"/>
    </w:pPr>
    <w:rPr>
      <w:b/>
      <w:sz w:val="22"/>
      <w:szCs w:val="22"/>
    </w:rPr>
  </w:style>
  <w:style w:type="paragraph" w:styleId="style6">
    <w:name w:val="heading 6"/>
    <w:basedOn w:val="style0"/>
    <w:next w:val="style0"/>
    <w:qFormat/>
    <w:uiPriority w:val="9"/>
    <w:pPr>
      <w:keepNext/>
      <w:keepLines/>
      <w:spacing w:before="200" w:after="40"/>
      <w:outlineLvl w:val="5"/>
    </w:pPr>
    <w:rPr>
      <w:b/>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2">
    <w:name w:val="Title"/>
    <w:basedOn w:val="style0"/>
    <w:next w:val="style0"/>
    <w:qFormat/>
    <w:uiPriority w:val="10"/>
    <w:pPr>
      <w:keepNext/>
      <w:keepLines/>
      <w:spacing w:before="480" w:after="120"/>
    </w:pPr>
    <w:rPr>
      <w:b/>
      <w:sz w:val="72"/>
      <w:szCs w:val="72"/>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3fc34bfd-ba5b-4ade-b560-c54d9b103c79"/>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48d41f0d-ab1e-4cbc-88d6-cdce57ac2277"/>
    <w:basedOn w:val="style65"/>
    <w:next w:val="style4098"/>
    <w:link w:val="style32"/>
    <w:uiPriority w:val="99"/>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character" w:customStyle="1" w:styleId="style4099">
    <w:name w:val="Balloon Text Char"/>
    <w:basedOn w:val="style65"/>
    <w:next w:val="style4099"/>
    <w:link w:val="style153"/>
    <w:uiPriority w:val="99"/>
    <w:rPr>
      <w:rFonts w:ascii="Tahoma" w:cs="Tahoma" w:hAnsi="Tahoma"/>
      <w:sz w:val="16"/>
      <w:szCs w:val="16"/>
    </w:rPr>
  </w:style>
  <w:style w:type="character" w:styleId="style85">
    <w:name w:val="Hyperlink"/>
    <w:next w:val="style85"/>
    <w:rPr>
      <w:color w:val="0000ff"/>
      <w:u w:val="single"/>
    </w:rPr>
  </w:style>
  <w:style w:type="paragraph" w:customStyle="1" w:styleId="style4100">
    <w:name w:val="3CBD5A742C28424DA5172AD252E32316"/>
    <w:next w:val="style4100"/>
    <w:pPr/>
    <w:rPr>
      <w:rFonts w:eastAsia="宋体"/>
      <w:lang w:eastAsia="ja-JP"/>
    </w:rPr>
  </w:style>
  <w:style w:type="paragraph" w:styleId="style74">
    <w:name w:val="Subtitle"/>
    <w:basedOn w:val="style0"/>
    <w:next w:val="style0"/>
    <w:link w:val="style4101"/>
    <w:qFormat/>
    <w:uiPriority w:val="11"/>
    <w:pPr>
      <w:spacing w:lineRule="auto" w:line="240"/>
    </w:pPr>
    <w:rPr>
      <w:rFonts w:ascii="Cambria" w:cs="Cambria" w:eastAsia="Cambria" w:hAnsi="Cambria"/>
      <w:sz w:val="30"/>
      <w:szCs w:val="30"/>
    </w:rPr>
  </w:style>
  <w:style w:type="character" w:customStyle="1" w:styleId="style4101">
    <w:name w:val="Subtitle Char"/>
    <w:basedOn w:val="style65"/>
    <w:next w:val="style4101"/>
    <w:link w:val="style74"/>
    <w:rPr>
      <w:rFonts w:ascii="Cambria" w:cs="Angsana New" w:eastAsia="宋体" w:hAnsi="Cambria"/>
      <w:sz w:val="30"/>
      <w:szCs w:val="30"/>
    </w:rPr>
  </w:style>
  <w:style w:type="character" w:styleId="style40">
    <w:name w:val="line number"/>
    <w:basedOn w:val="style65"/>
    <w:next w:val="style40"/>
    <w:uiPriority w:val="99"/>
  </w:style>
  <w:style w:type="paragraph" w:styleId="style179">
    <w:name w:val="List Paragraph"/>
    <w:basedOn w:val="style0"/>
    <w:next w:val="style179"/>
    <w:link w:val="style4106"/>
    <w:qFormat/>
    <w:uiPriority w:val="34"/>
    <w:pPr>
      <w:spacing w:lineRule="auto" w:line="276"/>
      <w:ind w:left="720"/>
      <w:contextualSpacing/>
    </w:pPr>
    <w:rPr>
      <w:rFonts w:cs="Times New Roman" w:eastAsia="Times New Roman"/>
      <w:sz w:val="22"/>
      <w:szCs w:val="22"/>
      <w:lang w:val="en-GB" w:eastAsia="en-GB"/>
    </w:rPr>
  </w:style>
  <w:style w:type="paragraph" w:customStyle="1" w:styleId="style4102">
    <w:name w:val="Default"/>
    <w:next w:val="style4102"/>
    <w:pPr>
      <w:widowControl w:val="false"/>
      <w:autoSpaceDE w:val="false"/>
      <w:autoSpaceDN w:val="false"/>
      <w:adjustRightInd w:val="false"/>
      <w:spacing w:after="0" w:lineRule="auto" w:line="240"/>
    </w:pPr>
    <w:rPr>
      <w:rFonts w:ascii="Times New Roman" w:cs="Angsana New" w:eastAsia="Times New Roman" w:hAnsi="Times New Roman"/>
      <w:color w:val="000000"/>
      <w:sz w:val="24"/>
      <w:szCs w:val="24"/>
    </w:rPr>
  </w:style>
  <w:style w:type="table" w:customStyle="1" w:styleId="style4103">
    <w:basedOn w:val="style105"/>
    <w:next w:val="style4103"/>
    <w:pPr/>
    <w:rPr/>
    <w:tblPr>
      <w:tblStyleRowBandSize w:val="1"/>
      <w:tblStyleColBandSize w:val="1"/>
      <w:tblInd w:w="0" w:type="dxa"/>
      <w:tblCellMar>
        <w:top w:w="0" w:type="dxa"/>
        <w:left w:w="115" w:type="dxa"/>
        <w:bottom w:w="0" w:type="dxa"/>
        <w:right w:w="115" w:type="dxa"/>
      </w:tblCellMar>
    </w:tblPr>
    <w:tcPr>
      <w:tcBorders/>
    </w:tcPr>
  </w:style>
  <w:style w:type="table" w:customStyle="1" w:styleId="style4104">
    <w:basedOn w:val="style105"/>
    <w:next w:val="style4104"/>
    <w:pPr/>
    <w:rPr/>
    <w:tblPr>
      <w:tblStyleRowBandSize w:val="1"/>
      <w:tblStyleColBandSize w:val="1"/>
      <w:tblInd w:w="0" w:type="dxa"/>
      <w:tblCellMar>
        <w:top w:w="0" w:type="dxa"/>
        <w:left w:w="115" w:type="dxa"/>
        <w:bottom w:w="0" w:type="dxa"/>
        <w:right w:w="115" w:type="dxa"/>
      </w:tblCellMar>
    </w:tblPr>
    <w:tcPr>
      <w:tcBorders/>
    </w:tcPr>
  </w:style>
  <w:style w:type="paragraph" w:styleId="style66">
    <w:name w:val="Body Text"/>
    <w:basedOn w:val="style0"/>
    <w:next w:val="style66"/>
    <w:link w:val="style4105"/>
    <w:qFormat/>
    <w:uiPriority w:val="1"/>
    <w:pPr>
      <w:widowControl w:val="false"/>
      <w:autoSpaceDE w:val="false"/>
      <w:autoSpaceDN w:val="false"/>
      <w:spacing w:after="0" w:lineRule="auto" w:line="240"/>
    </w:pPr>
    <w:rPr>
      <w:rFonts w:ascii="Times New Roman" w:cs="Times New Roman" w:eastAsia="Times New Roman" w:hAnsi="Times New Roman"/>
      <w:sz w:val="24"/>
      <w:szCs w:val="24"/>
      <w:lang w:val="id-ID" w:bidi="ar-SA" w:eastAsia="en-US"/>
    </w:rPr>
  </w:style>
  <w:style w:type="character" w:customStyle="1" w:styleId="style4105">
    <w:name w:val="Body Text Char"/>
    <w:basedOn w:val="style65"/>
    <w:next w:val="style4105"/>
    <w:link w:val="style66"/>
    <w:uiPriority w:val="1"/>
    <w:rPr>
      <w:rFonts w:ascii="Times New Roman" w:cs="Times New Roman" w:eastAsia="Times New Roman" w:hAnsi="Times New Roman"/>
      <w:sz w:val="24"/>
      <w:szCs w:val="24"/>
      <w:lang w:val="id-ID" w:bidi="ar-SA" w:eastAsia="en-US"/>
    </w:rPr>
  </w:style>
  <w:style w:type="table" w:styleId="style154">
    <w:name w:val="Table Grid"/>
    <w:basedOn w:val="style105"/>
    <w:next w:val="style154"/>
    <w:uiPriority w:val="59"/>
    <w:pPr>
      <w:spacing w:after="0" w:lineRule="auto" w:line="240"/>
    </w:pPr>
    <w:rPr>
      <w:rFonts w:cs="Cordia New"/>
      <w:sz w:val="20"/>
      <w:szCs w:val="20"/>
      <w:lang w:val="id-ID" w:bidi="ar-SA"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character" w:customStyle="1" w:styleId="style4106">
    <w:name w:val="List Paragraph Char"/>
    <w:next w:val="style4106"/>
    <w:link w:val="style179"/>
    <w:uiPriority w:val="34"/>
    <w:rPr>
      <w:rFonts w:cs="Times New Roman" w:eastAsia="Times New Roman"/>
      <w:sz w:val="22"/>
      <w:szCs w:val="22"/>
      <w:lang w:val="en-GB" w:eastAsia="en-GB"/>
    </w:r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107"/>
    <w:uiPriority w:val="99"/>
    <w:pPr>
      <w:spacing w:lineRule="auto" w:line="240"/>
    </w:pPr>
    <w:rPr>
      <w:rFonts w:cs="Angsana New"/>
      <w:sz w:val="20"/>
      <w:szCs w:val="25"/>
    </w:rPr>
  </w:style>
  <w:style w:type="character" w:customStyle="1" w:styleId="style4107">
    <w:name w:val="Comment Text Char"/>
    <w:basedOn w:val="style65"/>
    <w:next w:val="style4107"/>
    <w:link w:val="style30"/>
    <w:uiPriority w:val="99"/>
    <w:rPr>
      <w:rFonts w:cs="Angsana New" w:eastAsia="宋体"/>
      <w:sz w:val="20"/>
      <w:szCs w:val="25"/>
    </w:rPr>
  </w:style>
  <w:style w:type="paragraph" w:styleId="style106">
    <w:name w:val="annotation subject"/>
    <w:basedOn w:val="style30"/>
    <w:next w:val="style30"/>
    <w:link w:val="style4108"/>
    <w:uiPriority w:val="99"/>
    <w:pPr/>
    <w:rPr>
      <w:b/>
      <w:bCs/>
    </w:rPr>
  </w:style>
  <w:style w:type="character" w:customStyle="1" w:styleId="style4108">
    <w:name w:val="Comment Subject Char"/>
    <w:basedOn w:val="style4107"/>
    <w:next w:val="style4108"/>
    <w:link w:val="style106"/>
    <w:uiPriority w:val="99"/>
    <w:rPr>
      <w:rFonts w:cs="Angsana New" w:eastAsia="宋体"/>
      <w:b/>
      <w:bCs/>
      <w:sz w:val="20"/>
      <w:szCs w:val="25"/>
    </w:rPr>
  </w:style>
</w:styles>
</file>

<file path=word/_rels/document.xml.rels><?xml version="1.0" encoding="UTF-8"?>
<Relationships xmlns="http://schemas.openxmlformats.org/package/2006/relationships"><Relationship Id="rId40" Type="http://schemas.openxmlformats.org/officeDocument/2006/relationships/customXml" Target="../customXml/item33.xml"/><Relationship Id="rId20" Type="http://schemas.openxmlformats.org/officeDocument/2006/relationships/customXml" Target="../customXml/item13.xml"/><Relationship Id="rId42" Type="http://schemas.openxmlformats.org/officeDocument/2006/relationships/customXml" Target="../customXml/item35.xml"/><Relationship Id="rId41" Type="http://schemas.openxmlformats.org/officeDocument/2006/relationships/customXml" Target="../customXml/item34.xml"/><Relationship Id="rId22" Type="http://schemas.openxmlformats.org/officeDocument/2006/relationships/customXml" Target="../customXml/item15.xml"/><Relationship Id="rId21" Type="http://schemas.openxmlformats.org/officeDocument/2006/relationships/customXml" Target="../customXml/item14.xml"/><Relationship Id="rId43" Type="http://schemas.openxmlformats.org/officeDocument/2006/relationships/customXml" Target="../customXml/item36.xml"/><Relationship Id="rId24" Type="http://schemas.openxmlformats.org/officeDocument/2006/relationships/customXml" Target="../customXml/item17.xml"/><Relationship Id="rId23" Type="http://schemas.openxmlformats.org/officeDocument/2006/relationships/customXml" Target="../customXml/item16.xml"/><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9" Type="http://schemas.openxmlformats.org/officeDocument/2006/relationships/customXml" Target="../customXml/item2.xml"/><Relationship Id="rId26" Type="http://schemas.openxmlformats.org/officeDocument/2006/relationships/customXml" Target="../customXml/item19.xml"/><Relationship Id="rId25" Type="http://schemas.openxmlformats.org/officeDocument/2006/relationships/customXml" Target="../customXml/item18.xml"/><Relationship Id="rId28" Type="http://schemas.openxmlformats.org/officeDocument/2006/relationships/customXml" Target="../customXml/item21.xml"/><Relationship Id="rId27" Type="http://schemas.openxmlformats.org/officeDocument/2006/relationships/customXml" Target="../customXml/item20.xml"/><Relationship Id="rId5" Type="http://schemas.openxmlformats.org/officeDocument/2006/relationships/fontTable" Target="fontTable.xml"/><Relationship Id="rId6" Type="http://schemas.openxmlformats.org/officeDocument/2006/relationships/settings" Target="settings.xml"/><Relationship Id="rId29" Type="http://schemas.openxmlformats.org/officeDocument/2006/relationships/customXml" Target="../customXml/item22.xml"/><Relationship Id="rId7" Type="http://schemas.openxmlformats.org/officeDocument/2006/relationships/theme" Target="theme/theme1.xml"/><Relationship Id="rId8" Type="http://schemas.openxmlformats.org/officeDocument/2006/relationships/customXml" Target="../customXml/item1.xml"/><Relationship Id="rId31" Type="http://schemas.openxmlformats.org/officeDocument/2006/relationships/customXml" Target="../customXml/item24.xml"/><Relationship Id="rId30" Type="http://schemas.openxmlformats.org/officeDocument/2006/relationships/customXml" Target="../customXml/item23.xml"/><Relationship Id="rId11" Type="http://schemas.openxmlformats.org/officeDocument/2006/relationships/customXml" Target="../customXml/item4.xml"/><Relationship Id="rId33" Type="http://schemas.openxmlformats.org/officeDocument/2006/relationships/customXml" Target="../customXml/item26.xml"/><Relationship Id="rId10" Type="http://schemas.openxmlformats.org/officeDocument/2006/relationships/customXml" Target="../customXml/item3.xml"/><Relationship Id="rId32" Type="http://schemas.openxmlformats.org/officeDocument/2006/relationships/customXml" Target="../customXml/item25.xml"/><Relationship Id="rId13" Type="http://schemas.openxmlformats.org/officeDocument/2006/relationships/customXml" Target="../customXml/item6.xml"/><Relationship Id="rId35" Type="http://schemas.openxmlformats.org/officeDocument/2006/relationships/customXml" Target="../customXml/item28.xml"/><Relationship Id="rId12" Type="http://schemas.openxmlformats.org/officeDocument/2006/relationships/customXml" Target="../customXml/item5.xml"/><Relationship Id="rId34" Type="http://schemas.openxmlformats.org/officeDocument/2006/relationships/customXml" Target="../customXml/item27.xml"/><Relationship Id="rId15" Type="http://schemas.openxmlformats.org/officeDocument/2006/relationships/customXml" Target="../customXml/item8.xml"/><Relationship Id="rId37" Type="http://schemas.openxmlformats.org/officeDocument/2006/relationships/customXml" Target="../customXml/item30.xml"/><Relationship Id="rId14" Type="http://schemas.openxmlformats.org/officeDocument/2006/relationships/customXml" Target="../customXml/item7.xml"/><Relationship Id="rId36" Type="http://schemas.openxmlformats.org/officeDocument/2006/relationships/customXml" Target="../customXml/item29.xml"/><Relationship Id="rId17" Type="http://schemas.openxmlformats.org/officeDocument/2006/relationships/customXml" Target="../customXml/item10.xml"/><Relationship Id="rId39" Type="http://schemas.openxmlformats.org/officeDocument/2006/relationships/customXml" Target="../customXml/item32.xml"/><Relationship Id="rId16" Type="http://schemas.openxmlformats.org/officeDocument/2006/relationships/customXml" Target="../customXml/item9.xml"/><Relationship Id="rId38" Type="http://schemas.openxmlformats.org/officeDocument/2006/relationships/customXml" Target="../customXml/item31.xml"/><Relationship Id="rId19" Type="http://schemas.openxmlformats.org/officeDocument/2006/relationships/customXml" Target="../customXml/item12.xml"/><Relationship Id="rId18" Type="http://schemas.openxmlformats.org/officeDocument/2006/relationships/customXml" Target="../customXml/item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10.xml.rels><?xml version="1.0" encoding="UTF-8"?>
<Relationships xmlns="http://schemas.openxmlformats.org/package/2006/relationships"><Relationship Id="rId1" Type="http://schemas.openxmlformats.org/officeDocument/2006/relationships/customXmlProps" Target="itemProps10.xml"/></Relationships>
</file>

<file path=customXml/_rels/item11.xml.rels><?xml version="1.0" encoding="UTF-8"?>
<Relationships xmlns="http://schemas.openxmlformats.org/package/2006/relationships"><Relationship Id="rId1" Type="http://schemas.openxmlformats.org/officeDocument/2006/relationships/customXmlProps" Target="itemProps11.xml"/></Relationships>
</file>

<file path=customXml/_rels/item12.xml.rels><?xml version="1.0" encoding="UTF-8"?>
<Relationships xmlns="http://schemas.openxmlformats.org/package/2006/relationships"><Relationship Id="rId1" Type="http://schemas.openxmlformats.org/officeDocument/2006/relationships/customXmlProps" Target="itemProps12.xml"/></Relationships>
</file>

<file path=customXml/_rels/item13.xml.rels><?xml version="1.0" encoding="UTF-8"?>
<Relationships xmlns="http://schemas.openxmlformats.org/package/2006/relationships"><Relationship Id="rId1" Type="http://schemas.openxmlformats.org/officeDocument/2006/relationships/customXmlProps" Target="itemProps13.xml"/></Relationships>
</file>

<file path=customXml/_rels/item14.xml.rels><?xml version="1.0" encoding="UTF-8"?>
<Relationships xmlns="http://schemas.openxmlformats.org/package/2006/relationships"><Relationship Id="rId1" Type="http://schemas.openxmlformats.org/officeDocument/2006/relationships/customXmlProps" Target="itemProps14.xml"/></Relationships>
</file>

<file path=customXml/_rels/item15.xml.rels><?xml version="1.0" encoding="UTF-8"?>
<Relationships xmlns="http://schemas.openxmlformats.org/package/2006/relationships"><Relationship Id="rId1" Type="http://schemas.openxmlformats.org/officeDocument/2006/relationships/customXmlProps" Target="itemProps15.xml"/></Relationships>
</file>

<file path=customXml/_rels/item16.xml.rels><?xml version="1.0" encoding="UTF-8"?>
<Relationships xmlns="http://schemas.openxmlformats.org/package/2006/relationships"><Relationship Id="rId1" Type="http://schemas.openxmlformats.org/officeDocument/2006/relationships/customXmlProps" Target="itemProps16.xml"/></Relationships>
</file>

<file path=customXml/_rels/item17.xml.rels><?xml version="1.0" encoding="UTF-8"?>
<Relationships xmlns="http://schemas.openxmlformats.org/package/2006/relationships"><Relationship Id="rId1" Type="http://schemas.openxmlformats.org/officeDocument/2006/relationships/customXmlProps" Target="itemProps17.xml"/></Relationships>
</file>

<file path=customXml/_rels/item18.xml.rels><?xml version="1.0" encoding="UTF-8"?>
<Relationships xmlns="http://schemas.openxmlformats.org/package/2006/relationships"><Relationship Id="rId1" Type="http://schemas.openxmlformats.org/officeDocument/2006/relationships/customXmlProps" Target="itemProps18.xml"/></Relationships>
</file>

<file path=customXml/_rels/item19.xml.rels><?xml version="1.0" encoding="UTF-8"?>
<Relationships xmlns="http://schemas.openxmlformats.org/package/2006/relationships"><Relationship Id="rId1" Type="http://schemas.openxmlformats.org/officeDocument/2006/relationships/customXmlProps" Target="itemProps19.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20.xml.rels><?xml version="1.0" encoding="UTF-8"?>
<Relationships xmlns="http://schemas.openxmlformats.org/package/2006/relationships"><Relationship Id="rId1" Type="http://schemas.openxmlformats.org/officeDocument/2006/relationships/customXmlProps" Target="itemProps20.xml"/></Relationships>
</file>

<file path=customXml/_rels/item21.xml.rels><?xml version="1.0" encoding="UTF-8"?>
<Relationships xmlns="http://schemas.openxmlformats.org/package/2006/relationships"><Relationship Id="rId1" Type="http://schemas.openxmlformats.org/officeDocument/2006/relationships/customXmlProps" Target="itemProps21.xml"/></Relationships>
</file>

<file path=customXml/_rels/item22.xml.rels><?xml version="1.0" encoding="UTF-8"?>
<Relationships xmlns="http://schemas.openxmlformats.org/package/2006/relationships"><Relationship Id="rId1" Type="http://schemas.openxmlformats.org/officeDocument/2006/relationships/customXmlProps" Target="itemProps22.xml"/></Relationships>
</file>

<file path=customXml/_rels/item23.xml.rels><?xml version="1.0" encoding="UTF-8"?>
<Relationships xmlns="http://schemas.openxmlformats.org/package/2006/relationships"><Relationship Id="rId1" Type="http://schemas.openxmlformats.org/officeDocument/2006/relationships/customXmlProps" Target="itemProps23.xml"/></Relationships>
</file>

<file path=customXml/_rels/item24.xml.rels><?xml version="1.0" encoding="UTF-8"?>
<Relationships xmlns="http://schemas.openxmlformats.org/package/2006/relationships"><Relationship Id="rId1" Type="http://schemas.openxmlformats.org/officeDocument/2006/relationships/customXmlProps" Target="itemProps24.xml"/></Relationships>
</file>

<file path=customXml/_rels/item25.xml.rels><?xml version="1.0" encoding="UTF-8"?>
<Relationships xmlns="http://schemas.openxmlformats.org/package/2006/relationships"><Relationship Id="rId1" Type="http://schemas.openxmlformats.org/officeDocument/2006/relationships/customXmlProps" Target="itemProps25.xml"/></Relationships>
</file>

<file path=customXml/_rels/item26.xml.rels><?xml version="1.0" encoding="UTF-8"?>
<Relationships xmlns="http://schemas.openxmlformats.org/package/2006/relationships"><Relationship Id="rId1" Type="http://schemas.openxmlformats.org/officeDocument/2006/relationships/customXmlProps" Target="itemProps26.xml"/></Relationships>
</file>

<file path=customXml/_rels/item27.xml.rels><?xml version="1.0" encoding="UTF-8"?>
<Relationships xmlns="http://schemas.openxmlformats.org/package/2006/relationships"><Relationship Id="rId1" Type="http://schemas.openxmlformats.org/officeDocument/2006/relationships/customXmlProps" Target="itemProps27.xml"/></Relationships>
</file>

<file path=customXml/_rels/item28.xml.rels><?xml version="1.0" encoding="UTF-8"?>
<Relationships xmlns="http://schemas.openxmlformats.org/package/2006/relationships"><Relationship Id="rId1" Type="http://schemas.openxmlformats.org/officeDocument/2006/relationships/customXmlProps" Target="itemProps28.xml"/></Relationships>
</file>

<file path=customXml/_rels/item29.xml.rels><?xml version="1.0" encoding="UTF-8"?>
<Relationships xmlns="http://schemas.openxmlformats.org/package/2006/relationships"><Relationship Id="rId1" Type="http://schemas.openxmlformats.org/officeDocument/2006/relationships/customXmlProps" Target="itemProps29.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_rels/item30.xml.rels><?xml version="1.0" encoding="UTF-8"?>
<Relationships xmlns="http://schemas.openxmlformats.org/package/2006/relationships"><Relationship Id="rId1" Type="http://schemas.openxmlformats.org/officeDocument/2006/relationships/customXmlProps" Target="itemProps30.xml"/></Relationships>
</file>

<file path=customXml/_rels/item31.xml.rels><?xml version="1.0" encoding="UTF-8"?>
<Relationships xmlns="http://schemas.openxmlformats.org/package/2006/relationships"><Relationship Id="rId1" Type="http://schemas.openxmlformats.org/officeDocument/2006/relationships/customXmlProps" Target="itemProps31.xml"/></Relationships>
</file>

<file path=customXml/_rels/item32.xml.rels><?xml version="1.0" encoding="UTF-8"?>
<Relationships xmlns="http://schemas.openxmlformats.org/package/2006/relationships"><Relationship Id="rId1" Type="http://schemas.openxmlformats.org/officeDocument/2006/relationships/customXmlProps" Target="itemProps32.xml"/></Relationships>
</file>

<file path=customXml/_rels/item33.xml.rels><?xml version="1.0" encoding="UTF-8"?>
<Relationships xmlns="http://schemas.openxmlformats.org/package/2006/relationships"><Relationship Id="rId1" Type="http://schemas.openxmlformats.org/officeDocument/2006/relationships/customXmlProps" Target="itemProps33.xml"/></Relationships>
</file>

<file path=customXml/_rels/item34.xml.rels><?xml version="1.0" encoding="UTF-8"?>
<Relationships xmlns="http://schemas.openxmlformats.org/package/2006/relationships"><Relationship Id="rId1" Type="http://schemas.openxmlformats.org/officeDocument/2006/relationships/customXmlProps" Target="itemProps34.xml"/></Relationships>
</file>

<file path=customXml/_rels/item35.xml.rels><?xml version="1.0" encoding="UTF-8"?>
<Relationships xmlns="http://schemas.openxmlformats.org/package/2006/relationships"><Relationship Id="rId1" Type="http://schemas.openxmlformats.org/officeDocument/2006/relationships/customXmlProps" Target="itemProps35.xml"/></Relationships>
</file>

<file path=customXml/_rels/item36.xml.rels><?xml version="1.0" encoding="UTF-8"?>
<Relationships xmlns="http://schemas.openxmlformats.org/package/2006/relationships"><Relationship Id="rId1" Type="http://schemas.openxmlformats.org/officeDocument/2006/relationships/customXmlProps" Target="itemProps36.xml"/></Relationships>
</file>

<file path=customXml/_rels/item4.xml.rels><?xml version="1.0" encoding="UTF-8"?>
<Relationships xmlns="http://schemas.openxmlformats.org/package/2006/relationships"><Relationship Id="rId1" Type="http://schemas.openxmlformats.org/officeDocument/2006/relationships/customXmlProps" Target="itemProps4.xml"/></Relationships>
</file>

<file path=customXml/_rels/item5.xml.rels><?xml version="1.0" encoding="UTF-8"?>
<Relationships xmlns="http://schemas.openxmlformats.org/package/2006/relationships"><Relationship Id="rId1" Type="http://schemas.openxmlformats.org/officeDocument/2006/relationships/customXmlProps" Target="itemProps5.xml"/></Relationships>
</file>

<file path=customXml/_rels/item6.xml.rels><?xml version="1.0" encoding="UTF-8"?>
<Relationships xmlns="http://schemas.openxmlformats.org/package/2006/relationships"><Relationship Id="rId1" Type="http://schemas.openxmlformats.org/officeDocument/2006/relationships/customXmlProps" Target="itemProps6.xml"/></Relationships>
</file>

<file path=customXml/_rels/item7.xml.rels><?xml version="1.0" encoding="UTF-8"?>
<Relationships xmlns="http://schemas.openxmlformats.org/package/2006/relationships"><Relationship Id="rId1" Type="http://schemas.openxmlformats.org/officeDocument/2006/relationships/customXmlProps" Target="itemProps7.xml"/></Relationships>
</file>

<file path=customXml/_rels/item8.xml.rels><?xml version="1.0" encoding="UTF-8"?>
<Relationships xmlns="http://schemas.openxmlformats.org/package/2006/relationships"><Relationship Id="rId1" Type="http://schemas.openxmlformats.org/officeDocument/2006/relationships/customXmlProps" Target="itemProps8.xml"/></Relationships>
</file>

<file path=customXml/_rels/item9.xml.rels><?xml version="1.0" encoding="UTF-8"?>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21.xml><?xml version="1.0" encoding="utf-8"?>
<mcd:customData xmlns="http://www.wps.cn/android/officeDocument/2013/mofficeCustomData" xmlns:mcd="http://www.wps.cn/android/officeDocument/2013/mofficeCustomData" version="2">
  <mcd:comments/>
</mcd:customData>
</file>

<file path=customXml/item2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3.xml><?xml version="1.0" encoding="utf-8"?>
<mcd:customData xmlns="http://www.wps.cn/android/officeDocument/2013/mofficeCustomData" xmlns:mcd="http://www.wps.cn/android/officeDocument/2013/mofficeCustomData" version="2">
  <mcd:comments/>
</mcd:customData>
</file>

<file path=customXml/item24.xml><?xml version="1.0" encoding="utf-8"?>
<mcd:customData xmlns="http://www.wps.cn/android/officeDocument/2013/mofficeCustomData" xmlns:mcd="http://www.wps.cn/android/officeDocument/2013/mofficeCustomData" version="2">
  <mcd:comments/>
</mcd:customData>
</file>

<file path=customXml/item25.xml><?xml version="1.0" encoding="utf-8"?>
<mcd:customData xmlns="http://www.wps.cn/android/officeDocument/2013/mofficeCustomData" xmlns:mcd="http://www.wps.cn/android/officeDocument/2013/mofficeCustomData" version="2">
  <mcd:comments/>
</mcd:customData>
</file>

<file path=customXml/item26.xml><?xml version="1.0" encoding="utf-8"?>
<mcd:customData xmlns="http://www.wps.cn/android/officeDocument/2013/mofficeCustomData" xmlns:mcd="http://www.wps.cn/android/officeDocument/2013/mofficeCustomData" version="2">
  <mcd:comments/>
</mcd:customData>
</file>

<file path=customXml/item27.xml><?xml version="1.0" encoding="utf-8"?>
<mcd:customData xmlns="http://www.wps.cn/android/officeDocument/2013/mofficeCustomData" xmlns:mcd="http://www.wps.cn/android/officeDocument/2013/mofficeCustomData" version="2">
  <mcd:comments/>
</mcd:customData>
</file>

<file path=customXml/item28.xml><?xml version="1.0" encoding="utf-8"?>
<mcd:customData xmlns="http://www.wps.cn/android/officeDocument/2013/mofficeCustomData" xmlns:mcd="http://www.wps.cn/android/officeDocument/2013/mofficeCustomData" version="2">
  <mcd:comments/>
</mcd:customData>
</file>

<file path=customXml/item29.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30.xml><?xml version="1.0" encoding="utf-8"?>
<b:Sources xmlns:b="http://schemas.openxmlformats.org/officeDocument/2006/bibliography" xmlns="http://schemas.openxmlformats.org/officeDocument/2006/bibliography" SelectedStyle="\IEEE2006OfficeOnline.xsl" StyleName="IEEE" Version="2006"/>
</file>

<file path=customXml/item31.xml><?xml version="1.0" encoding="utf-8"?>
<mcd:customData xmlns="http://www.wps.cn/android/officeDocument/2013/mofficeCustomData" xmlns:mcd="http://www.wps.cn/android/officeDocument/2013/mofficeCustomData" version="2">
  <mcd:comments/>
</mcd:customData>
</file>

<file path=customXml/item32.xml><?xml version="1.0" encoding="utf-8"?>
<mcd:customData xmlns="http://www.wps.cn/android/officeDocument/2013/mofficeCustomData" xmlns:mcd="http://www.wps.cn/android/officeDocument/2013/mofficeCustomData" version="2">
  <mcd:comments/>
</mcd:customData>
</file>

<file path=customXml/item33.xml><?xml version="1.0" encoding="utf-8"?>
<mcd:customData xmlns="http://www.wps.cn/android/officeDocument/2013/mofficeCustomData" xmlns:mcd="http://www.wps.cn/android/officeDocument/2013/mofficeCustomData" version="2">
  <mcd:comments/>
</mcd:customData>
</file>

<file path=customXml/item34.xml><?xml version="1.0" encoding="utf-8"?>
<mcd:customData xmlns="http://www.wps.cn/android/officeDocument/2013/mofficeCustomData" xmlns:mcd="http://www.wps.cn/android/officeDocument/2013/mofficeCustomData" version="2">
  <mcd:comments/>
</mcd:customData>
</file>

<file path=customXml/item35.xml><?xml version="1.0" encoding="utf-8"?>
<mcd:customData xmlns="http://www.wps.cn/android/officeDocument/2013/mofficeCustomData" xmlns:mcd="http://www.wps.cn/android/officeDocument/2013/mofficeCustomData" version="2">
  <mcd:comments/>
</mcd:customData>
</file>

<file path=customXml/item36.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049ebbca-aa56-4304-bf42-67caf9d640ab}">
  <ds:schemaRefs>
    <ds:schemaRef ds:uri="http://www.wps.cn/android/officeDocument/2013/mofficeCustomData"/>
  </ds:schemaRefs>
</ds:datastoreItem>
</file>

<file path=customXml/itemProps10.xml><?xml version="1.0" encoding="utf-8"?>
<ds:datastoreItem xmlns:ds="http://schemas.openxmlformats.org/officeDocument/2006/customXml" ds:itemID="{6bfc5719-015e-441a-bfeb-23d8309b3736}">
  <ds:schemaRefs>
    <ds:schemaRef ds:uri="http://www.wps.cn/android/officeDocument/2013/mofficeCustomData"/>
  </ds:schemaRefs>
</ds:datastoreItem>
</file>

<file path=customXml/itemProps11.xml><?xml version="1.0" encoding="utf-8"?>
<ds:datastoreItem xmlns:ds="http://schemas.openxmlformats.org/officeDocument/2006/customXml" ds:itemID="{b01a104a-23db-4f2b-9d19-6b942b7cd18b}">
  <ds:schemaRefs>
    <ds:schemaRef ds:uri="http://www.wps.cn/android/officeDocument/2013/mofficeCustomData"/>
  </ds:schemaRefs>
</ds:datastoreItem>
</file>

<file path=customXml/itemProps12.xml><?xml version="1.0" encoding="utf-8"?>
<ds:datastoreItem xmlns:ds="http://schemas.openxmlformats.org/officeDocument/2006/customXml" ds:itemID="{111e91d7-c70c-44e3-b8fa-8c5e557122de}">
  <ds:schemaRefs>
    <ds:schemaRef ds:uri="http://www.wps.cn/android/officeDocument/2013/mofficeCustomData"/>
  </ds:schemaRefs>
</ds:datastoreItem>
</file>

<file path=customXml/itemProps13.xml><?xml version="1.0" encoding="utf-8"?>
<ds:datastoreItem xmlns:ds="http://schemas.openxmlformats.org/officeDocument/2006/customXml" ds:itemID="{36eca894-eba0-47a8-97ce-ab4b7925686d}">
  <ds:schemaRefs>
    <ds:schemaRef ds:uri="http://www.wps.cn/android/officeDocument/2013/mofficeCustomData"/>
  </ds:schemaRefs>
</ds:datastoreItem>
</file>

<file path=customXml/itemProps14.xml><?xml version="1.0" encoding="utf-8"?>
<ds:datastoreItem xmlns:ds="http://schemas.openxmlformats.org/officeDocument/2006/customXml" ds:itemID="{a07a237c-9f8f-4de8-9b46-55ac0ae3bf6d}">
  <ds:schemaRefs>
    <ds:schemaRef ds:uri="http://www.wps.cn/android/officeDocument/2013/mofficeCustomData"/>
  </ds:schemaRefs>
</ds:datastoreItem>
</file>

<file path=customXml/itemProps15.xml><?xml version="1.0" encoding="utf-8"?>
<ds:datastoreItem xmlns:ds="http://schemas.openxmlformats.org/officeDocument/2006/customXml" ds:itemID="{60e07e22-b612-465a-b551-e6b208490aa9}">
  <ds:schemaRefs>
    <ds:schemaRef ds:uri="http://www.wps.cn/android/officeDocument/2013/mofficeCustomData"/>
  </ds:schemaRefs>
</ds:datastoreItem>
</file>

<file path=customXml/itemProps16.xml><?xml version="1.0" encoding="utf-8"?>
<ds:datastoreItem xmlns:ds="http://schemas.openxmlformats.org/officeDocument/2006/customXml" ds:itemID="{ba672f37-cedc-4c23-8a70-08ca8d80d8bd}">
  <ds:schemaRefs>
    <ds:schemaRef ds:uri="http://www.wps.cn/android/officeDocument/2013/mofficeCustomData"/>
  </ds:schemaRefs>
</ds:datastoreItem>
</file>

<file path=customXml/itemProps17.xml><?xml version="1.0" encoding="utf-8"?>
<ds:datastoreItem xmlns:ds="http://schemas.openxmlformats.org/officeDocument/2006/customXml" ds:itemID="{d259076e-9ed5-4326-a4e0-920895f3e09a}">
  <ds:schemaRefs>
    <ds:schemaRef ds:uri="http://www.wps.cn/android/officeDocument/2013/mofficeCustomData"/>
  </ds:schemaRefs>
</ds:datastoreItem>
</file>

<file path=customXml/itemProps18.xml><?xml version="1.0" encoding="utf-8"?>
<ds:datastoreItem xmlns:ds="http://schemas.openxmlformats.org/officeDocument/2006/customXml" ds:itemID="{45c12ade-b7bc-4ccf-a142-a837527fe277}">
  <ds:schemaRefs>
    <ds:schemaRef ds:uri="http://www.wps.cn/android/officeDocument/2013/mofficeCustomData"/>
  </ds:schemaRefs>
</ds:datastoreItem>
</file>

<file path=customXml/itemProps19.xml><?xml version="1.0" encoding="utf-8"?>
<ds:datastoreItem xmlns:ds="http://schemas.openxmlformats.org/officeDocument/2006/customXml" ds:itemID="{a161bf98-55a0-4578-9a88-7fbbb120e978}">
  <ds:schemaRefs>
    <ds:schemaRef ds:uri="http://www.wps.cn/android/officeDocument/2013/mofficeCustomData"/>
  </ds:schemaRefs>
</ds:datastoreItem>
</file>

<file path=customXml/itemProps2.xml><?xml version="1.0" encoding="utf-8"?>
<ds:datastoreItem xmlns:ds="http://schemas.openxmlformats.org/officeDocument/2006/customXml" ds:itemID="{b0fe4ef9-eead-453a-b18f-809341c516e1}">
  <ds:schemaRefs>
    <ds:schemaRef ds:uri="http://www.wps.cn/android/officeDocument/2013/mofficeCustomData"/>
  </ds:schemaRefs>
</ds:datastoreItem>
</file>

<file path=customXml/itemProps20.xml><?xml version="1.0" encoding="utf-8"?>
<ds:datastoreItem xmlns:ds="http://schemas.openxmlformats.org/officeDocument/2006/customXml" ds:itemID="{767ccd17-9d0c-4da0-9133-d64e28c06657}">
  <ds:schemaRefs>
    <ds:schemaRef ds:uri="http://www.wps.cn/android/officeDocument/2013/mofficeCustomData"/>
  </ds:schemaRefs>
</ds:datastoreItem>
</file>

<file path=customXml/itemProps21.xml><?xml version="1.0" encoding="utf-8"?>
<ds:datastoreItem xmlns:ds="http://schemas.openxmlformats.org/officeDocument/2006/customXml" ds:itemID="{ee85ce7a-4194-44e4-970f-31cefbb607f8}">
  <ds:schemaRefs>
    <ds:schemaRef ds:uri="http://www.wps.cn/android/officeDocument/2013/mofficeCustomData"/>
  </ds:schemaRefs>
</ds:datastoreItem>
</file>

<file path=customXml/itemProps2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3.xml><?xml version="1.0" encoding="utf-8"?>
<ds:datastoreItem xmlns:ds="http://schemas.openxmlformats.org/officeDocument/2006/customXml" ds:itemID="{86873ffb-cf21-44e8-a85b-0a1a44468f50}">
  <ds:schemaRefs>
    <ds:schemaRef ds:uri="http://www.wps.cn/android/officeDocument/2013/mofficeCustomData"/>
  </ds:schemaRefs>
</ds:datastoreItem>
</file>

<file path=customXml/itemProps24.xml><?xml version="1.0" encoding="utf-8"?>
<ds:datastoreItem xmlns:ds="http://schemas.openxmlformats.org/officeDocument/2006/customXml" ds:itemID="{001b9810-e32c-497b-8055-5e4dcf725cdf}">
  <ds:schemaRefs>
    <ds:schemaRef ds:uri="http://www.wps.cn/android/officeDocument/2013/mofficeCustomData"/>
  </ds:schemaRefs>
</ds:datastoreItem>
</file>

<file path=customXml/itemProps25.xml><?xml version="1.0" encoding="utf-8"?>
<ds:datastoreItem xmlns:ds="http://schemas.openxmlformats.org/officeDocument/2006/customXml" ds:itemID="{97ff987e-e13c-45bf-950d-14866bf6972c}">
  <ds:schemaRefs>
    <ds:schemaRef ds:uri="http://www.wps.cn/android/officeDocument/2013/mofficeCustomData"/>
  </ds:schemaRefs>
</ds:datastoreItem>
</file>

<file path=customXml/itemProps26.xml><?xml version="1.0" encoding="utf-8"?>
<ds:datastoreItem xmlns:ds="http://schemas.openxmlformats.org/officeDocument/2006/customXml" ds:itemID="{3c48872b-433f-404a-9512-0af60a61a4e6}">
  <ds:schemaRefs>
    <ds:schemaRef ds:uri="http://www.wps.cn/android/officeDocument/2013/mofficeCustomData"/>
  </ds:schemaRefs>
</ds:datastoreItem>
</file>

<file path=customXml/itemProps27.xml><?xml version="1.0" encoding="utf-8"?>
<ds:datastoreItem xmlns:ds="http://schemas.openxmlformats.org/officeDocument/2006/customXml" ds:itemID="{ebd9fb52-a4e2-426f-8756-1e0230c8922b}">
  <ds:schemaRefs>
    <ds:schemaRef ds:uri="http://www.wps.cn/android/officeDocument/2013/mofficeCustomData"/>
  </ds:schemaRefs>
</ds:datastoreItem>
</file>

<file path=customXml/itemProps28.xml><?xml version="1.0" encoding="utf-8"?>
<ds:datastoreItem xmlns:ds="http://schemas.openxmlformats.org/officeDocument/2006/customXml" ds:itemID="{7edfe2ef-eb56-4482-9414-b7d5dcff927c}">
  <ds:schemaRefs>
    <ds:schemaRef ds:uri="http://www.wps.cn/android/officeDocument/2013/mofficeCustomData"/>
  </ds:schemaRefs>
</ds:datastoreItem>
</file>

<file path=customXml/itemProps29.xml><?xml version="1.0" encoding="utf-8"?>
<ds:datastoreItem xmlns:ds="http://schemas.openxmlformats.org/officeDocument/2006/customXml" ds:itemID="{4ef7ad06-fdc0-48b4-bd71-bc72dcad8f0b}">
  <ds:schemaRefs>
    <ds:schemaRef ds:uri="http://www.wps.cn/android/officeDocument/2013/mofficeCustomData"/>
  </ds:schemaRefs>
</ds:datastoreItem>
</file>

<file path=customXml/itemProps3.xml><?xml version="1.0" encoding="utf-8"?>
<ds:datastoreItem xmlns:ds="http://schemas.openxmlformats.org/officeDocument/2006/customXml" ds:itemID="{693a4b44-2dd2-4a22-9cd5-925fc0c21210}">
  <ds:schemaRefs>
    <ds:schemaRef ds:uri="http://www.wps.cn/android/officeDocument/2013/mofficeCustomData"/>
  </ds:schemaRefs>
</ds:datastoreItem>
</file>

<file path=customXml/itemProps30.xml><?xml version="1.0" encoding="utf-8"?>
<ds:datastoreItem xmlns:ds="http://schemas.openxmlformats.org/officeDocument/2006/customXml" ds:itemID="{AE9D8B2E-D139-4464-AB39-B1F3214955E7}">
  <ds:schemaRefs>
    <ds:schemaRef ds:uri="http://schemas.openxmlformats.org/officeDocument/2006/bibliography"/>
  </ds:schemaRefs>
</ds:datastoreItem>
</file>

<file path=customXml/itemProps31.xml><?xml version="1.0" encoding="utf-8"?>
<ds:datastoreItem xmlns:ds="http://schemas.openxmlformats.org/officeDocument/2006/customXml" ds:itemID="{00652bb2-c997-4821-ac03-0f6c10027ebb}">
  <ds:schemaRefs>
    <ds:schemaRef ds:uri="http://www.wps.cn/android/officeDocument/2013/mofficeCustomData"/>
  </ds:schemaRefs>
</ds:datastoreItem>
</file>

<file path=customXml/itemProps32.xml><?xml version="1.0" encoding="utf-8"?>
<ds:datastoreItem xmlns:ds="http://schemas.openxmlformats.org/officeDocument/2006/customXml" ds:itemID="{e14bec43-f15e-4836-81a0-987c4a69400c}">
  <ds:schemaRefs>
    <ds:schemaRef ds:uri="http://www.wps.cn/android/officeDocument/2013/mofficeCustomData"/>
  </ds:schemaRefs>
</ds:datastoreItem>
</file>

<file path=customXml/itemProps33.xml><?xml version="1.0" encoding="utf-8"?>
<ds:datastoreItem xmlns:ds="http://schemas.openxmlformats.org/officeDocument/2006/customXml" ds:itemID="{e1f45f89-c36e-4558-b8a3-75d408e3bfde}">
  <ds:schemaRefs>
    <ds:schemaRef ds:uri="http://www.wps.cn/android/officeDocument/2013/mofficeCustomData"/>
  </ds:schemaRefs>
</ds:datastoreItem>
</file>

<file path=customXml/itemProps34.xml><?xml version="1.0" encoding="utf-8"?>
<ds:datastoreItem xmlns:ds="http://schemas.openxmlformats.org/officeDocument/2006/customXml" ds:itemID="{9ccc2a94-ab4d-4340-a762-e6ed3046f60a}">
  <ds:schemaRefs>
    <ds:schemaRef ds:uri="http://www.wps.cn/android/officeDocument/2013/mofficeCustomData"/>
  </ds:schemaRefs>
</ds:datastoreItem>
</file>

<file path=customXml/itemProps35.xml><?xml version="1.0" encoding="utf-8"?>
<ds:datastoreItem xmlns:ds="http://schemas.openxmlformats.org/officeDocument/2006/customXml" ds:itemID="{b205ecad-0a3e-4554-ac0c-871b9da9b644}">
  <ds:schemaRefs>
    <ds:schemaRef ds:uri="http://www.wps.cn/android/officeDocument/2013/mofficeCustomData"/>
  </ds:schemaRefs>
</ds:datastoreItem>
</file>

<file path=customXml/itemProps36.xml><?xml version="1.0" encoding="utf-8"?>
<ds:datastoreItem xmlns:ds="http://schemas.openxmlformats.org/officeDocument/2006/customXml" ds:itemID="{bf373156-3d75-4cd8-8bf1-c1b38ba85ba3}">
  <ds:schemaRefs>
    <ds:schemaRef ds:uri="http://www.wps.cn/android/officeDocument/2013/mofficeCustomData"/>
  </ds:schemaRefs>
</ds:datastoreItem>
</file>

<file path=customXml/itemProps4.xml><?xml version="1.0" encoding="utf-8"?>
<ds:datastoreItem xmlns:ds="http://schemas.openxmlformats.org/officeDocument/2006/customXml" ds:itemID="{4668ef5c-32e4-467b-84b0-5ce2fb38a8dd}">
  <ds:schemaRefs>
    <ds:schemaRef ds:uri="http://www.wps.cn/android/officeDocument/2013/mofficeCustomData"/>
  </ds:schemaRefs>
</ds:datastoreItem>
</file>

<file path=customXml/itemProps5.xml><?xml version="1.0" encoding="utf-8"?>
<ds:datastoreItem xmlns:ds="http://schemas.openxmlformats.org/officeDocument/2006/customXml" ds:itemID="{645abbe8-a5cd-44ee-8ef1-b2843d44ee99}">
  <ds:schemaRefs>
    <ds:schemaRef ds:uri="http://www.wps.cn/android/officeDocument/2013/mofficeCustomData"/>
  </ds:schemaRefs>
</ds:datastoreItem>
</file>

<file path=customXml/itemProps6.xml><?xml version="1.0" encoding="utf-8"?>
<ds:datastoreItem xmlns:ds="http://schemas.openxmlformats.org/officeDocument/2006/customXml" ds:itemID="{685d12b5-5711-4194-88ee-56ebc44aeb2d}">
  <ds:schemaRefs>
    <ds:schemaRef ds:uri="http://www.wps.cn/android/officeDocument/2013/mofficeCustomData"/>
  </ds:schemaRefs>
</ds:datastoreItem>
</file>

<file path=customXml/itemProps7.xml><?xml version="1.0" encoding="utf-8"?>
<ds:datastoreItem xmlns:ds="http://schemas.openxmlformats.org/officeDocument/2006/customXml" ds:itemID="{ef2c8730-e438-4a34-b78c-42a7b04965be}">
  <ds:schemaRefs>
    <ds:schemaRef ds:uri="http://www.wps.cn/android/officeDocument/2013/mofficeCustomData"/>
  </ds:schemaRefs>
</ds:datastoreItem>
</file>

<file path=customXml/itemProps8.xml><?xml version="1.0" encoding="utf-8"?>
<ds:datastoreItem xmlns:ds="http://schemas.openxmlformats.org/officeDocument/2006/customXml" ds:itemID="{875f81fd-ad21-4377-8cad-7da93c401496}">
  <ds:schemaRefs>
    <ds:schemaRef ds:uri="http://www.wps.cn/android/officeDocument/2013/mofficeCustomData"/>
  </ds:schemaRefs>
</ds:datastoreItem>
</file>

<file path=customXml/itemProps9.xml><?xml version="1.0" encoding="utf-8"?>
<ds:datastoreItem xmlns:ds="http://schemas.openxmlformats.org/officeDocument/2006/customXml" ds:itemID="{4663b72c-cb5b-40a8-9a88-320d644d4d57}">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2796</Words>
  <Pages>9</Pages>
  <Characters>18484</Characters>
  <Application>WPS Office</Application>
  <DocSecurity>0</DocSecurity>
  <Paragraphs>253</Paragraphs>
  <ScaleCrop>false</ScaleCrop>
  <Company>HP</Company>
  <LinksUpToDate>false</LinksUpToDate>
  <CharactersWithSpaces>21491</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2022-12-01T07:48:00Z</dcterms:created>
  <dc:creator>Coresponden Name and email</dc:creator>
  <lastModifiedBy>vivo 1907</lastModifiedBy>
  <dcterms:modified xsi:type="dcterms:W3CDTF">2022-12-02T08:08:42Z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d02845a0f3c244f7aa85eee55ee281d3</vt:lpwstr>
  </property>
</Properties>
</file>