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F99" w14:textId="1AF901F3" w:rsidR="007F4948" w:rsidRPr="00BE5EEC" w:rsidRDefault="00BE5EEC" w:rsidP="00BE5EEC">
      <w:pPr>
        <w:pStyle w:val="Judul"/>
        <w:spacing w:before="240" w:after="240" w:line="276" w:lineRule="auto"/>
        <w:jc w:val="center"/>
        <w:rPr>
          <w:rFonts w:ascii="Tw Cen MT" w:eastAsia="Twentieth Century" w:hAnsi="Tw Cen MT" w:cs="Twentieth Century"/>
          <w:sz w:val="32"/>
          <w:szCs w:val="32"/>
        </w:rPr>
      </w:pPr>
      <w:r w:rsidRPr="00812087">
        <w:rPr>
          <w:rFonts w:ascii="Tw Cen MT" w:eastAsia="Times New Roman" w:hAnsi="Tw Cen MT" w:cs="Arial"/>
          <w:bCs/>
          <w:spacing w:val="5"/>
          <w:kern w:val="28"/>
          <w:sz w:val="32"/>
          <w:szCs w:val="32"/>
          <w:u w:color="000000"/>
          <w:bdr w:val="nil"/>
        </w:rPr>
        <w:t>Study Literatu</w:t>
      </w:r>
      <w:r>
        <w:rPr>
          <w:rFonts w:ascii="Tw Cen MT" w:eastAsia="Times New Roman" w:hAnsi="Tw Cen MT" w:cs="Arial"/>
          <w:bCs/>
          <w:spacing w:val="5"/>
          <w:kern w:val="28"/>
          <w:sz w:val="32"/>
          <w:szCs w:val="32"/>
          <w:u w:color="000000"/>
          <w:bdr w:val="nil"/>
        </w:rPr>
        <w:t xml:space="preserve">re: Role of </w:t>
      </w:r>
      <w:proofErr w:type="spellStart"/>
      <w:r>
        <w:rPr>
          <w:rFonts w:ascii="Tw Cen MT" w:eastAsia="Times New Roman" w:hAnsi="Tw Cen MT" w:cs="Arial"/>
          <w:bCs/>
          <w:spacing w:val="5"/>
          <w:kern w:val="28"/>
          <w:sz w:val="32"/>
          <w:szCs w:val="32"/>
          <w:u w:color="000000"/>
          <w:bdr w:val="nil"/>
        </w:rPr>
        <w:t>Secretome</w:t>
      </w:r>
      <w:proofErr w:type="spellEnd"/>
      <w:r>
        <w:rPr>
          <w:rFonts w:ascii="Tw Cen MT" w:eastAsia="Times New Roman" w:hAnsi="Tw Cen MT" w:cs="Arial"/>
          <w:bCs/>
          <w:spacing w:val="5"/>
          <w:kern w:val="28"/>
          <w:sz w:val="32"/>
          <w:szCs w:val="32"/>
          <w:u w:color="000000"/>
          <w:bdr w:val="nil"/>
        </w:rPr>
        <w:t xml:space="preserve"> Mesenchymal Stem Cell as Innovation in Burn Treatment</w:t>
      </w:r>
    </w:p>
    <w:p w14:paraId="4184BDE4" w14:textId="4E72888E" w:rsidR="0027621D" w:rsidRPr="0096335E" w:rsidRDefault="00715886" w:rsidP="0027621D">
      <w:pPr>
        <w:spacing w:after="0" w:line="240" w:lineRule="auto"/>
        <w:jc w:val="center"/>
        <w:rPr>
          <w:rFonts w:ascii="Tw Cen MT" w:hAnsi="Tw Cen MT" w:cs="Times New Roman"/>
          <w:b/>
          <w:bCs/>
          <w:iCs/>
          <w:sz w:val="32"/>
          <w:szCs w:val="32"/>
        </w:rPr>
      </w:pPr>
      <w:proofErr w:type="spellStart"/>
      <w:r w:rsidRPr="00EE2C54">
        <w:rPr>
          <w:rFonts w:ascii="Tw Cen MT" w:hAnsi="Tw Cen MT" w:cs="Arial"/>
          <w:bCs/>
          <w:sz w:val="24"/>
          <w:szCs w:val="24"/>
        </w:rPr>
        <w:t>Desti</w:t>
      </w:r>
      <w:proofErr w:type="spellEnd"/>
      <w:r w:rsidRPr="00EE2C54">
        <w:rPr>
          <w:rFonts w:ascii="Tw Cen MT" w:hAnsi="Tw Cen MT" w:cs="Arial"/>
          <w:bCs/>
          <w:sz w:val="24"/>
          <w:szCs w:val="24"/>
        </w:rPr>
        <w:t xml:space="preserve"> Wulandari</w:t>
      </w:r>
      <w:r w:rsidRPr="00EE2C54">
        <w:rPr>
          <w:rFonts w:ascii="Tw Cen MT" w:hAnsi="Tw Cen MT" w:cs="Arial"/>
          <w:bCs/>
          <w:sz w:val="24"/>
          <w:szCs w:val="24"/>
          <w:vertAlign w:val="superscript"/>
        </w:rPr>
        <w:t>1,2</w:t>
      </w:r>
      <w:r w:rsidRPr="00EE2C54">
        <w:rPr>
          <w:rFonts w:ascii="Tw Cen MT" w:hAnsi="Tw Cen MT" w:cs="Arial"/>
          <w:bCs/>
          <w:sz w:val="24"/>
          <w:szCs w:val="24"/>
        </w:rPr>
        <w:t>, Marlina</w:t>
      </w:r>
      <w:r w:rsidRPr="00EE2C54">
        <w:rPr>
          <w:rFonts w:ascii="Tw Cen MT" w:hAnsi="Tw Cen MT" w:cs="Arial"/>
          <w:bCs/>
          <w:sz w:val="24"/>
          <w:szCs w:val="24"/>
          <w:vertAlign w:val="superscript"/>
        </w:rPr>
        <w:t>1</w:t>
      </w:r>
      <w:r w:rsidR="00BD3449">
        <w:rPr>
          <w:rFonts w:ascii="Tw Cen MT" w:hAnsi="Tw Cen MT" w:cs="Arial"/>
          <w:bCs/>
          <w:sz w:val="24"/>
          <w:szCs w:val="24"/>
          <w:vertAlign w:val="superscript"/>
        </w:rPr>
        <w:t>*</w:t>
      </w:r>
      <w:r w:rsidRPr="00EE2C54">
        <w:rPr>
          <w:rFonts w:ascii="Tw Cen MT" w:hAnsi="Tw Cen MT" w:cs="Arial"/>
          <w:bCs/>
          <w:sz w:val="24"/>
          <w:szCs w:val="24"/>
        </w:rPr>
        <w:t xml:space="preserve">, </w:t>
      </w:r>
      <w:proofErr w:type="spellStart"/>
      <w:r w:rsidRPr="00EE2C54">
        <w:rPr>
          <w:rFonts w:ascii="Tw Cen MT" w:hAnsi="Tw Cen MT" w:cs="Arial"/>
          <w:bCs/>
          <w:sz w:val="24"/>
          <w:szCs w:val="24"/>
        </w:rPr>
        <w:t>Rahmi</w:t>
      </w:r>
      <w:proofErr w:type="spellEnd"/>
      <w:r w:rsidRPr="00EE2C54">
        <w:rPr>
          <w:rFonts w:ascii="Tw Cen MT" w:hAnsi="Tw Cen MT" w:cs="Arial"/>
          <w:bCs/>
          <w:sz w:val="24"/>
          <w:szCs w:val="24"/>
        </w:rPr>
        <w:t xml:space="preserve"> </w:t>
      </w:r>
      <w:proofErr w:type="spellStart"/>
      <w:r w:rsidRPr="00EE2C54">
        <w:rPr>
          <w:rFonts w:ascii="Tw Cen MT" w:hAnsi="Tw Cen MT" w:cs="Arial"/>
          <w:bCs/>
          <w:sz w:val="24"/>
          <w:szCs w:val="24"/>
        </w:rPr>
        <w:t>Nofita</w:t>
      </w:r>
      <w:proofErr w:type="spellEnd"/>
      <w:r w:rsidRPr="00EE2C54">
        <w:rPr>
          <w:rFonts w:ascii="Tw Cen MT" w:hAnsi="Tw Cen MT" w:cs="Arial"/>
          <w:bCs/>
          <w:sz w:val="24"/>
          <w:szCs w:val="24"/>
        </w:rPr>
        <w:t xml:space="preserve"> R</w:t>
      </w:r>
      <w:r w:rsidRPr="00EE2C54">
        <w:rPr>
          <w:rFonts w:ascii="Tw Cen MT" w:hAnsi="Tw Cen MT" w:cs="Arial"/>
          <w:bCs/>
          <w:sz w:val="24"/>
          <w:szCs w:val="24"/>
          <w:vertAlign w:val="superscript"/>
        </w:rPr>
        <w:t>1</w:t>
      </w:r>
    </w:p>
    <w:p w14:paraId="3DCFB833" w14:textId="30835786" w:rsidR="009A70E3" w:rsidRDefault="009A70E3" w:rsidP="00072D6D">
      <w:pPr>
        <w:spacing w:after="0" w:line="240" w:lineRule="auto"/>
        <w:ind w:left="6" w:right="-23"/>
        <w:jc w:val="center"/>
        <w:rPr>
          <w:rFonts w:ascii="Tw Cen MT" w:hAnsi="Tw Cen MT" w:cs="Arial"/>
          <w:bCs/>
          <w:sz w:val="20"/>
          <w:szCs w:val="20"/>
        </w:rPr>
      </w:pPr>
      <w:r w:rsidRPr="00072D6D">
        <w:rPr>
          <w:rFonts w:ascii="Tw Cen MT" w:hAnsi="Tw Cen MT" w:cs="Arial"/>
          <w:color w:val="000000" w:themeColor="text1"/>
          <w:sz w:val="20"/>
          <w:szCs w:val="20"/>
          <w:vertAlign w:val="superscript"/>
        </w:rPr>
        <w:t>1</w:t>
      </w:r>
      <w:r w:rsidR="00715886">
        <w:rPr>
          <w:rFonts w:ascii="Tw Cen MT" w:hAnsi="Tw Cen MT" w:cs="Arial"/>
          <w:bCs/>
          <w:sz w:val="20"/>
          <w:szCs w:val="20"/>
        </w:rPr>
        <w:t xml:space="preserve">Fakultas Magister </w:t>
      </w:r>
      <w:proofErr w:type="spellStart"/>
      <w:r w:rsidR="00715886">
        <w:rPr>
          <w:rFonts w:ascii="Tw Cen MT" w:hAnsi="Tw Cen MT" w:cs="Arial"/>
          <w:bCs/>
          <w:sz w:val="20"/>
          <w:szCs w:val="20"/>
        </w:rPr>
        <w:t>Farmasi</w:t>
      </w:r>
      <w:proofErr w:type="spellEnd"/>
      <w:r w:rsidR="00715886">
        <w:rPr>
          <w:rFonts w:ascii="Tw Cen MT" w:hAnsi="Tw Cen MT" w:cs="Arial"/>
          <w:bCs/>
          <w:sz w:val="20"/>
          <w:szCs w:val="20"/>
        </w:rPr>
        <w:t xml:space="preserve">, Universitas </w:t>
      </w:r>
      <w:proofErr w:type="spellStart"/>
      <w:r w:rsidR="00715886">
        <w:rPr>
          <w:rFonts w:ascii="Tw Cen MT" w:hAnsi="Tw Cen MT" w:cs="Arial"/>
          <w:bCs/>
          <w:sz w:val="20"/>
          <w:szCs w:val="20"/>
        </w:rPr>
        <w:t>Andalas</w:t>
      </w:r>
      <w:proofErr w:type="spellEnd"/>
      <w:r w:rsidR="00715886">
        <w:rPr>
          <w:rFonts w:ascii="Tw Cen MT" w:hAnsi="Tw Cen MT" w:cs="Arial"/>
          <w:bCs/>
          <w:sz w:val="20"/>
          <w:szCs w:val="20"/>
        </w:rPr>
        <w:t>, Indonesia</w:t>
      </w:r>
    </w:p>
    <w:p w14:paraId="759378F5" w14:textId="39C18DA4" w:rsidR="00715886" w:rsidRPr="00072D6D" w:rsidRDefault="00715886" w:rsidP="00072D6D">
      <w:pPr>
        <w:spacing w:after="0" w:line="240" w:lineRule="auto"/>
        <w:ind w:left="6" w:right="-23"/>
        <w:jc w:val="center"/>
        <w:rPr>
          <w:rFonts w:ascii="Tw Cen MT" w:hAnsi="Tw Cen MT" w:cs="Arial"/>
          <w:color w:val="000000" w:themeColor="text1"/>
          <w:sz w:val="20"/>
          <w:szCs w:val="20"/>
        </w:rPr>
      </w:pPr>
      <w:r w:rsidRPr="00072D6D">
        <w:rPr>
          <w:rFonts w:ascii="Tw Cen MT" w:hAnsi="Tw Cen MT" w:cs="Arial"/>
          <w:color w:val="000000" w:themeColor="text1"/>
          <w:sz w:val="20"/>
          <w:szCs w:val="20"/>
          <w:vertAlign w:val="superscript"/>
        </w:rPr>
        <w:t>2</w:t>
      </w:r>
      <w:r>
        <w:rPr>
          <w:rFonts w:ascii="Tw Cen MT" w:hAnsi="Tw Cen MT" w:cs="Arial"/>
          <w:color w:val="000000" w:themeColor="text1"/>
          <w:sz w:val="20"/>
          <w:szCs w:val="20"/>
          <w:vertAlign w:val="superscript"/>
        </w:rPr>
        <w:t xml:space="preserve"> </w:t>
      </w:r>
      <w:proofErr w:type="spellStart"/>
      <w:r>
        <w:rPr>
          <w:rFonts w:ascii="Tw Cen MT" w:hAnsi="Tw Cen MT" w:cs="Arial"/>
          <w:bCs/>
          <w:sz w:val="20"/>
          <w:szCs w:val="20"/>
        </w:rPr>
        <w:t>Fakultas</w:t>
      </w:r>
      <w:proofErr w:type="spellEnd"/>
      <w:r>
        <w:rPr>
          <w:rFonts w:ascii="Tw Cen MT" w:hAnsi="Tw Cen MT" w:cs="Arial"/>
          <w:bCs/>
          <w:sz w:val="20"/>
          <w:szCs w:val="20"/>
        </w:rPr>
        <w:t xml:space="preserve"> </w:t>
      </w:r>
      <w:proofErr w:type="spellStart"/>
      <w:r>
        <w:rPr>
          <w:rFonts w:ascii="Tw Cen MT" w:hAnsi="Tw Cen MT" w:cs="Arial"/>
          <w:bCs/>
          <w:sz w:val="20"/>
          <w:szCs w:val="20"/>
        </w:rPr>
        <w:t>Sarjana</w:t>
      </w:r>
      <w:proofErr w:type="spellEnd"/>
      <w:r>
        <w:rPr>
          <w:rFonts w:ascii="Tw Cen MT" w:hAnsi="Tw Cen MT" w:cs="Arial"/>
          <w:bCs/>
          <w:sz w:val="20"/>
          <w:szCs w:val="20"/>
        </w:rPr>
        <w:t xml:space="preserve"> </w:t>
      </w:r>
      <w:proofErr w:type="spellStart"/>
      <w:r>
        <w:rPr>
          <w:rFonts w:ascii="Tw Cen MT" w:hAnsi="Tw Cen MT" w:cs="Arial"/>
          <w:bCs/>
          <w:sz w:val="20"/>
          <w:szCs w:val="20"/>
        </w:rPr>
        <w:t>Farmasi</w:t>
      </w:r>
      <w:proofErr w:type="spellEnd"/>
      <w:r>
        <w:rPr>
          <w:rFonts w:ascii="Tw Cen MT" w:hAnsi="Tw Cen MT" w:cs="Arial"/>
          <w:bCs/>
          <w:sz w:val="20"/>
          <w:szCs w:val="20"/>
        </w:rPr>
        <w:t xml:space="preserve">, </w:t>
      </w:r>
      <w:proofErr w:type="spellStart"/>
      <w:r>
        <w:rPr>
          <w:rFonts w:ascii="Tw Cen MT" w:hAnsi="Tw Cen MT" w:cs="Arial"/>
          <w:bCs/>
          <w:sz w:val="20"/>
          <w:szCs w:val="20"/>
        </w:rPr>
        <w:t>Sekolah</w:t>
      </w:r>
      <w:proofErr w:type="spellEnd"/>
      <w:r>
        <w:rPr>
          <w:rFonts w:ascii="Tw Cen MT" w:hAnsi="Tw Cen MT" w:cs="Arial"/>
          <w:bCs/>
          <w:sz w:val="20"/>
          <w:szCs w:val="20"/>
        </w:rPr>
        <w:t xml:space="preserve"> Tinggi </w:t>
      </w:r>
      <w:proofErr w:type="spellStart"/>
      <w:r>
        <w:rPr>
          <w:rFonts w:ascii="Tw Cen MT" w:hAnsi="Tw Cen MT" w:cs="Arial"/>
          <w:bCs/>
          <w:sz w:val="20"/>
          <w:szCs w:val="20"/>
        </w:rPr>
        <w:t>Ilmu</w:t>
      </w:r>
      <w:proofErr w:type="spellEnd"/>
      <w:r>
        <w:rPr>
          <w:rFonts w:ascii="Tw Cen MT" w:hAnsi="Tw Cen MT" w:cs="Arial"/>
          <w:bCs/>
          <w:sz w:val="20"/>
          <w:szCs w:val="20"/>
        </w:rPr>
        <w:t xml:space="preserve"> Kesehatan Har-</w:t>
      </w:r>
      <w:proofErr w:type="spellStart"/>
      <w:r>
        <w:rPr>
          <w:rFonts w:ascii="Tw Cen MT" w:hAnsi="Tw Cen MT" w:cs="Arial"/>
          <w:bCs/>
          <w:sz w:val="20"/>
          <w:szCs w:val="20"/>
        </w:rPr>
        <w:t>Kausyar</w:t>
      </w:r>
      <w:proofErr w:type="spellEnd"/>
      <w:r>
        <w:rPr>
          <w:rFonts w:ascii="Tw Cen MT" w:hAnsi="Tw Cen MT" w:cs="Arial"/>
          <w:bCs/>
          <w:sz w:val="20"/>
          <w:szCs w:val="20"/>
        </w:rPr>
        <w:t>, Indonesia</w:t>
      </w:r>
    </w:p>
    <w:p w14:paraId="23FA8100" w14:textId="299CC970" w:rsidR="007F4948" w:rsidRPr="00072D6D" w:rsidRDefault="00BD3449" w:rsidP="009A70E3">
      <w:pPr>
        <w:widowControl w:val="0"/>
        <w:spacing w:after="0" w:line="218" w:lineRule="auto"/>
        <w:ind w:right="-20"/>
        <w:jc w:val="center"/>
        <w:rPr>
          <w:rFonts w:ascii="Tw Cen MT" w:eastAsia="Twentieth Century" w:hAnsi="Tw Cen MT" w:cs="Twentieth Century"/>
          <w:color w:val="000000" w:themeColor="text1"/>
          <w:sz w:val="20"/>
          <w:szCs w:val="20"/>
        </w:rPr>
      </w:pPr>
      <w:r>
        <w:rPr>
          <w:rFonts w:ascii="Tw Cen MT" w:eastAsia="Twentieth Century" w:hAnsi="Tw Cen MT" w:cs="Twentieth Century"/>
          <w:color w:val="000000" w:themeColor="text1"/>
          <w:sz w:val="20"/>
          <w:szCs w:val="20"/>
        </w:rPr>
        <w:t>*</w:t>
      </w:r>
      <w:r w:rsidR="009A70E3" w:rsidRPr="00072D6D">
        <w:rPr>
          <w:rFonts w:ascii="Tw Cen MT" w:eastAsia="Twentieth Century" w:hAnsi="Tw Cen MT" w:cs="Twentieth Century"/>
          <w:color w:val="000000" w:themeColor="text1"/>
          <w:sz w:val="20"/>
          <w:szCs w:val="20"/>
        </w:rPr>
        <w:t xml:space="preserve">Email: </w:t>
      </w:r>
      <w:r>
        <w:rPr>
          <w:rFonts w:ascii="Tw Cen MT" w:eastAsia="Twentieth Century" w:hAnsi="Tw Cen MT" w:cs="Twentieth Century"/>
          <w:color w:val="000000" w:themeColor="text1"/>
          <w:sz w:val="20"/>
          <w:szCs w:val="20"/>
        </w:rPr>
        <w:t>marlina@phar.unand.ac.id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4EBC69B" w:rsidR="0096335E" w:rsidRPr="000E3721"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0E3721" w:rsidRPr="000E3721">
                              <w:rPr>
                                <w:rFonts w:ascii="Tw Cen MT" w:hAnsi="Tw Cen MT" w:cs="Noto Sans"/>
                                <w:sz w:val="20"/>
                                <w:szCs w:val="20"/>
                                <w:shd w:val="clear" w:color="auto" w:fill="FFFFFF"/>
                              </w:rPr>
                              <w:t>2023-02-09</w:t>
                            </w:r>
                            <w:proofErr w:type="gramEnd"/>
                          </w:p>
                          <w:p w14:paraId="2E3C9739" w14:textId="02AA3FD7"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Revised </w:t>
                            </w:r>
                            <w:proofErr w:type="spellStart"/>
                            <w:r w:rsidRPr="000E3721">
                              <w:rPr>
                                <w:rFonts w:ascii="Tw Cen MT" w:hAnsi="Tw Cen MT"/>
                                <w:sz w:val="20"/>
                                <w:szCs w:val="20"/>
                                <w:lang w:val="id-ID"/>
                              </w:rPr>
                              <w:t>date</w:t>
                            </w:r>
                            <w:proofErr w:type="spellEnd"/>
                            <w:r w:rsidRPr="000E3721">
                              <w:rPr>
                                <w:rFonts w:ascii="Tw Cen MT" w:hAnsi="Tw Cen MT"/>
                                <w:sz w:val="20"/>
                                <w:szCs w:val="20"/>
                              </w:rPr>
                              <w:t xml:space="preserve">: </w:t>
                            </w:r>
                            <w:r w:rsidR="000E3721" w:rsidRPr="000E3721">
                              <w:rPr>
                                <w:rFonts w:ascii="Tw Cen MT" w:hAnsi="Tw Cen MT" w:cs="Noto Sans"/>
                                <w:sz w:val="20"/>
                                <w:szCs w:val="20"/>
                                <w:shd w:val="clear" w:color="auto" w:fill="FFFFFF"/>
                              </w:rPr>
                              <w:t>2023-05-27</w:t>
                            </w:r>
                          </w:p>
                          <w:p w14:paraId="65822EE9" w14:textId="0E62CBB7"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Accepted </w:t>
                            </w:r>
                            <w:proofErr w:type="spellStart"/>
                            <w:r w:rsidRPr="000E3721">
                              <w:rPr>
                                <w:rFonts w:ascii="Tw Cen MT" w:hAnsi="Tw Cen MT"/>
                                <w:sz w:val="20"/>
                                <w:szCs w:val="20"/>
                                <w:lang w:val="id-ID"/>
                              </w:rPr>
                              <w:t>date</w:t>
                            </w:r>
                            <w:proofErr w:type="spellEnd"/>
                            <w:r w:rsidRPr="000E3721">
                              <w:rPr>
                                <w:rFonts w:ascii="Tw Cen MT" w:hAnsi="Tw Cen MT"/>
                                <w:sz w:val="20"/>
                                <w:szCs w:val="20"/>
                              </w:rPr>
                              <w:t xml:space="preserve">: </w:t>
                            </w:r>
                            <w:proofErr w:type="gramStart"/>
                            <w:r w:rsidR="000E3721" w:rsidRPr="000E3721">
                              <w:rPr>
                                <w:rFonts w:ascii="Tw Cen MT" w:hAnsi="Tw Cen MT" w:cs="Noto Sans"/>
                                <w:sz w:val="20"/>
                                <w:szCs w:val="20"/>
                                <w:shd w:val="clear" w:color="auto" w:fill="FFFFFF"/>
                              </w:rPr>
                              <w:t>2023-05-29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4EBC69B" w:rsidR="0096335E" w:rsidRPr="000E3721"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0E3721" w:rsidRPr="000E3721">
                        <w:rPr>
                          <w:rFonts w:ascii="Tw Cen MT" w:hAnsi="Tw Cen MT" w:cs="Noto Sans"/>
                          <w:sz w:val="20"/>
                          <w:szCs w:val="20"/>
                          <w:shd w:val="clear" w:color="auto" w:fill="FFFFFF"/>
                        </w:rPr>
                        <w:t>2023-02-09</w:t>
                      </w:r>
                      <w:proofErr w:type="gramEnd"/>
                    </w:p>
                    <w:p w14:paraId="2E3C9739" w14:textId="02AA3FD7"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Revised </w:t>
                      </w:r>
                      <w:proofErr w:type="spellStart"/>
                      <w:r w:rsidRPr="000E3721">
                        <w:rPr>
                          <w:rFonts w:ascii="Tw Cen MT" w:hAnsi="Tw Cen MT"/>
                          <w:sz w:val="20"/>
                          <w:szCs w:val="20"/>
                          <w:lang w:val="id-ID"/>
                        </w:rPr>
                        <w:t>date</w:t>
                      </w:r>
                      <w:proofErr w:type="spellEnd"/>
                      <w:r w:rsidRPr="000E3721">
                        <w:rPr>
                          <w:rFonts w:ascii="Tw Cen MT" w:hAnsi="Tw Cen MT"/>
                          <w:sz w:val="20"/>
                          <w:szCs w:val="20"/>
                        </w:rPr>
                        <w:t xml:space="preserve">: </w:t>
                      </w:r>
                      <w:r w:rsidR="000E3721" w:rsidRPr="000E3721">
                        <w:rPr>
                          <w:rFonts w:ascii="Tw Cen MT" w:hAnsi="Tw Cen MT" w:cs="Noto Sans"/>
                          <w:sz w:val="20"/>
                          <w:szCs w:val="20"/>
                          <w:shd w:val="clear" w:color="auto" w:fill="FFFFFF"/>
                        </w:rPr>
                        <w:t>2023-05-27</w:t>
                      </w:r>
                    </w:p>
                    <w:p w14:paraId="65822EE9" w14:textId="0E62CBB7"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Accepted </w:t>
                      </w:r>
                      <w:proofErr w:type="spellStart"/>
                      <w:r w:rsidRPr="000E3721">
                        <w:rPr>
                          <w:rFonts w:ascii="Tw Cen MT" w:hAnsi="Tw Cen MT"/>
                          <w:sz w:val="20"/>
                          <w:szCs w:val="20"/>
                          <w:lang w:val="id-ID"/>
                        </w:rPr>
                        <w:t>date</w:t>
                      </w:r>
                      <w:proofErr w:type="spellEnd"/>
                      <w:r w:rsidRPr="000E3721">
                        <w:rPr>
                          <w:rFonts w:ascii="Tw Cen MT" w:hAnsi="Tw Cen MT"/>
                          <w:sz w:val="20"/>
                          <w:szCs w:val="20"/>
                        </w:rPr>
                        <w:t xml:space="preserve">: </w:t>
                      </w:r>
                      <w:proofErr w:type="gramStart"/>
                      <w:r w:rsidR="000E3721" w:rsidRPr="000E3721">
                        <w:rPr>
                          <w:rFonts w:ascii="Tw Cen MT" w:hAnsi="Tw Cen MT" w:cs="Noto Sans"/>
                          <w:sz w:val="20"/>
                          <w:szCs w:val="20"/>
                          <w:shd w:val="clear" w:color="auto" w:fill="FFFFFF"/>
                        </w:rPr>
                        <w:t>2023-05-29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924DDC3"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449" w:rsidRPr="00EE2C54">
        <w:rPr>
          <w:rFonts w:ascii="Tw Cen MT" w:eastAsia="Calibri" w:hAnsi="Tw Cen MT" w:cs="Arial"/>
          <w:i/>
          <w:color w:val="191919"/>
          <w:sz w:val="20"/>
          <w:szCs w:val="20"/>
        </w:rPr>
        <w:t xml:space="preserve">The purpose of this review was to determine the role of MSCs in burn management. Scientific publication databases such as </w:t>
      </w:r>
      <w:proofErr w:type="spellStart"/>
      <w:r w:rsidR="00BD3449" w:rsidRPr="00EE2C54">
        <w:rPr>
          <w:rFonts w:ascii="Tw Cen MT" w:eastAsia="Calibri" w:hAnsi="Tw Cen MT" w:cs="Arial"/>
          <w:i/>
          <w:color w:val="191919"/>
          <w:sz w:val="20"/>
          <w:szCs w:val="20"/>
        </w:rPr>
        <w:t>Researchgate</w:t>
      </w:r>
      <w:proofErr w:type="spellEnd"/>
      <w:r w:rsidR="00BD3449" w:rsidRPr="00EE2C54">
        <w:rPr>
          <w:rFonts w:ascii="Tw Cen MT" w:eastAsia="Calibri" w:hAnsi="Tw Cen MT" w:cs="Arial"/>
          <w:i/>
          <w:color w:val="191919"/>
          <w:sz w:val="20"/>
          <w:szCs w:val="20"/>
        </w:rPr>
        <w:t>, Google</w:t>
      </w:r>
      <w:r w:rsidR="00BD3449">
        <w:rPr>
          <w:rFonts w:ascii="Tw Cen MT" w:eastAsia="Calibri" w:hAnsi="Tw Cen MT" w:cs="Arial"/>
          <w:i/>
          <w:color w:val="191919"/>
          <w:sz w:val="20"/>
          <w:szCs w:val="20"/>
        </w:rPr>
        <w:t xml:space="preserve"> </w:t>
      </w:r>
      <w:r w:rsidR="00BD3449" w:rsidRPr="00EE2C54">
        <w:rPr>
          <w:rFonts w:ascii="Tw Cen MT" w:eastAsia="Calibri" w:hAnsi="Tw Cen MT" w:cs="Arial"/>
          <w:i/>
          <w:color w:val="191919"/>
          <w:sz w:val="20"/>
          <w:szCs w:val="20"/>
        </w:rPr>
        <w:t xml:space="preserve">Scholar, ScienceDirect, and </w:t>
      </w:r>
      <w:proofErr w:type="spellStart"/>
      <w:r w:rsidR="00BD3449" w:rsidRPr="00EE2C54">
        <w:rPr>
          <w:rFonts w:ascii="Tw Cen MT" w:eastAsia="Calibri" w:hAnsi="Tw Cen MT" w:cs="Arial"/>
          <w:i/>
          <w:color w:val="191919"/>
          <w:sz w:val="20"/>
          <w:szCs w:val="20"/>
        </w:rPr>
        <w:t>Pubmed</w:t>
      </w:r>
      <w:proofErr w:type="spellEnd"/>
      <w:r w:rsidR="00BD3449" w:rsidRPr="00EE2C54">
        <w:rPr>
          <w:rFonts w:ascii="Tw Cen MT" w:eastAsia="Calibri" w:hAnsi="Tw Cen MT" w:cs="Arial"/>
          <w:i/>
          <w:color w:val="191919"/>
          <w:sz w:val="20"/>
          <w:szCs w:val="20"/>
        </w:rPr>
        <w:t xml:space="preserve"> were used for literature searches. [(</w:t>
      </w:r>
      <w:proofErr w:type="spellStart"/>
      <w:r w:rsidR="00BD3449" w:rsidRPr="00EE2C54">
        <w:rPr>
          <w:rFonts w:ascii="Tw Cen MT" w:eastAsia="Calibri" w:hAnsi="Tw Cen MT" w:cs="Arial"/>
          <w:i/>
          <w:color w:val="191919"/>
          <w:sz w:val="20"/>
          <w:szCs w:val="20"/>
        </w:rPr>
        <w:t>Secretome</w:t>
      </w:r>
      <w:proofErr w:type="spellEnd"/>
      <w:r w:rsidR="00BD3449" w:rsidRPr="00EE2C54">
        <w:rPr>
          <w:rFonts w:ascii="Tw Cen MT" w:eastAsia="Calibri" w:hAnsi="Tw Cen MT" w:cs="Arial"/>
          <w:i/>
          <w:color w:val="191919"/>
          <w:sz w:val="20"/>
          <w:szCs w:val="20"/>
        </w:rPr>
        <w:t>, Mesenchymal stem cell Adipose Tissue, Umbilical Cord, Bone Marrow) AND (Burn wound OR wound healing OR burn injury OR thermal injury)] are the keywords used. In ten studies, rats, mice, and humans were used as research subjects in randomized clinical trials to conduct synthetic analyses. MSC therapy involves the use of bone marrow, cord blood, and adipose tissue. MSC therapy heals burns by suppressing the inflammatory response and oxidative stress, stimulating angiogenesis, and causing closure and repair (remodeling). MSC therapy has also been shown to reduce scarring and contracture formation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1B3B9FFF" w14:textId="6923E231" w:rsidR="00BD3449" w:rsidRDefault="00BD3449" w:rsidP="00BD3449">
      <w:pPr>
        <w:tabs>
          <w:tab w:val="left" w:pos="426"/>
        </w:tabs>
        <w:spacing w:after="0" w:line="240" w:lineRule="auto"/>
        <w:ind w:left="3150"/>
        <w:jc w:val="both"/>
        <w:rPr>
          <w:rFonts w:ascii="Tw Cen MT" w:hAnsi="Tw Cen MT" w:cs="Arial"/>
          <w:i/>
          <w:iCs/>
        </w:rPr>
      </w:pPr>
      <w:proofErr w:type="spellStart"/>
      <w:r w:rsidRPr="00EE2C54">
        <w:rPr>
          <w:rFonts w:ascii="Tw Cen MT" w:hAnsi="Tw Cen MT" w:cs="Arial"/>
          <w:i/>
          <w:iCs/>
        </w:rPr>
        <w:t>Secretome</w:t>
      </w:r>
      <w:proofErr w:type="spellEnd"/>
      <w:r>
        <w:rPr>
          <w:rFonts w:ascii="Tw Cen MT" w:hAnsi="Tw Cen MT" w:cs="Arial"/>
          <w:i/>
          <w:iCs/>
        </w:rPr>
        <w:t>;</w:t>
      </w:r>
      <w:r w:rsidRPr="00EE2C54">
        <w:rPr>
          <w:rFonts w:ascii="Tw Cen MT" w:hAnsi="Tw Cen MT" w:cs="Arial"/>
          <w:i/>
          <w:iCs/>
        </w:rPr>
        <w:t xml:space="preserve"> Mesenchymal stem cell Adipose Tissu</w:t>
      </w:r>
      <w:r>
        <w:rPr>
          <w:rFonts w:ascii="Tw Cen MT" w:hAnsi="Tw Cen MT" w:cs="Arial"/>
          <w:i/>
          <w:iCs/>
        </w:rPr>
        <w:t>e;</w:t>
      </w:r>
      <w:r w:rsidRPr="00EE2C54">
        <w:rPr>
          <w:rFonts w:ascii="Tw Cen MT" w:hAnsi="Tw Cen MT" w:cs="Arial"/>
          <w:i/>
          <w:iCs/>
        </w:rPr>
        <w:t xml:space="preserve"> Burn wound</w:t>
      </w:r>
      <w:r>
        <w:rPr>
          <w:rFonts w:ascii="Tw Cen MT" w:hAnsi="Tw Cen MT" w:cs="Arial"/>
          <w:i/>
          <w:iCs/>
        </w:rPr>
        <w:t>;</w:t>
      </w:r>
      <w:r w:rsidRPr="00EE2C54">
        <w:rPr>
          <w:rFonts w:ascii="Tw Cen MT" w:hAnsi="Tw Cen MT" w:cs="Arial"/>
          <w:i/>
          <w:iCs/>
        </w:rPr>
        <w:t xml:space="preserve"> </w:t>
      </w:r>
      <w:r>
        <w:rPr>
          <w:rFonts w:ascii="Tw Cen MT" w:hAnsi="Tw Cen MT" w:cs="Arial"/>
          <w:i/>
          <w:iCs/>
        </w:rPr>
        <w:t>W</w:t>
      </w:r>
      <w:r w:rsidRPr="00EE2C54">
        <w:rPr>
          <w:rFonts w:ascii="Tw Cen MT" w:hAnsi="Tw Cen MT" w:cs="Arial"/>
          <w:i/>
          <w:iCs/>
        </w:rPr>
        <w:t>ound</w:t>
      </w:r>
    </w:p>
    <w:p w14:paraId="7CEDCDA1" w14:textId="67F0C828" w:rsidR="007F4948" w:rsidRDefault="00BD3449" w:rsidP="00BD3449">
      <w:pPr>
        <w:tabs>
          <w:tab w:val="left" w:pos="426"/>
        </w:tabs>
        <w:spacing w:after="0" w:line="240" w:lineRule="auto"/>
        <w:ind w:left="3150"/>
        <w:jc w:val="both"/>
        <w:rPr>
          <w:rFonts w:ascii="Tw Cen MT" w:hAnsi="Tw Cen MT" w:cs="Arial"/>
          <w:i/>
          <w:iCs/>
        </w:rPr>
      </w:pPr>
      <w:r w:rsidRPr="00EE2C54">
        <w:rPr>
          <w:rFonts w:ascii="Tw Cen MT" w:hAnsi="Tw Cen MT" w:cs="Arial"/>
          <w:i/>
          <w:iCs/>
        </w:rPr>
        <w:t>healing,</w:t>
      </w:r>
      <w:r>
        <w:rPr>
          <w:rFonts w:ascii="Tw Cen MT" w:hAnsi="Tw Cen MT" w:cs="Arial"/>
          <w:i/>
          <w:iCs/>
        </w:rPr>
        <w:t xml:space="preserve"> Scar Tissue</w:t>
      </w:r>
    </w:p>
    <w:p w14:paraId="240275AD" w14:textId="35522E78" w:rsidR="00314849" w:rsidRPr="0096335E" w:rsidRDefault="00997349" w:rsidP="00BD3449">
      <w:pPr>
        <w:rPr>
          <w:rFonts w:ascii="Tw Cen MT" w:eastAsia="Twentieth Century" w:hAnsi="Tw Cen MT" w:cs="Twentieth Century"/>
          <w:sz w:val="20"/>
          <w:szCs w:val="20"/>
        </w:rPr>
      </w:pPr>
      <w:r w:rsidRPr="00006CEA">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CDCA9D1"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600C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
          <w:cols w:space="720"/>
        </w:sectPr>
      </w:pPr>
    </w:p>
    <w:p w14:paraId="12468592" w14:textId="55585D11" w:rsidR="007106F6" w:rsidRPr="0096335E" w:rsidRDefault="00680229" w:rsidP="0031484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INTRODUCTION</w:t>
      </w:r>
    </w:p>
    <w:p w14:paraId="2E2F489B" w14:textId="77777777" w:rsidR="00680229" w:rsidRDefault="00680229" w:rsidP="00680229">
      <w:pPr>
        <w:spacing w:after="0" w:line="240" w:lineRule="auto"/>
        <w:jc w:val="both"/>
        <w:rPr>
          <w:rFonts w:ascii="Tw Cen MT" w:eastAsia="Calibri" w:hAnsi="Tw Cen MT" w:cs="Arial"/>
          <w:sz w:val="24"/>
          <w:szCs w:val="24"/>
          <w:lang w:bidi="bn-IN"/>
        </w:rPr>
      </w:pPr>
      <w:r w:rsidRPr="00812087">
        <w:rPr>
          <w:rFonts w:ascii="Tw Cen MT" w:eastAsia="Calibri" w:hAnsi="Tw Cen MT" w:cs="Arial"/>
          <w:sz w:val="24"/>
          <w:szCs w:val="24"/>
          <w:lang w:bidi="bn-IN"/>
        </w:rPr>
        <w:t>Burn</w:t>
      </w:r>
      <w:r>
        <w:rPr>
          <w:rFonts w:ascii="Tw Cen MT" w:eastAsia="Calibri" w:hAnsi="Tw Cen MT" w:cs="Arial"/>
          <w:sz w:val="24"/>
          <w:szCs w:val="24"/>
          <w:lang w:bidi="bn-IN"/>
        </w:rPr>
        <w:t xml:space="preserve">s is </w:t>
      </w:r>
      <w:r w:rsidRPr="00812087">
        <w:rPr>
          <w:rFonts w:ascii="Tw Cen MT" w:eastAsia="Calibri" w:hAnsi="Tw Cen MT" w:cs="Arial"/>
          <w:sz w:val="24"/>
          <w:szCs w:val="24"/>
          <w:lang w:bidi="bn-IN"/>
        </w:rPr>
        <w:t>still a problem in the health care system because of the morbidity and mortality they cause. Burns can also disrupt daily activities, and in severe cases, they can result in dependency on others, loss of work, and permanent tissue damage. According to ABA data</w:t>
      </w:r>
      <w:r>
        <w:rPr>
          <w:rFonts w:ascii="Tw Cen MT" w:eastAsia="Calibri" w:hAnsi="Tw Cen MT" w:cs="Arial"/>
          <w:sz w:val="24"/>
          <w:szCs w:val="24"/>
          <w:lang w:bidi="bn-IN"/>
        </w:rPr>
        <w:t xml:space="preserve"> </w:t>
      </w:r>
      <w:r w:rsidRPr="00717D27">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{"citationItems":[{"id":"ITEM-1","itemData":{"author":[{"dropping-particle":"","family":"Association","given":"American Burn","non-dropping-particle":"","parse-names":false,"suffix":""}],"container-title":"2019","id":"ITEM-1","issued":{"date-parts":[["0"]]},"publisher-place":"American Burn Association: Chicago, IL, USA, 60606.","title":"National burn repository 2019 update: Report of data from 2009–2018.","type":"report"},"uris":["http://www.mendeley.com/documents/?uuid=a5ba1760-00f9-49b4-a77d-c81946ddb4cf"]}],"mendeley":{"formattedCitation":"[1]","plainTextFormattedCitation":"[1]","previouslyFormattedCitation":"[1]"},"properties":{"noteIndex":0},"schema":"https://github.com/citation-style-language/schema/raw/master/csl-citation.json"}</w:instrText>
      </w:r>
      <w:r w:rsidRPr="00717D27">
        <w:rPr>
          <w:rFonts w:ascii="Tw Cen MT" w:eastAsia="Calibri" w:hAnsi="Tw Cen MT" w:cs="Arial"/>
          <w:sz w:val="24"/>
          <w:szCs w:val="24"/>
          <w:lang w:bidi="bn-IN"/>
        </w:rPr>
        <w:fldChar w:fldCharType="separate"/>
      </w:r>
      <w:r w:rsidRPr="00F32B5D">
        <w:rPr>
          <w:rFonts w:ascii="Tw Cen MT" w:eastAsia="Calibri" w:hAnsi="Tw Cen MT" w:cs="Arial"/>
          <w:noProof/>
          <w:sz w:val="24"/>
          <w:szCs w:val="24"/>
          <w:lang w:bidi="bn-IN"/>
        </w:rPr>
        <w:t>[1]</w:t>
      </w:r>
      <w:r w:rsidRPr="00717D27">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the incidence of burns most often occurs in degree II 78% while degree I is only 10% and 17% in degree III</w:t>
      </w:r>
      <w:r w:rsidRPr="00812087">
        <w:rPr>
          <w:rFonts w:ascii="Tw Cen MT" w:eastAsia="Calibri" w:hAnsi="Tw Cen MT" w:cs="Arial"/>
          <w:sz w:val="24"/>
          <w:szCs w:val="24"/>
          <w:lang w:bidi="bn-IN"/>
        </w:rPr>
        <w:t xml:space="preserve">. </w:t>
      </w:r>
      <w:r>
        <w:rPr>
          <w:rFonts w:ascii="Tw Cen MT" w:eastAsia="Calibri" w:hAnsi="Tw Cen MT" w:cs="Arial"/>
          <w:sz w:val="24"/>
          <w:szCs w:val="24"/>
          <w:lang w:bidi="bn-IN"/>
        </w:rPr>
        <w:t>A</w:t>
      </w:r>
      <w:r w:rsidRPr="00812087">
        <w:rPr>
          <w:rFonts w:ascii="Tw Cen MT" w:eastAsia="Calibri" w:hAnsi="Tw Cen MT" w:cs="Arial"/>
          <w:sz w:val="24"/>
          <w:szCs w:val="24"/>
          <w:lang w:bidi="bn-IN"/>
        </w:rPr>
        <w:t>lthough burn-related deaths have decreased in recent years due to technological advances, major challenges in burn management and healing remain</w:t>
      </w:r>
      <w:r>
        <w:rPr>
          <w:rFonts w:ascii="Tw Cen MT" w:eastAsia="Calibri" w:hAnsi="Tw Cen MT" w:cs="Arial"/>
          <w:sz w:val="24"/>
          <w:szCs w:val="24"/>
          <w:lang w:bidi="bn-IN"/>
        </w:rPr>
        <w:t xml:space="preserve"> </w:t>
      </w:r>
      <w:r>
        <w:rPr>
          <w:rFonts w:ascii="Tw Cen MT" w:eastAsia="Times New Roman Bold" w:hAnsi="Tw Cen MT" w:cs="Arial"/>
          <w:color w:val="000000"/>
          <w:sz w:val="24"/>
          <w:szCs w:val="24"/>
          <w:u w:color="000000"/>
          <w:bdr w:val="nil"/>
          <w:lang w:val="en-ID" w:eastAsia="fi-FI"/>
        </w:rPr>
        <w:fldChar w:fldCharType="begin" w:fldLock="1"/>
      </w:r>
      <w:r>
        <w:rPr>
          <w:rFonts w:ascii="Tw Cen MT" w:eastAsia="Times New Roman Bold" w:hAnsi="Tw Cen MT" w:cs="Arial"/>
          <w:color w:val="000000"/>
          <w:sz w:val="24"/>
          <w:szCs w:val="24"/>
          <w:u w:color="000000"/>
          <w:bdr w:val="nil"/>
          <w:lang w:val="en-ID" w:eastAsia="fi-FI"/>
        </w:rPr>
        <w:instrText>ADDIN CSL_CITATION {"citationItems":[{"id":"ITEM-1","itemData":{"author":[{"dropping-particle":"","family":"Mingyao Wang , Xinxuan Xu, Xiongxin Lei","given":"Jie Tan and Huiqi Xie","non-dropping-particle":"","parse-names":false,"suffix":""}],"container-title":"Burns &amp; Trauma","id":"ITEM-1","issued":{"date-parts":[["2021"]]},"title":"Mesenchymal stem cell-based therapy for burn wound healing","type":"article-journal","volume":"9"},"uris":["http://www.mendeley.com/documents/?uuid=2c1339c6-3a9d-4ddf-86ff-18a20bc306e0"]}],"mendeley":{"formattedCitation":"[2]","plainTextFormattedCitation":"[2]","previouslyFormattedCitation":"[2]"},"properties":{"noteIndex":0},"schema":"https://github.com/citation-style-language/schema/raw/master/csl-citation.json"}</w:instrText>
      </w:r>
      <w:r>
        <w:rPr>
          <w:rFonts w:ascii="Tw Cen MT" w:eastAsia="Times New Roman Bold" w:hAnsi="Tw Cen MT" w:cs="Arial"/>
          <w:color w:val="000000"/>
          <w:sz w:val="24"/>
          <w:szCs w:val="24"/>
          <w:u w:color="000000"/>
          <w:bdr w:val="nil"/>
          <w:lang w:val="en-ID" w:eastAsia="fi-FI"/>
        </w:rPr>
        <w:fldChar w:fldCharType="separate"/>
      </w:r>
      <w:r w:rsidRPr="00F32B5D">
        <w:rPr>
          <w:rFonts w:ascii="Tw Cen MT" w:eastAsia="Times New Roman Bold" w:hAnsi="Tw Cen MT" w:cs="Arial"/>
          <w:noProof/>
          <w:color w:val="000000"/>
          <w:sz w:val="24"/>
          <w:szCs w:val="24"/>
          <w:u w:color="000000"/>
          <w:bdr w:val="nil"/>
          <w:lang w:val="en-ID" w:eastAsia="fi-FI"/>
        </w:rPr>
        <w:t>[2]</w:t>
      </w:r>
      <w:r>
        <w:rPr>
          <w:rFonts w:ascii="Tw Cen MT" w:eastAsia="Times New Roman Bold" w:hAnsi="Tw Cen MT" w:cs="Arial"/>
          <w:color w:val="000000"/>
          <w:sz w:val="24"/>
          <w:szCs w:val="24"/>
          <w:u w:color="000000"/>
          <w:bdr w:val="nil"/>
          <w:lang w:val="en-ID" w:eastAsia="fi-FI"/>
        </w:rPr>
        <w:fldChar w:fldCharType="end"/>
      </w:r>
      <w:r>
        <w:rPr>
          <w:rFonts w:ascii="Tw Cen MT" w:eastAsia="Times New Roman Bold" w:hAnsi="Tw Cen MT" w:cs="Arial"/>
          <w:color w:val="000000"/>
          <w:sz w:val="24"/>
          <w:szCs w:val="24"/>
          <w:u w:color="000000"/>
          <w:bdr w:val="nil"/>
          <w:lang w:val="en-ID" w:eastAsia="fi-FI"/>
        </w:rPr>
        <w:t>.</w:t>
      </w:r>
    </w:p>
    <w:p w14:paraId="67012C7C" w14:textId="77777777" w:rsidR="00680229" w:rsidRDefault="00680229" w:rsidP="00680229">
      <w:pPr>
        <w:spacing w:after="0" w:line="240" w:lineRule="auto"/>
        <w:jc w:val="both"/>
        <w:rPr>
          <w:rFonts w:ascii="Tw Cen MT" w:eastAsia="Calibri" w:hAnsi="Tw Cen MT" w:cs="Arial"/>
          <w:sz w:val="24"/>
          <w:szCs w:val="24"/>
          <w:lang w:bidi="bn-IN"/>
        </w:rPr>
      </w:pPr>
      <w:r w:rsidRPr="00812087">
        <w:rPr>
          <w:rFonts w:ascii="Tw Cen MT" w:eastAsia="Calibri" w:hAnsi="Tw Cen MT" w:cs="Arial"/>
          <w:sz w:val="24"/>
          <w:szCs w:val="24"/>
          <w:lang w:bidi="bn-IN"/>
        </w:rPr>
        <w:t xml:space="preserve">If </w:t>
      </w:r>
      <w:r>
        <w:rPr>
          <w:rFonts w:ascii="Tw Cen MT" w:eastAsia="Calibri" w:hAnsi="Tw Cen MT" w:cs="Arial"/>
          <w:sz w:val="24"/>
          <w:szCs w:val="24"/>
          <w:lang w:bidi="bn-IN"/>
        </w:rPr>
        <w:t>patience</w:t>
      </w:r>
      <w:r w:rsidRPr="00812087">
        <w:rPr>
          <w:rFonts w:ascii="Tw Cen MT" w:eastAsia="Calibri" w:hAnsi="Tw Cen MT" w:cs="Arial"/>
          <w:sz w:val="24"/>
          <w:szCs w:val="24"/>
          <w:lang w:bidi="bn-IN"/>
        </w:rPr>
        <w:t xml:space="preserve"> gets a burn, the burned area of your skin will affec</w:t>
      </w:r>
      <w:r>
        <w:rPr>
          <w:rFonts w:ascii="Tw Cen MT" w:eastAsia="Calibri" w:hAnsi="Tw Cen MT" w:cs="Arial"/>
          <w:sz w:val="24"/>
          <w:szCs w:val="24"/>
          <w:lang w:bidi="bn-IN"/>
        </w:rPr>
        <w:t xml:space="preserve">t </w:t>
      </w:r>
      <w:r w:rsidRPr="00812087">
        <w:rPr>
          <w:rFonts w:ascii="Tw Cen MT" w:eastAsia="Calibri" w:hAnsi="Tw Cen MT" w:cs="Arial"/>
          <w:sz w:val="24"/>
          <w:szCs w:val="24"/>
          <w:lang w:bidi="bn-IN"/>
        </w:rPr>
        <w:t>the epidermis, dermis, and subcutaneous tissue. This is determined by the cause and the length of time the skin is in contact with the cause. The depth of the burn will affect skin integrity, cell death, and contractures, which will limit the patient's joint movement</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{"citationItems":[{"id":"ITEM-1","itemData":{"author":[{"dropping-particle":"","family":"Abdul Kareem, N., Aijaz, A., &amp; Jeschke","given":"M. G.","non-dropping-particle":"","parse-names":false,"suffix":""}],"container-title":"Biologics: Targets and Therapy","id":"ITEM-1","issued":{"date-parts":[["2021"]]},"page":"379-397.","title":"Stem cell therapy for burns: story so far.","type":"article-journal"},"uris":["http://www.mendeley.com/documents/?uuid=77ef30ed-2d30-4496-b4fe-677cbd7f9b47"]}],"mendeley":{"formattedCitation":"[3]","plainTextFormattedCitation":"[3]","previouslyFormattedCitation":"[3]"},"properties":{"noteIndex":0},"schema":"https://github.com/citation-style-language/schema/raw/master/csl-citation.json"}</w:instrText>
      </w:r>
      <w:r>
        <w:rPr>
          <w:rFonts w:ascii="Tw Cen MT" w:eastAsia="Calibri" w:hAnsi="Tw Cen MT" w:cs="Arial"/>
          <w:sz w:val="24"/>
          <w:szCs w:val="24"/>
          <w:lang w:bidi="bn-IN"/>
        </w:rPr>
        <w:fldChar w:fldCharType="separate"/>
      </w:r>
      <w:r w:rsidRPr="00F32B5D">
        <w:rPr>
          <w:rFonts w:ascii="Tw Cen MT" w:eastAsia="Calibri" w:hAnsi="Tw Cen MT" w:cs="Arial"/>
          <w:noProof/>
          <w:sz w:val="24"/>
          <w:szCs w:val="24"/>
          <w:lang w:bidi="bn-IN"/>
        </w:rPr>
        <w:t>[3]</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r w:rsidRPr="00717D27">
        <w:rPr>
          <w:rFonts w:ascii="Tw Cen MT" w:eastAsia="Calibri" w:hAnsi="Tw Cen MT" w:cs="Arial"/>
          <w:sz w:val="24"/>
          <w:szCs w:val="24"/>
          <w:lang w:bidi="bn-IN"/>
        </w:rPr>
        <w:t xml:space="preserve"> </w:t>
      </w:r>
    </w:p>
    <w:p w14:paraId="33148A82" w14:textId="77777777" w:rsidR="00680229" w:rsidRDefault="00680229" w:rsidP="00680229">
      <w:pPr>
        <w:spacing w:after="0" w:line="240" w:lineRule="auto"/>
        <w:jc w:val="both"/>
        <w:rPr>
          <w:rFonts w:ascii="Tw Cen MT" w:eastAsia="Calibri" w:hAnsi="Tw Cen MT" w:cs="Arial"/>
          <w:sz w:val="24"/>
          <w:szCs w:val="24"/>
          <w:lang w:bidi="bn-IN"/>
        </w:rPr>
      </w:pPr>
      <w:r w:rsidRPr="00812087">
        <w:rPr>
          <w:rFonts w:ascii="Tw Cen MT" w:eastAsia="Calibri" w:hAnsi="Tw Cen MT" w:cs="Arial"/>
          <w:sz w:val="24"/>
          <w:szCs w:val="24"/>
          <w:lang w:bidi="bn-IN"/>
        </w:rPr>
        <w:t>In addition to joint contracture</w:t>
      </w:r>
      <w:r>
        <w:rPr>
          <w:rFonts w:ascii="Tw Cen MT" w:eastAsia="Calibri" w:hAnsi="Tw Cen MT" w:cs="Arial"/>
          <w:sz w:val="24"/>
          <w:szCs w:val="24"/>
          <w:lang w:bidi="bn-IN"/>
        </w:rPr>
        <w:t>s p</w:t>
      </w:r>
      <w:r w:rsidRPr="00812087">
        <w:rPr>
          <w:rFonts w:ascii="Tw Cen MT" w:eastAsia="Calibri" w:hAnsi="Tw Cen MT" w:cs="Arial"/>
          <w:sz w:val="24"/>
          <w:szCs w:val="24"/>
          <w:lang w:bidi="bn-IN"/>
        </w:rPr>
        <w:t>atients with severe burns will typically experience severe dehydration, electrolyte imbalance, and severe pain</w:t>
      </w:r>
      <w:r w:rsidRPr="00717D27">
        <w:rPr>
          <w:rFonts w:ascii="Tw Cen MT" w:eastAsia="Calibri" w:hAnsi="Tw Cen MT" w:cs="Arial"/>
          <w:sz w:val="24"/>
          <w:szCs w:val="24"/>
          <w:lang w:bidi="bn-IN"/>
        </w:rPr>
        <w:t xml:space="preserve"> </w:t>
      </w:r>
      <w:r w:rsidRPr="00717D27">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Pr="00717D27">
        <w:rPr>
          <w:rFonts w:ascii="Tw Cen MT" w:eastAsia="Calibri" w:hAnsi="Tw Cen MT" w:cs="Arial"/>
          <w:sz w:val="24"/>
          <w:szCs w:val="24"/>
          <w:lang w:bidi="bn-IN"/>
        </w:rPr>
        <w:fldChar w:fldCharType="separate"/>
      </w:r>
      <w:r w:rsidRPr="00076CB7">
        <w:rPr>
          <w:rFonts w:ascii="Tw Cen MT" w:eastAsia="Calibri" w:hAnsi="Tw Cen MT" w:cs="Arial"/>
          <w:noProof/>
          <w:sz w:val="24"/>
          <w:szCs w:val="24"/>
          <w:lang w:bidi="bn-IN"/>
        </w:rPr>
        <w:t>[4]</w:t>
      </w:r>
      <w:r w:rsidRPr="00717D27">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812087">
        <w:rPr>
          <w:rFonts w:ascii="Tw Cen MT" w:eastAsia="Calibri" w:hAnsi="Tw Cen MT" w:cs="Arial"/>
          <w:sz w:val="24"/>
          <w:szCs w:val="24"/>
          <w:lang w:bidi="bn-IN"/>
        </w:rPr>
        <w:t>Typically, patients who experience the above will be treated for burns with skin grafts, but this treatment takes a long time to heal</w:t>
      </w:r>
      <w:r>
        <w:rPr>
          <w:rFonts w:ascii="Tw Cen MT" w:eastAsia="Calibri" w:hAnsi="Tw Cen MT" w:cs="Arial"/>
          <w:sz w:val="24"/>
          <w:szCs w:val="24"/>
          <w:lang w:bidi="bn-IN"/>
        </w:rPr>
        <w:t xml:space="preserve"> </w:t>
      </w:r>
      <w:r w:rsidRPr="00717D27">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Pr="00717D27">
        <w:rPr>
          <w:rFonts w:ascii="Tw Cen MT" w:eastAsia="Calibri" w:hAnsi="Tw Cen MT" w:cs="Arial"/>
          <w:sz w:val="24"/>
          <w:szCs w:val="24"/>
          <w:lang w:bidi="bn-IN"/>
        </w:rPr>
        <w:fldChar w:fldCharType="separate"/>
      </w:r>
      <w:r w:rsidRPr="00076CB7">
        <w:rPr>
          <w:rFonts w:ascii="Tw Cen MT" w:eastAsia="Calibri" w:hAnsi="Tw Cen MT" w:cs="Arial"/>
          <w:noProof/>
          <w:sz w:val="24"/>
          <w:szCs w:val="24"/>
          <w:lang w:bidi="bn-IN"/>
        </w:rPr>
        <w:t>[4]</w:t>
      </w:r>
      <w:r w:rsidRPr="00717D27">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812087">
        <w:rPr>
          <w:rFonts w:ascii="Tw Cen MT" w:eastAsia="Calibri" w:hAnsi="Tw Cen MT" w:cs="Arial"/>
          <w:sz w:val="24"/>
          <w:szCs w:val="24"/>
          <w:lang w:bidi="bn-IN"/>
        </w:rPr>
        <w:t>Treatment in this manner has the disadvantage of causing scarring, and for female patients, it will affect the patient's psychology due to unsatisfactory cosmetic results</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Pr>
          <w:rFonts w:ascii="Tw Cen MT" w:eastAsia="Calibri" w:hAnsi="Tw Cen MT" w:cs="Arial"/>
          <w:sz w:val="24"/>
          <w:szCs w:val="24"/>
          <w:lang w:bidi="bn-IN"/>
        </w:rPr>
        <w:fldChar w:fldCharType="separate"/>
      </w:r>
      <w:r w:rsidRPr="00F32B5D">
        <w:rPr>
          <w:rFonts w:ascii="Tw Cen MT" w:eastAsia="Calibri" w:hAnsi="Tw Cen MT" w:cs="Arial"/>
          <w:noProof/>
          <w:sz w:val="24"/>
          <w:szCs w:val="24"/>
          <w:lang w:bidi="bn-IN"/>
        </w:rPr>
        <w:t>[4], [5]</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In using MSC </w:t>
      </w:r>
      <w:proofErr w:type="spellStart"/>
      <w:r>
        <w:rPr>
          <w:rFonts w:ascii="Tw Cen MT" w:eastAsia="Calibri" w:hAnsi="Tw Cen MT" w:cs="Arial"/>
          <w:sz w:val="24"/>
          <w:szCs w:val="24"/>
          <w:lang w:bidi="bn-IN"/>
        </w:rPr>
        <w:t>secretome</w:t>
      </w:r>
      <w:proofErr w:type="spellEnd"/>
      <w:r>
        <w:rPr>
          <w:rFonts w:ascii="Tw Cen MT" w:eastAsia="Calibri" w:hAnsi="Tw Cen MT" w:cs="Arial"/>
          <w:sz w:val="24"/>
          <w:szCs w:val="24"/>
          <w:lang w:bidi="bn-IN"/>
        </w:rPr>
        <w:t xml:space="preserve">, the main target is accelerating wound healing in each phase of </w:t>
      </w:r>
      <w:proofErr w:type="spellStart"/>
      <w:r>
        <w:rPr>
          <w:rFonts w:ascii="Tw Cen MT" w:eastAsia="Calibri" w:hAnsi="Tw Cen MT" w:cs="Arial"/>
          <w:sz w:val="24"/>
          <w:szCs w:val="24"/>
          <w:lang w:bidi="bn-IN"/>
        </w:rPr>
        <w:t>waound</w:t>
      </w:r>
      <w:proofErr w:type="spellEnd"/>
      <w:r>
        <w:rPr>
          <w:rFonts w:ascii="Tw Cen MT" w:eastAsia="Calibri" w:hAnsi="Tw Cen MT" w:cs="Arial"/>
          <w:sz w:val="24"/>
          <w:szCs w:val="24"/>
          <w:lang w:bidi="bn-IN"/>
        </w:rPr>
        <w:t xml:space="preserve"> healing by helping to stimulate growth factors around the wound environment [11].</w:t>
      </w:r>
    </w:p>
    <w:p w14:paraId="36126190" w14:textId="77777777" w:rsidR="00680229" w:rsidRDefault="00680229" w:rsidP="00680229">
      <w:pPr>
        <w:spacing w:after="0" w:line="240" w:lineRule="auto"/>
        <w:jc w:val="both"/>
        <w:rPr>
          <w:rFonts w:ascii="Tw Cen MT" w:eastAsia="Calibri" w:hAnsi="Tw Cen MT" w:cs="Arial"/>
          <w:sz w:val="24"/>
          <w:szCs w:val="24"/>
          <w:lang w:bidi="bn-IN"/>
        </w:rPr>
      </w:pPr>
      <w:r w:rsidRPr="00812087">
        <w:rPr>
          <w:rFonts w:ascii="Tw Cen MT" w:eastAsia="Calibri" w:hAnsi="Tw Cen MT" w:cs="Arial"/>
          <w:sz w:val="24"/>
          <w:szCs w:val="24"/>
          <w:lang w:bidi="bn-IN"/>
        </w:rPr>
        <w:t>As a result, advancements and innovations in burn treatment are urgently needed to accelerate burn healing and produce satisfactory therapeutic outcomes for patients. Now, stem cell therapy is thriving. Mesenchymal Stem Cell (MSC) is one of the most widely developed stem cells</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{"citationItems":[{"id":"ITEM-1","itemData":{"author":[{"dropping-particle":"","family":"Ahmadi, A. R., Chicco, M., Huang, J., Qi, L., Burdick, J., Williams, G. M., ... &amp; Sun","given":"Z.","non-dropping-particle":"","parse-names":false,"suffix":""}],"container-title":"Burns","id":"ITEM-1","issue":"5","issued":{"date-parts":[["2019"]]},"page":"1014-1023.","title":"Stem cells in burn wound healing: A systematic review of the literature.","type":"article-journal","volume":"45"},"uris":["http://www.mendeley.com/documents/?uuid=90aa6b22-b9ac-46e1-98a9-82c66d6f67df"]},{"id":"ITEM-2","itemData":{"author":[{"dropping-particle":"","family":"Li, Y., Xia, W. D., Van der Merwe, L., Dai, W. T., &amp; Lin","given":"C.","non-dropping-particle":"","parse-names":false,"suffix":""}],"container-title":"Stem cell research &amp; therapy","id":"ITEM-2","issue":"1","issued":{"date-parts":[["2020"]]},"page":"1-12.","title":"Efficacy of stem cell therapy for burn wounds: a systematic review and meta-analysis of preclinical studies.","type":"article-journal","volume":"11"},"uris":["http://www.mendeley.com/documents/?uuid=854ea7ac-fb88-4442-a55a-1dea957add81"]},{"id":"ITEM-3","itemData":{"author":[{"dropping-particle":"","family":"Santoso","given":"Z. A. (2021).","non-dropping-particle":"","parse-names":false,"suffix":""}],"container-title":"Intisari Sains Medis","id":"ITEM-3","issue":"3","issued":{"date-parts":[["2021"]]},"page":"927-933.","title":"Peran terapi mesenchymal stem cell (MSC) dalam penatalaksanaan luka bakar: sebuah tinjauan sistematis.","type":"article-journal","volume":"12"},"uris":["http://www.mendeley.com/documents/?uuid=a7ca15ea-8063-46ef-a1e0-10d5850d0534"]}],"mendeley":{"formattedCitation":"[4], [6], [7]","plainTextFormattedCitation":"[4], [6], [7]","previouslyFormattedCitation":"[4], [6], [7]"},"properties":{"noteIndex":0},"schema":"https://github.com/citation-style-language/schema/raw/master/csl-citation.json"}</w:instrText>
      </w:r>
      <w:r>
        <w:rPr>
          <w:rFonts w:ascii="Tw Cen MT" w:eastAsia="Calibri" w:hAnsi="Tw Cen MT" w:cs="Arial"/>
          <w:sz w:val="24"/>
          <w:szCs w:val="24"/>
          <w:lang w:bidi="bn-IN"/>
        </w:rPr>
        <w:fldChar w:fldCharType="separate"/>
      </w:r>
      <w:r w:rsidRPr="00F32B5D">
        <w:rPr>
          <w:rFonts w:ascii="Tw Cen MT" w:eastAsia="Calibri" w:hAnsi="Tw Cen MT" w:cs="Arial"/>
          <w:noProof/>
          <w:sz w:val="24"/>
          <w:szCs w:val="24"/>
          <w:lang w:bidi="bn-IN"/>
        </w:rPr>
        <w:t>[4], [6], [7]</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r w:rsidRPr="00717D27">
        <w:rPr>
          <w:rFonts w:ascii="Tw Cen MT" w:eastAsia="Calibri" w:hAnsi="Tw Cen MT" w:cs="Arial"/>
          <w:sz w:val="24"/>
          <w:szCs w:val="24"/>
          <w:lang w:bidi="bn-IN"/>
        </w:rPr>
        <w:t xml:space="preserve"> </w:t>
      </w:r>
    </w:p>
    <w:p w14:paraId="7A359DF6" w14:textId="77777777" w:rsidR="00680229" w:rsidRPr="003A1408"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lastRenderedPageBreak/>
        <w:t>MSC is a type of stem cell that can differentiate into epidermal cells and can be isolated and developed from a variety of sources in the body, including the umbilical cord, bone marrow, and adipose tissue. The disadvantage of using MSC is that it must be stored at -80</w:t>
      </w:r>
      <w:r w:rsidRPr="00C26293">
        <w:rPr>
          <w:rFonts w:ascii="Tw Cen MT" w:eastAsia="Calibri" w:hAnsi="Tw Cen MT" w:cs="Arial"/>
          <w:sz w:val="24"/>
          <w:szCs w:val="24"/>
          <w:vertAlign w:val="superscript"/>
          <w:lang w:bidi="bn-IN"/>
        </w:rPr>
        <w:t>0</w:t>
      </w:r>
      <w:r>
        <w:rPr>
          <w:rFonts w:ascii="Tw Cen MT" w:eastAsia="Calibri" w:hAnsi="Tw Cen MT" w:cs="Arial"/>
          <w:sz w:val="24"/>
          <w:szCs w:val="24"/>
          <w:lang w:bidi="bn-IN"/>
        </w:rPr>
        <w:t>C</w:t>
      </w:r>
      <w:r w:rsidRPr="003A1408">
        <w:rPr>
          <w:rFonts w:ascii="Tw Cen MT" w:eastAsia="Calibri" w:hAnsi="Tw Cen MT" w:cs="Arial"/>
          <w:sz w:val="24"/>
          <w:szCs w:val="24"/>
          <w:lang w:bidi="bn-IN"/>
        </w:rPr>
        <w:t xml:space="preserve"> and must be applied by an expert</w:t>
      </w:r>
      <w:r>
        <w:rPr>
          <w:rFonts w:ascii="Tw Cen MT" w:eastAsia="Calibri" w:hAnsi="Tw Cen MT" w:cs="Arial"/>
          <w:sz w:val="24"/>
          <w:szCs w:val="24"/>
          <w:lang w:bidi="bn-IN"/>
        </w:rPr>
        <w:t xml:space="preserve"> [11].</w:t>
      </w:r>
    </w:p>
    <w:p w14:paraId="75F9DF99" w14:textId="77777777" w:rsidR="00680229"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t xml:space="preserve">As a result, innovation in the use of MSC continues to develop, and a method to facilitate the use of MSC is discovered, namely by using a medium for culturing and growing MSC, or what is known as </w:t>
      </w:r>
      <w:proofErr w:type="spellStart"/>
      <w:r w:rsidRPr="003A1408">
        <w:rPr>
          <w:rFonts w:ascii="Tw Cen MT" w:eastAsia="Calibri" w:hAnsi="Tw Cen MT" w:cs="Arial"/>
          <w:sz w:val="24"/>
          <w:szCs w:val="24"/>
          <w:lang w:bidi="bn-IN"/>
        </w:rPr>
        <w:t>Sekretome</w:t>
      </w:r>
      <w:proofErr w:type="spellEnd"/>
      <w:r w:rsidRPr="003A1408">
        <w:rPr>
          <w:rFonts w:ascii="Tw Cen MT" w:eastAsia="Calibri" w:hAnsi="Tw Cen MT" w:cs="Arial"/>
          <w:sz w:val="24"/>
          <w:szCs w:val="24"/>
          <w:lang w:bidi="bn-IN"/>
        </w:rPr>
        <w:t xml:space="preserve"> (Conditioned Medium).</w:t>
      </w:r>
    </w:p>
    <w:p w14:paraId="02749F92" w14:textId="77777777" w:rsidR="00680229"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t xml:space="preserve">The </w:t>
      </w:r>
      <w:proofErr w:type="spellStart"/>
      <w:r w:rsidRPr="003A1408">
        <w:rPr>
          <w:rFonts w:ascii="Tw Cen MT" w:eastAsia="Calibri" w:hAnsi="Tw Cen MT" w:cs="Arial"/>
          <w:sz w:val="24"/>
          <w:szCs w:val="24"/>
          <w:lang w:bidi="bn-IN"/>
        </w:rPr>
        <w:t>secretome</w:t>
      </w:r>
      <w:proofErr w:type="spellEnd"/>
      <w:r w:rsidRPr="003A1408">
        <w:rPr>
          <w:rFonts w:ascii="Tw Cen MT" w:eastAsia="Calibri" w:hAnsi="Tw Cen MT" w:cs="Arial"/>
          <w:sz w:val="24"/>
          <w:szCs w:val="24"/>
          <w:lang w:bidi="bn-IN"/>
        </w:rPr>
        <w:t xml:space="preserve"> is</w:t>
      </w:r>
      <w:r>
        <w:rPr>
          <w:rFonts w:ascii="Tw Cen MT" w:eastAsia="Calibri" w:hAnsi="Tw Cen MT" w:cs="Arial"/>
          <w:sz w:val="24"/>
          <w:szCs w:val="24"/>
          <w:lang w:bidi="bn-IN"/>
        </w:rPr>
        <w:t xml:space="preserve"> s</w:t>
      </w:r>
      <w:r w:rsidRPr="003A1408">
        <w:rPr>
          <w:rFonts w:ascii="Tw Cen MT" w:eastAsia="Calibri" w:hAnsi="Tw Cen MT" w:cs="Arial"/>
          <w:sz w:val="24"/>
          <w:szCs w:val="24"/>
          <w:lang w:bidi="bn-IN"/>
        </w:rPr>
        <w:t>ecretions from stem cells as well as MSCs that grow in culture media and resemble the MSC itsel</w:t>
      </w:r>
      <w:r>
        <w:rPr>
          <w:rFonts w:ascii="Tw Cen MT" w:eastAsia="Calibri" w:hAnsi="Tw Cen MT" w:cs="Arial"/>
          <w:sz w:val="24"/>
          <w:szCs w:val="24"/>
          <w:lang w:bidi="bn-IN"/>
        </w:rPr>
        <w:t>f, which has the same growth factors as MSC like VEGF, TG</w:t>
      </w:r>
      <w:r w:rsidRPr="00691CAD">
        <w:rPr>
          <w:rFonts w:ascii="Tw Cen MT" w:eastAsia="Calibri" w:hAnsi="Tw Cen MT" w:cs="Arial"/>
          <w:sz w:val="20"/>
          <w:szCs w:val="20"/>
          <w:lang w:bidi="bn-IN"/>
        </w:rPr>
        <w:t>F-</w:t>
      </w:r>
      <w:r w:rsidRPr="00691CAD">
        <w:rPr>
          <w:rFonts w:eastAsia="Calibri"/>
          <w:sz w:val="20"/>
          <w:szCs w:val="20"/>
          <w:lang w:bidi="bn-IN"/>
        </w:rPr>
        <w:t>β</w:t>
      </w:r>
      <w:r>
        <w:rPr>
          <w:rFonts w:ascii="Tw Cen MT" w:eastAsia="Calibri" w:hAnsi="Tw Cen MT" w:cs="Arial"/>
          <w:sz w:val="24"/>
          <w:szCs w:val="24"/>
          <w:lang w:bidi="bn-IN"/>
        </w:rPr>
        <w:t>, etc.</w:t>
      </w:r>
      <w:r w:rsidRPr="00691CAD">
        <w:rPr>
          <w:rFonts w:ascii="Tw Cen MT" w:eastAsia="Calibri" w:hAnsi="Tw Cen MT" w:cs="Arial"/>
          <w:sz w:val="24"/>
          <w:szCs w:val="24"/>
          <w:lang w:bidi="bn-IN"/>
        </w:rPr>
        <w:t xml:space="preserve"> </w:t>
      </w:r>
      <w:r w:rsidRPr="003A1408">
        <w:rPr>
          <w:rFonts w:ascii="Tw Cen MT" w:eastAsia="Calibri" w:hAnsi="Tw Cen MT" w:cs="Arial"/>
          <w:sz w:val="24"/>
          <w:szCs w:val="24"/>
          <w:lang w:bidi="bn-IN"/>
        </w:rPr>
        <w:t xml:space="preserve">The main benefit of the </w:t>
      </w:r>
      <w:proofErr w:type="spellStart"/>
      <w:r w:rsidRPr="003A1408">
        <w:rPr>
          <w:rFonts w:ascii="Tw Cen MT" w:eastAsia="Calibri" w:hAnsi="Tw Cen MT" w:cs="Arial"/>
          <w:sz w:val="24"/>
          <w:szCs w:val="24"/>
          <w:lang w:bidi="bn-IN"/>
        </w:rPr>
        <w:t>secretome</w:t>
      </w:r>
      <w:proofErr w:type="spellEnd"/>
      <w:r w:rsidRPr="003A1408">
        <w:rPr>
          <w:rFonts w:ascii="Tw Cen MT" w:eastAsia="Calibri" w:hAnsi="Tw Cen MT" w:cs="Arial"/>
          <w:sz w:val="24"/>
          <w:szCs w:val="24"/>
          <w:lang w:bidi="bn-IN"/>
        </w:rPr>
        <w:t xml:space="preserve"> is that it can be stored in the freezer and easily made into a preparation, making it easier to apply stem cell</w:t>
      </w:r>
      <w:r>
        <w:rPr>
          <w:rFonts w:ascii="Tw Cen MT" w:eastAsia="Calibri" w:hAnsi="Tw Cen MT" w:cs="Arial"/>
          <w:sz w:val="24"/>
          <w:szCs w:val="24"/>
          <w:lang w:bidi="bn-IN"/>
        </w:rPr>
        <w:t xml:space="preserve">s. According to </w:t>
      </w:r>
      <w:proofErr w:type="spellStart"/>
      <w:r>
        <w:rPr>
          <w:rFonts w:ascii="Tw Cen MT" w:eastAsia="Calibri" w:hAnsi="Tw Cen MT" w:cs="Arial"/>
          <w:sz w:val="24"/>
          <w:szCs w:val="24"/>
          <w:lang w:bidi="bn-IN"/>
        </w:rPr>
        <w:t>Ratih</w:t>
      </w:r>
      <w:proofErr w:type="spellEnd"/>
      <w:r>
        <w:rPr>
          <w:rFonts w:ascii="Tw Cen MT" w:eastAsia="Calibri" w:hAnsi="Tw Cen MT" w:cs="Arial"/>
          <w:sz w:val="24"/>
          <w:szCs w:val="24"/>
          <w:lang w:bidi="bn-IN"/>
        </w:rPr>
        <w:t xml:space="preserve"> et al, the stability of the frozen </w:t>
      </w:r>
      <w:proofErr w:type="spellStart"/>
      <w:r>
        <w:rPr>
          <w:rFonts w:ascii="Tw Cen MT" w:eastAsia="Calibri" w:hAnsi="Tw Cen MT" w:cs="Arial"/>
          <w:sz w:val="24"/>
          <w:szCs w:val="24"/>
          <w:lang w:bidi="bn-IN"/>
        </w:rPr>
        <w:t>secretom</w:t>
      </w:r>
      <w:proofErr w:type="spellEnd"/>
      <w:r>
        <w:rPr>
          <w:rFonts w:ascii="Tw Cen MT" w:eastAsia="Calibri" w:hAnsi="Tw Cen MT" w:cs="Arial"/>
          <w:sz w:val="24"/>
          <w:szCs w:val="24"/>
          <w:lang w:bidi="bn-IN"/>
        </w:rPr>
        <w:t xml:space="preserve"> reaches a limit of up to 1 year and the finished drug after the first use is up to 2 months after the drug seal is opened, making it easier to </w:t>
      </w:r>
      <w:proofErr w:type="spellStart"/>
      <w:r>
        <w:rPr>
          <w:rFonts w:ascii="Tw Cen MT" w:eastAsia="Calibri" w:hAnsi="Tw Cen MT" w:cs="Arial"/>
          <w:sz w:val="24"/>
          <w:szCs w:val="24"/>
          <w:lang w:bidi="bn-IN"/>
        </w:rPr>
        <w:t>aplly</w:t>
      </w:r>
      <w:proofErr w:type="spellEnd"/>
      <w:r>
        <w:rPr>
          <w:rFonts w:ascii="Tw Cen MT" w:eastAsia="Calibri" w:hAnsi="Tw Cen MT" w:cs="Arial"/>
          <w:sz w:val="24"/>
          <w:szCs w:val="24"/>
          <w:lang w:bidi="bn-IN"/>
        </w:rPr>
        <w:t xml:space="preserve"> stem cell [11].</w:t>
      </w:r>
    </w:p>
    <w:p w14:paraId="2DA9C271" w14:textId="77777777" w:rsidR="00680229" w:rsidRDefault="00680229" w:rsidP="00680229">
      <w:pPr>
        <w:spacing w:after="0" w:line="240" w:lineRule="auto"/>
        <w:jc w:val="both"/>
        <w:rPr>
          <w:rFonts w:ascii="Tw Cen MT" w:eastAsia="Calibri" w:hAnsi="Tw Cen MT" w:cs="Arial"/>
          <w:sz w:val="24"/>
          <w:szCs w:val="24"/>
          <w:lang w:bidi="bn-IN"/>
        </w:rPr>
      </w:pPr>
      <w:proofErr w:type="spellStart"/>
      <w:r w:rsidRPr="003A1408">
        <w:rPr>
          <w:rFonts w:ascii="Tw Cen MT" w:eastAsia="Calibri" w:hAnsi="Tw Cen MT" w:cs="Arial"/>
          <w:sz w:val="24"/>
          <w:szCs w:val="24"/>
          <w:lang w:bidi="bn-IN"/>
        </w:rPr>
        <w:t>Secretome</w:t>
      </w:r>
      <w:proofErr w:type="spellEnd"/>
      <w:r w:rsidRPr="003A1408">
        <w:rPr>
          <w:rFonts w:ascii="Tw Cen MT" w:eastAsia="Calibri" w:hAnsi="Tw Cen MT" w:cs="Arial"/>
          <w:sz w:val="24"/>
          <w:szCs w:val="24"/>
          <w:lang w:bidi="bn-IN"/>
        </w:rPr>
        <w:t xml:space="preserve"> MSC is said to be capable of accelerating tissue re-epithelialization and remodeling, as well as </w:t>
      </w:r>
      <w:r>
        <w:rPr>
          <w:rFonts w:ascii="Tw Cen MT" w:eastAsia="Calibri" w:hAnsi="Tw Cen MT" w:cs="Arial"/>
          <w:sz w:val="24"/>
          <w:szCs w:val="24"/>
          <w:lang w:bidi="bn-IN"/>
        </w:rPr>
        <w:t>inhibit</w:t>
      </w:r>
      <w:r w:rsidRPr="003A1408">
        <w:rPr>
          <w:rFonts w:ascii="Tw Cen MT" w:eastAsia="Calibri" w:hAnsi="Tw Cen MT" w:cs="Arial"/>
          <w:sz w:val="24"/>
          <w:szCs w:val="24"/>
          <w:lang w:bidi="bn-IN"/>
        </w:rPr>
        <w:t xml:space="preserve"> cell apoptosis and inflammatory respon</w:t>
      </w:r>
      <w:r>
        <w:rPr>
          <w:rFonts w:ascii="Tw Cen MT" w:eastAsia="Calibri" w:hAnsi="Tw Cen MT" w:cs="Arial"/>
          <w:sz w:val="24"/>
          <w:szCs w:val="24"/>
          <w:lang w:bidi="bn-IN"/>
        </w:rPr>
        <w:t xml:space="preserve">ses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Pr>
          <w:rFonts w:ascii="Tw Cen MT" w:eastAsia="Calibri" w:hAnsi="Tw Cen MT" w:cs="Arial"/>
          <w:sz w:val="24"/>
          <w:szCs w:val="24"/>
          <w:lang w:bidi="bn-IN"/>
        </w:rPr>
        <w:fldChar w:fldCharType="separate"/>
      </w:r>
      <w:r w:rsidRPr="00F32B5D">
        <w:rPr>
          <w:rFonts w:ascii="Tw Cen MT" w:eastAsia="Calibri" w:hAnsi="Tw Cen MT" w:cs="Arial"/>
          <w:noProof/>
          <w:sz w:val="24"/>
          <w:szCs w:val="24"/>
          <w:lang w:bidi="bn-IN"/>
        </w:rPr>
        <w:t>[4], [5]</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6C5D5D3E" w14:textId="020C51C6" w:rsidR="00680229" w:rsidRPr="00717D27"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color w:val="242021"/>
          <w:sz w:val="24"/>
          <w:szCs w:val="24"/>
          <w:lang w:bidi="bn-IN"/>
        </w:rPr>
        <w:t xml:space="preserve">In animal studies, </w:t>
      </w:r>
      <w:proofErr w:type="spellStart"/>
      <w:r w:rsidRPr="003A1408">
        <w:rPr>
          <w:rFonts w:ascii="Tw Cen MT" w:eastAsia="Calibri" w:hAnsi="Tw Cen MT" w:cs="Arial"/>
          <w:color w:val="242021"/>
          <w:sz w:val="24"/>
          <w:szCs w:val="24"/>
          <w:lang w:bidi="bn-IN"/>
        </w:rPr>
        <w:t>secretome</w:t>
      </w:r>
      <w:proofErr w:type="spellEnd"/>
      <w:r w:rsidRPr="003A1408">
        <w:rPr>
          <w:rFonts w:ascii="Tw Cen MT" w:eastAsia="Calibri" w:hAnsi="Tw Cen MT" w:cs="Arial"/>
          <w:color w:val="242021"/>
          <w:sz w:val="24"/>
          <w:szCs w:val="24"/>
          <w:lang w:bidi="bn-IN"/>
        </w:rPr>
        <w:t xml:space="preserve"> MSC has the potential to effectively accelerate wound healing. In rats and mice, </w:t>
      </w:r>
      <w:proofErr w:type="spellStart"/>
      <w:r w:rsidRPr="003A1408">
        <w:rPr>
          <w:rFonts w:ascii="Tw Cen MT" w:eastAsia="Calibri" w:hAnsi="Tw Cen MT" w:cs="Arial"/>
          <w:color w:val="242021"/>
          <w:sz w:val="24"/>
          <w:szCs w:val="24"/>
          <w:lang w:bidi="bn-IN"/>
        </w:rPr>
        <w:t>secretome</w:t>
      </w:r>
      <w:proofErr w:type="spellEnd"/>
      <w:r w:rsidRPr="003A1408">
        <w:rPr>
          <w:rFonts w:ascii="Tw Cen MT" w:eastAsia="Calibri" w:hAnsi="Tw Cen MT" w:cs="Arial"/>
          <w:color w:val="242021"/>
          <w:sz w:val="24"/>
          <w:szCs w:val="24"/>
          <w:lang w:bidi="bn-IN"/>
        </w:rPr>
        <w:t xml:space="preserve"> MSC has been shown to reduce burn area</w:t>
      </w:r>
      <w:r w:rsidRPr="00717D27">
        <w:rPr>
          <w:rFonts w:ascii="Tw Cen MT" w:eastAsia="Calibri" w:hAnsi="Tw Cen MT" w:cs="Arial"/>
          <w:color w:val="242021"/>
          <w:sz w:val="24"/>
          <w:szCs w:val="24"/>
          <w:lang w:bidi="bn-IN"/>
        </w:rPr>
        <w:t xml:space="preserve"> </w:t>
      </w:r>
      <w:r>
        <w:rPr>
          <w:rFonts w:ascii="Tw Cen MT" w:eastAsia="Calibri" w:hAnsi="Tw Cen MT" w:cs="Arial"/>
          <w:color w:val="242021"/>
          <w:sz w:val="24"/>
          <w:szCs w:val="24"/>
          <w:lang w:bidi="bn-IN"/>
        </w:rPr>
        <w:fldChar w:fldCharType="begin" w:fldLock="1"/>
      </w:r>
      <w:r>
        <w:rPr>
          <w:rFonts w:ascii="Tw Cen MT" w:eastAsia="Calibri" w:hAnsi="Tw Cen MT" w:cs="Arial"/>
          <w:color w:val="242021"/>
          <w:sz w:val="24"/>
          <w:szCs w:val="24"/>
          <w:lang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mechanisms.","type":"article-journal","volume":"81"},"uris":["http://www.mendeley.com/documents/?uuid=f63530bd-5987-4aab-88ed-381e168db49c"]},{"id":"ITEM-2","itemData":{"author":[{"dropping-particle":"","family":"Abdel-Gawad, D. R. I., Moselhy, W. A., Ahmed, R. R., Al-Muzafar, H. M., Amin, K. A., Amin, M. M., ... &amp; Abdou","given":"K. A. H.","non-dropping-particle":"","parse-names":false,"suffix":""}],"container-title":"Stem Cell Research &amp; Therapy","id":"ITEM-2","issue":"1","issued":{"date-parts":[["2021"]]},"page":"1-16.","title":"Therapeutic effect of mesenchymal stem cells on histopathological, immunohistochemical, and molecular analysis in second-grade burn model.","type":"article-journal","volume":"12"},"uris":["http://www.mendeley.com/documents/?uuid=5d9be474-e840-4773-95e2-d4ef715c754d"]},{"id":"ITEM-3","itemData":{"author":[{"dropping-particle":"","family":"Afzali, L., Mirahmadi-Babaheydari, F., Shojaei-Ghahrizjani, F., Rahmati, S., Shahmoradi, B., &amp; Banitalebi-Dehkordi","given":"M.","non-dropping-particle":"","parse-names":false,"suffix":""}],"container-title":"Regenerative Engineering and Translational Medicine","id":"ITEM-3","issued":{"date-parts":[["2020"]]},"page":"1-11.","title":"The effect of encapsulated umbilical cord-derived mesenchymal stem cells in PRPCryogel on regeneration of grade-II burn wounds.","type":"article-journal"},"uris":["http://www.mendeley.com/documents/?uuid=ac631d06-ce16-4a6c-b44b-a3eb6a01f020"]}],"mendeley":{"formattedCitation":"[8]–[10]","plainTextFormattedCitation":"[8]–[10]","previouslyFormattedCitation":"[8]–[10]"},"properties":{"noteIndex":0},"schema":"https://github.com/citation-style-language/schema/raw/master/csl-citation.json"}</w:instrText>
      </w:r>
      <w:r>
        <w:rPr>
          <w:rFonts w:ascii="Tw Cen MT" w:eastAsia="Calibri" w:hAnsi="Tw Cen MT" w:cs="Arial"/>
          <w:color w:val="242021"/>
          <w:sz w:val="24"/>
          <w:szCs w:val="24"/>
          <w:lang w:bidi="bn-IN"/>
        </w:rPr>
        <w:fldChar w:fldCharType="separate"/>
      </w:r>
      <w:r w:rsidRPr="00F32B5D">
        <w:rPr>
          <w:rFonts w:ascii="Tw Cen MT" w:eastAsia="Calibri" w:hAnsi="Tw Cen MT" w:cs="Arial"/>
          <w:noProof/>
          <w:color w:val="242021"/>
          <w:sz w:val="24"/>
          <w:szCs w:val="24"/>
          <w:lang w:bidi="bn-IN"/>
        </w:rPr>
        <w:t>[8]–[10]</w:t>
      </w:r>
      <w:r>
        <w:rPr>
          <w:rFonts w:ascii="Tw Cen MT" w:eastAsia="Calibri" w:hAnsi="Tw Cen MT" w:cs="Arial"/>
          <w:color w:val="242021"/>
          <w:sz w:val="24"/>
          <w:szCs w:val="24"/>
          <w:lang w:bidi="bn-IN"/>
        </w:rPr>
        <w:fldChar w:fldCharType="end"/>
      </w:r>
      <w:r>
        <w:rPr>
          <w:rFonts w:ascii="Tw Cen MT" w:eastAsia="Calibri" w:hAnsi="Tw Cen MT" w:cs="Arial"/>
          <w:color w:val="242021"/>
          <w:sz w:val="24"/>
          <w:szCs w:val="24"/>
          <w:lang w:bidi="bn-IN"/>
        </w:rPr>
        <w:t>.</w:t>
      </w:r>
      <w:r w:rsidRPr="00717D27">
        <w:rPr>
          <w:rFonts w:ascii="Tw Cen MT" w:eastAsia="Calibri" w:hAnsi="Tw Cen MT" w:cs="Arial"/>
          <w:sz w:val="24"/>
          <w:szCs w:val="24"/>
          <w:lang w:bidi="bn-IN"/>
        </w:rPr>
        <w:t xml:space="preserve"> </w:t>
      </w:r>
    </w:p>
    <w:p w14:paraId="6F078FE0" w14:textId="4F924B04" w:rsidR="007106F6" w:rsidRPr="0096335E" w:rsidRDefault="00680229" w:rsidP="00680229">
      <w:pPr>
        <w:spacing w:after="0" w:line="240" w:lineRule="auto"/>
        <w:jc w:val="both"/>
        <w:rPr>
          <w:rFonts w:ascii="Tw Cen MT" w:eastAsia="Twentieth Century" w:hAnsi="Tw Cen MT" w:cs="Twentieth Century"/>
          <w:color w:val="000000"/>
          <w:sz w:val="24"/>
          <w:szCs w:val="24"/>
        </w:rPr>
      </w:pPr>
      <w:r w:rsidRPr="003A1408">
        <w:rPr>
          <w:rFonts w:ascii="Tw Cen MT" w:eastAsia="Calibri" w:hAnsi="Tw Cen MT" w:cs="Arial"/>
          <w:sz w:val="24"/>
          <w:szCs w:val="24"/>
          <w:lang w:bidi="bn-IN"/>
        </w:rPr>
        <w:t xml:space="preserve">As a result, this article will go over the use of </w:t>
      </w:r>
      <w:proofErr w:type="spellStart"/>
      <w:r w:rsidRPr="003A1408">
        <w:rPr>
          <w:rFonts w:ascii="Tw Cen MT" w:eastAsia="Calibri" w:hAnsi="Tw Cen MT" w:cs="Arial"/>
          <w:sz w:val="24"/>
          <w:szCs w:val="24"/>
          <w:lang w:bidi="bn-IN"/>
        </w:rPr>
        <w:t>Secretome</w:t>
      </w:r>
      <w:proofErr w:type="spellEnd"/>
      <w:r w:rsidRPr="003A1408">
        <w:rPr>
          <w:rFonts w:ascii="Tw Cen MT" w:eastAsia="Calibri" w:hAnsi="Tw Cen MT" w:cs="Arial"/>
          <w:sz w:val="24"/>
          <w:szCs w:val="24"/>
          <w:lang w:bidi="bn-IN"/>
        </w:rPr>
        <w:t xml:space="preserve"> MSC for </w:t>
      </w:r>
      <w:r>
        <w:rPr>
          <w:rFonts w:ascii="Tw Cen MT" w:eastAsia="Calibri" w:hAnsi="Tw Cen MT" w:cs="Arial"/>
          <w:sz w:val="24"/>
          <w:szCs w:val="24"/>
          <w:lang w:bidi="bn-IN"/>
        </w:rPr>
        <w:t>an innovation in</w:t>
      </w:r>
      <w:r w:rsidRPr="003A1408">
        <w:rPr>
          <w:rFonts w:ascii="Tw Cen MT" w:eastAsia="Calibri" w:hAnsi="Tw Cen MT" w:cs="Arial"/>
          <w:sz w:val="24"/>
          <w:szCs w:val="24"/>
          <w:lang w:bidi="bn-IN"/>
        </w:rPr>
        <w:t xml:space="preserve"> </w:t>
      </w:r>
      <w:r>
        <w:rPr>
          <w:rFonts w:ascii="Tw Cen MT" w:eastAsia="Calibri" w:hAnsi="Tw Cen MT" w:cs="Arial"/>
          <w:sz w:val="24"/>
          <w:szCs w:val="24"/>
          <w:lang w:bidi="bn-IN"/>
        </w:rPr>
        <w:t>burn treatment</w:t>
      </w:r>
      <w:r>
        <w:rPr>
          <w:rFonts w:ascii="Tw Cen MT" w:eastAsia="Twentieth Century" w:hAnsi="Tw Cen MT" w:cs="Twentieth Century"/>
          <w:color w:val="000000"/>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02FA1EF2"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w:t>
      </w:r>
      <w:r w:rsidR="00680229">
        <w:rPr>
          <w:rFonts w:ascii="Tw Cen MT" w:eastAsia="Twentieth Century" w:hAnsi="Tw Cen MT" w:cs="Twentieth Century"/>
          <w:b/>
          <w:sz w:val="24"/>
          <w:szCs w:val="24"/>
        </w:rPr>
        <w:t>THOD</w:t>
      </w:r>
      <w:r w:rsidRPr="0096335E">
        <w:rPr>
          <w:rFonts w:ascii="Tw Cen MT" w:eastAsia="Twentieth Century" w:hAnsi="Tw Cen MT" w:cs="Twentieth Century"/>
          <w:b/>
          <w:sz w:val="24"/>
          <w:szCs w:val="24"/>
        </w:rPr>
        <w:t xml:space="preserve"> </w:t>
      </w:r>
    </w:p>
    <w:p w14:paraId="37329D86" w14:textId="3D6D905D" w:rsidR="00680229" w:rsidRPr="003A1408" w:rsidRDefault="00680229" w:rsidP="00680229">
      <w:pPr>
        <w:spacing w:after="0" w:line="240" w:lineRule="auto"/>
        <w:jc w:val="both"/>
        <w:rPr>
          <w:rFonts w:ascii="Tw Cen MT" w:eastAsia="Calibri" w:hAnsi="Tw Cen MT" w:cs="Arial"/>
          <w:sz w:val="24"/>
          <w:szCs w:val="24"/>
          <w:lang w:bidi="bn-IN"/>
        </w:rPr>
      </w:pPr>
      <w:r>
        <w:rPr>
          <w:rFonts w:ascii="Tw Cen MT" w:eastAsia="Calibri" w:hAnsi="Tw Cen MT" w:cs="Arial"/>
          <w:sz w:val="24"/>
          <w:szCs w:val="24"/>
          <w:lang w:bidi="bn-IN"/>
        </w:rPr>
        <w:t>S</w:t>
      </w:r>
      <w:r w:rsidRPr="003A1408">
        <w:rPr>
          <w:rFonts w:ascii="Tw Cen MT" w:eastAsia="Calibri" w:hAnsi="Tw Cen MT" w:cs="Arial"/>
          <w:sz w:val="24"/>
          <w:szCs w:val="24"/>
          <w:lang w:bidi="bn-IN"/>
        </w:rPr>
        <w:t xml:space="preserve">cientific publication databases such as </w:t>
      </w:r>
      <w:proofErr w:type="spellStart"/>
      <w:r w:rsidRPr="003A1408">
        <w:rPr>
          <w:rFonts w:ascii="Tw Cen MT" w:eastAsia="Calibri" w:hAnsi="Tw Cen MT" w:cs="Arial"/>
          <w:sz w:val="24"/>
          <w:szCs w:val="24"/>
          <w:lang w:bidi="bn-IN"/>
        </w:rPr>
        <w:t>Researchgate</w:t>
      </w:r>
      <w:proofErr w:type="spellEnd"/>
      <w:r w:rsidRPr="003A1408">
        <w:rPr>
          <w:rFonts w:ascii="Tw Cen MT" w:eastAsia="Calibri" w:hAnsi="Tw Cen MT" w:cs="Arial"/>
          <w:sz w:val="24"/>
          <w:szCs w:val="24"/>
          <w:lang w:bidi="bn-IN"/>
        </w:rPr>
        <w:t>, Google</w:t>
      </w:r>
      <w:r>
        <w:rPr>
          <w:rFonts w:ascii="Tw Cen MT" w:eastAsia="Calibri" w:hAnsi="Tw Cen MT" w:cs="Arial"/>
          <w:sz w:val="24"/>
          <w:szCs w:val="24"/>
          <w:lang w:bidi="bn-IN"/>
        </w:rPr>
        <w:t xml:space="preserve"> </w:t>
      </w:r>
      <w:r w:rsidRPr="003A1408">
        <w:rPr>
          <w:rFonts w:ascii="Tw Cen MT" w:eastAsia="Calibri" w:hAnsi="Tw Cen MT" w:cs="Arial"/>
          <w:sz w:val="24"/>
          <w:szCs w:val="24"/>
          <w:lang w:bidi="bn-IN"/>
        </w:rPr>
        <w:t xml:space="preserve">Scholar, ScienceDirect, and </w:t>
      </w:r>
      <w:proofErr w:type="spellStart"/>
      <w:r w:rsidRPr="003A1408">
        <w:rPr>
          <w:rFonts w:ascii="Tw Cen MT" w:eastAsia="Calibri" w:hAnsi="Tw Cen MT" w:cs="Arial"/>
          <w:sz w:val="24"/>
          <w:szCs w:val="24"/>
          <w:lang w:bidi="bn-IN"/>
        </w:rPr>
        <w:t>Pubmed</w:t>
      </w:r>
      <w:proofErr w:type="spellEnd"/>
      <w:r w:rsidRPr="003A1408">
        <w:rPr>
          <w:rFonts w:ascii="Tw Cen MT" w:eastAsia="Calibri" w:hAnsi="Tw Cen MT" w:cs="Arial"/>
          <w:sz w:val="24"/>
          <w:szCs w:val="24"/>
          <w:lang w:bidi="bn-IN"/>
        </w:rPr>
        <w:t xml:space="preserve"> were used for literature searches. [(</w:t>
      </w:r>
      <w:proofErr w:type="spellStart"/>
      <w:r w:rsidRPr="003A1408">
        <w:rPr>
          <w:rFonts w:ascii="Tw Cen MT" w:eastAsia="Calibri" w:hAnsi="Tw Cen MT" w:cs="Arial"/>
          <w:b/>
          <w:bCs/>
          <w:sz w:val="24"/>
          <w:szCs w:val="24"/>
          <w:lang w:bidi="bn-IN"/>
        </w:rPr>
        <w:t>Secretome</w:t>
      </w:r>
      <w:proofErr w:type="spellEnd"/>
      <w:r w:rsidRPr="003A1408">
        <w:rPr>
          <w:rFonts w:ascii="Tw Cen MT" w:eastAsia="Calibri" w:hAnsi="Tw Cen MT" w:cs="Arial"/>
          <w:b/>
          <w:bCs/>
          <w:sz w:val="24"/>
          <w:szCs w:val="24"/>
          <w:lang w:bidi="bn-IN"/>
        </w:rPr>
        <w:t>, Mesenchymal stem cell Adipose Tissue, Umbilical Cord, Bone Marrow) AND (Burns OR wound healing OR burns OR thermal injury</w:t>
      </w:r>
      <w:r w:rsidRPr="003A1408">
        <w:rPr>
          <w:rFonts w:ascii="Tw Cen MT" w:eastAsia="Calibri" w:hAnsi="Tw Cen MT" w:cs="Arial"/>
          <w:sz w:val="24"/>
          <w:szCs w:val="24"/>
          <w:lang w:bidi="bn-IN"/>
        </w:rPr>
        <w:t>)] were the keywords used.</w:t>
      </w:r>
    </w:p>
    <w:p w14:paraId="2BD20010" w14:textId="77777777" w:rsidR="00680229"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t>The first stage involved filtering literature obtained from online database searches using predetermined keywords. Following that, all irrelevant titles will be removed. The manuscripts are then determined to be included in the analysis using inclusion and exclusion criteria in the second stage.</w:t>
      </w:r>
    </w:p>
    <w:p w14:paraId="32592C3F" w14:textId="77777777" w:rsidR="00680229" w:rsidRPr="003A1408" w:rsidRDefault="00680229" w:rsidP="00680229">
      <w:pPr>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t xml:space="preserve">Articles that contain the keywords mentioned are eligible for inclusion. As well as the exclusion criteria, which are articles that do not contain the keywords mentioned. Furthermore, the literature sources that have been chosen and meet the inclusion criteria are thoroughly read and analyzed </w:t>
      </w:r>
      <w:proofErr w:type="gramStart"/>
      <w:r w:rsidRPr="003A1408">
        <w:rPr>
          <w:rFonts w:ascii="Tw Cen MT" w:eastAsia="Calibri" w:hAnsi="Tw Cen MT" w:cs="Arial"/>
          <w:sz w:val="24"/>
          <w:szCs w:val="24"/>
          <w:lang w:bidi="bn-IN"/>
        </w:rPr>
        <w:t>in order to</w:t>
      </w:r>
      <w:proofErr w:type="gramEnd"/>
      <w:r w:rsidRPr="003A1408">
        <w:rPr>
          <w:rFonts w:ascii="Tw Cen MT" w:eastAsia="Calibri" w:hAnsi="Tw Cen MT" w:cs="Arial"/>
          <w:sz w:val="24"/>
          <w:szCs w:val="24"/>
          <w:lang w:bidi="bn-IN"/>
        </w:rPr>
        <w:t xml:space="preserve"> extract the essence of the literature.</w:t>
      </w:r>
    </w:p>
    <w:p w14:paraId="3697AE03" w14:textId="22033CD6" w:rsidR="007106F6" w:rsidRDefault="00680229" w:rsidP="00680229">
      <w:pPr>
        <w:tabs>
          <w:tab w:val="left" w:pos="426"/>
        </w:tabs>
        <w:spacing w:after="0" w:line="240" w:lineRule="auto"/>
        <w:jc w:val="both"/>
        <w:rPr>
          <w:rFonts w:ascii="Tw Cen MT" w:eastAsia="Calibri" w:hAnsi="Tw Cen MT" w:cs="Arial"/>
          <w:sz w:val="24"/>
          <w:szCs w:val="24"/>
          <w:lang w:bidi="bn-IN"/>
        </w:rPr>
      </w:pPr>
      <w:r w:rsidRPr="003A1408">
        <w:rPr>
          <w:rFonts w:ascii="Tw Cen MT" w:eastAsia="Calibri" w:hAnsi="Tw Cen MT" w:cs="Arial"/>
          <w:sz w:val="24"/>
          <w:szCs w:val="24"/>
          <w:lang w:bidi="bn-IN"/>
        </w:rPr>
        <w:t>The narrative synthesis incorporates all literature sources relevant to the role of MSC in burns. This review, as a qualitative study, attempts to explain the findings of MSC's role in burn treatment. Starting with an overview of their mechanism of action, narrative synthesis was used to reach conclusions about the use of mesenchymal stem cells as burn therapy</w:t>
      </w:r>
      <w:r>
        <w:rPr>
          <w:rFonts w:ascii="Tw Cen MT" w:eastAsia="Calibri" w:hAnsi="Tw Cen MT" w:cs="Arial"/>
          <w:sz w:val="24"/>
          <w:szCs w:val="24"/>
          <w:lang w:bidi="bn-IN"/>
        </w:rPr>
        <w:t>.</w:t>
      </w:r>
    </w:p>
    <w:p w14:paraId="2C160C37" w14:textId="77777777" w:rsidR="00680229" w:rsidRPr="0096335E" w:rsidRDefault="00680229" w:rsidP="00680229">
      <w:pPr>
        <w:tabs>
          <w:tab w:val="left" w:pos="426"/>
        </w:tabs>
        <w:spacing w:after="0" w:line="240" w:lineRule="auto"/>
        <w:jc w:val="both"/>
        <w:rPr>
          <w:rFonts w:ascii="Tw Cen MT" w:eastAsia="Twentieth Century" w:hAnsi="Tw Cen MT" w:cs="Twentieth Century"/>
          <w:sz w:val="24"/>
          <w:szCs w:val="24"/>
        </w:rPr>
      </w:pPr>
    </w:p>
    <w:p w14:paraId="73FB8D1E" w14:textId="207D2508" w:rsidR="007106F6" w:rsidRPr="0096335E" w:rsidRDefault="00680229" w:rsidP="00DA20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AND DISCUSSIONS</w:t>
      </w:r>
    </w:p>
    <w:p w14:paraId="075A96A6" w14:textId="77777777" w:rsidR="00680229" w:rsidRDefault="00680229" w:rsidP="00DA202D">
      <w:pPr>
        <w:spacing w:before="120" w:after="0" w:line="240" w:lineRule="auto"/>
        <w:jc w:val="both"/>
        <w:rPr>
          <w:rFonts w:ascii="Tw Cen MT" w:eastAsia="Calibri" w:hAnsi="Tw Cen MT" w:cs="Arial"/>
          <w:sz w:val="24"/>
          <w:szCs w:val="24"/>
          <w:lang w:bidi="bn-IN"/>
        </w:rPr>
      </w:pPr>
      <w:r w:rsidRPr="00ED1E9B">
        <w:rPr>
          <w:rFonts w:ascii="Tw Cen MT" w:eastAsia="Calibri" w:hAnsi="Tw Cen MT" w:cs="Arial"/>
          <w:sz w:val="24"/>
          <w:szCs w:val="24"/>
          <w:lang w:bidi="bn-IN"/>
        </w:rPr>
        <w:t xml:space="preserve">This literature review discovered 38 articles that met the inclusion criteria. Table 1 shows how </w:t>
      </w:r>
      <w:r>
        <w:rPr>
          <w:rFonts w:ascii="Tw Cen MT" w:eastAsia="Calibri" w:hAnsi="Tw Cen MT" w:cs="Arial"/>
          <w:sz w:val="24"/>
          <w:szCs w:val="24"/>
          <w:lang w:bidi="bn-IN"/>
        </w:rPr>
        <w:t>MSC</w:t>
      </w:r>
      <w:r w:rsidRPr="00ED1E9B">
        <w:rPr>
          <w:rFonts w:ascii="Tw Cen MT" w:eastAsia="Calibri" w:hAnsi="Tw Cen MT" w:cs="Arial"/>
          <w:sz w:val="24"/>
          <w:szCs w:val="24"/>
          <w:lang w:bidi="bn-IN"/>
        </w:rPr>
        <w:t xml:space="preserve"> </w:t>
      </w:r>
      <w:proofErr w:type="spellStart"/>
      <w:r w:rsidRPr="00ED1E9B">
        <w:rPr>
          <w:rFonts w:ascii="Tw Cen MT" w:eastAsia="Calibri" w:hAnsi="Tw Cen MT" w:cs="Arial"/>
          <w:sz w:val="24"/>
          <w:szCs w:val="24"/>
          <w:lang w:bidi="bn-IN"/>
        </w:rPr>
        <w:t>secretome</w:t>
      </w:r>
      <w:proofErr w:type="spellEnd"/>
      <w:r>
        <w:rPr>
          <w:rFonts w:ascii="Tw Cen MT" w:eastAsia="Calibri" w:hAnsi="Tw Cen MT" w:cs="Arial"/>
          <w:sz w:val="24"/>
          <w:szCs w:val="24"/>
          <w:lang w:bidi="bn-IN"/>
        </w:rPr>
        <w:t xml:space="preserve"> t</w:t>
      </w:r>
      <w:r w:rsidRPr="00ED1E9B">
        <w:rPr>
          <w:rFonts w:ascii="Tw Cen MT" w:eastAsia="Calibri" w:hAnsi="Tw Cen MT" w:cs="Arial"/>
          <w:sz w:val="24"/>
          <w:szCs w:val="24"/>
          <w:lang w:bidi="bn-IN"/>
        </w:rPr>
        <w:t>herapy derived from various cells aids in the healing of burns.</w:t>
      </w:r>
    </w:p>
    <w:p w14:paraId="395216A7" w14:textId="77777777" w:rsidR="00680229" w:rsidRPr="00783E2F" w:rsidRDefault="00680229" w:rsidP="00680229">
      <w:pPr>
        <w:spacing w:before="120" w:after="0" w:line="240" w:lineRule="auto"/>
        <w:ind w:firstLine="567"/>
        <w:jc w:val="both"/>
        <w:rPr>
          <w:rFonts w:ascii="Tw Cen MT" w:eastAsia="Calibri" w:hAnsi="Tw Cen MT" w:cs="Arial"/>
          <w:sz w:val="20"/>
          <w:szCs w:val="20"/>
          <w:lang w:bidi="bn-IN"/>
        </w:rPr>
      </w:pPr>
      <w:r w:rsidRPr="00ED1E9B">
        <w:rPr>
          <w:rFonts w:ascii="Tw Cen MT" w:eastAsia="Calibri" w:hAnsi="Tw Cen MT" w:cs="Arial"/>
          <w:sz w:val="20"/>
          <w:szCs w:val="20"/>
          <w:lang w:bidi="bn-IN"/>
        </w:rPr>
        <w:t>Table 1. Articles with inclusion criteri</w:t>
      </w:r>
      <w:r>
        <w:rPr>
          <w:rFonts w:ascii="Tw Cen MT" w:eastAsia="Calibri" w:hAnsi="Tw Cen MT" w:cs="Arial"/>
          <w:sz w:val="20"/>
          <w:szCs w:val="20"/>
          <w:lang w:bidi="bn-IN"/>
        </w:rPr>
        <w:t>a (4)</w:t>
      </w: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680229" w:rsidRPr="00DA202D" w14:paraId="50760EE4" w14:textId="77777777" w:rsidTr="001B67AE">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D3BCEED"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Disease</w:t>
            </w:r>
          </w:p>
        </w:tc>
        <w:tc>
          <w:tcPr>
            <w:tcW w:w="664" w:type="dxa"/>
            <w:tcBorders>
              <w:top w:val="single" w:sz="8" w:space="0" w:color="7F7F7F"/>
              <w:left w:val="nil"/>
              <w:bottom w:val="single" w:sz="8" w:space="0" w:color="7F7F7F"/>
              <w:right w:val="nil"/>
            </w:tcBorders>
            <w:shd w:val="clear" w:color="auto" w:fill="auto"/>
            <w:vAlign w:val="center"/>
            <w:hideMark/>
          </w:tcPr>
          <w:p w14:paraId="1A7E0DCD"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Subject</w:t>
            </w:r>
          </w:p>
        </w:tc>
        <w:tc>
          <w:tcPr>
            <w:tcW w:w="851" w:type="dxa"/>
            <w:tcBorders>
              <w:top w:val="single" w:sz="8" w:space="0" w:color="7F7F7F"/>
              <w:left w:val="nil"/>
              <w:bottom w:val="single" w:sz="8" w:space="0" w:color="7F7F7F"/>
              <w:right w:val="nil"/>
            </w:tcBorders>
            <w:shd w:val="clear" w:color="auto" w:fill="auto"/>
            <w:vAlign w:val="center"/>
            <w:hideMark/>
          </w:tcPr>
          <w:p w14:paraId="70E431AF"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 xml:space="preserve">Source </w:t>
            </w:r>
            <w:proofErr w:type="spellStart"/>
            <w:r w:rsidRPr="00DA202D">
              <w:rPr>
                <w:rFonts w:ascii="Tw Cen MT" w:eastAsia="Times New Roman" w:hAnsi="Tw Cen MT" w:cs="Arial"/>
                <w:b/>
                <w:bCs/>
                <w:color w:val="000000"/>
                <w:sz w:val="20"/>
                <w:szCs w:val="20"/>
              </w:rPr>
              <w:t>secretome</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7D52F9F6" w14:textId="77777777" w:rsidR="00680229" w:rsidRPr="00DA202D" w:rsidRDefault="00680229" w:rsidP="001B67AE">
            <w:pPr>
              <w:spacing w:after="0" w:line="240" w:lineRule="auto"/>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Results</w:t>
            </w:r>
          </w:p>
        </w:tc>
        <w:tc>
          <w:tcPr>
            <w:tcW w:w="786" w:type="dxa"/>
            <w:tcBorders>
              <w:top w:val="single" w:sz="8" w:space="0" w:color="7F7F7F"/>
              <w:left w:val="nil"/>
              <w:bottom w:val="single" w:sz="8" w:space="0" w:color="7F7F7F"/>
              <w:right w:val="nil"/>
            </w:tcBorders>
            <w:shd w:val="clear" w:color="auto" w:fill="auto"/>
            <w:vAlign w:val="center"/>
            <w:hideMark/>
          </w:tcPr>
          <w:p w14:paraId="734C4814" w14:textId="77777777" w:rsidR="00680229" w:rsidRPr="00DA202D" w:rsidRDefault="00680229" w:rsidP="001B67AE">
            <w:pPr>
              <w:spacing w:after="0" w:line="240" w:lineRule="auto"/>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Reference</w:t>
            </w:r>
          </w:p>
        </w:tc>
      </w:tr>
      <w:tr w:rsidR="00680229" w:rsidRPr="00DA202D" w14:paraId="2CCEA3A1" w14:textId="77777777" w:rsidTr="001B67AE">
        <w:trPr>
          <w:trHeight w:val="443"/>
        </w:trPr>
        <w:tc>
          <w:tcPr>
            <w:tcW w:w="1037" w:type="dxa"/>
            <w:tcBorders>
              <w:top w:val="nil"/>
              <w:left w:val="nil"/>
              <w:bottom w:val="single" w:sz="8" w:space="0" w:color="7F7F7F"/>
              <w:right w:val="nil"/>
            </w:tcBorders>
            <w:shd w:val="clear" w:color="auto" w:fill="auto"/>
            <w:vAlign w:val="center"/>
            <w:hideMark/>
          </w:tcPr>
          <w:p w14:paraId="5C2622C2"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Third degree burns</w:t>
            </w:r>
          </w:p>
        </w:tc>
        <w:tc>
          <w:tcPr>
            <w:tcW w:w="664" w:type="dxa"/>
            <w:tcBorders>
              <w:top w:val="nil"/>
              <w:left w:val="nil"/>
              <w:bottom w:val="single" w:sz="8" w:space="0" w:color="7F7F7F"/>
              <w:right w:val="nil"/>
            </w:tcBorders>
            <w:shd w:val="clear" w:color="auto" w:fill="auto"/>
            <w:vAlign w:val="center"/>
            <w:hideMark/>
          </w:tcPr>
          <w:p w14:paraId="3E1055D4"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Mouse</w:t>
            </w:r>
          </w:p>
        </w:tc>
        <w:tc>
          <w:tcPr>
            <w:tcW w:w="851" w:type="dxa"/>
            <w:tcBorders>
              <w:top w:val="nil"/>
              <w:left w:val="nil"/>
              <w:bottom w:val="single" w:sz="8" w:space="0" w:color="7F7F7F"/>
              <w:right w:val="nil"/>
            </w:tcBorders>
            <w:shd w:val="clear" w:color="auto" w:fill="auto"/>
            <w:vAlign w:val="center"/>
            <w:hideMark/>
          </w:tcPr>
          <w:p w14:paraId="13B96855"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ADSC-CM</w:t>
            </w:r>
          </w:p>
        </w:tc>
        <w:tc>
          <w:tcPr>
            <w:tcW w:w="1026" w:type="dxa"/>
            <w:tcBorders>
              <w:top w:val="nil"/>
              <w:left w:val="nil"/>
              <w:bottom w:val="single" w:sz="8" w:space="0" w:color="7F7F7F"/>
              <w:right w:val="nil"/>
            </w:tcBorders>
            <w:shd w:val="clear" w:color="auto" w:fill="auto"/>
            <w:vAlign w:val="center"/>
            <w:hideMark/>
          </w:tcPr>
          <w:p w14:paraId="4AE42ED7" w14:textId="77777777" w:rsidR="00680229" w:rsidRPr="00DA202D" w:rsidRDefault="00680229" w:rsidP="001B67AE">
            <w:pPr>
              <w:spacing w:after="0" w:line="240" w:lineRule="auto"/>
              <w:rPr>
                <w:rFonts w:ascii="Tw Cen MT" w:eastAsia="Times New Roman" w:hAnsi="Tw Cen MT" w:cs="Arial"/>
                <w:color w:val="000000"/>
                <w:sz w:val="20"/>
                <w:szCs w:val="20"/>
              </w:rPr>
            </w:pPr>
            <w:r w:rsidRPr="00DA202D">
              <w:rPr>
                <w:rFonts w:ascii="Tw Cen MT" w:eastAsia="Times New Roman" w:hAnsi="Tw Cen MT" w:cs="Arial"/>
                <w:color w:val="000000"/>
                <w:sz w:val="20"/>
                <w:szCs w:val="20"/>
              </w:rPr>
              <w:t> Wound closing</w:t>
            </w:r>
          </w:p>
          <w:p w14:paraId="2EE5BD28"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Arial" w:eastAsia="Times New Roman" w:hAnsi="Arial" w:cs="Arial"/>
                <w:color w:val="000000"/>
                <w:sz w:val="20"/>
                <w:szCs w:val="20"/>
              </w:rPr>
              <w:t>↑</w:t>
            </w:r>
            <w:r w:rsidRPr="00DA202D">
              <w:rPr>
                <w:rFonts w:ascii="Tw Cen MT" w:eastAsia="Times New Roman" w:hAnsi="Tw Cen MT" w:cs="Arial"/>
                <w:color w:val="000000"/>
                <w:sz w:val="20"/>
                <w:szCs w:val="20"/>
              </w:rPr>
              <w:t>Hair growth</w:t>
            </w:r>
          </w:p>
        </w:tc>
        <w:tc>
          <w:tcPr>
            <w:tcW w:w="786" w:type="dxa"/>
            <w:tcBorders>
              <w:top w:val="nil"/>
              <w:left w:val="nil"/>
              <w:bottom w:val="single" w:sz="8" w:space="0" w:color="7F7F7F"/>
              <w:right w:val="nil"/>
            </w:tcBorders>
            <w:shd w:val="clear" w:color="auto" w:fill="auto"/>
            <w:vAlign w:val="center"/>
            <w:hideMark/>
          </w:tcPr>
          <w:p w14:paraId="3E967336"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w:t>
            </w: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[11]</w: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lang w:val="en-ID"/>
              </w:rPr>
              <w:t xml:space="preserve"> </w:t>
            </w:r>
          </w:p>
        </w:tc>
      </w:tr>
      <w:tr w:rsidR="00680229" w:rsidRPr="00DA202D" w14:paraId="5E7AF235" w14:textId="77777777" w:rsidTr="001B67AE">
        <w:trPr>
          <w:trHeight w:val="443"/>
        </w:trPr>
        <w:tc>
          <w:tcPr>
            <w:tcW w:w="1037" w:type="dxa"/>
            <w:tcBorders>
              <w:top w:val="nil"/>
              <w:left w:val="nil"/>
              <w:bottom w:val="nil"/>
              <w:right w:val="nil"/>
            </w:tcBorders>
            <w:shd w:val="clear" w:color="auto" w:fill="auto"/>
            <w:vAlign w:val="center"/>
            <w:hideMark/>
          </w:tcPr>
          <w:p w14:paraId="0E681622"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bookmarkStart w:id="0" w:name="_Hlk126529252"/>
            <w:r w:rsidRPr="00DA202D">
              <w:rPr>
                <w:rFonts w:ascii="Tw Cen MT" w:eastAsia="Times New Roman" w:hAnsi="Tw Cen MT" w:cs="Arial"/>
                <w:b/>
                <w:bCs/>
                <w:color w:val="000000"/>
                <w:sz w:val="20"/>
                <w:szCs w:val="20"/>
              </w:rPr>
              <w:t>Second degree burns</w:t>
            </w:r>
          </w:p>
        </w:tc>
        <w:tc>
          <w:tcPr>
            <w:tcW w:w="664" w:type="dxa"/>
            <w:tcBorders>
              <w:top w:val="nil"/>
              <w:left w:val="nil"/>
              <w:bottom w:val="nil"/>
              <w:right w:val="nil"/>
            </w:tcBorders>
            <w:shd w:val="clear" w:color="auto" w:fill="auto"/>
            <w:vAlign w:val="center"/>
            <w:hideMark/>
          </w:tcPr>
          <w:p w14:paraId="4A25C422"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Mouse</w:t>
            </w:r>
          </w:p>
        </w:tc>
        <w:tc>
          <w:tcPr>
            <w:tcW w:w="851" w:type="dxa"/>
            <w:tcBorders>
              <w:top w:val="nil"/>
              <w:left w:val="nil"/>
              <w:bottom w:val="nil"/>
              <w:right w:val="nil"/>
            </w:tcBorders>
            <w:shd w:val="clear" w:color="auto" w:fill="auto"/>
            <w:vAlign w:val="center"/>
            <w:hideMark/>
          </w:tcPr>
          <w:p w14:paraId="25E22585"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BMSC-CM</w:t>
            </w:r>
          </w:p>
        </w:tc>
        <w:tc>
          <w:tcPr>
            <w:tcW w:w="1026" w:type="dxa"/>
            <w:tcBorders>
              <w:top w:val="nil"/>
              <w:left w:val="nil"/>
              <w:bottom w:val="nil"/>
              <w:right w:val="nil"/>
            </w:tcBorders>
            <w:shd w:val="clear" w:color="auto" w:fill="auto"/>
            <w:vAlign w:val="center"/>
            <w:hideMark/>
          </w:tcPr>
          <w:p w14:paraId="6FC618A2"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lang w:val="en-ID"/>
              </w:rPr>
              <w:t>Wound closing</w:t>
            </w:r>
          </w:p>
          <w:p w14:paraId="1DABFD55"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Arial" w:eastAsia="Times New Roman" w:hAnsi="Arial" w:cs="Arial"/>
                <w:color w:val="000000"/>
                <w:sz w:val="20"/>
                <w:szCs w:val="20"/>
                <w:lang w:val="en-ID"/>
              </w:rPr>
              <w:t>↑</w:t>
            </w:r>
            <w:r w:rsidRPr="00DA202D">
              <w:rPr>
                <w:rFonts w:ascii="Tw Cen MT" w:eastAsia="Times New Roman" w:hAnsi="Tw Cen MT" w:cs="Arial"/>
                <w:color w:val="000000"/>
                <w:sz w:val="20"/>
                <w:szCs w:val="20"/>
                <w:lang w:val="en-ID"/>
              </w:rPr>
              <w:t>collagen formation</w:t>
            </w:r>
          </w:p>
          <w:p w14:paraId="6A2270BB"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lang w:val="en-ID"/>
              </w:rPr>
              <w:t>Proliferation is formed</w:t>
            </w:r>
          </w:p>
        </w:tc>
        <w:tc>
          <w:tcPr>
            <w:tcW w:w="786" w:type="dxa"/>
            <w:tcBorders>
              <w:top w:val="nil"/>
              <w:left w:val="nil"/>
              <w:bottom w:val="nil"/>
              <w:right w:val="nil"/>
            </w:tcBorders>
            <w:shd w:val="clear" w:color="auto" w:fill="auto"/>
            <w:vAlign w:val="center"/>
            <w:hideMark/>
          </w:tcPr>
          <w:p w14:paraId="464BA161" w14:textId="77777777" w:rsidR="00680229" w:rsidRPr="00DA202D" w:rsidRDefault="00680229" w:rsidP="001B67AE">
            <w:pPr>
              <w:spacing w:after="0" w:line="240" w:lineRule="auto"/>
              <w:rPr>
                <w:rFonts w:ascii="Tw Cen MT" w:eastAsia="Times New Roman" w:hAnsi="Tw Cen MT" w:cs="Arial"/>
                <w:sz w:val="20"/>
                <w:szCs w:val="20"/>
                <w:lang w:val="en-ID"/>
              </w:rPr>
            </w:pPr>
            <w:r w:rsidRPr="00DA202D">
              <w:rPr>
                <w:rFonts w:ascii="Tw Cen MT" w:eastAsia="Times New Roman" w:hAnsi="Tw Cen MT" w:cs="Arial"/>
                <w:sz w:val="20"/>
                <w:szCs w:val="20"/>
                <w:lang w:val="en-ID"/>
              </w:rPr>
              <w:fldChar w:fldCharType="begin" w:fldLock="1"/>
            </w:r>
            <w:r w:rsidRPr="00DA202D">
              <w:rPr>
                <w:rFonts w:ascii="Tw Cen MT" w:eastAsia="Times New Roman" w:hAnsi="Tw Cen MT" w:cs="Arial"/>
                <w:sz w:val="20"/>
                <w:szCs w:val="20"/>
                <w:lang w:val="en-ID"/>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sidRPr="00DA202D">
              <w:rPr>
                <w:rFonts w:ascii="Tw Cen MT" w:eastAsia="Times New Roman" w:hAnsi="Tw Cen MT" w:cs="Arial"/>
                <w:sz w:val="20"/>
                <w:szCs w:val="20"/>
                <w:lang w:val="en-ID"/>
              </w:rPr>
              <w:fldChar w:fldCharType="separate"/>
            </w:r>
            <w:r w:rsidRPr="00DA202D">
              <w:rPr>
                <w:rFonts w:ascii="Tw Cen MT" w:eastAsia="Times New Roman" w:hAnsi="Tw Cen MT" w:cs="Arial"/>
                <w:noProof/>
                <w:sz w:val="20"/>
                <w:szCs w:val="20"/>
                <w:lang w:val="en-ID"/>
              </w:rPr>
              <w:t>[12]</w:t>
            </w:r>
            <w:r w:rsidRPr="00DA202D">
              <w:rPr>
                <w:rFonts w:ascii="Tw Cen MT" w:eastAsia="Times New Roman" w:hAnsi="Tw Cen MT" w:cs="Arial"/>
                <w:sz w:val="20"/>
                <w:szCs w:val="20"/>
                <w:lang w:val="en-ID"/>
              </w:rPr>
              <w:fldChar w:fldCharType="end"/>
            </w:r>
            <w:r w:rsidRPr="00DA202D">
              <w:rPr>
                <w:rFonts w:ascii="Tw Cen MT" w:eastAsia="Times New Roman" w:hAnsi="Tw Cen MT" w:cs="Arial"/>
                <w:sz w:val="20"/>
                <w:szCs w:val="20"/>
                <w:lang w:val="en-ID"/>
              </w:rPr>
              <w:t xml:space="preserve"> </w:t>
            </w:r>
          </w:p>
        </w:tc>
      </w:tr>
      <w:bookmarkEnd w:id="0"/>
      <w:tr w:rsidR="00680229" w:rsidRPr="00DA202D" w14:paraId="6FE7AF72" w14:textId="77777777" w:rsidTr="001B67AE">
        <w:trPr>
          <w:trHeight w:val="422"/>
        </w:trPr>
        <w:tc>
          <w:tcPr>
            <w:tcW w:w="1037" w:type="dxa"/>
            <w:tcBorders>
              <w:top w:val="single" w:sz="8" w:space="0" w:color="7F7F7F"/>
              <w:left w:val="nil"/>
              <w:bottom w:val="single" w:sz="8" w:space="0" w:color="7F7F7F"/>
              <w:right w:val="nil"/>
            </w:tcBorders>
            <w:shd w:val="clear" w:color="auto" w:fill="auto"/>
            <w:vAlign w:val="center"/>
            <w:hideMark/>
          </w:tcPr>
          <w:p w14:paraId="2DAAD1A4"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0D395A1F"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Mouse</w:t>
            </w:r>
          </w:p>
        </w:tc>
        <w:tc>
          <w:tcPr>
            <w:tcW w:w="851" w:type="dxa"/>
            <w:tcBorders>
              <w:top w:val="single" w:sz="8" w:space="0" w:color="7F7F7F"/>
              <w:left w:val="nil"/>
              <w:bottom w:val="single" w:sz="8" w:space="0" w:color="7F7F7F"/>
              <w:right w:val="nil"/>
            </w:tcBorders>
            <w:shd w:val="clear" w:color="auto" w:fill="auto"/>
            <w:vAlign w:val="center"/>
            <w:hideMark/>
          </w:tcPr>
          <w:p w14:paraId="6C430D0F"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UCSC-CM</w:t>
            </w:r>
          </w:p>
        </w:tc>
        <w:tc>
          <w:tcPr>
            <w:tcW w:w="1026" w:type="dxa"/>
            <w:tcBorders>
              <w:top w:val="single" w:sz="8" w:space="0" w:color="7F7F7F"/>
              <w:left w:val="nil"/>
              <w:bottom w:val="single" w:sz="8" w:space="0" w:color="7F7F7F"/>
              <w:right w:val="nil"/>
            </w:tcBorders>
            <w:shd w:val="clear" w:color="auto" w:fill="auto"/>
            <w:vAlign w:val="center"/>
            <w:hideMark/>
          </w:tcPr>
          <w:p w14:paraId="6358E252"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tissue regeneration</w:t>
            </w:r>
          </w:p>
        </w:tc>
        <w:tc>
          <w:tcPr>
            <w:tcW w:w="786" w:type="dxa"/>
            <w:tcBorders>
              <w:top w:val="single" w:sz="8" w:space="0" w:color="7F7F7F"/>
              <w:left w:val="nil"/>
              <w:bottom w:val="single" w:sz="8" w:space="0" w:color="7F7F7F"/>
              <w:right w:val="nil"/>
            </w:tcBorders>
            <w:shd w:val="clear" w:color="auto" w:fill="auto"/>
            <w:vAlign w:val="center"/>
            <w:hideMark/>
          </w:tcPr>
          <w:p w14:paraId="63EF56F4"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[13]</w: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lang w:val="en-ID"/>
              </w:rPr>
              <w:t xml:space="preserve"> </w:t>
            </w:r>
          </w:p>
        </w:tc>
      </w:tr>
      <w:tr w:rsidR="00680229" w:rsidRPr="00DA202D" w14:paraId="1B6811FE" w14:textId="77777777" w:rsidTr="001B67AE">
        <w:trPr>
          <w:trHeight w:val="422"/>
        </w:trPr>
        <w:tc>
          <w:tcPr>
            <w:tcW w:w="1037" w:type="dxa"/>
            <w:tcBorders>
              <w:top w:val="nil"/>
              <w:left w:val="nil"/>
              <w:bottom w:val="nil"/>
              <w:right w:val="nil"/>
            </w:tcBorders>
            <w:shd w:val="clear" w:color="auto" w:fill="auto"/>
            <w:vAlign w:val="center"/>
            <w:hideMark/>
          </w:tcPr>
          <w:p w14:paraId="26429C54"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lastRenderedPageBreak/>
              <w:t>Burn wound</w:t>
            </w:r>
          </w:p>
        </w:tc>
        <w:tc>
          <w:tcPr>
            <w:tcW w:w="664" w:type="dxa"/>
            <w:tcBorders>
              <w:top w:val="nil"/>
              <w:left w:val="nil"/>
              <w:bottom w:val="nil"/>
              <w:right w:val="nil"/>
            </w:tcBorders>
            <w:shd w:val="clear" w:color="auto" w:fill="auto"/>
            <w:vAlign w:val="center"/>
            <w:hideMark/>
          </w:tcPr>
          <w:p w14:paraId="64741C5A"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Mouse</w:t>
            </w:r>
          </w:p>
        </w:tc>
        <w:tc>
          <w:tcPr>
            <w:tcW w:w="851" w:type="dxa"/>
            <w:tcBorders>
              <w:top w:val="nil"/>
              <w:left w:val="nil"/>
              <w:bottom w:val="nil"/>
              <w:right w:val="nil"/>
            </w:tcBorders>
            <w:shd w:val="clear" w:color="auto" w:fill="auto"/>
            <w:vAlign w:val="center"/>
            <w:hideMark/>
          </w:tcPr>
          <w:p w14:paraId="5570A0BB"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xml:space="preserve">BM </w:t>
            </w:r>
            <w:proofErr w:type="spellStart"/>
            <w:r w:rsidRPr="00DA202D">
              <w:rPr>
                <w:rFonts w:ascii="Tw Cen MT" w:eastAsia="Times New Roman" w:hAnsi="Tw Cen MT" w:cs="Arial"/>
                <w:color w:val="000000"/>
                <w:sz w:val="20"/>
                <w:szCs w:val="20"/>
              </w:rPr>
              <w:t>Tikus</w:t>
            </w:r>
            <w:proofErr w:type="spellEnd"/>
          </w:p>
        </w:tc>
        <w:tc>
          <w:tcPr>
            <w:tcW w:w="1026" w:type="dxa"/>
            <w:tcBorders>
              <w:top w:val="nil"/>
              <w:left w:val="nil"/>
              <w:bottom w:val="nil"/>
              <w:right w:val="nil"/>
            </w:tcBorders>
            <w:shd w:val="clear" w:color="auto" w:fill="auto"/>
            <w:vAlign w:val="center"/>
            <w:hideMark/>
          </w:tcPr>
          <w:p w14:paraId="5CD2FF52"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lang w:val="en-ID"/>
              </w:rPr>
              <w:t>tissue regeneration</w:t>
            </w:r>
          </w:p>
        </w:tc>
        <w:tc>
          <w:tcPr>
            <w:tcW w:w="786" w:type="dxa"/>
            <w:tcBorders>
              <w:top w:val="nil"/>
              <w:left w:val="nil"/>
              <w:bottom w:val="nil"/>
              <w:right w:val="nil"/>
            </w:tcBorders>
            <w:shd w:val="clear" w:color="auto" w:fill="auto"/>
            <w:vAlign w:val="center"/>
            <w:hideMark/>
          </w:tcPr>
          <w:p w14:paraId="2599E161" w14:textId="77777777" w:rsidR="00680229" w:rsidRPr="00DA202D" w:rsidRDefault="00680229" w:rsidP="001B67AE">
            <w:pPr>
              <w:spacing w:after="0" w:line="240" w:lineRule="auto"/>
              <w:rPr>
                <w:rFonts w:ascii="Tw Cen MT" w:eastAsia="Times New Roman" w:hAnsi="Tw Cen MT" w:cs="Arial"/>
                <w:sz w:val="20"/>
                <w:szCs w:val="20"/>
                <w:lang w:val="en-ID"/>
              </w:rPr>
            </w:pPr>
            <w:r w:rsidRPr="00DA202D">
              <w:rPr>
                <w:rFonts w:ascii="Tw Cen MT" w:eastAsia="Times New Roman" w:hAnsi="Tw Cen MT" w:cs="Arial"/>
                <w:sz w:val="20"/>
                <w:szCs w:val="20"/>
                <w:lang w:val="en-ID"/>
              </w:rPr>
              <w:fldChar w:fldCharType="begin" w:fldLock="1"/>
            </w:r>
            <w:r w:rsidRPr="00DA202D">
              <w:rPr>
                <w:rFonts w:ascii="Tw Cen MT" w:eastAsia="Times New Roman" w:hAnsi="Tw Cen MT" w:cs="Arial"/>
                <w:sz w:val="20"/>
                <w:szCs w:val="20"/>
                <w:lang w:val="en-ID"/>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sidRPr="00DA202D">
              <w:rPr>
                <w:rFonts w:ascii="Tw Cen MT" w:eastAsia="Times New Roman" w:hAnsi="Tw Cen MT" w:cs="Arial"/>
                <w:sz w:val="20"/>
                <w:szCs w:val="20"/>
                <w:lang w:val="en-ID"/>
              </w:rPr>
              <w:fldChar w:fldCharType="separate"/>
            </w:r>
            <w:r w:rsidRPr="00DA202D">
              <w:rPr>
                <w:rFonts w:ascii="Tw Cen MT" w:eastAsia="Times New Roman" w:hAnsi="Tw Cen MT" w:cs="Arial"/>
                <w:noProof/>
                <w:sz w:val="20"/>
                <w:szCs w:val="20"/>
                <w:lang w:val="en-ID"/>
              </w:rPr>
              <w:t>[8]</w:t>
            </w:r>
            <w:r w:rsidRPr="00DA202D">
              <w:rPr>
                <w:rFonts w:ascii="Tw Cen MT" w:eastAsia="Times New Roman" w:hAnsi="Tw Cen MT" w:cs="Arial"/>
                <w:sz w:val="20"/>
                <w:szCs w:val="20"/>
                <w:lang w:val="en-ID"/>
              </w:rPr>
              <w:fldChar w:fldCharType="end"/>
            </w:r>
            <w:r w:rsidRPr="00DA202D">
              <w:rPr>
                <w:rFonts w:ascii="Tw Cen MT" w:eastAsia="Times New Roman" w:hAnsi="Tw Cen MT" w:cs="Arial"/>
                <w:sz w:val="20"/>
                <w:szCs w:val="20"/>
                <w:lang w:val="en-ID"/>
              </w:rPr>
              <w:t xml:space="preserve"> </w:t>
            </w:r>
          </w:p>
        </w:tc>
      </w:tr>
      <w:tr w:rsidR="00680229" w:rsidRPr="00DA202D" w14:paraId="68A649AB" w14:textId="77777777" w:rsidTr="001B67AE">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02870941"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Third degree burns</w:t>
            </w:r>
          </w:p>
        </w:tc>
        <w:tc>
          <w:tcPr>
            <w:tcW w:w="664" w:type="dxa"/>
            <w:tcBorders>
              <w:top w:val="single" w:sz="8" w:space="0" w:color="7F7F7F"/>
              <w:left w:val="nil"/>
              <w:bottom w:val="single" w:sz="8" w:space="0" w:color="7F7F7F"/>
              <w:right w:val="nil"/>
            </w:tcBorders>
            <w:shd w:val="clear" w:color="auto" w:fill="auto"/>
            <w:vAlign w:val="center"/>
            <w:hideMark/>
          </w:tcPr>
          <w:p w14:paraId="117ABD23"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mice</w:t>
            </w:r>
          </w:p>
        </w:tc>
        <w:tc>
          <w:tcPr>
            <w:tcW w:w="851" w:type="dxa"/>
            <w:tcBorders>
              <w:top w:val="single" w:sz="8" w:space="0" w:color="7F7F7F"/>
              <w:left w:val="nil"/>
              <w:bottom w:val="single" w:sz="8" w:space="0" w:color="7F7F7F"/>
              <w:right w:val="nil"/>
            </w:tcBorders>
            <w:shd w:val="clear" w:color="auto" w:fill="auto"/>
            <w:vAlign w:val="center"/>
            <w:hideMark/>
          </w:tcPr>
          <w:p w14:paraId="2CB695E0"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xml:space="preserve">BM </w:t>
            </w:r>
            <w:proofErr w:type="spellStart"/>
            <w:r w:rsidRPr="00DA202D">
              <w:rPr>
                <w:rFonts w:ascii="Tw Cen MT" w:eastAsia="Times New Roman" w:hAnsi="Tw Cen MT" w:cs="Arial"/>
                <w:color w:val="000000"/>
                <w:sz w:val="20"/>
                <w:szCs w:val="20"/>
              </w:rPr>
              <w:t>Mencit</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73A078A8"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novel adjuvant therapy</w:t>
            </w:r>
          </w:p>
        </w:tc>
        <w:tc>
          <w:tcPr>
            <w:tcW w:w="786" w:type="dxa"/>
            <w:tcBorders>
              <w:top w:val="single" w:sz="8" w:space="0" w:color="7F7F7F"/>
              <w:left w:val="nil"/>
              <w:bottom w:val="single" w:sz="8" w:space="0" w:color="7F7F7F"/>
              <w:right w:val="nil"/>
            </w:tcBorders>
            <w:shd w:val="clear" w:color="auto" w:fill="auto"/>
            <w:vAlign w:val="center"/>
            <w:hideMark/>
          </w:tcPr>
          <w:p w14:paraId="6E41AD67"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[14]</w: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lang w:val="en-ID"/>
              </w:rPr>
              <w:t xml:space="preserve"> </w:t>
            </w:r>
          </w:p>
        </w:tc>
      </w:tr>
      <w:tr w:rsidR="00680229" w:rsidRPr="00DA202D" w14:paraId="1C6D6887" w14:textId="77777777" w:rsidTr="001B67AE">
        <w:trPr>
          <w:trHeight w:val="443"/>
        </w:trPr>
        <w:tc>
          <w:tcPr>
            <w:tcW w:w="1037" w:type="dxa"/>
            <w:tcBorders>
              <w:top w:val="nil"/>
              <w:left w:val="nil"/>
              <w:bottom w:val="single" w:sz="8" w:space="0" w:color="7F7F7F"/>
              <w:right w:val="nil"/>
            </w:tcBorders>
            <w:shd w:val="clear" w:color="auto" w:fill="auto"/>
            <w:vAlign w:val="center"/>
            <w:hideMark/>
          </w:tcPr>
          <w:p w14:paraId="4E650BB3"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Wound healing</w:t>
            </w:r>
          </w:p>
        </w:tc>
        <w:tc>
          <w:tcPr>
            <w:tcW w:w="664" w:type="dxa"/>
            <w:tcBorders>
              <w:top w:val="nil"/>
              <w:left w:val="nil"/>
              <w:bottom w:val="nil"/>
              <w:right w:val="nil"/>
            </w:tcBorders>
            <w:shd w:val="clear" w:color="auto" w:fill="auto"/>
            <w:vAlign w:val="center"/>
            <w:hideMark/>
          </w:tcPr>
          <w:p w14:paraId="157E9F0E" w14:textId="77777777" w:rsidR="00680229" w:rsidRPr="00DA202D" w:rsidRDefault="00680229" w:rsidP="001B67AE">
            <w:pPr>
              <w:spacing w:after="0" w:line="240" w:lineRule="auto"/>
              <w:jc w:val="both"/>
              <w:rPr>
                <w:rFonts w:ascii="Tw Cen MT" w:eastAsia="Times New Roman" w:hAnsi="Tw Cen MT" w:cs="Arial"/>
                <w:color w:val="000000"/>
                <w:sz w:val="20"/>
                <w:szCs w:val="20"/>
              </w:rPr>
            </w:pPr>
            <w:r w:rsidRPr="00DA202D">
              <w:rPr>
                <w:rFonts w:ascii="Tw Cen MT" w:eastAsia="Times New Roman" w:hAnsi="Tw Cen MT" w:cs="Arial"/>
                <w:color w:val="000000"/>
                <w:sz w:val="20"/>
                <w:szCs w:val="20"/>
              </w:rPr>
              <w:t xml:space="preserve">in vivo </w:t>
            </w:r>
          </w:p>
          <w:p w14:paraId="35A8AB70"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in vitro</w:t>
            </w:r>
          </w:p>
        </w:tc>
        <w:tc>
          <w:tcPr>
            <w:tcW w:w="851" w:type="dxa"/>
            <w:tcBorders>
              <w:top w:val="nil"/>
              <w:left w:val="nil"/>
              <w:bottom w:val="nil"/>
              <w:right w:val="nil"/>
            </w:tcBorders>
            <w:shd w:val="clear" w:color="auto" w:fill="auto"/>
            <w:vAlign w:val="center"/>
            <w:hideMark/>
          </w:tcPr>
          <w:p w14:paraId="22C5A8E1"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ADSC-CM</w:t>
            </w:r>
          </w:p>
        </w:tc>
        <w:tc>
          <w:tcPr>
            <w:tcW w:w="1026" w:type="dxa"/>
            <w:tcBorders>
              <w:top w:val="nil"/>
              <w:left w:val="nil"/>
              <w:bottom w:val="nil"/>
              <w:right w:val="nil"/>
            </w:tcBorders>
            <w:shd w:val="clear" w:color="auto" w:fill="auto"/>
            <w:vAlign w:val="center"/>
            <w:hideMark/>
          </w:tcPr>
          <w:p w14:paraId="13EC7444"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lang w:val="en-ID"/>
              </w:rPr>
              <w:t>significant wound healing</w:t>
            </w:r>
          </w:p>
        </w:tc>
        <w:tc>
          <w:tcPr>
            <w:tcW w:w="786" w:type="dxa"/>
            <w:tcBorders>
              <w:top w:val="nil"/>
              <w:left w:val="nil"/>
              <w:bottom w:val="nil"/>
              <w:right w:val="nil"/>
            </w:tcBorders>
            <w:shd w:val="clear" w:color="auto" w:fill="auto"/>
            <w:vAlign w:val="center"/>
            <w:hideMark/>
          </w:tcPr>
          <w:p w14:paraId="713514D7" w14:textId="77777777" w:rsidR="00680229" w:rsidRPr="00DA202D" w:rsidRDefault="00680229" w:rsidP="001B67AE">
            <w:pPr>
              <w:spacing w:after="0" w:line="240" w:lineRule="auto"/>
              <w:rPr>
                <w:rFonts w:ascii="Tw Cen MT" w:eastAsia="Times New Roman" w:hAnsi="Tw Cen MT" w:cs="Arial"/>
                <w:sz w:val="20"/>
                <w:szCs w:val="20"/>
                <w:lang w:val="en-ID"/>
              </w:rPr>
            </w:pPr>
            <w:r w:rsidRPr="00DA202D">
              <w:rPr>
                <w:rFonts w:ascii="Tw Cen MT" w:eastAsia="Times New Roman" w:hAnsi="Tw Cen MT" w:cs="Arial"/>
                <w:sz w:val="20"/>
                <w:szCs w:val="20"/>
                <w:lang w:val="en-ID"/>
              </w:rPr>
              <w:fldChar w:fldCharType="begin" w:fldLock="1"/>
            </w:r>
            <w:r w:rsidRPr="00DA202D">
              <w:rPr>
                <w:rFonts w:ascii="Tw Cen MT" w:eastAsia="Times New Roman" w:hAnsi="Tw Cen MT" w:cs="Arial"/>
                <w:sz w:val="20"/>
                <w:szCs w:val="20"/>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sidRPr="00DA202D">
              <w:rPr>
                <w:rFonts w:ascii="Tw Cen MT" w:eastAsia="Times New Roman" w:hAnsi="Tw Cen MT" w:cs="Arial"/>
                <w:sz w:val="20"/>
                <w:szCs w:val="20"/>
                <w:lang w:val="en-ID"/>
              </w:rPr>
              <w:fldChar w:fldCharType="separate"/>
            </w:r>
            <w:r w:rsidRPr="00DA202D">
              <w:rPr>
                <w:rFonts w:ascii="Tw Cen MT" w:eastAsia="Times New Roman" w:hAnsi="Tw Cen MT" w:cs="Arial"/>
                <w:noProof/>
                <w:sz w:val="20"/>
                <w:szCs w:val="20"/>
                <w:lang w:val="en-ID"/>
              </w:rPr>
              <w:t>[15]</w:t>
            </w:r>
            <w:r w:rsidRPr="00DA202D">
              <w:rPr>
                <w:rFonts w:ascii="Tw Cen MT" w:eastAsia="Times New Roman" w:hAnsi="Tw Cen MT" w:cs="Arial"/>
                <w:sz w:val="20"/>
                <w:szCs w:val="20"/>
                <w:lang w:val="en-ID"/>
              </w:rPr>
              <w:fldChar w:fldCharType="end"/>
            </w:r>
            <w:r w:rsidRPr="00DA202D">
              <w:rPr>
                <w:rFonts w:ascii="Tw Cen MT" w:eastAsia="Times New Roman" w:hAnsi="Tw Cen MT" w:cs="Arial"/>
                <w:sz w:val="20"/>
                <w:szCs w:val="20"/>
                <w:lang w:val="en-ID"/>
              </w:rPr>
              <w:t xml:space="preserve"> </w:t>
            </w:r>
          </w:p>
        </w:tc>
      </w:tr>
      <w:tr w:rsidR="00680229" w:rsidRPr="00DA202D" w14:paraId="4B8F7617" w14:textId="77777777" w:rsidTr="001B67AE">
        <w:trPr>
          <w:trHeight w:val="443"/>
        </w:trPr>
        <w:tc>
          <w:tcPr>
            <w:tcW w:w="1037" w:type="dxa"/>
            <w:tcBorders>
              <w:top w:val="nil"/>
              <w:left w:val="nil"/>
              <w:bottom w:val="single" w:sz="8" w:space="0" w:color="7F7F7F"/>
              <w:right w:val="nil"/>
            </w:tcBorders>
            <w:shd w:val="clear" w:color="auto" w:fill="auto"/>
            <w:vAlign w:val="center"/>
            <w:hideMark/>
          </w:tcPr>
          <w:p w14:paraId="2C4FD697"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0DE826A4"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in vitro</w:t>
            </w:r>
          </w:p>
        </w:tc>
        <w:tc>
          <w:tcPr>
            <w:tcW w:w="851" w:type="dxa"/>
            <w:tcBorders>
              <w:top w:val="single" w:sz="8" w:space="0" w:color="7F7F7F"/>
              <w:left w:val="nil"/>
              <w:bottom w:val="single" w:sz="8" w:space="0" w:color="7F7F7F"/>
              <w:right w:val="nil"/>
            </w:tcBorders>
            <w:shd w:val="clear" w:color="auto" w:fill="auto"/>
            <w:vAlign w:val="center"/>
            <w:hideMark/>
          </w:tcPr>
          <w:p w14:paraId="1E1F1581"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MSC</w:t>
            </w:r>
          </w:p>
        </w:tc>
        <w:tc>
          <w:tcPr>
            <w:tcW w:w="1026" w:type="dxa"/>
            <w:tcBorders>
              <w:top w:val="single" w:sz="8" w:space="0" w:color="7F7F7F"/>
              <w:left w:val="nil"/>
              <w:bottom w:val="single" w:sz="8" w:space="0" w:color="7F7F7F"/>
              <w:right w:val="nil"/>
            </w:tcBorders>
            <w:shd w:val="clear" w:color="auto" w:fill="auto"/>
            <w:vAlign w:val="center"/>
            <w:hideMark/>
          </w:tcPr>
          <w:p w14:paraId="2988CAFC"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Dermal fibroblasts and keratinocytes grow</w:t>
            </w:r>
          </w:p>
        </w:tc>
        <w:tc>
          <w:tcPr>
            <w:tcW w:w="786" w:type="dxa"/>
            <w:tcBorders>
              <w:top w:val="single" w:sz="8" w:space="0" w:color="7F7F7F"/>
              <w:left w:val="nil"/>
              <w:bottom w:val="single" w:sz="8" w:space="0" w:color="7F7F7F"/>
              <w:right w:val="nil"/>
            </w:tcBorders>
            <w:shd w:val="clear" w:color="auto" w:fill="auto"/>
            <w:vAlign w:val="center"/>
            <w:hideMark/>
          </w:tcPr>
          <w:p w14:paraId="7FDFE635"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w:t>
            </w: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[16]</w: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lang w:val="en-ID"/>
              </w:rPr>
              <w:t xml:space="preserve"> </w:t>
            </w:r>
          </w:p>
        </w:tc>
      </w:tr>
      <w:tr w:rsidR="00680229" w:rsidRPr="00DA202D" w14:paraId="0FD93D41" w14:textId="77777777" w:rsidTr="001B67AE">
        <w:trPr>
          <w:trHeight w:val="443"/>
        </w:trPr>
        <w:tc>
          <w:tcPr>
            <w:tcW w:w="1037" w:type="dxa"/>
            <w:tcBorders>
              <w:top w:val="nil"/>
              <w:left w:val="nil"/>
              <w:bottom w:val="nil"/>
              <w:right w:val="nil"/>
            </w:tcBorders>
            <w:shd w:val="clear" w:color="auto" w:fill="auto"/>
            <w:vAlign w:val="center"/>
            <w:hideMark/>
          </w:tcPr>
          <w:p w14:paraId="59B22D7D"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Wound healing</w:t>
            </w:r>
          </w:p>
        </w:tc>
        <w:tc>
          <w:tcPr>
            <w:tcW w:w="664" w:type="dxa"/>
            <w:tcBorders>
              <w:top w:val="nil"/>
              <w:left w:val="nil"/>
              <w:bottom w:val="nil"/>
              <w:right w:val="nil"/>
            </w:tcBorders>
            <w:shd w:val="clear" w:color="auto" w:fill="auto"/>
            <w:vAlign w:val="center"/>
            <w:hideMark/>
          </w:tcPr>
          <w:p w14:paraId="23880C26"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mice</w:t>
            </w:r>
          </w:p>
        </w:tc>
        <w:tc>
          <w:tcPr>
            <w:tcW w:w="851" w:type="dxa"/>
            <w:tcBorders>
              <w:top w:val="nil"/>
              <w:left w:val="nil"/>
              <w:bottom w:val="nil"/>
              <w:right w:val="nil"/>
            </w:tcBorders>
            <w:shd w:val="clear" w:color="auto" w:fill="auto"/>
            <w:vAlign w:val="center"/>
            <w:hideMark/>
          </w:tcPr>
          <w:p w14:paraId="3546CB52"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ADSC-CM</w:t>
            </w:r>
          </w:p>
        </w:tc>
        <w:tc>
          <w:tcPr>
            <w:tcW w:w="1026" w:type="dxa"/>
            <w:tcBorders>
              <w:top w:val="nil"/>
              <w:left w:val="nil"/>
              <w:bottom w:val="nil"/>
              <w:right w:val="nil"/>
            </w:tcBorders>
            <w:shd w:val="clear" w:color="auto" w:fill="auto"/>
            <w:vAlign w:val="center"/>
            <w:hideMark/>
          </w:tcPr>
          <w:p w14:paraId="77F2E77F"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lang w:val="en-ID"/>
              </w:rPr>
              <w:t>wound healing</w:t>
            </w:r>
          </w:p>
        </w:tc>
        <w:tc>
          <w:tcPr>
            <w:tcW w:w="786" w:type="dxa"/>
            <w:tcBorders>
              <w:top w:val="nil"/>
              <w:left w:val="nil"/>
              <w:bottom w:val="nil"/>
              <w:right w:val="nil"/>
            </w:tcBorders>
            <w:shd w:val="clear" w:color="auto" w:fill="auto"/>
            <w:vAlign w:val="center"/>
            <w:hideMark/>
          </w:tcPr>
          <w:p w14:paraId="3CA7E3C1" w14:textId="77777777" w:rsidR="00680229" w:rsidRPr="00DA202D" w:rsidRDefault="00680229" w:rsidP="001B67AE">
            <w:pPr>
              <w:spacing w:after="0" w:line="240" w:lineRule="auto"/>
              <w:rPr>
                <w:rFonts w:ascii="Tw Cen MT" w:eastAsia="Times New Roman" w:hAnsi="Tw Cen MT" w:cs="Arial"/>
                <w:sz w:val="20"/>
                <w:szCs w:val="20"/>
                <w:lang w:val="en-ID"/>
              </w:rPr>
            </w:pPr>
            <w:r w:rsidRPr="00DA202D">
              <w:rPr>
                <w:rFonts w:ascii="Tw Cen MT" w:eastAsia="Times New Roman" w:hAnsi="Tw Cen MT" w:cs="Arial"/>
                <w:sz w:val="20"/>
                <w:szCs w:val="20"/>
                <w:lang w:val="en-ID"/>
              </w:rPr>
              <w:fldChar w:fldCharType="begin" w:fldLock="1"/>
            </w:r>
            <w:r w:rsidRPr="00DA202D">
              <w:rPr>
                <w:rFonts w:ascii="Tw Cen MT" w:eastAsia="Times New Roman" w:hAnsi="Tw Cen MT" w:cs="Arial"/>
                <w:sz w:val="20"/>
                <w:szCs w:val="20"/>
                <w:lang w:val="en-ID"/>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sidRPr="00DA202D">
              <w:rPr>
                <w:rFonts w:ascii="Tw Cen MT" w:eastAsia="Times New Roman" w:hAnsi="Tw Cen MT" w:cs="Arial"/>
                <w:sz w:val="20"/>
                <w:szCs w:val="20"/>
                <w:lang w:val="en-ID"/>
              </w:rPr>
              <w:fldChar w:fldCharType="separate"/>
            </w:r>
            <w:r w:rsidRPr="00DA202D">
              <w:rPr>
                <w:rFonts w:ascii="Tw Cen MT" w:eastAsia="Times New Roman" w:hAnsi="Tw Cen MT" w:cs="Arial"/>
                <w:noProof/>
                <w:sz w:val="20"/>
                <w:szCs w:val="20"/>
                <w:lang w:val="en-ID"/>
              </w:rPr>
              <w:t>[17]</w:t>
            </w:r>
            <w:r w:rsidRPr="00DA202D">
              <w:rPr>
                <w:rFonts w:ascii="Tw Cen MT" w:eastAsia="Times New Roman" w:hAnsi="Tw Cen MT" w:cs="Arial"/>
                <w:sz w:val="20"/>
                <w:szCs w:val="20"/>
                <w:lang w:val="en-ID"/>
              </w:rPr>
              <w:fldChar w:fldCharType="end"/>
            </w:r>
            <w:r w:rsidRPr="00DA202D">
              <w:rPr>
                <w:rFonts w:ascii="Tw Cen MT" w:eastAsia="Times New Roman" w:hAnsi="Tw Cen MT" w:cs="Arial"/>
                <w:sz w:val="20"/>
                <w:szCs w:val="20"/>
                <w:lang w:val="en-ID"/>
              </w:rPr>
              <w:t xml:space="preserve"> </w:t>
            </w:r>
          </w:p>
        </w:tc>
      </w:tr>
      <w:tr w:rsidR="00680229" w:rsidRPr="00DA202D" w14:paraId="4F5F9111" w14:textId="77777777" w:rsidTr="001B67AE">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C0FADCC"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208B3404"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mice</w:t>
            </w:r>
          </w:p>
        </w:tc>
        <w:tc>
          <w:tcPr>
            <w:tcW w:w="851" w:type="dxa"/>
            <w:tcBorders>
              <w:top w:val="single" w:sz="8" w:space="0" w:color="7F7F7F"/>
              <w:left w:val="nil"/>
              <w:bottom w:val="single" w:sz="8" w:space="0" w:color="7F7F7F"/>
              <w:right w:val="nil"/>
            </w:tcBorders>
            <w:shd w:val="clear" w:color="auto" w:fill="auto"/>
            <w:vAlign w:val="center"/>
            <w:hideMark/>
          </w:tcPr>
          <w:p w14:paraId="17574D2E"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ADSC-CM</w:t>
            </w:r>
          </w:p>
        </w:tc>
        <w:tc>
          <w:tcPr>
            <w:tcW w:w="1026" w:type="dxa"/>
            <w:tcBorders>
              <w:top w:val="single" w:sz="8" w:space="0" w:color="7F7F7F"/>
              <w:left w:val="nil"/>
              <w:bottom w:val="single" w:sz="8" w:space="0" w:color="7F7F7F"/>
              <w:right w:val="nil"/>
            </w:tcBorders>
            <w:shd w:val="clear" w:color="auto" w:fill="auto"/>
            <w:vAlign w:val="center"/>
            <w:hideMark/>
          </w:tcPr>
          <w:p w14:paraId="0B389B61" w14:textId="77777777" w:rsidR="00680229" w:rsidRPr="00DA202D" w:rsidRDefault="00680229" w:rsidP="001B67AE">
            <w:pPr>
              <w:spacing w:after="0" w:line="240" w:lineRule="auto"/>
              <w:rPr>
                <w:rFonts w:ascii="Tw Cen MT" w:eastAsia="Times New Roman" w:hAnsi="Tw Cen MT" w:cs="Arial"/>
                <w:color w:val="000000"/>
                <w:sz w:val="20"/>
                <w:szCs w:val="20"/>
              </w:rPr>
            </w:pPr>
            <w:r w:rsidRPr="00DA202D">
              <w:rPr>
                <w:rFonts w:ascii="Tw Cen MT" w:eastAsia="Times New Roman" w:hAnsi="Tw Cen MT" w:cs="Arial"/>
                <w:color w:val="000000"/>
                <w:sz w:val="20"/>
                <w:szCs w:val="20"/>
              </w:rPr>
              <w:t xml:space="preserve">CM Spheroid is better than </w:t>
            </w:r>
            <w:proofErr w:type="gramStart"/>
            <w:r w:rsidRPr="00DA202D">
              <w:rPr>
                <w:rFonts w:ascii="Tw Cen MT" w:eastAsia="Times New Roman" w:hAnsi="Tw Cen MT" w:cs="Arial"/>
                <w:color w:val="000000"/>
                <w:sz w:val="20"/>
                <w:szCs w:val="20"/>
              </w:rPr>
              <w:t>Monolayer</w:t>
            </w:r>
            <w:proofErr w:type="gramEnd"/>
          </w:p>
          <w:p w14:paraId="15AD9E86" w14:textId="77777777" w:rsidR="00680229" w:rsidRPr="00DA202D" w:rsidRDefault="00680229" w:rsidP="001B67AE">
            <w:pPr>
              <w:spacing w:after="0" w:line="240" w:lineRule="auto"/>
              <w:rPr>
                <w:rFonts w:ascii="Tw Cen MT" w:eastAsia="Times New Roman" w:hAnsi="Tw Cen MT" w:cs="Arial"/>
                <w:color w:val="000000"/>
                <w:sz w:val="20"/>
                <w:szCs w:val="20"/>
              </w:rPr>
            </w:pPr>
            <w:r w:rsidRPr="00DA202D">
              <w:rPr>
                <w:rFonts w:ascii="Tw Cen MT" w:eastAsia="Times New Roman" w:hAnsi="Tw Cen MT" w:cs="Arial"/>
                <w:color w:val="000000"/>
                <w:sz w:val="20"/>
                <w:szCs w:val="20"/>
              </w:rPr>
              <w:t>Wound closing</w:t>
            </w:r>
          </w:p>
          <w:p w14:paraId="40A73CB1"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Proliferation is formed</w:t>
            </w:r>
          </w:p>
        </w:tc>
        <w:tc>
          <w:tcPr>
            <w:tcW w:w="786" w:type="dxa"/>
            <w:tcBorders>
              <w:top w:val="single" w:sz="8" w:space="0" w:color="7F7F7F"/>
              <w:left w:val="nil"/>
              <w:bottom w:val="single" w:sz="8" w:space="0" w:color="7F7F7F"/>
              <w:right w:val="nil"/>
            </w:tcBorders>
            <w:shd w:val="clear" w:color="auto" w:fill="auto"/>
            <w:vAlign w:val="center"/>
            <w:hideMark/>
          </w:tcPr>
          <w:p w14:paraId="6AD02D1D"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 </w:t>
            </w: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[18]</w: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manualFormatting":"[","plainTextFormattedCitation":"[18]","previouslyFormattedCitation":"[18]"},"properties":{"noteIndex":0},"schema":"https://github.com/citation-style-language/schema/raw/master/csl-citation.json"}</w:instrText>
            </w:r>
            <w:r w:rsidRPr="00DA202D">
              <w:rPr>
                <w:rFonts w:ascii="Tw Cen MT" w:eastAsia="Times New Roman" w:hAnsi="Tw Cen MT" w:cs="Arial"/>
                <w:color w:val="000000"/>
                <w:sz w:val="20"/>
                <w:szCs w:val="20"/>
              </w:rPr>
              <w:fldChar w:fldCharType="end"/>
            </w:r>
            <w:r w:rsidRPr="00DA202D">
              <w:rPr>
                <w:rFonts w:ascii="Tw Cen MT" w:eastAsia="Times New Roman" w:hAnsi="Tw Cen MT" w:cs="Arial"/>
                <w:color w:val="000000"/>
                <w:sz w:val="20"/>
                <w:szCs w:val="20"/>
                <w:lang w:val="en-ID"/>
              </w:rPr>
              <w:t xml:space="preserve"> </w:t>
            </w:r>
          </w:p>
        </w:tc>
      </w:tr>
      <w:tr w:rsidR="00680229" w:rsidRPr="00DA202D" w14:paraId="48D4F357" w14:textId="77777777" w:rsidTr="001B67AE">
        <w:trPr>
          <w:trHeight w:val="422"/>
        </w:trPr>
        <w:tc>
          <w:tcPr>
            <w:tcW w:w="1037" w:type="dxa"/>
            <w:tcBorders>
              <w:top w:val="nil"/>
              <w:left w:val="nil"/>
              <w:bottom w:val="single" w:sz="4" w:space="0" w:color="auto"/>
              <w:right w:val="nil"/>
            </w:tcBorders>
            <w:shd w:val="clear" w:color="auto" w:fill="auto"/>
            <w:vAlign w:val="center"/>
            <w:hideMark/>
          </w:tcPr>
          <w:p w14:paraId="204D29CC" w14:textId="77777777" w:rsidR="00680229" w:rsidRPr="00DA202D" w:rsidRDefault="00680229" w:rsidP="001B67AE">
            <w:pPr>
              <w:spacing w:after="0" w:line="240" w:lineRule="auto"/>
              <w:jc w:val="both"/>
              <w:rPr>
                <w:rFonts w:ascii="Tw Cen MT" w:eastAsia="Times New Roman" w:hAnsi="Tw Cen MT" w:cs="Arial"/>
                <w:b/>
                <w:bCs/>
                <w:color w:val="000000"/>
                <w:sz w:val="20"/>
                <w:szCs w:val="20"/>
                <w:lang w:val="en-ID"/>
              </w:rPr>
            </w:pPr>
            <w:r w:rsidRPr="00DA202D">
              <w:rPr>
                <w:rFonts w:ascii="Tw Cen MT" w:eastAsia="Times New Roman" w:hAnsi="Tw Cen MT" w:cs="Arial"/>
                <w:b/>
                <w:bCs/>
                <w:color w:val="000000"/>
                <w:sz w:val="20"/>
                <w:szCs w:val="20"/>
              </w:rPr>
              <w:t>Burns</w:t>
            </w:r>
          </w:p>
        </w:tc>
        <w:tc>
          <w:tcPr>
            <w:tcW w:w="664" w:type="dxa"/>
            <w:tcBorders>
              <w:top w:val="nil"/>
              <w:left w:val="nil"/>
              <w:bottom w:val="single" w:sz="8" w:space="0" w:color="7F7F7F"/>
              <w:right w:val="nil"/>
            </w:tcBorders>
            <w:shd w:val="clear" w:color="auto" w:fill="auto"/>
            <w:vAlign w:val="center"/>
            <w:hideMark/>
          </w:tcPr>
          <w:p w14:paraId="4B492ACF"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clinical trials (human)</w:t>
            </w:r>
          </w:p>
        </w:tc>
        <w:tc>
          <w:tcPr>
            <w:tcW w:w="851" w:type="dxa"/>
            <w:tcBorders>
              <w:top w:val="nil"/>
              <w:left w:val="nil"/>
              <w:bottom w:val="single" w:sz="8" w:space="0" w:color="7F7F7F"/>
              <w:right w:val="nil"/>
            </w:tcBorders>
            <w:shd w:val="clear" w:color="auto" w:fill="auto"/>
            <w:vAlign w:val="center"/>
            <w:hideMark/>
          </w:tcPr>
          <w:p w14:paraId="50FC2DC6" w14:textId="77777777" w:rsidR="00680229" w:rsidRPr="00DA202D" w:rsidRDefault="00680229" w:rsidP="001B67AE">
            <w:pPr>
              <w:spacing w:after="0" w:line="240" w:lineRule="auto"/>
              <w:jc w:val="both"/>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ADSC-CM</w:t>
            </w:r>
          </w:p>
        </w:tc>
        <w:tc>
          <w:tcPr>
            <w:tcW w:w="1026" w:type="dxa"/>
            <w:tcBorders>
              <w:top w:val="nil"/>
              <w:left w:val="nil"/>
              <w:bottom w:val="single" w:sz="8" w:space="0" w:color="7F7F7F"/>
              <w:right w:val="nil"/>
            </w:tcBorders>
            <w:shd w:val="clear" w:color="auto" w:fill="auto"/>
            <w:vAlign w:val="center"/>
            <w:hideMark/>
          </w:tcPr>
          <w:p w14:paraId="7574F851"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t>wound healing</w:t>
            </w:r>
          </w:p>
        </w:tc>
        <w:bookmarkStart w:id="1" w:name="_Hlk126529644"/>
        <w:tc>
          <w:tcPr>
            <w:tcW w:w="786" w:type="dxa"/>
            <w:tcBorders>
              <w:top w:val="nil"/>
              <w:left w:val="nil"/>
              <w:bottom w:val="single" w:sz="8" w:space="0" w:color="7F7F7F"/>
              <w:right w:val="nil"/>
            </w:tcBorders>
            <w:shd w:val="clear" w:color="auto" w:fill="auto"/>
            <w:vAlign w:val="center"/>
            <w:hideMark/>
          </w:tcPr>
          <w:p w14:paraId="23673124" w14:textId="77777777" w:rsidR="00680229" w:rsidRPr="00DA202D" w:rsidRDefault="00680229" w:rsidP="001B67AE">
            <w:pPr>
              <w:spacing w:after="0" w:line="240" w:lineRule="auto"/>
              <w:rPr>
                <w:rFonts w:ascii="Tw Cen MT" w:eastAsia="Times New Roman" w:hAnsi="Tw Cen MT" w:cs="Arial"/>
                <w:color w:val="000000"/>
                <w:sz w:val="20"/>
                <w:szCs w:val="20"/>
                <w:lang w:val="en-ID"/>
              </w:rPr>
            </w:pPr>
            <w:r w:rsidRPr="00DA202D">
              <w:rPr>
                <w:rFonts w:ascii="Tw Cen MT" w:eastAsia="Times New Roman" w:hAnsi="Tw Cen MT" w:cs="Arial"/>
                <w:color w:val="000000"/>
                <w:sz w:val="20"/>
                <w:szCs w:val="20"/>
              </w:rPr>
              <w:fldChar w:fldCharType="begin" w:fldLock="1"/>
            </w:r>
            <w:r w:rsidRPr="00DA202D">
              <w:rPr>
                <w:rFonts w:ascii="Tw Cen MT" w:eastAsia="Times New Roman" w:hAnsi="Tw Cen MT" w:cs="Arial"/>
                <w:color w:val="000000"/>
                <w:sz w:val="20"/>
                <w:szCs w:val="20"/>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sidRPr="00DA202D">
              <w:rPr>
                <w:rFonts w:ascii="Tw Cen MT" w:eastAsia="Times New Roman" w:hAnsi="Tw Cen MT" w:cs="Arial"/>
                <w:color w:val="000000"/>
                <w:sz w:val="20"/>
                <w:szCs w:val="20"/>
              </w:rPr>
              <w:fldChar w:fldCharType="separate"/>
            </w:r>
            <w:r w:rsidRPr="00DA202D">
              <w:rPr>
                <w:rFonts w:ascii="Tw Cen MT" w:eastAsia="Times New Roman" w:hAnsi="Tw Cen MT" w:cs="Arial"/>
                <w:noProof/>
                <w:color w:val="000000"/>
                <w:sz w:val="20"/>
                <w:szCs w:val="20"/>
              </w:rPr>
              <w:t>[19]</w:t>
            </w:r>
            <w:r w:rsidRPr="00DA202D">
              <w:rPr>
                <w:rFonts w:ascii="Tw Cen MT" w:eastAsia="Times New Roman" w:hAnsi="Tw Cen MT" w:cs="Arial"/>
                <w:color w:val="000000"/>
                <w:sz w:val="20"/>
                <w:szCs w:val="20"/>
              </w:rPr>
              <w:fldChar w:fldCharType="end"/>
            </w:r>
            <w:bookmarkEnd w:id="1"/>
          </w:p>
        </w:tc>
      </w:tr>
    </w:tbl>
    <w:p w14:paraId="2C883277" w14:textId="77777777" w:rsidR="00680229" w:rsidRDefault="00680229" w:rsidP="00680229">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b/>
          <w:color w:val="000000"/>
          <w:sz w:val="24"/>
          <w:szCs w:val="24"/>
          <w:u w:color="000000"/>
          <w:bdr w:val="nil"/>
          <w:lang w:eastAsia="fi-FI"/>
        </w:rPr>
      </w:pPr>
    </w:p>
    <w:p w14:paraId="2F64A3AE" w14:textId="362DACFB" w:rsidR="00680229" w:rsidRPr="00DA202D" w:rsidRDefault="00680229" w:rsidP="00DA202D">
      <w:pPr>
        <w:keepNext/>
        <w:keepLines/>
        <w:pBdr>
          <w:top w:val="nil"/>
          <w:left w:val="nil"/>
          <w:bottom w:val="nil"/>
          <w:right w:val="nil"/>
          <w:between w:val="nil"/>
          <w:bar w:val="nil"/>
        </w:pBdr>
        <w:spacing w:after="0" w:line="240" w:lineRule="auto"/>
        <w:jc w:val="both"/>
        <w:outlineLvl w:val="1"/>
        <w:rPr>
          <w:rFonts w:ascii="Tw Cen MT" w:eastAsia="Times New Roman Bold" w:hAnsi="Tw Cen MT" w:cs="Arial"/>
          <w:color w:val="000000"/>
          <w:sz w:val="24"/>
          <w:szCs w:val="24"/>
          <w:u w:color="000000"/>
          <w:bdr w:val="nil"/>
          <w:lang w:eastAsia="fi-FI"/>
        </w:rPr>
      </w:pPr>
      <w:r w:rsidRPr="003B65DC">
        <w:rPr>
          <w:rFonts w:ascii="Tw Cen MT" w:eastAsia="Calibri" w:hAnsi="Tw Cen MT" w:cs="Arial"/>
          <w:sz w:val="24"/>
          <w:szCs w:val="24"/>
          <w:lang w:bidi="bn-IN"/>
        </w:rPr>
        <w:t xml:space="preserve">Wound healing is a complex process that includes the </w:t>
      </w:r>
      <w:r w:rsidRPr="00420D56">
        <w:rPr>
          <w:rFonts w:ascii="Tw Cen MT" w:eastAsia="Calibri" w:hAnsi="Tw Cen MT" w:cs="Arial"/>
          <w:sz w:val="24"/>
          <w:szCs w:val="24"/>
          <w:lang w:bidi="bn-IN"/>
        </w:rPr>
        <w:t>hemostatic</w:t>
      </w:r>
      <w:r w:rsidRPr="003B65DC">
        <w:rPr>
          <w:rFonts w:ascii="Tw Cen MT" w:eastAsia="Calibri" w:hAnsi="Tw Cen MT" w:cs="Arial"/>
          <w:sz w:val="24"/>
          <w:szCs w:val="24"/>
          <w:lang w:bidi="bn-IN"/>
        </w:rPr>
        <w:t xml:space="preserve">, inflammatory, proliferative, and remodeling phases. The development of a method of treatment with mesenchymal </w:t>
      </w:r>
      <w:proofErr w:type="spellStart"/>
      <w:r w:rsidRPr="003B65DC">
        <w:rPr>
          <w:rFonts w:ascii="Tw Cen MT" w:eastAsia="Calibri" w:hAnsi="Tw Cen MT" w:cs="Arial"/>
          <w:sz w:val="24"/>
          <w:szCs w:val="24"/>
          <w:lang w:bidi="bn-IN"/>
        </w:rPr>
        <w:t>secretome</w:t>
      </w:r>
      <w:proofErr w:type="spellEnd"/>
      <w:r w:rsidRPr="003B65DC">
        <w:rPr>
          <w:rFonts w:ascii="Tw Cen MT" w:eastAsia="Calibri" w:hAnsi="Tw Cen MT" w:cs="Arial"/>
          <w:sz w:val="24"/>
          <w:szCs w:val="24"/>
          <w:lang w:bidi="bn-IN"/>
        </w:rPr>
        <w:t xml:space="preserve"> from stem cells can facilitate and accelerate the four wound healing processes.</w:t>
      </w:r>
    </w:p>
    <w:p w14:paraId="42E8130B" w14:textId="77777777" w:rsidR="00680229" w:rsidRDefault="00680229" w:rsidP="00DA202D">
      <w:pPr>
        <w:spacing w:after="0" w:line="240" w:lineRule="auto"/>
        <w:jc w:val="both"/>
        <w:rPr>
          <w:rFonts w:ascii="Tw Cen MT" w:eastAsia="Calibri" w:hAnsi="Tw Cen MT" w:cs="Arial"/>
          <w:sz w:val="24"/>
          <w:szCs w:val="24"/>
          <w:lang w:bidi="bn-IN"/>
        </w:rPr>
      </w:pPr>
      <w:r w:rsidRPr="003B65DC">
        <w:rPr>
          <w:rFonts w:ascii="Tw Cen MT" w:eastAsia="Calibri" w:hAnsi="Tw Cen MT" w:cs="Arial"/>
          <w:sz w:val="24"/>
          <w:szCs w:val="24"/>
          <w:lang w:bidi="bn-IN"/>
        </w:rPr>
        <w:t xml:space="preserve">The mesenchymal stem cell </w:t>
      </w:r>
      <w:proofErr w:type="spellStart"/>
      <w:r w:rsidRPr="003B65DC">
        <w:rPr>
          <w:rFonts w:ascii="Tw Cen MT" w:eastAsia="Calibri" w:hAnsi="Tw Cen MT" w:cs="Arial"/>
          <w:sz w:val="24"/>
          <w:szCs w:val="24"/>
          <w:lang w:bidi="bn-IN"/>
        </w:rPr>
        <w:t>secretome</w:t>
      </w:r>
      <w:proofErr w:type="spellEnd"/>
      <w:r w:rsidRPr="003B65DC">
        <w:rPr>
          <w:rFonts w:ascii="Tw Cen MT" w:eastAsia="Calibri" w:hAnsi="Tw Cen MT" w:cs="Arial"/>
          <w:sz w:val="24"/>
          <w:szCs w:val="24"/>
          <w:lang w:bidi="bn-IN"/>
        </w:rPr>
        <w:t xml:space="preserve"> can be derived from a variety of tissues, both embryonic and adult, and can differentiate into a variety of cell types. Mesenchymal secretions can be derived from the umbilical cord, bone marrow, or adipose tissue in burn healing therapy. Several previous research findings support this.</w:t>
      </w:r>
    </w:p>
    <w:p w14:paraId="5C2F55C0" w14:textId="77777777" w:rsidR="00680229" w:rsidRPr="00852EC9" w:rsidRDefault="00680229" w:rsidP="00DA202D">
      <w:pPr>
        <w:spacing w:after="0" w:line="240" w:lineRule="auto"/>
        <w:jc w:val="both"/>
        <w:rPr>
          <w:rFonts w:ascii="Tw Cen MT" w:eastAsia="Calibri" w:hAnsi="Tw Cen MT" w:cs="Arial"/>
          <w:sz w:val="24"/>
          <w:szCs w:val="24"/>
          <w:lang w:bidi="bn-IN"/>
        </w:rPr>
      </w:pPr>
      <w:r>
        <w:rPr>
          <w:rFonts w:ascii="Tw Cen MT" w:eastAsia="Times New Roman" w:hAnsi="Tw Cen MT" w:cs="Arial"/>
          <w:sz w:val="24"/>
          <w:szCs w:val="24"/>
          <w:lang w:val="en-ID"/>
        </w:rPr>
        <w:t xml:space="preserve">Kim et al., </w:t>
      </w:r>
      <w:r>
        <w:rPr>
          <w:rFonts w:ascii="Tw Cen MT" w:eastAsia="Times New Roman" w:hAnsi="Tw Cen MT" w:cs="Arial"/>
          <w:sz w:val="24"/>
          <w:szCs w:val="24"/>
          <w:lang w:val="en-ID"/>
        </w:rPr>
        <w:fldChar w:fldCharType="begin" w:fldLock="1"/>
      </w:r>
      <w:r>
        <w:rPr>
          <w:rFonts w:ascii="Tw Cen MT" w:eastAsia="Times New Roman" w:hAnsi="Tw Cen MT" w:cs="Arial"/>
          <w:sz w:val="24"/>
          <w:szCs w:val="24"/>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Pr>
          <w:rFonts w:ascii="Tw Cen MT" w:eastAsia="Times New Roman" w:hAnsi="Tw Cen MT" w:cs="Arial"/>
          <w:sz w:val="24"/>
          <w:szCs w:val="24"/>
          <w:lang w:val="en-ID"/>
        </w:rPr>
        <w:fldChar w:fldCharType="separate"/>
      </w:r>
      <w:r w:rsidRPr="00783E2F">
        <w:rPr>
          <w:rFonts w:ascii="Tw Cen MT" w:eastAsia="Times New Roman" w:hAnsi="Tw Cen MT" w:cs="Arial"/>
          <w:noProof/>
          <w:sz w:val="24"/>
          <w:szCs w:val="24"/>
          <w:lang w:val="en-ID"/>
        </w:rPr>
        <w:t>[15]</w:t>
      </w:r>
      <w:r>
        <w:rPr>
          <w:rFonts w:ascii="Tw Cen MT" w:eastAsia="Times New Roman" w:hAnsi="Tw Cen MT" w:cs="Arial"/>
          <w:sz w:val="24"/>
          <w:szCs w:val="24"/>
          <w:lang w:val="en-ID"/>
        </w:rPr>
        <w:fldChar w:fldCharType="end"/>
      </w:r>
      <w:r w:rsidRPr="00717D27">
        <w:rPr>
          <w:rFonts w:ascii="Tw Cen MT" w:eastAsia="Calibri" w:hAnsi="Tw Cen MT" w:cs="Arial"/>
          <w:sz w:val="24"/>
          <w:szCs w:val="24"/>
          <w:lang w:bidi="bn-IN"/>
        </w:rPr>
        <w:t xml:space="preserve"> </w:t>
      </w:r>
      <w:r w:rsidRPr="003B65DC">
        <w:rPr>
          <w:rFonts w:ascii="Tw Cen MT" w:eastAsia="Calibri" w:hAnsi="Tw Cen MT" w:cs="Arial"/>
          <w:sz w:val="24"/>
          <w:szCs w:val="24"/>
          <w:lang w:bidi="bn-IN"/>
        </w:rPr>
        <w:t>investigated MSCs derived from adipose tissue in vivo and in vitro. The purpose of this study is to look at the effects of HDFs (Human Dermal Fibroblasts) that were analyzed using ELISA and RT PCR, while the in vivo test used 6 mice that were given wounds with a diameter of 7 mm and then divided into two groups. The first group received a collagen gel solution, while the second group received a collagen gel solution plus 1x10</w:t>
      </w:r>
      <w:r w:rsidRPr="003B65DC">
        <w:rPr>
          <w:rFonts w:ascii="Tw Cen MT" w:eastAsia="Calibri" w:hAnsi="Tw Cen MT" w:cs="Arial"/>
          <w:sz w:val="24"/>
          <w:szCs w:val="24"/>
          <w:vertAlign w:val="superscript"/>
          <w:lang w:bidi="bn-IN"/>
        </w:rPr>
        <w:t>6</w:t>
      </w:r>
      <w:r w:rsidRPr="003B65DC">
        <w:rPr>
          <w:rFonts w:ascii="Tw Cen MT" w:eastAsia="Calibri" w:hAnsi="Tw Cen MT" w:cs="Arial"/>
          <w:sz w:val="24"/>
          <w:szCs w:val="24"/>
          <w:lang w:bidi="bn-IN"/>
        </w:rPr>
        <w:t xml:space="preserve"> ADSC. The wound diameter was measured after 7 days, and histological tests were performed on day 21. The combined collagen + ADSC gel solution had a significant effect on wound healing, according to the findings.</w:t>
      </w:r>
    </w:p>
    <w:p w14:paraId="18AE4044" w14:textId="77777777" w:rsidR="00DA202D" w:rsidRDefault="00680229" w:rsidP="00DA202D">
      <w:pPr>
        <w:spacing w:after="0" w:line="240" w:lineRule="auto"/>
        <w:jc w:val="both"/>
        <w:rPr>
          <w:rFonts w:ascii="Tw Cen MT" w:eastAsia="Calibri" w:hAnsi="Tw Cen MT" w:cs="Arial"/>
          <w:sz w:val="24"/>
          <w:szCs w:val="24"/>
          <w:lang w:bidi="bn-IN"/>
        </w:rPr>
      </w:pPr>
      <w:r>
        <w:rPr>
          <w:rFonts w:ascii="Tw Cen MT" w:eastAsia="Calibri" w:hAnsi="Tw Cen MT" w:cs="Arial"/>
          <w:sz w:val="24"/>
          <w:szCs w:val="24"/>
          <w:lang w:bidi="bn-IN"/>
        </w:rPr>
        <w:t xml:space="preserve">Walter et al.,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Pr>
          <w:rFonts w:ascii="Tw Cen MT" w:eastAsia="Calibri" w:hAnsi="Tw Cen MT" w:cs="Arial"/>
          <w:sz w:val="24"/>
          <w:szCs w:val="24"/>
          <w:lang w:bidi="bn-IN"/>
        </w:rPr>
        <w:fldChar w:fldCharType="separate"/>
      </w:r>
      <w:r w:rsidRPr="00783E2F">
        <w:rPr>
          <w:rFonts w:ascii="Tw Cen MT" w:eastAsia="Calibri" w:hAnsi="Tw Cen MT" w:cs="Arial"/>
          <w:noProof/>
          <w:sz w:val="24"/>
          <w:szCs w:val="24"/>
          <w:lang w:bidi="bn-IN"/>
        </w:rPr>
        <w:t>[16]</w:t>
      </w:r>
      <w:r>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3B65DC">
        <w:rPr>
          <w:rFonts w:ascii="Tw Cen MT" w:eastAsia="Calibri" w:hAnsi="Tw Cen MT" w:cs="Arial"/>
          <w:sz w:val="24"/>
          <w:szCs w:val="24"/>
          <w:lang w:bidi="bn-IN"/>
        </w:rPr>
        <w:t xml:space="preserve">conducted a study in 2010 to observe the degree of wound closure using image </w:t>
      </w:r>
      <w:r w:rsidRPr="00420D56">
        <w:rPr>
          <w:rFonts w:ascii="Tw Cen MT" w:eastAsia="Calibri" w:hAnsi="Tw Cen MT" w:cs="Arial"/>
          <w:sz w:val="24"/>
          <w:szCs w:val="24"/>
          <w:lang w:bidi="bn-IN"/>
        </w:rPr>
        <w:t>capsular</w:t>
      </w:r>
      <w:r w:rsidRPr="003B65DC">
        <w:rPr>
          <w:rFonts w:ascii="Tw Cen MT" w:eastAsia="Calibri" w:hAnsi="Tw Cen MT" w:cs="Arial"/>
          <w:sz w:val="24"/>
          <w:szCs w:val="24"/>
          <w:lang w:bidi="bn-IN"/>
        </w:rPr>
        <w:t xml:space="preserve"> microscopy and a digital camera. The parameters of the number of L929 and AHCAT cells were monitored in this study using the Cell LQ automated cell counting and tracking protocol (chip-man </w:t>
      </w:r>
      <w:r w:rsidRPr="00420D56">
        <w:rPr>
          <w:rFonts w:ascii="Tw Cen MT" w:eastAsia="Calibri" w:hAnsi="Tw Cen MT" w:cs="Arial"/>
          <w:sz w:val="24"/>
          <w:szCs w:val="24"/>
          <w:lang w:bidi="bn-IN"/>
        </w:rPr>
        <w:t>technologies</w:t>
      </w:r>
      <w:r w:rsidRPr="003B65DC">
        <w:rPr>
          <w:rFonts w:ascii="Tw Cen MT" w:eastAsia="Calibri" w:hAnsi="Tw Cen MT" w:cs="Arial"/>
          <w:sz w:val="24"/>
          <w:szCs w:val="24"/>
          <w:lang w:bidi="bn-IN"/>
        </w:rPr>
        <w:t>). According to the findings of this study, the effect of closing wounds on the skin with MSC produced satisfactory results because MSC stimulated dermal fibroblasts and keratinocytes to grow rapidly.</w:t>
      </w:r>
    </w:p>
    <w:p w14:paraId="66EBF9D3" w14:textId="58E65DED" w:rsidR="00680229" w:rsidRPr="00717D27" w:rsidRDefault="00680229" w:rsidP="00DA202D">
      <w:pPr>
        <w:spacing w:after="0" w:line="240" w:lineRule="auto"/>
        <w:jc w:val="both"/>
        <w:rPr>
          <w:rFonts w:ascii="Tw Cen MT" w:eastAsia="Calibri" w:hAnsi="Tw Cen MT" w:cs="Arial"/>
          <w:sz w:val="24"/>
          <w:szCs w:val="24"/>
          <w:lang w:bidi="bn-IN"/>
        </w:rPr>
      </w:pPr>
      <w:r w:rsidRPr="00DF1F61">
        <w:rPr>
          <w:rFonts w:ascii="Tw Cen MT" w:eastAsia="Calibri" w:hAnsi="Tw Cen MT" w:cs="Arial"/>
          <w:sz w:val="24"/>
          <w:szCs w:val="24"/>
          <w:lang w:bidi="bn-IN"/>
        </w:rPr>
        <w:t>In addition to using in vivo and invitro tests in MSC research as a burn remedy, Zhou</w:t>
      </w:r>
      <w:r>
        <w:rPr>
          <w:rFonts w:ascii="Tw Cen MT" w:eastAsia="Calibri" w:hAnsi="Tw Cen MT" w:cs="Arial"/>
          <w:sz w:val="24"/>
          <w:szCs w:val="24"/>
          <w:lang w:bidi="bn-IN"/>
        </w:rPr>
        <w:t xml:space="preserve"> </w:t>
      </w:r>
      <w:r w:rsidRPr="00DF1F61">
        <w:rPr>
          <w:rFonts w:ascii="Tw Cen MT" w:eastAsia="Calibri" w:hAnsi="Tw Cen MT" w:cs="Arial"/>
          <w:sz w:val="24"/>
          <w:szCs w:val="24"/>
          <w:lang w:bidi="bn-IN"/>
        </w:rPr>
        <w:t xml:space="preserve">et al. </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Pr>
          <w:rFonts w:ascii="Tw Cen MT" w:eastAsia="Calibri" w:hAnsi="Tw Cen MT" w:cs="Arial"/>
          <w:sz w:val="24"/>
          <w:szCs w:val="24"/>
          <w:lang w:bidi="bn-IN"/>
        </w:rPr>
        <w:fldChar w:fldCharType="separate"/>
      </w:r>
      <w:r w:rsidRPr="009072B5">
        <w:rPr>
          <w:rFonts w:ascii="Tw Cen MT" w:eastAsia="Calibri" w:hAnsi="Tw Cen MT" w:cs="Arial"/>
          <w:noProof/>
          <w:sz w:val="24"/>
          <w:szCs w:val="24"/>
          <w:lang w:bidi="bn-IN"/>
        </w:rPr>
        <w:t>[19]</w:t>
      </w:r>
      <w:r>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DF1F61">
        <w:rPr>
          <w:rFonts w:ascii="Tw Cen MT" w:eastAsia="Calibri" w:hAnsi="Tw Cen MT" w:cs="Arial"/>
          <w:sz w:val="24"/>
          <w:szCs w:val="24"/>
          <w:lang w:bidi="bn-IN"/>
        </w:rPr>
        <w:t xml:space="preserve">reported the use of CM-ADMSC in wound healing in humans who experienced re-injury after the layer removal process outer skin (FXCR). In this study, 19 people participated as respondents. Following the FXCR procedure on the inner arm, CM-ADMSC was applied topically. Respondents were divided into two groups: those who received ADMSC and those who received FBS. </w:t>
      </w:r>
      <w:proofErr w:type="spellStart"/>
      <w:r w:rsidRPr="00DF1F61">
        <w:rPr>
          <w:rFonts w:ascii="Tw Cen MT" w:eastAsia="Calibri" w:hAnsi="Tw Cen MT" w:cs="Arial"/>
          <w:sz w:val="24"/>
          <w:szCs w:val="24"/>
          <w:lang w:bidi="bn-IN"/>
        </w:rPr>
        <w:t>Erythmia</w:t>
      </w:r>
      <w:proofErr w:type="spellEnd"/>
      <w:r w:rsidRPr="00DF1F61">
        <w:rPr>
          <w:rFonts w:ascii="Tw Cen MT" w:eastAsia="Calibri" w:hAnsi="Tw Cen MT" w:cs="Arial"/>
          <w:sz w:val="24"/>
          <w:szCs w:val="24"/>
          <w:lang w:bidi="bn-IN"/>
        </w:rPr>
        <w:t>, melanin, TEWL, and elasticity were among the parameters measured. On days 1, 4, 7, 14, and 21, tests were performed.</w:t>
      </w:r>
      <w:r w:rsidRPr="00DF1F61">
        <w:t xml:space="preserve"> </w:t>
      </w:r>
      <w:r w:rsidRPr="00DF1F61">
        <w:rPr>
          <w:rFonts w:ascii="Tw Cen MT" w:eastAsia="Calibri" w:hAnsi="Tw Cen MT" w:cs="Arial"/>
          <w:sz w:val="24"/>
          <w:szCs w:val="24"/>
          <w:lang w:bidi="bn-IN"/>
        </w:rPr>
        <w:t xml:space="preserve">On days 1, 4, 7, 14, and 21, tests were performed. According to the findings of this study, ADMSC is an effective method for wound healing following the FXCR process, as it reduces the side effects of </w:t>
      </w:r>
      <w:r w:rsidRPr="00420D56">
        <w:rPr>
          <w:rFonts w:ascii="Tw Cen MT" w:eastAsia="Calibri" w:hAnsi="Tw Cen MT" w:cs="Arial"/>
          <w:sz w:val="24"/>
          <w:szCs w:val="24"/>
          <w:lang w:bidi="bn-IN"/>
        </w:rPr>
        <w:t>arrhythmia</w:t>
      </w:r>
      <w:r w:rsidRPr="00DF1F61">
        <w:rPr>
          <w:rFonts w:ascii="Tw Cen MT" w:eastAsia="Calibri" w:hAnsi="Tw Cen MT" w:cs="Arial"/>
          <w:sz w:val="24"/>
          <w:szCs w:val="24"/>
          <w:lang w:bidi="bn-IN"/>
        </w:rPr>
        <w:t xml:space="preserve"> and hyperpigmentation</w:t>
      </w:r>
      <w:r w:rsidRPr="00717D27">
        <w:rPr>
          <w:rFonts w:ascii="Tw Cen MT" w:eastAsia="Calibri" w:hAnsi="Tw Cen MT" w:cs="Arial"/>
          <w:sz w:val="24"/>
          <w:szCs w:val="24"/>
          <w:lang w:bidi="bn-IN"/>
        </w:rPr>
        <w:t>.</w:t>
      </w:r>
    </w:p>
    <w:p w14:paraId="05DBFF8E"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0D7A0D">
        <w:rPr>
          <w:rFonts w:ascii="Tw Cen MT" w:eastAsia="Calibri" w:hAnsi="Tw Cen MT" w:cs="Arial"/>
          <w:sz w:val="24"/>
          <w:szCs w:val="24"/>
          <w:lang w:bidi="bn-IN"/>
        </w:rPr>
        <w:lastRenderedPageBreak/>
        <w:t>Bhang et al.</w:t>
      </w:r>
      <w:r>
        <w:rPr>
          <w:rFonts w:ascii="Tw Cen MT" w:eastAsia="Calibri" w:hAnsi="Tw Cen MT" w:cs="Arial"/>
          <w:sz w:val="24"/>
          <w:szCs w:val="24"/>
          <w:lang w:bidi="bn-IN"/>
        </w:rPr>
        <w:t>,</w:t>
      </w:r>
      <w:r w:rsidRPr="00717D27">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[17]</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w:t>
      </w:r>
      <w:r w:rsidRPr="00DF1F61">
        <w:rPr>
          <w:rFonts w:ascii="Tw Cen MT" w:eastAsia="Calibri" w:hAnsi="Tw Cen MT" w:cs="Arial"/>
          <w:sz w:val="24"/>
          <w:szCs w:val="24"/>
          <w:lang w:bidi="bn-IN"/>
        </w:rPr>
        <w:t>conducted another study in which they injected 200 L of CM-ADMSC, 2x10</w:t>
      </w:r>
      <w:r w:rsidRPr="00DF1F61">
        <w:rPr>
          <w:rFonts w:ascii="Tw Cen MT" w:eastAsia="Calibri" w:hAnsi="Tw Cen MT" w:cs="Arial"/>
          <w:sz w:val="24"/>
          <w:szCs w:val="24"/>
          <w:vertAlign w:val="superscript"/>
          <w:lang w:bidi="bn-IN"/>
        </w:rPr>
        <w:t>6</w:t>
      </w:r>
      <w:r w:rsidRPr="00DF1F61">
        <w:rPr>
          <w:rFonts w:ascii="Tw Cen MT" w:eastAsia="Calibri" w:hAnsi="Tw Cen MT" w:cs="Arial"/>
          <w:sz w:val="24"/>
          <w:szCs w:val="24"/>
          <w:lang w:bidi="bn-IN"/>
        </w:rPr>
        <w:t xml:space="preserve"> cells into mice for 7 days. M-RNA expression of SM-actin and CD31 were used as parameters. After that, immunohistochemistry, transplantation of PKH26-labeled BMMNCS, and Lose Doppler imaging analysis were performed. The results show that CM has a much better effect on wound healing than transplantation therapy.</w:t>
      </w:r>
    </w:p>
    <w:p w14:paraId="63E78D47"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0D7A0D">
        <w:rPr>
          <w:rFonts w:ascii="Tw Cen MT" w:eastAsia="Calibri" w:hAnsi="Tw Cen MT" w:cs="Arial"/>
          <w:sz w:val="24"/>
          <w:szCs w:val="24"/>
          <w:lang w:bidi="bn-IN"/>
        </w:rPr>
        <w:t>Kawai et al</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[13]</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w:t>
      </w:r>
      <w:r w:rsidRPr="004355FF">
        <w:rPr>
          <w:rFonts w:ascii="Tw Cen MT" w:eastAsia="Calibri" w:hAnsi="Tw Cen MT" w:cs="Arial"/>
          <w:sz w:val="24"/>
          <w:szCs w:val="24"/>
          <w:lang w:bidi="bn-IN"/>
        </w:rPr>
        <w:t xml:space="preserve">conducted a study on several rats and observed the parameters of the MSC growth factor using in vitro tests using </w:t>
      </w:r>
      <w:r>
        <w:rPr>
          <w:rFonts w:ascii="Tw Cen MT" w:eastAsia="Calibri" w:hAnsi="Tw Cen MT" w:cs="Arial"/>
          <w:sz w:val="24"/>
          <w:szCs w:val="24"/>
          <w:lang w:bidi="bn-IN"/>
        </w:rPr>
        <w:t>ELISA</w:t>
      </w:r>
      <w:r w:rsidRPr="004355FF">
        <w:rPr>
          <w:rFonts w:ascii="Tw Cen MT" w:eastAsia="Calibri" w:hAnsi="Tw Cen MT" w:cs="Arial"/>
          <w:sz w:val="24"/>
          <w:szCs w:val="24"/>
          <w:lang w:bidi="bn-IN"/>
        </w:rPr>
        <w:t xml:space="preserve"> analysis to see growth factors and also using R-PCR analysis to express osteogenesis and angiogenesis before moving on to in vivo tests with test animals being treated for 2 weeks with MSC injection and then subjected to histological tests. The findings of this study suggest that several cytokines found in UMCM-MSC play a role in the regeneration of injured tissue.</w:t>
      </w:r>
    </w:p>
    <w:p w14:paraId="06B4CFEE"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4355FF">
        <w:rPr>
          <w:rFonts w:ascii="Tw Cen MT" w:eastAsia="Calibri" w:hAnsi="Tw Cen MT" w:cs="Arial"/>
          <w:sz w:val="24"/>
          <w:szCs w:val="24"/>
          <w:lang w:bidi="bn-IN"/>
        </w:rPr>
        <w:t xml:space="preserve">In 2015, </w:t>
      </w:r>
      <w:r w:rsidRPr="000D7A0D">
        <w:rPr>
          <w:rFonts w:ascii="Tw Cen MT" w:eastAsia="Calibri" w:hAnsi="Tw Cen MT" w:cs="Arial"/>
          <w:sz w:val="24"/>
          <w:szCs w:val="24"/>
          <w:lang w:bidi="bn-IN"/>
        </w:rPr>
        <w:t>Kwon et al.</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[18]</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w:t>
      </w:r>
      <w:r w:rsidRPr="00EE4FA8">
        <w:rPr>
          <w:rFonts w:ascii="Tw Cen MT" w:eastAsia="Calibri" w:hAnsi="Tw Cen MT" w:cs="Arial"/>
          <w:sz w:val="24"/>
          <w:szCs w:val="24"/>
          <w:lang w:bidi="bn-IN"/>
        </w:rPr>
        <w:t>conducted a study with mice objects divided into four groups: control, Fresh Medium (FM), Spheroid CM, and Monolayer CM, which came from two CM media. This study used Elisa analysis to look at growth factors (H-VEGF, HGF, FGF2, and SDF-1</w:t>
      </w:r>
      <w:r w:rsidRPr="00EE4FA8">
        <w:rPr>
          <w:rFonts w:eastAsia="Calibri"/>
          <w:sz w:val="24"/>
          <w:szCs w:val="24"/>
          <w:lang w:bidi="bn-IN"/>
        </w:rPr>
        <w:t xml:space="preserve"> </w:t>
      </w:r>
      <w:r w:rsidRPr="00717D27">
        <w:rPr>
          <w:rFonts w:eastAsia="Calibri"/>
          <w:sz w:val="24"/>
          <w:szCs w:val="24"/>
          <w:lang w:bidi="bn-IN"/>
        </w:rPr>
        <w:t>α</w:t>
      </w:r>
      <w:r w:rsidRPr="00EE4FA8">
        <w:rPr>
          <w:rFonts w:ascii="Tw Cen MT" w:eastAsia="Calibri" w:hAnsi="Tw Cen MT" w:cs="Arial"/>
          <w:sz w:val="24"/>
          <w:szCs w:val="24"/>
          <w:lang w:bidi="bn-IN"/>
        </w:rPr>
        <w:t xml:space="preserve">) in the R&amp;D system in Minneapolis. The parameters examined in the in vivo test are histology, immunohistochemistry, PCR, </w:t>
      </w:r>
      <w:r w:rsidRPr="00420D56">
        <w:rPr>
          <w:rFonts w:ascii="Tw Cen MT" w:eastAsia="Calibri" w:hAnsi="Tw Cen MT" w:cs="Arial"/>
          <w:sz w:val="24"/>
          <w:szCs w:val="24"/>
          <w:lang w:bidi="bn-IN"/>
        </w:rPr>
        <w:t>and Western</w:t>
      </w:r>
      <w:r w:rsidRPr="00EE4FA8">
        <w:rPr>
          <w:rFonts w:ascii="Tw Cen MT" w:eastAsia="Calibri" w:hAnsi="Tw Cen MT" w:cs="Arial"/>
          <w:sz w:val="24"/>
          <w:szCs w:val="24"/>
          <w:lang w:bidi="bn-IN"/>
        </w:rPr>
        <w:t xml:space="preserve"> blot analysis, and the parameters examined are dermal and epidermal from wound healing. According to the findings of Kwon's study, Spheroid CM was more effective for wound healing than the other treatment groups.</w:t>
      </w:r>
    </w:p>
    <w:p w14:paraId="6199A47E"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EE4FA8">
        <w:rPr>
          <w:rFonts w:ascii="Tw Cen MT" w:eastAsia="Calibri" w:hAnsi="Tw Cen MT" w:cs="Arial"/>
          <w:sz w:val="24"/>
          <w:szCs w:val="24"/>
          <w:lang w:bidi="bn-IN"/>
        </w:rPr>
        <w:t xml:space="preserve">Another study, conducted by </w:t>
      </w:r>
      <w:r w:rsidRPr="000D7A0D">
        <w:rPr>
          <w:rFonts w:ascii="Tw Cen MT" w:eastAsia="Calibri" w:hAnsi="Tw Cen MT" w:cs="Arial"/>
          <w:sz w:val="24"/>
          <w:szCs w:val="24"/>
          <w:lang w:bidi="bn-IN"/>
        </w:rPr>
        <w:t>Aryan et al.</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[12]</w:t>
      </w:r>
      <w:r>
        <w:rPr>
          <w:rFonts w:ascii="Tw Cen MT" w:eastAsia="Calibri" w:hAnsi="Tw Cen MT" w:cs="Arial"/>
          <w:sz w:val="24"/>
          <w:szCs w:val="24"/>
          <w:lang w:bidi="bn-IN"/>
        </w:rPr>
        <w:fldChar w:fldCharType="end"/>
      </w:r>
      <w:r w:rsidRPr="00717D27">
        <w:rPr>
          <w:rFonts w:ascii="Tw Cen MT" w:eastAsia="Times New Roman" w:hAnsi="Tw Cen MT" w:cs="Arial"/>
          <w:sz w:val="24"/>
          <w:szCs w:val="24"/>
          <w:lang w:val="en-ID"/>
        </w:rPr>
        <w:t xml:space="preserve"> </w:t>
      </w:r>
      <w:r w:rsidRPr="00EE4FA8">
        <w:rPr>
          <w:rFonts w:ascii="Tw Cen MT" w:eastAsia="Calibri" w:hAnsi="Tw Cen MT" w:cs="Arial"/>
          <w:sz w:val="24"/>
          <w:szCs w:val="24"/>
          <w:lang w:bidi="bn-IN"/>
        </w:rPr>
        <w:t>on 32 rats given burn intervention for 28 days with parameters: stereological and immunohistochemistry analysis, revealed significant results with increased proliferation rates, increased collagen formation, and increased angiogenesis in the affected area</w:t>
      </w:r>
      <w:r w:rsidRPr="00717D27">
        <w:rPr>
          <w:rFonts w:ascii="Tw Cen MT" w:eastAsia="Calibri" w:hAnsi="Tw Cen MT" w:cs="Arial"/>
          <w:sz w:val="24"/>
          <w:szCs w:val="24"/>
          <w:lang w:bidi="bn-IN"/>
        </w:rPr>
        <w:t>.</w:t>
      </w:r>
    </w:p>
    <w:p w14:paraId="5E48571B"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EE4FA8">
        <w:rPr>
          <w:rFonts w:ascii="Tw Cen MT" w:eastAsia="Calibri" w:hAnsi="Tw Cen MT" w:cs="Arial"/>
          <w:sz w:val="24"/>
          <w:szCs w:val="24"/>
          <w:lang w:bidi="bn-IN"/>
        </w:rPr>
        <w:t xml:space="preserve">The following study by </w:t>
      </w:r>
      <w:r w:rsidRPr="000D7A0D">
        <w:rPr>
          <w:rFonts w:ascii="Tw Cen MT" w:eastAsia="Calibri" w:hAnsi="Tw Cen MT" w:cs="Arial"/>
          <w:sz w:val="24"/>
          <w:szCs w:val="24"/>
          <w:lang w:bidi="bn-IN"/>
        </w:rPr>
        <w:t>Abbas et al.</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[8]</w:t>
      </w:r>
      <w:r>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EE4FA8">
        <w:rPr>
          <w:rFonts w:ascii="Tw Cen MT" w:eastAsia="Calibri" w:hAnsi="Tw Cen MT" w:cs="Arial"/>
          <w:sz w:val="24"/>
          <w:szCs w:val="24"/>
          <w:lang w:bidi="bn-IN"/>
        </w:rPr>
        <w:t xml:space="preserve">used </w:t>
      </w:r>
      <w:r w:rsidRPr="00420D56">
        <w:rPr>
          <w:rFonts w:ascii="Tw Cen MT" w:eastAsia="Calibri" w:hAnsi="Tw Cen MT" w:cs="Arial"/>
          <w:sz w:val="24"/>
          <w:szCs w:val="24"/>
          <w:lang w:bidi="bn-IN"/>
        </w:rPr>
        <w:t>Wistar</w:t>
      </w:r>
      <w:r>
        <w:rPr>
          <w:rFonts w:ascii="Tw Cen MT" w:eastAsia="Calibri" w:hAnsi="Tw Cen MT" w:cs="Arial"/>
          <w:sz w:val="24"/>
          <w:szCs w:val="24"/>
          <w:lang w:bidi="bn-IN"/>
        </w:rPr>
        <w:t xml:space="preserve"> </w:t>
      </w:r>
      <w:r w:rsidRPr="00EE4FA8">
        <w:rPr>
          <w:rFonts w:ascii="Tw Cen MT" w:eastAsia="Calibri" w:hAnsi="Tw Cen MT" w:cs="Arial"/>
          <w:sz w:val="24"/>
          <w:szCs w:val="24"/>
          <w:lang w:bidi="bn-IN"/>
        </w:rPr>
        <w:t>rats that were divided into three treatment groups: control, placebo, and MSC. Each group was treated with wounds for 72 hours. Following that, histochemistry, immunohistochemistry, and RT-PCR tests, as well as scintigraphy, were performed. The results of the various analyses show that the percentage of tissue repair from the MSC test group is higher than that of the other groups</w:t>
      </w:r>
      <w:r w:rsidRPr="00717D27">
        <w:rPr>
          <w:rFonts w:ascii="Tw Cen MT" w:eastAsia="Calibri" w:hAnsi="Tw Cen MT" w:cs="Arial"/>
          <w:sz w:val="24"/>
          <w:szCs w:val="24"/>
          <w:lang w:bidi="bn-IN"/>
        </w:rPr>
        <w:t>.</w:t>
      </w:r>
    </w:p>
    <w:p w14:paraId="32BA3301" w14:textId="77777777" w:rsidR="00DA202D" w:rsidRDefault="00680229" w:rsidP="00DA202D">
      <w:pPr>
        <w:spacing w:before="120" w:after="0" w:line="240" w:lineRule="auto"/>
        <w:jc w:val="both"/>
        <w:rPr>
          <w:rFonts w:ascii="Tw Cen MT" w:eastAsia="Calibri" w:hAnsi="Tw Cen MT" w:cs="Arial"/>
          <w:sz w:val="24"/>
          <w:szCs w:val="24"/>
          <w:lang w:bidi="bn-IN"/>
        </w:rPr>
      </w:pPr>
      <w:r w:rsidRPr="00EE4FA8">
        <w:rPr>
          <w:rFonts w:ascii="Tw Cen MT" w:eastAsia="Calibri" w:hAnsi="Tw Cen MT" w:cs="Arial"/>
          <w:sz w:val="24"/>
          <w:szCs w:val="24"/>
          <w:lang w:bidi="bn-IN"/>
        </w:rPr>
        <w:t xml:space="preserve">Meanwhile, in the study of </w:t>
      </w:r>
      <w:proofErr w:type="spellStart"/>
      <w:r w:rsidRPr="000D7A0D">
        <w:rPr>
          <w:rFonts w:ascii="Tw Cen MT" w:eastAsia="Calibri" w:hAnsi="Tw Cen MT" w:cs="Arial"/>
          <w:sz w:val="24"/>
          <w:szCs w:val="24"/>
          <w:lang w:bidi="bn-IN"/>
        </w:rPr>
        <w:t>Alapure</w:t>
      </w:r>
      <w:proofErr w:type="spellEnd"/>
      <w:r w:rsidRPr="000D7A0D">
        <w:rPr>
          <w:rFonts w:ascii="Tw Cen MT" w:eastAsia="Calibri" w:hAnsi="Tw Cen MT" w:cs="Arial"/>
          <w:sz w:val="24"/>
          <w:szCs w:val="24"/>
          <w:lang w:bidi="bn-IN"/>
        </w:rPr>
        <w:t xml:space="preserve"> et al.</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[14]</w:t>
      </w:r>
      <w:r>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w:t>
      </w:r>
      <w:r w:rsidRPr="00EE4FA8">
        <w:rPr>
          <w:rFonts w:ascii="Tw Cen MT" w:eastAsia="Calibri" w:hAnsi="Tw Cen MT" w:cs="Arial"/>
          <w:sz w:val="24"/>
          <w:szCs w:val="24"/>
          <w:lang w:bidi="bn-IN"/>
        </w:rPr>
        <w:t xml:space="preserve">MSC were made in a hydrogel preparation called </w:t>
      </w:r>
      <w:proofErr w:type="spellStart"/>
      <w:r w:rsidRPr="00EE4FA8">
        <w:rPr>
          <w:rFonts w:ascii="Tw Cen MT" w:eastAsia="Calibri" w:hAnsi="Tw Cen MT" w:cs="Arial"/>
          <w:sz w:val="24"/>
          <w:szCs w:val="24"/>
          <w:lang w:bidi="bn-IN"/>
        </w:rPr>
        <w:t>ACgels</w:t>
      </w:r>
      <w:proofErr w:type="spellEnd"/>
      <w:r w:rsidRPr="00EE4FA8">
        <w:rPr>
          <w:rFonts w:ascii="Tw Cen MT" w:eastAsia="Calibri" w:hAnsi="Tw Cen MT" w:cs="Arial"/>
          <w:sz w:val="24"/>
          <w:szCs w:val="24"/>
          <w:lang w:bidi="bn-IN"/>
        </w:rPr>
        <w:t xml:space="preserve"> and were tested on mice with third</w:t>
      </w:r>
      <w:r>
        <w:rPr>
          <w:rFonts w:ascii="Tw Cen MT" w:eastAsia="Calibri" w:hAnsi="Tw Cen MT" w:cs="Arial"/>
          <w:sz w:val="24"/>
          <w:szCs w:val="24"/>
          <w:lang w:bidi="bn-IN"/>
        </w:rPr>
        <w:t>-</w:t>
      </w:r>
      <w:r w:rsidRPr="00EE4FA8">
        <w:rPr>
          <w:rFonts w:ascii="Tw Cen MT" w:eastAsia="Calibri" w:hAnsi="Tw Cen MT" w:cs="Arial"/>
          <w:sz w:val="24"/>
          <w:szCs w:val="24"/>
          <w:lang w:bidi="bn-IN"/>
        </w:rPr>
        <w:t>degree burns and were given an injection of the preparation as much as 1X10</w:t>
      </w:r>
      <w:r w:rsidRPr="00EE4FA8">
        <w:rPr>
          <w:rFonts w:ascii="Tw Cen MT" w:eastAsia="Calibri" w:hAnsi="Tw Cen MT" w:cs="Arial"/>
          <w:sz w:val="24"/>
          <w:szCs w:val="24"/>
          <w:vertAlign w:val="superscript"/>
          <w:lang w:bidi="bn-IN"/>
        </w:rPr>
        <w:t xml:space="preserve">5 </w:t>
      </w:r>
      <w:r w:rsidRPr="00EE4FA8">
        <w:rPr>
          <w:rFonts w:ascii="Tw Cen MT" w:eastAsia="Calibri" w:hAnsi="Tw Cen MT" w:cs="Arial"/>
          <w:sz w:val="24"/>
          <w:szCs w:val="24"/>
          <w:lang w:bidi="bn-IN"/>
        </w:rPr>
        <w:t xml:space="preserve">or the medium was as much as 30 L after one day and obtained The results demonstrated that MSC-seed </w:t>
      </w:r>
      <w:proofErr w:type="spellStart"/>
      <w:r w:rsidRPr="00EE4FA8">
        <w:rPr>
          <w:rFonts w:ascii="Tw Cen MT" w:eastAsia="Calibri" w:hAnsi="Tw Cen MT" w:cs="Arial"/>
          <w:sz w:val="24"/>
          <w:szCs w:val="24"/>
          <w:lang w:bidi="bn-IN"/>
        </w:rPr>
        <w:t>ACgels</w:t>
      </w:r>
      <w:proofErr w:type="spellEnd"/>
      <w:r w:rsidRPr="00EE4FA8">
        <w:rPr>
          <w:rFonts w:ascii="Tw Cen MT" w:eastAsia="Calibri" w:hAnsi="Tw Cen MT" w:cs="Arial"/>
          <w:sz w:val="24"/>
          <w:szCs w:val="24"/>
          <w:lang w:bidi="bn-IN"/>
        </w:rPr>
        <w:t xml:space="preserve"> provided a novel adjuvant therapy for burns while exhibiting no toxicity.</w:t>
      </w:r>
    </w:p>
    <w:p w14:paraId="6FFFC5F1" w14:textId="6B262DDC" w:rsidR="00680229" w:rsidRPr="00717D27" w:rsidRDefault="00680229" w:rsidP="00DA202D">
      <w:pPr>
        <w:spacing w:before="120" w:after="0" w:line="240" w:lineRule="auto"/>
        <w:jc w:val="both"/>
        <w:rPr>
          <w:rFonts w:ascii="Tw Cen MT" w:eastAsia="Calibri" w:hAnsi="Tw Cen MT" w:cs="Arial"/>
          <w:sz w:val="24"/>
          <w:szCs w:val="24"/>
          <w:lang w:bidi="bn-IN"/>
        </w:rPr>
      </w:pPr>
      <w:proofErr w:type="spellStart"/>
      <w:r w:rsidRPr="000D7A0D">
        <w:rPr>
          <w:rFonts w:ascii="Tw Cen MT" w:eastAsia="Calibri" w:hAnsi="Tw Cen MT" w:cs="Arial"/>
          <w:sz w:val="24"/>
          <w:szCs w:val="24"/>
          <w:lang w:bidi="bn-IN"/>
        </w:rPr>
        <w:t>Laksmitawati</w:t>
      </w:r>
      <w:proofErr w:type="spellEnd"/>
      <w:r w:rsidRPr="000D7A0D">
        <w:rPr>
          <w:rFonts w:ascii="Tw Cen MT" w:eastAsia="Calibri" w:hAnsi="Tw Cen MT" w:cs="Arial"/>
          <w:sz w:val="24"/>
          <w:szCs w:val="24"/>
          <w:lang w:bidi="bn-IN"/>
        </w:rPr>
        <w:t xml:space="preserve"> et al.</w:t>
      </w:r>
      <w:r>
        <w:rPr>
          <w:rFonts w:ascii="Tw Cen MT" w:eastAsia="Calibri" w:hAnsi="Tw Cen MT" w:cs="Arial"/>
          <w:sz w:val="24"/>
          <w:szCs w:val="24"/>
          <w:lang w:bidi="bn-IN"/>
        </w:rPr>
        <w:t xml:space="preserve">, </w:t>
      </w:r>
      <w:r w:rsidRPr="00EE4FA8">
        <w:rPr>
          <w:rFonts w:ascii="Tw Cen MT" w:eastAsia="Calibri" w:hAnsi="Tw Cen MT" w:cs="Arial"/>
          <w:sz w:val="24"/>
          <w:szCs w:val="24"/>
          <w:lang w:bidi="bn-IN"/>
        </w:rPr>
        <w:t>conducted a recent study on 32 rats that received dorsal burn intervention. The rats were separated into four groups: placebo, CM, Silver Sulfadiazine, and no treatment. The intervention lasted 21 days, with daily parameters such as test wound diameter, scab formation, blister formation, and hair growth. The findings of this study revealed that AD-CM produced results and faster hair growth in the wound are</w:t>
      </w:r>
      <w:r>
        <w:rPr>
          <w:rFonts w:ascii="Tw Cen MT" w:eastAsia="Calibri" w:hAnsi="Tw Cen MT" w:cs="Arial"/>
          <w:sz w:val="24"/>
          <w:szCs w:val="24"/>
          <w:lang w:bidi="bn-IN"/>
        </w:rPr>
        <w:t xml:space="preserve">a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Pr>
          <w:rFonts w:ascii="Tw Cen MT" w:eastAsia="Calibri" w:hAnsi="Tw Cen MT" w:cs="Arial"/>
          <w:sz w:val="24"/>
          <w:szCs w:val="24"/>
          <w:lang w:bidi="bn-IN"/>
        </w:rPr>
        <w:fldChar w:fldCharType="separate"/>
      </w:r>
      <w:r w:rsidRPr="000D7A0D">
        <w:rPr>
          <w:rFonts w:ascii="Tw Cen MT" w:eastAsia="Calibri" w:hAnsi="Tw Cen MT" w:cs="Arial"/>
          <w:noProof/>
          <w:sz w:val="24"/>
          <w:szCs w:val="24"/>
          <w:lang w:bidi="bn-IN"/>
        </w:rPr>
        <w:t>[11]</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425999C6"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EE4FA8">
        <w:rPr>
          <w:rFonts w:ascii="Tw Cen MT" w:eastAsia="Calibri" w:hAnsi="Tw Cen MT" w:cs="Arial"/>
          <w:sz w:val="24"/>
          <w:szCs w:val="24"/>
          <w:lang w:bidi="bn-IN"/>
        </w:rPr>
        <w:t xml:space="preserve">MSC therapy aids burn </w:t>
      </w:r>
      <w:r w:rsidRPr="00420D56">
        <w:rPr>
          <w:rFonts w:ascii="Tw Cen MT" w:eastAsia="Calibri" w:hAnsi="Tw Cen MT" w:cs="Arial"/>
          <w:sz w:val="24"/>
          <w:szCs w:val="24"/>
          <w:lang w:bidi="bn-IN"/>
        </w:rPr>
        <w:t>to heal and reduce</w:t>
      </w:r>
      <w:r w:rsidRPr="00EE4FA8">
        <w:rPr>
          <w:rFonts w:ascii="Tw Cen MT" w:eastAsia="Calibri" w:hAnsi="Tw Cen MT" w:cs="Arial"/>
          <w:sz w:val="24"/>
          <w:szCs w:val="24"/>
          <w:lang w:bidi="bn-IN"/>
        </w:rPr>
        <w:t xml:space="preserve"> the risk of scarring in all studies included in this systematic literature review synthesis analysis. Furthermore, no study discovered any significant side effects such as neoplastic activity or an exaggerated immune response. These findings imply that MSC therapy may be a promising regenerative therapy for burn treatmen</w:t>
      </w:r>
      <w:r>
        <w:rPr>
          <w:rFonts w:ascii="Tw Cen MT" w:eastAsia="Calibri" w:hAnsi="Tw Cen MT" w:cs="Arial"/>
          <w:sz w:val="24"/>
          <w:szCs w:val="24"/>
          <w:lang w:bidi="bn-IN"/>
        </w:rPr>
        <w:t>t [2] [4].</w:t>
      </w:r>
    </w:p>
    <w:p w14:paraId="026D1813" w14:textId="77777777" w:rsidR="00680229" w:rsidRPr="00717D27" w:rsidRDefault="00680229" w:rsidP="00DA202D">
      <w:pPr>
        <w:spacing w:before="120" w:after="0" w:line="240" w:lineRule="auto"/>
        <w:jc w:val="both"/>
        <w:rPr>
          <w:rFonts w:ascii="Tw Cen MT" w:eastAsia="Calibri" w:hAnsi="Tw Cen MT" w:cs="Arial"/>
          <w:sz w:val="24"/>
          <w:szCs w:val="24"/>
          <w:lang w:bidi="bn-IN"/>
        </w:rPr>
      </w:pPr>
      <w:r w:rsidRPr="00EE4FA8">
        <w:rPr>
          <w:rFonts w:ascii="Tw Cen MT" w:eastAsia="Calibri" w:hAnsi="Tw Cen MT" w:cs="Arial"/>
          <w:sz w:val="24"/>
          <w:szCs w:val="24"/>
          <w:lang w:bidi="bn-IN"/>
        </w:rPr>
        <w:t xml:space="preserve">Mesenchymal stem cells promote wound healing and skin regeneration by promoting granulation tissue formation, modulating inflammation, regulating extracellular matrix repair, and contributing to fibroblast repair. The process involves paracrine signaling, </w:t>
      </w:r>
      <w:r w:rsidRPr="00EE4FA8">
        <w:rPr>
          <w:rFonts w:ascii="Tw Cen MT" w:eastAsia="Calibri" w:hAnsi="Tw Cen MT" w:cs="Arial"/>
          <w:sz w:val="24"/>
          <w:szCs w:val="24"/>
          <w:lang w:bidi="bn-IN"/>
        </w:rPr>
        <w:lastRenderedPageBreak/>
        <w:t>discharge angiogenesis, immunomodulation, endogenous stem cell recruitment, and differentiatio</w:t>
      </w:r>
      <w:r>
        <w:rPr>
          <w:rFonts w:ascii="Tw Cen MT" w:eastAsia="Calibri" w:hAnsi="Tw Cen MT" w:cs="Arial"/>
          <w:sz w:val="24"/>
          <w:szCs w:val="24"/>
          <w:lang w:bidi="bn-IN"/>
        </w:rPr>
        <w:t>n [2].</w:t>
      </w:r>
    </w:p>
    <w:p w14:paraId="7EF7F34A" w14:textId="2E414DE5" w:rsidR="007106F6" w:rsidRPr="0096335E" w:rsidRDefault="00680229" w:rsidP="00680229">
      <w:pPr>
        <w:spacing w:line="240" w:lineRule="auto"/>
        <w:jc w:val="both"/>
        <w:rPr>
          <w:rFonts w:ascii="Tw Cen MT" w:eastAsia="Twentieth Century" w:hAnsi="Tw Cen MT" w:cs="Twentieth Century"/>
          <w:sz w:val="24"/>
          <w:szCs w:val="24"/>
        </w:rPr>
      </w:pPr>
      <w:r w:rsidRPr="00EE4FA8">
        <w:rPr>
          <w:rFonts w:ascii="Tw Cen MT" w:eastAsia="Calibri" w:hAnsi="Tw Cen MT" w:cs="Arial"/>
          <w:sz w:val="24"/>
          <w:szCs w:val="24"/>
          <w:lang w:bidi="bn-IN"/>
        </w:rPr>
        <w:t>Furthermore, mesenchymal stem cells can significantly increase collagen, fibronectin, and elastin fibroblast production, enhancing extracellular matrix repair. Mesenchymal stem cells can modulate the inflammatory response, accelerate extracellular matrix remodeling by stimulating increased collagen production, increase epidermis thickness through accelerated epithelialization, and increase fibroblast and keratinocyte migration, thereby accelerating wound closur</w:t>
      </w:r>
      <w:r>
        <w:rPr>
          <w:rFonts w:ascii="Tw Cen MT" w:eastAsia="Calibri" w:hAnsi="Tw Cen MT" w:cs="Arial"/>
          <w:sz w:val="24"/>
          <w:szCs w:val="24"/>
          <w:lang w:bidi="bn-IN"/>
        </w:rPr>
        <w:t>e [4].</w:t>
      </w:r>
    </w:p>
    <w:p w14:paraId="093D6C66" w14:textId="77CEC1D0" w:rsidR="007106F6" w:rsidRPr="0096335E" w:rsidRDefault="00DA202D" w:rsidP="007106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14744AF7" w14:textId="6AE57970" w:rsidR="007106F6" w:rsidRDefault="00DA202D" w:rsidP="007106F6">
      <w:pPr>
        <w:spacing w:line="240" w:lineRule="auto"/>
        <w:jc w:val="both"/>
        <w:rPr>
          <w:rFonts w:ascii="Tw Cen MT" w:hAnsi="Tw Cen MT"/>
          <w:color w:val="000000"/>
          <w:sz w:val="24"/>
          <w:szCs w:val="24"/>
          <w:shd w:val="clear" w:color="auto" w:fill="FFFFFF"/>
          <w:lang w:val="id-ID"/>
        </w:rPr>
      </w:pPr>
      <w:r w:rsidRPr="00EE4FA8">
        <w:rPr>
          <w:rFonts w:ascii="Tw Cen MT" w:hAnsi="Tw Cen MT" w:cs="Arial"/>
          <w:sz w:val="24"/>
          <w:szCs w:val="24"/>
        </w:rPr>
        <w:t xml:space="preserve">Mesenchymal stem cells are adult stem cells that can be isolated from a variety of human tissues, including the umbilical cord, spinal cord, and adipose tissue. The study of obtaining mesenchymal stem cells plays a role in efforts to accelerate burn wound healing via various mechanisms such as reducing the inflammatory phase, accelerating proliferation formation, and accelerating the </w:t>
      </w:r>
      <w:proofErr w:type="spellStart"/>
      <w:r w:rsidRPr="00EE4FA8">
        <w:rPr>
          <w:rFonts w:ascii="Tw Cen MT" w:hAnsi="Tw Cen MT" w:cs="Arial"/>
          <w:sz w:val="24"/>
          <w:szCs w:val="24"/>
        </w:rPr>
        <w:t>remodel</w:t>
      </w:r>
      <w:r>
        <w:rPr>
          <w:rFonts w:ascii="Tw Cen MT" w:hAnsi="Tw Cen MT" w:cs="Arial"/>
          <w:sz w:val="24"/>
          <w:szCs w:val="24"/>
        </w:rPr>
        <w:t>l</w:t>
      </w:r>
      <w:r w:rsidRPr="00EE4FA8">
        <w:rPr>
          <w:rFonts w:ascii="Tw Cen MT" w:hAnsi="Tw Cen MT" w:cs="Arial"/>
          <w:sz w:val="24"/>
          <w:szCs w:val="24"/>
        </w:rPr>
        <w:t>ing</w:t>
      </w:r>
      <w:proofErr w:type="spellEnd"/>
      <w:r w:rsidRPr="00EE4FA8">
        <w:rPr>
          <w:rFonts w:ascii="Tw Cen MT" w:hAnsi="Tw Cen MT" w:cs="Arial"/>
          <w:sz w:val="24"/>
          <w:szCs w:val="24"/>
        </w:rPr>
        <w:t xml:space="preserve"> phase of injured tissue. Mesenchymal stem cells have the potential to be developed as part of </w:t>
      </w:r>
      <w:r w:rsidRPr="00420D56">
        <w:rPr>
          <w:rFonts w:ascii="Tw Cen MT" w:hAnsi="Tw Cen MT" w:cs="Arial"/>
          <w:sz w:val="24"/>
          <w:szCs w:val="24"/>
        </w:rPr>
        <w:t>the wound</w:t>
      </w:r>
      <w:r w:rsidRPr="00EE4FA8">
        <w:rPr>
          <w:rFonts w:ascii="Tw Cen MT" w:hAnsi="Tw Cen MT" w:cs="Arial"/>
          <w:sz w:val="24"/>
          <w:szCs w:val="24"/>
        </w:rPr>
        <w:t xml:space="preserve"> and burn therapy</w:t>
      </w:r>
      <w:r w:rsidR="007106F6" w:rsidRPr="0096335E">
        <w:rPr>
          <w:rFonts w:ascii="Tw Cen MT" w:hAnsi="Tw Cen MT"/>
          <w:color w:val="000000"/>
          <w:sz w:val="24"/>
          <w:szCs w:val="24"/>
          <w:shd w:val="clear" w:color="auto" w:fill="FFFFFF"/>
          <w:lang w:val="id-ID"/>
        </w:rPr>
        <w:t>.</w:t>
      </w:r>
    </w:p>
    <w:p w14:paraId="1A625CF3" w14:textId="4486C72B" w:rsidR="00245150" w:rsidRPr="00C94263" w:rsidRDefault="00DA202D" w:rsidP="0024515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ACKNOWLEDGMENT</w:t>
      </w:r>
      <w:r w:rsidR="00245150" w:rsidRPr="00C94263">
        <w:rPr>
          <w:rFonts w:ascii="Tw Cen MT" w:eastAsia="Twentieth Century" w:hAnsi="Tw Cen MT" w:cs="Twentieth Century"/>
          <w:b/>
          <w:sz w:val="24"/>
          <w:szCs w:val="24"/>
        </w:rPr>
        <w:t xml:space="preserve"> </w:t>
      </w:r>
    </w:p>
    <w:p w14:paraId="7917B86F" w14:textId="4A08AA62" w:rsidR="00245150" w:rsidRPr="0096335E" w:rsidRDefault="00DA202D" w:rsidP="00245150">
      <w:pPr>
        <w:spacing w:line="240" w:lineRule="auto"/>
        <w:jc w:val="both"/>
        <w:rPr>
          <w:rFonts w:ascii="Tw Cen MT" w:eastAsia="Twentieth Century" w:hAnsi="Tw Cen MT" w:cs="Twentieth Century"/>
          <w:sz w:val="24"/>
          <w:szCs w:val="24"/>
        </w:rPr>
      </w:pPr>
      <w:r w:rsidRPr="00DA202D">
        <w:rPr>
          <w:rFonts w:ascii="Tw Cen MT" w:eastAsia="Twentieth Century" w:hAnsi="Tw Cen MT" w:cs="Twentieth Century"/>
          <w:sz w:val="24"/>
          <w:szCs w:val="24"/>
        </w:rPr>
        <w:t xml:space="preserve">Author thank you to Universitas </w:t>
      </w:r>
      <w:proofErr w:type="spellStart"/>
      <w:r w:rsidRPr="00DA202D">
        <w:rPr>
          <w:rFonts w:ascii="Tw Cen MT" w:eastAsia="Twentieth Century" w:hAnsi="Tw Cen MT" w:cs="Twentieth Century"/>
          <w:sz w:val="24"/>
          <w:szCs w:val="24"/>
        </w:rPr>
        <w:t>Andalas</w:t>
      </w:r>
      <w:proofErr w:type="spellEnd"/>
      <w:r w:rsidRPr="00DA202D">
        <w:rPr>
          <w:rFonts w:ascii="Tw Cen MT" w:eastAsia="Twentieth Century" w:hAnsi="Tw Cen MT" w:cs="Twentieth Century"/>
          <w:sz w:val="24"/>
          <w:szCs w:val="24"/>
        </w:rPr>
        <w:t xml:space="preserve"> and </w:t>
      </w:r>
      <w:proofErr w:type="spellStart"/>
      <w:r w:rsidRPr="00DA202D">
        <w:rPr>
          <w:rFonts w:ascii="Tw Cen MT" w:eastAsia="Twentieth Century" w:hAnsi="Tw Cen MT" w:cs="Twentieth Century"/>
          <w:sz w:val="24"/>
          <w:szCs w:val="24"/>
        </w:rPr>
        <w:t>Sekolah</w:t>
      </w:r>
      <w:proofErr w:type="spellEnd"/>
      <w:r w:rsidRPr="00DA202D">
        <w:rPr>
          <w:rFonts w:ascii="Tw Cen MT" w:eastAsia="Twentieth Century" w:hAnsi="Tw Cen MT" w:cs="Twentieth Century"/>
          <w:sz w:val="24"/>
          <w:szCs w:val="24"/>
        </w:rPr>
        <w:t xml:space="preserve"> Tinggi </w:t>
      </w:r>
      <w:proofErr w:type="spellStart"/>
      <w:r w:rsidRPr="00DA202D">
        <w:rPr>
          <w:rFonts w:ascii="Tw Cen MT" w:eastAsia="Twentieth Century" w:hAnsi="Tw Cen MT" w:cs="Twentieth Century"/>
          <w:sz w:val="24"/>
          <w:szCs w:val="24"/>
        </w:rPr>
        <w:t>Ilmu</w:t>
      </w:r>
      <w:proofErr w:type="spellEnd"/>
      <w:r w:rsidRPr="00DA202D">
        <w:rPr>
          <w:rFonts w:ascii="Tw Cen MT" w:eastAsia="Twentieth Century" w:hAnsi="Tw Cen MT" w:cs="Twentieth Century"/>
          <w:sz w:val="24"/>
          <w:szCs w:val="24"/>
        </w:rPr>
        <w:t xml:space="preserve"> Kesehatan Har </w:t>
      </w:r>
      <w:proofErr w:type="spellStart"/>
      <w:r w:rsidRPr="00DA202D">
        <w:rPr>
          <w:rFonts w:ascii="Tw Cen MT" w:eastAsia="Twentieth Century" w:hAnsi="Tw Cen MT" w:cs="Twentieth Century"/>
          <w:sz w:val="24"/>
          <w:szCs w:val="24"/>
        </w:rPr>
        <w:t>Kausyar</w:t>
      </w:r>
      <w:proofErr w:type="spellEnd"/>
      <w:r w:rsidRPr="00DA202D">
        <w:rPr>
          <w:rFonts w:ascii="Tw Cen MT" w:eastAsia="Twentieth Century" w:hAnsi="Tw Cen MT" w:cs="Twentieth Century"/>
          <w:sz w:val="24"/>
          <w:szCs w:val="24"/>
        </w:rPr>
        <w:t xml:space="preserve"> The researcher would like to thank all those who have assisted in the process of collecting data for this Review </w:t>
      </w:r>
      <w:proofErr w:type="spellStart"/>
      <w:r w:rsidRPr="00DA202D">
        <w:rPr>
          <w:rFonts w:ascii="Tw Cen MT" w:eastAsia="Twentieth Century" w:hAnsi="Tw Cen MT" w:cs="Twentieth Century"/>
          <w:sz w:val="24"/>
          <w:szCs w:val="24"/>
        </w:rPr>
        <w:t>Literatur</w:t>
      </w:r>
      <w:proofErr w:type="spellEnd"/>
      <w:r w:rsidR="00245150" w:rsidRPr="00C94263">
        <w:rPr>
          <w:rFonts w:ascii="Tw Cen MT" w:eastAsia="Twentieth Century" w:hAnsi="Tw Cen MT" w:cs="Twentieth Century"/>
          <w:sz w:val="24"/>
          <w:szCs w:val="24"/>
        </w:rPr>
        <w:t>.</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061C1D64" w14:textId="6649B68B"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w:t>
      </w:r>
      <w:r w:rsidRPr="000D7A0D">
        <w:rPr>
          <w:rFonts w:ascii="Tw Cen MT" w:hAnsi="Tw Cen MT" w:cs="Times New Roman"/>
          <w:noProof/>
          <w:sz w:val="24"/>
          <w:szCs w:val="24"/>
        </w:rPr>
        <w:tab/>
        <w:t>A. B. Association, “National burn repository 2019 update: Report of data from 2009–2018.,” American Burn Association: Chicago, IL, USA, 60606</w:t>
      </w:r>
    </w:p>
    <w:p w14:paraId="7FA03188" w14:textId="34ECEE94"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[2]</w:t>
      </w:r>
      <w:r w:rsidRPr="000D7A0D">
        <w:rPr>
          <w:rFonts w:ascii="Tw Cen MT" w:hAnsi="Tw Cen MT" w:cs="Times New Roman"/>
          <w:noProof/>
          <w:sz w:val="24"/>
          <w:szCs w:val="24"/>
        </w:rPr>
        <w:tab/>
        <w:t xml:space="preserve">J. T. and H. X. Mingyao Wang , Xinxuan Xu, Xiongxin Lei, “Mesenchymal stem cell-based therapy for burn wound healing,” </w:t>
      </w:r>
      <w:r w:rsidRPr="000D7A0D">
        <w:rPr>
          <w:rFonts w:ascii="Tw Cen MT" w:hAnsi="Tw Cen MT" w:cs="Times New Roman"/>
          <w:i/>
          <w:iCs/>
          <w:noProof/>
          <w:sz w:val="24"/>
          <w:szCs w:val="24"/>
        </w:rPr>
        <w:t>Burn. Trauma</w:t>
      </w:r>
      <w:r w:rsidRPr="000D7A0D">
        <w:rPr>
          <w:rFonts w:ascii="Tw Cen MT" w:hAnsi="Tw Cen MT" w:cs="Times New Roman"/>
          <w:noProof/>
          <w:sz w:val="24"/>
          <w:szCs w:val="24"/>
        </w:rPr>
        <w:t>, vol. 9, 2021</w:t>
      </w:r>
    </w:p>
    <w:p w14:paraId="3F99350E" w14:textId="008975D1"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[3]</w:t>
      </w:r>
      <w:r w:rsidRPr="000D7A0D">
        <w:rPr>
          <w:rFonts w:ascii="Tw Cen MT" w:hAnsi="Tw Cen MT" w:cs="Times New Roman"/>
          <w:noProof/>
          <w:sz w:val="24"/>
          <w:szCs w:val="24"/>
        </w:rPr>
        <w:tab/>
        <w:t xml:space="preserve">M. G. Abdul Kareem, N., Aijaz, A., &amp; </w:t>
      </w:r>
      <w:r w:rsidRPr="000D7A0D">
        <w:rPr>
          <w:rFonts w:ascii="Tw Cen MT" w:hAnsi="Tw Cen MT" w:cs="Times New Roman"/>
          <w:noProof/>
          <w:sz w:val="24"/>
          <w:szCs w:val="24"/>
        </w:rPr>
        <w:t xml:space="preserve">Jeschke, “Stem cell therapy for burns: story so far.,” </w:t>
      </w:r>
      <w:r w:rsidRPr="000D7A0D">
        <w:rPr>
          <w:rFonts w:ascii="Tw Cen MT" w:hAnsi="Tw Cen MT" w:cs="Times New Roman"/>
          <w:i/>
          <w:iCs/>
          <w:noProof/>
          <w:sz w:val="24"/>
          <w:szCs w:val="24"/>
        </w:rPr>
        <w:t>Biol. Targets Ther.</w:t>
      </w:r>
      <w:r w:rsidRPr="000D7A0D">
        <w:rPr>
          <w:rFonts w:ascii="Tw Cen MT" w:hAnsi="Tw Cen MT" w:cs="Times New Roman"/>
          <w:noProof/>
          <w:sz w:val="24"/>
          <w:szCs w:val="24"/>
        </w:rPr>
        <w:t>, pp. 379-397., 2021</w:t>
      </w:r>
    </w:p>
    <w:p w14:paraId="73951D4B" w14:textId="6FBA030D"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[4]</w:t>
      </w:r>
      <w:r w:rsidRPr="000D7A0D">
        <w:rPr>
          <w:rFonts w:ascii="Tw Cen MT" w:hAnsi="Tw Cen MT" w:cs="Times New Roman"/>
          <w:noProof/>
          <w:sz w:val="24"/>
          <w:szCs w:val="24"/>
        </w:rPr>
        <w:tab/>
        <w:t xml:space="preserve">Z. A. Santoso, “Peran terapi mesenchymal stem cell (MSC) dalam penatalaksanaan luka bakar: sebuah tinjauan sistematis.,” </w:t>
      </w:r>
      <w:r w:rsidRPr="000D7A0D">
        <w:rPr>
          <w:rFonts w:ascii="Tw Cen MT" w:hAnsi="Tw Cen MT" w:cs="Times New Roman"/>
          <w:i/>
          <w:iCs/>
          <w:noProof/>
          <w:sz w:val="24"/>
          <w:szCs w:val="24"/>
        </w:rPr>
        <w:t>Intisari Sains Medis</w:t>
      </w:r>
      <w:r w:rsidRPr="000D7A0D">
        <w:rPr>
          <w:rFonts w:ascii="Tw Cen MT" w:hAnsi="Tw Cen MT" w:cs="Times New Roman"/>
          <w:noProof/>
          <w:sz w:val="24"/>
          <w:szCs w:val="24"/>
        </w:rPr>
        <w:t>, vol. 12, no. 3, pp. 927-933., 2021</w:t>
      </w:r>
    </w:p>
    <w:p w14:paraId="3A91C3D4" w14:textId="4E13ECDA"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[5]</w:t>
      </w:r>
      <w:r w:rsidRPr="000D7A0D">
        <w:rPr>
          <w:rFonts w:ascii="Tw Cen MT" w:hAnsi="Tw Cen MT" w:cs="Times New Roman"/>
          <w:noProof/>
          <w:sz w:val="24"/>
          <w:szCs w:val="24"/>
        </w:rPr>
        <w:tab/>
        <w:t xml:space="preserve">Z. Yi, H., Wang, Y., Yang, Z., &amp; Xie, “Efficacy assessment of mesenchymal stem cell transplantation for burn wounds in animals: a systematic review.,”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pp. 1-13., 2020</w:t>
      </w:r>
    </w:p>
    <w:p w14:paraId="05125FFB" w14:textId="6D724D05"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[6]</w:t>
      </w:r>
      <w:r w:rsidRPr="000D7A0D">
        <w:rPr>
          <w:rFonts w:ascii="Tw Cen MT" w:hAnsi="Tw Cen MT" w:cs="Times New Roman"/>
          <w:noProof/>
          <w:sz w:val="24"/>
          <w:szCs w:val="24"/>
        </w:rPr>
        <w:tab/>
        <w:t xml:space="preserve">Z. Ahmadi, A. R., Chicco, M., Huang, J., Qi, L., Burdick, J., Williams, G. M., ... &amp; Sun, “Stem cells in burn wound healing: A systematic review of the literature.,” </w:t>
      </w:r>
      <w:r w:rsidRPr="000D7A0D">
        <w:rPr>
          <w:rFonts w:ascii="Tw Cen MT" w:hAnsi="Tw Cen MT" w:cs="Times New Roman"/>
          <w:i/>
          <w:iCs/>
          <w:noProof/>
          <w:sz w:val="24"/>
          <w:szCs w:val="24"/>
        </w:rPr>
        <w:t>Burns</w:t>
      </w:r>
      <w:r w:rsidRPr="000D7A0D">
        <w:rPr>
          <w:rFonts w:ascii="Tw Cen MT" w:hAnsi="Tw Cen MT" w:cs="Times New Roman"/>
          <w:noProof/>
          <w:sz w:val="24"/>
          <w:szCs w:val="24"/>
        </w:rPr>
        <w:t>, vol. 45, no. 5, pp. 1014-1023., 2019</w:t>
      </w:r>
    </w:p>
    <w:p w14:paraId="2CF8C9FF" w14:textId="2193DB4E"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[7]</w:t>
      </w:r>
      <w:r w:rsidRPr="000D7A0D">
        <w:rPr>
          <w:rFonts w:ascii="Tw Cen MT" w:hAnsi="Tw Cen MT" w:cs="Times New Roman"/>
          <w:noProof/>
          <w:sz w:val="24"/>
          <w:szCs w:val="24"/>
        </w:rPr>
        <w:tab/>
        <w:t xml:space="preserve">C. Li, Y., Xia, W. D., Van der Merwe, L., Dai, W. T., &amp; Lin, “Efficacy of stem cell therapy for burn wounds: a systematic review and meta-analysis of preclinical studies.,”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no. 1, pp. 1-12., 2020</w:t>
      </w:r>
    </w:p>
    <w:p w14:paraId="5F69FCBF" w14:textId="40511248"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[8]</w:t>
      </w:r>
      <w:r w:rsidRPr="000D7A0D">
        <w:rPr>
          <w:rFonts w:ascii="Tw Cen MT" w:hAnsi="Tw Cen MT" w:cs="Times New Roman"/>
          <w:noProof/>
          <w:sz w:val="24"/>
          <w:szCs w:val="24"/>
        </w:rPr>
        <w:tab/>
        <w:t xml:space="preserve">A. Abbas, O. L., Özatik, O., Gönen, Z. B., Ögüt, S., Entok, E., Özatik, F. Y., ... &amp; Musmul, “Prevention of burn wound progression by mesenchymal stem cell transplantation: deeper insights into underlying mechanisms.,” </w:t>
      </w:r>
      <w:r w:rsidRPr="000D7A0D">
        <w:rPr>
          <w:rFonts w:ascii="Tw Cen MT" w:hAnsi="Tw Cen MT" w:cs="Times New Roman"/>
          <w:i/>
          <w:iCs/>
          <w:noProof/>
          <w:sz w:val="24"/>
          <w:szCs w:val="24"/>
        </w:rPr>
        <w:t>Ann. Plast. Surg.</w:t>
      </w:r>
      <w:r w:rsidRPr="000D7A0D">
        <w:rPr>
          <w:rFonts w:ascii="Tw Cen MT" w:hAnsi="Tw Cen MT" w:cs="Times New Roman"/>
          <w:noProof/>
          <w:sz w:val="24"/>
          <w:szCs w:val="24"/>
        </w:rPr>
        <w:t>, vol. 81, no. 6, pp. 715-724., 2018</w:t>
      </w:r>
    </w:p>
    <w:p w14:paraId="001225AD" w14:textId="013730EC"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[9]</w:t>
      </w:r>
      <w:r w:rsidRPr="000D7A0D">
        <w:rPr>
          <w:rFonts w:ascii="Tw Cen MT" w:hAnsi="Tw Cen MT" w:cs="Times New Roman"/>
          <w:noProof/>
          <w:sz w:val="24"/>
          <w:szCs w:val="24"/>
        </w:rPr>
        <w:tab/>
        <w:t xml:space="preserve">K. A. H. Abdel-Gawad, D. R. I., Moselhy, W. A., Ahmed, R. R., Al-Muzafar, H. M., Amin, K. A., Amin, M. M., ... &amp; Abdou, “Therapeutic effect of mesenchymal stem cells on histopathological, immunohistochemical, and molecular analysis in second-grade burn model.,”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12, no. 1, pp. 1-16., 2021</w:t>
      </w:r>
    </w:p>
    <w:p w14:paraId="533BFBBE" w14:textId="3D5C7C44"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[10]</w:t>
      </w:r>
      <w:r w:rsidRPr="000D7A0D">
        <w:rPr>
          <w:rFonts w:ascii="Tw Cen MT" w:hAnsi="Tw Cen MT" w:cs="Times New Roman"/>
          <w:noProof/>
          <w:sz w:val="24"/>
          <w:szCs w:val="24"/>
        </w:rPr>
        <w:tab/>
        <w:t xml:space="preserve">M. Afzali, L., Mirahmadi-Babaheydari, F., Shojaei-Ghahrizjani, F., Rahmati, S., Shahmoradi, B., &amp; Banitalebi-Dehkordi, “The effect of encapsulated umbilical cord-derived mesenchymal stem cells in </w:t>
      </w:r>
      <w:r w:rsidRPr="000D7A0D">
        <w:rPr>
          <w:rFonts w:ascii="Tw Cen MT" w:hAnsi="Tw Cen MT" w:cs="Times New Roman"/>
          <w:noProof/>
          <w:sz w:val="24"/>
          <w:szCs w:val="24"/>
        </w:rPr>
        <w:lastRenderedPageBreak/>
        <w:t xml:space="preserve">PRPCryogel on regeneration of grade-II burn wounds.,” </w:t>
      </w:r>
      <w:r w:rsidRPr="000D7A0D">
        <w:rPr>
          <w:rFonts w:ascii="Tw Cen MT" w:hAnsi="Tw Cen MT" w:cs="Times New Roman"/>
          <w:i/>
          <w:iCs/>
          <w:noProof/>
          <w:sz w:val="24"/>
          <w:szCs w:val="24"/>
        </w:rPr>
        <w:t>Regen. Eng. Transl. Med.</w:t>
      </w:r>
      <w:r w:rsidRPr="000D7A0D">
        <w:rPr>
          <w:rFonts w:ascii="Tw Cen MT" w:hAnsi="Tw Cen MT" w:cs="Times New Roman"/>
          <w:noProof/>
          <w:sz w:val="24"/>
          <w:szCs w:val="24"/>
        </w:rPr>
        <w:t>, pp. 1-11., 2020</w:t>
      </w:r>
    </w:p>
    <w:p w14:paraId="3F359412" w14:textId="20180ED4"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[11]</w:t>
      </w:r>
      <w:r w:rsidRPr="000D7A0D">
        <w:rPr>
          <w:rFonts w:ascii="Tw Cen MT" w:hAnsi="Tw Cen MT" w:cs="Times New Roman"/>
          <w:noProof/>
          <w:sz w:val="24"/>
          <w:szCs w:val="24"/>
        </w:rPr>
        <w:tab/>
        <w:t xml:space="preserve">D. K. Laksmitawati, D. R., Noor, S. U., Sumiyati, Y., Hartanto, A., Widowati, W., &amp; Pratami, “The effect of mesenchymal stem cell-conditioned medium gel on burn wound healing in rat.,” </w:t>
      </w:r>
      <w:r w:rsidRPr="000D7A0D">
        <w:rPr>
          <w:rFonts w:ascii="Tw Cen MT" w:hAnsi="Tw Cen MT" w:cs="Times New Roman"/>
          <w:i/>
          <w:iCs/>
          <w:noProof/>
          <w:sz w:val="24"/>
          <w:szCs w:val="24"/>
        </w:rPr>
        <w:t>Vet. World</w:t>
      </w:r>
      <w:r w:rsidRPr="000D7A0D">
        <w:rPr>
          <w:rFonts w:ascii="Tw Cen MT" w:hAnsi="Tw Cen MT" w:cs="Times New Roman"/>
          <w:noProof/>
          <w:sz w:val="24"/>
          <w:szCs w:val="24"/>
        </w:rPr>
        <w:t>, vol. 15, no. 4, p. 841., 2022</w:t>
      </w:r>
    </w:p>
    <w:p w14:paraId="057E5B2C" w14:textId="55FD9CF4"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[12]</w:t>
      </w:r>
      <w:r w:rsidRPr="000D7A0D">
        <w:rPr>
          <w:rFonts w:ascii="Tw Cen MT" w:hAnsi="Tw Cen MT" w:cs="Times New Roman"/>
          <w:noProof/>
          <w:sz w:val="24"/>
          <w:szCs w:val="24"/>
        </w:rPr>
        <w:tab/>
        <w:t xml:space="preserve">M. A. Aryan, A., Bayat, M., Bonakdar, S., Taheri, S., Haghparast, N., Bagheri, M., Piryaei, A. and Abdollahifar, “Human bone marrow mesenchymal stem cell conditioned medium promotes wound healing in deep second-degree burns in male rats.,” </w:t>
      </w:r>
      <w:r w:rsidRPr="000D7A0D">
        <w:rPr>
          <w:rFonts w:ascii="Tw Cen MT" w:hAnsi="Tw Cen MT" w:cs="Times New Roman"/>
          <w:i/>
          <w:iCs/>
          <w:noProof/>
          <w:sz w:val="24"/>
          <w:szCs w:val="24"/>
        </w:rPr>
        <w:t>Cells Tissues Organs</w:t>
      </w:r>
      <w:r w:rsidRPr="000D7A0D">
        <w:rPr>
          <w:rFonts w:ascii="Tw Cen MT" w:hAnsi="Tw Cen MT" w:cs="Times New Roman"/>
          <w:noProof/>
          <w:sz w:val="24"/>
          <w:szCs w:val="24"/>
        </w:rPr>
        <w:t>, vol. 206, no. 6, pp. 317–329, 2018</w:t>
      </w:r>
    </w:p>
    <w:p w14:paraId="5B7C5849" w14:textId="7D7B107B"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[13]</w:t>
      </w:r>
      <w:r w:rsidRPr="000D7A0D">
        <w:rPr>
          <w:rFonts w:ascii="Tw Cen MT" w:hAnsi="Tw Cen MT" w:cs="Times New Roman"/>
          <w:noProof/>
          <w:sz w:val="24"/>
          <w:szCs w:val="24"/>
        </w:rPr>
        <w:tab/>
        <w:t xml:space="preserve">M. Kawai, T., Katagiri, W., Osugi, M., Sugimura, Y., Hibi, H., &amp; Ueda, “Secretomes from bone marrow–derived mesenchymal stromal cells enhance periodontal tissue regeneration.,” </w:t>
      </w:r>
      <w:r w:rsidRPr="000D7A0D">
        <w:rPr>
          <w:rFonts w:ascii="Tw Cen MT" w:hAnsi="Tw Cen MT" w:cs="Times New Roman"/>
          <w:i/>
          <w:iCs/>
          <w:noProof/>
          <w:sz w:val="24"/>
          <w:szCs w:val="24"/>
        </w:rPr>
        <w:t>Cytotherapy</w:t>
      </w:r>
      <w:r w:rsidRPr="000D7A0D">
        <w:rPr>
          <w:rFonts w:ascii="Tw Cen MT" w:hAnsi="Tw Cen MT" w:cs="Times New Roman"/>
          <w:noProof/>
          <w:sz w:val="24"/>
          <w:szCs w:val="24"/>
        </w:rPr>
        <w:t>, vol. 17, no. 4, pp. 369-381., 2015</w:t>
      </w:r>
    </w:p>
    <w:p w14:paraId="4C53D64A" w14:textId="753448B3"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[14]</w:t>
      </w:r>
      <w:r w:rsidRPr="000D7A0D">
        <w:rPr>
          <w:rFonts w:ascii="Tw Cen MT" w:hAnsi="Tw Cen MT" w:cs="Times New Roman"/>
          <w:noProof/>
          <w:sz w:val="24"/>
          <w:szCs w:val="24"/>
        </w:rPr>
        <w:tab/>
        <w:t xml:space="preserve">S. Alapure, B. V., Lu, Y., He, M., Chu, C. C., Peng, H., Muhale, F., ... &amp; Hong, “Accelerate healing of severe burn wounds by mouse bone marrow mesenchymal stem cell-seeded biodegradable hydrogel scaffold synthesized from arginine-based poly (ester amide) and chitosan.,” </w:t>
      </w:r>
      <w:r w:rsidRPr="000D7A0D">
        <w:rPr>
          <w:rFonts w:ascii="Tw Cen MT" w:hAnsi="Tw Cen MT" w:cs="Times New Roman"/>
          <w:i/>
          <w:iCs/>
          <w:noProof/>
          <w:sz w:val="24"/>
          <w:szCs w:val="24"/>
        </w:rPr>
        <w:t>Stem Cells Dev.</w:t>
      </w:r>
      <w:r w:rsidRPr="000D7A0D">
        <w:rPr>
          <w:rFonts w:ascii="Tw Cen MT" w:hAnsi="Tw Cen MT" w:cs="Times New Roman"/>
          <w:noProof/>
          <w:sz w:val="24"/>
          <w:szCs w:val="24"/>
        </w:rPr>
        <w:t>, vol. 27, no. 23, pp. 1605-1620., 2018</w:t>
      </w:r>
    </w:p>
    <w:p w14:paraId="4750B2B1" w14:textId="71D5EB58"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[15]</w:t>
      </w:r>
      <w:r w:rsidRPr="000D7A0D">
        <w:rPr>
          <w:rFonts w:ascii="Tw Cen MT" w:hAnsi="Tw Cen MT" w:cs="Times New Roman"/>
          <w:noProof/>
          <w:sz w:val="24"/>
          <w:szCs w:val="24"/>
        </w:rPr>
        <w:tab/>
        <w:t xml:space="preserve">J. S. Kim, W. S., Park, B. S., Sung, J. H., Yang, J. M., Park, S. B., Kwak, S. J., &amp; Park, “Wound healing effect of adipose-derived stem cells: a critical role of secretory factors on human dermal fibroblasts.,” </w:t>
      </w:r>
      <w:r w:rsidRPr="000D7A0D">
        <w:rPr>
          <w:rFonts w:ascii="Tw Cen MT" w:hAnsi="Tw Cen MT" w:cs="Times New Roman"/>
          <w:i/>
          <w:iCs/>
          <w:noProof/>
          <w:sz w:val="24"/>
          <w:szCs w:val="24"/>
        </w:rPr>
        <w:t>J. Dermatol. Sci.</w:t>
      </w:r>
      <w:r w:rsidRPr="000D7A0D">
        <w:rPr>
          <w:rFonts w:ascii="Tw Cen MT" w:hAnsi="Tw Cen MT" w:cs="Times New Roman"/>
          <w:noProof/>
          <w:sz w:val="24"/>
          <w:szCs w:val="24"/>
        </w:rPr>
        <w:t>, vol. 48, no. 1, pp. 15-24., 2007</w:t>
      </w:r>
    </w:p>
    <w:p w14:paraId="7DE41A05" w14:textId="36B27399"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[16]</w:t>
      </w:r>
      <w:r w:rsidRPr="000D7A0D">
        <w:rPr>
          <w:rFonts w:ascii="Tw Cen MT" w:hAnsi="Tw Cen MT" w:cs="Times New Roman"/>
          <w:noProof/>
          <w:sz w:val="24"/>
          <w:szCs w:val="24"/>
        </w:rPr>
        <w:tab/>
        <w:t xml:space="preserve">W. E. B. Walter, M. N., Wright, K. T., Fuller, H. R., MacNeil, S., &amp; Johnson, “Mesenchymal stem cell-conditioned medium accelerates skin wound healing: an in vitro study of fibroblast and </w:t>
      </w:r>
      <w:r w:rsidRPr="000D7A0D">
        <w:rPr>
          <w:rFonts w:ascii="Tw Cen MT" w:hAnsi="Tw Cen MT" w:cs="Times New Roman"/>
          <w:noProof/>
          <w:sz w:val="24"/>
          <w:szCs w:val="24"/>
        </w:rPr>
        <w:t xml:space="preserve">keratinocyte scratch assays.,” </w:t>
      </w:r>
      <w:r w:rsidRPr="000D7A0D">
        <w:rPr>
          <w:rFonts w:ascii="Tw Cen MT" w:hAnsi="Tw Cen MT" w:cs="Times New Roman"/>
          <w:i/>
          <w:iCs/>
          <w:noProof/>
          <w:sz w:val="24"/>
          <w:szCs w:val="24"/>
        </w:rPr>
        <w:t>Exp. Cell Res.</w:t>
      </w:r>
      <w:r w:rsidRPr="000D7A0D">
        <w:rPr>
          <w:rFonts w:ascii="Tw Cen MT" w:hAnsi="Tw Cen MT" w:cs="Times New Roman"/>
          <w:noProof/>
          <w:sz w:val="24"/>
          <w:szCs w:val="24"/>
        </w:rPr>
        <w:t>, vol. 316, no. 7, pp. 1271-1281., 2010</w:t>
      </w:r>
    </w:p>
    <w:p w14:paraId="32C73D56" w14:textId="77098C52"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[17]</w:t>
      </w:r>
      <w:r w:rsidRPr="000D7A0D">
        <w:rPr>
          <w:rFonts w:ascii="Tw Cen MT" w:hAnsi="Tw Cen MT" w:cs="Times New Roman"/>
          <w:noProof/>
          <w:sz w:val="24"/>
          <w:szCs w:val="24"/>
        </w:rPr>
        <w:tab/>
        <w:t xml:space="preserve">B. S. Bhang, S. H., Lee, S., Shin, J. Y., Lee, T. J., Jang, H. K., &amp; Kim, “Efficacious and clinically relevant conditioned medium of human adipose-derived stem cells for therapeutic angiogenesis.,” </w:t>
      </w:r>
      <w:r w:rsidRPr="000D7A0D">
        <w:rPr>
          <w:rFonts w:ascii="Tw Cen MT" w:hAnsi="Tw Cen MT" w:cs="Times New Roman"/>
          <w:i/>
          <w:iCs/>
          <w:noProof/>
          <w:sz w:val="24"/>
          <w:szCs w:val="24"/>
        </w:rPr>
        <w:t>Mol. Ther.</w:t>
      </w:r>
      <w:r w:rsidRPr="000D7A0D">
        <w:rPr>
          <w:rFonts w:ascii="Tw Cen MT" w:hAnsi="Tw Cen MT" w:cs="Times New Roman"/>
          <w:noProof/>
          <w:sz w:val="24"/>
          <w:szCs w:val="24"/>
        </w:rPr>
        <w:t>, vol. 22, no. 4, pp. 862-872., 2014</w:t>
      </w:r>
    </w:p>
    <w:p w14:paraId="2088C81D" w14:textId="44591A87" w:rsidR="00DA202D" w:rsidRPr="000D7A0D" w:rsidRDefault="00DA202D" w:rsidP="00DA202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D7A0D">
        <w:rPr>
          <w:rFonts w:ascii="Tw Cen MT" w:hAnsi="Tw Cen MT" w:cs="Times New Roman"/>
          <w:noProof/>
          <w:sz w:val="24"/>
          <w:szCs w:val="24"/>
        </w:rPr>
        <w:t>[18]</w:t>
      </w:r>
      <w:r w:rsidRPr="000D7A0D">
        <w:rPr>
          <w:rFonts w:ascii="Tw Cen MT" w:hAnsi="Tw Cen MT" w:cs="Times New Roman"/>
          <w:noProof/>
          <w:sz w:val="24"/>
          <w:szCs w:val="24"/>
        </w:rPr>
        <w:tab/>
        <w:t xml:space="preserve">B. S. Kwon, S. H., Bhang, S. H., Jang, H. K., Rhim, T., &amp; Kim, “Conditioned medium of adipose-derived stromal cell culture in three-dimensional bioreactors for enhanced wound healing.,” </w:t>
      </w:r>
      <w:r w:rsidRPr="000D7A0D">
        <w:rPr>
          <w:rFonts w:ascii="Tw Cen MT" w:hAnsi="Tw Cen MT" w:cs="Times New Roman"/>
          <w:i/>
          <w:iCs/>
          <w:noProof/>
          <w:sz w:val="24"/>
          <w:szCs w:val="24"/>
        </w:rPr>
        <w:t>J. Surg. Res.</w:t>
      </w:r>
      <w:r w:rsidRPr="000D7A0D">
        <w:rPr>
          <w:rFonts w:ascii="Tw Cen MT" w:hAnsi="Tw Cen MT" w:cs="Times New Roman"/>
          <w:noProof/>
          <w:sz w:val="24"/>
          <w:szCs w:val="24"/>
        </w:rPr>
        <w:t>, vol. 194, no. 1, pp. 8-17., 2015</w:t>
      </w:r>
    </w:p>
    <w:p w14:paraId="1145E53C" w14:textId="3A71B908" w:rsidR="007F4948" w:rsidRPr="00245150" w:rsidRDefault="00DA202D" w:rsidP="00DA202D">
      <w:pPr>
        <w:spacing w:after="0" w:line="240" w:lineRule="auto"/>
        <w:ind w:left="567" w:right="-1" w:hanging="567"/>
        <w:jc w:val="both"/>
        <w:rPr>
          <w:rFonts w:ascii="Tw Cen MT" w:eastAsia="Twentieth Century" w:hAnsi="Tw Cen MT" w:cs="Twentieth Century"/>
          <w:sz w:val="24"/>
          <w:szCs w:val="24"/>
        </w:rPr>
      </w:pPr>
      <w:r w:rsidRPr="000D7A0D">
        <w:rPr>
          <w:rFonts w:ascii="Tw Cen MT" w:hAnsi="Tw Cen MT" w:cs="Times New Roman"/>
          <w:noProof/>
          <w:sz w:val="24"/>
          <w:szCs w:val="24"/>
        </w:rPr>
        <w:t>[19]</w:t>
      </w:r>
      <w:r w:rsidRPr="000D7A0D">
        <w:rPr>
          <w:rFonts w:ascii="Tw Cen MT" w:hAnsi="Tw Cen MT" w:cs="Times New Roman"/>
          <w:noProof/>
          <w:sz w:val="24"/>
          <w:szCs w:val="24"/>
        </w:rPr>
        <w:tab/>
        <w:t xml:space="preserve">D. Zhou, B. R., Xu, Y., Guo, S. L., Xu, Y., Wang, Y., Zhu, F., ... &amp; Luo, “The effect of conditioned media of adipose-derived stem cells on wound healing after ablative fractional carbon dioxide laser resurfacing.,” </w:t>
      </w:r>
      <w:r w:rsidRPr="000D7A0D">
        <w:rPr>
          <w:rFonts w:ascii="Tw Cen MT" w:hAnsi="Tw Cen MT" w:cs="Times New Roman"/>
          <w:i/>
          <w:iCs/>
          <w:noProof/>
          <w:sz w:val="24"/>
          <w:szCs w:val="24"/>
        </w:rPr>
        <w:t>Biomed Res. Int.</w:t>
      </w:r>
      <w:r w:rsidRPr="000D7A0D">
        <w:rPr>
          <w:rFonts w:ascii="Tw Cen MT" w:hAnsi="Tw Cen MT" w:cs="Times New Roman"/>
          <w:noProof/>
          <w:sz w:val="24"/>
          <w:szCs w:val="24"/>
        </w:rPr>
        <w:t>, 2013</w:t>
      </w: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CC20" w14:textId="77777777" w:rsidR="004B2C56" w:rsidRDefault="004B2C56">
      <w:pPr>
        <w:spacing w:after="0" w:line="240" w:lineRule="auto"/>
      </w:pPr>
      <w:r>
        <w:separator/>
      </w:r>
    </w:p>
  </w:endnote>
  <w:endnote w:type="continuationSeparator" w:id="0">
    <w:p w14:paraId="07B5F583" w14:textId="77777777" w:rsidR="004B2C56" w:rsidRDefault="004B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 New Roman Bold">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08CC" w14:textId="77777777" w:rsidR="00514F63" w:rsidRDefault="00514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068858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514F63">
              <w:rPr>
                <w:rFonts w:ascii="Tw Cen MT" w:hAnsi="Tw Cen MT"/>
                <w:color w:val="000000" w:themeColor="text1"/>
                <w:sz w:val="20"/>
                <w:szCs w:val="24"/>
                <w:lang w:val="en-ID"/>
              </w:rPr>
              <w:t>Marlina</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514F63">
              <w:rPr>
                <w:rFonts w:ascii="Tw Cen MT" w:hAnsi="Tw Cen MT"/>
                <w:color w:val="000000" w:themeColor="text1"/>
                <w:sz w:val="20"/>
                <w:szCs w:val="24"/>
                <w:lang w:val="en-ID"/>
              </w:rPr>
              <w:t>marlina@phar.unand.ac.id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7906" w14:textId="77777777" w:rsidR="00514F63" w:rsidRDefault="0051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9B24" w14:textId="77777777" w:rsidR="004B2C56" w:rsidRDefault="004B2C56">
      <w:pPr>
        <w:spacing w:after="0" w:line="240" w:lineRule="auto"/>
      </w:pPr>
      <w:r>
        <w:separator/>
      </w:r>
    </w:p>
  </w:footnote>
  <w:footnote w:type="continuationSeparator" w:id="0">
    <w:p w14:paraId="4507DD67" w14:textId="77777777" w:rsidR="004B2C56" w:rsidRDefault="004B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3A5B" w14:textId="77777777" w:rsidR="00514F63" w:rsidRDefault="00514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FCBC2E6"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pp.</w:t>
        </w:r>
        <w:r w:rsidR="00600C8A">
          <w:rPr>
            <w:rFonts w:ascii="Tw Cen MT" w:hAnsi="Tw Cen MT" w:cstheme="minorBidi"/>
            <w:sz w:val="20"/>
            <w:szCs w:val="20"/>
          </w:rPr>
          <w:t xml:space="preserve">15 </w:t>
        </w:r>
        <w:r w:rsidR="00D0123F">
          <w:rPr>
            <w:rFonts w:ascii="Tw Cen MT" w:hAnsi="Tw Cen MT" w:cstheme="minorBidi"/>
            <w:sz w:val="20"/>
            <w:szCs w:val="20"/>
          </w:rPr>
          <w:t>-</w:t>
        </w:r>
        <w:r w:rsidR="00600C8A">
          <w:rPr>
            <w:rFonts w:ascii="Tw Cen MT" w:hAnsi="Tw Cen MT" w:cstheme="minorBidi"/>
            <w:sz w:val="20"/>
            <w:szCs w:val="20"/>
          </w:rPr>
          <w:t>20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A344" w14:textId="77777777" w:rsidR="00514F63" w:rsidRDefault="00514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0E3721"/>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B2C56"/>
    <w:rsid w:val="004B41B7"/>
    <w:rsid w:val="004C01E6"/>
    <w:rsid w:val="004E128A"/>
    <w:rsid w:val="004F0C66"/>
    <w:rsid w:val="00514F63"/>
    <w:rsid w:val="005424FD"/>
    <w:rsid w:val="005458B9"/>
    <w:rsid w:val="005471FC"/>
    <w:rsid w:val="005642A1"/>
    <w:rsid w:val="00565328"/>
    <w:rsid w:val="005C1635"/>
    <w:rsid w:val="005C30BC"/>
    <w:rsid w:val="005C5210"/>
    <w:rsid w:val="005E0707"/>
    <w:rsid w:val="00600C8A"/>
    <w:rsid w:val="00624B47"/>
    <w:rsid w:val="006334E1"/>
    <w:rsid w:val="006431BA"/>
    <w:rsid w:val="00655189"/>
    <w:rsid w:val="00657FD7"/>
    <w:rsid w:val="00665737"/>
    <w:rsid w:val="00673A17"/>
    <w:rsid w:val="00680229"/>
    <w:rsid w:val="006B1D84"/>
    <w:rsid w:val="006D261F"/>
    <w:rsid w:val="007006B9"/>
    <w:rsid w:val="007106F6"/>
    <w:rsid w:val="00715886"/>
    <w:rsid w:val="007368A2"/>
    <w:rsid w:val="00762C0B"/>
    <w:rsid w:val="00765F40"/>
    <w:rsid w:val="007A1AEF"/>
    <w:rsid w:val="007A770B"/>
    <w:rsid w:val="007D6D9D"/>
    <w:rsid w:val="007E655E"/>
    <w:rsid w:val="007F4948"/>
    <w:rsid w:val="00812425"/>
    <w:rsid w:val="0081569B"/>
    <w:rsid w:val="0086728C"/>
    <w:rsid w:val="008933F7"/>
    <w:rsid w:val="008A326F"/>
    <w:rsid w:val="00942731"/>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D3449"/>
    <w:rsid w:val="00BE5EEC"/>
    <w:rsid w:val="00BE7B4C"/>
    <w:rsid w:val="00C133E7"/>
    <w:rsid w:val="00C20FA8"/>
    <w:rsid w:val="00C812B9"/>
    <w:rsid w:val="00C96B4B"/>
    <w:rsid w:val="00CB0A6C"/>
    <w:rsid w:val="00CB3237"/>
    <w:rsid w:val="00CD6253"/>
    <w:rsid w:val="00CF5715"/>
    <w:rsid w:val="00D0123F"/>
    <w:rsid w:val="00D06530"/>
    <w:rsid w:val="00D2571D"/>
    <w:rsid w:val="00D31D13"/>
    <w:rsid w:val="00D376A1"/>
    <w:rsid w:val="00D37FC1"/>
    <w:rsid w:val="00D428B5"/>
    <w:rsid w:val="00D44301"/>
    <w:rsid w:val="00D466FC"/>
    <w:rsid w:val="00D56013"/>
    <w:rsid w:val="00D70D6D"/>
    <w:rsid w:val="00D9262D"/>
    <w:rsid w:val="00D9785A"/>
    <w:rsid w:val="00DA202D"/>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2A0"/>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 New Roman Bold">
    <w:panose1 w:val="020B0604020202020204"/>
    <w:charset w:val="00"/>
    <w:family w:val="auto"/>
    <w:pitch w:val="variable"/>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5F769C"/>
    <w:rsid w:val="00637CD0"/>
    <w:rsid w:val="00A85543"/>
    <w:rsid w:val="00B5343C"/>
    <w:rsid w:val="00BB452F"/>
    <w:rsid w:val="00D9247A"/>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6709</Words>
  <Characters>41663</Characters>
  <Application>Microsoft Office Word</Application>
  <DocSecurity>0</DocSecurity>
  <Lines>1602</Lines>
  <Paragraphs>431</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pp.15 -20		                                                                                                        ISSN 2715-1115 (Online), ISSN 2302 – 8610 (Print)</dc:title>
  <dc:creator>Marlina and marlina@phar.unand.ac.id</dc:creator>
  <cp:lastModifiedBy>ira@pkr.ac.id</cp:lastModifiedBy>
  <cp:revision>3</cp:revision>
  <cp:lastPrinted>2023-05-31T06:56:00Z</cp:lastPrinted>
  <dcterms:created xsi:type="dcterms:W3CDTF">2023-05-31T06:56:00Z</dcterms:created>
  <dcterms:modified xsi:type="dcterms:W3CDTF">2023-05-31T06:57:00Z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