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61E0" w14:textId="348E7289" w:rsidR="00E90998" w:rsidRPr="00E90998" w:rsidRDefault="00E90998" w:rsidP="00E90998">
      <w:pPr>
        <w:spacing w:after="0" w:line="240" w:lineRule="auto"/>
        <w:rPr>
          <w:rFonts w:ascii="Twentieth Century" w:eastAsia="Twentieth Century" w:hAnsi="Twentieth Century" w:cs="Twentieth Century"/>
          <w:bCs/>
          <w:color w:val="FF0000"/>
          <w:sz w:val="24"/>
          <w:szCs w:val="24"/>
        </w:rPr>
      </w:pPr>
      <w:proofErr w:type="spellStart"/>
      <w:r w:rsidRPr="00E90998">
        <w:rPr>
          <w:rFonts w:ascii="Twentieth Century" w:eastAsia="Twentieth Century" w:hAnsi="Twentieth Century" w:cs="Twentieth Century"/>
          <w:bCs/>
          <w:color w:val="FF0000"/>
          <w:sz w:val="24"/>
          <w:szCs w:val="24"/>
        </w:rPr>
        <w:t>Silahkan</w:t>
      </w:r>
      <w:proofErr w:type="spellEnd"/>
      <w:r w:rsidRPr="00E90998">
        <w:rPr>
          <w:rFonts w:ascii="Twentieth Century" w:eastAsia="Twentieth Century" w:hAnsi="Twentieth Century" w:cs="Twentieth Century"/>
          <w:bCs/>
          <w:color w:val="FF0000"/>
          <w:sz w:val="24"/>
          <w:szCs w:val="24"/>
        </w:rPr>
        <w:t xml:space="preserve"> </w:t>
      </w:r>
      <w:proofErr w:type="spellStart"/>
      <w:r w:rsidRPr="00E90998">
        <w:rPr>
          <w:rFonts w:ascii="Twentieth Century" w:eastAsia="Twentieth Century" w:hAnsi="Twentieth Century" w:cs="Twentieth Century"/>
          <w:bCs/>
          <w:color w:val="FF0000"/>
          <w:sz w:val="24"/>
          <w:szCs w:val="24"/>
        </w:rPr>
        <w:t>diperbaiki</w:t>
      </w:r>
      <w:proofErr w:type="spellEnd"/>
      <w:r w:rsidRPr="00E90998">
        <w:rPr>
          <w:rFonts w:ascii="Twentieth Century" w:eastAsia="Twentieth Century" w:hAnsi="Twentieth Century" w:cs="Twentieth Century"/>
          <w:bCs/>
          <w:color w:val="FF0000"/>
          <w:sz w:val="24"/>
          <w:szCs w:val="24"/>
        </w:rPr>
        <w:t xml:space="preserve"> </w:t>
      </w:r>
      <w:proofErr w:type="spellStart"/>
      <w:r w:rsidRPr="00E90998">
        <w:rPr>
          <w:rFonts w:ascii="Twentieth Century" w:eastAsia="Twentieth Century" w:hAnsi="Twentieth Century" w:cs="Twentieth Century"/>
          <w:bCs/>
          <w:color w:val="FF0000"/>
          <w:sz w:val="24"/>
          <w:szCs w:val="24"/>
        </w:rPr>
        <w:t>sesuai</w:t>
      </w:r>
      <w:proofErr w:type="spellEnd"/>
      <w:r w:rsidRPr="00E90998">
        <w:rPr>
          <w:rFonts w:ascii="Twentieth Century" w:eastAsia="Twentieth Century" w:hAnsi="Twentieth Century" w:cs="Twentieth Century"/>
          <w:bCs/>
          <w:color w:val="FF0000"/>
          <w:sz w:val="24"/>
          <w:szCs w:val="24"/>
        </w:rPr>
        <w:t xml:space="preserve"> template: </w:t>
      </w:r>
      <w:hyperlink r:id="rId8" w:history="1">
        <w:r w:rsidRPr="00E90998">
          <w:rPr>
            <w:rStyle w:val="Hyperlink"/>
            <w:rFonts w:ascii="Twentieth Century" w:eastAsia="Twentieth Century" w:hAnsi="Twentieth Century" w:cs="Twentieth Century"/>
            <w:bCs/>
            <w:color w:val="FF0000"/>
            <w:sz w:val="24"/>
            <w:szCs w:val="24"/>
          </w:rPr>
          <w:t>https://docs.google.com/document/d/1nkjePruw-OnseETVEhbqICkidDbnvb31/edit</w:t>
        </w:r>
      </w:hyperlink>
    </w:p>
    <w:p w14:paraId="460E236B" w14:textId="48E7B504" w:rsidR="00E90998" w:rsidRDefault="00E90998" w:rsidP="00E90998">
      <w:pPr>
        <w:spacing w:after="0" w:line="240" w:lineRule="auto"/>
        <w:rPr>
          <w:rFonts w:ascii="Twentieth Century" w:eastAsia="Twentieth Century" w:hAnsi="Twentieth Century" w:cs="Twentieth Century"/>
          <w:bCs/>
          <w:color w:val="FF0000"/>
          <w:sz w:val="24"/>
          <w:szCs w:val="24"/>
        </w:rPr>
      </w:pPr>
      <w:r w:rsidRPr="00E90998">
        <w:rPr>
          <w:rFonts w:ascii="Twentieth Century" w:eastAsia="Twentieth Century" w:hAnsi="Twentieth Century" w:cs="Twentieth Century"/>
          <w:bCs/>
          <w:color w:val="FF0000"/>
          <w:sz w:val="24"/>
          <w:szCs w:val="24"/>
        </w:rPr>
        <w:t xml:space="preserve">Tulisan </w:t>
      </w:r>
      <w:proofErr w:type="spellStart"/>
      <w:r w:rsidRPr="00E90998">
        <w:rPr>
          <w:rFonts w:ascii="Twentieth Century" w:eastAsia="Twentieth Century" w:hAnsi="Twentieth Century" w:cs="Twentieth Century"/>
          <w:bCs/>
          <w:color w:val="FF0000"/>
          <w:sz w:val="24"/>
          <w:szCs w:val="24"/>
        </w:rPr>
        <w:t>menggunakan</w:t>
      </w:r>
      <w:proofErr w:type="spellEnd"/>
      <w:r w:rsidRPr="00E90998">
        <w:rPr>
          <w:rFonts w:ascii="Twentieth Century" w:eastAsia="Twentieth Century" w:hAnsi="Twentieth Century" w:cs="Twentieth Century"/>
          <w:bCs/>
          <w:color w:val="FF0000"/>
          <w:sz w:val="24"/>
          <w:szCs w:val="24"/>
        </w:rPr>
        <w:t xml:space="preserve"> font Tw Cent MT</w:t>
      </w:r>
      <w:r>
        <w:rPr>
          <w:rFonts w:ascii="Twentieth Century" w:eastAsia="Twentieth Century" w:hAnsi="Twentieth Century" w:cs="Twentieth Century"/>
          <w:bCs/>
          <w:color w:val="FF0000"/>
          <w:sz w:val="24"/>
          <w:szCs w:val="24"/>
        </w:rPr>
        <w:t xml:space="preserve">, </w:t>
      </w:r>
      <w:proofErr w:type="spellStart"/>
      <w:r>
        <w:rPr>
          <w:rFonts w:ascii="Twentieth Century" w:eastAsia="Twentieth Century" w:hAnsi="Twentieth Century" w:cs="Twentieth Century"/>
          <w:bCs/>
          <w:color w:val="FF0000"/>
          <w:sz w:val="24"/>
          <w:szCs w:val="24"/>
        </w:rPr>
        <w:t>spasi</w:t>
      </w:r>
      <w:proofErr w:type="spellEnd"/>
      <w:r>
        <w:rPr>
          <w:rFonts w:ascii="Twentieth Century" w:eastAsia="Twentieth Century" w:hAnsi="Twentieth Century" w:cs="Twentieth Century"/>
          <w:bCs/>
          <w:color w:val="FF0000"/>
          <w:sz w:val="24"/>
          <w:szCs w:val="24"/>
        </w:rPr>
        <w:t xml:space="preserve"> 1</w:t>
      </w:r>
    </w:p>
    <w:p w14:paraId="47C8F0D9" w14:textId="272F6BD9" w:rsidR="00E90998" w:rsidRDefault="00E90998" w:rsidP="00E90998">
      <w:pPr>
        <w:spacing w:after="0" w:line="240" w:lineRule="auto"/>
        <w:rPr>
          <w:rFonts w:ascii="Twentieth Century" w:eastAsia="Twentieth Century" w:hAnsi="Twentieth Century" w:cs="Twentieth Century"/>
          <w:bCs/>
          <w:color w:val="FF0000"/>
          <w:sz w:val="24"/>
          <w:szCs w:val="24"/>
        </w:rPr>
      </w:pPr>
      <w:r>
        <w:rPr>
          <w:rFonts w:ascii="Twentieth Century" w:eastAsia="Twentieth Century" w:hAnsi="Twentieth Century" w:cs="Twentieth Century"/>
          <w:bCs/>
          <w:color w:val="FF0000"/>
          <w:sz w:val="24"/>
          <w:szCs w:val="24"/>
        </w:rPr>
        <w:t xml:space="preserve">Kata </w:t>
      </w:r>
      <w:proofErr w:type="spellStart"/>
      <w:r>
        <w:rPr>
          <w:rFonts w:ascii="Twentieth Century" w:eastAsia="Twentieth Century" w:hAnsi="Twentieth Century" w:cs="Twentieth Century"/>
          <w:bCs/>
          <w:color w:val="FF0000"/>
          <w:sz w:val="24"/>
          <w:szCs w:val="24"/>
        </w:rPr>
        <w:t>asing</w:t>
      </w:r>
      <w:proofErr w:type="spellEnd"/>
      <w:r>
        <w:rPr>
          <w:rFonts w:ascii="Twentieth Century" w:eastAsia="Twentieth Century" w:hAnsi="Twentieth Century" w:cs="Twentieth Century"/>
          <w:bCs/>
          <w:color w:val="FF0000"/>
          <w:sz w:val="24"/>
          <w:szCs w:val="24"/>
        </w:rPr>
        <w:t xml:space="preserve"> </w:t>
      </w:r>
      <w:r w:rsidRPr="00E90998">
        <w:rPr>
          <w:rFonts w:ascii="Twentieth Century" w:eastAsia="Twentieth Century" w:hAnsi="Twentieth Century" w:cs="Twentieth Century"/>
          <w:bCs/>
          <w:color w:val="FF0000"/>
          <w:sz w:val="24"/>
          <w:szCs w:val="24"/>
        </w:rPr>
        <w:sym w:font="Wingdings" w:char="F0E0"/>
      </w:r>
      <w:r>
        <w:rPr>
          <w:rFonts w:ascii="Twentieth Century" w:eastAsia="Twentieth Century" w:hAnsi="Twentieth Century" w:cs="Twentieth Century"/>
          <w:bCs/>
          <w:color w:val="FF0000"/>
          <w:sz w:val="24"/>
          <w:szCs w:val="24"/>
        </w:rPr>
        <w:t xml:space="preserve"> tulisan </w:t>
      </w:r>
      <w:proofErr w:type="spellStart"/>
      <w:r>
        <w:rPr>
          <w:rFonts w:ascii="Twentieth Century" w:eastAsia="Twentieth Century" w:hAnsi="Twentieth Century" w:cs="Twentieth Century"/>
          <w:bCs/>
          <w:color w:val="FF0000"/>
          <w:sz w:val="24"/>
          <w:szCs w:val="24"/>
        </w:rPr>
        <w:t>dimiringkan</w:t>
      </w:r>
      <w:proofErr w:type="spellEnd"/>
    </w:p>
    <w:p w14:paraId="50C46D2F" w14:textId="1BE53AA3" w:rsidR="00E90998" w:rsidRDefault="00E90998" w:rsidP="00E90998">
      <w:pPr>
        <w:spacing w:after="0" w:line="240" w:lineRule="auto"/>
        <w:rPr>
          <w:rFonts w:ascii="Twentieth Century" w:eastAsia="Twentieth Century" w:hAnsi="Twentieth Century" w:cs="Twentieth Century"/>
          <w:bCs/>
          <w:color w:val="FF0000"/>
          <w:sz w:val="24"/>
          <w:szCs w:val="24"/>
        </w:rPr>
      </w:pPr>
      <w:proofErr w:type="spellStart"/>
      <w:r>
        <w:rPr>
          <w:rFonts w:ascii="Twentieth Century" w:eastAsia="Twentieth Century" w:hAnsi="Twentieth Century" w:cs="Twentieth Century"/>
          <w:bCs/>
          <w:color w:val="FF0000"/>
          <w:sz w:val="24"/>
          <w:szCs w:val="24"/>
        </w:rPr>
        <w:t>Untuk</w:t>
      </w:r>
      <w:proofErr w:type="spellEnd"/>
      <w:r>
        <w:rPr>
          <w:rFonts w:ascii="Twentieth Century" w:eastAsia="Twentieth Century" w:hAnsi="Twentieth Century" w:cs="Twentieth Century"/>
          <w:bCs/>
          <w:color w:val="FF0000"/>
          <w:sz w:val="24"/>
          <w:szCs w:val="24"/>
        </w:rPr>
        <w:t xml:space="preserve"> table </w:t>
      </w:r>
      <w:r w:rsidRPr="00E90998">
        <w:rPr>
          <w:rFonts w:ascii="Twentieth Century" w:eastAsia="Twentieth Century" w:hAnsi="Twentieth Century" w:cs="Twentieth Century"/>
          <w:bCs/>
          <w:color w:val="FF0000"/>
          <w:sz w:val="24"/>
          <w:szCs w:val="24"/>
        </w:rPr>
        <w:sym w:font="Wingdings" w:char="F0E0"/>
      </w:r>
      <w:r>
        <w:rPr>
          <w:rFonts w:ascii="Twentieth Century" w:eastAsia="Twentieth Century" w:hAnsi="Twentieth Century" w:cs="Twentieth Century"/>
          <w:bCs/>
          <w:color w:val="FF0000"/>
          <w:sz w:val="24"/>
          <w:szCs w:val="24"/>
        </w:rPr>
        <w:t xml:space="preserve"> </w:t>
      </w:r>
      <w:proofErr w:type="spellStart"/>
      <w:r>
        <w:rPr>
          <w:rFonts w:ascii="Twentieth Century" w:eastAsia="Twentieth Century" w:hAnsi="Twentieth Century" w:cs="Twentieth Century"/>
          <w:bCs/>
          <w:color w:val="FF0000"/>
          <w:sz w:val="24"/>
          <w:szCs w:val="24"/>
        </w:rPr>
        <w:t>ukuran</w:t>
      </w:r>
      <w:proofErr w:type="spellEnd"/>
      <w:r>
        <w:rPr>
          <w:rFonts w:ascii="Twentieth Century" w:eastAsia="Twentieth Century" w:hAnsi="Twentieth Century" w:cs="Twentieth Century"/>
          <w:bCs/>
          <w:color w:val="FF0000"/>
          <w:sz w:val="24"/>
          <w:szCs w:val="24"/>
        </w:rPr>
        <w:t xml:space="preserve"> font 10</w:t>
      </w:r>
    </w:p>
    <w:p w14:paraId="664F9E05" w14:textId="77777777" w:rsidR="00E90998" w:rsidRPr="00E90998" w:rsidRDefault="00E90998" w:rsidP="00E90998">
      <w:pPr>
        <w:spacing w:after="0" w:line="240" w:lineRule="auto"/>
        <w:rPr>
          <w:rFonts w:ascii="Twentieth Century" w:eastAsia="Twentieth Century" w:hAnsi="Twentieth Century" w:cs="Twentieth Century"/>
          <w:bCs/>
          <w:color w:val="FF0000"/>
          <w:sz w:val="24"/>
          <w:szCs w:val="24"/>
        </w:rPr>
      </w:pPr>
    </w:p>
    <w:p w14:paraId="3E410D2D" w14:textId="5B185024" w:rsidR="00FD35AB" w:rsidRPr="00E47A49" w:rsidRDefault="00A2263F">
      <w:pPr>
        <w:spacing w:after="0" w:line="240" w:lineRule="auto"/>
        <w:jc w:val="center"/>
        <w:rPr>
          <w:rFonts w:ascii="Twentieth Century" w:eastAsia="Twentieth Century" w:hAnsi="Twentieth Century" w:cs="Twentieth Century"/>
          <w:b/>
          <w:sz w:val="32"/>
          <w:szCs w:val="32"/>
        </w:rPr>
      </w:pPr>
      <w:r w:rsidRPr="00E47A49">
        <w:rPr>
          <w:rFonts w:ascii="Twentieth Century" w:eastAsia="Twentieth Century" w:hAnsi="Twentieth Century" w:cs="Twentieth Century"/>
          <w:b/>
          <w:sz w:val="32"/>
          <w:szCs w:val="32"/>
        </w:rPr>
        <w:t xml:space="preserve">The Influence of Therapeutic Group Therapy (TKT), Health Education and Thought </w:t>
      </w:r>
      <w:proofErr w:type="spellStart"/>
      <w:r w:rsidRPr="00E47A49">
        <w:rPr>
          <w:rFonts w:ascii="Twentieth Century" w:eastAsia="Twentieth Century" w:hAnsi="Twentieth Century" w:cs="Twentieth Century"/>
          <w:b/>
          <w:sz w:val="32"/>
          <w:szCs w:val="32"/>
        </w:rPr>
        <w:t>Stoping</w:t>
      </w:r>
      <w:proofErr w:type="spellEnd"/>
      <w:r w:rsidRPr="00E47A49">
        <w:rPr>
          <w:rFonts w:ascii="Twentieth Century" w:eastAsia="Twentieth Century" w:hAnsi="Twentieth Century" w:cs="Twentieth Century"/>
          <w:b/>
          <w:sz w:val="32"/>
          <w:szCs w:val="32"/>
        </w:rPr>
        <w:t xml:space="preserve"> (TS) on the Anxiety Level of Children’s Anxiety Levels at Menarche</w:t>
      </w:r>
    </w:p>
    <w:p w14:paraId="60A3401A" w14:textId="77777777" w:rsidR="00FD35AB" w:rsidRPr="00E47A49" w:rsidRDefault="00FD35AB">
      <w:pPr>
        <w:spacing w:after="0" w:line="240" w:lineRule="auto"/>
        <w:jc w:val="center"/>
        <w:rPr>
          <w:rFonts w:ascii="Twentieth Century" w:eastAsia="Twentieth Century" w:hAnsi="Twentieth Century" w:cs="Twentieth Century"/>
          <w:b/>
          <w:sz w:val="32"/>
          <w:szCs w:val="32"/>
        </w:rPr>
      </w:pPr>
      <w:bookmarkStart w:id="0" w:name="_heading=h.2zvyxk7t70gr" w:colFirst="0" w:colLast="0"/>
      <w:bookmarkEnd w:id="0"/>
    </w:p>
    <w:p w14:paraId="71DF0D98" w14:textId="77777777" w:rsidR="00FD35AB" w:rsidRPr="00E47A49" w:rsidRDefault="00A2263F" w:rsidP="00A2263F">
      <w:pPr>
        <w:spacing w:after="0" w:line="240" w:lineRule="auto"/>
        <w:jc w:val="center"/>
        <w:rPr>
          <w:rFonts w:ascii="Twentieth Century" w:eastAsia="Twentieth Century" w:hAnsi="Twentieth Century" w:cs="Twentieth Century"/>
          <w:b/>
          <w:sz w:val="32"/>
          <w:szCs w:val="32"/>
        </w:rPr>
      </w:pPr>
      <w:bookmarkStart w:id="1" w:name="_heading=h.ku3htxpixa9v" w:colFirst="0" w:colLast="0"/>
      <w:bookmarkEnd w:id="1"/>
      <w:proofErr w:type="spellStart"/>
      <w:r w:rsidRPr="00E47A49">
        <w:rPr>
          <w:rFonts w:ascii="Twentieth Century" w:eastAsia="Twentieth Century" w:hAnsi="Twentieth Century" w:cs="Twentieth Century"/>
          <w:b/>
          <w:sz w:val="32"/>
          <w:szCs w:val="32"/>
        </w:rPr>
        <w:t>Pengaruh</w:t>
      </w:r>
      <w:proofErr w:type="spellEnd"/>
      <w:r w:rsidRPr="00E47A49">
        <w:rPr>
          <w:rFonts w:ascii="Twentieth Century" w:eastAsia="Twentieth Century" w:hAnsi="Twentieth Century" w:cs="Twentieth Century"/>
          <w:b/>
          <w:sz w:val="32"/>
          <w:szCs w:val="32"/>
        </w:rPr>
        <w:t xml:space="preserve"> </w:t>
      </w:r>
      <w:proofErr w:type="spellStart"/>
      <w:r w:rsidRPr="00E47A49">
        <w:rPr>
          <w:rFonts w:ascii="Twentieth Century" w:eastAsia="Twentieth Century" w:hAnsi="Twentieth Century" w:cs="Twentieth Century"/>
          <w:b/>
          <w:sz w:val="32"/>
          <w:szCs w:val="32"/>
        </w:rPr>
        <w:t>Terapi</w:t>
      </w:r>
      <w:proofErr w:type="spellEnd"/>
      <w:r w:rsidRPr="00E47A49">
        <w:rPr>
          <w:rFonts w:ascii="Twentieth Century" w:eastAsia="Twentieth Century" w:hAnsi="Twentieth Century" w:cs="Twentieth Century"/>
          <w:b/>
          <w:sz w:val="32"/>
          <w:szCs w:val="32"/>
        </w:rPr>
        <w:t xml:space="preserve"> </w:t>
      </w:r>
      <w:proofErr w:type="spellStart"/>
      <w:r w:rsidRPr="00E47A49">
        <w:rPr>
          <w:rFonts w:ascii="Twentieth Century" w:eastAsia="Twentieth Century" w:hAnsi="Twentieth Century" w:cs="Twentieth Century"/>
          <w:b/>
          <w:sz w:val="32"/>
          <w:szCs w:val="32"/>
        </w:rPr>
        <w:t>Kelompok</w:t>
      </w:r>
      <w:proofErr w:type="spellEnd"/>
      <w:r w:rsidRPr="00E47A49">
        <w:rPr>
          <w:rFonts w:ascii="Twentieth Century" w:eastAsia="Twentieth Century" w:hAnsi="Twentieth Century" w:cs="Twentieth Century"/>
          <w:b/>
          <w:sz w:val="32"/>
          <w:szCs w:val="32"/>
        </w:rPr>
        <w:t xml:space="preserve"> </w:t>
      </w:r>
      <w:proofErr w:type="spellStart"/>
      <w:r w:rsidRPr="00E47A49">
        <w:rPr>
          <w:rFonts w:ascii="Twentieth Century" w:eastAsia="Twentieth Century" w:hAnsi="Twentieth Century" w:cs="Twentieth Century"/>
          <w:b/>
          <w:sz w:val="32"/>
          <w:szCs w:val="32"/>
        </w:rPr>
        <w:t>Terapeutik</w:t>
      </w:r>
      <w:proofErr w:type="spellEnd"/>
      <w:r w:rsidRPr="00E47A49">
        <w:rPr>
          <w:rFonts w:ascii="Twentieth Century" w:eastAsia="Twentieth Century" w:hAnsi="Twentieth Century" w:cs="Twentieth Century"/>
          <w:b/>
          <w:sz w:val="32"/>
          <w:szCs w:val="32"/>
        </w:rPr>
        <w:t xml:space="preserve"> (TKT), Pendidikan Kesehatan dan Thought Stopping (TS) </w:t>
      </w:r>
      <w:proofErr w:type="spellStart"/>
      <w:r w:rsidRPr="00E47A49">
        <w:rPr>
          <w:rFonts w:ascii="Twentieth Century" w:eastAsia="Twentieth Century" w:hAnsi="Twentieth Century" w:cs="Twentieth Century"/>
          <w:b/>
          <w:sz w:val="32"/>
          <w:szCs w:val="32"/>
        </w:rPr>
        <w:t>terhadap</w:t>
      </w:r>
      <w:proofErr w:type="spellEnd"/>
      <w:r w:rsidRPr="00E47A49">
        <w:rPr>
          <w:rFonts w:ascii="Twentieth Century" w:eastAsia="Twentieth Century" w:hAnsi="Twentieth Century" w:cs="Twentieth Century"/>
          <w:b/>
          <w:sz w:val="32"/>
          <w:szCs w:val="32"/>
        </w:rPr>
        <w:t xml:space="preserve"> Tingkat </w:t>
      </w:r>
      <w:proofErr w:type="spellStart"/>
      <w:r w:rsidRPr="00E47A49">
        <w:rPr>
          <w:rFonts w:ascii="Twentieth Century" w:eastAsia="Twentieth Century" w:hAnsi="Twentieth Century" w:cs="Twentieth Century"/>
          <w:b/>
          <w:sz w:val="32"/>
          <w:szCs w:val="32"/>
        </w:rPr>
        <w:t>Kecemasan</w:t>
      </w:r>
      <w:proofErr w:type="spellEnd"/>
      <w:r w:rsidRPr="00E47A49">
        <w:rPr>
          <w:rFonts w:ascii="Twentieth Century" w:eastAsia="Twentieth Century" w:hAnsi="Twentieth Century" w:cs="Twentieth Century"/>
          <w:b/>
          <w:sz w:val="32"/>
          <w:szCs w:val="32"/>
        </w:rPr>
        <w:t xml:space="preserve"> Anak pada </w:t>
      </w:r>
      <w:proofErr w:type="spellStart"/>
      <w:r w:rsidRPr="00E47A49">
        <w:rPr>
          <w:rFonts w:ascii="Twentieth Century" w:eastAsia="Twentieth Century" w:hAnsi="Twentieth Century" w:cs="Twentieth Century"/>
          <w:b/>
          <w:sz w:val="32"/>
          <w:szCs w:val="32"/>
        </w:rPr>
        <w:t>saat</w:t>
      </w:r>
      <w:proofErr w:type="spellEnd"/>
      <w:r w:rsidRPr="00E47A49">
        <w:rPr>
          <w:rFonts w:ascii="Twentieth Century" w:eastAsia="Twentieth Century" w:hAnsi="Twentieth Century" w:cs="Twentieth Century"/>
          <w:b/>
          <w:sz w:val="32"/>
          <w:szCs w:val="32"/>
        </w:rPr>
        <w:t xml:space="preserve"> Menarche.</w:t>
      </w:r>
    </w:p>
    <w:p w14:paraId="15196C7E" w14:textId="77777777" w:rsidR="00FD35AB" w:rsidRPr="00E47A49" w:rsidRDefault="00FD35AB">
      <w:pPr>
        <w:widowControl w:val="0"/>
        <w:spacing w:after="0" w:line="218" w:lineRule="auto"/>
        <w:ind w:left="7" w:right="-20"/>
        <w:jc w:val="center"/>
        <w:rPr>
          <w:rFonts w:ascii="Twentieth Century" w:eastAsia="Twentieth Century" w:hAnsi="Twentieth Century" w:cs="Twentieth Century"/>
          <w:sz w:val="24"/>
          <w:szCs w:val="24"/>
        </w:rPr>
      </w:pPr>
    </w:p>
    <w:p w14:paraId="0B63E363" w14:textId="77777777" w:rsidR="001060E1" w:rsidRPr="00E47A49" w:rsidRDefault="001060E1" w:rsidP="001060E1">
      <w:pPr>
        <w:widowControl w:val="0"/>
        <w:spacing w:after="0" w:line="218" w:lineRule="auto"/>
        <w:ind w:left="7" w:right="-20"/>
        <w:jc w:val="center"/>
        <w:rPr>
          <w:rFonts w:ascii="Twentieth Century" w:eastAsia="Twentieth Century" w:hAnsi="Twentieth Century" w:cs="Twentieth Century"/>
          <w:sz w:val="20"/>
          <w:szCs w:val="20"/>
        </w:rPr>
      </w:pPr>
      <w:r w:rsidRPr="00E47A49">
        <w:rPr>
          <w:rFonts w:ascii="Twentieth Century" w:eastAsia="Twentieth Century" w:hAnsi="Twentieth Century" w:cs="Twentieth Century"/>
          <w:sz w:val="24"/>
          <w:szCs w:val="24"/>
        </w:rPr>
        <w:t>Usraleli</w:t>
      </w:r>
      <w:r w:rsidR="00BE3CDC" w:rsidRPr="00E47A49">
        <w:rPr>
          <w:rFonts w:ascii="Twentieth Century" w:eastAsia="Twentieth Century" w:hAnsi="Twentieth Century" w:cs="Twentieth Century"/>
          <w:sz w:val="24"/>
          <w:szCs w:val="24"/>
          <w:vertAlign w:val="superscript"/>
        </w:rPr>
        <w:t xml:space="preserve">1, </w:t>
      </w:r>
      <w:proofErr w:type="spellStart"/>
      <w:r w:rsidRPr="00E47A49">
        <w:rPr>
          <w:rFonts w:ascii="Twentieth Century" w:eastAsia="Twentieth Century" w:hAnsi="Twentieth Century" w:cs="Twentieth Century"/>
          <w:sz w:val="24"/>
          <w:szCs w:val="24"/>
        </w:rPr>
        <w:t>Erni</w:t>
      </w:r>
      <w:proofErr w:type="spellEnd"/>
      <w:r w:rsidRPr="00E47A49">
        <w:rPr>
          <w:rFonts w:ascii="Twentieth Century" w:eastAsia="Twentieth Century" w:hAnsi="Twentieth Century" w:cs="Twentieth Century"/>
          <w:sz w:val="24"/>
          <w:szCs w:val="24"/>
        </w:rPr>
        <w:t xml:space="preserve"> Forwaty</w:t>
      </w:r>
      <w:r w:rsidR="00BE3CDC" w:rsidRPr="00E47A49">
        <w:rPr>
          <w:rFonts w:ascii="Twentieth Century" w:eastAsia="Twentieth Century" w:hAnsi="Twentieth Century" w:cs="Twentieth Century"/>
          <w:sz w:val="24"/>
          <w:szCs w:val="24"/>
          <w:vertAlign w:val="superscript"/>
        </w:rPr>
        <w:t>2</w:t>
      </w:r>
      <w:r w:rsidRPr="00E47A49">
        <w:rPr>
          <w:rFonts w:ascii="Twentieth Century" w:eastAsia="Twentieth Century" w:hAnsi="Twentieth Century" w:cs="Twentieth Century"/>
          <w:sz w:val="24"/>
          <w:szCs w:val="24"/>
        </w:rPr>
        <w:t xml:space="preserve">, </w:t>
      </w:r>
      <w:proofErr w:type="spellStart"/>
      <w:r w:rsidRPr="00E47A49">
        <w:rPr>
          <w:rFonts w:ascii="Twentieth Century" w:eastAsia="Twentieth Century" w:hAnsi="Twentieth Century" w:cs="Twentieth Century"/>
          <w:sz w:val="24"/>
          <w:szCs w:val="24"/>
        </w:rPr>
        <w:t>Syafrisar</w:t>
      </w:r>
      <w:proofErr w:type="spellEnd"/>
      <w:r w:rsidRPr="00E47A49">
        <w:rPr>
          <w:rFonts w:ascii="Twentieth Century" w:eastAsia="Twentieth Century" w:hAnsi="Twentieth Century" w:cs="Twentieth Century"/>
          <w:sz w:val="24"/>
          <w:szCs w:val="24"/>
        </w:rPr>
        <w:t xml:space="preserve"> Meri Agritubella</w:t>
      </w:r>
      <w:r w:rsidRPr="00E47A49">
        <w:rPr>
          <w:rFonts w:ascii="Twentieth Century" w:eastAsia="Twentieth Century" w:hAnsi="Twentieth Century" w:cs="Twentieth Century"/>
          <w:sz w:val="24"/>
          <w:szCs w:val="24"/>
          <w:vertAlign w:val="superscript"/>
        </w:rPr>
        <w:t>3</w:t>
      </w:r>
      <w:r w:rsidR="00BE3CDC" w:rsidRPr="00E47A49">
        <w:rPr>
          <w:rFonts w:ascii="Twentieth Century" w:eastAsia="Twentieth Century" w:hAnsi="Twentieth Century" w:cs="Twentieth Century"/>
          <w:sz w:val="24"/>
          <w:szCs w:val="24"/>
          <w:vertAlign w:val="superscript"/>
        </w:rPr>
        <w:t xml:space="preserve"> </w:t>
      </w:r>
    </w:p>
    <w:p w14:paraId="1216F6A1" w14:textId="77777777" w:rsidR="00FD35AB" w:rsidRPr="00E47A49" w:rsidRDefault="001060E1">
      <w:pPr>
        <w:widowControl w:val="0"/>
        <w:spacing w:after="0" w:line="218" w:lineRule="auto"/>
        <w:ind w:left="7" w:right="-20"/>
        <w:jc w:val="center"/>
        <w:rPr>
          <w:rFonts w:ascii="Twentieth Century" w:eastAsia="Twentieth Century" w:hAnsi="Twentieth Century" w:cs="Twentieth Century"/>
          <w:sz w:val="20"/>
          <w:szCs w:val="20"/>
          <w:vertAlign w:val="superscript"/>
        </w:rPr>
      </w:pPr>
      <w:proofErr w:type="spellStart"/>
      <w:r w:rsidRPr="00E47A49">
        <w:rPr>
          <w:rFonts w:ascii="Twentieth Century" w:eastAsia="Twentieth Century" w:hAnsi="Twentieth Century" w:cs="Twentieth Century"/>
          <w:sz w:val="20"/>
          <w:szCs w:val="20"/>
        </w:rPr>
        <w:t>Poltekkes</w:t>
      </w:r>
      <w:proofErr w:type="spellEnd"/>
      <w:r w:rsidRPr="00E47A49">
        <w:rPr>
          <w:rFonts w:ascii="Twentieth Century" w:eastAsia="Twentieth Century" w:hAnsi="Twentieth Century" w:cs="Twentieth Century"/>
          <w:sz w:val="20"/>
          <w:szCs w:val="20"/>
        </w:rPr>
        <w:t xml:space="preserve"> </w:t>
      </w:r>
      <w:proofErr w:type="spellStart"/>
      <w:r w:rsidRPr="00E47A49">
        <w:rPr>
          <w:rFonts w:ascii="Twentieth Century" w:eastAsia="Twentieth Century" w:hAnsi="Twentieth Century" w:cs="Twentieth Century"/>
          <w:sz w:val="20"/>
          <w:szCs w:val="20"/>
        </w:rPr>
        <w:t>Kemenkes</w:t>
      </w:r>
      <w:proofErr w:type="spellEnd"/>
      <w:r w:rsidRPr="00E47A49">
        <w:rPr>
          <w:rFonts w:ascii="Twentieth Century" w:eastAsia="Twentieth Century" w:hAnsi="Twentieth Century" w:cs="Twentieth Century"/>
          <w:sz w:val="20"/>
          <w:szCs w:val="20"/>
        </w:rPr>
        <w:t xml:space="preserve"> Riau</w:t>
      </w:r>
      <w:r w:rsidR="00BE3CDC" w:rsidRPr="00E47A49">
        <w:rPr>
          <w:rFonts w:ascii="Twentieth Century" w:eastAsia="Twentieth Century" w:hAnsi="Twentieth Century" w:cs="Twentieth Century"/>
          <w:sz w:val="20"/>
          <w:szCs w:val="20"/>
          <w:vertAlign w:val="superscript"/>
        </w:rPr>
        <w:t>1</w:t>
      </w:r>
      <w:r w:rsidR="00BE3CDC" w:rsidRPr="00E47A49">
        <w:rPr>
          <w:rFonts w:ascii="Twentieth Century" w:eastAsia="Twentieth Century" w:hAnsi="Twentieth Century" w:cs="Twentieth Century"/>
          <w:sz w:val="20"/>
          <w:szCs w:val="20"/>
        </w:rPr>
        <w:t xml:space="preserve">, </w:t>
      </w:r>
      <w:proofErr w:type="spellStart"/>
      <w:r w:rsidRPr="00E47A49">
        <w:rPr>
          <w:rFonts w:ascii="Twentieth Century" w:eastAsia="Twentieth Century" w:hAnsi="Twentieth Century" w:cs="Twentieth Century"/>
          <w:sz w:val="20"/>
          <w:szCs w:val="20"/>
        </w:rPr>
        <w:t>Poltekkes</w:t>
      </w:r>
      <w:proofErr w:type="spellEnd"/>
      <w:r w:rsidRPr="00E47A49">
        <w:rPr>
          <w:rFonts w:ascii="Twentieth Century" w:eastAsia="Twentieth Century" w:hAnsi="Twentieth Century" w:cs="Twentieth Century"/>
          <w:sz w:val="20"/>
          <w:szCs w:val="20"/>
        </w:rPr>
        <w:t xml:space="preserve"> </w:t>
      </w:r>
      <w:proofErr w:type="spellStart"/>
      <w:r w:rsidRPr="00E47A49">
        <w:rPr>
          <w:rFonts w:ascii="Twentieth Century" w:eastAsia="Twentieth Century" w:hAnsi="Twentieth Century" w:cs="Twentieth Century"/>
          <w:sz w:val="20"/>
          <w:szCs w:val="20"/>
        </w:rPr>
        <w:t>Kemenkes</w:t>
      </w:r>
      <w:proofErr w:type="spellEnd"/>
      <w:r w:rsidRPr="00E47A49">
        <w:rPr>
          <w:rFonts w:ascii="Twentieth Century" w:eastAsia="Twentieth Century" w:hAnsi="Twentieth Century" w:cs="Twentieth Century"/>
          <w:sz w:val="20"/>
          <w:szCs w:val="20"/>
        </w:rPr>
        <w:t xml:space="preserve"> Riau</w:t>
      </w:r>
      <w:r w:rsidR="00BE3CDC" w:rsidRPr="00E47A49">
        <w:rPr>
          <w:rFonts w:ascii="Twentieth Century" w:eastAsia="Twentieth Century" w:hAnsi="Twentieth Century" w:cs="Twentieth Century"/>
          <w:sz w:val="20"/>
          <w:szCs w:val="20"/>
          <w:vertAlign w:val="superscript"/>
        </w:rPr>
        <w:t>2</w:t>
      </w:r>
      <w:r w:rsidRPr="00E47A49">
        <w:rPr>
          <w:rFonts w:ascii="Twentieth Century" w:eastAsia="Twentieth Century" w:hAnsi="Twentieth Century" w:cs="Twentieth Century"/>
          <w:sz w:val="20"/>
          <w:szCs w:val="20"/>
        </w:rPr>
        <w:t xml:space="preserve">, </w:t>
      </w:r>
      <w:proofErr w:type="spellStart"/>
      <w:r w:rsidRPr="00E47A49">
        <w:rPr>
          <w:rFonts w:ascii="Twentieth Century" w:eastAsia="Twentieth Century" w:hAnsi="Twentieth Century" w:cs="Twentieth Century"/>
          <w:sz w:val="20"/>
          <w:szCs w:val="20"/>
        </w:rPr>
        <w:t>Poltekkes</w:t>
      </w:r>
      <w:proofErr w:type="spellEnd"/>
      <w:r w:rsidRPr="00E47A49">
        <w:rPr>
          <w:rFonts w:ascii="Twentieth Century" w:eastAsia="Twentieth Century" w:hAnsi="Twentieth Century" w:cs="Twentieth Century"/>
          <w:sz w:val="20"/>
          <w:szCs w:val="20"/>
        </w:rPr>
        <w:t xml:space="preserve"> </w:t>
      </w:r>
      <w:proofErr w:type="spellStart"/>
      <w:r w:rsidRPr="00E47A49">
        <w:rPr>
          <w:rFonts w:ascii="Twentieth Century" w:eastAsia="Twentieth Century" w:hAnsi="Twentieth Century" w:cs="Twentieth Century"/>
          <w:sz w:val="20"/>
          <w:szCs w:val="20"/>
        </w:rPr>
        <w:t>Kemenkes</w:t>
      </w:r>
      <w:proofErr w:type="spellEnd"/>
      <w:r w:rsidRPr="00E47A49">
        <w:rPr>
          <w:rFonts w:ascii="Twentieth Century" w:eastAsia="Twentieth Century" w:hAnsi="Twentieth Century" w:cs="Twentieth Century"/>
          <w:sz w:val="20"/>
          <w:szCs w:val="20"/>
        </w:rPr>
        <w:t xml:space="preserve"> Riau</w:t>
      </w:r>
      <w:r w:rsidRPr="00E47A49">
        <w:rPr>
          <w:rFonts w:ascii="Twentieth Century" w:eastAsia="Twentieth Century" w:hAnsi="Twentieth Century" w:cs="Twentieth Century"/>
          <w:sz w:val="20"/>
          <w:szCs w:val="20"/>
          <w:vertAlign w:val="superscript"/>
        </w:rPr>
        <w:t>3</w:t>
      </w:r>
    </w:p>
    <w:p w14:paraId="160031AB" w14:textId="77777777" w:rsidR="00FD35AB" w:rsidRPr="00E47A49" w:rsidRDefault="00BE3CDC">
      <w:pPr>
        <w:widowControl w:val="0"/>
        <w:spacing w:after="0" w:line="218" w:lineRule="auto"/>
        <w:ind w:left="7" w:right="-20"/>
        <w:jc w:val="center"/>
        <w:rPr>
          <w:rFonts w:ascii="Twentieth Century" w:eastAsia="Twentieth Century" w:hAnsi="Twentieth Century" w:cs="Twentieth Century"/>
          <w:sz w:val="20"/>
          <w:szCs w:val="20"/>
        </w:rPr>
      </w:pPr>
      <w:r w:rsidRPr="00E47A49">
        <w:rPr>
          <w:rFonts w:ascii="Twentieth Century" w:eastAsia="Twentieth Century" w:hAnsi="Twentieth Century" w:cs="Twentieth Century"/>
          <w:sz w:val="20"/>
          <w:szCs w:val="20"/>
        </w:rPr>
        <w:t xml:space="preserve">Email </w:t>
      </w:r>
      <w:proofErr w:type="spellStart"/>
      <w:r w:rsidRPr="00E47A49">
        <w:rPr>
          <w:rFonts w:ascii="Twentieth Century" w:eastAsia="Twentieth Century" w:hAnsi="Twentieth Century" w:cs="Twentieth Century"/>
          <w:sz w:val="20"/>
          <w:szCs w:val="20"/>
        </w:rPr>
        <w:t>Coresponden</w:t>
      </w:r>
      <w:proofErr w:type="spellEnd"/>
      <w:r w:rsidRPr="00E47A49">
        <w:rPr>
          <w:rFonts w:ascii="Twentieth Century" w:eastAsia="Twentieth Century" w:hAnsi="Twentieth Century" w:cs="Twentieth Century"/>
          <w:sz w:val="20"/>
          <w:szCs w:val="20"/>
        </w:rPr>
        <w:t xml:space="preserve"> </w:t>
      </w:r>
      <w:hyperlink r:id="rId9" w:history="1">
        <w:r w:rsidR="000F49FF" w:rsidRPr="006C375C">
          <w:rPr>
            <w:rStyle w:val="Hyperlink"/>
            <w:rFonts w:ascii="Twentieth Century" w:eastAsia="Twentieth Century" w:hAnsi="Twentieth Century" w:cs="Twentieth Century"/>
            <w:sz w:val="20"/>
            <w:szCs w:val="20"/>
          </w:rPr>
          <w:t>erniforwaty@pkr.ac.id</w:t>
        </w:r>
      </w:hyperlink>
    </w:p>
    <w:p w14:paraId="207E22EC" w14:textId="77777777" w:rsidR="001060E1" w:rsidRPr="00E47A49" w:rsidRDefault="001060E1">
      <w:pPr>
        <w:widowControl w:val="0"/>
        <w:spacing w:after="0" w:line="218" w:lineRule="auto"/>
        <w:ind w:left="7" w:right="-20"/>
        <w:jc w:val="center"/>
        <w:rPr>
          <w:rFonts w:ascii="Twentieth Century" w:eastAsia="Twentieth Century" w:hAnsi="Twentieth Century" w:cs="Twentieth Century"/>
          <w:sz w:val="20"/>
          <w:szCs w:val="20"/>
        </w:rPr>
      </w:pPr>
    </w:p>
    <w:p w14:paraId="220E7B3F" w14:textId="77777777" w:rsidR="00FD35AB" w:rsidRPr="00E47A49" w:rsidRDefault="00123DD9">
      <w:pPr>
        <w:spacing w:after="0"/>
        <w:rPr>
          <w:rFonts w:ascii="Twentieth Century" w:eastAsia="Twentieth Century" w:hAnsi="Twentieth Century" w:cs="Twentieth Century"/>
        </w:rPr>
      </w:pPr>
      <w:r w:rsidRPr="00E47A49">
        <w:rPr>
          <w:rFonts w:ascii="Twentieth Century" w:hAnsi="Twentieth Century"/>
          <w:noProof/>
        </w:rPr>
        <mc:AlternateContent>
          <mc:Choice Requires="wps">
            <w:drawing>
              <wp:anchor distT="0" distB="0" distL="114300" distR="114300" simplePos="0" relativeHeight="251659264" behindDoc="0" locked="0" layoutInCell="1" hidden="0" allowOverlap="1" wp14:anchorId="7EA5DB90" wp14:editId="3BE52517">
                <wp:simplePos x="0" y="0"/>
                <wp:positionH relativeFrom="column">
                  <wp:posOffset>9525</wp:posOffset>
                </wp:positionH>
                <wp:positionV relativeFrom="paragraph">
                  <wp:posOffset>153035</wp:posOffset>
                </wp:positionV>
                <wp:extent cx="1733550" cy="1562100"/>
                <wp:effectExtent l="0" t="0" r="0" b="0"/>
                <wp:wrapNone/>
                <wp:docPr id="66" name="Rectangle 66"/>
                <wp:cNvGraphicFramePr/>
                <a:graphic xmlns:a="http://schemas.openxmlformats.org/drawingml/2006/main">
                  <a:graphicData uri="http://schemas.microsoft.com/office/word/2010/wordprocessingShape">
                    <wps:wsp>
                      <wps:cNvSpPr/>
                      <wps:spPr>
                        <a:xfrm>
                          <a:off x="0" y="0"/>
                          <a:ext cx="1733550" cy="1562100"/>
                        </a:xfrm>
                        <a:prstGeom prst="rect">
                          <a:avLst/>
                        </a:prstGeom>
                        <a:solidFill>
                          <a:schemeClr val="lt1"/>
                        </a:solidFill>
                        <a:ln>
                          <a:noFill/>
                        </a:ln>
                      </wps:spPr>
                      <wps:txbx>
                        <w:txbxContent>
                          <w:p w14:paraId="35E399B8" w14:textId="77777777" w:rsidR="00FD35AB" w:rsidRDefault="00BE3CDC" w:rsidP="00123DD9">
                            <w:pPr>
                              <w:spacing w:after="0"/>
                              <w:ind w:left="142" w:hanging="170"/>
                              <w:textDirection w:val="btLr"/>
                            </w:pPr>
                            <w:r>
                              <w:rPr>
                                <w:rFonts w:ascii="Twentieth Century" w:eastAsia="Twentieth Century" w:hAnsi="Twentieth Century" w:cs="Twentieth Century"/>
                                <w:b/>
                                <w:color w:val="000000"/>
                                <w:sz w:val="20"/>
                              </w:rPr>
                              <w:t xml:space="preserve">Article Info </w:t>
                            </w:r>
                          </w:p>
                          <w:p w14:paraId="778D07AD" w14:textId="77777777" w:rsidR="00FD35AB" w:rsidRDefault="00FD35AB" w:rsidP="00123DD9">
                            <w:pPr>
                              <w:spacing w:after="0"/>
                              <w:ind w:left="142" w:hanging="170"/>
                              <w:textDirection w:val="btLr"/>
                            </w:pPr>
                          </w:p>
                          <w:p w14:paraId="786C5DE6" w14:textId="77777777" w:rsidR="00FD35AB" w:rsidRDefault="00BE3CDC" w:rsidP="00123DD9">
                            <w:pPr>
                              <w:spacing w:after="0"/>
                              <w:ind w:left="142" w:hanging="170"/>
                              <w:textDirection w:val="btLr"/>
                            </w:pPr>
                            <w:r>
                              <w:rPr>
                                <w:rFonts w:ascii="Twentieth Century" w:eastAsia="Twentieth Century" w:hAnsi="Twentieth Century" w:cs="Twentieth Century"/>
                                <w:b/>
                                <w:i/>
                                <w:color w:val="000000"/>
                                <w:sz w:val="20"/>
                              </w:rPr>
                              <w:t>Article history</w:t>
                            </w:r>
                          </w:p>
                          <w:p w14:paraId="705B29AD" w14:textId="77777777" w:rsidR="00FD35AB" w:rsidRDefault="00BE3CDC" w:rsidP="00123DD9">
                            <w:pPr>
                              <w:spacing w:after="0" w:line="240" w:lineRule="auto"/>
                              <w:ind w:left="142" w:right="-55" w:hanging="125"/>
                              <w:textDirection w:val="btLr"/>
                            </w:pPr>
                            <w:r>
                              <w:rPr>
                                <w:rFonts w:ascii="Twentieth Century" w:eastAsia="Twentieth Century" w:hAnsi="Twentieth Century" w:cs="Twentieth Century"/>
                                <w:color w:val="000000"/>
                                <w:sz w:val="20"/>
                              </w:rPr>
                              <w:t xml:space="preserve">Received date: </w:t>
                            </w:r>
                          </w:p>
                          <w:p w14:paraId="745ACC0E" w14:textId="77777777" w:rsidR="00FD35AB" w:rsidRDefault="00BE3CDC" w:rsidP="00123DD9">
                            <w:pPr>
                              <w:spacing w:after="0" w:line="240" w:lineRule="auto"/>
                              <w:ind w:left="142" w:right="-55" w:hanging="125"/>
                              <w:textDirection w:val="btLr"/>
                            </w:pPr>
                            <w:r>
                              <w:rPr>
                                <w:rFonts w:ascii="Twentieth Century" w:eastAsia="Twentieth Century" w:hAnsi="Twentieth Century" w:cs="Twentieth Century"/>
                                <w:color w:val="000000"/>
                                <w:sz w:val="20"/>
                              </w:rPr>
                              <w:t xml:space="preserve">Revised date: </w:t>
                            </w:r>
                          </w:p>
                          <w:p w14:paraId="5A5318D0" w14:textId="77777777" w:rsidR="00FD35AB" w:rsidRDefault="00BE3CDC" w:rsidP="00123DD9">
                            <w:pPr>
                              <w:spacing w:after="0" w:line="240" w:lineRule="auto"/>
                              <w:ind w:left="142" w:right="-55" w:hanging="125"/>
                              <w:textDirection w:val="btLr"/>
                            </w:pPr>
                            <w:r>
                              <w:rPr>
                                <w:rFonts w:ascii="Twentieth Century" w:eastAsia="Twentieth Century" w:hAnsi="Twentieth Century" w:cs="Twentieth Century"/>
                                <w:color w:val="000000"/>
                                <w:sz w:val="20"/>
                              </w:rPr>
                              <w:t xml:space="preserve">Accepted date: </w:t>
                            </w:r>
                          </w:p>
                          <w:p w14:paraId="40EBDAC6" w14:textId="77777777" w:rsidR="00FD35AB" w:rsidRDefault="00FD35AB">
                            <w:pPr>
                              <w:spacing w:after="0"/>
                              <w:ind w:left="-85" w:right="-55" w:hanging="170"/>
                              <w:textDirection w:val="btLr"/>
                            </w:pPr>
                          </w:p>
                          <w:p w14:paraId="3334B765" w14:textId="77777777" w:rsidR="00FD35AB" w:rsidRDefault="00FD35AB">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EA5DB90" id="Rectangle 66" o:spid="_x0000_s1026" style="position:absolute;margin-left:.75pt;margin-top:12.05pt;width:136.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" fillcolor="white [3201]" stroked="f">
                <v:textbox inset="2.53958mm,1.2694mm,2.53958mm,1.2694mm">
                  <w:txbxContent>
                    <w:p w14:paraId="35E399B8" w14:textId="77777777" w:rsidR="00FD35AB" w:rsidRDefault="00BE3CDC" w:rsidP="00123DD9">
                      <w:pPr>
                        <w:spacing w:after="0"/>
                        <w:ind w:left="142" w:hanging="170"/>
                        <w:textDirection w:val="btLr"/>
                      </w:pPr>
                      <w:r>
                        <w:rPr>
                          <w:rFonts w:ascii="Twentieth Century" w:eastAsia="Twentieth Century" w:hAnsi="Twentieth Century" w:cs="Twentieth Century"/>
                          <w:b/>
                          <w:color w:val="000000"/>
                          <w:sz w:val="20"/>
                        </w:rPr>
                        <w:t xml:space="preserve">Article Info </w:t>
                      </w:r>
                    </w:p>
                    <w:p w14:paraId="778D07AD" w14:textId="77777777" w:rsidR="00FD35AB" w:rsidRDefault="00FD35AB" w:rsidP="00123DD9">
                      <w:pPr>
                        <w:spacing w:after="0"/>
                        <w:ind w:left="142" w:hanging="170"/>
                        <w:textDirection w:val="btLr"/>
                      </w:pPr>
                    </w:p>
                    <w:p w14:paraId="786C5DE6" w14:textId="77777777" w:rsidR="00FD35AB" w:rsidRDefault="00BE3CDC" w:rsidP="00123DD9">
                      <w:pPr>
                        <w:spacing w:after="0"/>
                        <w:ind w:left="142" w:hanging="170"/>
                        <w:textDirection w:val="btLr"/>
                      </w:pPr>
                      <w:r>
                        <w:rPr>
                          <w:rFonts w:ascii="Twentieth Century" w:eastAsia="Twentieth Century" w:hAnsi="Twentieth Century" w:cs="Twentieth Century"/>
                          <w:b/>
                          <w:i/>
                          <w:color w:val="000000"/>
                          <w:sz w:val="20"/>
                        </w:rPr>
                        <w:t>Article history</w:t>
                      </w:r>
                    </w:p>
                    <w:p w14:paraId="705B29AD" w14:textId="77777777" w:rsidR="00FD35AB" w:rsidRDefault="00BE3CDC" w:rsidP="00123DD9">
                      <w:pPr>
                        <w:spacing w:after="0" w:line="240" w:lineRule="auto"/>
                        <w:ind w:left="142" w:right="-55" w:hanging="125"/>
                        <w:textDirection w:val="btLr"/>
                      </w:pPr>
                      <w:r>
                        <w:rPr>
                          <w:rFonts w:ascii="Twentieth Century" w:eastAsia="Twentieth Century" w:hAnsi="Twentieth Century" w:cs="Twentieth Century"/>
                          <w:color w:val="000000"/>
                          <w:sz w:val="20"/>
                        </w:rPr>
                        <w:t xml:space="preserve">Received date: </w:t>
                      </w:r>
                    </w:p>
                    <w:p w14:paraId="745ACC0E" w14:textId="77777777" w:rsidR="00FD35AB" w:rsidRDefault="00BE3CDC" w:rsidP="00123DD9">
                      <w:pPr>
                        <w:spacing w:after="0" w:line="240" w:lineRule="auto"/>
                        <w:ind w:left="142" w:right="-55" w:hanging="125"/>
                        <w:textDirection w:val="btLr"/>
                      </w:pPr>
                      <w:r>
                        <w:rPr>
                          <w:rFonts w:ascii="Twentieth Century" w:eastAsia="Twentieth Century" w:hAnsi="Twentieth Century" w:cs="Twentieth Century"/>
                          <w:color w:val="000000"/>
                          <w:sz w:val="20"/>
                        </w:rPr>
                        <w:t xml:space="preserve">Revised date: </w:t>
                      </w:r>
                    </w:p>
                    <w:p w14:paraId="5A5318D0" w14:textId="77777777" w:rsidR="00FD35AB" w:rsidRDefault="00BE3CDC" w:rsidP="00123DD9">
                      <w:pPr>
                        <w:spacing w:after="0" w:line="240" w:lineRule="auto"/>
                        <w:ind w:left="142" w:right="-55" w:hanging="125"/>
                        <w:textDirection w:val="btLr"/>
                      </w:pPr>
                      <w:r>
                        <w:rPr>
                          <w:rFonts w:ascii="Twentieth Century" w:eastAsia="Twentieth Century" w:hAnsi="Twentieth Century" w:cs="Twentieth Century"/>
                          <w:color w:val="000000"/>
                          <w:sz w:val="20"/>
                        </w:rPr>
                        <w:t xml:space="preserve">Accepted date: </w:t>
                      </w:r>
                    </w:p>
                    <w:p w14:paraId="40EBDAC6" w14:textId="77777777" w:rsidR="00FD35AB" w:rsidRDefault="00FD35AB">
                      <w:pPr>
                        <w:spacing w:after="0"/>
                        <w:ind w:left="-85" w:right="-55" w:hanging="170"/>
                        <w:textDirection w:val="btLr"/>
                      </w:pPr>
                    </w:p>
                    <w:p w14:paraId="3334B765" w14:textId="77777777" w:rsidR="00FD35AB" w:rsidRDefault="00FD35AB">
                      <w:pPr>
                        <w:textDirection w:val="btLr"/>
                      </w:pPr>
                    </w:p>
                  </w:txbxContent>
                </v:textbox>
              </v:rect>
            </w:pict>
          </mc:Fallback>
        </mc:AlternateContent>
      </w:r>
      <w:r w:rsidR="00BE3CDC" w:rsidRPr="00E47A49">
        <w:rPr>
          <w:rFonts w:ascii="Twentieth Century" w:eastAsia="Twentieth Century" w:hAnsi="Twentieth Century" w:cs="Twentieth Century"/>
        </w:rPr>
        <w:tab/>
      </w:r>
      <w:r w:rsidR="00BE3CDC" w:rsidRPr="00E47A49">
        <w:rPr>
          <w:rFonts w:ascii="Twentieth Century" w:eastAsia="Twentieth Century" w:hAnsi="Twentieth Century" w:cs="Twentieth Century"/>
        </w:rPr>
        <w:tab/>
      </w:r>
      <w:r w:rsidR="00BE3CDC" w:rsidRPr="00E47A49">
        <w:rPr>
          <w:rFonts w:ascii="Twentieth Century" w:eastAsia="Twentieth Century" w:hAnsi="Twentieth Century" w:cs="Twentieth Century"/>
        </w:rPr>
        <w:tab/>
      </w:r>
      <w:r w:rsidR="00BE3CDC" w:rsidRPr="00E47A49">
        <w:rPr>
          <w:rFonts w:ascii="Twentieth Century" w:eastAsia="Twentieth Century" w:hAnsi="Twentieth Century" w:cs="Twentieth Century"/>
        </w:rPr>
        <w:tab/>
        <w:t xml:space="preserve">     </w:t>
      </w:r>
      <w:r w:rsidR="00BE3CDC" w:rsidRPr="00E47A49">
        <w:rPr>
          <w:rFonts w:ascii="Twentieth Century" w:hAnsi="Twentieth Century"/>
          <w:noProof/>
        </w:rPr>
        <mc:AlternateContent>
          <mc:Choice Requires="wps">
            <w:drawing>
              <wp:anchor distT="0" distB="0" distL="114300" distR="114300" simplePos="0" relativeHeight="251658240" behindDoc="0" locked="0" layoutInCell="1" hidden="0" allowOverlap="1" wp14:anchorId="60CCADE8" wp14:editId="27389338">
                <wp:simplePos x="0" y="0"/>
                <wp:positionH relativeFrom="column">
                  <wp:posOffset>12701</wp:posOffset>
                </wp:positionH>
                <wp:positionV relativeFrom="paragraph">
                  <wp:posOffset>127000</wp:posOffset>
                </wp:positionV>
                <wp:extent cx="5956935" cy="38100"/>
                <wp:effectExtent l="0" t="0" r="0" b="0"/>
                <wp:wrapNone/>
                <wp:docPr id="69" name="Straight Arrow Connector 69"/>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5027DA80" id="_x0000_t32" coordsize="21600,21600" o:spt="32" o:oned="t" path="m,l21600,21600e" filled="f">
                <v:path arrowok="t" fillok="f" o:connecttype="none"/>
                <o:lock v:ext="edit" shapetype="t"/>
              </v:shapetype>
              <v:shape id="Straight Arrow Connector 69" o:spid="_x0000_s1026" type="#_x0000_t32" style="position:absolute;margin-left:1pt;margin-top:10pt;width:469.05pt;height:3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" strokecolor="black [3200]" strokeweight="1.5pt">
                <v:stroke startarrowwidth="narrow" startarrowlength="short" endarrowwidth="narrow" endarrowlength="short"/>
              </v:shape>
            </w:pict>
          </mc:Fallback>
        </mc:AlternateContent>
      </w:r>
    </w:p>
    <w:p w14:paraId="209AEC9E" w14:textId="77777777" w:rsidR="00FD35AB" w:rsidRPr="00E47A49" w:rsidRDefault="00BE3CDC">
      <w:pPr>
        <w:spacing w:after="0"/>
        <w:ind w:left="2399" w:firstLine="719"/>
        <w:rPr>
          <w:rFonts w:ascii="Twentieth Century" w:eastAsia="Twentieth Century" w:hAnsi="Twentieth Century" w:cs="Twentieth Century"/>
        </w:rPr>
      </w:pPr>
      <w:r w:rsidRPr="00E47A49">
        <w:rPr>
          <w:rFonts w:ascii="Twentieth Century" w:eastAsia="Twentieth Century" w:hAnsi="Twentieth Century" w:cs="Twentieth Century"/>
          <w:b/>
          <w:i/>
          <w:sz w:val="20"/>
          <w:szCs w:val="20"/>
        </w:rPr>
        <w:t>Abstract</w:t>
      </w:r>
    </w:p>
    <w:p w14:paraId="72741CDF" w14:textId="77777777" w:rsidR="00FD35AB" w:rsidRPr="00E47A49" w:rsidRDefault="007B2CB9">
      <w:pPr>
        <w:spacing w:after="0" w:line="240" w:lineRule="auto"/>
        <w:ind w:left="3150"/>
        <w:jc w:val="both"/>
        <w:rPr>
          <w:rFonts w:ascii="Twentieth Century" w:eastAsia="Twentieth Century" w:hAnsi="Twentieth Century" w:cs="Twentieth Century"/>
          <w:i/>
          <w:sz w:val="20"/>
          <w:szCs w:val="20"/>
        </w:rPr>
      </w:pPr>
      <w:r w:rsidRPr="00E47A49">
        <w:rPr>
          <w:rFonts w:ascii="Twentieth Century" w:eastAsia="Twentieth Century" w:hAnsi="Twentieth Century" w:cs="Twentieth Century"/>
          <w:i/>
          <w:sz w:val="20"/>
          <w:szCs w:val="20"/>
        </w:rPr>
        <w:t>Menarche is a new period of a child’s life as a sign of the start of the maturity stage. Children can experience emotional changes in the form of anxiety caused by bullying behavior when menstrual blood gets on clothes so that children feel embarrassed</w:t>
      </w:r>
      <w:r w:rsidR="00116B42" w:rsidRPr="00E47A49">
        <w:rPr>
          <w:rFonts w:ascii="Twentieth Century" w:eastAsia="Twentieth Century" w:hAnsi="Twentieth Century" w:cs="Twentieth Century"/>
          <w:i/>
          <w:sz w:val="20"/>
          <w:szCs w:val="20"/>
        </w:rPr>
        <w:t xml:space="preserve">. This study aims to see the effect of Therapeutic Group Therapy (TKT) Health Education, Thought Stopping (TS) on the anxiety level of school-age children in facing menarche. This research is a </w:t>
      </w:r>
      <w:proofErr w:type="spellStart"/>
      <w:r w:rsidR="00116B42" w:rsidRPr="00E47A49">
        <w:rPr>
          <w:rFonts w:ascii="Twentieth Century" w:eastAsia="Twentieth Century" w:hAnsi="Twentieth Century" w:cs="Twentieth Century"/>
          <w:i/>
          <w:sz w:val="20"/>
          <w:szCs w:val="20"/>
        </w:rPr>
        <w:t>quasy</w:t>
      </w:r>
      <w:proofErr w:type="spellEnd"/>
      <w:r w:rsidR="00116B42" w:rsidRPr="00E47A49">
        <w:rPr>
          <w:rFonts w:ascii="Twentieth Century" w:eastAsia="Twentieth Century" w:hAnsi="Twentieth Century" w:cs="Twentieth Century"/>
          <w:i/>
          <w:sz w:val="20"/>
          <w:szCs w:val="20"/>
        </w:rPr>
        <w:t xml:space="preserve"> experiment with the Pre</w:t>
      </w:r>
      <w:r w:rsidRPr="00E47A49">
        <w:rPr>
          <w:rFonts w:ascii="Twentieth Century" w:eastAsia="Twentieth Century" w:hAnsi="Twentieth Century" w:cs="Twentieth Century"/>
          <w:i/>
          <w:sz w:val="20"/>
          <w:szCs w:val="20"/>
        </w:rPr>
        <w:t>-</w:t>
      </w:r>
      <w:r w:rsidR="00116B42" w:rsidRPr="00E47A49">
        <w:rPr>
          <w:rFonts w:ascii="Twentieth Century" w:eastAsia="Twentieth Century" w:hAnsi="Twentieth Century" w:cs="Twentieth Century"/>
          <w:i/>
          <w:sz w:val="20"/>
          <w:szCs w:val="20"/>
        </w:rPr>
        <w:t>Post Test Approach. The number of samples in this study were 50 grade 4</w:t>
      </w:r>
      <w:r w:rsidR="00EB58C7" w:rsidRPr="00E47A49">
        <w:rPr>
          <w:rFonts w:ascii="Twentieth Century" w:eastAsia="Twentieth Century" w:hAnsi="Twentieth Century" w:cs="Twentieth Century"/>
          <w:i/>
          <w:sz w:val="20"/>
          <w:szCs w:val="20"/>
        </w:rPr>
        <w:t xml:space="preserve"> students at SDN 176 </w:t>
      </w:r>
      <w:proofErr w:type="spellStart"/>
      <w:r w:rsidR="00EB58C7" w:rsidRPr="00E47A49">
        <w:rPr>
          <w:rFonts w:ascii="Twentieth Century" w:eastAsia="Twentieth Century" w:hAnsi="Twentieth Century" w:cs="Twentieth Century"/>
          <w:i/>
          <w:sz w:val="20"/>
          <w:szCs w:val="20"/>
        </w:rPr>
        <w:t>Pekanbaru</w:t>
      </w:r>
      <w:proofErr w:type="spellEnd"/>
      <w:r w:rsidR="00EB58C7" w:rsidRPr="00E47A49">
        <w:rPr>
          <w:rFonts w:ascii="Twentieth Century" w:eastAsia="Twentieth Century" w:hAnsi="Twentieth Century" w:cs="Twentieth Century"/>
          <w:i/>
          <w:sz w:val="20"/>
          <w:szCs w:val="20"/>
        </w:rPr>
        <w:t xml:space="preserve">. </w:t>
      </w:r>
      <w:r w:rsidR="00116B42" w:rsidRPr="00E47A49">
        <w:rPr>
          <w:rFonts w:ascii="Twentieth Century" w:eastAsia="Twentieth Century" w:hAnsi="Twentieth Century" w:cs="Twentieth Century"/>
          <w:i/>
          <w:sz w:val="20"/>
          <w:szCs w:val="20"/>
        </w:rPr>
        <w:t>Biv</w:t>
      </w:r>
      <w:r w:rsidR="00EB58C7" w:rsidRPr="00E47A49">
        <w:rPr>
          <w:rFonts w:ascii="Twentieth Century" w:eastAsia="Twentieth Century" w:hAnsi="Twentieth Century" w:cs="Twentieth Century"/>
          <w:i/>
          <w:sz w:val="20"/>
          <w:szCs w:val="20"/>
        </w:rPr>
        <w:t>ariate analysis using Wilcoxon T</w:t>
      </w:r>
      <w:r w:rsidR="00116B42" w:rsidRPr="00E47A49">
        <w:rPr>
          <w:rFonts w:ascii="Twentieth Century" w:eastAsia="Twentieth Century" w:hAnsi="Twentieth Century" w:cs="Twentieth Century"/>
          <w:i/>
          <w:sz w:val="20"/>
          <w:szCs w:val="20"/>
        </w:rPr>
        <w:t xml:space="preserve">est. The results </w:t>
      </w:r>
      <w:r w:rsidR="00EB58C7" w:rsidRPr="00E47A49">
        <w:rPr>
          <w:rFonts w:ascii="Twentieth Century" w:eastAsia="Twentieth Century" w:hAnsi="Twentieth Century" w:cs="Twentieth Century"/>
          <w:i/>
          <w:sz w:val="20"/>
          <w:szCs w:val="20"/>
        </w:rPr>
        <w:t xml:space="preserve">showed that </w:t>
      </w:r>
      <w:r w:rsidR="00116B42" w:rsidRPr="00E47A49">
        <w:rPr>
          <w:rFonts w:ascii="Twentieth Century" w:eastAsia="Twentieth Century" w:hAnsi="Twentieth Century" w:cs="Twentieth Century"/>
          <w:i/>
          <w:sz w:val="20"/>
          <w:szCs w:val="20"/>
        </w:rPr>
        <w:t>most of the respondent</w:t>
      </w:r>
      <w:r w:rsidR="00EB58C7" w:rsidRPr="00E47A49">
        <w:rPr>
          <w:rFonts w:ascii="Twentieth Century" w:eastAsia="Twentieth Century" w:hAnsi="Twentieth Century" w:cs="Twentieth Century"/>
          <w:i/>
          <w:sz w:val="20"/>
          <w:szCs w:val="20"/>
        </w:rPr>
        <w:t>s were at the age of 11 years (64%), the pre-test anxiety level was in the M</w:t>
      </w:r>
      <w:r w:rsidR="00116B42" w:rsidRPr="00E47A49">
        <w:rPr>
          <w:rFonts w:ascii="Twentieth Century" w:eastAsia="Twentieth Century" w:hAnsi="Twentieth Century" w:cs="Twentieth Century"/>
          <w:i/>
          <w:sz w:val="20"/>
          <w:szCs w:val="20"/>
        </w:rPr>
        <w:t>oderate category of 20 students (40%), the post-test anxiety level was in the mild category of 36 students (72%). The results of the Bivariate Analysis obtained a Z value at the anxiety level of -3.5 with a P-value of 0.000. This shows that TKT, Health Education, and TS can overcome anxiety about menarche. The conclusion is that there is a decrease in the level of anxiety in facing menarche after the TKT, Health Education and TS actions.</w:t>
      </w:r>
    </w:p>
    <w:p w14:paraId="6B848F0B" w14:textId="77777777" w:rsidR="00116B42" w:rsidRPr="00E47A49" w:rsidRDefault="00116B42">
      <w:pPr>
        <w:spacing w:after="0" w:line="240" w:lineRule="auto"/>
        <w:ind w:left="3150"/>
        <w:jc w:val="both"/>
        <w:rPr>
          <w:rFonts w:ascii="Twentieth Century" w:eastAsia="Twentieth Century" w:hAnsi="Twentieth Century" w:cs="Twentieth Century"/>
          <w:sz w:val="20"/>
          <w:szCs w:val="20"/>
        </w:rPr>
      </w:pPr>
    </w:p>
    <w:p w14:paraId="577098E6" w14:textId="77777777" w:rsidR="00FD35AB" w:rsidRPr="00E47A49" w:rsidRDefault="00BE3CDC">
      <w:pPr>
        <w:widowControl w:val="0"/>
        <w:spacing w:after="0" w:line="228" w:lineRule="auto"/>
        <w:ind w:left="3150" w:right="-19"/>
        <w:jc w:val="both"/>
        <w:rPr>
          <w:rFonts w:ascii="Twentieth Century" w:eastAsia="Twentieth Century" w:hAnsi="Twentieth Century" w:cs="Twentieth Century"/>
          <w:b/>
          <w:i/>
          <w:sz w:val="20"/>
          <w:szCs w:val="20"/>
        </w:rPr>
      </w:pPr>
      <w:r w:rsidRPr="00E47A49">
        <w:rPr>
          <w:rFonts w:ascii="Twentieth Century" w:eastAsia="Twentieth Century" w:hAnsi="Twentieth Century" w:cs="Twentieth Century"/>
          <w:b/>
          <w:i/>
          <w:sz w:val="20"/>
          <w:szCs w:val="20"/>
        </w:rPr>
        <w:t>Keywords:</w:t>
      </w:r>
    </w:p>
    <w:p w14:paraId="15A68BCB" w14:textId="77777777" w:rsidR="00FD35AB" w:rsidRPr="00E47A49" w:rsidRDefault="00596614">
      <w:pPr>
        <w:tabs>
          <w:tab w:val="left" w:pos="426"/>
        </w:tabs>
        <w:spacing w:after="0"/>
        <w:ind w:left="3150"/>
        <w:jc w:val="both"/>
        <w:rPr>
          <w:rFonts w:ascii="Twentieth Century" w:eastAsia="Twentieth Century" w:hAnsi="Twentieth Century" w:cs="Twentieth Century"/>
          <w:i/>
          <w:sz w:val="20"/>
          <w:szCs w:val="20"/>
        </w:rPr>
      </w:pPr>
      <w:r>
        <w:rPr>
          <w:rFonts w:ascii="Twentieth Century" w:eastAsia="Twentieth Century" w:hAnsi="Twentieth Century" w:cs="Twentieth Century"/>
          <w:i/>
          <w:sz w:val="20"/>
          <w:szCs w:val="20"/>
        </w:rPr>
        <w:t>Therapeutic Group Therapy (TG</w:t>
      </w:r>
      <w:r w:rsidR="00116B42" w:rsidRPr="00E47A49">
        <w:rPr>
          <w:rFonts w:ascii="Twentieth Century" w:eastAsia="Twentieth Century" w:hAnsi="Twentieth Century" w:cs="Twentieth Century"/>
          <w:i/>
          <w:sz w:val="20"/>
          <w:szCs w:val="20"/>
        </w:rPr>
        <w:t>T)</w:t>
      </w:r>
      <w:r>
        <w:rPr>
          <w:rFonts w:ascii="Twentieth Century" w:eastAsia="Twentieth Century" w:hAnsi="Twentieth Century" w:cs="Twentieth Century"/>
          <w:i/>
          <w:sz w:val="20"/>
          <w:szCs w:val="20"/>
        </w:rPr>
        <w:t>,</w:t>
      </w:r>
      <w:r w:rsidR="00116B42" w:rsidRPr="00E47A49">
        <w:rPr>
          <w:rFonts w:ascii="Twentieth Century" w:eastAsia="Twentieth Century" w:hAnsi="Twentieth Century" w:cs="Twentieth Century"/>
          <w:i/>
          <w:sz w:val="20"/>
          <w:szCs w:val="20"/>
        </w:rPr>
        <w:t xml:space="preserve"> Health Education, Thought Stopping (TS)</w:t>
      </w:r>
    </w:p>
    <w:p w14:paraId="314DB53A" w14:textId="77777777" w:rsidR="00116B42" w:rsidRPr="00E47A49" w:rsidRDefault="00116B42">
      <w:pPr>
        <w:tabs>
          <w:tab w:val="left" w:pos="426"/>
        </w:tabs>
        <w:spacing w:after="0"/>
        <w:ind w:left="3150"/>
        <w:jc w:val="both"/>
        <w:rPr>
          <w:rFonts w:ascii="Twentieth Century" w:eastAsia="Twentieth Century" w:hAnsi="Twentieth Century" w:cs="Twentieth Century"/>
          <w:b/>
          <w:sz w:val="20"/>
          <w:szCs w:val="20"/>
        </w:rPr>
      </w:pPr>
    </w:p>
    <w:p w14:paraId="0D2E3AAE" w14:textId="77777777" w:rsidR="00FD35AB" w:rsidRPr="00E47A49" w:rsidRDefault="00BE3CDC">
      <w:pPr>
        <w:tabs>
          <w:tab w:val="left" w:pos="426"/>
        </w:tabs>
        <w:spacing w:after="0"/>
        <w:ind w:left="3150"/>
        <w:jc w:val="both"/>
        <w:rPr>
          <w:rFonts w:ascii="Twentieth Century" w:eastAsia="Twentieth Century" w:hAnsi="Twentieth Century" w:cs="Twentieth Century"/>
          <w:b/>
          <w:sz w:val="20"/>
          <w:szCs w:val="20"/>
        </w:rPr>
      </w:pPr>
      <w:proofErr w:type="spellStart"/>
      <w:r w:rsidRPr="00E47A49">
        <w:rPr>
          <w:rFonts w:ascii="Twentieth Century" w:eastAsia="Twentieth Century" w:hAnsi="Twentieth Century" w:cs="Twentieth Century"/>
          <w:b/>
          <w:sz w:val="20"/>
          <w:szCs w:val="20"/>
        </w:rPr>
        <w:t>Abstrak</w:t>
      </w:r>
      <w:proofErr w:type="spellEnd"/>
    </w:p>
    <w:p w14:paraId="418DD910" w14:textId="77777777" w:rsidR="001060E1" w:rsidRPr="00E47A49" w:rsidRDefault="001060E1">
      <w:pPr>
        <w:tabs>
          <w:tab w:val="left" w:pos="426"/>
        </w:tabs>
        <w:spacing w:after="0"/>
        <w:ind w:left="3150"/>
        <w:jc w:val="both"/>
        <w:rPr>
          <w:rFonts w:ascii="Twentieth Century" w:hAnsi="Twentieth Century" w:hint="eastAsia"/>
          <w:sz w:val="20"/>
          <w:szCs w:val="20"/>
        </w:rPr>
      </w:pPr>
      <w:r w:rsidRPr="006D6170">
        <w:rPr>
          <w:rFonts w:ascii="Twentieth Century" w:hAnsi="Twentieth Century"/>
          <w:sz w:val="20"/>
          <w:szCs w:val="20"/>
        </w:rPr>
        <w:lastRenderedPageBreak/>
        <w:t>Menarche</w:t>
      </w:r>
      <w:r w:rsidRPr="00E47A49">
        <w:rPr>
          <w:rFonts w:ascii="Twentieth Century" w:hAnsi="Twentieth Century"/>
          <w:sz w:val="20"/>
          <w:szCs w:val="20"/>
        </w:rPr>
        <w:t xml:space="preserve"> </w:t>
      </w:r>
      <w:proofErr w:type="spellStart"/>
      <w:r w:rsidRPr="00E47A49">
        <w:rPr>
          <w:rFonts w:ascii="Twentieth Century" w:hAnsi="Twentieth Century"/>
          <w:sz w:val="20"/>
          <w:szCs w:val="20"/>
        </w:rPr>
        <w:t>merupakan</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periode</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baru</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kehidupan</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seorang</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anak</w:t>
      </w:r>
      <w:proofErr w:type="spellEnd"/>
      <w:r w:rsidRPr="00E47A49">
        <w:rPr>
          <w:rFonts w:ascii="Twentieth Century" w:hAnsi="Twentieth Century"/>
          <w:sz w:val="20"/>
          <w:szCs w:val="20"/>
        </w:rPr>
        <w:t xml:space="preserve"> </w:t>
      </w:r>
      <w:proofErr w:type="spellStart"/>
      <w:r w:rsidR="007B2CB9" w:rsidRPr="00E47A49">
        <w:rPr>
          <w:rFonts w:ascii="Twentieth Century" w:hAnsi="Twentieth Century"/>
          <w:sz w:val="20"/>
          <w:szCs w:val="20"/>
        </w:rPr>
        <w:t>sebagai</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pertanda</w:t>
      </w:r>
      <w:proofErr w:type="spellEnd"/>
      <w:r w:rsidR="007B2CB9" w:rsidRPr="00E47A49">
        <w:rPr>
          <w:rFonts w:ascii="Twentieth Century" w:hAnsi="Twentieth Century"/>
          <w:sz w:val="20"/>
          <w:szCs w:val="20"/>
        </w:rPr>
        <w:t xml:space="preserve"> </w:t>
      </w:r>
      <w:proofErr w:type="spellStart"/>
      <w:r w:rsidR="007B2CB9" w:rsidRPr="00E47A49">
        <w:rPr>
          <w:rFonts w:ascii="Twentieth Century" w:hAnsi="Twentieth Century"/>
          <w:sz w:val="20"/>
          <w:szCs w:val="20"/>
        </w:rPr>
        <w:t>mulainya</w:t>
      </w:r>
      <w:proofErr w:type="spellEnd"/>
      <w:r w:rsidR="007B2CB9" w:rsidRPr="00E47A49">
        <w:rPr>
          <w:rFonts w:ascii="Twentieth Century" w:hAnsi="Twentieth Century"/>
          <w:sz w:val="20"/>
          <w:szCs w:val="20"/>
        </w:rPr>
        <w:t xml:space="preserve"> </w:t>
      </w:r>
      <w:proofErr w:type="spellStart"/>
      <w:r w:rsidR="007B2CB9" w:rsidRPr="00E47A49">
        <w:rPr>
          <w:rFonts w:ascii="Twentieth Century" w:hAnsi="Twentieth Century"/>
          <w:sz w:val="20"/>
          <w:szCs w:val="20"/>
        </w:rPr>
        <w:t>tahap</w:t>
      </w:r>
      <w:proofErr w:type="spellEnd"/>
      <w:r w:rsidR="007B2CB9" w:rsidRPr="00E47A49">
        <w:rPr>
          <w:rFonts w:ascii="Twentieth Century" w:hAnsi="Twentieth Century"/>
          <w:sz w:val="20"/>
          <w:szCs w:val="20"/>
        </w:rPr>
        <w:t xml:space="preserve"> </w:t>
      </w:r>
      <w:proofErr w:type="spellStart"/>
      <w:r w:rsidR="007B2CB9" w:rsidRPr="00E47A49">
        <w:rPr>
          <w:rFonts w:ascii="Twentieth Century" w:hAnsi="Twentieth Century"/>
          <w:sz w:val="20"/>
          <w:szCs w:val="20"/>
        </w:rPr>
        <w:t>kedewasaan</w:t>
      </w:r>
      <w:proofErr w:type="spellEnd"/>
      <w:r w:rsidR="007B2CB9" w:rsidRPr="00E47A49">
        <w:rPr>
          <w:rFonts w:ascii="Twentieth Century" w:hAnsi="Twentieth Century"/>
          <w:sz w:val="20"/>
          <w:szCs w:val="20"/>
        </w:rPr>
        <w:t xml:space="preserve">. Anak </w:t>
      </w:r>
      <w:proofErr w:type="spellStart"/>
      <w:r w:rsidR="007B2CB9" w:rsidRPr="00E47A49">
        <w:rPr>
          <w:rFonts w:ascii="Twentieth Century" w:hAnsi="Twentieth Century"/>
          <w:sz w:val="20"/>
          <w:szCs w:val="20"/>
        </w:rPr>
        <w:t>dapat</w:t>
      </w:r>
      <w:proofErr w:type="spellEnd"/>
      <w:r w:rsidR="007B2CB9" w:rsidRPr="00E47A49">
        <w:rPr>
          <w:rFonts w:ascii="Twentieth Century" w:hAnsi="Twentieth Century"/>
          <w:sz w:val="20"/>
          <w:szCs w:val="20"/>
        </w:rPr>
        <w:t xml:space="preserve"> </w:t>
      </w:r>
      <w:proofErr w:type="spellStart"/>
      <w:r w:rsidR="007B2CB9" w:rsidRPr="00E47A49">
        <w:rPr>
          <w:rFonts w:ascii="Twentieth Century" w:hAnsi="Twentieth Century"/>
          <w:sz w:val="20"/>
          <w:szCs w:val="20"/>
        </w:rPr>
        <w:t>mengalami</w:t>
      </w:r>
      <w:proofErr w:type="spellEnd"/>
      <w:r w:rsidR="007B2CB9" w:rsidRPr="00E47A49">
        <w:rPr>
          <w:rFonts w:ascii="Twentieth Century" w:hAnsi="Twentieth Century"/>
          <w:sz w:val="20"/>
          <w:szCs w:val="20"/>
        </w:rPr>
        <w:t xml:space="preserve"> </w:t>
      </w:r>
      <w:proofErr w:type="spellStart"/>
      <w:r w:rsidR="007B2CB9" w:rsidRPr="00E47A49">
        <w:rPr>
          <w:rFonts w:ascii="Twentieth Century" w:hAnsi="Twentieth Century"/>
          <w:sz w:val="20"/>
          <w:szCs w:val="20"/>
        </w:rPr>
        <w:t>p</w:t>
      </w:r>
      <w:r w:rsidRPr="00E47A49">
        <w:rPr>
          <w:rFonts w:ascii="Twentieth Century" w:hAnsi="Twentieth Century"/>
          <w:sz w:val="20"/>
          <w:szCs w:val="20"/>
        </w:rPr>
        <w:t>erubahan</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emosional</w:t>
      </w:r>
      <w:proofErr w:type="spellEnd"/>
      <w:r w:rsidRPr="00E47A49">
        <w:rPr>
          <w:rFonts w:ascii="Twentieth Century" w:hAnsi="Twentieth Century"/>
          <w:sz w:val="20"/>
          <w:szCs w:val="20"/>
        </w:rPr>
        <w:t xml:space="preserve"> </w:t>
      </w:r>
      <w:proofErr w:type="spellStart"/>
      <w:r w:rsidR="007B2CB9" w:rsidRPr="00E47A49">
        <w:rPr>
          <w:rFonts w:ascii="Twentieth Century" w:hAnsi="Twentieth Century"/>
          <w:sz w:val="20"/>
          <w:szCs w:val="20"/>
        </w:rPr>
        <w:t>berupa</w:t>
      </w:r>
      <w:proofErr w:type="spellEnd"/>
      <w:r w:rsidR="007B2CB9" w:rsidRPr="00E47A49">
        <w:rPr>
          <w:rFonts w:ascii="Twentieth Century" w:hAnsi="Twentieth Century"/>
          <w:sz w:val="20"/>
          <w:szCs w:val="20"/>
        </w:rPr>
        <w:t xml:space="preserve"> </w:t>
      </w:r>
      <w:proofErr w:type="spellStart"/>
      <w:r w:rsidR="007B2CB9" w:rsidRPr="00E47A49">
        <w:rPr>
          <w:rFonts w:ascii="Twentieth Century" w:hAnsi="Twentieth Century"/>
          <w:sz w:val="20"/>
          <w:szCs w:val="20"/>
        </w:rPr>
        <w:t>kecemasan</w:t>
      </w:r>
      <w:proofErr w:type="spellEnd"/>
      <w:r w:rsidR="007B2CB9" w:rsidRPr="00E47A49">
        <w:rPr>
          <w:rFonts w:ascii="Twentieth Century" w:hAnsi="Twentieth Century"/>
          <w:sz w:val="20"/>
          <w:szCs w:val="20"/>
        </w:rPr>
        <w:t xml:space="preserve"> yang </w:t>
      </w:r>
      <w:proofErr w:type="spellStart"/>
      <w:r w:rsidR="007B2CB9" w:rsidRPr="00E47A49">
        <w:rPr>
          <w:rFonts w:ascii="Twentieth Century" w:hAnsi="Twentieth Century"/>
          <w:sz w:val="20"/>
          <w:szCs w:val="20"/>
        </w:rPr>
        <w:t>diakibatkan</w:t>
      </w:r>
      <w:proofErr w:type="spellEnd"/>
      <w:r w:rsidR="007B2CB9" w:rsidRPr="00E47A49">
        <w:rPr>
          <w:rFonts w:ascii="Twentieth Century" w:hAnsi="Twentieth Century"/>
          <w:sz w:val="20"/>
          <w:szCs w:val="20"/>
        </w:rPr>
        <w:t xml:space="preserve"> </w:t>
      </w:r>
      <w:proofErr w:type="spellStart"/>
      <w:r w:rsidR="007B2CB9" w:rsidRPr="00E47A49">
        <w:rPr>
          <w:rFonts w:ascii="Twentieth Century" w:hAnsi="Twentieth Century"/>
          <w:sz w:val="20"/>
          <w:szCs w:val="20"/>
        </w:rPr>
        <w:t>perilaku</w:t>
      </w:r>
      <w:proofErr w:type="spellEnd"/>
      <w:r w:rsidR="007B2CB9" w:rsidRPr="00E47A49">
        <w:rPr>
          <w:rFonts w:ascii="Twentieth Century" w:hAnsi="Twentieth Century"/>
          <w:sz w:val="20"/>
          <w:szCs w:val="20"/>
        </w:rPr>
        <w:t xml:space="preserve"> </w:t>
      </w:r>
      <w:proofErr w:type="spellStart"/>
      <w:r w:rsidR="007B2CB9" w:rsidRPr="00E47A49">
        <w:rPr>
          <w:rFonts w:ascii="Twentieth Century" w:hAnsi="Twentieth Century"/>
          <w:sz w:val="20"/>
          <w:szCs w:val="20"/>
        </w:rPr>
        <w:t>b</w:t>
      </w:r>
      <w:r w:rsidR="007B2CB9" w:rsidRPr="001E6D6E">
        <w:rPr>
          <w:rFonts w:ascii="Twentieth Century" w:hAnsi="Twentieth Century"/>
          <w:color w:val="FF0000"/>
          <w:sz w:val="20"/>
          <w:szCs w:val="20"/>
        </w:rPr>
        <w:t>ullyng</w:t>
      </w:r>
      <w:proofErr w:type="spellEnd"/>
      <w:r w:rsidR="007B2CB9" w:rsidRPr="00E47A49">
        <w:rPr>
          <w:rFonts w:ascii="Twentieth Century" w:hAnsi="Twentieth Century"/>
          <w:sz w:val="20"/>
          <w:szCs w:val="20"/>
        </w:rPr>
        <w:t xml:space="preserve"> </w:t>
      </w:r>
      <w:proofErr w:type="spellStart"/>
      <w:r w:rsidR="007B2CB9" w:rsidRPr="00E47A49">
        <w:rPr>
          <w:rFonts w:ascii="Twentieth Century" w:hAnsi="Twentieth Century"/>
          <w:sz w:val="20"/>
          <w:szCs w:val="20"/>
        </w:rPr>
        <w:t>saat</w:t>
      </w:r>
      <w:proofErr w:type="spellEnd"/>
      <w:r w:rsidR="007B2CB9" w:rsidRPr="00E47A49">
        <w:rPr>
          <w:rFonts w:ascii="Twentieth Century" w:hAnsi="Twentieth Century"/>
          <w:sz w:val="20"/>
          <w:szCs w:val="20"/>
        </w:rPr>
        <w:t xml:space="preserve"> </w:t>
      </w:r>
      <w:proofErr w:type="spellStart"/>
      <w:r w:rsidR="007B2CB9" w:rsidRPr="00E47A49">
        <w:rPr>
          <w:rFonts w:ascii="Twentieth Century" w:hAnsi="Twentieth Century"/>
          <w:sz w:val="20"/>
          <w:szCs w:val="20"/>
        </w:rPr>
        <w:t>darah</w:t>
      </w:r>
      <w:proofErr w:type="spellEnd"/>
      <w:r w:rsidR="007B2CB9" w:rsidRPr="00E47A49">
        <w:rPr>
          <w:rFonts w:ascii="Twentieth Century" w:hAnsi="Twentieth Century"/>
          <w:sz w:val="20"/>
          <w:szCs w:val="20"/>
        </w:rPr>
        <w:t xml:space="preserve"> </w:t>
      </w:r>
      <w:proofErr w:type="spellStart"/>
      <w:r w:rsidR="007B2CB9" w:rsidRPr="00E47A49">
        <w:rPr>
          <w:rFonts w:ascii="Twentieth Century" w:hAnsi="Twentieth Century"/>
          <w:sz w:val="20"/>
          <w:szCs w:val="20"/>
        </w:rPr>
        <w:t>haid</w:t>
      </w:r>
      <w:proofErr w:type="spellEnd"/>
      <w:r w:rsidR="007B2CB9" w:rsidRPr="00E47A49">
        <w:rPr>
          <w:rFonts w:ascii="Twentieth Century" w:hAnsi="Twentieth Century"/>
          <w:sz w:val="20"/>
          <w:szCs w:val="20"/>
        </w:rPr>
        <w:t xml:space="preserve"> </w:t>
      </w:r>
      <w:proofErr w:type="spellStart"/>
      <w:r w:rsidR="007B2CB9" w:rsidRPr="00E47A49">
        <w:rPr>
          <w:rFonts w:ascii="Twentieth Century" w:hAnsi="Twentieth Century"/>
          <w:sz w:val="20"/>
          <w:szCs w:val="20"/>
        </w:rPr>
        <w:t>mengenai</w:t>
      </w:r>
      <w:proofErr w:type="spellEnd"/>
      <w:r w:rsidR="007B2CB9" w:rsidRPr="00E47A49">
        <w:rPr>
          <w:rFonts w:ascii="Twentieth Century" w:hAnsi="Twentieth Century"/>
          <w:sz w:val="20"/>
          <w:szCs w:val="20"/>
        </w:rPr>
        <w:t xml:space="preserve"> </w:t>
      </w:r>
      <w:proofErr w:type="spellStart"/>
      <w:r w:rsidR="007B2CB9" w:rsidRPr="00E47A49">
        <w:rPr>
          <w:rFonts w:ascii="Twentieth Century" w:hAnsi="Twentieth Century"/>
          <w:sz w:val="20"/>
          <w:szCs w:val="20"/>
        </w:rPr>
        <w:t>pakaian</w:t>
      </w:r>
      <w:proofErr w:type="spellEnd"/>
      <w:r w:rsidR="007B2CB9" w:rsidRPr="00E47A49">
        <w:rPr>
          <w:rFonts w:ascii="Twentieth Century" w:hAnsi="Twentieth Century"/>
          <w:sz w:val="20"/>
          <w:szCs w:val="20"/>
        </w:rPr>
        <w:t xml:space="preserve"> </w:t>
      </w:r>
      <w:proofErr w:type="spellStart"/>
      <w:r w:rsidR="007B2CB9" w:rsidRPr="00E47A49">
        <w:rPr>
          <w:rFonts w:ascii="Twentieth Century" w:hAnsi="Twentieth Century"/>
          <w:sz w:val="20"/>
          <w:szCs w:val="20"/>
        </w:rPr>
        <w:t>sehingga</w:t>
      </w:r>
      <w:proofErr w:type="spellEnd"/>
      <w:r w:rsidR="007B2CB9" w:rsidRPr="00E47A49">
        <w:rPr>
          <w:rFonts w:ascii="Twentieth Century" w:hAnsi="Twentieth Century"/>
          <w:sz w:val="20"/>
          <w:szCs w:val="20"/>
        </w:rPr>
        <w:t xml:space="preserve"> </w:t>
      </w:r>
      <w:proofErr w:type="spellStart"/>
      <w:r w:rsidRPr="00E47A49">
        <w:rPr>
          <w:rFonts w:ascii="Twentieth Century" w:hAnsi="Twentieth Century"/>
          <w:sz w:val="20"/>
          <w:szCs w:val="20"/>
        </w:rPr>
        <w:t>anak</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merasa</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malu</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Penelitian</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ini</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bertujuan</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untuk</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melihat</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pengaruh</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Terapi</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Kelompok</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Terapeutik</w:t>
      </w:r>
      <w:proofErr w:type="spellEnd"/>
      <w:r w:rsidRPr="00E47A49">
        <w:rPr>
          <w:rFonts w:ascii="Twentieth Century" w:hAnsi="Twentieth Century"/>
          <w:sz w:val="20"/>
          <w:szCs w:val="20"/>
        </w:rPr>
        <w:t xml:space="preserve"> (TKT), Pendidikan Kesehatan, Thought Stopping (TS) </w:t>
      </w:r>
      <w:proofErr w:type="spellStart"/>
      <w:r w:rsidRPr="00E47A49">
        <w:rPr>
          <w:rFonts w:ascii="Twentieth Century" w:hAnsi="Twentieth Century"/>
          <w:sz w:val="20"/>
          <w:szCs w:val="20"/>
        </w:rPr>
        <w:t>terhadap</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tingkat</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kecemasan</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anak</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usia</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sekolah</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dalam</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menghadapi</w:t>
      </w:r>
      <w:proofErr w:type="spellEnd"/>
      <w:r w:rsidRPr="00E47A49">
        <w:rPr>
          <w:rFonts w:ascii="Twentieth Century" w:hAnsi="Twentieth Century"/>
          <w:sz w:val="20"/>
          <w:szCs w:val="20"/>
        </w:rPr>
        <w:t xml:space="preserve"> menarche. </w:t>
      </w:r>
      <w:proofErr w:type="spellStart"/>
      <w:r w:rsidRPr="00E47A49">
        <w:rPr>
          <w:rFonts w:ascii="Twentieth Century" w:hAnsi="Twentieth Century"/>
          <w:sz w:val="20"/>
          <w:szCs w:val="20"/>
        </w:rPr>
        <w:t>Penelitian</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ini</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merupakan</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quasy</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eksperimen</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dengan</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pendekatan</w:t>
      </w:r>
      <w:proofErr w:type="spellEnd"/>
      <w:r w:rsidRPr="00E47A49">
        <w:rPr>
          <w:rFonts w:ascii="Twentieth Century" w:hAnsi="Twentieth Century"/>
          <w:sz w:val="20"/>
          <w:szCs w:val="20"/>
        </w:rPr>
        <w:t xml:space="preserve"> Pre dan Post Test. </w:t>
      </w:r>
      <w:proofErr w:type="spellStart"/>
      <w:r w:rsidRPr="00E47A49">
        <w:rPr>
          <w:rFonts w:ascii="Twentieth Century" w:hAnsi="Twentieth Century"/>
          <w:sz w:val="20"/>
          <w:szCs w:val="20"/>
        </w:rPr>
        <w:t>Jumlah</w:t>
      </w:r>
      <w:proofErr w:type="spellEnd"/>
      <w:r w:rsidRPr="00E47A49">
        <w:rPr>
          <w:rFonts w:ascii="Twentieth Century" w:hAnsi="Twentieth Century"/>
          <w:sz w:val="20"/>
          <w:szCs w:val="20"/>
        </w:rPr>
        <w:t xml:space="preserve"> sam</w:t>
      </w:r>
      <w:r w:rsidRPr="001E6D6E">
        <w:rPr>
          <w:rFonts w:ascii="Twentieth Century" w:hAnsi="Twentieth Century"/>
          <w:color w:val="FF0000"/>
          <w:sz w:val="20"/>
          <w:szCs w:val="20"/>
        </w:rPr>
        <w:t>ple</w:t>
      </w:r>
      <w:r w:rsidRPr="00E47A49">
        <w:rPr>
          <w:rFonts w:ascii="Twentieth Century" w:hAnsi="Twentieth Century"/>
          <w:sz w:val="20"/>
          <w:szCs w:val="20"/>
        </w:rPr>
        <w:t xml:space="preserve"> </w:t>
      </w:r>
      <w:proofErr w:type="spellStart"/>
      <w:r w:rsidRPr="00E47A49">
        <w:rPr>
          <w:rFonts w:ascii="Twentieth Century" w:hAnsi="Twentieth Century"/>
          <w:sz w:val="20"/>
          <w:szCs w:val="20"/>
        </w:rPr>
        <w:t>dalam</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penelitian</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ini</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adalah</w:t>
      </w:r>
      <w:proofErr w:type="spellEnd"/>
      <w:r w:rsidRPr="00E47A49">
        <w:rPr>
          <w:rFonts w:ascii="Twentieth Century" w:hAnsi="Twentieth Century"/>
          <w:sz w:val="20"/>
          <w:szCs w:val="20"/>
        </w:rPr>
        <w:t xml:space="preserve"> 50 </w:t>
      </w:r>
      <w:proofErr w:type="spellStart"/>
      <w:r w:rsidRPr="00E47A49">
        <w:rPr>
          <w:rFonts w:ascii="Twentieth Century" w:hAnsi="Twentieth Century"/>
          <w:sz w:val="20"/>
          <w:szCs w:val="20"/>
        </w:rPr>
        <w:t>siswi</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kelas</w:t>
      </w:r>
      <w:proofErr w:type="spellEnd"/>
      <w:r w:rsidRPr="00E47A49">
        <w:rPr>
          <w:rFonts w:ascii="Twentieth Century" w:hAnsi="Twentieth Century"/>
          <w:sz w:val="20"/>
          <w:szCs w:val="20"/>
        </w:rPr>
        <w:t xml:space="preserve"> 4 di SDN 176 </w:t>
      </w:r>
      <w:proofErr w:type="spellStart"/>
      <w:r w:rsidRPr="00E47A49">
        <w:rPr>
          <w:rFonts w:ascii="Twentieth Century" w:hAnsi="Twentieth Century"/>
          <w:sz w:val="20"/>
          <w:szCs w:val="20"/>
        </w:rPr>
        <w:t>Pekanbaru</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Analisis</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Bivariat</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menggunakan</w:t>
      </w:r>
      <w:proofErr w:type="spellEnd"/>
      <w:r w:rsidRPr="00E47A49">
        <w:rPr>
          <w:rFonts w:ascii="Twentieth Century" w:hAnsi="Twentieth Century"/>
          <w:sz w:val="20"/>
          <w:szCs w:val="20"/>
        </w:rPr>
        <w:t xml:space="preserve"> Uji Wilcoxon. Hasil </w:t>
      </w:r>
      <w:proofErr w:type="spellStart"/>
      <w:r w:rsidRPr="00E47A49">
        <w:rPr>
          <w:rFonts w:ascii="Twentieth Century" w:hAnsi="Twentieth Century"/>
          <w:sz w:val="20"/>
          <w:szCs w:val="20"/>
        </w:rPr>
        <w:t>didapatkan</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bahwa</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sebagian</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besar</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responden</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berada</w:t>
      </w:r>
      <w:proofErr w:type="spellEnd"/>
      <w:r w:rsidRPr="00E47A49">
        <w:rPr>
          <w:rFonts w:ascii="Twentieth Century" w:hAnsi="Twentieth Century"/>
          <w:sz w:val="20"/>
          <w:szCs w:val="20"/>
        </w:rPr>
        <w:t xml:space="preserve"> pada </w:t>
      </w:r>
      <w:proofErr w:type="spellStart"/>
      <w:r w:rsidRPr="00E47A49">
        <w:rPr>
          <w:rFonts w:ascii="Twentieth Century" w:hAnsi="Twentieth Century"/>
          <w:sz w:val="20"/>
          <w:szCs w:val="20"/>
        </w:rPr>
        <w:t>usia</w:t>
      </w:r>
      <w:proofErr w:type="spellEnd"/>
      <w:r w:rsidRPr="00E47A49">
        <w:rPr>
          <w:rFonts w:ascii="Twentieth Century" w:hAnsi="Twentieth Century"/>
          <w:sz w:val="20"/>
          <w:szCs w:val="20"/>
        </w:rPr>
        <w:t xml:space="preserve"> 11 </w:t>
      </w:r>
      <w:proofErr w:type="spellStart"/>
      <w:r w:rsidRPr="00E47A49">
        <w:rPr>
          <w:rFonts w:ascii="Twentieth Century" w:hAnsi="Twentieth Century"/>
          <w:sz w:val="20"/>
          <w:szCs w:val="20"/>
        </w:rPr>
        <w:t>tahun</w:t>
      </w:r>
      <w:proofErr w:type="spellEnd"/>
      <w:r w:rsidRPr="00E47A49">
        <w:rPr>
          <w:rFonts w:ascii="Twentieth Century" w:hAnsi="Twentieth Century"/>
          <w:sz w:val="20"/>
          <w:szCs w:val="20"/>
        </w:rPr>
        <w:t xml:space="preserve"> (64%), Tingkat </w:t>
      </w:r>
      <w:proofErr w:type="spellStart"/>
      <w:r w:rsidRPr="00E47A49">
        <w:rPr>
          <w:rFonts w:ascii="Twentieth Century" w:hAnsi="Twentieth Century"/>
          <w:sz w:val="20"/>
          <w:szCs w:val="20"/>
        </w:rPr>
        <w:t>Kecemasan</w:t>
      </w:r>
      <w:proofErr w:type="spellEnd"/>
      <w:r w:rsidRPr="00E47A49">
        <w:rPr>
          <w:rFonts w:ascii="Twentieth Century" w:hAnsi="Twentieth Century"/>
          <w:sz w:val="20"/>
          <w:szCs w:val="20"/>
        </w:rPr>
        <w:t xml:space="preserve"> Pre-test </w:t>
      </w:r>
      <w:proofErr w:type="spellStart"/>
      <w:r w:rsidRPr="00E47A49">
        <w:rPr>
          <w:rFonts w:ascii="Twentieth Century" w:hAnsi="Twentieth Century"/>
          <w:sz w:val="20"/>
          <w:szCs w:val="20"/>
        </w:rPr>
        <w:t>berada</w:t>
      </w:r>
      <w:proofErr w:type="spellEnd"/>
      <w:r w:rsidRPr="00E47A49">
        <w:rPr>
          <w:rFonts w:ascii="Twentieth Century" w:hAnsi="Twentieth Century"/>
          <w:sz w:val="20"/>
          <w:szCs w:val="20"/>
        </w:rPr>
        <w:t xml:space="preserve"> pada </w:t>
      </w:r>
      <w:proofErr w:type="spellStart"/>
      <w:r w:rsidRPr="00E47A49">
        <w:rPr>
          <w:rFonts w:ascii="Twentieth Century" w:hAnsi="Twentieth Century"/>
          <w:sz w:val="20"/>
          <w:szCs w:val="20"/>
        </w:rPr>
        <w:t>kategori</w:t>
      </w:r>
      <w:proofErr w:type="spellEnd"/>
      <w:r w:rsidRPr="00E47A49">
        <w:rPr>
          <w:rFonts w:ascii="Twentieth Century" w:hAnsi="Twentieth Century"/>
          <w:sz w:val="20"/>
          <w:szCs w:val="20"/>
        </w:rPr>
        <w:t xml:space="preserve"> Sedang </w:t>
      </w:r>
      <w:proofErr w:type="spellStart"/>
      <w:r w:rsidRPr="00E47A49">
        <w:rPr>
          <w:rFonts w:ascii="Twentieth Century" w:hAnsi="Twentieth Century"/>
          <w:sz w:val="20"/>
          <w:szCs w:val="20"/>
        </w:rPr>
        <w:t>sebanyak</w:t>
      </w:r>
      <w:proofErr w:type="spellEnd"/>
      <w:r w:rsidRPr="00E47A49">
        <w:rPr>
          <w:rFonts w:ascii="Twentieth Century" w:hAnsi="Twentieth Century"/>
          <w:sz w:val="20"/>
          <w:szCs w:val="20"/>
        </w:rPr>
        <w:t xml:space="preserve"> 20 </w:t>
      </w:r>
      <w:proofErr w:type="spellStart"/>
      <w:r w:rsidRPr="00E47A49">
        <w:rPr>
          <w:rFonts w:ascii="Twentieth Century" w:hAnsi="Twentieth Century"/>
          <w:sz w:val="20"/>
          <w:szCs w:val="20"/>
        </w:rPr>
        <w:t>siswi</w:t>
      </w:r>
      <w:proofErr w:type="spellEnd"/>
      <w:r w:rsidRPr="00E47A49">
        <w:rPr>
          <w:rFonts w:ascii="Twentieth Century" w:hAnsi="Twentieth Century"/>
          <w:sz w:val="20"/>
          <w:szCs w:val="20"/>
        </w:rPr>
        <w:t xml:space="preserve"> (40%), </w:t>
      </w:r>
      <w:proofErr w:type="spellStart"/>
      <w:r w:rsidRPr="00E47A49">
        <w:rPr>
          <w:rFonts w:ascii="Twentieth Century" w:hAnsi="Twentieth Century"/>
          <w:sz w:val="20"/>
          <w:szCs w:val="20"/>
        </w:rPr>
        <w:t>Tingkan</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Kecemasan</w:t>
      </w:r>
      <w:proofErr w:type="spellEnd"/>
      <w:r w:rsidRPr="00E47A49">
        <w:rPr>
          <w:rFonts w:ascii="Twentieth Century" w:hAnsi="Twentieth Century"/>
          <w:sz w:val="20"/>
          <w:szCs w:val="20"/>
        </w:rPr>
        <w:t xml:space="preserve"> Post-test </w:t>
      </w:r>
      <w:proofErr w:type="spellStart"/>
      <w:r w:rsidRPr="00E47A49">
        <w:rPr>
          <w:rFonts w:ascii="Twentieth Century" w:hAnsi="Twentieth Century"/>
          <w:sz w:val="20"/>
          <w:szCs w:val="20"/>
        </w:rPr>
        <w:t>berada</w:t>
      </w:r>
      <w:proofErr w:type="spellEnd"/>
      <w:r w:rsidRPr="00E47A49">
        <w:rPr>
          <w:rFonts w:ascii="Twentieth Century" w:hAnsi="Twentieth Century"/>
          <w:sz w:val="20"/>
          <w:szCs w:val="20"/>
        </w:rPr>
        <w:t xml:space="preserve"> pada </w:t>
      </w:r>
      <w:proofErr w:type="spellStart"/>
      <w:r w:rsidRPr="00E47A49">
        <w:rPr>
          <w:rFonts w:ascii="Twentieth Century" w:hAnsi="Twentieth Century"/>
          <w:sz w:val="20"/>
          <w:szCs w:val="20"/>
        </w:rPr>
        <w:t>kategori</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Ringan</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sebanyak</w:t>
      </w:r>
      <w:proofErr w:type="spellEnd"/>
      <w:r w:rsidRPr="00E47A49">
        <w:rPr>
          <w:rFonts w:ascii="Twentieth Century" w:hAnsi="Twentieth Century"/>
          <w:sz w:val="20"/>
          <w:szCs w:val="20"/>
        </w:rPr>
        <w:t xml:space="preserve"> 36 </w:t>
      </w:r>
      <w:proofErr w:type="spellStart"/>
      <w:r w:rsidRPr="00E47A49">
        <w:rPr>
          <w:rFonts w:ascii="Twentieth Century" w:hAnsi="Twentieth Century"/>
          <w:sz w:val="20"/>
          <w:szCs w:val="20"/>
        </w:rPr>
        <w:t>siswa</w:t>
      </w:r>
      <w:proofErr w:type="spellEnd"/>
      <w:r w:rsidRPr="00E47A49">
        <w:rPr>
          <w:rFonts w:ascii="Twentieth Century" w:hAnsi="Twentieth Century"/>
          <w:sz w:val="20"/>
          <w:szCs w:val="20"/>
        </w:rPr>
        <w:t xml:space="preserve"> (72%). Hasil </w:t>
      </w:r>
      <w:proofErr w:type="spellStart"/>
      <w:r w:rsidRPr="00E47A49">
        <w:rPr>
          <w:rFonts w:ascii="Twentieth Century" w:hAnsi="Twentieth Century"/>
          <w:sz w:val="20"/>
          <w:szCs w:val="20"/>
        </w:rPr>
        <w:t>Analisis</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Bivariat</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didapatkan</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nilai</w:t>
      </w:r>
      <w:proofErr w:type="spellEnd"/>
      <w:r w:rsidRPr="00E47A49">
        <w:rPr>
          <w:rFonts w:ascii="Twentieth Century" w:hAnsi="Twentieth Century"/>
          <w:sz w:val="20"/>
          <w:szCs w:val="20"/>
        </w:rPr>
        <w:t xml:space="preserve"> Z pada </w:t>
      </w:r>
      <w:proofErr w:type="spellStart"/>
      <w:r w:rsidRPr="00E47A49">
        <w:rPr>
          <w:rFonts w:ascii="Twentieth Century" w:hAnsi="Twentieth Century"/>
          <w:sz w:val="20"/>
          <w:szCs w:val="20"/>
        </w:rPr>
        <w:t>tingkat</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kecemasan</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sebesar</w:t>
      </w:r>
      <w:proofErr w:type="spellEnd"/>
      <w:r w:rsidRPr="00E47A49">
        <w:rPr>
          <w:rFonts w:ascii="Twentieth Century" w:hAnsi="Twentieth Century"/>
          <w:sz w:val="20"/>
          <w:szCs w:val="20"/>
        </w:rPr>
        <w:t xml:space="preserve"> -3,5 </w:t>
      </w:r>
      <w:proofErr w:type="spellStart"/>
      <w:r w:rsidRPr="00E47A49">
        <w:rPr>
          <w:rFonts w:ascii="Twentieth Century" w:hAnsi="Twentieth Century"/>
          <w:sz w:val="20"/>
          <w:szCs w:val="20"/>
        </w:rPr>
        <w:t>dengan</w:t>
      </w:r>
      <w:proofErr w:type="spellEnd"/>
      <w:r w:rsidRPr="00E47A49">
        <w:rPr>
          <w:rFonts w:ascii="Twentieth Century" w:hAnsi="Twentieth Century"/>
          <w:sz w:val="20"/>
          <w:szCs w:val="20"/>
        </w:rPr>
        <w:t xml:space="preserve"> P-value 0,000. Hal </w:t>
      </w:r>
      <w:proofErr w:type="spellStart"/>
      <w:r w:rsidRPr="00E47A49">
        <w:rPr>
          <w:rFonts w:ascii="Twentieth Century" w:hAnsi="Twentieth Century"/>
          <w:sz w:val="20"/>
          <w:szCs w:val="20"/>
        </w:rPr>
        <w:t>ini</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menunjukkan</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bahwa</w:t>
      </w:r>
      <w:proofErr w:type="spellEnd"/>
      <w:r w:rsidRPr="00E47A49">
        <w:rPr>
          <w:rFonts w:ascii="Twentieth Century" w:hAnsi="Twentieth Century"/>
          <w:sz w:val="20"/>
          <w:szCs w:val="20"/>
        </w:rPr>
        <w:t xml:space="preserve"> TKT, Pendidikan Kesehatan, dan TS </w:t>
      </w:r>
      <w:proofErr w:type="spellStart"/>
      <w:r w:rsidRPr="00E47A49">
        <w:rPr>
          <w:rFonts w:ascii="Twentieth Century" w:hAnsi="Twentieth Century"/>
          <w:sz w:val="20"/>
          <w:szCs w:val="20"/>
        </w:rPr>
        <w:t>dapat</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mengatasi</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kecemasan</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menghadapi</w:t>
      </w:r>
      <w:proofErr w:type="spellEnd"/>
      <w:r w:rsidRPr="00E47A49">
        <w:rPr>
          <w:rFonts w:ascii="Twentieth Century" w:hAnsi="Twentieth Century"/>
          <w:sz w:val="20"/>
          <w:szCs w:val="20"/>
        </w:rPr>
        <w:t xml:space="preserve"> menarche. Kesimpulan </w:t>
      </w:r>
      <w:proofErr w:type="spellStart"/>
      <w:r w:rsidRPr="00E47A49">
        <w:rPr>
          <w:rFonts w:ascii="Twentieth Century" w:hAnsi="Twentieth Century"/>
          <w:sz w:val="20"/>
          <w:szCs w:val="20"/>
        </w:rPr>
        <w:t>terdapat</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penurunan</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tingkat</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kecemasan</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dalam</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menghadapi</w:t>
      </w:r>
      <w:proofErr w:type="spellEnd"/>
      <w:r w:rsidRPr="00E47A49">
        <w:rPr>
          <w:rFonts w:ascii="Twentieth Century" w:hAnsi="Twentieth Century"/>
          <w:sz w:val="20"/>
          <w:szCs w:val="20"/>
        </w:rPr>
        <w:t xml:space="preserve"> menarche </w:t>
      </w:r>
      <w:proofErr w:type="spellStart"/>
      <w:r w:rsidRPr="00E47A49">
        <w:rPr>
          <w:rFonts w:ascii="Twentieth Century" w:hAnsi="Twentieth Century"/>
          <w:sz w:val="20"/>
          <w:szCs w:val="20"/>
        </w:rPr>
        <w:t>setelah</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tindakan</w:t>
      </w:r>
      <w:proofErr w:type="spellEnd"/>
      <w:r w:rsidRPr="00E47A49">
        <w:rPr>
          <w:rFonts w:ascii="Twentieth Century" w:hAnsi="Twentieth Century"/>
          <w:sz w:val="20"/>
          <w:szCs w:val="20"/>
        </w:rPr>
        <w:t xml:space="preserve"> TKT, Pendidikan Kesehatan dan TS. </w:t>
      </w:r>
    </w:p>
    <w:p w14:paraId="79CD08F6" w14:textId="77777777" w:rsidR="001060E1" w:rsidRPr="00E47A49" w:rsidRDefault="001060E1">
      <w:pPr>
        <w:tabs>
          <w:tab w:val="left" w:pos="426"/>
        </w:tabs>
        <w:spacing w:after="0"/>
        <w:ind w:left="3150"/>
        <w:jc w:val="both"/>
        <w:rPr>
          <w:rFonts w:ascii="Twentieth Century" w:hAnsi="Twentieth Century" w:hint="eastAsia"/>
        </w:rPr>
      </w:pPr>
    </w:p>
    <w:p w14:paraId="49DDB084" w14:textId="77777777" w:rsidR="00FD35AB" w:rsidRPr="00E47A49" w:rsidRDefault="00BE3CDC">
      <w:pPr>
        <w:tabs>
          <w:tab w:val="left" w:pos="426"/>
        </w:tabs>
        <w:spacing w:after="0"/>
        <w:ind w:left="3150"/>
        <w:jc w:val="both"/>
        <w:rPr>
          <w:rFonts w:ascii="Twentieth Century" w:eastAsia="Twentieth Century" w:hAnsi="Twentieth Century" w:cs="Twentieth Century"/>
          <w:b/>
          <w:sz w:val="20"/>
          <w:szCs w:val="20"/>
        </w:rPr>
      </w:pPr>
      <w:r w:rsidRPr="00E47A49">
        <w:rPr>
          <w:rFonts w:ascii="Twentieth Century" w:eastAsia="Twentieth Century" w:hAnsi="Twentieth Century" w:cs="Twentieth Century"/>
          <w:b/>
          <w:sz w:val="20"/>
          <w:szCs w:val="20"/>
        </w:rPr>
        <w:t xml:space="preserve">Kata </w:t>
      </w:r>
      <w:proofErr w:type="spellStart"/>
      <w:r w:rsidRPr="00E47A49">
        <w:rPr>
          <w:rFonts w:ascii="Twentieth Century" w:eastAsia="Twentieth Century" w:hAnsi="Twentieth Century" w:cs="Twentieth Century"/>
          <w:b/>
          <w:sz w:val="20"/>
          <w:szCs w:val="20"/>
        </w:rPr>
        <w:t>Kunci</w:t>
      </w:r>
      <w:proofErr w:type="spellEnd"/>
    </w:p>
    <w:p w14:paraId="58C98833" w14:textId="77777777" w:rsidR="00FD35AB" w:rsidRDefault="00596614" w:rsidP="00596614">
      <w:pPr>
        <w:ind w:left="3119"/>
        <w:jc w:val="both"/>
        <w:rPr>
          <w:rFonts w:ascii="Twentieth Century" w:hAnsi="Twentieth Century" w:hint="eastAsia"/>
          <w:sz w:val="20"/>
          <w:szCs w:val="20"/>
        </w:rPr>
      </w:pPr>
      <w:r w:rsidRPr="00E47A49">
        <w:rPr>
          <w:rFonts w:ascii="Twentieth Century" w:hAnsi="Twentieth Century"/>
          <w:noProof/>
        </w:rPr>
        <mc:AlternateContent>
          <mc:Choice Requires="wps">
            <w:drawing>
              <wp:anchor distT="0" distB="0" distL="114300" distR="114300" simplePos="0" relativeHeight="251660288" behindDoc="0" locked="0" layoutInCell="1" hidden="0" allowOverlap="1" wp14:anchorId="4074A170" wp14:editId="55621436">
                <wp:simplePos x="0" y="0"/>
                <wp:positionH relativeFrom="column">
                  <wp:posOffset>-38100</wp:posOffset>
                </wp:positionH>
                <wp:positionV relativeFrom="paragraph">
                  <wp:posOffset>358775</wp:posOffset>
                </wp:positionV>
                <wp:extent cx="5975985" cy="38100"/>
                <wp:effectExtent l="0" t="0" r="0" b="0"/>
                <wp:wrapNone/>
                <wp:docPr id="64" name="Straight Arrow Connector 64"/>
                <wp:cNvGraphicFramePr/>
                <a:graphic xmlns:a="http://schemas.openxmlformats.org/drawingml/2006/main">
                  <a:graphicData uri="http://schemas.microsoft.com/office/word/2010/wordprocessingShape">
                    <wps:wsp>
                      <wps:cNvCnPr/>
                      <wps:spPr>
                        <a:xfrm>
                          <a:off x="0" y="0"/>
                          <a:ext cx="5975985" cy="3810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 w14:anchorId="0E936956" id="Straight Arrow Connector 64" o:spid="_x0000_s1026" type="#_x0000_t32" style="position:absolute;margin-left:-3pt;margin-top:28.25pt;width:470.55pt;height: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" strokecolor="black [3200]" strokeweight="1.5pt">
                <v:stroke startarrowwidth="narrow" startarrowlength="short" endarrowwidth="narrow" endarrowlength="short"/>
              </v:shape>
            </w:pict>
          </mc:Fallback>
        </mc:AlternateContent>
      </w:r>
      <w:proofErr w:type="spellStart"/>
      <w:r w:rsidR="007B2CB9" w:rsidRPr="00E47A49">
        <w:rPr>
          <w:rFonts w:ascii="Twentieth Century" w:hAnsi="Twentieth Century"/>
          <w:sz w:val="20"/>
          <w:szCs w:val="20"/>
        </w:rPr>
        <w:t>Terapi</w:t>
      </w:r>
      <w:proofErr w:type="spellEnd"/>
      <w:r w:rsidR="007B2CB9" w:rsidRPr="00E47A49">
        <w:rPr>
          <w:rFonts w:ascii="Twentieth Century" w:hAnsi="Twentieth Century"/>
          <w:sz w:val="20"/>
          <w:szCs w:val="20"/>
        </w:rPr>
        <w:t xml:space="preserve"> </w:t>
      </w:r>
      <w:proofErr w:type="spellStart"/>
      <w:r w:rsidR="007B2CB9" w:rsidRPr="00E47A49">
        <w:rPr>
          <w:rFonts w:ascii="Twentieth Century" w:hAnsi="Twentieth Century"/>
          <w:sz w:val="20"/>
          <w:szCs w:val="20"/>
        </w:rPr>
        <w:t>Kelompok</w:t>
      </w:r>
      <w:proofErr w:type="spellEnd"/>
      <w:r w:rsidR="007B2CB9" w:rsidRPr="00E47A49">
        <w:rPr>
          <w:rFonts w:ascii="Twentieth Century" w:hAnsi="Twentieth Century"/>
          <w:sz w:val="20"/>
          <w:szCs w:val="20"/>
        </w:rPr>
        <w:t xml:space="preserve"> </w:t>
      </w:r>
      <w:proofErr w:type="spellStart"/>
      <w:r w:rsidR="007B2CB9" w:rsidRPr="00E47A49">
        <w:rPr>
          <w:rFonts w:ascii="Twentieth Century" w:hAnsi="Twentieth Century"/>
          <w:sz w:val="20"/>
          <w:szCs w:val="20"/>
        </w:rPr>
        <w:t>Terapeutik</w:t>
      </w:r>
      <w:proofErr w:type="spellEnd"/>
      <w:r>
        <w:rPr>
          <w:rFonts w:ascii="Twentieth Century" w:hAnsi="Twentieth Century"/>
          <w:sz w:val="20"/>
          <w:szCs w:val="20"/>
        </w:rPr>
        <w:t xml:space="preserve"> (TKT), Pendidikan Kesehatan, Thought Stopping </w:t>
      </w:r>
      <w:r w:rsidR="007B2CB9" w:rsidRPr="00E47A49">
        <w:rPr>
          <w:rFonts w:ascii="Twentieth Century" w:hAnsi="Twentieth Century"/>
          <w:sz w:val="20"/>
          <w:szCs w:val="20"/>
        </w:rPr>
        <w:t>(TS</w:t>
      </w:r>
      <w:r>
        <w:rPr>
          <w:rFonts w:ascii="Twentieth Century" w:hAnsi="Twentieth Century"/>
          <w:sz w:val="20"/>
          <w:szCs w:val="20"/>
        </w:rPr>
        <w:t xml:space="preserve">) </w:t>
      </w:r>
    </w:p>
    <w:p w14:paraId="467AFAF9" w14:textId="77777777" w:rsidR="00596614" w:rsidRPr="00E47A49" w:rsidRDefault="00596614" w:rsidP="00596614">
      <w:pPr>
        <w:ind w:left="3119"/>
        <w:jc w:val="both"/>
        <w:rPr>
          <w:rFonts w:ascii="Twentieth Century" w:eastAsia="Twentieth Century" w:hAnsi="Twentieth Century" w:cs="Twentieth Century"/>
        </w:rPr>
        <w:sectPr w:rsidR="00596614" w:rsidRPr="00E47A49">
          <w:headerReference w:type="default" r:id="rId10"/>
          <w:footerReference w:type="default" r:id="rId11"/>
          <w:pgSz w:w="12240" w:h="15840"/>
          <w:pgMar w:top="1440" w:right="1440" w:bottom="1440" w:left="1440" w:header="720" w:footer="720" w:gutter="0"/>
          <w:pgNumType w:start="1"/>
          <w:cols w:space="720"/>
        </w:sectPr>
      </w:pPr>
    </w:p>
    <w:p w14:paraId="76FAF241" w14:textId="77777777" w:rsidR="00FD35AB" w:rsidRPr="00E47A49" w:rsidRDefault="00BE3CDC">
      <w:pPr>
        <w:tabs>
          <w:tab w:val="left" w:pos="426"/>
        </w:tabs>
        <w:spacing w:after="0"/>
        <w:jc w:val="both"/>
        <w:rPr>
          <w:rFonts w:ascii="Twentieth Century" w:eastAsia="Twentieth Century" w:hAnsi="Twentieth Century" w:cs="Twentieth Century"/>
          <w:b/>
          <w:sz w:val="24"/>
          <w:szCs w:val="24"/>
        </w:rPr>
      </w:pPr>
      <w:r w:rsidRPr="00E47A49">
        <w:rPr>
          <w:rFonts w:ascii="Twentieth Century" w:eastAsia="Twentieth Century" w:hAnsi="Twentieth Century" w:cs="Twentieth Century"/>
          <w:b/>
          <w:sz w:val="24"/>
          <w:szCs w:val="24"/>
        </w:rPr>
        <w:t>PENDAHULUAN</w:t>
      </w:r>
    </w:p>
    <w:p w14:paraId="142C929D" w14:textId="77777777" w:rsidR="00EB58C7" w:rsidRPr="00E47A49" w:rsidRDefault="00EB58C7" w:rsidP="00EB58C7">
      <w:pPr>
        <w:pStyle w:val="TeksKomentar"/>
        <w:jc w:val="both"/>
        <w:rPr>
          <w:rFonts w:ascii="Twentieth Century" w:hAnsi="Twentieth Century"/>
          <w:sz w:val="22"/>
          <w:szCs w:val="22"/>
          <w:lang w:val="en-US"/>
        </w:rPr>
      </w:pPr>
      <w:proofErr w:type="spellStart"/>
      <w:r w:rsidRPr="00E47A49">
        <w:rPr>
          <w:rFonts w:ascii="Twentieth Century" w:hAnsi="Twentieth Century"/>
          <w:sz w:val="22"/>
          <w:szCs w:val="22"/>
        </w:rPr>
        <w:t>Menarche</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merupakan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haid</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atau</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menstruasi</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pertama</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seorang</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anak</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perempuan</w:t>
      </w:r>
      <w:proofErr w:type="spellEnd"/>
      <w:r w:rsidRPr="00E47A49">
        <w:rPr>
          <w:rFonts w:ascii="Twentieth Century" w:hAnsi="Twentieth Century"/>
          <w:sz w:val="22"/>
          <w:szCs w:val="22"/>
          <w:lang w:val="en-US"/>
        </w:rPr>
        <w:t xml:space="preserve"> yang </w:t>
      </w:r>
      <w:proofErr w:type="spellStart"/>
      <w:r w:rsidRPr="00E47A49">
        <w:rPr>
          <w:rFonts w:ascii="Twentieth Century" w:hAnsi="Twentieth Century"/>
          <w:sz w:val="22"/>
          <w:szCs w:val="22"/>
          <w:lang w:val="en-US"/>
        </w:rPr>
        <w:t>biasanya</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terjadi</w:t>
      </w:r>
      <w:proofErr w:type="spellEnd"/>
      <w:r w:rsidRPr="00E47A49">
        <w:rPr>
          <w:rFonts w:ascii="Twentieth Century" w:hAnsi="Twentieth Century"/>
          <w:sz w:val="22"/>
          <w:szCs w:val="22"/>
          <w:lang w:val="en-US"/>
        </w:rPr>
        <w:t xml:space="preserve"> pada </w:t>
      </w:r>
      <w:proofErr w:type="spellStart"/>
      <w:r w:rsidRPr="00E47A49">
        <w:rPr>
          <w:rFonts w:ascii="Twentieth Century" w:hAnsi="Twentieth Century"/>
          <w:sz w:val="22"/>
          <w:szCs w:val="22"/>
          <w:lang w:val="en-US"/>
        </w:rPr>
        <w:t>usia</w:t>
      </w:r>
      <w:proofErr w:type="spellEnd"/>
      <w:r w:rsidRPr="00E47A49">
        <w:rPr>
          <w:rFonts w:ascii="Twentieth Century" w:hAnsi="Twentieth Century"/>
          <w:sz w:val="22"/>
          <w:szCs w:val="22"/>
          <w:lang w:val="en-US"/>
        </w:rPr>
        <w:t xml:space="preserve"> 10 – 19 </w:t>
      </w:r>
      <w:proofErr w:type="spellStart"/>
      <w:r w:rsidRPr="00E47A49">
        <w:rPr>
          <w:rFonts w:ascii="Twentieth Century" w:hAnsi="Twentieth Century"/>
          <w:sz w:val="22"/>
          <w:szCs w:val="22"/>
          <w:lang w:val="en-US"/>
        </w:rPr>
        <w:t>tahun</w:t>
      </w:r>
      <w:proofErr w:type="spellEnd"/>
      <w:r w:rsidRPr="00E47A49">
        <w:rPr>
          <w:rFonts w:ascii="Twentieth Century" w:hAnsi="Twentieth Century"/>
          <w:sz w:val="22"/>
          <w:szCs w:val="22"/>
          <w:lang w:val="en-US"/>
        </w:rPr>
        <w:t xml:space="preserve">. Rata – rata </w:t>
      </w:r>
      <w:proofErr w:type="spellStart"/>
      <w:r w:rsidRPr="00E47A49">
        <w:rPr>
          <w:rFonts w:ascii="Twentieth Century" w:hAnsi="Twentieth Century"/>
          <w:sz w:val="22"/>
          <w:szCs w:val="22"/>
          <w:lang w:val="en-US"/>
        </w:rPr>
        <w:t>usia</w:t>
      </w:r>
      <w:proofErr w:type="spellEnd"/>
      <w:r w:rsidRPr="00E47A49">
        <w:rPr>
          <w:rFonts w:ascii="Twentieth Century" w:hAnsi="Twentieth Century"/>
          <w:sz w:val="22"/>
          <w:szCs w:val="22"/>
          <w:lang w:val="en-US"/>
        </w:rPr>
        <w:t xml:space="preserve"> menarche </w:t>
      </w:r>
      <w:proofErr w:type="spellStart"/>
      <w:r w:rsidRPr="00E47A49">
        <w:rPr>
          <w:rFonts w:ascii="Twentieth Century" w:hAnsi="Twentieth Century"/>
          <w:sz w:val="22"/>
          <w:szCs w:val="22"/>
          <w:lang w:val="en-US"/>
        </w:rPr>
        <w:t>adalah</w:t>
      </w:r>
      <w:proofErr w:type="spellEnd"/>
      <w:r w:rsidRPr="00E47A49">
        <w:rPr>
          <w:rFonts w:ascii="Twentieth Century" w:hAnsi="Twentieth Century"/>
          <w:sz w:val="22"/>
          <w:szCs w:val="22"/>
          <w:lang w:val="en-US"/>
        </w:rPr>
        <w:t xml:space="preserve"> 12,96 </w:t>
      </w:r>
      <w:proofErr w:type="spellStart"/>
      <w:r w:rsidRPr="00E47A49">
        <w:rPr>
          <w:rFonts w:ascii="Twentieth Century" w:hAnsi="Twentieth Century"/>
          <w:sz w:val="22"/>
          <w:szCs w:val="22"/>
          <w:lang w:val="en-US"/>
        </w:rPr>
        <w:t>tahun</w:t>
      </w:r>
      <w:proofErr w:type="spellEnd"/>
      <w:r w:rsidRPr="00E47A49">
        <w:rPr>
          <w:rFonts w:ascii="Twentieth Century" w:hAnsi="Twentieth Century"/>
          <w:sz w:val="22"/>
          <w:szCs w:val="22"/>
          <w:lang w:val="en-US"/>
        </w:rPr>
        <w:t xml:space="preserve"> </w:t>
      </w:r>
      <w:r w:rsidRPr="00E47A49">
        <w:rPr>
          <w:rFonts w:ascii="Twentieth Century" w:hAnsi="Twentieth Century"/>
          <w:sz w:val="22"/>
          <w:szCs w:val="22"/>
          <w:lang w:val="en-US"/>
        </w:rPr>
        <w:fldChar w:fldCharType="begin" w:fldLock="1"/>
      </w:r>
      <w:r w:rsidR="00E47A49" w:rsidRPr="00E47A49">
        <w:rPr>
          <w:rFonts w:ascii="Twentieth Century" w:hAnsi="Twentieth Century"/>
          <w:sz w:val="22"/>
          <w:szCs w:val="22"/>
          <w:lang w:val="en-US"/>
        </w:rPr>
        <w:instrText>ADDIN CSL_CITATION {"citationItems":[{"id":"ITEM-1","itemData":{"DOI":"10.22435/kespro.v10i2.2568","ISSN":"2087-703X","abstract":"Abstract\r Background: A  downward  trend  in  age  at  menarche (AAM) has been  leveling-off in industrialized countries. However, downward trends were still observed in developing countries.\r Objective: The aim  was to verify secular trend of AAM among Indonesian women and its associated factors.\r Methods: Data used were from Baseline Health Research (Riskesdas) 2010, a cross-sectional nationwide survey. Samples included were 79,026 women aged 10-59 years. History of menarche, socio-demographic variables, weight, height were taken. Descriptive and bivariate analysis were applied to measure proportion, central tendency measures.\r Results: Among adolescent 10-19years, overall proportion of menarche was 78.6%, ranging from 42.8%, 96.2%, 99.6% at age 12, 15, 18 years respectively. The overall mean AAM was 12.96 years. AAM was significantly younger in urban than rural areas. BMI was significantly lower among adolescense not experienced menarche yet than experienced menarche. AAM was younger in urban areas, higher socio-economic status, and varied among seven regions. \r Conclusions: Nutritional status was a significant factor associated with AAM. A downward trend in AAM was observed in Indonesian women.\r Key words: menarche, secular trend, body mass index, Indonesian woman\r Abstrak\r Latar belakang: Tren penurunan usia pada menarche telah meningkat di negara-negara industri. Namun, tren penurunan masih diamati di negara-negara berkembang.\r Tujuan: untuk memverifikasi tren sekuler usia menarche di kalangan perempuan Indonesia dan faktor-faktor terkaitnya.\r Metode: Data yang digunakan berasal dari Riskesdas 2010, survei nasional dengan desain cross-sectional. Sampel yang dianalisis adalah 79.026 perempuan berumur 10-59 tahun. Variabel yang dikumpulkan meliputi: riwayat menarche, sosio-demografis, berat badan, tinggi badan. Analisis deskriptif dan bivariat digunakan untuk mengukur proporsi, ukuran kecenderungan sentral.\r Hasil: Di antara remaja 10-19 tahun, proporsi keseluruhan menarche adalah 78,6 persen, mulai dari 42,8 persen, 96,2 persen, 99,6 persen pada masing-masing umur 12, 15, dan 18 tahun. Rata-rata keseluruhan usia menarche adalah 12,96 tahun. Usia menarche secara signifikan lebih muda di daerah perkotaan daripada pedesaan. IMT secara signifikan lebih rendah di antara remaja yang belum mengalami menarche dibandingkan dengan remaja yang sudah mengalami menarche. Usia menarche lebih muda di daerah perkotaan, status sosial ekonomi yang lebih tinggi, dan …","author":[{"dropping-particle":"","family":"Sudikno","given":"Sudikno","non-dropping-particle":"","parse-names":false,"suffix":""},{"dropping-particle":"","family":"Sandjaja","given":"Sandjaja","non-dropping-particle":"","parse-names":false,"suffix":""}],"container-title":"Jurnal Kesehatan Reproduksi","id":"ITEM-1","issue":"2","issued":{"date-parts":[["2020"]]},"page":"163-171","title":"Usia Menarche Perempuan Indonesia Semakin Muda: Hasil Analisis Riskesdas 2010","type":"article-journal","volume":"10"},"uris":["http://www.mendeley.com/documents/?uuid=9ebff299-d2e2-45bb-8b30-eb53f826165d"]}],"mendeley":{"formattedCitation":"[1]","plainTextFormattedCitation":"[1]","previouslyFormattedCitation":"[1]"},"properties":{"noteIndex":0},"schema":"https://github.com/citation-style-language/schema/raw/master/csl-citation.json"}</w:instrText>
      </w:r>
      <w:r w:rsidRPr="00E47A49">
        <w:rPr>
          <w:rFonts w:ascii="Twentieth Century" w:hAnsi="Twentieth Century"/>
          <w:sz w:val="22"/>
          <w:szCs w:val="22"/>
          <w:lang w:val="en-US"/>
        </w:rPr>
        <w:fldChar w:fldCharType="separate"/>
      </w:r>
      <w:r w:rsidR="00E47A49" w:rsidRPr="00E47A49">
        <w:rPr>
          <w:rFonts w:ascii="Twentieth Century" w:hAnsi="Twentieth Century"/>
          <w:noProof/>
          <w:sz w:val="22"/>
          <w:szCs w:val="22"/>
          <w:lang w:val="en-US"/>
        </w:rPr>
        <w:t>[1]</w:t>
      </w:r>
      <w:r w:rsidRPr="00E47A49">
        <w:rPr>
          <w:rFonts w:ascii="Twentieth Century" w:hAnsi="Twentieth Century"/>
          <w:sz w:val="22"/>
          <w:szCs w:val="22"/>
          <w:lang w:val="en-US"/>
        </w:rPr>
        <w:fldChar w:fldCharType="end"/>
      </w:r>
      <w:r w:rsidRPr="00E47A49">
        <w:rPr>
          <w:rFonts w:ascii="Twentieth Century" w:hAnsi="Twentieth Century"/>
          <w:sz w:val="22"/>
          <w:szCs w:val="22"/>
          <w:lang w:val="en-US"/>
        </w:rPr>
        <w:t xml:space="preserve">. Di India </w:t>
      </w:r>
      <w:proofErr w:type="spellStart"/>
      <w:r w:rsidRPr="00E47A49">
        <w:rPr>
          <w:rFonts w:ascii="Twentieth Century" w:hAnsi="Twentieth Century"/>
          <w:sz w:val="22"/>
          <w:szCs w:val="22"/>
          <w:lang w:val="en-US"/>
        </w:rPr>
        <w:t>usia</w:t>
      </w:r>
      <w:proofErr w:type="spellEnd"/>
      <w:r w:rsidRPr="00E47A49">
        <w:rPr>
          <w:rFonts w:ascii="Twentieth Century" w:hAnsi="Twentieth Century"/>
          <w:sz w:val="22"/>
          <w:szCs w:val="22"/>
          <w:lang w:val="en-US"/>
        </w:rPr>
        <w:t xml:space="preserve"> menarche pada </w:t>
      </w:r>
      <w:proofErr w:type="spellStart"/>
      <w:r w:rsidRPr="00E47A49">
        <w:rPr>
          <w:rFonts w:ascii="Twentieth Century" w:hAnsi="Twentieth Century"/>
          <w:sz w:val="22"/>
          <w:szCs w:val="22"/>
          <w:lang w:val="en-US"/>
        </w:rPr>
        <w:t>remaja</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putri</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berkisar</w:t>
      </w:r>
      <w:proofErr w:type="spellEnd"/>
      <w:r w:rsidRPr="00E47A49">
        <w:rPr>
          <w:rFonts w:ascii="Twentieth Century" w:hAnsi="Twentieth Century"/>
          <w:sz w:val="22"/>
          <w:szCs w:val="22"/>
          <w:lang w:val="en-US"/>
        </w:rPr>
        <w:t xml:space="preserve"> 12,5 (±1,42) </w:t>
      </w:r>
      <w:proofErr w:type="spellStart"/>
      <w:r w:rsidRPr="00E47A49">
        <w:rPr>
          <w:rFonts w:ascii="Twentieth Century" w:hAnsi="Twentieth Century"/>
          <w:sz w:val="22"/>
          <w:szCs w:val="22"/>
          <w:lang w:val="en-US"/>
        </w:rPr>
        <w:t>tahun</w:t>
      </w:r>
      <w:proofErr w:type="spellEnd"/>
      <w:r w:rsidRPr="00E47A49">
        <w:rPr>
          <w:rFonts w:ascii="Twentieth Century" w:hAnsi="Twentieth Century"/>
          <w:sz w:val="22"/>
          <w:szCs w:val="22"/>
          <w:lang w:val="en-US"/>
        </w:rPr>
        <w:t xml:space="preserve">, di </w:t>
      </w:r>
      <w:proofErr w:type="spellStart"/>
      <w:r w:rsidRPr="00E47A49">
        <w:rPr>
          <w:rFonts w:ascii="Twentieth Century" w:hAnsi="Twentieth Century"/>
          <w:sz w:val="22"/>
          <w:szCs w:val="22"/>
          <w:lang w:val="en-US"/>
        </w:rPr>
        <w:t>Jerman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berkisar</w:t>
      </w:r>
      <w:proofErr w:type="spellEnd"/>
      <w:r w:rsidRPr="00E47A49">
        <w:rPr>
          <w:rFonts w:ascii="Twentieth Century" w:hAnsi="Twentieth Century"/>
          <w:sz w:val="22"/>
          <w:szCs w:val="22"/>
          <w:lang w:val="en-US"/>
        </w:rPr>
        <w:t xml:space="preserve"> 15 </w:t>
      </w:r>
      <w:proofErr w:type="spellStart"/>
      <w:r w:rsidRPr="00E47A49">
        <w:rPr>
          <w:rFonts w:ascii="Twentieth Century" w:hAnsi="Twentieth Century"/>
          <w:sz w:val="22"/>
          <w:szCs w:val="22"/>
          <w:lang w:val="en-US"/>
        </w:rPr>
        <w:t>tahun</w:t>
      </w:r>
      <w:proofErr w:type="spellEnd"/>
      <w:r w:rsidRPr="00E47A49">
        <w:rPr>
          <w:rFonts w:ascii="Twentieth Century" w:hAnsi="Twentieth Century"/>
          <w:sz w:val="22"/>
          <w:szCs w:val="22"/>
          <w:lang w:val="en-US"/>
        </w:rPr>
        <w:t xml:space="preserve">, dan di Australia </w:t>
      </w:r>
      <w:proofErr w:type="spellStart"/>
      <w:r w:rsidRPr="00E47A49">
        <w:rPr>
          <w:rFonts w:ascii="Twentieth Century" w:hAnsi="Twentieth Century"/>
          <w:sz w:val="22"/>
          <w:szCs w:val="22"/>
          <w:lang w:val="en-US"/>
        </w:rPr>
        <w:t>berkisar</w:t>
      </w:r>
      <w:proofErr w:type="spellEnd"/>
      <w:r w:rsidRPr="00E47A49">
        <w:rPr>
          <w:rFonts w:ascii="Twentieth Century" w:hAnsi="Twentieth Century"/>
          <w:sz w:val="22"/>
          <w:szCs w:val="22"/>
          <w:lang w:val="en-US"/>
        </w:rPr>
        <w:t xml:space="preserve"> 14-15 </w:t>
      </w:r>
      <w:proofErr w:type="spellStart"/>
      <w:r w:rsidRPr="00E47A49">
        <w:rPr>
          <w:rFonts w:ascii="Twentieth Century" w:hAnsi="Twentieth Century"/>
          <w:sz w:val="22"/>
          <w:szCs w:val="22"/>
          <w:lang w:val="en-US"/>
        </w:rPr>
        <w:t>tahun</w:t>
      </w:r>
      <w:proofErr w:type="spellEnd"/>
      <w:r w:rsidRPr="00E47A49">
        <w:rPr>
          <w:rFonts w:ascii="Twentieth Century" w:hAnsi="Twentieth Century"/>
          <w:sz w:val="22"/>
          <w:szCs w:val="22"/>
          <w:lang w:val="en-US"/>
        </w:rPr>
        <w:t xml:space="preserve"> </w:t>
      </w:r>
      <w:r w:rsidRPr="00E47A49">
        <w:rPr>
          <w:rFonts w:ascii="Twentieth Century" w:hAnsi="Twentieth Century"/>
          <w:sz w:val="22"/>
          <w:szCs w:val="22"/>
          <w:lang w:val="en-US"/>
        </w:rPr>
        <w:fldChar w:fldCharType="begin" w:fldLock="1"/>
      </w:r>
      <w:r w:rsidR="00E47A49" w:rsidRPr="00E47A49">
        <w:rPr>
          <w:rFonts w:ascii="Twentieth Century" w:hAnsi="Twentieth Century"/>
          <w:sz w:val="22"/>
          <w:szCs w:val="22"/>
          <w:lang w:val="en-US"/>
        </w:rPr>
        <w:instrText>ADDIN CSL_CITATION {"citationItems":[{"id":"ITEM-1","itemData":{"DOI":"https://doi.org/10.1016/j.cegh.2021.100758","ISSN":"2213-3984","abstract":"Background\nA declining trend of menarcheal age is noted in many developing and developed countries since last century. There is a reduction in the age of menarche by nearly one month per decade suggesting a secular decline in age of menarche among Indian women.\nAim\nTo find out the mean age of menarche in the adolescent girls and their mothers and to know the factors associated with the change in the mean age of menarche.\nMethodology\nA comparative cross-sectional study was conducted in SRM field practice area, Mamandur involving100 adolescent girls and their mothers using a semistructured questionnaire. Descriptive statistics and chi square analysis, univariate and multivariate analysis were used to analyse the data. A value of p &lt; 0.05 is considered significant.\nResults\nThe mean age of menarche in adolescent girls is 12.5 (±1.42) years and their mother is 14 (±1.10) years. The study revealed that in menstrual history, age of menarche, regularity, menstrual flow and habitual and lifestyle factors like outside food consumption, sedentary/active lifestyle, sleep, dietary habits, polycystic ovary syndrome (PCOS) showed significant difference between adolescent girls and their mother. In univariate analysis outside food consumption, sedentary lifestyle and hours of activity were found significant. In multivariate analysis sedentary lifestyle was only found to be significant for early menarche.\nConclusion\nA decline in the mean age of menarche was found among adolescent girls compared to their mothers. The adolescent girls attained menarche early compared to their mothers and this difference was attributed to sedentary lifestyle.","author":[{"dropping-particle":"","family":"Ramraj","given":"Balaji","non-dropping-particle":"","parse-names":false,"suffix":""},{"dropping-particle":"","family":"Subramanian","given":"V Meenakshi","non-dropping-particle":"","parse-names":false,"suffix":""},{"dropping-particle":"","family":"G","given":"Vijayakrishnan","non-dropping-particle":"","parse-names":false,"suffix":""}],"container-title":"Clinical Epidemiology and Global Health","id":"ITEM-1","issued":{"date-parts":[["2021"]]},"page":"100758","title":"Study on age of menarche between generations and the factors associated with it","type":"article-journal","volume":"11"},"uris":["http://www.mendeley.com/documents/?uuid=7572decb-c50a-4ff5-a072-d5a326afe083"]},{"id":"ITEM-2","itemData":{"DOI":"https://doi.org/10.1016/j.ijheh.2021.113917","ISSN":"1438-4639","abstract":"Background\nA large multicentre European study reported later onset of menopause among women residing in greener areas. This influence on the timing of a reproductive event like menopause, raises the question whether similar associations can be observed with timing of menarche. We investigated whether exposure to residential green space was related to the age at menarche in German and Australian adolescent girls.\nMethods\nThe analytic samples comprised of 1706 German and 1474 Australian adolescent girls. Percentage of green space was calculated in 1000 m buffers around a residential address or its surrogate at the previous follow-up. Mixed effects Cox proportional hazard models were used to explore the associations. The survival object was the occurrence of menarche at the time of follow-up (15-year follow-up of the German cohorts and the study wave at 14–15 years in the Australian cohort) and number of years since baseline (10-year follow-up in the German cohort and the study wave at 10–11 years in the Australian cohort). Participants who did not reach menarche were included as censored observations.\nResults\nA greener residence was not associated with the age at menarche. Null findings were consistent in the general population and in analyses stratified by socioeconomic status or urbanicity in both countries. Urban residents were more likely to have earlier menarche, and this association was consistent across Germany and Australia.\nConclusion\nThe results of our analysis do not support the hypothesis that residing in places with more green space can influence timing of menarche. However, given the limitations of our study, researchers should not be discouraged to further explore environmental risk factors of early menarche.","author":[{"dropping-particle":"","family":"Markevych","given":"Iana","non-dropping-particle":"","parse-names":false,"suffix":""},{"dropping-particle":"","family":"Astell-Burt","given":"Thomas","non-dropping-particle":"","parse-names":false,"suffix":""},{"dropping-particle":"","family":"Altug","given":"Hicran","non-dropping-particle":"","parse-names":false,"suffix":""},{"dropping-particle":"","family":"Triebner","given":"Kai","non-dropping-particle":"","parse-names":false,"suffix":""},{"dropping-particle":"","family":"Standl","given":"Marie","non-dropping-particle":"","parse-names":false,"suffix":""},{"dropping-particle":"","family":"Flexeder","given":"Claudia","non-dropping-particle":"","parse-names":false,"suffix":""},{"dropping-particle":"","family":"Heinrich","given":"Joachim","non-dropping-particle":"","parse-names":false,"suffix":""},{"dropping-particle":"","family":"Schikowski","given":"Tamara","non-dropping-particle":"","parse-names":false,"suffix":""},{"dropping-particle":"","family":"Koletzko","given":"Sibylle","non-dropping-particle":"","parse-names":false,"suffix":""},{"dropping-particle":"","family":"Herberth","given":"Gunda","non-dropping-particle":"","parse-names":false,"suffix":""},{"dropping-particle":"","family":"Bauer","given":"Carl-Peter","non-dropping-particle":"","parse-names":false,"suffix":""},{"dropping-particle":"","family":"Berg","given":"Andrea","non-dropping-particle":"von","parse-names":false,"suffix":""},{"dropping-particle":"","family":"Berdel","given":"Dietrich","non-dropping-particle":"","parse-names":false,"suffix":""},{"dropping-particle":"","family":"Feng","given":"Xiaoqi","non-dropping-particle":"","parse-names":false,"suffix":""}],"container-title":"International Journal of Hygiene and Environmental Health","id":"ITEM-2","issued":{"date-parts":[["2022"]]},"page":"113917","title":"Residential green space and age at menarche in German and Australian adolescent girls: A longitudinal study","type":"article-journal","volume":"240"},"uris":["http://www.mendeley.com/documents/?uuid=ee8fd123-3bef-4fb8-a778-6c03d3920819"]}],"mendeley":{"formattedCitation":"[2], [3]","plainTextFormattedCitation":"[2], [3]","previouslyFormattedCitation":"[2], [3]"},"properties":{"noteIndex":0},"schema":"https://github.com/citation-style-language/schema/raw/master/csl-citation.json"}</w:instrText>
      </w:r>
      <w:r w:rsidRPr="00E47A49">
        <w:rPr>
          <w:rFonts w:ascii="Twentieth Century" w:hAnsi="Twentieth Century"/>
          <w:sz w:val="22"/>
          <w:szCs w:val="22"/>
          <w:lang w:val="en-US"/>
        </w:rPr>
        <w:fldChar w:fldCharType="separate"/>
      </w:r>
      <w:r w:rsidR="00E47A49" w:rsidRPr="00E47A49">
        <w:rPr>
          <w:rFonts w:ascii="Twentieth Century" w:hAnsi="Twentieth Century"/>
          <w:noProof/>
          <w:sz w:val="22"/>
          <w:szCs w:val="22"/>
          <w:lang w:val="en-US"/>
        </w:rPr>
        <w:t>[2], [3]</w:t>
      </w:r>
      <w:r w:rsidRPr="00E47A49">
        <w:rPr>
          <w:rFonts w:ascii="Twentieth Century" w:hAnsi="Twentieth Century"/>
          <w:sz w:val="22"/>
          <w:szCs w:val="22"/>
          <w:lang w:val="en-US"/>
        </w:rPr>
        <w:fldChar w:fldCharType="end"/>
      </w:r>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Usia</w:t>
      </w:r>
      <w:proofErr w:type="spellEnd"/>
      <w:r w:rsidRPr="00E47A49">
        <w:rPr>
          <w:rFonts w:ascii="Twentieth Century" w:hAnsi="Twentieth Century"/>
          <w:sz w:val="22"/>
          <w:szCs w:val="22"/>
          <w:lang w:val="en-US"/>
        </w:rPr>
        <w:t xml:space="preserve"> menarche yang relative </w:t>
      </w:r>
      <w:proofErr w:type="spellStart"/>
      <w:r w:rsidRPr="00E47A49">
        <w:rPr>
          <w:rFonts w:ascii="Twentieth Century" w:hAnsi="Twentieth Century"/>
          <w:sz w:val="22"/>
          <w:szCs w:val="22"/>
          <w:lang w:val="en-US"/>
        </w:rPr>
        <w:t>dini</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berkaitan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dengan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kondisi</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psikopatologis</w:t>
      </w:r>
      <w:proofErr w:type="spellEnd"/>
      <w:r w:rsidRPr="00E47A49">
        <w:rPr>
          <w:rFonts w:ascii="Twentieth Century" w:hAnsi="Twentieth Century"/>
          <w:sz w:val="22"/>
          <w:szCs w:val="22"/>
          <w:lang w:val="en-US"/>
        </w:rPr>
        <w:t xml:space="preserve"> pada </w:t>
      </w:r>
      <w:proofErr w:type="spellStart"/>
      <w:r w:rsidRPr="00E47A49">
        <w:rPr>
          <w:rFonts w:ascii="Twentieth Century" w:hAnsi="Twentieth Century"/>
          <w:sz w:val="22"/>
          <w:szCs w:val="22"/>
          <w:lang w:val="en-US"/>
        </w:rPr>
        <w:t>remaja</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putri</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seperti</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gangguan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kecemasan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gangguan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perilaku</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gangguan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makan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depresi</w:t>
      </w:r>
      <w:proofErr w:type="spellEnd"/>
      <w:r w:rsidRPr="00E47A49">
        <w:rPr>
          <w:rFonts w:ascii="Twentieth Century" w:hAnsi="Twentieth Century"/>
          <w:sz w:val="22"/>
          <w:szCs w:val="22"/>
          <w:lang w:val="en-US"/>
        </w:rPr>
        <w:t xml:space="preserve"> dan </w:t>
      </w:r>
      <w:proofErr w:type="spellStart"/>
      <w:r w:rsidRPr="00E47A49">
        <w:rPr>
          <w:rFonts w:ascii="Twentieth Century" w:hAnsi="Twentieth Century"/>
          <w:sz w:val="22"/>
          <w:szCs w:val="22"/>
          <w:lang w:val="en-US"/>
        </w:rPr>
        <w:t>tempramen</w:t>
      </w:r>
      <w:proofErr w:type="spellEnd"/>
      <w:r w:rsidRPr="00E47A49">
        <w:rPr>
          <w:rFonts w:ascii="Twentieth Century" w:hAnsi="Twentieth Century"/>
          <w:sz w:val="22"/>
          <w:szCs w:val="22"/>
          <w:lang w:val="en-US"/>
        </w:rPr>
        <w:fldChar w:fldCharType="begin" w:fldLock="1"/>
      </w:r>
      <w:r w:rsidR="00E47A49" w:rsidRPr="00E47A49">
        <w:rPr>
          <w:rFonts w:ascii="Twentieth Century" w:hAnsi="Twentieth Century"/>
          <w:sz w:val="22"/>
          <w:szCs w:val="22"/>
          <w:lang w:val="en-US"/>
        </w:rPr>
        <w:instrText>ADDIN CSL_CITATION {"citationItems":[{"id":"ITEM-1","itemData":{"DOI":"https://doi.org/10.1016/j.eurpsy.2016.08.001","ISSN":"0924-9338","abstract":"Background\nMenarche age has been associated inconsistently with the occurrence, timing or severity of major depressive disorder (MDD), but rarely studied in women with bipolar (BDs) or anxiety disorders.\nMethods\nWe investigated women patients at a Sardinian mood disorder center for associations of age at menarche with age at illness onset for major affective or anxiety disorders, year of birth, and other selected factors, using bivariate comparisons and multivariate regression modeling.\nResults\nAmong women (n=1139) with DSM-IV MDD (n=557), BD-I (n=223), BD-II (n=178), or anxiety disorders (n=181), born in 1904–1998, of mean age 42.9 years, menarche age averaged 12.8 [CI: 12.7–12.9] years. Illness onset age averaged 30.9 [30.1–31.8] years, ranking: BD-I, 25.8; anxiety disorders, 28.0; BD-II, 30.3; MDD, 34.1 years. Menarche age declined secularly over birth years, and was associated with younger illness-onset, having no or fewer siblings, more psychiatrically ill first-degree relatives, living in rural environments, being suicidal, substance abuse, and being unemployed. Earlier menarche and earlier illness-onset were significantly associated for onset age groups of ≤ 20, 20–39, and &gt; 40 years. Menarche age versus diagnosis ranked: BD-II&lt;BD-I&lt;anxiety disorders&lt;MDD.\nConclusions\nAge at menarche in Sardinia, as elsewhere, has declined over the past decades. It was strongly associated with age at onset of bipolar and anxiety, as well as major depressive disorders across the age range, suggesting sustained effects of biological maturational factors.","author":[{"dropping-particle":"","family":"Tondo","given":"L","non-dropping-particle":"","parse-names":false,"suffix":""},{"dropping-particle":"","family":"Pinna","given":"M","non-dropping-particle":"","parse-names":false,"suffix":""},{"dropping-particle":"","family":"Serra","given":"G","non-dropping-particle":"","parse-names":false,"suffix":""},{"dropping-particle":"","family":"Chiara","given":"L","non-dropping-particle":"De","parse-names":false,"suffix":""},{"dropping-particle":"","family":"Baldessarini","given":"R J","non-dropping-particle":"","parse-names":false,"suffix":""}],"container-title":"European Psychiatry","id":"ITEM-1","issued":{"date-parts":[["2017"]]},"page":"80-85","title":"Age at menarche predicts age at onset of major affective and anxiety disorders","type":"article-journal","volume":"39"},"uris":["http://www.mendeley.com/documents/?uuid=9adcc8b2-d7c2-4033-83c9-7db7ac948ce1"]}],"mendeley":{"formattedCitation":"[4]","plainTextFormattedCitation":"[4]","previouslyFormattedCitation":"[4]"},"properties":{"noteIndex":0},"schema":"https://github.com/citation-style-language/schema/raw/master/csl-citation.json"}</w:instrText>
      </w:r>
      <w:r w:rsidRPr="00E47A49">
        <w:rPr>
          <w:rFonts w:ascii="Twentieth Century" w:hAnsi="Twentieth Century"/>
          <w:sz w:val="22"/>
          <w:szCs w:val="22"/>
          <w:lang w:val="en-US"/>
        </w:rPr>
        <w:fldChar w:fldCharType="separate"/>
      </w:r>
      <w:r w:rsidR="00E47A49" w:rsidRPr="00E47A49">
        <w:rPr>
          <w:rFonts w:ascii="Twentieth Century" w:hAnsi="Twentieth Century"/>
          <w:noProof/>
          <w:sz w:val="22"/>
          <w:szCs w:val="22"/>
          <w:lang w:val="en-US"/>
        </w:rPr>
        <w:t>[4]</w:t>
      </w:r>
      <w:r w:rsidRPr="00E47A49">
        <w:rPr>
          <w:rFonts w:ascii="Twentieth Century" w:hAnsi="Twentieth Century"/>
          <w:sz w:val="22"/>
          <w:szCs w:val="22"/>
          <w:lang w:val="en-US"/>
        </w:rPr>
        <w:fldChar w:fldCharType="end"/>
      </w:r>
      <w:r w:rsidRPr="00E47A49">
        <w:rPr>
          <w:rFonts w:ascii="Twentieth Century" w:hAnsi="Twentieth Century"/>
          <w:sz w:val="22"/>
          <w:szCs w:val="22"/>
          <w:lang w:val="en-US"/>
        </w:rPr>
        <w:t xml:space="preserve">. </w:t>
      </w:r>
    </w:p>
    <w:p w14:paraId="0D015333" w14:textId="77777777" w:rsidR="00EB58C7" w:rsidRPr="00E47A49" w:rsidRDefault="00EB58C7" w:rsidP="00EB58C7">
      <w:pPr>
        <w:pStyle w:val="TeksKomentar"/>
        <w:jc w:val="both"/>
        <w:rPr>
          <w:rFonts w:ascii="Twentieth Century" w:hAnsi="Twentieth Century"/>
          <w:sz w:val="22"/>
          <w:szCs w:val="22"/>
          <w:lang w:val="en-US"/>
        </w:rPr>
      </w:pPr>
    </w:p>
    <w:p w14:paraId="06E18DEB" w14:textId="77777777" w:rsidR="00EB58C7" w:rsidRPr="00E47A49" w:rsidRDefault="00EB58C7" w:rsidP="00EB58C7">
      <w:pPr>
        <w:pStyle w:val="TeksKomentar"/>
        <w:jc w:val="both"/>
        <w:rPr>
          <w:rFonts w:ascii="Twentieth Century" w:hAnsi="Twentieth Century"/>
          <w:sz w:val="22"/>
          <w:szCs w:val="22"/>
          <w:lang w:val="en-US"/>
        </w:rPr>
      </w:pPr>
      <w:proofErr w:type="spellStart"/>
      <w:r w:rsidRPr="00E47A49">
        <w:rPr>
          <w:rFonts w:ascii="Twentieth Century" w:hAnsi="Twentieth Century"/>
          <w:sz w:val="22"/>
          <w:szCs w:val="22"/>
          <w:lang w:val="en-US"/>
        </w:rPr>
        <w:t>Menstruasi</w:t>
      </w:r>
      <w:proofErr w:type="spellEnd"/>
      <w:r w:rsidRPr="00E47A49">
        <w:rPr>
          <w:rFonts w:ascii="Twentieth Century" w:hAnsi="Twentieth Century"/>
          <w:sz w:val="22"/>
          <w:szCs w:val="22"/>
          <w:lang w:val="en-US"/>
        </w:rPr>
        <w:t xml:space="preserve"> </w:t>
      </w:r>
      <w:r w:rsidRPr="00E47A49">
        <w:rPr>
          <w:rFonts w:ascii="Twentieth Century" w:hAnsi="Twentieth Century"/>
          <w:sz w:val="22"/>
          <w:szCs w:val="22"/>
        </w:rPr>
        <w:t xml:space="preserve">merupakan </w:t>
      </w:r>
      <w:r w:rsidRPr="00E47A49">
        <w:rPr>
          <w:rFonts w:ascii="Twentieth Century" w:hAnsi="Twentieth Century"/>
          <w:sz w:val="22"/>
          <w:szCs w:val="22"/>
          <w:lang w:val="en-US"/>
        </w:rPr>
        <w:t xml:space="preserve">proses </w:t>
      </w:r>
      <w:proofErr w:type="spellStart"/>
      <w:r w:rsidRPr="00E47A49">
        <w:rPr>
          <w:rFonts w:ascii="Twentieth Century" w:hAnsi="Twentieth Century"/>
          <w:sz w:val="22"/>
          <w:szCs w:val="22"/>
          <w:lang w:val="en-US"/>
        </w:rPr>
        <w:t>fisiologis</w:t>
      </w:r>
      <w:proofErr w:type="spellEnd"/>
      <w:r w:rsidRPr="00E47A49">
        <w:rPr>
          <w:rFonts w:ascii="Twentieth Century" w:hAnsi="Twentieth Century"/>
          <w:sz w:val="22"/>
          <w:szCs w:val="22"/>
          <w:lang w:val="en-US"/>
        </w:rPr>
        <w:t xml:space="preserve"> dan </w:t>
      </w:r>
      <w:proofErr w:type="spellStart"/>
      <w:r w:rsidRPr="00E47A49">
        <w:rPr>
          <w:rFonts w:ascii="Twentieth Century" w:hAnsi="Twentieth Century"/>
          <w:sz w:val="22"/>
          <w:szCs w:val="22"/>
          <w:lang w:val="en-US"/>
        </w:rPr>
        <w:t>alami</w:t>
      </w:r>
      <w:proofErr w:type="spellEnd"/>
      <w:r w:rsidRPr="00E47A49">
        <w:rPr>
          <w:rFonts w:ascii="Twentieth Century" w:hAnsi="Twentieth Century"/>
          <w:sz w:val="22"/>
          <w:szCs w:val="22"/>
          <w:lang w:val="en-US"/>
        </w:rPr>
        <w:t xml:space="preserve"> yang </w:t>
      </w:r>
      <w:proofErr w:type="spellStart"/>
      <w:r w:rsidRPr="00E47A49">
        <w:rPr>
          <w:rFonts w:ascii="Twentieth Century" w:hAnsi="Twentieth Century"/>
          <w:sz w:val="22"/>
          <w:szCs w:val="22"/>
          <w:lang w:val="en-US"/>
        </w:rPr>
        <w:t>memerlukan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penanganan</w:t>
      </w:r>
      <w:proofErr w:type="spellEnd"/>
      <w:r w:rsidRPr="00E47A49">
        <w:rPr>
          <w:rFonts w:ascii="Twentieth Century" w:hAnsi="Twentieth Century"/>
          <w:sz w:val="22"/>
          <w:szCs w:val="22"/>
          <w:lang w:val="en-US"/>
        </w:rPr>
        <w:t xml:space="preserve"> yang </w:t>
      </w:r>
      <w:proofErr w:type="spellStart"/>
      <w:r w:rsidRPr="00E47A49">
        <w:rPr>
          <w:rFonts w:ascii="Twentieth Century" w:hAnsi="Twentieth Century"/>
          <w:sz w:val="22"/>
          <w:szCs w:val="22"/>
          <w:lang w:val="en-US"/>
        </w:rPr>
        <w:t>tepat</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terutama</w:t>
      </w:r>
      <w:proofErr w:type="spellEnd"/>
      <w:r w:rsidRPr="00E47A49">
        <w:rPr>
          <w:rFonts w:ascii="Twentieth Century" w:hAnsi="Twentieth Century"/>
          <w:sz w:val="22"/>
          <w:szCs w:val="22"/>
          <w:lang w:val="en-US"/>
        </w:rPr>
        <w:t xml:space="preserve"> pada </w:t>
      </w:r>
      <w:proofErr w:type="spellStart"/>
      <w:r w:rsidRPr="00E47A49">
        <w:rPr>
          <w:rFonts w:ascii="Twentieth Century" w:hAnsi="Twentieth Century"/>
          <w:sz w:val="22"/>
          <w:szCs w:val="22"/>
          <w:lang w:val="en-US"/>
        </w:rPr>
        <w:t>remaja</w:t>
      </w:r>
      <w:proofErr w:type="spellEnd"/>
      <w:r w:rsidRPr="00E47A49">
        <w:rPr>
          <w:rFonts w:ascii="Twentieth Century" w:hAnsi="Twentieth Century"/>
          <w:sz w:val="22"/>
          <w:szCs w:val="22"/>
          <w:lang w:val="en-US"/>
        </w:rPr>
        <w:t xml:space="preserve"> yang </w:t>
      </w:r>
      <w:proofErr w:type="spellStart"/>
      <w:r w:rsidRPr="00E47A49">
        <w:rPr>
          <w:rFonts w:ascii="Twentieth Century" w:hAnsi="Twentieth Century"/>
          <w:sz w:val="22"/>
          <w:szCs w:val="22"/>
          <w:lang w:val="en-US"/>
        </w:rPr>
        <w:t>baru</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mengalaminya</w:t>
      </w:r>
      <w:proofErr w:type="spellEnd"/>
      <w:r w:rsidRPr="00E47A49">
        <w:rPr>
          <w:rFonts w:ascii="Twentieth Century" w:hAnsi="Twentieth Century"/>
          <w:sz w:val="22"/>
          <w:szCs w:val="22"/>
          <w:lang w:val="en-US"/>
        </w:rPr>
        <w:t xml:space="preserve"> </w:t>
      </w:r>
      <w:r w:rsidRPr="00E47A49">
        <w:rPr>
          <w:rFonts w:ascii="Twentieth Century" w:hAnsi="Twentieth Century"/>
          <w:sz w:val="22"/>
          <w:szCs w:val="22"/>
          <w:lang w:val="en-US"/>
        </w:rPr>
        <w:fldChar w:fldCharType="begin" w:fldLock="1"/>
      </w:r>
      <w:r w:rsidR="00E47A49" w:rsidRPr="00E47A49">
        <w:rPr>
          <w:rFonts w:ascii="Twentieth Century" w:hAnsi="Twentieth Century"/>
          <w:sz w:val="22"/>
          <w:szCs w:val="22"/>
          <w:lang w:val="en-US"/>
        </w:rPr>
        <w:instrText>ADDIN CSL_CITATION {"citationItems":[{"id":"ITEM-1","itemData":{"DOI":"https://doi.org/10.1016/j.heliyon.2020.e04018","ISSN":"2405-8440","abstract":"Background\nMenstruation has a variable pattern. Knowledge of age at menarche and providing accurate information to adolescent girls is necessary to allay anxiety, treat menstrual morbidities, and improve their quality of life.\nObjective\nTo determine the age at menarche and menstrual characteristics of adolescent secondary school girls in Abakaliki.\nMaterials and methods\nA cross-sectional descriptive study was conducted in seven secondary schools in Abakaliki among 960 female students. A total of 450 girls were randomly selected for the study. A pretested self-administered questionnaire was used in data collection. Four hundred questionnaires were properly filled and used for the final analysis.\nResults\nThe age range of the students was between 10 - 21years. The mean age of the respondents was 16.2 ± 1.7years. The average age at menarche was 13 ± 1.0 years. Urban dwellers had menarche 0.2years earlier than rural dwellers. There is an association between menarche and social class (X [2] 372.9 (2), p = 0.001). About 87.75% of the respondents had an average cycle length. Most (88.3%) of the respondents had a menstrual flow duration of 3–5 days. Dysmenorrhoea was present in 82% of respondents and was severe enough to cause absence from school in 56.5% of students. Oligomenorrhea and menorrhagia occurred in 8.5 % and 6.25 % of the student studied. Mothers (80.0%), friends (75.0%) and teachers (74.5%) accounted for the bulk of the information on menstrual health.\nConclusion\nThe average age at menarche was 13 ± 1.0 years. Dysmenorrhea is a major cause of morbidity amongst this age group and should be empathically addressed. It is therefore important that the students, their parents, and school managers in the study area be educated on the issues of menstrual problems that can occur in an adolescent.","author":[{"dropping-particle":"","family":"Anikwe","given":"Chidebe C","non-dropping-particle":"","parse-names":false,"suffix":""},{"dropping-particle":"","family":"Mamah","given":"Johnbosco E","non-dropping-particle":"","parse-names":false,"suffix":""},{"dropping-particle":"","family":"Okorochukwu","given":"Bartholomew C","non-dropping-particle":"","parse-names":false,"suffix":""},{"dropping-particle":"","family":"Nnadozie","given":"Ugochukwu U","non-dropping-particle":"","parse-names":false,"suffix":""},{"dropping-particle":"","family":"Obarezi","given":"Chukwuemeka H","non-dropping-particle":"","parse-names":false,"suffix":""},{"dropping-particle":"","family":"Ekwedigwe","given":"Kenneth C","non-dropping-particle":"","parse-names":false,"suffix":""}],"container-title":"Heliyon","id":"ITEM-1","issue":"5","issued":{"date-parts":[["2020"]]},"page":"e04018","title":"Age at menarche, menstrual characteristics, and its associated morbidities among secondary school students in Abakaliki, southeast Nigeria","type":"article-journal","volume":"6"},"uris":["http://www.mendeley.com/documents/?uuid=62bd84e8-03d8-4d9b-81aa-a7d30f2c140e"]}],"mendeley":{"formattedCitation":"[5]","plainTextFormattedCitation":"[5]","previouslyFormattedCitation":"[5]"},"properties":{"noteIndex":0},"schema":"https://github.com/citation-style-language/schema/raw/master/csl-citation.json"}</w:instrText>
      </w:r>
      <w:r w:rsidRPr="00E47A49">
        <w:rPr>
          <w:rFonts w:ascii="Twentieth Century" w:hAnsi="Twentieth Century"/>
          <w:sz w:val="22"/>
          <w:szCs w:val="22"/>
          <w:lang w:val="en-US"/>
        </w:rPr>
        <w:fldChar w:fldCharType="separate"/>
      </w:r>
      <w:r w:rsidR="00E47A49" w:rsidRPr="00E47A49">
        <w:rPr>
          <w:rFonts w:ascii="Twentieth Century" w:hAnsi="Twentieth Century"/>
          <w:noProof/>
          <w:sz w:val="22"/>
          <w:szCs w:val="22"/>
          <w:lang w:val="en-US"/>
        </w:rPr>
        <w:t>[5]</w:t>
      </w:r>
      <w:r w:rsidRPr="00E47A49">
        <w:rPr>
          <w:rFonts w:ascii="Twentieth Century" w:hAnsi="Twentieth Century"/>
          <w:sz w:val="22"/>
          <w:szCs w:val="22"/>
          <w:lang w:val="en-US"/>
        </w:rPr>
        <w:fldChar w:fldCharType="end"/>
      </w:r>
      <w:r w:rsidRPr="00E47A49">
        <w:rPr>
          <w:rFonts w:ascii="Twentieth Century" w:hAnsi="Twentieth Century"/>
          <w:sz w:val="22"/>
          <w:szCs w:val="22"/>
          <w:lang w:val="en-US"/>
        </w:rPr>
        <w:t xml:space="preserve">. Hal </w:t>
      </w:r>
      <w:proofErr w:type="spellStart"/>
      <w:r w:rsidRPr="00E47A49">
        <w:rPr>
          <w:rFonts w:ascii="Twentieth Century" w:hAnsi="Twentieth Century"/>
          <w:sz w:val="22"/>
          <w:szCs w:val="22"/>
          <w:lang w:val="en-US"/>
        </w:rPr>
        <w:t>ini</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disebabkan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karena</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menstruasi</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pertama</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merupakan</w:t>
      </w:r>
      <w:proofErr w:type="spellEnd"/>
      <w:r w:rsidRPr="00E47A49">
        <w:rPr>
          <w:rFonts w:ascii="Twentieth Century" w:hAnsi="Twentieth Century"/>
          <w:sz w:val="22"/>
          <w:szCs w:val="22"/>
          <w:lang w:val="en-US"/>
        </w:rPr>
        <w:t xml:space="preserve"> </w:t>
      </w:r>
      <w:r w:rsidRPr="00E47A49">
        <w:rPr>
          <w:rFonts w:ascii="Twentieth Century" w:hAnsi="Twentieth Century"/>
          <w:sz w:val="22"/>
          <w:szCs w:val="22"/>
        </w:rPr>
        <w:t xml:space="preserve">periode baru dalam kehidupan </w:t>
      </w:r>
      <w:proofErr w:type="spellStart"/>
      <w:r w:rsidRPr="00E47A49">
        <w:rPr>
          <w:rFonts w:ascii="Twentieth Century" w:hAnsi="Twentieth Century"/>
          <w:sz w:val="22"/>
          <w:szCs w:val="22"/>
          <w:lang w:val="en-US"/>
        </w:rPr>
        <w:t>seseorang</w:t>
      </w:r>
      <w:proofErr w:type="spellEnd"/>
      <w:r w:rsidRPr="00E47A49">
        <w:rPr>
          <w:rFonts w:ascii="Twentieth Century" w:hAnsi="Twentieth Century"/>
          <w:sz w:val="22"/>
          <w:szCs w:val="22"/>
        </w:rPr>
        <w:t xml:space="preserve"> dan pertanda mulainya </w:t>
      </w:r>
      <w:r w:rsidRPr="00E47A49">
        <w:rPr>
          <w:rFonts w:ascii="Twentieth Century" w:hAnsi="Twentieth Century"/>
          <w:sz w:val="22"/>
          <w:szCs w:val="22"/>
        </w:rPr>
        <w:t xml:space="preserve">tahap kedewasaan anak menuju pematangan organ seksual. </w:t>
      </w:r>
      <w:proofErr w:type="spellStart"/>
      <w:r w:rsidRPr="00E47A49">
        <w:rPr>
          <w:rFonts w:ascii="Twentieth Century" w:hAnsi="Twentieth Century"/>
          <w:sz w:val="22"/>
          <w:szCs w:val="22"/>
          <w:lang w:val="en-US"/>
        </w:rPr>
        <w:t>Berbagai</w:t>
      </w:r>
      <w:proofErr w:type="spellEnd"/>
      <w:r w:rsidRPr="00E47A49">
        <w:rPr>
          <w:rFonts w:ascii="Twentieth Century" w:hAnsi="Twentieth Century"/>
          <w:sz w:val="22"/>
          <w:szCs w:val="22"/>
          <w:lang w:val="en-US"/>
        </w:rPr>
        <w:t xml:space="preserve"> p</w:t>
      </w:r>
      <w:proofErr w:type="spellStart"/>
      <w:r w:rsidRPr="00E47A49">
        <w:rPr>
          <w:rFonts w:ascii="Twentieth Century" w:hAnsi="Twentieth Century"/>
          <w:sz w:val="22"/>
          <w:szCs w:val="22"/>
        </w:rPr>
        <w:t>erubahan</w:t>
      </w:r>
      <w:proofErr w:type="spellEnd"/>
      <w:r w:rsidRPr="00E47A49">
        <w:rPr>
          <w:rFonts w:ascii="Twentieth Century" w:hAnsi="Twentieth Century"/>
          <w:sz w:val="22"/>
          <w:szCs w:val="22"/>
        </w:rPr>
        <w:t xml:space="preserve"> sering terjadi tidak hanya pada fisik saja tetapi juga perubahan </w:t>
      </w:r>
      <w:proofErr w:type="spellStart"/>
      <w:r w:rsidRPr="00E47A49">
        <w:rPr>
          <w:rFonts w:ascii="Twentieth Century" w:hAnsi="Twentieth Century"/>
          <w:sz w:val="22"/>
          <w:szCs w:val="22"/>
          <w:lang w:val="en-US"/>
        </w:rPr>
        <w:t>psikologis</w:t>
      </w:r>
      <w:proofErr w:type="spellEnd"/>
      <w:r w:rsidRPr="00E47A49">
        <w:rPr>
          <w:rFonts w:ascii="Twentieth Century" w:hAnsi="Twentieth Century"/>
          <w:sz w:val="22"/>
          <w:szCs w:val="22"/>
        </w:rPr>
        <w:t xml:space="preserve"> seperti perasaan bingung, gelisah atau cemas,</w:t>
      </w:r>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serta</w:t>
      </w:r>
      <w:proofErr w:type="spellEnd"/>
      <w:r w:rsidRPr="00E47A49">
        <w:rPr>
          <w:rFonts w:ascii="Twentieth Century" w:hAnsi="Twentieth Century"/>
          <w:sz w:val="22"/>
          <w:szCs w:val="22"/>
        </w:rPr>
        <w:t xml:space="preserve"> tidak nyaman</w:t>
      </w:r>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Terdapat</w:t>
      </w:r>
      <w:proofErr w:type="spellEnd"/>
      <w:r w:rsidRPr="00E47A49">
        <w:rPr>
          <w:rFonts w:ascii="Twentieth Century" w:hAnsi="Twentieth Century"/>
          <w:sz w:val="22"/>
          <w:szCs w:val="22"/>
          <w:lang w:val="en-US"/>
        </w:rPr>
        <w:t xml:space="preserve"> 31,9% </w:t>
      </w:r>
      <w:proofErr w:type="spellStart"/>
      <w:r w:rsidRPr="00E47A49">
        <w:rPr>
          <w:rFonts w:ascii="Twentieth Century" w:hAnsi="Twentieth Century"/>
          <w:sz w:val="22"/>
          <w:szCs w:val="22"/>
          <w:lang w:val="en-US"/>
        </w:rPr>
        <w:t>siswi</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mengalami</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kecemasan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berat</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saat</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menghadapi</w:t>
      </w:r>
      <w:proofErr w:type="spellEnd"/>
      <w:r w:rsidRPr="00E47A49">
        <w:rPr>
          <w:rFonts w:ascii="Twentieth Century" w:hAnsi="Twentieth Century"/>
          <w:sz w:val="22"/>
          <w:szCs w:val="22"/>
          <w:lang w:val="en-US"/>
        </w:rPr>
        <w:t xml:space="preserve"> menarche, </w:t>
      </w:r>
      <w:proofErr w:type="spellStart"/>
      <w:r w:rsidRPr="00E47A49">
        <w:rPr>
          <w:rFonts w:ascii="Twentieth Century" w:hAnsi="Twentieth Century"/>
          <w:sz w:val="22"/>
          <w:szCs w:val="22"/>
          <w:lang w:val="en-US"/>
        </w:rPr>
        <w:t>bahkan</w:t>
      </w:r>
      <w:proofErr w:type="spellEnd"/>
      <w:r w:rsidRPr="00E47A49">
        <w:rPr>
          <w:rFonts w:ascii="Twentieth Century" w:hAnsi="Twentieth Century"/>
          <w:sz w:val="22"/>
          <w:szCs w:val="22"/>
          <w:lang w:val="en-US"/>
        </w:rPr>
        <w:t xml:space="preserve"> 23,3% </w:t>
      </w:r>
      <w:proofErr w:type="spellStart"/>
      <w:r w:rsidRPr="00E47A49">
        <w:rPr>
          <w:rFonts w:ascii="Twentieth Century" w:hAnsi="Twentieth Century"/>
          <w:sz w:val="22"/>
          <w:szCs w:val="22"/>
          <w:lang w:val="en-US"/>
        </w:rPr>
        <w:t>mengalami</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gejala</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panik</w:t>
      </w:r>
      <w:proofErr w:type="spellEnd"/>
      <w:r w:rsidRPr="00E47A49">
        <w:rPr>
          <w:rFonts w:ascii="Twentieth Century" w:hAnsi="Twentieth Century"/>
          <w:sz w:val="22"/>
          <w:szCs w:val="22"/>
          <w:lang w:val="en-US"/>
        </w:rPr>
        <w:t xml:space="preserve"> </w:t>
      </w:r>
      <w:r w:rsidRPr="00E47A49">
        <w:rPr>
          <w:rFonts w:ascii="Twentieth Century" w:hAnsi="Twentieth Century"/>
          <w:sz w:val="22"/>
          <w:szCs w:val="22"/>
          <w:lang w:val="en-US"/>
        </w:rPr>
        <w:fldChar w:fldCharType="begin" w:fldLock="1"/>
      </w:r>
      <w:r w:rsidR="00E47A49" w:rsidRPr="00E47A49">
        <w:rPr>
          <w:rFonts w:ascii="Twentieth Century" w:hAnsi="Twentieth Century"/>
          <w:sz w:val="22"/>
          <w:szCs w:val="22"/>
          <w:lang w:val="en-US"/>
        </w:rPr>
        <w:instrText>ADDIN CSL_CITATION {"citationItems":[{"id":"ITEM-1","itemData":{"DOI":"10.32938/jsk.v2i02.628","abstract":"Haid pertama kali diartikan sebagai permulaan menstruasi pada seorang gadis pada masa Pubertas, yang biasanya muncul pada usia 11 sampai 14 tahun. Gejala yang sering menyertai ialah muncul Perasaan bingung, gelisah atau cemas, tidak nyaman selalu menyelimuti, seorang wanita yang mengalami menstruasi pertama kali. Penelitian ini dilakukan untuk mengetahui Gambaran tingkat kecemasan Remaja Putri dalam Menghadapi Haid Pertama Kali (Menarche) pada Siswi Kelas VII SMP Negeri 1 Atambua. Populasi adalah siswa remaja kelas VIIS MP Negeri 1 Atambua, sampel sebanyak 163 responden yang memenuhi kriteria teknik pengambilan dengan purpose  sampling, jenis penelitian kuantitatif dengan metode deskriptif Hasil penelitian didapatkan dari 163 responden sebanyak 26 responden (15,9%) mengalami cemas ringan, dan sebanyak 47 responden (28,8%)  mengalami cemas sedang hal ini kemungkinan dari beberapa sisiwi remaja putri yang mungkin telah terpapar informasi tentang pengetahuan haid pertama kali sehingga ada beberapa anak bisa mengatasi tingkat kecemasannya, dan sebanyak 52 responden (31,9%) mengalami cemas berat, dan 38 responden (23,3%) mengalami panik. hal ini berarti sebagian besar responden belum mengerti tentang perubahan didalam dirinya (baik perubahan psikologis maupun fisiologis) dan kurangnya informasi.","author":[{"dropping-particle":"","family":"Syarif","given":"Sakinah Ekawati","non-dropping-particle":"","parse-names":false,"suffix":""},{"dropping-particle":"","family":"Mau","given":"Djulianus Tes","non-dropping-particle":"","parse-names":false,"suffix":""},{"dropping-particle":"","family":"Anugrahini","given":"Christina","non-dropping-particle":"","parse-names":false,"suffix":""}],"container-title":"Jurnal Sahabat Keperawatan","id":"ITEM-1","issue":"02","issued":{"date-parts":[["2020"]]},"page":"13-17","title":"Gambaran Tingkat Kecemasan Remaja Putri Dalam Menghadapi Haid Pertama Kali (Menarche) Pada Siswi Kelas Vii Smp Negeri 1 Atambua","type":"article-journal","volume":"2"},"uris":["http://www.mendeley.com/documents/?uuid=a81028a8-8a83-4f2c-90c0-9bc99cae759c"]}],"mendeley":{"formattedCitation":"[6]","plainTextFormattedCitation":"[6]","previouslyFormattedCitation":"[6]"},"properties":{"noteIndex":0},"schema":"https://github.com/citation-style-language/schema/raw/master/csl-citation.json"}</w:instrText>
      </w:r>
      <w:r w:rsidRPr="00E47A49">
        <w:rPr>
          <w:rFonts w:ascii="Twentieth Century" w:hAnsi="Twentieth Century"/>
          <w:sz w:val="22"/>
          <w:szCs w:val="22"/>
          <w:lang w:val="en-US"/>
        </w:rPr>
        <w:fldChar w:fldCharType="separate"/>
      </w:r>
      <w:r w:rsidR="00E47A49" w:rsidRPr="00E47A49">
        <w:rPr>
          <w:rFonts w:ascii="Twentieth Century" w:hAnsi="Twentieth Century"/>
          <w:noProof/>
          <w:sz w:val="22"/>
          <w:szCs w:val="22"/>
          <w:lang w:val="en-US"/>
        </w:rPr>
        <w:t>[6]</w:t>
      </w:r>
      <w:r w:rsidRPr="00E47A49">
        <w:rPr>
          <w:rFonts w:ascii="Twentieth Century" w:hAnsi="Twentieth Century"/>
          <w:sz w:val="22"/>
          <w:szCs w:val="22"/>
          <w:lang w:val="en-US"/>
        </w:rPr>
        <w:fldChar w:fldCharType="end"/>
      </w:r>
      <w:r w:rsidRPr="00E47A49">
        <w:rPr>
          <w:rFonts w:ascii="Twentieth Century" w:hAnsi="Twentieth Century"/>
          <w:sz w:val="22"/>
          <w:szCs w:val="22"/>
          <w:lang w:val="en-US"/>
        </w:rPr>
        <w:t xml:space="preserve">. Hasil </w:t>
      </w:r>
      <w:proofErr w:type="spellStart"/>
      <w:r w:rsidRPr="00E47A49">
        <w:rPr>
          <w:rFonts w:ascii="Twentieth Century" w:hAnsi="Twentieth Century"/>
          <w:sz w:val="22"/>
          <w:szCs w:val="22"/>
          <w:lang w:val="en-US"/>
        </w:rPr>
        <w:t>penelitian</w:t>
      </w:r>
      <w:proofErr w:type="spellEnd"/>
      <w:r w:rsidRPr="00E47A49">
        <w:rPr>
          <w:rFonts w:ascii="Twentieth Century" w:hAnsi="Twentieth Century"/>
          <w:sz w:val="22"/>
          <w:szCs w:val="22"/>
          <w:lang w:val="en-US"/>
        </w:rPr>
        <w:t xml:space="preserve"> juga </w:t>
      </w:r>
      <w:proofErr w:type="spellStart"/>
      <w:r w:rsidRPr="00E47A49">
        <w:rPr>
          <w:rFonts w:ascii="Twentieth Century" w:hAnsi="Twentieth Century"/>
          <w:sz w:val="22"/>
          <w:szCs w:val="22"/>
          <w:lang w:val="en-US"/>
        </w:rPr>
        <w:t>didapatkan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bahwa</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ada</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hubungan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usia</w:t>
      </w:r>
      <w:proofErr w:type="spellEnd"/>
      <w:r w:rsidRPr="00E47A49">
        <w:rPr>
          <w:rFonts w:ascii="Twentieth Century" w:hAnsi="Twentieth Century"/>
          <w:sz w:val="22"/>
          <w:szCs w:val="22"/>
          <w:lang w:val="en-US"/>
        </w:rPr>
        <w:t xml:space="preserve"> menarche </w:t>
      </w:r>
      <w:proofErr w:type="spellStart"/>
      <w:r w:rsidRPr="00E47A49">
        <w:rPr>
          <w:rFonts w:ascii="Twentieth Century" w:hAnsi="Twentieth Century"/>
          <w:sz w:val="22"/>
          <w:szCs w:val="22"/>
          <w:lang w:val="en-US"/>
        </w:rPr>
        <w:t>dengan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kejadian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depresi</w:t>
      </w:r>
      <w:proofErr w:type="spellEnd"/>
      <w:r w:rsidRPr="00E47A49">
        <w:rPr>
          <w:rFonts w:ascii="Twentieth Century" w:hAnsi="Twentieth Century"/>
          <w:sz w:val="22"/>
          <w:szCs w:val="22"/>
          <w:lang w:val="en-US"/>
        </w:rPr>
        <w:t xml:space="preserve"> pada </w:t>
      </w:r>
      <w:proofErr w:type="spellStart"/>
      <w:r w:rsidRPr="00E47A49">
        <w:rPr>
          <w:rFonts w:ascii="Twentieth Century" w:hAnsi="Twentieth Century"/>
          <w:sz w:val="22"/>
          <w:szCs w:val="22"/>
          <w:lang w:val="en-US"/>
        </w:rPr>
        <w:t>remaja</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putri</w:t>
      </w:r>
      <w:proofErr w:type="spellEnd"/>
      <w:r w:rsidRPr="00E47A49">
        <w:rPr>
          <w:rFonts w:ascii="Twentieth Century" w:hAnsi="Twentieth Century"/>
          <w:sz w:val="22"/>
          <w:szCs w:val="22"/>
          <w:lang w:val="en-US"/>
        </w:rPr>
        <w:t xml:space="preserve"> </w:t>
      </w:r>
      <w:r w:rsidRPr="00E47A49">
        <w:rPr>
          <w:rFonts w:ascii="Twentieth Century" w:hAnsi="Twentieth Century"/>
          <w:sz w:val="22"/>
          <w:szCs w:val="22"/>
          <w:lang w:val="en-US"/>
        </w:rPr>
        <w:fldChar w:fldCharType="begin" w:fldLock="1"/>
      </w:r>
      <w:r w:rsidR="00E47A49" w:rsidRPr="00E47A49">
        <w:rPr>
          <w:rFonts w:ascii="Twentieth Century" w:hAnsi="Twentieth Century"/>
          <w:sz w:val="22"/>
          <w:szCs w:val="22"/>
          <w:lang w:val="en-US"/>
        </w:rPr>
        <w:instrText>ADDIN CSL_CITATION {"citationItems":[{"id":"ITEM-1","itemData":{"DOI":"https://doi.org/10.1016/j.jad.2022.08.092","ISSN":"0165-0327","abstract":"Context\nThe timing of puberty, physical features of pubertal development, and hormones are closely intertwined but may also individually contribute to the risk for depression and depression severity. Additionally, their effects on mood may depend on depression severity, but previously this has only been studied in mostly subclinical depression.\nMethods\nIn 184 girls from a single psychiatric hospital with significant depressive symptoms (Beck Depression Inventory-II score &gt; 13), the relationship between depression severity and age at menarche (AAM), pubertal status, and gonadal/adrenal hormones (estradiol, progesterone, DHEA-S, androstenedione, testosterone, dihydrotestosterone) was investigated. Moreover, AAM in depressed girls was compared to that from a representative sample of German adolescents without a psychiatric disorder (N = 1674). Androgen levels were compared to those of age- and sex-matched controls (N = 59).\nResults\nAAM but not pubertal stage or biochemical parameters related to depression. Girls with AAM at the lower normative range of pubertal development were 61 % more likely to develop depression and scored 4.9 points higher on the depression scale than girls experiencing menarche at the population average. Androstenedione levels were increased in the psychiatric sample, but neither androgen nor gonadal hormone levels were associated with depression severity.\nLimitations\nThe study is cross-sectional.\nConclusions\nThese observations confirm previous studies in mostly subclinical depression and highlight the importance of AAM for adolescent depression. Thus, AAM could be considered a prognostic factor for a clinical risk score assessing the probability of adolescent depression. Moreover, these findings suggest fostering efforts that address risk factors that contribute to an earlier AAM.","author":[{"dropping-particle":"","family":"Hirtz","given":"Raphael","non-dropping-particle":"","parse-names":false,"suffix":""},{"dropping-particle":"","family":"Libuda","given":"Lars","non-dropping-particle":"","parse-names":false,"suffix":""},{"dropping-particle":"","family":"Hinney","given":"Anke","non-dropping-particle":"","parse-names":false,"suffix":""},{"dropping-particle":"","family":"Föcker","given":"Manuel","non-dropping-particle":"","parse-names":false,"suffix":""},{"dropping-particle":"","family":"Bühlmeier","given":"Judith","non-dropping-particle":"","parse-names":false,"suffix":""},{"dropping-particle":"","family":"Holterhus","given":"Paul-Martin","non-dropping-particle":"","parse-names":false,"suffix":""},{"dropping-particle":"","family":"Kulle","given":"Alexandra","non-dropping-particle":"","parse-names":false,"suffix":""},{"dropping-particle":"","family":"Kiewert","given":"Cordula","non-dropping-particle":"","parse-names":false,"suffix":""},{"dropping-particle":"","family":"Kuhnert","given":"Ronny","non-dropping-particle":"","parse-names":false,"suffix":""},{"dropping-particle":"","family":"Cohrdes","given":"Caroline","non-dropping-particle":"","parse-names":false,"suffix":""},{"dropping-particle":"","family":"Peters","given":"Triinu","non-dropping-particle":"","parse-names":false,"suffix":""},{"dropping-particle":"","family":"Hebebrand","given":"Johannes","non-dropping-particle":"","parse-names":false,"suffix":""},{"dropping-particle":"","family":"Grasemann","given":"Corinna","non-dropping-particle":"","parse-names":false,"suffix":""}],"container-title":"Journal of Affective Disorders","id":"ITEM-1","issued":{"date-parts":[["2022"]]},"page":"103-112","title":"Age at menarche relates to depression in adolescent girls: Comparing a clinical sample to the general pediatric population","type":"article-journal","volume":"318"},"uris":["http://www.mendeley.com/documents/?uuid=87256104-6b6d-4ba6-ab07-d0de7c8bc7e4"]}],"mendeley":{"formattedCitation":"[7]","plainTextFormattedCitation":"[7]","previouslyFormattedCitation":"[7]"},"properties":{"noteIndex":0},"schema":"https://github.com/citation-style-language/schema/raw/master/csl-citation.json"}</w:instrText>
      </w:r>
      <w:r w:rsidRPr="00E47A49">
        <w:rPr>
          <w:rFonts w:ascii="Twentieth Century" w:hAnsi="Twentieth Century"/>
          <w:sz w:val="22"/>
          <w:szCs w:val="22"/>
          <w:lang w:val="en-US"/>
        </w:rPr>
        <w:fldChar w:fldCharType="separate"/>
      </w:r>
      <w:r w:rsidR="00E47A49" w:rsidRPr="00E47A49">
        <w:rPr>
          <w:rFonts w:ascii="Twentieth Century" w:hAnsi="Twentieth Century"/>
          <w:noProof/>
          <w:sz w:val="22"/>
          <w:szCs w:val="22"/>
          <w:lang w:val="en-US"/>
        </w:rPr>
        <w:t>[7]</w:t>
      </w:r>
      <w:r w:rsidRPr="00E47A49">
        <w:rPr>
          <w:rFonts w:ascii="Twentieth Century" w:hAnsi="Twentieth Century"/>
          <w:sz w:val="22"/>
          <w:szCs w:val="22"/>
          <w:lang w:val="en-US"/>
        </w:rPr>
        <w:fldChar w:fldCharType="end"/>
      </w:r>
      <w:r w:rsidRPr="00E47A49">
        <w:rPr>
          <w:rFonts w:ascii="Twentieth Century" w:hAnsi="Twentieth Century"/>
          <w:sz w:val="22"/>
          <w:szCs w:val="22"/>
          <w:lang w:val="en-US"/>
        </w:rPr>
        <w:t>.</w:t>
      </w:r>
    </w:p>
    <w:p w14:paraId="160E214D" w14:textId="77777777" w:rsidR="00EB58C7" w:rsidRPr="00E47A49" w:rsidRDefault="00EB58C7" w:rsidP="00EB58C7">
      <w:pPr>
        <w:pStyle w:val="TeksKomentar"/>
        <w:jc w:val="both"/>
        <w:rPr>
          <w:rFonts w:ascii="Twentieth Century" w:hAnsi="Twentieth Century"/>
          <w:sz w:val="22"/>
          <w:szCs w:val="22"/>
          <w:lang w:val="en-US"/>
        </w:rPr>
      </w:pPr>
    </w:p>
    <w:p w14:paraId="372051E7" w14:textId="77777777" w:rsidR="00EB58C7" w:rsidRPr="00E47A49" w:rsidRDefault="00EB58C7" w:rsidP="00EB58C7">
      <w:pPr>
        <w:pStyle w:val="TeksKomentar"/>
        <w:jc w:val="both"/>
        <w:rPr>
          <w:rFonts w:ascii="Twentieth Century" w:hAnsi="Twentieth Century"/>
          <w:sz w:val="22"/>
          <w:szCs w:val="22"/>
          <w:lang w:val="en-US"/>
        </w:rPr>
      </w:pPr>
      <w:r w:rsidRPr="00E47A49">
        <w:rPr>
          <w:rFonts w:ascii="Twentieth Century" w:hAnsi="Twentieth Century"/>
          <w:sz w:val="22"/>
          <w:szCs w:val="22"/>
        </w:rPr>
        <w:t xml:space="preserve">Pada saat anak mengalami </w:t>
      </w:r>
      <w:proofErr w:type="spellStart"/>
      <w:r w:rsidRPr="00E47A49">
        <w:rPr>
          <w:rFonts w:ascii="Twentieth Century" w:hAnsi="Twentieth Century"/>
          <w:sz w:val="22"/>
          <w:szCs w:val="22"/>
        </w:rPr>
        <w:t>menarche</w:t>
      </w:r>
      <w:proofErr w:type="spellEnd"/>
      <w:r w:rsidRPr="00E47A49">
        <w:rPr>
          <w:rFonts w:ascii="Twentieth Century" w:hAnsi="Twentieth Century"/>
          <w:sz w:val="22"/>
          <w:szCs w:val="22"/>
        </w:rPr>
        <w:t xml:space="preserve"> dan terkena pakaian (rok) memicu adanya tindakan </w:t>
      </w:r>
      <w:proofErr w:type="spellStart"/>
      <w:r w:rsidRPr="00E47A49">
        <w:rPr>
          <w:rFonts w:ascii="Twentieth Century" w:hAnsi="Twentieth Century"/>
          <w:sz w:val="22"/>
          <w:szCs w:val="22"/>
        </w:rPr>
        <w:t>bullying</w:t>
      </w:r>
      <w:proofErr w:type="spellEnd"/>
      <w:r w:rsidRPr="00E47A49">
        <w:rPr>
          <w:rFonts w:ascii="Twentieth Century" w:hAnsi="Twentieth Century"/>
          <w:sz w:val="22"/>
          <w:szCs w:val="22"/>
        </w:rPr>
        <w:t xml:space="preserve"> dan anak merasa malu </w:t>
      </w:r>
      <w:proofErr w:type="spellStart"/>
      <w:r w:rsidRPr="00E47A49">
        <w:rPr>
          <w:rFonts w:ascii="Twentieth Century" w:hAnsi="Twentieth Century"/>
          <w:sz w:val="22"/>
          <w:szCs w:val="22"/>
          <w:lang w:val="en-US"/>
        </w:rPr>
        <w:t>serta</w:t>
      </w:r>
      <w:proofErr w:type="spellEnd"/>
      <w:r w:rsidRPr="00E47A49">
        <w:rPr>
          <w:rFonts w:ascii="Twentieth Century" w:hAnsi="Twentieth Century"/>
          <w:sz w:val="22"/>
          <w:szCs w:val="22"/>
        </w:rPr>
        <w:t xml:space="preserve"> cemas. Kecemasan merupakan salah satu </w:t>
      </w:r>
      <w:proofErr w:type="spellStart"/>
      <w:r w:rsidRPr="00E47A49">
        <w:rPr>
          <w:rFonts w:ascii="Twentieth Century" w:hAnsi="Twentieth Century"/>
          <w:sz w:val="22"/>
          <w:szCs w:val="22"/>
        </w:rPr>
        <w:t>respon</w:t>
      </w:r>
      <w:proofErr w:type="spellEnd"/>
      <w:r w:rsidRPr="00E47A49">
        <w:rPr>
          <w:rFonts w:ascii="Twentieth Century" w:hAnsi="Twentieth Century"/>
          <w:sz w:val="22"/>
          <w:szCs w:val="22"/>
        </w:rPr>
        <w:t xml:space="preserve"> emosional terhadap ketidaktahuan anak terhadap sesuatu sehingga perlunya ada terapi dan edukasi untuk dapat mengatasi masalahnya.</w:t>
      </w:r>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Beberapa</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terapi</w:t>
      </w:r>
      <w:proofErr w:type="spellEnd"/>
      <w:r w:rsidRPr="00E47A49">
        <w:rPr>
          <w:rFonts w:ascii="Twentieth Century" w:hAnsi="Twentieth Century"/>
          <w:sz w:val="22"/>
          <w:szCs w:val="22"/>
          <w:lang w:val="en-US"/>
        </w:rPr>
        <w:t xml:space="preserve"> yang </w:t>
      </w:r>
      <w:proofErr w:type="spellStart"/>
      <w:r w:rsidRPr="00E47A49">
        <w:rPr>
          <w:rFonts w:ascii="Twentieth Century" w:hAnsi="Twentieth Century"/>
          <w:sz w:val="22"/>
          <w:szCs w:val="22"/>
          <w:lang w:val="en-US"/>
        </w:rPr>
        <w:t>dapat</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lastRenderedPageBreak/>
        <w:t>diberikan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tanpa</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ada</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efek</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samping</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tindakan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seperti</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Terapi</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Kelompok</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Terapeutik</w:t>
      </w:r>
      <w:proofErr w:type="spellEnd"/>
      <w:r w:rsidRPr="00E47A49">
        <w:rPr>
          <w:rFonts w:ascii="Twentieth Century" w:hAnsi="Twentieth Century"/>
          <w:sz w:val="22"/>
          <w:szCs w:val="22"/>
          <w:lang w:val="en-US"/>
        </w:rPr>
        <w:t xml:space="preserve">, Pendidikan </w:t>
      </w:r>
      <w:proofErr w:type="spellStart"/>
      <w:r w:rsidRPr="00E47A49">
        <w:rPr>
          <w:rFonts w:ascii="Twentieth Century" w:hAnsi="Twentieth Century"/>
          <w:sz w:val="22"/>
          <w:szCs w:val="22"/>
          <w:lang w:val="en-US"/>
        </w:rPr>
        <w:t>kesehatan</w:t>
      </w:r>
      <w:proofErr w:type="spellEnd"/>
      <w:r w:rsidRPr="00E47A49">
        <w:rPr>
          <w:rFonts w:ascii="Twentieth Century" w:hAnsi="Twentieth Century"/>
          <w:sz w:val="22"/>
          <w:szCs w:val="22"/>
          <w:lang w:val="en-US"/>
        </w:rPr>
        <w:t xml:space="preserve"> dan Though Stopping (TS).  </w:t>
      </w:r>
      <w:proofErr w:type="spellStart"/>
      <w:r w:rsidRPr="00E47A49">
        <w:rPr>
          <w:rFonts w:ascii="Twentieth Century" w:hAnsi="Twentieth Century"/>
          <w:sz w:val="22"/>
          <w:szCs w:val="22"/>
          <w:lang w:val="en-US"/>
        </w:rPr>
        <w:t>Terapi</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Kelompok</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Terapeutik</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dapat</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meningkatkan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efikasi</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diri</w:t>
      </w:r>
      <w:proofErr w:type="spellEnd"/>
      <w:r w:rsidRPr="00E47A49">
        <w:rPr>
          <w:rFonts w:ascii="Twentieth Century" w:hAnsi="Twentieth Century"/>
          <w:sz w:val="22"/>
          <w:szCs w:val="22"/>
          <w:lang w:val="en-US"/>
        </w:rPr>
        <w:t xml:space="preserve"> pada </w:t>
      </w:r>
      <w:proofErr w:type="spellStart"/>
      <w:r w:rsidRPr="00E47A49">
        <w:rPr>
          <w:rFonts w:ascii="Twentieth Century" w:hAnsi="Twentieth Century"/>
          <w:sz w:val="22"/>
          <w:szCs w:val="22"/>
          <w:lang w:val="en-US"/>
        </w:rPr>
        <w:t>anak</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usia</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sekolah</w:t>
      </w:r>
      <w:proofErr w:type="spellEnd"/>
      <w:r w:rsidRPr="00E47A49">
        <w:rPr>
          <w:rFonts w:ascii="Twentieth Century" w:hAnsi="Twentieth Century"/>
          <w:sz w:val="22"/>
          <w:szCs w:val="22"/>
          <w:lang w:val="en-US"/>
        </w:rPr>
        <w:t xml:space="preserve"> </w:t>
      </w:r>
      <w:r w:rsidRPr="00E47A49">
        <w:rPr>
          <w:rFonts w:ascii="Twentieth Century" w:hAnsi="Twentieth Century"/>
          <w:sz w:val="22"/>
          <w:szCs w:val="22"/>
          <w:lang w:val="en-US"/>
        </w:rPr>
        <w:fldChar w:fldCharType="begin" w:fldLock="1"/>
      </w:r>
      <w:r w:rsidR="00E47A49" w:rsidRPr="00E47A49">
        <w:rPr>
          <w:rFonts w:ascii="Twentieth Century" w:hAnsi="Twentieth Century"/>
          <w:sz w:val="22"/>
          <w:szCs w:val="22"/>
          <w:lang w:val="en-US"/>
        </w:rPr>
        <w:instrText>ADDIN CSL_CITATION {"citationItems":[{"id":"ITEM-1","itemData":{"DOI":"https://doi.org/10.1016/S1130-8621(18)30048-2","ISSN":"1130-8621","abstract":"Objective\nThe survival of children against disaster can be seen from their confidence in their ability (self-efficacy). Self-efficacy can help children to determine their ability against disaster as preparedness. The proper intervention to increase self-efficacy as a protective factor is a therapeutic group therapy. The aim of this research is to measure the increase of self-efficacy of school age children against earthquake and Tsunami through therapeutic group therapy.\nMethod\nThis research used quasi-experimental design with pre-post-tests with control group. The sample involved in this study is 69 children, where 35 of them are in the experimental group while the rest 34 children are in the control group consisting of school children at the IV and V graders of elementary school.\nResults\nThe result of the research showed that the self-efficacy of school children is improved significantly after being treated with therapeutic group therapy (p value &lt; 0,05), those who were not treated with therapeutic group therapy have no significant improvement (p value &gt; 0,05).\nConclusions\nThis research is recommended to be conducted on school age children to improve their self-efficacy against disaster through health education.","author":[{"dropping-particle":"","family":"Cleodora","given":"Cindy","non-dropping-particle":"","parse-names":false,"suffix":""},{"dropping-particle":"","family":"Mustikasari","given":"","non-dropping-particle":"","parse-names":false,"suffix":""},{"dropping-particle":"","family":"Gayatri","given":"Dewi","non-dropping-particle":"","parse-names":false,"suffix":""}],"container-title":"Enfermería Clínica","id":"ITEM-1","issued":{"date-parts":[["2018"]]},"note":"1st International Nursing Scholars Congress. Depok (Indonesia), 15-16 November 2016","page":"112-115","title":"Therapeutic group therapy improved self-efficacy of school age children","type":"article-journal","volume":"28"},"uris":["http://www.mendeley.com/documents/?uuid=16c12bb4-c30d-47a3-8c60-12cfcff0a02e"]}],"mendeley":{"formattedCitation":"[8]","plainTextFormattedCitation":"[8]","previouslyFormattedCitation":"[8]"},"properties":{"noteIndex":0},"schema":"https://github.com/citation-style-language/schema/raw/master/csl-citation.json"}</w:instrText>
      </w:r>
      <w:r w:rsidRPr="00E47A49">
        <w:rPr>
          <w:rFonts w:ascii="Twentieth Century" w:hAnsi="Twentieth Century"/>
          <w:sz w:val="22"/>
          <w:szCs w:val="22"/>
          <w:lang w:val="en-US"/>
        </w:rPr>
        <w:fldChar w:fldCharType="separate"/>
      </w:r>
      <w:r w:rsidR="00E47A49" w:rsidRPr="00E47A49">
        <w:rPr>
          <w:rFonts w:ascii="Twentieth Century" w:hAnsi="Twentieth Century"/>
          <w:noProof/>
          <w:sz w:val="22"/>
          <w:szCs w:val="22"/>
          <w:lang w:val="en-US"/>
        </w:rPr>
        <w:t>[8]</w:t>
      </w:r>
      <w:r w:rsidRPr="00E47A49">
        <w:rPr>
          <w:rFonts w:ascii="Twentieth Century" w:hAnsi="Twentieth Century"/>
          <w:sz w:val="22"/>
          <w:szCs w:val="22"/>
          <w:lang w:val="en-US"/>
        </w:rPr>
        <w:fldChar w:fldCharType="end"/>
      </w:r>
      <w:r w:rsidRPr="00E47A49">
        <w:rPr>
          <w:rFonts w:ascii="Twentieth Century" w:hAnsi="Twentieth Century"/>
          <w:sz w:val="22"/>
          <w:szCs w:val="22"/>
          <w:lang w:val="en-US"/>
        </w:rPr>
        <w:t xml:space="preserve">. Program </w:t>
      </w:r>
      <w:proofErr w:type="spellStart"/>
      <w:r w:rsidRPr="00E47A49">
        <w:rPr>
          <w:rFonts w:ascii="Twentieth Century" w:hAnsi="Twentieth Century"/>
          <w:sz w:val="22"/>
          <w:szCs w:val="22"/>
          <w:lang w:val="en-US"/>
        </w:rPr>
        <w:t>Terapi</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Kelompok</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Terapeutik</w:t>
      </w:r>
      <w:proofErr w:type="spellEnd"/>
      <w:r w:rsidRPr="00E47A49">
        <w:rPr>
          <w:rFonts w:ascii="Twentieth Century" w:hAnsi="Twentieth Century"/>
          <w:sz w:val="22"/>
          <w:szCs w:val="22"/>
          <w:lang w:val="en-US"/>
        </w:rPr>
        <w:t xml:space="preserve"> (TKT) </w:t>
      </w:r>
      <w:proofErr w:type="spellStart"/>
      <w:r w:rsidRPr="00E47A49">
        <w:rPr>
          <w:rFonts w:ascii="Twentieth Century" w:hAnsi="Twentieth Century"/>
          <w:sz w:val="22"/>
          <w:szCs w:val="22"/>
          <w:lang w:val="en-US"/>
        </w:rPr>
        <w:t>dapat</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mengurangi</w:t>
      </w:r>
      <w:proofErr w:type="spellEnd"/>
      <w:r w:rsidRPr="00E47A49">
        <w:rPr>
          <w:rFonts w:ascii="Twentieth Century" w:hAnsi="Twentieth Century"/>
          <w:sz w:val="22"/>
          <w:szCs w:val="22"/>
          <w:lang w:val="en-US"/>
        </w:rPr>
        <w:t xml:space="preserve"> stress dan </w:t>
      </w:r>
      <w:proofErr w:type="spellStart"/>
      <w:r w:rsidRPr="00E47A49">
        <w:rPr>
          <w:rFonts w:ascii="Twentieth Century" w:hAnsi="Twentieth Century"/>
          <w:sz w:val="22"/>
          <w:szCs w:val="22"/>
          <w:lang w:val="en-US"/>
        </w:rPr>
        <w:t>kecemasan</w:t>
      </w:r>
      <w:proofErr w:type="spellEnd"/>
      <w:r w:rsidRPr="00E47A49">
        <w:rPr>
          <w:rFonts w:ascii="Twentieth Century" w:hAnsi="Twentieth Century"/>
          <w:sz w:val="22"/>
          <w:szCs w:val="22"/>
          <w:lang w:val="en-US"/>
        </w:rPr>
        <w:t xml:space="preserve"> pada </w:t>
      </w:r>
      <w:proofErr w:type="spellStart"/>
      <w:r w:rsidRPr="00E47A49">
        <w:rPr>
          <w:rFonts w:ascii="Twentieth Century" w:hAnsi="Twentieth Century"/>
          <w:sz w:val="22"/>
          <w:szCs w:val="22"/>
          <w:lang w:val="en-US"/>
        </w:rPr>
        <w:t>seseorang</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dengan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cara</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bercerita</w:t>
      </w:r>
      <w:proofErr w:type="spellEnd"/>
      <w:r w:rsidRPr="00E47A49">
        <w:rPr>
          <w:rFonts w:ascii="Twentieth Century" w:hAnsi="Twentieth Century"/>
          <w:sz w:val="22"/>
          <w:szCs w:val="22"/>
          <w:lang w:val="en-US"/>
        </w:rPr>
        <w:t xml:space="preserve"> dan </w:t>
      </w:r>
      <w:proofErr w:type="spellStart"/>
      <w:r w:rsidRPr="00E47A49">
        <w:rPr>
          <w:rFonts w:ascii="Twentieth Century" w:hAnsi="Twentieth Century"/>
          <w:sz w:val="22"/>
          <w:szCs w:val="22"/>
          <w:lang w:val="en-US"/>
        </w:rPr>
        <w:t>berbagi</w:t>
      </w:r>
      <w:proofErr w:type="spellEnd"/>
      <w:r w:rsidRPr="00E47A49">
        <w:rPr>
          <w:rFonts w:ascii="Twentieth Century" w:hAnsi="Twentieth Century"/>
          <w:sz w:val="22"/>
          <w:szCs w:val="22"/>
          <w:lang w:val="en-US"/>
        </w:rPr>
        <w:t xml:space="preserve"> pada </w:t>
      </w:r>
      <w:proofErr w:type="spellStart"/>
      <w:r w:rsidRPr="00E47A49">
        <w:rPr>
          <w:rFonts w:ascii="Twentieth Century" w:hAnsi="Twentieth Century"/>
          <w:sz w:val="22"/>
          <w:szCs w:val="22"/>
          <w:lang w:val="en-US"/>
        </w:rPr>
        <w:t>tim</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atau</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kelompoknya</w:t>
      </w:r>
      <w:proofErr w:type="spellEnd"/>
      <w:r w:rsidRPr="00E47A49">
        <w:rPr>
          <w:rFonts w:ascii="Twentieth Century" w:hAnsi="Twentieth Century"/>
          <w:sz w:val="22"/>
          <w:szCs w:val="22"/>
          <w:lang w:val="en-US"/>
        </w:rPr>
        <w:t xml:space="preserve"> </w:t>
      </w:r>
      <w:r w:rsidRPr="00E47A49">
        <w:rPr>
          <w:rFonts w:ascii="Twentieth Century" w:hAnsi="Twentieth Century"/>
          <w:sz w:val="22"/>
          <w:szCs w:val="22"/>
          <w:lang w:val="en-US"/>
        </w:rPr>
        <w:fldChar w:fldCharType="begin" w:fldLock="1"/>
      </w:r>
      <w:r w:rsidR="00E47A49" w:rsidRPr="00E47A49">
        <w:rPr>
          <w:rFonts w:ascii="Twentieth Century" w:hAnsi="Twentieth Century"/>
          <w:sz w:val="22"/>
          <w:szCs w:val="22"/>
          <w:lang w:val="en-US"/>
        </w:rPr>
        <w:instrText>ADDIN CSL_CITATION {"citationItems":[{"id":"ITEM-1","itemData":{"DOI":"https://doi.org/10.1016/j.apnu.2022.07.027","ISSN":"0883-9417","abstract":"This quasi-experimental, nonequivalent control group pretest–posttest study developed a 10-session group poetry therapy program for nursing students and examined effects on clinical training, job-seeking stress, anxiety, ego-resilience, and psychological well-being. Forty-nine nursing students were conveniently recruited (experimental group n = 24, control group n = 25). Program construction used the Analysis, Design, Development, Implementation, and Evaluation model and Mazza's poetry therapy practice model. Compared to the control group, the experimental group showed significant decreases in stress and anxiety and significant improvements in ego-resilience and psychological well-being immediately after intervention, maintained at 5-week follow-up. The program can be a beneficial intervention for individuals experiencing various degrees of stress.","author":[{"dropping-particle":"","family":"Park","given":"Jung Hyun","non-dropping-particle":"","parse-names":false,"suffix":""},{"dropping-particle":"","family":"Kim","given":"Ji Young","non-dropping-particle":"","parse-names":false,"suffix":""},{"dropping-particle":"","family":"Kim","given":"Hyeon Ok","non-dropping-particle":"","parse-names":false,"suffix":""}],"container-title":"Archives of Psychiatric Nursing","id":"ITEM-1","issued":{"date-parts":[["2022"]]},"page":"144-152","title":"Effects of a group poetry therapy program on stress, anxiety, ego-resilience, and psychological well-being of nursing students","type":"article-journal","volume":"41"},"uris":["http://www.mendeley.com/documents/?uuid=0ae9526d-f273-434e-86ea-9a1d9c4d14b2"]}],"mendeley":{"formattedCitation":"[9]","plainTextFormattedCitation":"[9]","previouslyFormattedCitation":"[9]"},"properties":{"noteIndex":0},"schema":"https://github.com/citation-style-language/schema/raw/master/csl-citation.json"}</w:instrText>
      </w:r>
      <w:r w:rsidRPr="00E47A49">
        <w:rPr>
          <w:rFonts w:ascii="Twentieth Century" w:hAnsi="Twentieth Century"/>
          <w:sz w:val="22"/>
          <w:szCs w:val="22"/>
          <w:lang w:val="en-US"/>
        </w:rPr>
        <w:fldChar w:fldCharType="separate"/>
      </w:r>
      <w:r w:rsidR="00E47A49" w:rsidRPr="00E47A49">
        <w:rPr>
          <w:rFonts w:ascii="Twentieth Century" w:hAnsi="Twentieth Century"/>
          <w:noProof/>
          <w:sz w:val="22"/>
          <w:szCs w:val="22"/>
          <w:lang w:val="en-US"/>
        </w:rPr>
        <w:t>[9]</w:t>
      </w:r>
      <w:r w:rsidRPr="00E47A49">
        <w:rPr>
          <w:rFonts w:ascii="Twentieth Century" w:hAnsi="Twentieth Century"/>
          <w:sz w:val="22"/>
          <w:szCs w:val="22"/>
          <w:lang w:val="en-US"/>
        </w:rPr>
        <w:fldChar w:fldCharType="end"/>
      </w:r>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Pemberian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edukasi</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tentang</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kesehatan</w:t>
      </w:r>
      <w:proofErr w:type="spellEnd"/>
      <w:r w:rsidRPr="00E47A49">
        <w:rPr>
          <w:rFonts w:ascii="Twentieth Century" w:hAnsi="Twentieth Century"/>
          <w:sz w:val="22"/>
          <w:szCs w:val="22"/>
          <w:lang w:val="en-US"/>
        </w:rPr>
        <w:t xml:space="preserve"> dan </w:t>
      </w:r>
      <w:proofErr w:type="spellStart"/>
      <w:r w:rsidRPr="00E47A49">
        <w:rPr>
          <w:rFonts w:ascii="Twentieth Century" w:hAnsi="Twentieth Century"/>
          <w:sz w:val="22"/>
          <w:szCs w:val="22"/>
          <w:lang w:val="en-US"/>
        </w:rPr>
        <w:t>pendidikan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seksualitas</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harus</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diberikan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secara</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komprehensif</w:t>
      </w:r>
      <w:proofErr w:type="spellEnd"/>
      <w:r w:rsidRPr="00E47A49">
        <w:rPr>
          <w:rFonts w:ascii="Twentieth Century" w:hAnsi="Twentieth Century"/>
          <w:sz w:val="22"/>
          <w:szCs w:val="22"/>
          <w:lang w:val="en-US"/>
        </w:rPr>
        <w:t xml:space="preserve"> dan </w:t>
      </w:r>
      <w:proofErr w:type="spellStart"/>
      <w:r w:rsidRPr="00E47A49">
        <w:rPr>
          <w:rFonts w:ascii="Twentieth Century" w:hAnsi="Twentieth Century"/>
          <w:sz w:val="22"/>
          <w:szCs w:val="22"/>
          <w:lang w:val="en-US"/>
        </w:rPr>
        <w:t>akurat</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serta</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sesuai</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dengan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usia</w:t>
      </w:r>
      <w:proofErr w:type="spellEnd"/>
      <w:r w:rsidRPr="00E47A49">
        <w:rPr>
          <w:rFonts w:ascii="Twentieth Century" w:hAnsi="Twentieth Century"/>
          <w:sz w:val="22"/>
          <w:szCs w:val="22"/>
          <w:lang w:val="en-US"/>
        </w:rPr>
        <w:t xml:space="preserve"> </w:t>
      </w:r>
      <w:r w:rsidRPr="00E47A49">
        <w:rPr>
          <w:rFonts w:ascii="Twentieth Century" w:hAnsi="Twentieth Century"/>
          <w:sz w:val="22"/>
          <w:szCs w:val="22"/>
          <w:lang w:val="en-US"/>
        </w:rPr>
        <w:fldChar w:fldCharType="begin" w:fldLock="1"/>
      </w:r>
      <w:r w:rsidR="00E47A49" w:rsidRPr="00E47A49">
        <w:rPr>
          <w:rFonts w:ascii="Twentieth Century" w:hAnsi="Twentieth Century"/>
          <w:sz w:val="22"/>
          <w:szCs w:val="22"/>
          <w:lang w:val="en-US"/>
        </w:rPr>
        <w:instrText>ADDIN CSL_CITATION {"citationItems":[{"id":"ITEM-1","itemData":{"DOI":"https://doi.org/10.1016/j.esxm.2020.100302","ISSN":"2050-1161","abstract":"Introduction\nThere is a growing interest among adolescents to obtain sexual health information online, which could be helpful in rural areas where adolescents face unique obstacles to contraception access, and medically accurate sex education is not mandated.\nAim\nThis study piloted a comprehensive sex education self-study website among undergraduate students and resident physicians to assess the accuracy and feasibility for future use in younger adolescents.\nMethods\nA sex education website developed by a board-certified obstetrician-gynecologist (OBGYN) was piloted among a group of OBGYN resident physicians and undergraduates from West Virginia. Groups were chosen to assess the accuracy of information and acceptability for use in younger adolescents. The 30-minute curriculum was a series of short videos (2–4 minutes each) covering anatomy, physiology, sexuality, gender identity, relationship health, contraception, and sexually transmitted infection prevention. Data were obtained on subjects’ past experience and perception of sex education. Subjects also evaluated the website for usefulness and accuracy.\nOutcomes\nMain outcomes included a Likert scale assessment of each curriculum session’s usefulness, accuracy, and how easy it was to follow.\nResults\n24 subjects (14 undergraduates and 10 physicians) participated during September and October of 2019. All except for 1 subject had sex education taught in school; 11 (45.8%) reported it to be “low quality”; 23 (95.8%) reported being taught in a classroom. Individual website video sessions were reported to be highly accurate, very easy to follow, and very useful. All subjects (100%) felt that high school adolescents would be interested in the self-study website.\nConclusions\nA self-study website was successfully tested and found to be a well-accepted way to teach sex education among this pilot group. Future work involves testing this tool among younger adolescent subjects. Yoost J, Ruley M, Durfee L. Acceptability of a Comprehensive Sex Education Self-Study Website for Teaching Reproductive Health: A Pilot Study Among College Students and Obstetrics and Gynecology Resident Physicians. Sex Med 2021;9:100302.","author":[{"dropping-particle":"","family":"Yoost","given":"Jennie","non-dropping-particle":"","parse-names":false,"suffix":""},{"dropping-particle":"","family":"Ruley","given":"Morgan","non-dropping-particle":"","parse-names":false,"suffix":""},{"dropping-particle":"","family":"Durfee","given":"Levi","non-dropping-particle":"","parse-names":false,"suffix":""}],"container-title":"Sexual Medicine","id":"ITEM-1","issue":"1","issued":{"date-parts":[["2021"]]},"page":"100302","title":"Acceptability of a Comprehensive Sex Education Self-Study Website for Teaching Reproductive Health: A Pilot Study Among College Students and Obstetrics and Gynecology Resident Physicians","type":"article-journal","volume":"9"},"uris":["http://www.mendeley.com/documents/?uuid=3bb5e17c-18d5-4fd2-beee-e8cc30a44858"]}],"mendeley":{"formattedCitation":"[10]","plainTextFormattedCitation":"[10]","previouslyFormattedCitation":"[10]"},"properties":{"noteIndex":0},"schema":"https://github.com/citation-style-language/schema/raw/master/csl-citation.json"}</w:instrText>
      </w:r>
      <w:r w:rsidRPr="00E47A49">
        <w:rPr>
          <w:rFonts w:ascii="Twentieth Century" w:hAnsi="Twentieth Century"/>
          <w:sz w:val="22"/>
          <w:szCs w:val="22"/>
          <w:lang w:val="en-US"/>
        </w:rPr>
        <w:fldChar w:fldCharType="separate"/>
      </w:r>
      <w:r w:rsidR="00E47A49" w:rsidRPr="00E47A49">
        <w:rPr>
          <w:rFonts w:ascii="Twentieth Century" w:hAnsi="Twentieth Century"/>
          <w:noProof/>
          <w:sz w:val="22"/>
          <w:szCs w:val="22"/>
          <w:lang w:val="en-US"/>
        </w:rPr>
        <w:t>[10]</w:t>
      </w:r>
      <w:r w:rsidRPr="00E47A49">
        <w:rPr>
          <w:rFonts w:ascii="Twentieth Century" w:hAnsi="Twentieth Century"/>
          <w:sz w:val="22"/>
          <w:szCs w:val="22"/>
          <w:lang w:val="en-US"/>
        </w:rPr>
        <w:fldChar w:fldCharType="end"/>
      </w:r>
      <w:r w:rsidRPr="00E47A49">
        <w:rPr>
          <w:rFonts w:ascii="Twentieth Century" w:hAnsi="Twentieth Century"/>
          <w:sz w:val="22"/>
          <w:szCs w:val="22"/>
          <w:lang w:val="en-US"/>
        </w:rPr>
        <w:t>.</w:t>
      </w:r>
      <w:r w:rsidRPr="00E47A49">
        <w:rPr>
          <w:rFonts w:ascii="Twentieth Century" w:hAnsi="Twentieth Century"/>
          <w:sz w:val="22"/>
          <w:szCs w:val="22"/>
        </w:rPr>
        <w:t xml:space="preserve"> </w:t>
      </w:r>
      <w:r w:rsidRPr="00BE7F34">
        <w:rPr>
          <w:rFonts w:ascii="Twentieth Century" w:hAnsi="Twentieth Century"/>
          <w:color w:val="FF0000"/>
          <w:sz w:val="22"/>
          <w:szCs w:val="22"/>
          <w:lang w:val="en-US"/>
        </w:rPr>
        <w:t xml:space="preserve">Thought Stopping </w:t>
      </w:r>
      <w:proofErr w:type="spellStart"/>
      <w:r w:rsidRPr="00E47A49">
        <w:rPr>
          <w:rFonts w:ascii="Twentieth Century" w:hAnsi="Twentieth Century"/>
          <w:sz w:val="22"/>
          <w:szCs w:val="22"/>
          <w:lang w:val="en-US"/>
        </w:rPr>
        <w:t>dapat</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membantu</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remaja</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mengatasi</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kecemasan</w:t>
      </w:r>
      <w:proofErr w:type="spellEnd"/>
      <w:r w:rsidRPr="00E47A49">
        <w:rPr>
          <w:rFonts w:ascii="Twentieth Century" w:hAnsi="Twentieth Century"/>
          <w:sz w:val="22"/>
          <w:szCs w:val="22"/>
          <w:lang w:val="en-US"/>
        </w:rPr>
        <w:t xml:space="preserve"> yang </w:t>
      </w:r>
      <w:proofErr w:type="spellStart"/>
      <w:r w:rsidRPr="00E47A49">
        <w:rPr>
          <w:rFonts w:ascii="Twentieth Century" w:hAnsi="Twentieth Century"/>
          <w:sz w:val="22"/>
          <w:szCs w:val="22"/>
          <w:lang w:val="en-US"/>
        </w:rPr>
        <w:t>dialaminya</w:t>
      </w:r>
      <w:proofErr w:type="spellEnd"/>
      <w:r w:rsidRPr="00E47A49">
        <w:rPr>
          <w:rFonts w:ascii="Twentieth Century" w:hAnsi="Twentieth Century"/>
          <w:sz w:val="22"/>
          <w:szCs w:val="22"/>
          <w:lang w:val="en-US"/>
        </w:rPr>
        <w:t xml:space="preserve">. Salah </w:t>
      </w:r>
      <w:proofErr w:type="spellStart"/>
      <w:r w:rsidRPr="00E47A49">
        <w:rPr>
          <w:rFonts w:ascii="Twentieth Century" w:hAnsi="Twentieth Century"/>
          <w:sz w:val="22"/>
          <w:szCs w:val="22"/>
          <w:lang w:val="en-US"/>
        </w:rPr>
        <w:t>satu</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hasil</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penelitian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dijelaskan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bahwa</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terdapat</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penurunan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kecemasan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setelah</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diberikan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terapi</w:t>
      </w:r>
      <w:proofErr w:type="spellEnd"/>
      <w:r w:rsidRPr="00E47A49">
        <w:rPr>
          <w:rFonts w:ascii="Twentieth Century" w:hAnsi="Twentieth Century"/>
          <w:sz w:val="22"/>
          <w:szCs w:val="22"/>
          <w:lang w:val="en-US"/>
        </w:rPr>
        <w:t xml:space="preserve"> TS </w:t>
      </w:r>
      <w:proofErr w:type="spellStart"/>
      <w:r w:rsidRPr="00E47A49">
        <w:rPr>
          <w:rFonts w:ascii="Twentieth Century" w:hAnsi="Twentieth Century"/>
          <w:sz w:val="22"/>
          <w:szCs w:val="22"/>
          <w:lang w:val="en-US"/>
        </w:rPr>
        <w:t>dengan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cara</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menghentikan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pikiran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negatif</w:t>
      </w:r>
      <w:proofErr w:type="spellEnd"/>
      <w:r w:rsidRPr="00E47A49">
        <w:rPr>
          <w:rFonts w:ascii="Twentieth Century" w:hAnsi="Twentieth Century"/>
          <w:sz w:val="22"/>
          <w:szCs w:val="22"/>
          <w:lang w:val="en-US"/>
        </w:rPr>
        <w:t xml:space="preserve"> dan </w:t>
      </w:r>
      <w:proofErr w:type="spellStart"/>
      <w:r w:rsidRPr="00E47A49">
        <w:rPr>
          <w:rFonts w:ascii="Twentieth Century" w:hAnsi="Twentieth Century"/>
          <w:sz w:val="22"/>
          <w:szCs w:val="22"/>
          <w:lang w:val="en-US"/>
        </w:rPr>
        <w:t>merubahnya</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menjadi</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pemikiran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positif</w:t>
      </w:r>
      <w:proofErr w:type="spellEnd"/>
      <w:r w:rsidRPr="00E47A49">
        <w:rPr>
          <w:rFonts w:ascii="Twentieth Century" w:hAnsi="Twentieth Century"/>
          <w:sz w:val="22"/>
          <w:szCs w:val="22"/>
          <w:lang w:val="en-US"/>
        </w:rPr>
        <w:t xml:space="preserve"> </w:t>
      </w:r>
      <w:r w:rsidRPr="00E47A49">
        <w:rPr>
          <w:rFonts w:ascii="Twentieth Century" w:hAnsi="Twentieth Century"/>
          <w:sz w:val="22"/>
          <w:szCs w:val="22"/>
          <w:lang w:val="en-US"/>
        </w:rPr>
        <w:fldChar w:fldCharType="begin" w:fldLock="1"/>
      </w:r>
      <w:r w:rsidR="00E47A49" w:rsidRPr="00E47A49">
        <w:rPr>
          <w:rFonts w:ascii="Twentieth Century" w:hAnsi="Twentieth Century"/>
          <w:sz w:val="22"/>
          <w:szCs w:val="22"/>
          <w:lang w:val="en-US"/>
        </w:rPr>
        <w:instrText>ADDIN CSL_CITATION {"citationItems":[{"id":"ITEM-1","itemData":{"DOI":"https://doi.org/10.1016/j.enfcli.2021.01.001","ISSN":"1130-8621","abstract":"The objective of the study is to determine the effect of thought-stopping therapy on anxiety levels in adolescents living in earthquake-prone areas. This study used quasi-experiment pre-post test with control group, conducted in one of the earthquake-prone areas city in East Java. 112 respondents (the control and the intervention group) were included in the research. Both groups received nursing intervention. In addition to the nursing intervention, the intervention group was asked to use thought-stopping techniques. The HAM-A questionnaire was used to determine anxiety levels. A significant decrease in anxiety in both the control and intervention groups was demonstrated in the present study after the intervention. The intervention group experienced a decrease in the anxiety rating of 5.54, compared to the corresponding decrease in the control group of 2.79. Nursing intervention and thought-stopping are recommended as effective in reducing anxiety in adolescents living in earthquake-prone areas.","author":[{"dropping-particle":"","family":"Hardayati","given":"Yunita Astriani","non-dropping-particle":"","parse-names":false,"suffix":""},{"dropping-particle":"","family":"Mustikasari","given":"","non-dropping-particle":"","parse-names":false,"suffix":""},{"dropping-particle":"","family":"Panjaitan","given":"Ria Utami","non-dropping-particle":"","parse-names":false,"suffix":""}],"container-title":"Enfermería Clínica","id":"ITEM-1","issued":{"date-parts":[["2021"]]},"note":"4th International Conference for Global Health (ICGH) in conjunction with the 7th Asian International Conference in Humanized Health Care (AIC-HHC)","page":"S395-S399","title":"The effects of thought stopping on anxiety levels in adolescents living in earthquake-prone areas","type":"article-journal","volume":"31"},"uris":["http://www.mendeley.com/documents/?uuid=7e1517fe-2894-4538-a4d9-9ad72ed13737"]}],"mendeley":{"formattedCitation":"[11]","plainTextFormattedCitation":"[11]","previouslyFormattedCitation":"[11]"},"properties":{"noteIndex":0},"schema":"https://github.com/citation-style-language/schema/raw/master/csl-citation.json"}</w:instrText>
      </w:r>
      <w:r w:rsidRPr="00E47A49">
        <w:rPr>
          <w:rFonts w:ascii="Twentieth Century" w:hAnsi="Twentieth Century"/>
          <w:sz w:val="22"/>
          <w:szCs w:val="22"/>
          <w:lang w:val="en-US"/>
        </w:rPr>
        <w:fldChar w:fldCharType="separate"/>
      </w:r>
      <w:r w:rsidR="00E47A49" w:rsidRPr="00E47A49">
        <w:rPr>
          <w:rFonts w:ascii="Twentieth Century" w:hAnsi="Twentieth Century"/>
          <w:noProof/>
          <w:sz w:val="22"/>
          <w:szCs w:val="22"/>
          <w:lang w:val="en-US"/>
        </w:rPr>
        <w:t>[11]</w:t>
      </w:r>
      <w:r w:rsidRPr="00E47A49">
        <w:rPr>
          <w:rFonts w:ascii="Twentieth Century" w:hAnsi="Twentieth Century"/>
          <w:sz w:val="22"/>
          <w:szCs w:val="22"/>
          <w:lang w:val="en-US"/>
        </w:rPr>
        <w:fldChar w:fldCharType="end"/>
      </w:r>
      <w:r w:rsidRPr="00E47A49">
        <w:rPr>
          <w:rFonts w:ascii="Twentieth Century" w:hAnsi="Twentieth Century"/>
          <w:sz w:val="22"/>
          <w:szCs w:val="22"/>
          <w:lang w:val="en-US"/>
        </w:rPr>
        <w:t xml:space="preserve">. </w:t>
      </w:r>
    </w:p>
    <w:p w14:paraId="6DF2D6F8" w14:textId="77777777" w:rsidR="00FD35AB" w:rsidRPr="00E47A49" w:rsidRDefault="00EB58C7" w:rsidP="00EB58C7">
      <w:pPr>
        <w:spacing w:after="0" w:line="240" w:lineRule="auto"/>
        <w:jc w:val="both"/>
        <w:rPr>
          <w:rFonts w:ascii="Twentieth Century" w:eastAsia="Twentieth Century" w:hAnsi="Twentieth Century" w:cs="Twentieth Century"/>
          <w:color w:val="000000"/>
          <w:sz w:val="22"/>
          <w:szCs w:val="22"/>
        </w:rPr>
      </w:pPr>
      <w:proofErr w:type="spellStart"/>
      <w:r w:rsidRPr="00E47A49">
        <w:rPr>
          <w:rFonts w:ascii="Twentieth Century" w:hAnsi="Twentieth Century"/>
          <w:sz w:val="22"/>
          <w:szCs w:val="22"/>
        </w:rPr>
        <w:t>Berdasarkan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hasil</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wawancara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didapatkan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bahwa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terdapat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siswa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kelas</w:t>
      </w:r>
      <w:proofErr w:type="spellEnd"/>
      <w:r w:rsidRPr="00E47A49">
        <w:rPr>
          <w:rFonts w:ascii="Twentieth Century" w:hAnsi="Twentieth Century"/>
          <w:sz w:val="22"/>
          <w:szCs w:val="22"/>
        </w:rPr>
        <w:t xml:space="preserve"> 4 SD yang </w:t>
      </w:r>
      <w:proofErr w:type="spellStart"/>
      <w:r w:rsidRPr="00E47A49">
        <w:rPr>
          <w:rFonts w:ascii="Twentieth Century" w:hAnsi="Twentieth Century"/>
          <w:sz w:val="22"/>
          <w:szCs w:val="22"/>
        </w:rPr>
        <w:t>telah</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mengalami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menstruasi</w:t>
      </w:r>
      <w:proofErr w:type="spellEnd"/>
      <w:r w:rsidRPr="00E47A49">
        <w:rPr>
          <w:rFonts w:ascii="Twentieth Century" w:hAnsi="Twentieth Century"/>
          <w:sz w:val="22"/>
          <w:szCs w:val="22"/>
        </w:rPr>
        <w:t xml:space="preserve"> (menarche) </w:t>
      </w:r>
      <w:proofErr w:type="spellStart"/>
      <w:r w:rsidRPr="00E47A49">
        <w:rPr>
          <w:rFonts w:ascii="Twentieth Century" w:hAnsi="Twentieth Century"/>
          <w:sz w:val="22"/>
          <w:szCs w:val="22"/>
        </w:rPr>
        <w:t>yaitu</w:t>
      </w:r>
      <w:proofErr w:type="spellEnd"/>
      <w:r w:rsidRPr="00E47A49">
        <w:rPr>
          <w:rFonts w:ascii="Twentieth Century" w:hAnsi="Twentieth Century"/>
          <w:sz w:val="22"/>
          <w:szCs w:val="22"/>
        </w:rPr>
        <w:t xml:space="preserve"> pada </w:t>
      </w:r>
      <w:proofErr w:type="spellStart"/>
      <w:r w:rsidRPr="00E47A49">
        <w:rPr>
          <w:rFonts w:ascii="Twentieth Century" w:hAnsi="Twentieth Century"/>
          <w:sz w:val="22"/>
          <w:szCs w:val="22"/>
        </w:rPr>
        <w:t>saat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usia</w:t>
      </w:r>
      <w:proofErr w:type="spellEnd"/>
      <w:r w:rsidRPr="00E47A49">
        <w:rPr>
          <w:rFonts w:ascii="Twentieth Century" w:hAnsi="Twentieth Century"/>
          <w:sz w:val="22"/>
          <w:szCs w:val="22"/>
        </w:rPr>
        <w:t xml:space="preserve"> 11 </w:t>
      </w:r>
      <w:proofErr w:type="spellStart"/>
      <w:r w:rsidRPr="00E47A49">
        <w:rPr>
          <w:rFonts w:ascii="Twentieth Century" w:hAnsi="Twentieth Century"/>
          <w:sz w:val="22"/>
          <w:szCs w:val="22"/>
        </w:rPr>
        <w:t>tahun</w:t>
      </w:r>
      <w:proofErr w:type="spellEnd"/>
      <w:r w:rsidRPr="00E47A49">
        <w:rPr>
          <w:rFonts w:ascii="Twentieth Century" w:hAnsi="Twentieth Century"/>
          <w:sz w:val="22"/>
          <w:szCs w:val="22"/>
        </w:rPr>
        <w:t xml:space="preserve"> dan </w:t>
      </w:r>
      <w:proofErr w:type="spellStart"/>
      <w:r w:rsidRPr="00E47A49">
        <w:rPr>
          <w:rFonts w:ascii="Twentieth Century" w:hAnsi="Twentieth Century"/>
          <w:sz w:val="22"/>
          <w:szCs w:val="22"/>
        </w:rPr>
        <w:t>pernah</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dibully</w:t>
      </w:r>
      <w:proofErr w:type="spellEnd"/>
      <w:r w:rsidRPr="00E47A49">
        <w:rPr>
          <w:rFonts w:ascii="Twentieth Century" w:hAnsi="Twentieth Century"/>
          <w:sz w:val="22"/>
          <w:szCs w:val="22"/>
        </w:rPr>
        <w:t xml:space="preserve"> oleh </w:t>
      </w:r>
      <w:proofErr w:type="spellStart"/>
      <w:r w:rsidRPr="00E47A49">
        <w:rPr>
          <w:rFonts w:ascii="Twentieth Century" w:hAnsi="Twentieth Century"/>
          <w:sz w:val="22"/>
          <w:szCs w:val="22"/>
        </w:rPr>
        <w:t>teman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sekelas</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karena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rok</w:t>
      </w:r>
      <w:proofErr w:type="spellEnd"/>
      <w:r w:rsidRPr="00E47A49">
        <w:rPr>
          <w:rFonts w:ascii="Twentieth Century" w:hAnsi="Twentieth Century"/>
          <w:sz w:val="22"/>
          <w:szCs w:val="22"/>
        </w:rPr>
        <w:t xml:space="preserve"> dan </w:t>
      </w:r>
      <w:proofErr w:type="spellStart"/>
      <w:r w:rsidRPr="00E47A49">
        <w:rPr>
          <w:rFonts w:ascii="Twentieth Century" w:hAnsi="Twentieth Century"/>
          <w:sz w:val="22"/>
          <w:szCs w:val="22"/>
        </w:rPr>
        <w:t>kursi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terkena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darah</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menstruasi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sehingga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siswi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tersebut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cemas</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menangis</w:t>
      </w:r>
      <w:proofErr w:type="spellEnd"/>
      <w:r w:rsidRPr="00E47A49">
        <w:rPr>
          <w:rFonts w:ascii="Twentieth Century" w:hAnsi="Twentieth Century"/>
          <w:sz w:val="22"/>
          <w:szCs w:val="22"/>
        </w:rPr>
        <w:t xml:space="preserve"> dan </w:t>
      </w:r>
      <w:proofErr w:type="spellStart"/>
      <w:r w:rsidRPr="00E47A49">
        <w:rPr>
          <w:rFonts w:ascii="Twentieth Century" w:hAnsi="Twentieth Century"/>
          <w:sz w:val="22"/>
          <w:szCs w:val="22"/>
        </w:rPr>
        <w:t>tidak</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tahu</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harus</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bagaimana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Penelitian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ini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bertujuan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untuk</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melihat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efektifitas</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Terapi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Kelompok</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Terapeutik</w:t>
      </w:r>
      <w:proofErr w:type="spellEnd"/>
      <w:r w:rsidRPr="00E47A49">
        <w:rPr>
          <w:rFonts w:ascii="Twentieth Century" w:hAnsi="Twentieth Century"/>
          <w:sz w:val="22"/>
          <w:szCs w:val="22"/>
        </w:rPr>
        <w:t xml:space="preserve"> (TKT), Pendidikan Kesehatan, Thought Stopping (TS) </w:t>
      </w:r>
      <w:proofErr w:type="spellStart"/>
      <w:r w:rsidRPr="00E47A49">
        <w:rPr>
          <w:rFonts w:ascii="Twentieth Century" w:hAnsi="Twentieth Century"/>
          <w:sz w:val="22"/>
          <w:szCs w:val="22"/>
        </w:rPr>
        <w:t>terhadap</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tingkat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kecemasan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anak</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usia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sekolah</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dalam</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menghadapi</w:t>
      </w:r>
      <w:proofErr w:type="spellEnd"/>
      <w:r w:rsidRPr="00E47A49">
        <w:rPr>
          <w:rFonts w:ascii="Twentieth Century" w:hAnsi="Twentieth Century"/>
          <w:sz w:val="22"/>
          <w:szCs w:val="22"/>
        </w:rPr>
        <w:t xml:space="preserve"> </w:t>
      </w:r>
      <w:r w:rsidRPr="00E47A49">
        <w:rPr>
          <w:rFonts w:ascii="Twentieth Century" w:hAnsi="Twentieth Century"/>
          <w:i/>
          <w:sz w:val="22"/>
          <w:szCs w:val="22"/>
        </w:rPr>
        <w:t>menarche</w:t>
      </w:r>
    </w:p>
    <w:p w14:paraId="182DCFF2" w14:textId="77777777" w:rsidR="00EB58C7" w:rsidRPr="00E47A49" w:rsidRDefault="00EB58C7">
      <w:pPr>
        <w:spacing w:after="0"/>
        <w:jc w:val="both"/>
        <w:rPr>
          <w:rFonts w:ascii="Twentieth Century" w:eastAsia="Twentieth Century" w:hAnsi="Twentieth Century" w:cs="Twentieth Century"/>
          <w:b/>
          <w:sz w:val="22"/>
          <w:szCs w:val="22"/>
        </w:rPr>
      </w:pPr>
    </w:p>
    <w:p w14:paraId="308F4777" w14:textId="77777777" w:rsidR="00FD35AB" w:rsidRPr="00E47A49" w:rsidRDefault="00BE3CDC">
      <w:pPr>
        <w:spacing w:after="0"/>
        <w:jc w:val="both"/>
        <w:rPr>
          <w:rFonts w:ascii="Twentieth Century" w:eastAsia="Twentieth Century" w:hAnsi="Twentieth Century" w:cs="Twentieth Century"/>
          <w:b/>
          <w:sz w:val="22"/>
          <w:szCs w:val="22"/>
        </w:rPr>
      </w:pPr>
      <w:r w:rsidRPr="00E47A49">
        <w:rPr>
          <w:rFonts w:ascii="Twentieth Century" w:eastAsia="Twentieth Century" w:hAnsi="Twentieth Century" w:cs="Twentieth Century"/>
          <w:b/>
          <w:sz w:val="22"/>
          <w:szCs w:val="22"/>
        </w:rPr>
        <w:t xml:space="preserve">METODE </w:t>
      </w:r>
    </w:p>
    <w:p w14:paraId="03B55DD3" w14:textId="77777777" w:rsidR="00FD35AB" w:rsidRPr="00E47A49" w:rsidRDefault="00EB58C7">
      <w:pPr>
        <w:tabs>
          <w:tab w:val="left" w:pos="426"/>
        </w:tabs>
        <w:spacing w:after="0"/>
        <w:jc w:val="both"/>
        <w:rPr>
          <w:rFonts w:ascii="Twentieth Century" w:hAnsi="Twentieth Century" w:hint="eastAsia"/>
          <w:sz w:val="22"/>
          <w:szCs w:val="22"/>
        </w:rPr>
      </w:pPr>
      <w:proofErr w:type="spellStart"/>
      <w:r w:rsidRPr="00E47A49">
        <w:rPr>
          <w:rFonts w:ascii="Twentieth Century" w:hAnsi="Twentieth Century"/>
          <w:sz w:val="22"/>
          <w:szCs w:val="22"/>
        </w:rPr>
        <w:t>Penelitian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ini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merupakan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quasy</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eksperimen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dengan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pendekatan</w:t>
      </w:r>
      <w:proofErr w:type="spellEnd"/>
      <w:r w:rsidRPr="00E47A49">
        <w:rPr>
          <w:rFonts w:ascii="Twentieth Century" w:hAnsi="Twentieth Century"/>
          <w:sz w:val="22"/>
          <w:szCs w:val="22"/>
        </w:rPr>
        <w:t xml:space="preserve"> Pre dan Post Test. Adapun </w:t>
      </w:r>
      <w:proofErr w:type="spellStart"/>
      <w:r w:rsidRPr="00E47A49">
        <w:rPr>
          <w:rFonts w:ascii="Twentieth Century" w:hAnsi="Twentieth Century"/>
          <w:sz w:val="22"/>
          <w:szCs w:val="22"/>
        </w:rPr>
        <w:t>variabel</w:t>
      </w:r>
      <w:proofErr w:type="spellEnd"/>
      <w:r w:rsidRPr="00E47A49">
        <w:rPr>
          <w:rFonts w:ascii="Twentieth Century" w:hAnsi="Twentieth Century"/>
          <w:sz w:val="22"/>
          <w:szCs w:val="22"/>
        </w:rPr>
        <w:t xml:space="preserve"> yang </w:t>
      </w:r>
      <w:proofErr w:type="spellStart"/>
      <w:r w:rsidRPr="00E47A49">
        <w:rPr>
          <w:rFonts w:ascii="Twentieth Century" w:hAnsi="Twentieth Century"/>
          <w:sz w:val="22"/>
          <w:szCs w:val="22"/>
        </w:rPr>
        <w:t>diteliti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terdiri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dari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variabel</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dependen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yaitu</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tingkat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kecemasan</w:t>
      </w:r>
      <w:proofErr w:type="spellEnd"/>
      <w:r w:rsidRPr="00E47A49">
        <w:rPr>
          <w:rFonts w:ascii="Twentieth Century" w:hAnsi="Twentieth Century"/>
          <w:sz w:val="22"/>
          <w:szCs w:val="22"/>
        </w:rPr>
        <w:t xml:space="preserve"> dan </w:t>
      </w:r>
      <w:proofErr w:type="spellStart"/>
      <w:r w:rsidRPr="00E47A49">
        <w:rPr>
          <w:rFonts w:ascii="Twentieth Century" w:hAnsi="Twentieth Century"/>
          <w:sz w:val="22"/>
          <w:szCs w:val="22"/>
        </w:rPr>
        <w:t>variabel</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independen</w:t>
      </w:r>
      <w:proofErr w:type="spellEnd"/>
      <w:r w:rsidRPr="00E47A49">
        <w:rPr>
          <w:rFonts w:ascii="Twentieth Century" w:hAnsi="Twentieth Century"/>
          <w:sz w:val="22"/>
          <w:szCs w:val="22"/>
        </w:rPr>
        <w:t xml:space="preserve"> yang </w:t>
      </w:r>
      <w:proofErr w:type="spellStart"/>
      <w:r w:rsidRPr="00E47A49">
        <w:rPr>
          <w:rFonts w:ascii="Twentieth Century" w:hAnsi="Twentieth Century"/>
          <w:sz w:val="22"/>
          <w:szCs w:val="22"/>
        </w:rPr>
        <w:t>terdiri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dari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Terapi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Kelompok</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Terapeutik</w:t>
      </w:r>
      <w:proofErr w:type="spellEnd"/>
      <w:r w:rsidRPr="00E47A49">
        <w:rPr>
          <w:rFonts w:ascii="Twentieth Century" w:hAnsi="Twentieth Century"/>
          <w:sz w:val="22"/>
          <w:szCs w:val="22"/>
        </w:rPr>
        <w:t xml:space="preserve"> (TKT), Pendidikan Kesehatan dan Thought Stopping (TS).  </w:t>
      </w:r>
      <w:proofErr w:type="spellStart"/>
      <w:r w:rsidRPr="00E47A49">
        <w:rPr>
          <w:rFonts w:ascii="Twentieth Century" w:hAnsi="Twentieth Century"/>
          <w:sz w:val="22"/>
          <w:szCs w:val="22"/>
        </w:rPr>
        <w:t>Populasi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adalah</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siswi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kelas</w:t>
      </w:r>
      <w:proofErr w:type="spellEnd"/>
      <w:r w:rsidRPr="00E47A49">
        <w:rPr>
          <w:rFonts w:ascii="Twentieth Century" w:hAnsi="Twentieth Century"/>
          <w:sz w:val="22"/>
          <w:szCs w:val="22"/>
        </w:rPr>
        <w:t xml:space="preserve"> 4 SD. Teknik </w:t>
      </w:r>
      <w:proofErr w:type="spellStart"/>
      <w:r w:rsidRPr="00E47A49">
        <w:rPr>
          <w:rFonts w:ascii="Twentieth Century" w:hAnsi="Twentieth Century"/>
          <w:sz w:val="22"/>
          <w:szCs w:val="22"/>
        </w:rPr>
        <w:t>pengambilan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sampel</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adalah</w:t>
      </w:r>
      <w:proofErr w:type="spellEnd"/>
      <w:r w:rsidRPr="00E47A49">
        <w:rPr>
          <w:rFonts w:ascii="Twentieth Century" w:hAnsi="Twentieth Century"/>
          <w:sz w:val="22"/>
          <w:szCs w:val="22"/>
        </w:rPr>
        <w:t xml:space="preserve"> Total Sampling </w:t>
      </w:r>
      <w:proofErr w:type="spellStart"/>
      <w:r w:rsidRPr="00E47A49">
        <w:rPr>
          <w:rFonts w:ascii="Twentieth Century" w:hAnsi="Twentieth Century"/>
          <w:sz w:val="22"/>
          <w:szCs w:val="22"/>
        </w:rPr>
        <w:t>dengan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memperhatikan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kriteria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inklusi</w:t>
      </w:r>
      <w:proofErr w:type="spellEnd"/>
      <w:r w:rsidRPr="00E47A49">
        <w:rPr>
          <w:rFonts w:ascii="Twentieth Century" w:hAnsi="Twentieth Century"/>
          <w:sz w:val="22"/>
          <w:szCs w:val="22"/>
        </w:rPr>
        <w:t xml:space="preserve"> dan </w:t>
      </w:r>
      <w:proofErr w:type="spellStart"/>
      <w:r w:rsidRPr="00E47A49">
        <w:rPr>
          <w:rFonts w:ascii="Twentieth Century" w:hAnsi="Twentieth Century"/>
          <w:sz w:val="22"/>
          <w:szCs w:val="22"/>
        </w:rPr>
        <w:t>ekslusi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sehingga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didapatkan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jumlah</w:t>
      </w:r>
      <w:proofErr w:type="spellEnd"/>
      <w:r w:rsidRPr="00E47A49">
        <w:rPr>
          <w:rFonts w:ascii="Twentieth Century" w:hAnsi="Twentieth Century"/>
          <w:sz w:val="22"/>
          <w:szCs w:val="22"/>
        </w:rPr>
        <w:t xml:space="preserve"> sample </w:t>
      </w:r>
      <w:proofErr w:type="spellStart"/>
      <w:r w:rsidRPr="00E47A49">
        <w:rPr>
          <w:rFonts w:ascii="Twentieth Century" w:hAnsi="Twentieth Century"/>
          <w:sz w:val="22"/>
          <w:szCs w:val="22"/>
        </w:rPr>
        <w:t>dalam</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penelitian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ini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adalah</w:t>
      </w:r>
      <w:proofErr w:type="spellEnd"/>
      <w:r w:rsidRPr="00E47A49">
        <w:rPr>
          <w:rFonts w:ascii="Twentieth Century" w:hAnsi="Twentieth Century"/>
          <w:sz w:val="22"/>
          <w:szCs w:val="22"/>
        </w:rPr>
        <w:t xml:space="preserve"> 50 </w:t>
      </w:r>
      <w:proofErr w:type="spellStart"/>
      <w:r w:rsidRPr="00E47A49">
        <w:rPr>
          <w:rFonts w:ascii="Twentieth Century" w:hAnsi="Twentieth Century"/>
          <w:sz w:val="22"/>
          <w:szCs w:val="22"/>
        </w:rPr>
        <w:t>siswi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kelas</w:t>
      </w:r>
      <w:proofErr w:type="spellEnd"/>
      <w:r w:rsidRPr="00E47A49">
        <w:rPr>
          <w:rFonts w:ascii="Twentieth Century" w:hAnsi="Twentieth Century"/>
          <w:sz w:val="22"/>
          <w:szCs w:val="22"/>
        </w:rPr>
        <w:t xml:space="preserve"> 4 di SDN 176 </w:t>
      </w:r>
      <w:proofErr w:type="spellStart"/>
      <w:r w:rsidRPr="00E47A49">
        <w:rPr>
          <w:rFonts w:ascii="Twentieth Century" w:hAnsi="Twentieth Century"/>
          <w:sz w:val="22"/>
          <w:szCs w:val="22"/>
        </w:rPr>
        <w:t>Pekanbaru</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Kriteria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ekslusi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adalah</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siswi</w:t>
      </w:r>
      <w:proofErr w:type="spellEnd"/>
      <w:r w:rsidRPr="00E47A49">
        <w:rPr>
          <w:rFonts w:ascii="Twentieth Century" w:hAnsi="Twentieth Century"/>
          <w:sz w:val="22"/>
          <w:szCs w:val="22"/>
        </w:rPr>
        <w:t xml:space="preserve"> yang </w:t>
      </w:r>
      <w:proofErr w:type="spellStart"/>
      <w:r w:rsidRPr="00E47A49">
        <w:rPr>
          <w:rFonts w:ascii="Twentieth Century" w:hAnsi="Twentieth Century"/>
          <w:sz w:val="22"/>
          <w:szCs w:val="22"/>
        </w:rPr>
        <w:t>telah</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haid</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tidak</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cemas</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tidak</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bisa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menulis</w:t>
      </w:r>
      <w:proofErr w:type="spellEnd"/>
      <w:r w:rsidRPr="00E47A49">
        <w:rPr>
          <w:rFonts w:ascii="Twentieth Century" w:hAnsi="Twentieth Century"/>
          <w:sz w:val="22"/>
          <w:szCs w:val="22"/>
        </w:rPr>
        <w:t xml:space="preserve"> dan </w:t>
      </w:r>
      <w:proofErr w:type="spellStart"/>
      <w:r w:rsidRPr="00E47A49">
        <w:rPr>
          <w:rFonts w:ascii="Twentieth Century" w:hAnsi="Twentieth Century"/>
          <w:sz w:val="22"/>
          <w:szCs w:val="22"/>
        </w:rPr>
        <w:t>membaca</w:t>
      </w:r>
      <w:proofErr w:type="spellEnd"/>
      <w:r w:rsidRPr="00E47A49">
        <w:rPr>
          <w:rFonts w:ascii="Twentieth Century" w:hAnsi="Twentieth Century"/>
          <w:sz w:val="22"/>
          <w:szCs w:val="22"/>
        </w:rPr>
        <w:t xml:space="preserve">. Teknik </w:t>
      </w:r>
      <w:proofErr w:type="spellStart"/>
      <w:r w:rsidRPr="00E47A49">
        <w:rPr>
          <w:rFonts w:ascii="Twentieth Century" w:hAnsi="Twentieth Century"/>
          <w:sz w:val="22"/>
          <w:szCs w:val="22"/>
        </w:rPr>
        <w:t>pengumpulan</w:t>
      </w:r>
      <w:proofErr w:type="spellEnd"/>
      <w:r w:rsidRPr="00E47A49">
        <w:rPr>
          <w:rFonts w:ascii="Twentieth Century" w:hAnsi="Twentieth Century"/>
          <w:sz w:val="22"/>
          <w:szCs w:val="22"/>
        </w:rPr>
        <w:t xml:space="preserve"> data </w:t>
      </w:r>
      <w:proofErr w:type="spellStart"/>
      <w:r w:rsidRPr="00E47A49">
        <w:rPr>
          <w:rFonts w:ascii="Twentieth Century" w:hAnsi="Twentieth Century"/>
          <w:sz w:val="22"/>
          <w:szCs w:val="22"/>
        </w:rPr>
        <w:t>menggunakan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kuesioner</w:t>
      </w:r>
      <w:proofErr w:type="spellEnd"/>
      <w:r w:rsidRPr="00E47A49">
        <w:rPr>
          <w:rFonts w:ascii="Twentieth Century" w:hAnsi="Twentieth Century"/>
          <w:sz w:val="22"/>
          <w:szCs w:val="22"/>
        </w:rPr>
        <w:t xml:space="preserve"> dan </w:t>
      </w:r>
      <w:proofErr w:type="spellStart"/>
      <w:r w:rsidRPr="00E47A49">
        <w:rPr>
          <w:rFonts w:ascii="Twentieth Century" w:hAnsi="Twentieth Century"/>
          <w:sz w:val="22"/>
          <w:szCs w:val="22"/>
        </w:rPr>
        <w:t>wawancara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terpimpin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Analisis</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Univariat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menggunakan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distribusi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frekuensi</w:t>
      </w:r>
      <w:proofErr w:type="spellEnd"/>
      <w:r w:rsidRPr="00E47A49">
        <w:rPr>
          <w:rFonts w:ascii="Twentieth Century" w:hAnsi="Twentieth Century"/>
          <w:sz w:val="22"/>
          <w:szCs w:val="22"/>
        </w:rPr>
        <w:t xml:space="preserve"> dan </w:t>
      </w:r>
      <w:proofErr w:type="spellStart"/>
      <w:r w:rsidRPr="00E47A49">
        <w:rPr>
          <w:rFonts w:ascii="Twentieth Century" w:hAnsi="Twentieth Century"/>
          <w:sz w:val="22"/>
          <w:szCs w:val="22"/>
        </w:rPr>
        <w:t>analisis</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Bivariat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menggunakan</w:t>
      </w:r>
      <w:proofErr w:type="spellEnd"/>
      <w:r w:rsidRPr="00E47A49">
        <w:rPr>
          <w:rFonts w:ascii="Twentieth Century" w:hAnsi="Twentieth Century"/>
          <w:sz w:val="22"/>
          <w:szCs w:val="22"/>
        </w:rPr>
        <w:t xml:space="preserve"> Uji Wilcoxon. </w:t>
      </w:r>
      <w:proofErr w:type="spellStart"/>
      <w:r w:rsidRPr="00E47A49">
        <w:rPr>
          <w:rFonts w:ascii="Twentieth Century" w:hAnsi="Twentieth Century"/>
          <w:sz w:val="22"/>
          <w:szCs w:val="22"/>
        </w:rPr>
        <w:t>Penelitian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ini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telah</w:t>
      </w:r>
      <w:proofErr w:type="spellEnd"/>
      <w:r w:rsidRPr="00E47A49">
        <w:rPr>
          <w:rFonts w:ascii="Twentieth Century" w:hAnsi="Twentieth Century"/>
          <w:sz w:val="22"/>
          <w:szCs w:val="22"/>
        </w:rPr>
        <w:t xml:space="preserve"> lulus </w:t>
      </w:r>
      <w:proofErr w:type="spellStart"/>
      <w:r w:rsidRPr="00E47A49">
        <w:rPr>
          <w:rFonts w:ascii="Twentieth Century" w:hAnsi="Twentieth Century"/>
          <w:sz w:val="22"/>
          <w:szCs w:val="22"/>
        </w:rPr>
        <w:t>kaji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Etik</w:t>
      </w:r>
      <w:proofErr w:type="spellEnd"/>
      <w:r w:rsidRPr="00E47A49">
        <w:rPr>
          <w:rFonts w:ascii="Twentieth Century" w:hAnsi="Twentieth Century"/>
          <w:sz w:val="22"/>
          <w:szCs w:val="22"/>
        </w:rPr>
        <w:t xml:space="preserve"> oleh KEPK </w:t>
      </w:r>
      <w:proofErr w:type="spellStart"/>
      <w:r w:rsidRPr="00E47A49">
        <w:rPr>
          <w:rFonts w:ascii="Twentieth Century" w:hAnsi="Twentieth Century"/>
          <w:sz w:val="22"/>
          <w:szCs w:val="22"/>
        </w:rPr>
        <w:t>Poltekkes</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Kemenkes</w:t>
      </w:r>
      <w:proofErr w:type="spellEnd"/>
      <w:r w:rsidRPr="00E47A49">
        <w:rPr>
          <w:rFonts w:ascii="Twentieth Century" w:hAnsi="Twentieth Century"/>
          <w:sz w:val="22"/>
          <w:szCs w:val="22"/>
        </w:rPr>
        <w:t xml:space="preserve"> Riau </w:t>
      </w:r>
      <w:proofErr w:type="spellStart"/>
      <w:r w:rsidRPr="00E47A49">
        <w:rPr>
          <w:rFonts w:ascii="Twentieth Century" w:hAnsi="Twentieth Century"/>
          <w:sz w:val="22"/>
          <w:szCs w:val="22"/>
        </w:rPr>
        <w:t>dengan</w:t>
      </w:r>
      <w:proofErr w:type="spellEnd"/>
      <w:r w:rsidRPr="00E47A49">
        <w:rPr>
          <w:rFonts w:ascii="Twentieth Century" w:hAnsi="Twentieth Century"/>
          <w:sz w:val="22"/>
          <w:szCs w:val="22"/>
        </w:rPr>
        <w:t xml:space="preserve"> No LB.02.03/6/05/2022.</w:t>
      </w:r>
    </w:p>
    <w:p w14:paraId="5FDD26F7" w14:textId="77777777" w:rsidR="00EB58C7" w:rsidRPr="00E47A49" w:rsidRDefault="00EB58C7">
      <w:pPr>
        <w:tabs>
          <w:tab w:val="left" w:pos="426"/>
        </w:tabs>
        <w:spacing w:after="0"/>
        <w:jc w:val="both"/>
        <w:rPr>
          <w:rFonts w:ascii="Twentieth Century" w:eastAsia="Twentieth Century" w:hAnsi="Twentieth Century" w:cs="Twentieth Century"/>
          <w:sz w:val="22"/>
          <w:szCs w:val="22"/>
        </w:rPr>
      </w:pPr>
    </w:p>
    <w:p w14:paraId="422CBE3A" w14:textId="77777777" w:rsidR="00FD35AB" w:rsidRPr="00E47A49" w:rsidRDefault="00BE3CDC">
      <w:pPr>
        <w:tabs>
          <w:tab w:val="left" w:pos="426"/>
        </w:tabs>
        <w:spacing w:after="0"/>
        <w:jc w:val="both"/>
        <w:rPr>
          <w:rFonts w:ascii="Twentieth Century" w:eastAsia="Twentieth Century" w:hAnsi="Twentieth Century" w:cs="Twentieth Century"/>
          <w:b/>
          <w:sz w:val="22"/>
          <w:szCs w:val="22"/>
        </w:rPr>
      </w:pPr>
      <w:r w:rsidRPr="00E47A49">
        <w:rPr>
          <w:rFonts w:ascii="Twentieth Century" w:eastAsia="Twentieth Century" w:hAnsi="Twentieth Century" w:cs="Twentieth Century"/>
          <w:b/>
          <w:sz w:val="22"/>
          <w:szCs w:val="22"/>
        </w:rPr>
        <w:t>HASIL DAN PEMBAHASAN</w:t>
      </w:r>
    </w:p>
    <w:p w14:paraId="498A9182" w14:textId="77777777" w:rsidR="00EB58C7" w:rsidRPr="00E47A49" w:rsidRDefault="00EB58C7" w:rsidP="00EB58C7">
      <w:pPr>
        <w:pStyle w:val="TeksKomentar"/>
        <w:jc w:val="both"/>
        <w:rPr>
          <w:rFonts w:ascii="Twentieth Century" w:hAnsi="Twentieth Century"/>
          <w:b/>
          <w:sz w:val="22"/>
          <w:szCs w:val="22"/>
          <w:lang w:val="en-US"/>
        </w:rPr>
      </w:pPr>
      <w:r w:rsidRPr="00E47A49">
        <w:rPr>
          <w:rFonts w:ascii="Twentieth Century" w:hAnsi="Twentieth Century"/>
          <w:b/>
          <w:sz w:val="22"/>
          <w:szCs w:val="22"/>
          <w:lang w:val="en-US"/>
        </w:rPr>
        <w:t>HASIL</w:t>
      </w:r>
    </w:p>
    <w:p w14:paraId="63FD0B48" w14:textId="77777777" w:rsidR="00EB58C7" w:rsidRPr="00E47A49" w:rsidRDefault="00EB58C7" w:rsidP="00EB58C7">
      <w:pPr>
        <w:pStyle w:val="TeksKomentar"/>
        <w:jc w:val="both"/>
        <w:rPr>
          <w:rFonts w:ascii="Twentieth Century" w:hAnsi="Twentieth Century"/>
          <w:sz w:val="22"/>
          <w:szCs w:val="22"/>
          <w:lang w:val="en-US"/>
        </w:rPr>
      </w:pPr>
    </w:p>
    <w:p w14:paraId="7DA6A7F0" w14:textId="77777777" w:rsidR="00FD35AB" w:rsidRPr="00E47A49" w:rsidRDefault="00EB58C7" w:rsidP="00EB58C7">
      <w:pPr>
        <w:pStyle w:val="TeksKomentar"/>
        <w:jc w:val="both"/>
        <w:rPr>
          <w:rFonts w:ascii="Twentieth Century" w:hAnsi="Twentieth Century"/>
          <w:sz w:val="22"/>
          <w:szCs w:val="22"/>
          <w:lang w:val="en-US"/>
        </w:rPr>
      </w:pPr>
      <w:r w:rsidRPr="00E47A49">
        <w:rPr>
          <w:rFonts w:ascii="Twentieth Century" w:hAnsi="Twentieth Century"/>
          <w:sz w:val="22"/>
          <w:szCs w:val="22"/>
        </w:rPr>
        <w:t xml:space="preserve">Hasil analisis </w:t>
      </w:r>
      <w:proofErr w:type="spellStart"/>
      <w:r w:rsidRPr="00E47A49">
        <w:rPr>
          <w:rFonts w:ascii="Twentieth Century" w:hAnsi="Twentieth Century"/>
          <w:sz w:val="22"/>
          <w:szCs w:val="22"/>
        </w:rPr>
        <w:t>univariat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lang w:val="en-US"/>
        </w:rPr>
        <w:t>disajikan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dalam</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tabel</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distribusi</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frekuensi</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Berdasarkan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Tabel</w:t>
      </w:r>
      <w:proofErr w:type="spellEnd"/>
      <w:r w:rsidRPr="00E47A49">
        <w:rPr>
          <w:rFonts w:ascii="Twentieth Century" w:hAnsi="Twentieth Century"/>
          <w:sz w:val="22"/>
          <w:szCs w:val="22"/>
          <w:lang w:val="en-US"/>
        </w:rPr>
        <w:t xml:space="preserve"> 1 </w:t>
      </w:r>
      <w:r w:rsidRPr="00E47A49">
        <w:rPr>
          <w:rFonts w:ascii="Twentieth Century" w:hAnsi="Twentieth Century"/>
          <w:sz w:val="22"/>
          <w:szCs w:val="22"/>
        </w:rPr>
        <w:t>didapatkan bahwa sebagian besar responden berada pada usia 11 tahun</w:t>
      </w:r>
      <w:r w:rsidRPr="00E47A49">
        <w:rPr>
          <w:rFonts w:ascii="Twentieth Century" w:hAnsi="Twentieth Century"/>
          <w:sz w:val="22"/>
          <w:szCs w:val="22"/>
          <w:lang w:val="en-US"/>
        </w:rPr>
        <w:t xml:space="preserve">, 0 </w:t>
      </w:r>
      <w:proofErr w:type="spellStart"/>
      <w:r w:rsidRPr="00E47A49">
        <w:rPr>
          <w:rFonts w:ascii="Twentieth Century" w:hAnsi="Twentieth Century"/>
          <w:sz w:val="22"/>
          <w:szCs w:val="22"/>
          <w:lang w:val="en-US"/>
        </w:rPr>
        <w:t>bulan</w:t>
      </w:r>
      <w:proofErr w:type="spellEnd"/>
      <w:r w:rsidRPr="00E47A49">
        <w:rPr>
          <w:rFonts w:ascii="Twentieth Century" w:hAnsi="Twentieth Century"/>
          <w:sz w:val="22"/>
          <w:szCs w:val="22"/>
        </w:rPr>
        <w:t xml:space="preserve"> (64%)</w:t>
      </w:r>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Untuk</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lebih</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lengkapnya</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dapat</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dilihat</w:t>
      </w:r>
      <w:proofErr w:type="spellEnd"/>
      <w:r w:rsidRPr="00E47A49">
        <w:rPr>
          <w:rFonts w:ascii="Twentieth Century" w:hAnsi="Twentieth Century"/>
          <w:sz w:val="22"/>
          <w:szCs w:val="22"/>
          <w:lang w:val="en-US"/>
        </w:rPr>
        <w:t xml:space="preserve"> pada </w:t>
      </w:r>
      <w:proofErr w:type="spellStart"/>
      <w:r w:rsidRPr="00E47A49">
        <w:rPr>
          <w:rFonts w:ascii="Twentieth Century" w:hAnsi="Twentieth Century"/>
          <w:sz w:val="22"/>
          <w:szCs w:val="22"/>
          <w:lang w:val="en-US"/>
        </w:rPr>
        <w:t>tabel</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sebagai</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berikut</w:t>
      </w:r>
      <w:proofErr w:type="spellEnd"/>
      <w:r w:rsidRPr="00E47A49">
        <w:rPr>
          <w:rFonts w:ascii="Twentieth Century" w:hAnsi="Twentieth Century"/>
          <w:sz w:val="22"/>
          <w:szCs w:val="22"/>
          <w:lang w:val="en-US"/>
        </w:rPr>
        <w:t>:</w:t>
      </w:r>
    </w:p>
    <w:p w14:paraId="7D8599C5" w14:textId="77777777" w:rsidR="00FD35AB" w:rsidRPr="00E47A49" w:rsidRDefault="00FD35AB">
      <w:pPr>
        <w:tabs>
          <w:tab w:val="left" w:pos="426"/>
        </w:tabs>
        <w:spacing w:after="0"/>
        <w:jc w:val="both"/>
        <w:rPr>
          <w:rFonts w:ascii="Twentieth Century" w:eastAsia="Twentieth Century" w:hAnsi="Twentieth Century" w:cs="Twentieth Century"/>
          <w:sz w:val="22"/>
          <w:szCs w:val="22"/>
        </w:rPr>
      </w:pPr>
    </w:p>
    <w:p w14:paraId="096916E0" w14:textId="77777777" w:rsidR="00FD35AB" w:rsidRPr="00E47A49" w:rsidRDefault="00EB58C7">
      <w:pPr>
        <w:spacing w:after="0" w:line="240" w:lineRule="auto"/>
        <w:jc w:val="center"/>
        <w:rPr>
          <w:rFonts w:ascii="Twentieth Century" w:eastAsia="Twentieth Century" w:hAnsi="Twentieth Century" w:cs="Twentieth Century"/>
          <w:sz w:val="22"/>
          <w:szCs w:val="22"/>
        </w:rPr>
      </w:pPr>
      <w:proofErr w:type="spellStart"/>
      <w:r w:rsidRPr="00E47A49">
        <w:rPr>
          <w:rFonts w:ascii="Twentieth Century" w:eastAsia="Twentieth Century" w:hAnsi="Twentieth Century" w:cs="Twentieth Century"/>
          <w:sz w:val="22"/>
          <w:szCs w:val="22"/>
        </w:rPr>
        <w:t>Tabel</w:t>
      </w:r>
      <w:proofErr w:type="spellEnd"/>
      <w:r w:rsidRPr="00E47A49">
        <w:rPr>
          <w:rFonts w:ascii="Twentieth Century" w:eastAsia="Twentieth Century" w:hAnsi="Twentieth Century" w:cs="Twentieth Century"/>
          <w:sz w:val="22"/>
          <w:szCs w:val="22"/>
        </w:rPr>
        <w:t xml:space="preserve"> 1</w:t>
      </w:r>
      <w:r w:rsidR="00BE3CDC" w:rsidRPr="00E47A49">
        <w:rPr>
          <w:rFonts w:ascii="Twentieth Century" w:eastAsia="Twentieth Century" w:hAnsi="Twentieth Century" w:cs="Twentieth Century"/>
          <w:sz w:val="22"/>
          <w:szCs w:val="22"/>
        </w:rPr>
        <w:t xml:space="preserve">. </w:t>
      </w:r>
      <w:proofErr w:type="spellStart"/>
      <w:r w:rsidRPr="00E47A49">
        <w:rPr>
          <w:rFonts w:ascii="Twentieth Century" w:eastAsia="Twentieth Century" w:hAnsi="Twentieth Century" w:cs="Twentieth Century"/>
          <w:sz w:val="22"/>
          <w:szCs w:val="22"/>
        </w:rPr>
        <w:t>Distribusi</w:t>
      </w:r>
      <w:proofErr w:type="spellEnd"/>
      <w:r w:rsidRPr="00E47A49">
        <w:rPr>
          <w:rFonts w:ascii="Twentieth Century" w:eastAsia="Twentieth Century" w:hAnsi="Twentieth Century" w:cs="Twentieth Century"/>
          <w:sz w:val="22"/>
          <w:szCs w:val="22"/>
        </w:rPr>
        <w:t xml:space="preserve"> </w:t>
      </w:r>
      <w:proofErr w:type="spellStart"/>
      <w:r w:rsidRPr="00E47A49">
        <w:rPr>
          <w:rFonts w:ascii="Twentieth Century" w:eastAsia="Twentieth Century" w:hAnsi="Twentieth Century" w:cs="Twentieth Century"/>
          <w:sz w:val="22"/>
          <w:szCs w:val="22"/>
        </w:rPr>
        <w:t>Frekuensi</w:t>
      </w:r>
      <w:proofErr w:type="spellEnd"/>
      <w:r w:rsidRPr="00E47A49">
        <w:rPr>
          <w:rFonts w:ascii="Twentieth Century" w:eastAsia="Twentieth Century" w:hAnsi="Twentieth Century" w:cs="Twentieth Century"/>
          <w:sz w:val="22"/>
          <w:szCs w:val="22"/>
        </w:rPr>
        <w:t xml:space="preserve"> </w:t>
      </w:r>
      <w:proofErr w:type="spellStart"/>
      <w:r w:rsidRPr="00E47A49">
        <w:rPr>
          <w:rFonts w:ascii="Twentieth Century" w:eastAsia="Twentieth Century" w:hAnsi="Twentieth Century" w:cs="Twentieth Century"/>
          <w:sz w:val="22"/>
          <w:szCs w:val="22"/>
        </w:rPr>
        <w:t>Umur</w:t>
      </w:r>
      <w:proofErr w:type="spellEnd"/>
      <w:r w:rsidRPr="00E47A49">
        <w:rPr>
          <w:rFonts w:ascii="Twentieth Century" w:eastAsia="Twentieth Century" w:hAnsi="Twentieth Century" w:cs="Twentieth Century"/>
          <w:sz w:val="22"/>
          <w:szCs w:val="22"/>
        </w:rPr>
        <w:t xml:space="preserve"> </w:t>
      </w:r>
      <w:proofErr w:type="spellStart"/>
      <w:r w:rsidRPr="00E47A49">
        <w:rPr>
          <w:rFonts w:ascii="Twentieth Century" w:eastAsia="Twentieth Century" w:hAnsi="Twentieth Century" w:cs="Twentieth Century"/>
          <w:sz w:val="22"/>
          <w:szCs w:val="22"/>
        </w:rPr>
        <w:t>Responden</w:t>
      </w:r>
      <w:proofErr w:type="spellEnd"/>
      <w:r w:rsidRPr="00E47A49">
        <w:rPr>
          <w:rFonts w:ascii="Twentieth Century" w:eastAsia="Twentieth Century" w:hAnsi="Twentieth Century" w:cs="Twentieth Century"/>
          <w:sz w:val="22"/>
          <w:szCs w:val="22"/>
        </w:rPr>
        <w:t xml:space="preserve"> (n=50)</w:t>
      </w:r>
    </w:p>
    <w:tbl>
      <w:tblPr>
        <w:tblStyle w:val="a0"/>
        <w:tblW w:w="4131" w:type="dxa"/>
        <w:jc w:val="center"/>
        <w:tblBorders>
          <w:top w:val="single" w:sz="4" w:space="0" w:color="000000"/>
          <w:bottom w:val="single" w:sz="4" w:space="0" w:color="000000"/>
        </w:tblBorders>
        <w:tblLayout w:type="fixed"/>
        <w:tblLook w:val="0000" w:firstRow="0" w:lastRow="0" w:firstColumn="0" w:lastColumn="0" w:noHBand="0" w:noVBand="0"/>
      </w:tblPr>
      <w:tblGrid>
        <w:gridCol w:w="1951"/>
        <w:gridCol w:w="1343"/>
        <w:gridCol w:w="837"/>
      </w:tblGrid>
      <w:tr w:rsidR="00FD35AB" w:rsidRPr="00E47A49" w14:paraId="76A8FD8B" w14:textId="77777777" w:rsidTr="00E47A49">
        <w:trPr>
          <w:trHeight w:val="257"/>
          <w:jc w:val="center"/>
        </w:trPr>
        <w:tc>
          <w:tcPr>
            <w:tcW w:w="1951" w:type="dxa"/>
            <w:tcBorders>
              <w:top w:val="single" w:sz="4" w:space="0" w:color="000000"/>
              <w:bottom w:val="single" w:sz="4" w:space="0" w:color="000000"/>
            </w:tcBorders>
            <w:vAlign w:val="center"/>
          </w:tcPr>
          <w:p w14:paraId="1F9F500A" w14:textId="77777777" w:rsidR="00FD35AB" w:rsidRPr="00E47A49" w:rsidRDefault="00EB58C7">
            <w:pPr>
              <w:spacing w:after="0" w:line="240" w:lineRule="auto"/>
              <w:jc w:val="both"/>
              <w:rPr>
                <w:rFonts w:ascii="Twentieth Century" w:eastAsia="Twentieth Century" w:hAnsi="Twentieth Century" w:cs="Twentieth Century"/>
                <w:sz w:val="22"/>
                <w:szCs w:val="22"/>
              </w:rPr>
            </w:pPr>
            <w:proofErr w:type="spellStart"/>
            <w:r w:rsidRPr="00E47A49">
              <w:rPr>
                <w:rFonts w:ascii="Twentieth Century" w:eastAsia="Twentieth Century" w:hAnsi="Twentieth Century" w:cs="Twentieth Century"/>
                <w:sz w:val="22"/>
                <w:szCs w:val="22"/>
              </w:rPr>
              <w:t>Umur</w:t>
            </w:r>
            <w:proofErr w:type="spellEnd"/>
          </w:p>
        </w:tc>
        <w:tc>
          <w:tcPr>
            <w:tcW w:w="1343" w:type="dxa"/>
            <w:tcBorders>
              <w:top w:val="single" w:sz="4" w:space="0" w:color="000000"/>
              <w:bottom w:val="single" w:sz="4" w:space="0" w:color="000000"/>
            </w:tcBorders>
            <w:vAlign w:val="center"/>
          </w:tcPr>
          <w:p w14:paraId="3DCE601B" w14:textId="77777777" w:rsidR="00FD35AB" w:rsidRPr="00E47A49" w:rsidRDefault="00EB58C7" w:rsidP="00E47A49">
            <w:pPr>
              <w:spacing w:after="0" w:line="240" w:lineRule="auto"/>
              <w:jc w:val="center"/>
              <w:rPr>
                <w:rFonts w:ascii="Twentieth Century" w:eastAsia="Twentieth Century" w:hAnsi="Twentieth Century" w:cs="Twentieth Century"/>
                <w:sz w:val="22"/>
                <w:szCs w:val="22"/>
              </w:rPr>
            </w:pPr>
            <w:proofErr w:type="spellStart"/>
            <w:r w:rsidRPr="00E47A49">
              <w:rPr>
                <w:rFonts w:ascii="Twentieth Century" w:eastAsia="Twentieth Century" w:hAnsi="Twentieth Century" w:cs="Twentieth Century"/>
                <w:sz w:val="22"/>
                <w:szCs w:val="22"/>
              </w:rPr>
              <w:t>Frekuensi</w:t>
            </w:r>
            <w:proofErr w:type="spellEnd"/>
          </w:p>
        </w:tc>
        <w:tc>
          <w:tcPr>
            <w:tcW w:w="837" w:type="dxa"/>
            <w:tcBorders>
              <w:top w:val="single" w:sz="4" w:space="0" w:color="000000"/>
              <w:bottom w:val="single" w:sz="4" w:space="0" w:color="000000"/>
            </w:tcBorders>
            <w:vAlign w:val="center"/>
          </w:tcPr>
          <w:p w14:paraId="3149C8CC" w14:textId="77777777" w:rsidR="00FD35AB" w:rsidRPr="00E47A49" w:rsidRDefault="00EB58C7" w:rsidP="00E47A49">
            <w:pPr>
              <w:spacing w:after="0" w:line="240" w:lineRule="auto"/>
              <w:jc w:val="center"/>
              <w:rPr>
                <w:rFonts w:ascii="Twentieth Century" w:eastAsia="Twentieth Century" w:hAnsi="Twentieth Century" w:cs="Twentieth Century"/>
                <w:sz w:val="22"/>
                <w:szCs w:val="22"/>
              </w:rPr>
            </w:pPr>
            <w:r w:rsidRPr="00E47A49">
              <w:rPr>
                <w:rFonts w:ascii="Twentieth Century" w:eastAsia="Twentieth Century" w:hAnsi="Twentieth Century" w:cs="Twentieth Century"/>
                <w:sz w:val="22"/>
                <w:szCs w:val="22"/>
              </w:rPr>
              <w:t>%</w:t>
            </w:r>
          </w:p>
        </w:tc>
      </w:tr>
      <w:tr w:rsidR="00FD35AB" w:rsidRPr="00E47A49" w14:paraId="77AF3BA4" w14:textId="77777777" w:rsidTr="00E47A49">
        <w:trPr>
          <w:trHeight w:val="284"/>
          <w:jc w:val="center"/>
        </w:trPr>
        <w:tc>
          <w:tcPr>
            <w:tcW w:w="1951" w:type="dxa"/>
          </w:tcPr>
          <w:p w14:paraId="4C13A99E" w14:textId="77777777" w:rsidR="00FD35AB" w:rsidRPr="00E47A49" w:rsidRDefault="00EB58C7">
            <w:pPr>
              <w:spacing w:after="0" w:line="240" w:lineRule="auto"/>
              <w:jc w:val="both"/>
              <w:rPr>
                <w:rFonts w:ascii="Twentieth Century" w:eastAsia="Twentieth Century" w:hAnsi="Twentieth Century" w:cs="Twentieth Century"/>
                <w:sz w:val="22"/>
                <w:szCs w:val="22"/>
              </w:rPr>
            </w:pPr>
            <w:r w:rsidRPr="00E47A49">
              <w:rPr>
                <w:rFonts w:ascii="Twentieth Century" w:eastAsia="Twentieth Century" w:hAnsi="Twentieth Century" w:cs="Twentieth Century"/>
                <w:sz w:val="22"/>
                <w:szCs w:val="22"/>
              </w:rPr>
              <w:t xml:space="preserve">10 </w:t>
            </w:r>
            <w:proofErr w:type="spellStart"/>
            <w:r w:rsidRPr="00E47A49">
              <w:rPr>
                <w:rFonts w:ascii="Twentieth Century" w:eastAsia="Twentieth Century" w:hAnsi="Twentieth Century" w:cs="Twentieth Century"/>
                <w:sz w:val="22"/>
                <w:szCs w:val="22"/>
              </w:rPr>
              <w:t>tahun</w:t>
            </w:r>
            <w:proofErr w:type="spellEnd"/>
            <w:r w:rsidRPr="00E47A49">
              <w:rPr>
                <w:rFonts w:ascii="Twentieth Century" w:eastAsia="Twentieth Century" w:hAnsi="Twentieth Century" w:cs="Twentieth Century"/>
                <w:sz w:val="22"/>
                <w:szCs w:val="22"/>
              </w:rPr>
              <w:t xml:space="preserve"> 6 </w:t>
            </w:r>
            <w:proofErr w:type="spellStart"/>
            <w:r w:rsidRPr="00E47A49">
              <w:rPr>
                <w:rFonts w:ascii="Twentieth Century" w:eastAsia="Twentieth Century" w:hAnsi="Twentieth Century" w:cs="Twentieth Century"/>
                <w:sz w:val="22"/>
                <w:szCs w:val="22"/>
              </w:rPr>
              <w:t>bulan</w:t>
            </w:r>
            <w:proofErr w:type="spellEnd"/>
          </w:p>
        </w:tc>
        <w:tc>
          <w:tcPr>
            <w:tcW w:w="1343" w:type="dxa"/>
          </w:tcPr>
          <w:p w14:paraId="295EF06F" w14:textId="77777777" w:rsidR="00FD35AB" w:rsidRPr="00E47A49" w:rsidRDefault="00EB58C7" w:rsidP="00E47A49">
            <w:pPr>
              <w:spacing w:after="0" w:line="240" w:lineRule="auto"/>
              <w:jc w:val="center"/>
              <w:rPr>
                <w:rFonts w:ascii="Twentieth Century" w:eastAsia="Twentieth Century" w:hAnsi="Twentieth Century" w:cs="Twentieth Century"/>
                <w:sz w:val="22"/>
                <w:szCs w:val="22"/>
              </w:rPr>
            </w:pPr>
            <w:r w:rsidRPr="00E47A49">
              <w:rPr>
                <w:rFonts w:ascii="Twentieth Century" w:eastAsia="Twentieth Century" w:hAnsi="Twentieth Century" w:cs="Twentieth Century"/>
                <w:sz w:val="22"/>
                <w:szCs w:val="22"/>
              </w:rPr>
              <w:t>10</w:t>
            </w:r>
          </w:p>
        </w:tc>
        <w:tc>
          <w:tcPr>
            <w:tcW w:w="837" w:type="dxa"/>
          </w:tcPr>
          <w:p w14:paraId="3A3AAA97" w14:textId="77777777" w:rsidR="00FD35AB" w:rsidRPr="00E47A49" w:rsidRDefault="00EB58C7" w:rsidP="00E47A49">
            <w:pPr>
              <w:spacing w:after="0" w:line="240" w:lineRule="auto"/>
              <w:jc w:val="center"/>
              <w:rPr>
                <w:rFonts w:ascii="Twentieth Century" w:eastAsia="Twentieth Century" w:hAnsi="Twentieth Century" w:cs="Twentieth Century"/>
                <w:sz w:val="22"/>
                <w:szCs w:val="22"/>
              </w:rPr>
            </w:pPr>
            <w:r w:rsidRPr="00E47A49">
              <w:rPr>
                <w:rFonts w:ascii="Twentieth Century" w:eastAsia="Twentieth Century" w:hAnsi="Twentieth Century" w:cs="Twentieth Century"/>
                <w:sz w:val="22"/>
                <w:szCs w:val="22"/>
              </w:rPr>
              <w:t>20</w:t>
            </w:r>
          </w:p>
        </w:tc>
      </w:tr>
      <w:tr w:rsidR="00FD35AB" w:rsidRPr="00E47A49" w14:paraId="1A44B2DB" w14:textId="77777777" w:rsidTr="00E47A49">
        <w:trPr>
          <w:trHeight w:val="284"/>
          <w:jc w:val="center"/>
        </w:trPr>
        <w:tc>
          <w:tcPr>
            <w:tcW w:w="1951" w:type="dxa"/>
          </w:tcPr>
          <w:p w14:paraId="18900C26" w14:textId="77777777" w:rsidR="00FD35AB" w:rsidRPr="00E47A49" w:rsidRDefault="00EB58C7">
            <w:pPr>
              <w:spacing w:after="0" w:line="240" w:lineRule="auto"/>
              <w:jc w:val="both"/>
              <w:rPr>
                <w:rFonts w:ascii="Twentieth Century" w:eastAsia="Twentieth Century" w:hAnsi="Twentieth Century" w:cs="Twentieth Century"/>
                <w:sz w:val="22"/>
                <w:szCs w:val="22"/>
              </w:rPr>
            </w:pPr>
            <w:r w:rsidRPr="00E47A49">
              <w:rPr>
                <w:rFonts w:ascii="Twentieth Century" w:eastAsia="Twentieth Century" w:hAnsi="Twentieth Century" w:cs="Twentieth Century"/>
                <w:sz w:val="22"/>
                <w:szCs w:val="22"/>
              </w:rPr>
              <w:t xml:space="preserve">11 </w:t>
            </w:r>
            <w:proofErr w:type="spellStart"/>
            <w:r w:rsidRPr="00E47A49">
              <w:rPr>
                <w:rFonts w:ascii="Twentieth Century" w:eastAsia="Twentieth Century" w:hAnsi="Twentieth Century" w:cs="Twentieth Century"/>
                <w:sz w:val="22"/>
                <w:szCs w:val="22"/>
              </w:rPr>
              <w:t>tahun</w:t>
            </w:r>
            <w:proofErr w:type="spellEnd"/>
            <w:r w:rsidRPr="00E47A49">
              <w:rPr>
                <w:rFonts w:ascii="Twentieth Century" w:eastAsia="Twentieth Century" w:hAnsi="Twentieth Century" w:cs="Twentieth Century"/>
                <w:sz w:val="22"/>
                <w:szCs w:val="22"/>
              </w:rPr>
              <w:t xml:space="preserve"> 0 </w:t>
            </w:r>
            <w:proofErr w:type="spellStart"/>
            <w:r w:rsidRPr="00E47A49">
              <w:rPr>
                <w:rFonts w:ascii="Twentieth Century" w:eastAsia="Twentieth Century" w:hAnsi="Twentieth Century" w:cs="Twentieth Century"/>
                <w:sz w:val="22"/>
                <w:szCs w:val="22"/>
              </w:rPr>
              <w:t>bulan</w:t>
            </w:r>
            <w:proofErr w:type="spellEnd"/>
          </w:p>
        </w:tc>
        <w:tc>
          <w:tcPr>
            <w:tcW w:w="1343" w:type="dxa"/>
          </w:tcPr>
          <w:p w14:paraId="692ED429" w14:textId="77777777" w:rsidR="00FD35AB" w:rsidRPr="00E47A49" w:rsidRDefault="00EB58C7" w:rsidP="00E47A49">
            <w:pPr>
              <w:spacing w:after="0" w:line="240" w:lineRule="auto"/>
              <w:jc w:val="center"/>
              <w:rPr>
                <w:rFonts w:ascii="Twentieth Century" w:eastAsia="Twentieth Century" w:hAnsi="Twentieth Century" w:cs="Twentieth Century"/>
                <w:sz w:val="22"/>
                <w:szCs w:val="22"/>
              </w:rPr>
            </w:pPr>
            <w:r w:rsidRPr="00E47A49">
              <w:rPr>
                <w:rFonts w:ascii="Twentieth Century" w:eastAsia="Twentieth Century" w:hAnsi="Twentieth Century" w:cs="Twentieth Century"/>
                <w:sz w:val="22"/>
                <w:szCs w:val="22"/>
              </w:rPr>
              <w:t>32</w:t>
            </w:r>
          </w:p>
        </w:tc>
        <w:tc>
          <w:tcPr>
            <w:tcW w:w="837" w:type="dxa"/>
          </w:tcPr>
          <w:p w14:paraId="448E183D" w14:textId="77777777" w:rsidR="00FD35AB" w:rsidRPr="00E47A49" w:rsidRDefault="00EB58C7" w:rsidP="00E47A49">
            <w:pPr>
              <w:spacing w:after="0" w:line="240" w:lineRule="auto"/>
              <w:jc w:val="center"/>
              <w:rPr>
                <w:rFonts w:ascii="Twentieth Century" w:eastAsia="Twentieth Century" w:hAnsi="Twentieth Century" w:cs="Twentieth Century"/>
                <w:sz w:val="22"/>
                <w:szCs w:val="22"/>
              </w:rPr>
            </w:pPr>
            <w:r w:rsidRPr="00E47A49">
              <w:rPr>
                <w:rFonts w:ascii="Twentieth Century" w:eastAsia="Twentieth Century" w:hAnsi="Twentieth Century" w:cs="Twentieth Century"/>
                <w:sz w:val="22"/>
                <w:szCs w:val="22"/>
              </w:rPr>
              <w:t>64</w:t>
            </w:r>
          </w:p>
        </w:tc>
      </w:tr>
      <w:tr w:rsidR="00FD35AB" w:rsidRPr="00E47A49" w14:paraId="61438F33" w14:textId="77777777" w:rsidTr="00E47A49">
        <w:trPr>
          <w:trHeight w:val="284"/>
          <w:jc w:val="center"/>
        </w:trPr>
        <w:tc>
          <w:tcPr>
            <w:tcW w:w="1951" w:type="dxa"/>
          </w:tcPr>
          <w:p w14:paraId="588E351A" w14:textId="77777777" w:rsidR="00FD35AB" w:rsidRPr="00E47A49" w:rsidRDefault="00EB58C7">
            <w:pPr>
              <w:spacing w:after="0" w:line="240" w:lineRule="auto"/>
              <w:jc w:val="both"/>
              <w:rPr>
                <w:rFonts w:ascii="Twentieth Century" w:eastAsia="Twentieth Century" w:hAnsi="Twentieth Century" w:cs="Twentieth Century"/>
                <w:sz w:val="22"/>
                <w:szCs w:val="22"/>
              </w:rPr>
            </w:pPr>
            <w:r w:rsidRPr="00E47A49">
              <w:rPr>
                <w:rFonts w:ascii="Twentieth Century" w:eastAsia="Twentieth Century" w:hAnsi="Twentieth Century" w:cs="Twentieth Century"/>
                <w:sz w:val="22"/>
                <w:szCs w:val="22"/>
              </w:rPr>
              <w:t xml:space="preserve">11 </w:t>
            </w:r>
            <w:proofErr w:type="spellStart"/>
            <w:r w:rsidRPr="00E47A49">
              <w:rPr>
                <w:rFonts w:ascii="Twentieth Century" w:eastAsia="Twentieth Century" w:hAnsi="Twentieth Century" w:cs="Twentieth Century"/>
                <w:sz w:val="22"/>
                <w:szCs w:val="22"/>
              </w:rPr>
              <w:t>tahun</w:t>
            </w:r>
            <w:proofErr w:type="spellEnd"/>
            <w:r w:rsidRPr="00E47A49">
              <w:rPr>
                <w:rFonts w:ascii="Twentieth Century" w:eastAsia="Twentieth Century" w:hAnsi="Twentieth Century" w:cs="Twentieth Century"/>
                <w:sz w:val="22"/>
                <w:szCs w:val="22"/>
              </w:rPr>
              <w:t xml:space="preserve"> 6 </w:t>
            </w:r>
            <w:proofErr w:type="spellStart"/>
            <w:r w:rsidRPr="00E47A49">
              <w:rPr>
                <w:rFonts w:ascii="Twentieth Century" w:eastAsia="Twentieth Century" w:hAnsi="Twentieth Century" w:cs="Twentieth Century"/>
                <w:sz w:val="22"/>
                <w:szCs w:val="22"/>
              </w:rPr>
              <w:t>bulan</w:t>
            </w:r>
            <w:proofErr w:type="spellEnd"/>
          </w:p>
        </w:tc>
        <w:tc>
          <w:tcPr>
            <w:tcW w:w="1343" w:type="dxa"/>
          </w:tcPr>
          <w:p w14:paraId="62981377" w14:textId="77777777" w:rsidR="00FD35AB" w:rsidRPr="00E47A49" w:rsidRDefault="00EB58C7" w:rsidP="00E47A49">
            <w:pPr>
              <w:spacing w:after="0" w:line="240" w:lineRule="auto"/>
              <w:jc w:val="center"/>
              <w:rPr>
                <w:rFonts w:ascii="Twentieth Century" w:eastAsia="Twentieth Century" w:hAnsi="Twentieth Century" w:cs="Twentieth Century"/>
                <w:sz w:val="22"/>
                <w:szCs w:val="22"/>
              </w:rPr>
            </w:pPr>
            <w:r w:rsidRPr="00E47A49">
              <w:rPr>
                <w:rFonts w:ascii="Twentieth Century" w:eastAsia="Twentieth Century" w:hAnsi="Twentieth Century" w:cs="Twentieth Century"/>
                <w:sz w:val="22"/>
                <w:szCs w:val="22"/>
              </w:rPr>
              <w:t>8</w:t>
            </w:r>
          </w:p>
        </w:tc>
        <w:tc>
          <w:tcPr>
            <w:tcW w:w="837" w:type="dxa"/>
          </w:tcPr>
          <w:p w14:paraId="7F2FA115" w14:textId="77777777" w:rsidR="00FD35AB" w:rsidRPr="00E47A49" w:rsidRDefault="00EB58C7" w:rsidP="00E47A49">
            <w:pPr>
              <w:spacing w:after="0" w:line="240" w:lineRule="auto"/>
              <w:jc w:val="center"/>
              <w:rPr>
                <w:rFonts w:ascii="Twentieth Century" w:eastAsia="Twentieth Century" w:hAnsi="Twentieth Century" w:cs="Twentieth Century"/>
                <w:sz w:val="22"/>
                <w:szCs w:val="22"/>
              </w:rPr>
            </w:pPr>
            <w:r w:rsidRPr="00E47A49">
              <w:rPr>
                <w:rFonts w:ascii="Twentieth Century" w:eastAsia="Twentieth Century" w:hAnsi="Twentieth Century" w:cs="Twentieth Century"/>
                <w:sz w:val="22"/>
                <w:szCs w:val="22"/>
              </w:rPr>
              <w:t>16</w:t>
            </w:r>
          </w:p>
        </w:tc>
      </w:tr>
    </w:tbl>
    <w:p w14:paraId="77D97902" w14:textId="77777777" w:rsidR="00FD35AB" w:rsidRPr="00E47A49" w:rsidRDefault="00BE3CDC">
      <w:pPr>
        <w:spacing w:line="360" w:lineRule="auto"/>
        <w:jc w:val="both"/>
        <w:rPr>
          <w:rFonts w:ascii="Twentieth Century" w:eastAsia="Twentieth Century" w:hAnsi="Twentieth Century" w:cs="Twentieth Century"/>
          <w:sz w:val="22"/>
          <w:szCs w:val="22"/>
        </w:rPr>
      </w:pPr>
      <w:r w:rsidRPr="00E47A49">
        <w:rPr>
          <w:rFonts w:ascii="Twentieth Century" w:eastAsia="Twentieth Century" w:hAnsi="Twentieth Century" w:cs="Twentieth Century"/>
          <w:sz w:val="22"/>
          <w:szCs w:val="22"/>
        </w:rPr>
        <w:t xml:space="preserve"> </w:t>
      </w:r>
      <w:proofErr w:type="gramStart"/>
      <w:r w:rsidRPr="00E47A49">
        <w:rPr>
          <w:rFonts w:ascii="Twentieth Century" w:eastAsia="Twentieth Century" w:hAnsi="Twentieth Century" w:cs="Twentieth Century"/>
          <w:sz w:val="22"/>
          <w:szCs w:val="22"/>
        </w:rPr>
        <w:t>Source :</w:t>
      </w:r>
      <w:proofErr w:type="gramEnd"/>
      <w:r w:rsidRPr="00E47A49">
        <w:rPr>
          <w:rFonts w:ascii="Twentieth Century" w:eastAsia="Twentieth Century" w:hAnsi="Twentieth Century" w:cs="Twentieth Century"/>
          <w:sz w:val="22"/>
          <w:szCs w:val="22"/>
        </w:rPr>
        <w:t xml:space="preserve"> </w:t>
      </w:r>
      <w:r w:rsidR="00EB58C7" w:rsidRPr="00E47A49">
        <w:rPr>
          <w:rFonts w:ascii="Twentieth Century" w:eastAsia="Twentieth Century" w:hAnsi="Twentieth Century" w:cs="Twentieth Century"/>
          <w:sz w:val="22"/>
          <w:szCs w:val="22"/>
        </w:rPr>
        <w:t>primary</w:t>
      </w:r>
      <w:r w:rsidRPr="00E47A49">
        <w:rPr>
          <w:rFonts w:ascii="Twentieth Century" w:eastAsia="Twentieth Century" w:hAnsi="Twentieth Century" w:cs="Twentieth Century"/>
          <w:sz w:val="22"/>
          <w:szCs w:val="22"/>
        </w:rPr>
        <w:t xml:space="preserve"> data processing </w:t>
      </w:r>
    </w:p>
    <w:p w14:paraId="6D0427A0" w14:textId="77777777" w:rsidR="00EB58C7" w:rsidRPr="00E47A49" w:rsidRDefault="00EB58C7" w:rsidP="00EB58C7">
      <w:pPr>
        <w:pStyle w:val="TeksKomentar"/>
        <w:jc w:val="both"/>
        <w:rPr>
          <w:rFonts w:ascii="Twentieth Century" w:hAnsi="Twentieth Century"/>
          <w:sz w:val="22"/>
          <w:szCs w:val="22"/>
          <w:lang w:val="en-US"/>
        </w:rPr>
      </w:pPr>
      <w:r w:rsidRPr="00E47A49">
        <w:rPr>
          <w:rFonts w:ascii="Twentieth Century" w:hAnsi="Twentieth Century"/>
          <w:sz w:val="22"/>
          <w:szCs w:val="22"/>
          <w:lang w:val="en-US"/>
        </w:rPr>
        <w:t xml:space="preserve">Hasil </w:t>
      </w:r>
      <w:proofErr w:type="spellStart"/>
      <w:r w:rsidRPr="00E47A49">
        <w:rPr>
          <w:rFonts w:ascii="Twentieth Century" w:hAnsi="Twentieth Century"/>
          <w:sz w:val="22"/>
          <w:szCs w:val="22"/>
          <w:lang w:val="en-US"/>
        </w:rPr>
        <w:t>distribusi</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frekuensi</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terhadap</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variabel</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tingkat</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kecemasan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anak</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sebelum</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diberikan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terapi</w:t>
      </w:r>
      <w:proofErr w:type="spellEnd"/>
      <w:r w:rsidRPr="00E47A49">
        <w:rPr>
          <w:rFonts w:ascii="Twentieth Century" w:hAnsi="Twentieth Century"/>
          <w:sz w:val="22"/>
          <w:szCs w:val="22"/>
          <w:lang w:val="en-US"/>
        </w:rPr>
        <w:t xml:space="preserve"> dan </w:t>
      </w:r>
      <w:proofErr w:type="spellStart"/>
      <w:r w:rsidRPr="00E47A49">
        <w:rPr>
          <w:rFonts w:ascii="Twentieth Century" w:hAnsi="Twentieth Century"/>
          <w:sz w:val="22"/>
          <w:szCs w:val="22"/>
          <w:lang w:val="en-US"/>
        </w:rPr>
        <w:t>setelah</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diberikan</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terapi</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memiliki</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perbedaan</w:t>
      </w:r>
      <w:proofErr w:type="spellEnd"/>
      <w:r w:rsidRPr="00E47A49">
        <w:rPr>
          <w:rFonts w:ascii="Twentieth Century" w:hAnsi="Twentieth Century"/>
          <w:sz w:val="22"/>
          <w:szCs w:val="22"/>
          <w:lang w:val="en-US"/>
        </w:rPr>
        <w:t xml:space="preserve"> yang sangat </w:t>
      </w:r>
      <w:proofErr w:type="spellStart"/>
      <w:r w:rsidRPr="00E47A49">
        <w:rPr>
          <w:rFonts w:ascii="Twentieth Century" w:hAnsi="Twentieth Century"/>
          <w:sz w:val="22"/>
          <w:szCs w:val="22"/>
          <w:lang w:val="en-US"/>
        </w:rPr>
        <w:t>signifikan</w:t>
      </w:r>
      <w:proofErr w:type="spellEnd"/>
      <w:r w:rsidRPr="00E47A49">
        <w:rPr>
          <w:rFonts w:ascii="Twentieth Century" w:hAnsi="Twentieth Century"/>
          <w:sz w:val="22"/>
          <w:szCs w:val="22"/>
          <w:lang w:val="en-US"/>
        </w:rPr>
        <w:t xml:space="preserve">. Adapun </w:t>
      </w:r>
      <w:r w:rsidRPr="00E47A49">
        <w:rPr>
          <w:rFonts w:ascii="Twentieth Century" w:hAnsi="Twentieth Century"/>
          <w:sz w:val="22"/>
          <w:szCs w:val="22"/>
        </w:rPr>
        <w:t xml:space="preserve">Tingkat Kecemasan </w:t>
      </w:r>
      <w:proofErr w:type="spellStart"/>
      <w:r w:rsidRPr="00E47A49">
        <w:rPr>
          <w:rFonts w:ascii="Twentieth Century" w:hAnsi="Twentieth Century"/>
          <w:sz w:val="22"/>
          <w:szCs w:val="22"/>
        </w:rPr>
        <w:t>Pre-test</w:t>
      </w:r>
      <w:proofErr w:type="spellEnd"/>
      <w:r w:rsidRPr="00E47A49">
        <w:rPr>
          <w:rFonts w:ascii="Twentieth Century" w:hAnsi="Twentieth Century"/>
          <w:sz w:val="22"/>
          <w:szCs w:val="22"/>
        </w:rPr>
        <w:t xml:space="preserve"> berada pada kategori Sedang sebanyak 20 siswi (40%)</w:t>
      </w:r>
      <w:r w:rsidRPr="00E47A49">
        <w:rPr>
          <w:rFonts w:ascii="Twentieth Century" w:hAnsi="Twentieth Century"/>
          <w:sz w:val="22"/>
          <w:szCs w:val="22"/>
          <w:lang w:val="en-US"/>
        </w:rPr>
        <w:t xml:space="preserve"> dan</w:t>
      </w:r>
      <w:r w:rsidRPr="00E47A49">
        <w:rPr>
          <w:rFonts w:ascii="Twentieth Century" w:hAnsi="Twentieth Century"/>
          <w:sz w:val="22"/>
          <w:szCs w:val="22"/>
        </w:rPr>
        <w:t xml:space="preserve"> </w:t>
      </w:r>
      <w:proofErr w:type="spellStart"/>
      <w:r w:rsidRPr="00E47A49">
        <w:rPr>
          <w:rFonts w:ascii="Twentieth Century" w:hAnsi="Twentieth Century"/>
          <w:sz w:val="22"/>
          <w:szCs w:val="22"/>
        </w:rPr>
        <w:t>Tingka</w:t>
      </w:r>
      <w:proofErr w:type="spellEnd"/>
      <w:r w:rsidRPr="00E47A49">
        <w:rPr>
          <w:rFonts w:ascii="Twentieth Century" w:hAnsi="Twentieth Century"/>
          <w:sz w:val="22"/>
          <w:szCs w:val="22"/>
          <w:lang w:val="en-US"/>
        </w:rPr>
        <w:t>t</w:t>
      </w:r>
      <w:r w:rsidRPr="00E47A49">
        <w:rPr>
          <w:rFonts w:ascii="Twentieth Century" w:hAnsi="Twentieth Century"/>
          <w:sz w:val="22"/>
          <w:szCs w:val="22"/>
        </w:rPr>
        <w:t xml:space="preserve"> Kecemasan </w:t>
      </w:r>
      <w:proofErr w:type="spellStart"/>
      <w:r w:rsidRPr="00E47A49">
        <w:rPr>
          <w:rFonts w:ascii="Twentieth Century" w:hAnsi="Twentieth Century"/>
          <w:sz w:val="22"/>
          <w:szCs w:val="22"/>
        </w:rPr>
        <w:t>Post-test</w:t>
      </w:r>
      <w:proofErr w:type="spellEnd"/>
      <w:r w:rsidRPr="00E47A49">
        <w:rPr>
          <w:rFonts w:ascii="Twentieth Century" w:hAnsi="Twentieth Century"/>
          <w:sz w:val="22"/>
          <w:szCs w:val="22"/>
        </w:rPr>
        <w:t xml:space="preserve"> berada pada kategori Ringan sebanyak 36 siswa (72%).</w:t>
      </w:r>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Untuk</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selengkapnya</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dapat</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dilihat</w:t>
      </w:r>
      <w:proofErr w:type="spellEnd"/>
      <w:r w:rsidRPr="00E47A49">
        <w:rPr>
          <w:rFonts w:ascii="Twentieth Century" w:hAnsi="Twentieth Century"/>
          <w:sz w:val="22"/>
          <w:szCs w:val="22"/>
          <w:lang w:val="en-US"/>
        </w:rPr>
        <w:t xml:space="preserve"> pada </w:t>
      </w:r>
      <w:proofErr w:type="spellStart"/>
      <w:r w:rsidRPr="00E47A49">
        <w:rPr>
          <w:rFonts w:ascii="Twentieth Century" w:hAnsi="Twentieth Century"/>
          <w:sz w:val="22"/>
          <w:szCs w:val="22"/>
          <w:lang w:val="en-US"/>
        </w:rPr>
        <w:t>tabel</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sebagai</w:t>
      </w:r>
      <w:proofErr w:type="spellEnd"/>
      <w:r w:rsidRPr="00E47A49">
        <w:rPr>
          <w:rFonts w:ascii="Twentieth Century" w:hAnsi="Twentieth Century"/>
          <w:sz w:val="22"/>
          <w:szCs w:val="22"/>
          <w:lang w:val="en-US"/>
        </w:rPr>
        <w:t xml:space="preserve"> </w:t>
      </w:r>
      <w:proofErr w:type="spellStart"/>
      <w:r w:rsidRPr="00E47A49">
        <w:rPr>
          <w:rFonts w:ascii="Twentieth Century" w:hAnsi="Twentieth Century"/>
          <w:sz w:val="22"/>
          <w:szCs w:val="22"/>
          <w:lang w:val="en-US"/>
        </w:rPr>
        <w:t>berikut</w:t>
      </w:r>
      <w:proofErr w:type="spellEnd"/>
      <w:r w:rsidRPr="00E47A49">
        <w:rPr>
          <w:rFonts w:ascii="Twentieth Century" w:hAnsi="Twentieth Century"/>
          <w:sz w:val="22"/>
          <w:szCs w:val="22"/>
          <w:lang w:val="en-US"/>
        </w:rPr>
        <w:t>:</w:t>
      </w:r>
      <w:r w:rsidRPr="00E47A49">
        <w:rPr>
          <w:rFonts w:ascii="Twentieth Century" w:hAnsi="Twentieth Century"/>
          <w:sz w:val="22"/>
          <w:szCs w:val="22"/>
        </w:rPr>
        <w:t xml:space="preserve"> </w:t>
      </w:r>
    </w:p>
    <w:p w14:paraId="53712686" w14:textId="77777777" w:rsidR="00EB58C7" w:rsidRPr="00E47A49" w:rsidRDefault="00EB58C7" w:rsidP="00EB58C7">
      <w:pPr>
        <w:pStyle w:val="TeksKomentar"/>
        <w:jc w:val="both"/>
        <w:rPr>
          <w:rFonts w:ascii="Twentieth Century" w:hAnsi="Twentieth Century"/>
          <w:sz w:val="22"/>
          <w:szCs w:val="22"/>
          <w:lang w:val="en-US"/>
        </w:rPr>
      </w:pPr>
    </w:p>
    <w:p w14:paraId="36DFD732" w14:textId="77777777" w:rsidR="00EB58C7" w:rsidRPr="00E47A49" w:rsidRDefault="00EB58C7" w:rsidP="00EB58C7">
      <w:pPr>
        <w:tabs>
          <w:tab w:val="left" w:pos="2127"/>
        </w:tabs>
        <w:spacing w:line="240" w:lineRule="auto"/>
        <w:contextualSpacing/>
        <w:jc w:val="center"/>
        <w:rPr>
          <w:rFonts w:ascii="Twentieth Century" w:hAnsi="Twentieth Century" w:hint="eastAsia"/>
          <w:sz w:val="20"/>
          <w:szCs w:val="20"/>
        </w:rPr>
      </w:pPr>
      <w:proofErr w:type="spellStart"/>
      <w:r w:rsidRPr="00E47A49">
        <w:rPr>
          <w:rFonts w:ascii="Twentieth Century" w:hAnsi="Twentieth Century"/>
          <w:sz w:val="20"/>
          <w:szCs w:val="20"/>
        </w:rPr>
        <w:t>Tabel</w:t>
      </w:r>
      <w:proofErr w:type="spellEnd"/>
      <w:r w:rsidRPr="00E47A49">
        <w:rPr>
          <w:rFonts w:ascii="Twentieth Century" w:hAnsi="Twentieth Century"/>
          <w:sz w:val="20"/>
          <w:szCs w:val="20"/>
        </w:rPr>
        <w:t xml:space="preserve"> 2 </w:t>
      </w:r>
      <w:proofErr w:type="spellStart"/>
      <w:r w:rsidRPr="00E47A49">
        <w:rPr>
          <w:rFonts w:ascii="Twentieth Century" w:hAnsi="Twentieth Century"/>
          <w:sz w:val="20"/>
          <w:szCs w:val="20"/>
        </w:rPr>
        <w:t>Distribusi</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Frekuensi</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Responden</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berdasarkan</w:t>
      </w:r>
      <w:proofErr w:type="spellEnd"/>
      <w:r w:rsidRPr="00E47A49">
        <w:rPr>
          <w:rFonts w:ascii="Twentieth Century" w:hAnsi="Twentieth Century"/>
          <w:sz w:val="20"/>
          <w:szCs w:val="20"/>
        </w:rPr>
        <w:t xml:space="preserve"> Tingkat </w:t>
      </w:r>
      <w:proofErr w:type="spellStart"/>
      <w:r w:rsidRPr="00E47A49">
        <w:rPr>
          <w:rFonts w:ascii="Twentieth Century" w:hAnsi="Twentieth Century"/>
          <w:sz w:val="20"/>
          <w:szCs w:val="20"/>
        </w:rPr>
        <w:t>Kecemasan</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menghadapi</w:t>
      </w:r>
      <w:proofErr w:type="spellEnd"/>
      <w:r w:rsidRPr="00E47A49">
        <w:rPr>
          <w:rFonts w:ascii="Twentieth Century" w:hAnsi="Twentieth Century"/>
          <w:sz w:val="20"/>
          <w:szCs w:val="20"/>
        </w:rPr>
        <w:t xml:space="preserve"> Menarche</w:t>
      </w:r>
    </w:p>
    <w:tbl>
      <w:tblPr>
        <w:tblStyle w:val="KisiTabel"/>
        <w:tblW w:w="4397"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27"/>
        <w:gridCol w:w="1020"/>
        <w:gridCol w:w="1250"/>
      </w:tblGrid>
      <w:tr w:rsidR="00EB58C7" w:rsidRPr="00E47A49" w14:paraId="74A239A4" w14:textId="77777777" w:rsidTr="00EB58C7">
        <w:trPr>
          <w:trHeight w:val="387"/>
        </w:trPr>
        <w:tc>
          <w:tcPr>
            <w:tcW w:w="2127" w:type="dxa"/>
            <w:tcBorders>
              <w:bottom w:val="single" w:sz="4" w:space="0" w:color="auto"/>
            </w:tcBorders>
            <w:vAlign w:val="center"/>
          </w:tcPr>
          <w:p w14:paraId="444F5DF3" w14:textId="77777777" w:rsidR="00EB58C7" w:rsidRPr="00E47A49" w:rsidRDefault="00EB58C7" w:rsidP="005E3B2D">
            <w:pPr>
              <w:tabs>
                <w:tab w:val="left" w:pos="2127"/>
              </w:tabs>
              <w:ind w:left="567"/>
              <w:contextualSpacing/>
              <w:jc w:val="center"/>
              <w:rPr>
                <w:rFonts w:ascii="Twentieth Century" w:hAnsi="Twentieth Century" w:cs="Times New Roman" w:hint="eastAsia"/>
                <w:sz w:val="20"/>
                <w:szCs w:val="20"/>
              </w:rPr>
            </w:pPr>
            <w:r w:rsidRPr="00E47A49">
              <w:rPr>
                <w:rFonts w:ascii="Twentieth Century" w:hAnsi="Twentieth Century" w:cs="Times New Roman"/>
                <w:sz w:val="20"/>
                <w:szCs w:val="20"/>
              </w:rPr>
              <w:t xml:space="preserve">Tingkat </w:t>
            </w:r>
            <w:proofErr w:type="spellStart"/>
            <w:r w:rsidRPr="00E47A49">
              <w:rPr>
                <w:rFonts w:ascii="Twentieth Century" w:hAnsi="Twentieth Century" w:cs="Times New Roman"/>
                <w:sz w:val="20"/>
                <w:szCs w:val="20"/>
              </w:rPr>
              <w:t>Kecemasan</w:t>
            </w:r>
            <w:proofErr w:type="spellEnd"/>
          </w:p>
        </w:tc>
        <w:tc>
          <w:tcPr>
            <w:tcW w:w="1020" w:type="dxa"/>
            <w:tcBorders>
              <w:bottom w:val="single" w:sz="4" w:space="0" w:color="auto"/>
            </w:tcBorders>
            <w:vAlign w:val="center"/>
          </w:tcPr>
          <w:p w14:paraId="33D40360" w14:textId="77777777" w:rsidR="00EB58C7" w:rsidRPr="00E47A49" w:rsidRDefault="00EB58C7" w:rsidP="00EB58C7">
            <w:pPr>
              <w:tabs>
                <w:tab w:val="left" w:pos="2127"/>
              </w:tabs>
              <w:ind w:left="-108"/>
              <w:contextualSpacing/>
              <w:rPr>
                <w:rFonts w:ascii="Twentieth Century" w:hAnsi="Twentieth Century" w:cs="Times New Roman" w:hint="eastAsia"/>
                <w:sz w:val="20"/>
                <w:szCs w:val="20"/>
                <w:lang w:val="id-ID"/>
              </w:rPr>
            </w:pPr>
            <w:proofErr w:type="spellStart"/>
            <w:r w:rsidRPr="00E47A49">
              <w:rPr>
                <w:rFonts w:ascii="Twentieth Century" w:hAnsi="Twentieth Century" w:cs="Times New Roman"/>
                <w:sz w:val="20"/>
                <w:szCs w:val="20"/>
              </w:rPr>
              <w:t>Frekuensi</w:t>
            </w:r>
            <w:proofErr w:type="spellEnd"/>
          </w:p>
        </w:tc>
        <w:tc>
          <w:tcPr>
            <w:tcW w:w="1250" w:type="dxa"/>
            <w:tcBorders>
              <w:bottom w:val="single" w:sz="4" w:space="0" w:color="auto"/>
            </w:tcBorders>
            <w:vAlign w:val="center"/>
          </w:tcPr>
          <w:p w14:paraId="67925A61" w14:textId="77777777" w:rsidR="00EB58C7" w:rsidRPr="00E47A49" w:rsidRDefault="00EB58C7" w:rsidP="00EB58C7">
            <w:pPr>
              <w:tabs>
                <w:tab w:val="left" w:pos="2127"/>
              </w:tabs>
              <w:ind w:left="280"/>
              <w:contextualSpacing/>
              <w:jc w:val="center"/>
              <w:rPr>
                <w:rFonts w:ascii="Twentieth Century" w:hAnsi="Twentieth Century" w:cs="Times New Roman" w:hint="eastAsia"/>
                <w:sz w:val="20"/>
                <w:szCs w:val="20"/>
              </w:rPr>
            </w:pPr>
            <w:r w:rsidRPr="00E47A49">
              <w:rPr>
                <w:rFonts w:ascii="Twentieth Century" w:hAnsi="Twentieth Century" w:cs="Times New Roman"/>
                <w:i/>
                <w:sz w:val="20"/>
                <w:szCs w:val="20"/>
              </w:rPr>
              <w:t>%</w:t>
            </w:r>
          </w:p>
        </w:tc>
      </w:tr>
      <w:tr w:rsidR="00EB58C7" w:rsidRPr="00E47A49" w14:paraId="1AC9EFE1" w14:textId="77777777" w:rsidTr="00EB58C7">
        <w:tc>
          <w:tcPr>
            <w:tcW w:w="2127" w:type="dxa"/>
            <w:tcBorders>
              <w:top w:val="nil"/>
              <w:bottom w:val="nil"/>
            </w:tcBorders>
          </w:tcPr>
          <w:p w14:paraId="0E8A32D4" w14:textId="77777777" w:rsidR="00EB58C7" w:rsidRPr="00E47A49" w:rsidRDefault="00EB58C7" w:rsidP="005E3B2D">
            <w:pPr>
              <w:contextualSpacing/>
              <w:jc w:val="both"/>
              <w:rPr>
                <w:rFonts w:ascii="Twentieth Century" w:hAnsi="Twentieth Century" w:cs="Times New Roman" w:hint="eastAsia"/>
                <w:sz w:val="20"/>
                <w:szCs w:val="20"/>
              </w:rPr>
            </w:pPr>
            <w:r w:rsidRPr="00E47A49">
              <w:rPr>
                <w:rFonts w:ascii="Twentieth Century" w:hAnsi="Twentieth Century" w:cs="Times New Roman"/>
                <w:sz w:val="20"/>
                <w:szCs w:val="20"/>
              </w:rPr>
              <w:lastRenderedPageBreak/>
              <w:t>Pre Test</w:t>
            </w:r>
          </w:p>
        </w:tc>
        <w:tc>
          <w:tcPr>
            <w:tcW w:w="1020" w:type="dxa"/>
            <w:tcBorders>
              <w:top w:val="nil"/>
              <w:bottom w:val="nil"/>
            </w:tcBorders>
          </w:tcPr>
          <w:p w14:paraId="66CCB85E" w14:textId="77777777" w:rsidR="00EB58C7" w:rsidRPr="00E47A49" w:rsidRDefault="00EB58C7" w:rsidP="00EB58C7">
            <w:pPr>
              <w:ind w:left="-16"/>
              <w:contextualSpacing/>
              <w:jc w:val="center"/>
              <w:rPr>
                <w:rFonts w:ascii="Twentieth Century" w:hAnsi="Twentieth Century" w:cs="Times New Roman" w:hint="eastAsia"/>
                <w:sz w:val="20"/>
                <w:szCs w:val="20"/>
                <w:lang w:val="id-ID"/>
              </w:rPr>
            </w:pPr>
          </w:p>
        </w:tc>
        <w:tc>
          <w:tcPr>
            <w:tcW w:w="1250" w:type="dxa"/>
            <w:tcBorders>
              <w:top w:val="nil"/>
              <w:bottom w:val="nil"/>
            </w:tcBorders>
          </w:tcPr>
          <w:p w14:paraId="56C9E7AE" w14:textId="77777777" w:rsidR="00EB58C7" w:rsidRPr="00E47A49" w:rsidRDefault="00EB58C7" w:rsidP="00EB58C7">
            <w:pPr>
              <w:ind w:left="-16"/>
              <w:contextualSpacing/>
              <w:jc w:val="center"/>
              <w:rPr>
                <w:rFonts w:ascii="Twentieth Century" w:hAnsi="Twentieth Century" w:cs="Times New Roman" w:hint="eastAsia"/>
                <w:sz w:val="20"/>
                <w:szCs w:val="20"/>
                <w:lang w:val="id-ID"/>
              </w:rPr>
            </w:pPr>
          </w:p>
        </w:tc>
      </w:tr>
      <w:tr w:rsidR="00EB58C7" w:rsidRPr="00E47A49" w14:paraId="30F673A7" w14:textId="77777777" w:rsidTr="00EB58C7">
        <w:tc>
          <w:tcPr>
            <w:tcW w:w="2127" w:type="dxa"/>
            <w:tcBorders>
              <w:top w:val="nil"/>
              <w:bottom w:val="nil"/>
            </w:tcBorders>
          </w:tcPr>
          <w:p w14:paraId="50045345" w14:textId="77777777" w:rsidR="00EB58C7" w:rsidRPr="00E47A49" w:rsidRDefault="00EB58C7" w:rsidP="005E3B2D">
            <w:pPr>
              <w:ind w:left="567"/>
              <w:contextualSpacing/>
              <w:jc w:val="both"/>
              <w:rPr>
                <w:rFonts w:ascii="Twentieth Century" w:hAnsi="Twentieth Century" w:cs="Times New Roman" w:hint="eastAsia"/>
                <w:sz w:val="20"/>
                <w:szCs w:val="20"/>
              </w:rPr>
            </w:pPr>
            <w:proofErr w:type="spellStart"/>
            <w:r w:rsidRPr="00E47A49">
              <w:rPr>
                <w:rFonts w:ascii="Twentieth Century" w:hAnsi="Twentieth Century" w:cs="Times New Roman"/>
                <w:sz w:val="20"/>
                <w:szCs w:val="20"/>
              </w:rPr>
              <w:t>Ringan</w:t>
            </w:r>
            <w:proofErr w:type="spellEnd"/>
          </w:p>
        </w:tc>
        <w:tc>
          <w:tcPr>
            <w:tcW w:w="1020" w:type="dxa"/>
            <w:tcBorders>
              <w:top w:val="nil"/>
              <w:bottom w:val="nil"/>
            </w:tcBorders>
          </w:tcPr>
          <w:p w14:paraId="50FB5150" w14:textId="77777777" w:rsidR="00EB58C7" w:rsidRPr="00E47A49" w:rsidRDefault="00EB58C7" w:rsidP="00EB58C7">
            <w:pPr>
              <w:ind w:left="-16"/>
              <w:contextualSpacing/>
              <w:jc w:val="center"/>
              <w:rPr>
                <w:rFonts w:ascii="Twentieth Century" w:hAnsi="Twentieth Century" w:hint="eastAsia"/>
                <w:sz w:val="20"/>
                <w:szCs w:val="20"/>
              </w:rPr>
            </w:pPr>
            <w:r w:rsidRPr="00E47A49">
              <w:rPr>
                <w:rFonts w:ascii="Twentieth Century" w:hAnsi="Twentieth Century"/>
                <w:sz w:val="20"/>
                <w:szCs w:val="20"/>
              </w:rPr>
              <w:t>15</w:t>
            </w:r>
          </w:p>
        </w:tc>
        <w:tc>
          <w:tcPr>
            <w:tcW w:w="1250" w:type="dxa"/>
            <w:tcBorders>
              <w:top w:val="nil"/>
              <w:bottom w:val="nil"/>
            </w:tcBorders>
          </w:tcPr>
          <w:p w14:paraId="546B3C55" w14:textId="77777777" w:rsidR="00EB58C7" w:rsidRPr="00E47A49" w:rsidRDefault="00EB58C7" w:rsidP="00EB58C7">
            <w:pPr>
              <w:ind w:left="-16"/>
              <w:contextualSpacing/>
              <w:jc w:val="center"/>
              <w:rPr>
                <w:rFonts w:ascii="Twentieth Century" w:hAnsi="Twentieth Century" w:hint="eastAsia"/>
                <w:sz w:val="20"/>
                <w:szCs w:val="20"/>
              </w:rPr>
            </w:pPr>
            <w:r w:rsidRPr="00E47A49">
              <w:rPr>
                <w:rFonts w:ascii="Twentieth Century" w:hAnsi="Twentieth Century"/>
                <w:sz w:val="20"/>
                <w:szCs w:val="20"/>
              </w:rPr>
              <w:t>30</w:t>
            </w:r>
          </w:p>
        </w:tc>
      </w:tr>
      <w:tr w:rsidR="00EB58C7" w:rsidRPr="00E47A49" w14:paraId="0833F02F" w14:textId="77777777" w:rsidTr="00EB58C7">
        <w:tc>
          <w:tcPr>
            <w:tcW w:w="2127" w:type="dxa"/>
            <w:tcBorders>
              <w:top w:val="nil"/>
              <w:bottom w:val="nil"/>
            </w:tcBorders>
          </w:tcPr>
          <w:p w14:paraId="79BFA149" w14:textId="77777777" w:rsidR="00EB58C7" w:rsidRPr="00E47A49" w:rsidRDefault="00EB58C7" w:rsidP="005E3B2D">
            <w:pPr>
              <w:ind w:left="567"/>
              <w:contextualSpacing/>
              <w:jc w:val="both"/>
              <w:rPr>
                <w:rFonts w:ascii="Twentieth Century" w:hAnsi="Twentieth Century" w:hint="eastAsia"/>
                <w:sz w:val="20"/>
                <w:szCs w:val="20"/>
              </w:rPr>
            </w:pPr>
            <w:r w:rsidRPr="00E47A49">
              <w:rPr>
                <w:rFonts w:ascii="Twentieth Century" w:hAnsi="Twentieth Century"/>
                <w:sz w:val="20"/>
                <w:szCs w:val="20"/>
              </w:rPr>
              <w:t xml:space="preserve">Sedang </w:t>
            </w:r>
          </w:p>
        </w:tc>
        <w:tc>
          <w:tcPr>
            <w:tcW w:w="1020" w:type="dxa"/>
            <w:tcBorders>
              <w:top w:val="nil"/>
              <w:bottom w:val="nil"/>
            </w:tcBorders>
          </w:tcPr>
          <w:p w14:paraId="479B62A2" w14:textId="77777777" w:rsidR="00EB58C7" w:rsidRPr="00E47A49" w:rsidRDefault="00EB58C7" w:rsidP="00EB58C7">
            <w:pPr>
              <w:ind w:left="-16"/>
              <w:contextualSpacing/>
              <w:jc w:val="center"/>
              <w:rPr>
                <w:rFonts w:ascii="Twentieth Century" w:hAnsi="Twentieth Century" w:hint="eastAsia"/>
                <w:sz w:val="20"/>
                <w:szCs w:val="20"/>
              </w:rPr>
            </w:pPr>
            <w:r w:rsidRPr="00E47A49">
              <w:rPr>
                <w:rFonts w:ascii="Twentieth Century" w:hAnsi="Twentieth Century"/>
                <w:sz w:val="20"/>
                <w:szCs w:val="20"/>
              </w:rPr>
              <w:t>20</w:t>
            </w:r>
          </w:p>
        </w:tc>
        <w:tc>
          <w:tcPr>
            <w:tcW w:w="1250" w:type="dxa"/>
            <w:tcBorders>
              <w:top w:val="nil"/>
              <w:bottom w:val="nil"/>
            </w:tcBorders>
          </w:tcPr>
          <w:p w14:paraId="2F23B718" w14:textId="77777777" w:rsidR="00EB58C7" w:rsidRPr="00E47A49" w:rsidRDefault="00EB58C7" w:rsidP="00EB58C7">
            <w:pPr>
              <w:ind w:left="-16"/>
              <w:contextualSpacing/>
              <w:jc w:val="center"/>
              <w:rPr>
                <w:rFonts w:ascii="Twentieth Century" w:hAnsi="Twentieth Century" w:hint="eastAsia"/>
                <w:sz w:val="20"/>
                <w:szCs w:val="20"/>
              </w:rPr>
            </w:pPr>
            <w:r w:rsidRPr="00E47A49">
              <w:rPr>
                <w:rFonts w:ascii="Twentieth Century" w:hAnsi="Twentieth Century"/>
                <w:sz w:val="20"/>
                <w:szCs w:val="20"/>
              </w:rPr>
              <w:t>40</w:t>
            </w:r>
          </w:p>
        </w:tc>
      </w:tr>
      <w:tr w:rsidR="00EB58C7" w:rsidRPr="00E47A49" w14:paraId="00AB3B5D" w14:textId="77777777" w:rsidTr="00EB58C7">
        <w:tc>
          <w:tcPr>
            <w:tcW w:w="2127" w:type="dxa"/>
            <w:tcBorders>
              <w:top w:val="nil"/>
              <w:bottom w:val="single" w:sz="4" w:space="0" w:color="auto"/>
            </w:tcBorders>
          </w:tcPr>
          <w:p w14:paraId="4B91F418" w14:textId="77777777" w:rsidR="00EB58C7" w:rsidRPr="00E47A49" w:rsidRDefault="00EB58C7" w:rsidP="005E3B2D">
            <w:pPr>
              <w:ind w:left="567"/>
              <w:contextualSpacing/>
              <w:jc w:val="both"/>
              <w:rPr>
                <w:rFonts w:ascii="Twentieth Century" w:hAnsi="Twentieth Century" w:hint="eastAsia"/>
                <w:sz w:val="20"/>
                <w:szCs w:val="20"/>
              </w:rPr>
            </w:pPr>
            <w:proofErr w:type="spellStart"/>
            <w:r w:rsidRPr="00E47A49">
              <w:rPr>
                <w:rFonts w:ascii="Twentieth Century" w:hAnsi="Twentieth Century"/>
                <w:sz w:val="20"/>
                <w:szCs w:val="20"/>
              </w:rPr>
              <w:t>Berat</w:t>
            </w:r>
            <w:proofErr w:type="spellEnd"/>
          </w:p>
        </w:tc>
        <w:tc>
          <w:tcPr>
            <w:tcW w:w="1020" w:type="dxa"/>
            <w:tcBorders>
              <w:top w:val="nil"/>
              <w:bottom w:val="single" w:sz="4" w:space="0" w:color="auto"/>
            </w:tcBorders>
          </w:tcPr>
          <w:p w14:paraId="394E1F53" w14:textId="77777777" w:rsidR="00EB58C7" w:rsidRPr="00E47A49" w:rsidRDefault="00EB58C7" w:rsidP="00EB58C7">
            <w:pPr>
              <w:ind w:left="-16"/>
              <w:contextualSpacing/>
              <w:jc w:val="center"/>
              <w:rPr>
                <w:rFonts w:ascii="Twentieth Century" w:hAnsi="Twentieth Century" w:hint="eastAsia"/>
                <w:sz w:val="20"/>
                <w:szCs w:val="20"/>
              </w:rPr>
            </w:pPr>
            <w:r w:rsidRPr="00E47A49">
              <w:rPr>
                <w:rFonts w:ascii="Twentieth Century" w:hAnsi="Twentieth Century"/>
                <w:sz w:val="20"/>
                <w:szCs w:val="20"/>
              </w:rPr>
              <w:t>15</w:t>
            </w:r>
          </w:p>
        </w:tc>
        <w:tc>
          <w:tcPr>
            <w:tcW w:w="1250" w:type="dxa"/>
            <w:tcBorders>
              <w:top w:val="nil"/>
              <w:bottom w:val="single" w:sz="4" w:space="0" w:color="auto"/>
            </w:tcBorders>
          </w:tcPr>
          <w:p w14:paraId="05148E7E" w14:textId="77777777" w:rsidR="00EB58C7" w:rsidRPr="00E47A49" w:rsidRDefault="00EB58C7" w:rsidP="00EB58C7">
            <w:pPr>
              <w:ind w:left="-16"/>
              <w:contextualSpacing/>
              <w:jc w:val="center"/>
              <w:rPr>
                <w:rFonts w:ascii="Twentieth Century" w:hAnsi="Twentieth Century" w:hint="eastAsia"/>
                <w:sz w:val="20"/>
                <w:szCs w:val="20"/>
              </w:rPr>
            </w:pPr>
            <w:r w:rsidRPr="00E47A49">
              <w:rPr>
                <w:rFonts w:ascii="Twentieth Century" w:hAnsi="Twentieth Century"/>
                <w:sz w:val="20"/>
                <w:szCs w:val="20"/>
              </w:rPr>
              <w:t>30</w:t>
            </w:r>
          </w:p>
        </w:tc>
      </w:tr>
      <w:tr w:rsidR="00EB58C7" w:rsidRPr="00E47A49" w14:paraId="25460A7F" w14:textId="77777777" w:rsidTr="00EB58C7">
        <w:tc>
          <w:tcPr>
            <w:tcW w:w="2127" w:type="dxa"/>
            <w:tcBorders>
              <w:top w:val="single" w:sz="4" w:space="0" w:color="auto"/>
              <w:bottom w:val="nil"/>
            </w:tcBorders>
          </w:tcPr>
          <w:p w14:paraId="44110C1E" w14:textId="77777777" w:rsidR="00EB58C7" w:rsidRPr="00E47A49" w:rsidRDefault="00EB58C7" w:rsidP="005E3B2D">
            <w:pPr>
              <w:contextualSpacing/>
              <w:jc w:val="both"/>
              <w:rPr>
                <w:rFonts w:ascii="Twentieth Century" w:hAnsi="Twentieth Century" w:hint="eastAsia"/>
                <w:sz w:val="20"/>
                <w:szCs w:val="20"/>
              </w:rPr>
            </w:pPr>
            <w:r w:rsidRPr="00E47A49">
              <w:rPr>
                <w:rFonts w:ascii="Twentieth Century" w:hAnsi="Twentieth Century"/>
                <w:sz w:val="20"/>
                <w:szCs w:val="20"/>
              </w:rPr>
              <w:t>Post Test</w:t>
            </w:r>
          </w:p>
        </w:tc>
        <w:tc>
          <w:tcPr>
            <w:tcW w:w="1020" w:type="dxa"/>
            <w:tcBorders>
              <w:top w:val="single" w:sz="4" w:space="0" w:color="auto"/>
              <w:bottom w:val="nil"/>
            </w:tcBorders>
          </w:tcPr>
          <w:p w14:paraId="5D0AB09E" w14:textId="77777777" w:rsidR="00EB58C7" w:rsidRPr="00E47A49" w:rsidRDefault="00EB58C7" w:rsidP="00EB58C7">
            <w:pPr>
              <w:ind w:left="-16"/>
              <w:contextualSpacing/>
              <w:jc w:val="center"/>
              <w:rPr>
                <w:rFonts w:ascii="Twentieth Century" w:hAnsi="Twentieth Century" w:hint="eastAsia"/>
                <w:sz w:val="20"/>
                <w:szCs w:val="20"/>
              </w:rPr>
            </w:pPr>
          </w:p>
        </w:tc>
        <w:tc>
          <w:tcPr>
            <w:tcW w:w="1250" w:type="dxa"/>
            <w:tcBorders>
              <w:top w:val="single" w:sz="4" w:space="0" w:color="auto"/>
              <w:bottom w:val="nil"/>
            </w:tcBorders>
          </w:tcPr>
          <w:p w14:paraId="7E267AE8" w14:textId="77777777" w:rsidR="00EB58C7" w:rsidRPr="00E47A49" w:rsidRDefault="00EB58C7" w:rsidP="00EB58C7">
            <w:pPr>
              <w:ind w:left="-16"/>
              <w:contextualSpacing/>
              <w:jc w:val="center"/>
              <w:rPr>
                <w:rFonts w:ascii="Twentieth Century" w:hAnsi="Twentieth Century" w:hint="eastAsia"/>
                <w:sz w:val="20"/>
                <w:szCs w:val="20"/>
              </w:rPr>
            </w:pPr>
          </w:p>
        </w:tc>
      </w:tr>
      <w:tr w:rsidR="00EB58C7" w:rsidRPr="00E47A49" w14:paraId="4DDE4318" w14:textId="77777777" w:rsidTr="00EB58C7">
        <w:tc>
          <w:tcPr>
            <w:tcW w:w="2127" w:type="dxa"/>
            <w:tcBorders>
              <w:top w:val="nil"/>
              <w:bottom w:val="nil"/>
            </w:tcBorders>
          </w:tcPr>
          <w:p w14:paraId="0B0D797D" w14:textId="77777777" w:rsidR="00EB58C7" w:rsidRPr="00E47A49" w:rsidRDefault="00EB58C7" w:rsidP="005E3B2D">
            <w:pPr>
              <w:ind w:left="567"/>
              <w:contextualSpacing/>
              <w:jc w:val="both"/>
              <w:rPr>
                <w:rFonts w:ascii="Twentieth Century" w:hAnsi="Twentieth Century" w:hint="eastAsia"/>
                <w:sz w:val="20"/>
                <w:szCs w:val="20"/>
              </w:rPr>
            </w:pPr>
            <w:proofErr w:type="spellStart"/>
            <w:r w:rsidRPr="00E47A49">
              <w:rPr>
                <w:rFonts w:ascii="Twentieth Century" w:hAnsi="Twentieth Century"/>
                <w:sz w:val="20"/>
                <w:szCs w:val="20"/>
              </w:rPr>
              <w:t>Ringan</w:t>
            </w:r>
            <w:proofErr w:type="spellEnd"/>
          </w:p>
        </w:tc>
        <w:tc>
          <w:tcPr>
            <w:tcW w:w="1020" w:type="dxa"/>
            <w:tcBorders>
              <w:top w:val="nil"/>
              <w:bottom w:val="nil"/>
            </w:tcBorders>
          </w:tcPr>
          <w:p w14:paraId="1EFA719A" w14:textId="77777777" w:rsidR="00EB58C7" w:rsidRPr="00E47A49" w:rsidRDefault="00EB58C7" w:rsidP="00EB58C7">
            <w:pPr>
              <w:ind w:left="-16"/>
              <w:contextualSpacing/>
              <w:jc w:val="center"/>
              <w:rPr>
                <w:rFonts w:ascii="Twentieth Century" w:hAnsi="Twentieth Century" w:hint="eastAsia"/>
                <w:sz w:val="20"/>
                <w:szCs w:val="20"/>
              </w:rPr>
            </w:pPr>
            <w:r w:rsidRPr="00E47A49">
              <w:rPr>
                <w:rFonts w:ascii="Twentieth Century" w:hAnsi="Twentieth Century"/>
                <w:sz w:val="20"/>
                <w:szCs w:val="20"/>
              </w:rPr>
              <w:t>36</w:t>
            </w:r>
          </w:p>
        </w:tc>
        <w:tc>
          <w:tcPr>
            <w:tcW w:w="1250" w:type="dxa"/>
            <w:tcBorders>
              <w:top w:val="nil"/>
              <w:bottom w:val="nil"/>
            </w:tcBorders>
          </w:tcPr>
          <w:p w14:paraId="08E4D579" w14:textId="77777777" w:rsidR="00EB58C7" w:rsidRPr="00E47A49" w:rsidRDefault="00EB58C7" w:rsidP="00EB58C7">
            <w:pPr>
              <w:ind w:left="-16"/>
              <w:contextualSpacing/>
              <w:jc w:val="center"/>
              <w:rPr>
                <w:rFonts w:ascii="Twentieth Century" w:hAnsi="Twentieth Century" w:hint="eastAsia"/>
                <w:sz w:val="20"/>
                <w:szCs w:val="20"/>
              </w:rPr>
            </w:pPr>
            <w:r w:rsidRPr="00E47A49">
              <w:rPr>
                <w:rFonts w:ascii="Twentieth Century" w:hAnsi="Twentieth Century"/>
                <w:sz w:val="20"/>
                <w:szCs w:val="20"/>
              </w:rPr>
              <w:t>72</w:t>
            </w:r>
          </w:p>
        </w:tc>
      </w:tr>
      <w:tr w:rsidR="00EB58C7" w:rsidRPr="00E47A49" w14:paraId="683395AD" w14:textId="77777777" w:rsidTr="00EB58C7">
        <w:tc>
          <w:tcPr>
            <w:tcW w:w="2127" w:type="dxa"/>
            <w:tcBorders>
              <w:top w:val="nil"/>
              <w:bottom w:val="nil"/>
            </w:tcBorders>
          </w:tcPr>
          <w:p w14:paraId="62C0DC23" w14:textId="77777777" w:rsidR="00EB58C7" w:rsidRPr="00E47A49" w:rsidRDefault="00EB58C7" w:rsidP="005E3B2D">
            <w:pPr>
              <w:ind w:left="567"/>
              <w:contextualSpacing/>
              <w:jc w:val="both"/>
              <w:rPr>
                <w:rFonts w:ascii="Twentieth Century" w:hAnsi="Twentieth Century" w:hint="eastAsia"/>
                <w:sz w:val="20"/>
                <w:szCs w:val="20"/>
              </w:rPr>
            </w:pPr>
            <w:r w:rsidRPr="00E47A49">
              <w:rPr>
                <w:rFonts w:ascii="Twentieth Century" w:hAnsi="Twentieth Century"/>
                <w:sz w:val="20"/>
                <w:szCs w:val="20"/>
              </w:rPr>
              <w:t>Sedang</w:t>
            </w:r>
          </w:p>
        </w:tc>
        <w:tc>
          <w:tcPr>
            <w:tcW w:w="1020" w:type="dxa"/>
            <w:tcBorders>
              <w:top w:val="nil"/>
              <w:bottom w:val="nil"/>
            </w:tcBorders>
          </w:tcPr>
          <w:p w14:paraId="1BCA248D" w14:textId="77777777" w:rsidR="00EB58C7" w:rsidRPr="00E47A49" w:rsidRDefault="00EB58C7" w:rsidP="00EB58C7">
            <w:pPr>
              <w:ind w:left="-16"/>
              <w:contextualSpacing/>
              <w:jc w:val="center"/>
              <w:rPr>
                <w:rFonts w:ascii="Twentieth Century" w:hAnsi="Twentieth Century" w:hint="eastAsia"/>
                <w:sz w:val="20"/>
                <w:szCs w:val="20"/>
              </w:rPr>
            </w:pPr>
            <w:r w:rsidRPr="00E47A49">
              <w:rPr>
                <w:rFonts w:ascii="Twentieth Century" w:hAnsi="Twentieth Century"/>
                <w:sz w:val="20"/>
                <w:szCs w:val="20"/>
              </w:rPr>
              <w:t>8</w:t>
            </w:r>
          </w:p>
        </w:tc>
        <w:tc>
          <w:tcPr>
            <w:tcW w:w="1250" w:type="dxa"/>
            <w:tcBorders>
              <w:top w:val="nil"/>
              <w:bottom w:val="nil"/>
            </w:tcBorders>
          </w:tcPr>
          <w:p w14:paraId="34E8F609" w14:textId="77777777" w:rsidR="00EB58C7" w:rsidRPr="00E47A49" w:rsidRDefault="00EB58C7" w:rsidP="00EB58C7">
            <w:pPr>
              <w:ind w:left="-16"/>
              <w:contextualSpacing/>
              <w:jc w:val="center"/>
              <w:rPr>
                <w:rFonts w:ascii="Twentieth Century" w:hAnsi="Twentieth Century" w:hint="eastAsia"/>
                <w:sz w:val="20"/>
                <w:szCs w:val="20"/>
              </w:rPr>
            </w:pPr>
            <w:r w:rsidRPr="00E47A49">
              <w:rPr>
                <w:rFonts w:ascii="Twentieth Century" w:hAnsi="Twentieth Century"/>
                <w:sz w:val="20"/>
                <w:szCs w:val="20"/>
              </w:rPr>
              <w:t>16</w:t>
            </w:r>
          </w:p>
        </w:tc>
      </w:tr>
      <w:tr w:rsidR="00EB58C7" w:rsidRPr="00E47A49" w14:paraId="57A35C11" w14:textId="77777777" w:rsidTr="00EB58C7">
        <w:tc>
          <w:tcPr>
            <w:tcW w:w="2127" w:type="dxa"/>
            <w:tcBorders>
              <w:top w:val="nil"/>
              <w:bottom w:val="nil"/>
            </w:tcBorders>
          </w:tcPr>
          <w:p w14:paraId="1E0208F5" w14:textId="77777777" w:rsidR="00EB58C7" w:rsidRPr="00E47A49" w:rsidRDefault="00EB58C7" w:rsidP="005E3B2D">
            <w:pPr>
              <w:ind w:left="567"/>
              <w:contextualSpacing/>
              <w:jc w:val="both"/>
              <w:rPr>
                <w:rFonts w:ascii="Twentieth Century" w:hAnsi="Twentieth Century" w:hint="eastAsia"/>
                <w:sz w:val="20"/>
                <w:szCs w:val="20"/>
              </w:rPr>
            </w:pPr>
            <w:proofErr w:type="spellStart"/>
            <w:r w:rsidRPr="00E47A49">
              <w:rPr>
                <w:rFonts w:ascii="Twentieth Century" w:hAnsi="Twentieth Century"/>
                <w:sz w:val="20"/>
                <w:szCs w:val="20"/>
              </w:rPr>
              <w:t>Berat</w:t>
            </w:r>
            <w:proofErr w:type="spellEnd"/>
          </w:p>
        </w:tc>
        <w:tc>
          <w:tcPr>
            <w:tcW w:w="1020" w:type="dxa"/>
            <w:tcBorders>
              <w:top w:val="nil"/>
              <w:bottom w:val="nil"/>
            </w:tcBorders>
          </w:tcPr>
          <w:p w14:paraId="4F1E6330" w14:textId="77777777" w:rsidR="00EB58C7" w:rsidRPr="00E47A49" w:rsidRDefault="00EB58C7" w:rsidP="00EB58C7">
            <w:pPr>
              <w:ind w:left="-16"/>
              <w:contextualSpacing/>
              <w:jc w:val="center"/>
              <w:rPr>
                <w:rFonts w:ascii="Twentieth Century" w:hAnsi="Twentieth Century" w:hint="eastAsia"/>
                <w:sz w:val="20"/>
                <w:szCs w:val="20"/>
              </w:rPr>
            </w:pPr>
            <w:r w:rsidRPr="00E47A49">
              <w:rPr>
                <w:rFonts w:ascii="Twentieth Century" w:hAnsi="Twentieth Century"/>
                <w:sz w:val="20"/>
                <w:szCs w:val="20"/>
              </w:rPr>
              <w:t>2</w:t>
            </w:r>
          </w:p>
        </w:tc>
        <w:tc>
          <w:tcPr>
            <w:tcW w:w="1250" w:type="dxa"/>
            <w:tcBorders>
              <w:top w:val="nil"/>
              <w:bottom w:val="nil"/>
            </w:tcBorders>
          </w:tcPr>
          <w:p w14:paraId="5BD00D84" w14:textId="77777777" w:rsidR="00EB58C7" w:rsidRPr="00E47A49" w:rsidRDefault="00EB58C7" w:rsidP="00EB58C7">
            <w:pPr>
              <w:ind w:left="-16"/>
              <w:contextualSpacing/>
              <w:jc w:val="center"/>
              <w:rPr>
                <w:rFonts w:ascii="Twentieth Century" w:hAnsi="Twentieth Century" w:hint="eastAsia"/>
                <w:sz w:val="20"/>
                <w:szCs w:val="20"/>
              </w:rPr>
            </w:pPr>
            <w:r w:rsidRPr="00E47A49">
              <w:rPr>
                <w:rFonts w:ascii="Twentieth Century" w:hAnsi="Twentieth Century"/>
                <w:sz w:val="20"/>
                <w:szCs w:val="20"/>
              </w:rPr>
              <w:t>4</w:t>
            </w:r>
          </w:p>
        </w:tc>
      </w:tr>
      <w:tr w:rsidR="00EB58C7" w:rsidRPr="00E47A49" w14:paraId="1DC768B4" w14:textId="77777777" w:rsidTr="00EB58C7">
        <w:tc>
          <w:tcPr>
            <w:tcW w:w="2127" w:type="dxa"/>
            <w:tcBorders>
              <w:top w:val="nil"/>
              <w:bottom w:val="single" w:sz="4" w:space="0" w:color="auto"/>
            </w:tcBorders>
          </w:tcPr>
          <w:p w14:paraId="310FCD38" w14:textId="77777777" w:rsidR="00EB58C7" w:rsidRPr="00E47A49" w:rsidRDefault="00EB58C7" w:rsidP="005E3B2D">
            <w:pPr>
              <w:ind w:left="567"/>
              <w:contextualSpacing/>
              <w:jc w:val="both"/>
              <w:rPr>
                <w:rFonts w:ascii="Twentieth Century" w:hAnsi="Twentieth Century" w:hint="eastAsia"/>
                <w:sz w:val="20"/>
                <w:szCs w:val="20"/>
              </w:rPr>
            </w:pPr>
            <w:proofErr w:type="spellStart"/>
            <w:r w:rsidRPr="00E47A49">
              <w:rPr>
                <w:rFonts w:ascii="Twentieth Century" w:hAnsi="Twentieth Century"/>
                <w:sz w:val="20"/>
                <w:szCs w:val="20"/>
              </w:rPr>
              <w:t>Tidak</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Cemas</w:t>
            </w:r>
            <w:proofErr w:type="spellEnd"/>
          </w:p>
        </w:tc>
        <w:tc>
          <w:tcPr>
            <w:tcW w:w="1020" w:type="dxa"/>
            <w:tcBorders>
              <w:top w:val="nil"/>
              <w:bottom w:val="single" w:sz="4" w:space="0" w:color="auto"/>
            </w:tcBorders>
          </w:tcPr>
          <w:p w14:paraId="4640BD67" w14:textId="77777777" w:rsidR="00EB58C7" w:rsidRPr="00E47A49" w:rsidRDefault="00EB58C7" w:rsidP="00EB58C7">
            <w:pPr>
              <w:ind w:left="-16"/>
              <w:contextualSpacing/>
              <w:jc w:val="center"/>
              <w:rPr>
                <w:rFonts w:ascii="Twentieth Century" w:hAnsi="Twentieth Century" w:hint="eastAsia"/>
                <w:sz w:val="20"/>
                <w:szCs w:val="20"/>
              </w:rPr>
            </w:pPr>
            <w:r w:rsidRPr="00E47A49">
              <w:rPr>
                <w:rFonts w:ascii="Twentieth Century" w:hAnsi="Twentieth Century"/>
                <w:sz w:val="20"/>
                <w:szCs w:val="20"/>
              </w:rPr>
              <w:t>4</w:t>
            </w:r>
          </w:p>
        </w:tc>
        <w:tc>
          <w:tcPr>
            <w:tcW w:w="1250" w:type="dxa"/>
            <w:tcBorders>
              <w:top w:val="nil"/>
              <w:bottom w:val="single" w:sz="4" w:space="0" w:color="auto"/>
            </w:tcBorders>
          </w:tcPr>
          <w:p w14:paraId="3CAEED03" w14:textId="77777777" w:rsidR="00EB58C7" w:rsidRPr="00E47A49" w:rsidRDefault="00EB58C7" w:rsidP="00EB58C7">
            <w:pPr>
              <w:ind w:left="-16"/>
              <w:contextualSpacing/>
              <w:jc w:val="center"/>
              <w:rPr>
                <w:rFonts w:ascii="Twentieth Century" w:hAnsi="Twentieth Century" w:hint="eastAsia"/>
                <w:sz w:val="20"/>
                <w:szCs w:val="20"/>
              </w:rPr>
            </w:pPr>
            <w:r w:rsidRPr="00E47A49">
              <w:rPr>
                <w:rFonts w:ascii="Twentieth Century" w:hAnsi="Twentieth Century"/>
                <w:sz w:val="20"/>
                <w:szCs w:val="20"/>
              </w:rPr>
              <w:t>8</w:t>
            </w:r>
          </w:p>
        </w:tc>
      </w:tr>
    </w:tbl>
    <w:p w14:paraId="0608885A" w14:textId="77777777" w:rsidR="00EB58C7" w:rsidRPr="00E47A49" w:rsidRDefault="00EB58C7" w:rsidP="00EB58C7">
      <w:pPr>
        <w:widowControl w:val="0"/>
        <w:autoSpaceDE w:val="0"/>
        <w:autoSpaceDN w:val="0"/>
        <w:adjustRightInd w:val="0"/>
        <w:spacing w:after="100" w:afterAutospacing="1" w:line="240" w:lineRule="auto"/>
        <w:jc w:val="both"/>
        <w:rPr>
          <w:rFonts w:ascii="Twentieth Century" w:hAnsi="Twentieth Century" w:hint="eastAsia"/>
          <w:sz w:val="20"/>
          <w:szCs w:val="20"/>
        </w:rPr>
      </w:pPr>
      <w:proofErr w:type="spellStart"/>
      <w:r w:rsidRPr="00E47A49">
        <w:rPr>
          <w:rFonts w:ascii="Twentieth Century" w:hAnsi="Twentieth Century"/>
          <w:sz w:val="20"/>
          <w:szCs w:val="20"/>
        </w:rPr>
        <w:t>Variabel</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Dependen</w:t>
      </w:r>
      <w:proofErr w:type="spellEnd"/>
      <w:r w:rsidRPr="00E47A49">
        <w:rPr>
          <w:rFonts w:ascii="Twentieth Century" w:hAnsi="Twentieth Century"/>
          <w:sz w:val="20"/>
          <w:szCs w:val="20"/>
        </w:rPr>
        <w:t xml:space="preserve">: Tingkat </w:t>
      </w:r>
      <w:proofErr w:type="spellStart"/>
      <w:r w:rsidRPr="00E47A49">
        <w:rPr>
          <w:rFonts w:ascii="Twentieth Century" w:hAnsi="Twentieth Century"/>
          <w:sz w:val="20"/>
          <w:szCs w:val="20"/>
        </w:rPr>
        <w:t>Kecemasan</w:t>
      </w:r>
      <w:proofErr w:type="spellEnd"/>
    </w:p>
    <w:p w14:paraId="106398B3" w14:textId="77777777" w:rsidR="00EB58C7" w:rsidRPr="00E47A49" w:rsidRDefault="00EB58C7" w:rsidP="00EB58C7">
      <w:pPr>
        <w:pStyle w:val="TeksKomentar"/>
        <w:jc w:val="both"/>
        <w:rPr>
          <w:rFonts w:ascii="Twentieth Century" w:hAnsi="Twentieth Century"/>
          <w:lang w:val="en-US"/>
        </w:rPr>
      </w:pPr>
    </w:p>
    <w:p w14:paraId="57E5C0C0" w14:textId="77777777" w:rsidR="00EB58C7" w:rsidRPr="00E47A49" w:rsidRDefault="00EB58C7" w:rsidP="00EB58C7">
      <w:pPr>
        <w:tabs>
          <w:tab w:val="left" w:pos="2127"/>
        </w:tabs>
        <w:spacing w:line="240" w:lineRule="auto"/>
        <w:contextualSpacing/>
        <w:rPr>
          <w:rFonts w:ascii="Twentieth Century" w:hAnsi="Twentieth Century" w:hint="eastAsia"/>
          <w:sz w:val="20"/>
          <w:szCs w:val="20"/>
        </w:rPr>
      </w:pPr>
      <w:proofErr w:type="spellStart"/>
      <w:r w:rsidRPr="00E47A49">
        <w:rPr>
          <w:rFonts w:ascii="Twentieth Century" w:hAnsi="Twentieth Century"/>
          <w:sz w:val="20"/>
          <w:szCs w:val="20"/>
        </w:rPr>
        <w:t>Tabel</w:t>
      </w:r>
      <w:proofErr w:type="spellEnd"/>
      <w:r w:rsidRPr="00E47A49">
        <w:rPr>
          <w:rFonts w:ascii="Twentieth Century" w:hAnsi="Twentieth Century"/>
          <w:sz w:val="20"/>
          <w:szCs w:val="20"/>
        </w:rPr>
        <w:t xml:space="preserve"> 3 </w:t>
      </w:r>
      <w:proofErr w:type="spellStart"/>
      <w:r w:rsidRPr="00E47A49">
        <w:rPr>
          <w:rFonts w:ascii="Twentieth Century" w:hAnsi="Twentieth Century"/>
          <w:sz w:val="20"/>
          <w:szCs w:val="20"/>
        </w:rPr>
        <w:t>Pengaruh</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Terapi</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Kelompok</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Terapeutik</w:t>
      </w:r>
      <w:proofErr w:type="spellEnd"/>
      <w:r w:rsidRPr="00E47A49">
        <w:rPr>
          <w:rFonts w:ascii="Twentieth Century" w:hAnsi="Twentieth Century"/>
          <w:sz w:val="20"/>
          <w:szCs w:val="20"/>
        </w:rPr>
        <w:t xml:space="preserve"> (TKT), Pendidikan Kesehatan, dan TS </w:t>
      </w:r>
      <w:proofErr w:type="spellStart"/>
      <w:r w:rsidRPr="00E47A49">
        <w:rPr>
          <w:rFonts w:ascii="Twentieth Century" w:hAnsi="Twentieth Century"/>
          <w:sz w:val="20"/>
          <w:szCs w:val="20"/>
        </w:rPr>
        <w:t>terhadap</w:t>
      </w:r>
      <w:proofErr w:type="spellEnd"/>
      <w:r w:rsidRPr="00E47A49">
        <w:rPr>
          <w:rFonts w:ascii="Twentieth Century" w:hAnsi="Twentieth Century"/>
          <w:sz w:val="20"/>
          <w:szCs w:val="20"/>
        </w:rPr>
        <w:t xml:space="preserve"> Tingkat </w:t>
      </w:r>
      <w:proofErr w:type="spellStart"/>
      <w:r w:rsidRPr="00E47A49">
        <w:rPr>
          <w:rFonts w:ascii="Twentieth Century" w:hAnsi="Twentieth Century"/>
          <w:sz w:val="20"/>
          <w:szCs w:val="20"/>
        </w:rPr>
        <w:t>Kecemasan</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menghadapi</w:t>
      </w:r>
      <w:proofErr w:type="spellEnd"/>
      <w:r w:rsidRPr="00E47A49">
        <w:rPr>
          <w:rFonts w:ascii="Twentieth Century" w:hAnsi="Twentieth Century"/>
          <w:sz w:val="20"/>
          <w:szCs w:val="20"/>
        </w:rPr>
        <w:t xml:space="preserve"> Menarche pada Anak </w:t>
      </w:r>
      <w:proofErr w:type="spellStart"/>
      <w:r w:rsidRPr="00E47A49">
        <w:rPr>
          <w:rFonts w:ascii="Twentieth Century" w:hAnsi="Twentieth Century"/>
          <w:sz w:val="20"/>
          <w:szCs w:val="20"/>
        </w:rPr>
        <w:t>Usia</w:t>
      </w:r>
      <w:proofErr w:type="spellEnd"/>
      <w:r w:rsidRPr="00E47A49">
        <w:rPr>
          <w:rFonts w:ascii="Twentieth Century" w:hAnsi="Twentieth Century"/>
          <w:sz w:val="20"/>
          <w:szCs w:val="20"/>
        </w:rPr>
        <w:t xml:space="preserve"> </w:t>
      </w:r>
      <w:proofErr w:type="spellStart"/>
      <w:r w:rsidRPr="00E47A49">
        <w:rPr>
          <w:rFonts w:ascii="Twentieth Century" w:hAnsi="Twentieth Century"/>
          <w:sz w:val="20"/>
          <w:szCs w:val="20"/>
        </w:rPr>
        <w:t>Sekolah</w:t>
      </w:r>
      <w:proofErr w:type="spellEnd"/>
      <w:r w:rsidRPr="00E47A49">
        <w:rPr>
          <w:rFonts w:ascii="Twentieth Century" w:hAnsi="Twentieth Century"/>
          <w:sz w:val="20"/>
          <w:szCs w:val="20"/>
        </w:rPr>
        <w:t xml:space="preserve">, </w:t>
      </w:r>
    </w:p>
    <w:p w14:paraId="242068A8" w14:textId="77777777" w:rsidR="00EB58C7" w:rsidRPr="00E47A49" w:rsidRDefault="00EB58C7" w:rsidP="00EB58C7">
      <w:pPr>
        <w:tabs>
          <w:tab w:val="left" w:pos="2127"/>
        </w:tabs>
        <w:spacing w:line="240" w:lineRule="auto"/>
        <w:ind w:left="567"/>
        <w:contextualSpacing/>
        <w:jc w:val="center"/>
        <w:rPr>
          <w:rFonts w:ascii="Twentieth Century" w:hAnsi="Twentieth Century" w:hint="eastAsia"/>
          <w:sz w:val="20"/>
          <w:szCs w:val="20"/>
        </w:rPr>
      </w:pPr>
    </w:p>
    <w:tbl>
      <w:tblPr>
        <w:tblStyle w:val="KisiTabel"/>
        <w:tblW w:w="4747"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560"/>
        <w:gridCol w:w="1029"/>
        <w:gridCol w:w="891"/>
        <w:gridCol w:w="1267"/>
      </w:tblGrid>
      <w:tr w:rsidR="00EB58C7" w:rsidRPr="00E47A49" w14:paraId="1D81D75A" w14:textId="77777777" w:rsidTr="00E47A49">
        <w:trPr>
          <w:trHeight w:val="387"/>
        </w:trPr>
        <w:tc>
          <w:tcPr>
            <w:tcW w:w="1560" w:type="dxa"/>
            <w:tcBorders>
              <w:bottom w:val="single" w:sz="4" w:space="0" w:color="auto"/>
            </w:tcBorders>
            <w:vAlign w:val="center"/>
          </w:tcPr>
          <w:p w14:paraId="0A5BC5E2" w14:textId="77777777" w:rsidR="00EB58C7" w:rsidRPr="00E47A49" w:rsidRDefault="00EB58C7" w:rsidP="00E47A49">
            <w:pPr>
              <w:tabs>
                <w:tab w:val="left" w:pos="2127"/>
              </w:tabs>
              <w:contextualSpacing/>
              <w:rPr>
                <w:rFonts w:ascii="Twentieth Century" w:hAnsi="Twentieth Century" w:cs="Times New Roman" w:hint="eastAsia"/>
                <w:sz w:val="20"/>
                <w:szCs w:val="20"/>
              </w:rPr>
            </w:pPr>
            <w:proofErr w:type="spellStart"/>
            <w:r w:rsidRPr="00E47A49">
              <w:rPr>
                <w:rFonts w:ascii="Twentieth Century" w:hAnsi="Twentieth Century" w:cs="Times New Roman"/>
                <w:sz w:val="20"/>
                <w:szCs w:val="20"/>
              </w:rPr>
              <w:t>Variabel</w:t>
            </w:r>
            <w:proofErr w:type="spellEnd"/>
          </w:p>
        </w:tc>
        <w:tc>
          <w:tcPr>
            <w:tcW w:w="1029" w:type="dxa"/>
            <w:tcBorders>
              <w:bottom w:val="single" w:sz="4" w:space="0" w:color="auto"/>
            </w:tcBorders>
            <w:vAlign w:val="center"/>
          </w:tcPr>
          <w:p w14:paraId="7DC32233" w14:textId="77777777" w:rsidR="00EB58C7" w:rsidRPr="00E47A49" w:rsidRDefault="00EB58C7" w:rsidP="00EB58C7">
            <w:pPr>
              <w:tabs>
                <w:tab w:val="left" w:pos="2127"/>
              </w:tabs>
              <w:contextualSpacing/>
              <w:jc w:val="center"/>
              <w:rPr>
                <w:rFonts w:ascii="Twentieth Century" w:hAnsi="Twentieth Century" w:cs="Times New Roman" w:hint="eastAsia"/>
                <w:sz w:val="20"/>
                <w:szCs w:val="20"/>
                <w:lang w:val="id-ID"/>
              </w:rPr>
            </w:pPr>
            <w:r w:rsidRPr="00E47A49">
              <w:rPr>
                <w:rFonts w:ascii="Twentieth Century" w:hAnsi="Twentieth Century" w:cs="Times New Roman"/>
                <w:sz w:val="20"/>
                <w:szCs w:val="20"/>
              </w:rPr>
              <w:t>N</w:t>
            </w:r>
          </w:p>
        </w:tc>
        <w:tc>
          <w:tcPr>
            <w:tcW w:w="891" w:type="dxa"/>
            <w:tcBorders>
              <w:bottom w:val="single" w:sz="4" w:space="0" w:color="auto"/>
            </w:tcBorders>
            <w:vAlign w:val="center"/>
          </w:tcPr>
          <w:p w14:paraId="4203FA16" w14:textId="77777777" w:rsidR="00EB58C7" w:rsidRPr="00E47A49" w:rsidRDefault="00EB58C7" w:rsidP="00EB58C7">
            <w:pPr>
              <w:tabs>
                <w:tab w:val="left" w:pos="2127"/>
              </w:tabs>
              <w:contextualSpacing/>
              <w:jc w:val="center"/>
              <w:rPr>
                <w:rFonts w:ascii="Twentieth Century" w:hAnsi="Twentieth Century" w:cs="Times New Roman" w:hint="eastAsia"/>
                <w:sz w:val="20"/>
                <w:szCs w:val="20"/>
              </w:rPr>
            </w:pPr>
            <w:r w:rsidRPr="00E47A49">
              <w:rPr>
                <w:rFonts w:ascii="Twentieth Century" w:hAnsi="Twentieth Century" w:cs="Times New Roman"/>
                <w:sz w:val="20"/>
                <w:szCs w:val="20"/>
              </w:rPr>
              <w:t>Z</w:t>
            </w:r>
          </w:p>
        </w:tc>
        <w:tc>
          <w:tcPr>
            <w:tcW w:w="1267" w:type="dxa"/>
            <w:tcBorders>
              <w:bottom w:val="single" w:sz="4" w:space="0" w:color="auto"/>
            </w:tcBorders>
          </w:tcPr>
          <w:p w14:paraId="2D9DE5B3" w14:textId="77777777" w:rsidR="00EB58C7" w:rsidRPr="00E47A49" w:rsidRDefault="00EB58C7" w:rsidP="00EB58C7">
            <w:pPr>
              <w:tabs>
                <w:tab w:val="left" w:pos="2127"/>
              </w:tabs>
              <w:ind w:left="-185"/>
              <w:contextualSpacing/>
              <w:jc w:val="center"/>
              <w:rPr>
                <w:rFonts w:ascii="Twentieth Century" w:hAnsi="Twentieth Century" w:hint="eastAsia"/>
                <w:i/>
                <w:sz w:val="20"/>
                <w:szCs w:val="20"/>
              </w:rPr>
            </w:pPr>
            <w:r w:rsidRPr="00E47A49">
              <w:rPr>
                <w:rFonts w:ascii="Twentieth Century" w:hAnsi="Twentieth Century"/>
                <w:i/>
                <w:sz w:val="20"/>
                <w:szCs w:val="20"/>
              </w:rPr>
              <w:t>p-value</w:t>
            </w:r>
          </w:p>
        </w:tc>
      </w:tr>
      <w:tr w:rsidR="00EB58C7" w:rsidRPr="00E47A49" w14:paraId="1DA8A6AC" w14:textId="77777777" w:rsidTr="00E47A49">
        <w:tc>
          <w:tcPr>
            <w:tcW w:w="1560" w:type="dxa"/>
            <w:tcBorders>
              <w:top w:val="single" w:sz="4" w:space="0" w:color="auto"/>
              <w:bottom w:val="single" w:sz="4" w:space="0" w:color="auto"/>
            </w:tcBorders>
          </w:tcPr>
          <w:p w14:paraId="192F4A93" w14:textId="77777777" w:rsidR="00EB58C7" w:rsidRPr="00E47A49" w:rsidRDefault="00E47A49" w:rsidP="00EB58C7">
            <w:pPr>
              <w:contextualSpacing/>
              <w:rPr>
                <w:rFonts w:ascii="Twentieth Century" w:hAnsi="Twentieth Century" w:cs="Times New Roman" w:hint="eastAsia"/>
                <w:sz w:val="20"/>
                <w:szCs w:val="20"/>
              </w:rPr>
            </w:pPr>
            <w:proofErr w:type="spellStart"/>
            <w:r w:rsidRPr="00E47A49">
              <w:rPr>
                <w:rFonts w:ascii="Twentieth Century" w:hAnsi="Twentieth Century" w:cs="Times New Roman"/>
                <w:sz w:val="20"/>
                <w:szCs w:val="20"/>
              </w:rPr>
              <w:t>Implementasi</w:t>
            </w:r>
            <w:proofErr w:type="spellEnd"/>
            <w:r w:rsidRPr="00E47A49">
              <w:rPr>
                <w:rFonts w:ascii="Twentieth Century" w:hAnsi="Twentieth Century" w:cs="Times New Roman"/>
                <w:sz w:val="20"/>
                <w:szCs w:val="20"/>
              </w:rPr>
              <w:t xml:space="preserve"> TKT, </w:t>
            </w:r>
            <w:proofErr w:type="spellStart"/>
            <w:r w:rsidRPr="00E47A49">
              <w:rPr>
                <w:rFonts w:ascii="Twentieth Century" w:hAnsi="Twentieth Century" w:cs="Times New Roman"/>
                <w:sz w:val="20"/>
                <w:szCs w:val="20"/>
              </w:rPr>
              <w:t>Penkes</w:t>
            </w:r>
            <w:proofErr w:type="spellEnd"/>
            <w:r w:rsidRPr="00E47A49">
              <w:rPr>
                <w:rFonts w:ascii="Twentieth Century" w:hAnsi="Twentieth Century" w:cs="Times New Roman"/>
                <w:sz w:val="20"/>
                <w:szCs w:val="20"/>
              </w:rPr>
              <w:t xml:space="preserve"> dan TS </w:t>
            </w:r>
            <w:proofErr w:type="spellStart"/>
            <w:r w:rsidRPr="00E47A49">
              <w:rPr>
                <w:rFonts w:ascii="Twentieth Century" w:hAnsi="Twentieth Century" w:cs="Times New Roman"/>
                <w:sz w:val="20"/>
                <w:szCs w:val="20"/>
              </w:rPr>
              <w:t>terhadap</w:t>
            </w:r>
            <w:proofErr w:type="spellEnd"/>
            <w:r w:rsidRPr="00E47A49">
              <w:rPr>
                <w:rFonts w:ascii="Twentieth Century" w:hAnsi="Twentieth Century" w:cs="Times New Roman"/>
                <w:sz w:val="20"/>
                <w:szCs w:val="20"/>
              </w:rPr>
              <w:t xml:space="preserve"> Tingkat </w:t>
            </w:r>
            <w:proofErr w:type="spellStart"/>
            <w:r w:rsidRPr="00E47A49">
              <w:rPr>
                <w:rFonts w:ascii="Twentieth Century" w:hAnsi="Twentieth Century" w:cs="Times New Roman"/>
                <w:sz w:val="20"/>
                <w:szCs w:val="20"/>
              </w:rPr>
              <w:t>Kecemasan</w:t>
            </w:r>
            <w:proofErr w:type="spellEnd"/>
          </w:p>
        </w:tc>
        <w:tc>
          <w:tcPr>
            <w:tcW w:w="1029" w:type="dxa"/>
            <w:tcBorders>
              <w:top w:val="single" w:sz="4" w:space="0" w:color="auto"/>
              <w:bottom w:val="single" w:sz="4" w:space="0" w:color="auto"/>
            </w:tcBorders>
          </w:tcPr>
          <w:p w14:paraId="464CA9B1" w14:textId="77777777" w:rsidR="00EB58C7" w:rsidRPr="00E47A49" w:rsidRDefault="00EB58C7" w:rsidP="00EB58C7">
            <w:pPr>
              <w:contextualSpacing/>
              <w:jc w:val="center"/>
              <w:rPr>
                <w:rFonts w:ascii="Twentieth Century" w:hAnsi="Twentieth Century" w:cs="Times New Roman" w:hint="eastAsia"/>
                <w:sz w:val="20"/>
                <w:szCs w:val="20"/>
              </w:rPr>
            </w:pPr>
            <w:r w:rsidRPr="00E47A49">
              <w:rPr>
                <w:rFonts w:ascii="Twentieth Century" w:hAnsi="Twentieth Century" w:cs="Times New Roman"/>
                <w:sz w:val="20"/>
                <w:szCs w:val="20"/>
              </w:rPr>
              <w:t>20</w:t>
            </w:r>
          </w:p>
        </w:tc>
        <w:tc>
          <w:tcPr>
            <w:tcW w:w="891" w:type="dxa"/>
            <w:tcBorders>
              <w:top w:val="single" w:sz="4" w:space="0" w:color="auto"/>
              <w:bottom w:val="single" w:sz="4" w:space="0" w:color="auto"/>
            </w:tcBorders>
          </w:tcPr>
          <w:p w14:paraId="0616BF4D" w14:textId="77777777" w:rsidR="00EB58C7" w:rsidRPr="00E47A49" w:rsidRDefault="00EB58C7" w:rsidP="00EB58C7">
            <w:pPr>
              <w:contextualSpacing/>
              <w:jc w:val="center"/>
              <w:rPr>
                <w:rFonts w:ascii="Twentieth Century" w:hAnsi="Twentieth Century" w:cs="Times New Roman" w:hint="eastAsia"/>
                <w:sz w:val="20"/>
                <w:szCs w:val="20"/>
              </w:rPr>
            </w:pPr>
            <w:r w:rsidRPr="00E47A49">
              <w:rPr>
                <w:rFonts w:ascii="Twentieth Century" w:hAnsi="Twentieth Century" w:cs="Times New Roman"/>
                <w:sz w:val="20"/>
                <w:szCs w:val="20"/>
              </w:rPr>
              <w:t>-3.500</w:t>
            </w:r>
          </w:p>
        </w:tc>
        <w:tc>
          <w:tcPr>
            <w:tcW w:w="1267" w:type="dxa"/>
            <w:tcBorders>
              <w:top w:val="single" w:sz="4" w:space="0" w:color="auto"/>
              <w:bottom w:val="single" w:sz="4" w:space="0" w:color="auto"/>
            </w:tcBorders>
          </w:tcPr>
          <w:p w14:paraId="31B591D7" w14:textId="77777777" w:rsidR="00EB58C7" w:rsidRPr="00E47A49" w:rsidRDefault="00EB58C7" w:rsidP="00EB58C7">
            <w:pPr>
              <w:contextualSpacing/>
              <w:jc w:val="center"/>
              <w:rPr>
                <w:rFonts w:ascii="Twentieth Century" w:hAnsi="Twentieth Century" w:hint="eastAsia"/>
                <w:sz w:val="20"/>
                <w:szCs w:val="20"/>
              </w:rPr>
            </w:pPr>
            <w:r w:rsidRPr="00E47A49">
              <w:rPr>
                <w:rFonts w:ascii="Twentieth Century" w:hAnsi="Twentieth Century"/>
                <w:sz w:val="20"/>
                <w:szCs w:val="20"/>
              </w:rPr>
              <w:t>0,000</w:t>
            </w:r>
          </w:p>
        </w:tc>
      </w:tr>
    </w:tbl>
    <w:p w14:paraId="6A0EC57C" w14:textId="77777777" w:rsidR="00EB58C7" w:rsidRPr="00E47A49" w:rsidRDefault="00EB58C7" w:rsidP="00EB58C7">
      <w:pPr>
        <w:pStyle w:val="TeksKomentar"/>
        <w:jc w:val="both"/>
        <w:rPr>
          <w:rFonts w:ascii="Twentieth Century" w:hAnsi="Twentieth Century"/>
          <w:sz w:val="22"/>
          <w:szCs w:val="22"/>
          <w:lang w:val="en-US"/>
        </w:rPr>
      </w:pPr>
    </w:p>
    <w:p w14:paraId="53BB1E4E" w14:textId="77777777" w:rsidR="00E47A49" w:rsidRPr="006D6170" w:rsidRDefault="00E47A49" w:rsidP="00E47A49">
      <w:pPr>
        <w:pStyle w:val="TeksKomentar"/>
        <w:jc w:val="both"/>
        <w:rPr>
          <w:rFonts w:ascii="Twentieth Century" w:hAnsi="Twentieth Century"/>
          <w:sz w:val="22"/>
          <w:szCs w:val="22"/>
        </w:rPr>
      </w:pPr>
      <w:r w:rsidRPr="00E47A49">
        <w:rPr>
          <w:rFonts w:ascii="Twentieth Century" w:hAnsi="Twentieth Century"/>
          <w:sz w:val="22"/>
          <w:szCs w:val="22"/>
        </w:rPr>
        <w:t xml:space="preserve">Hasil Analisis </w:t>
      </w:r>
      <w:proofErr w:type="spellStart"/>
      <w:r w:rsidRPr="00E47A49">
        <w:rPr>
          <w:rFonts w:ascii="Twentieth Century" w:hAnsi="Twentieth Century"/>
          <w:sz w:val="22"/>
          <w:szCs w:val="22"/>
        </w:rPr>
        <w:t>Bivariat</w:t>
      </w:r>
      <w:proofErr w:type="spellEnd"/>
      <w:r w:rsidRPr="00E47A49">
        <w:rPr>
          <w:rFonts w:ascii="Twentieth Century" w:hAnsi="Twentieth Century"/>
          <w:sz w:val="22"/>
          <w:szCs w:val="22"/>
        </w:rPr>
        <w:t xml:space="preserve"> uji statistik </w:t>
      </w:r>
      <w:proofErr w:type="spellStart"/>
      <w:r w:rsidRPr="00E47A49">
        <w:rPr>
          <w:rFonts w:ascii="Twentieth Century" w:hAnsi="Twentieth Century"/>
          <w:i/>
          <w:sz w:val="22"/>
          <w:szCs w:val="22"/>
        </w:rPr>
        <w:t>Wilcoxon</w:t>
      </w:r>
      <w:proofErr w:type="spellEnd"/>
      <w:r w:rsidRPr="00E47A49">
        <w:rPr>
          <w:rFonts w:ascii="Twentieth Century" w:hAnsi="Twentieth Century"/>
          <w:i/>
          <w:sz w:val="22"/>
          <w:szCs w:val="22"/>
        </w:rPr>
        <w:t xml:space="preserve"> </w:t>
      </w:r>
      <w:r w:rsidRPr="00E47A49">
        <w:rPr>
          <w:rFonts w:ascii="Twentieth Century" w:hAnsi="Twentieth Century"/>
          <w:sz w:val="22"/>
          <w:szCs w:val="22"/>
        </w:rPr>
        <w:t xml:space="preserve">didapatkan nilai Z </w:t>
      </w:r>
      <w:proofErr w:type="spellStart"/>
      <w:r w:rsidRPr="00E47A49">
        <w:rPr>
          <w:rFonts w:ascii="Twentieth Century" w:hAnsi="Twentieth Century"/>
          <w:sz w:val="22"/>
          <w:szCs w:val="22"/>
        </w:rPr>
        <w:t>pre</w:t>
      </w:r>
      <w:proofErr w:type="spellEnd"/>
      <w:r w:rsidRPr="00E47A49">
        <w:rPr>
          <w:rFonts w:ascii="Twentieth Century" w:hAnsi="Twentieth Century"/>
          <w:sz w:val="22"/>
          <w:szCs w:val="22"/>
        </w:rPr>
        <w:t xml:space="preserve"> dan </w:t>
      </w:r>
      <w:proofErr w:type="spellStart"/>
      <w:r w:rsidRPr="00E47A49">
        <w:rPr>
          <w:rFonts w:ascii="Twentieth Century" w:hAnsi="Twentieth Century"/>
          <w:sz w:val="22"/>
          <w:szCs w:val="22"/>
        </w:rPr>
        <w:t>post</w:t>
      </w:r>
      <w:proofErr w:type="spellEnd"/>
      <w:r w:rsidRPr="00E47A49">
        <w:rPr>
          <w:rFonts w:ascii="Twentieth Century" w:hAnsi="Twentieth Century"/>
          <w:sz w:val="22"/>
          <w:szCs w:val="22"/>
        </w:rPr>
        <w:t xml:space="preserve"> tingkat kecemasan sebesar -3.500 dan p-</w:t>
      </w:r>
      <w:proofErr w:type="spellStart"/>
      <w:r w:rsidRPr="00E47A49">
        <w:rPr>
          <w:rFonts w:ascii="Twentieth Century" w:hAnsi="Twentieth Century"/>
          <w:i/>
          <w:sz w:val="22"/>
          <w:szCs w:val="22"/>
        </w:rPr>
        <w:t>value</w:t>
      </w:r>
      <w:proofErr w:type="spellEnd"/>
      <w:r w:rsidRPr="00E47A49">
        <w:rPr>
          <w:rFonts w:ascii="Twentieth Century" w:hAnsi="Twentieth Century"/>
          <w:i/>
          <w:sz w:val="22"/>
          <w:szCs w:val="22"/>
        </w:rPr>
        <w:t xml:space="preserve"> </w:t>
      </w:r>
      <w:r w:rsidRPr="00E47A49">
        <w:rPr>
          <w:rFonts w:ascii="Twentieth Century" w:hAnsi="Twentieth Century"/>
          <w:sz w:val="22"/>
          <w:szCs w:val="22"/>
        </w:rPr>
        <w:t xml:space="preserve">sebesar 0.000 pada </w:t>
      </w:r>
      <w:r w:rsidRPr="00E47A49">
        <w:rPr>
          <w:rFonts w:ascii="Twentieth Century" w:hAnsi="Twentieth Century"/>
          <w:sz w:val="22"/>
          <w:szCs w:val="22"/>
        </w:rPr>
        <w:sym w:font="Symbol" w:char="F061"/>
      </w:r>
      <w:r w:rsidRPr="00E47A49">
        <w:rPr>
          <w:rFonts w:ascii="Twentieth Century" w:hAnsi="Twentieth Century"/>
          <w:sz w:val="22"/>
          <w:szCs w:val="22"/>
        </w:rPr>
        <w:t xml:space="preserve"> 5% (0.05), yang berarti p-</w:t>
      </w:r>
      <w:proofErr w:type="spellStart"/>
      <w:r w:rsidRPr="00E47A49">
        <w:rPr>
          <w:rFonts w:ascii="Twentieth Century" w:hAnsi="Twentieth Century"/>
          <w:i/>
          <w:sz w:val="22"/>
          <w:szCs w:val="22"/>
        </w:rPr>
        <w:t>value</w:t>
      </w:r>
      <w:proofErr w:type="spellEnd"/>
      <w:r w:rsidRPr="00E47A49">
        <w:rPr>
          <w:rFonts w:ascii="Twentieth Century" w:hAnsi="Twentieth Century"/>
          <w:i/>
          <w:sz w:val="22"/>
          <w:szCs w:val="22"/>
        </w:rPr>
        <w:t xml:space="preserve"> </w:t>
      </w:r>
      <w:r w:rsidRPr="00E47A49">
        <w:rPr>
          <w:rFonts w:ascii="Twentieth Century" w:hAnsi="Twentieth Century"/>
          <w:sz w:val="22"/>
          <w:szCs w:val="22"/>
        </w:rPr>
        <w:sym w:font="Symbol" w:char="F03C"/>
      </w:r>
      <w:r w:rsidRPr="00E47A49">
        <w:rPr>
          <w:rFonts w:ascii="Twentieth Century" w:hAnsi="Twentieth Century"/>
          <w:sz w:val="22"/>
          <w:szCs w:val="22"/>
        </w:rPr>
        <w:t xml:space="preserve"> </w:t>
      </w:r>
      <w:r w:rsidRPr="00E47A49">
        <w:rPr>
          <w:rFonts w:ascii="Twentieth Century" w:hAnsi="Twentieth Century"/>
          <w:sz w:val="22"/>
          <w:szCs w:val="22"/>
        </w:rPr>
        <w:sym w:font="Symbol" w:char="F061"/>
      </w:r>
      <w:r w:rsidRPr="00E47A49">
        <w:rPr>
          <w:rFonts w:ascii="Twentieth Century" w:hAnsi="Twentieth Century"/>
          <w:sz w:val="22"/>
          <w:szCs w:val="22"/>
        </w:rPr>
        <w:t xml:space="preserve">. Jadi dapat disimpulkan bahwa ada pengaruh Terapi Kelompok Terapeutik (TKT) pendidikan kesehatan dan TS terhadap tingkat kecemasan menghadapi </w:t>
      </w:r>
      <w:proofErr w:type="spellStart"/>
      <w:r w:rsidRPr="00E47A49">
        <w:rPr>
          <w:rFonts w:ascii="Twentieth Century" w:hAnsi="Twentieth Century"/>
          <w:i/>
          <w:sz w:val="22"/>
          <w:szCs w:val="22"/>
        </w:rPr>
        <w:t>menarche</w:t>
      </w:r>
      <w:proofErr w:type="spellEnd"/>
      <w:r w:rsidRPr="00E47A49">
        <w:rPr>
          <w:rFonts w:ascii="Twentieth Century" w:hAnsi="Twentieth Century"/>
          <w:i/>
          <w:sz w:val="22"/>
          <w:szCs w:val="22"/>
        </w:rPr>
        <w:t xml:space="preserve"> </w:t>
      </w:r>
      <w:r w:rsidRPr="00E47A49">
        <w:rPr>
          <w:rFonts w:ascii="Twentieth Century" w:hAnsi="Twentieth Century"/>
          <w:sz w:val="22"/>
          <w:szCs w:val="22"/>
        </w:rPr>
        <w:t xml:space="preserve">pada siswi di </w:t>
      </w:r>
      <w:r w:rsidRPr="006D6170">
        <w:rPr>
          <w:rFonts w:ascii="Twentieth Century" w:hAnsi="Twentieth Century"/>
          <w:sz w:val="22"/>
          <w:szCs w:val="22"/>
        </w:rPr>
        <w:t>SD Negeri 176</w:t>
      </w:r>
      <w:r w:rsidRPr="00E47A49">
        <w:rPr>
          <w:rFonts w:ascii="Twentieth Century" w:hAnsi="Twentieth Century"/>
          <w:sz w:val="22"/>
          <w:szCs w:val="22"/>
        </w:rPr>
        <w:t xml:space="preserve"> Pekanbaru</w:t>
      </w:r>
      <w:r w:rsidRPr="006D6170">
        <w:rPr>
          <w:rFonts w:ascii="Twentieth Century" w:hAnsi="Twentieth Century"/>
          <w:sz w:val="22"/>
          <w:szCs w:val="22"/>
        </w:rPr>
        <w:t>.</w:t>
      </w:r>
    </w:p>
    <w:p w14:paraId="4C8684A1" w14:textId="77777777" w:rsidR="00EB58C7" w:rsidRPr="006D6170" w:rsidRDefault="00EB58C7" w:rsidP="00EB58C7">
      <w:pPr>
        <w:pStyle w:val="TeksKomentar"/>
        <w:rPr>
          <w:rFonts w:ascii="Twentieth Century" w:hAnsi="Twentieth Century"/>
          <w:b/>
          <w:bCs/>
          <w:sz w:val="22"/>
          <w:szCs w:val="22"/>
        </w:rPr>
      </w:pPr>
    </w:p>
    <w:p w14:paraId="5F9AFCB6" w14:textId="77777777" w:rsidR="00EB58C7" w:rsidRPr="006D6170" w:rsidRDefault="00EB58C7" w:rsidP="00EB58C7">
      <w:pPr>
        <w:pStyle w:val="TeksKomentar"/>
        <w:rPr>
          <w:rFonts w:ascii="Twentieth Century" w:hAnsi="Twentieth Century"/>
          <w:b/>
          <w:bCs/>
          <w:sz w:val="22"/>
          <w:szCs w:val="22"/>
        </w:rPr>
      </w:pPr>
    </w:p>
    <w:p w14:paraId="57DDC55B" w14:textId="77777777" w:rsidR="00EB58C7" w:rsidRPr="00E47A49" w:rsidRDefault="00EB58C7" w:rsidP="00EB58C7">
      <w:pPr>
        <w:spacing w:after="100" w:afterAutospacing="1" w:line="240" w:lineRule="auto"/>
        <w:jc w:val="both"/>
        <w:rPr>
          <w:rFonts w:ascii="Twentieth Century" w:hAnsi="Twentieth Century" w:hint="eastAsia"/>
          <w:b/>
          <w:sz w:val="22"/>
          <w:szCs w:val="22"/>
        </w:rPr>
      </w:pPr>
      <w:r w:rsidRPr="00E47A49">
        <w:rPr>
          <w:rFonts w:ascii="Twentieth Century" w:hAnsi="Twentieth Century"/>
          <w:b/>
          <w:color w:val="000000" w:themeColor="text1"/>
          <w:sz w:val="22"/>
          <w:szCs w:val="22"/>
        </w:rPr>
        <w:t xml:space="preserve">PEMBAHASAN </w:t>
      </w:r>
    </w:p>
    <w:p w14:paraId="71E91BD5" w14:textId="77777777" w:rsidR="00EB58C7" w:rsidRPr="00E47A49" w:rsidRDefault="00EB58C7" w:rsidP="00EB58C7">
      <w:pPr>
        <w:spacing w:line="240" w:lineRule="auto"/>
        <w:jc w:val="both"/>
        <w:rPr>
          <w:rFonts w:ascii="Twentieth Century" w:hAnsi="Twentieth Century" w:hint="eastAsia"/>
          <w:sz w:val="22"/>
          <w:szCs w:val="22"/>
        </w:rPr>
      </w:pPr>
      <w:proofErr w:type="spellStart"/>
      <w:r w:rsidRPr="00E47A49">
        <w:rPr>
          <w:rFonts w:ascii="Twentieth Century" w:hAnsi="Twentieth Century"/>
          <w:sz w:val="22"/>
          <w:szCs w:val="22"/>
        </w:rPr>
        <w:t>Berdasarkan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hasil</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penelitian</w:t>
      </w:r>
      <w:proofErr w:type="spellEnd"/>
      <w:r w:rsidRPr="00E47A49">
        <w:rPr>
          <w:rFonts w:ascii="Twentieth Century" w:hAnsi="Twentieth Century"/>
          <w:sz w:val="22"/>
          <w:szCs w:val="22"/>
        </w:rPr>
        <w:t xml:space="preserve"> yang </w:t>
      </w:r>
      <w:proofErr w:type="spellStart"/>
      <w:r w:rsidRPr="00E47A49">
        <w:rPr>
          <w:rFonts w:ascii="Twentieth Century" w:hAnsi="Twentieth Century"/>
          <w:sz w:val="22"/>
          <w:szCs w:val="22"/>
        </w:rPr>
        <w:t>dilakukan</w:t>
      </w:r>
      <w:proofErr w:type="spellEnd"/>
      <w:r w:rsidRPr="00E47A49">
        <w:rPr>
          <w:rFonts w:ascii="Twentieth Century" w:hAnsi="Twentieth Century"/>
          <w:sz w:val="22"/>
          <w:szCs w:val="22"/>
        </w:rPr>
        <w:t xml:space="preserve"> pada 50 </w:t>
      </w:r>
      <w:proofErr w:type="spellStart"/>
      <w:r w:rsidRPr="00E47A49">
        <w:rPr>
          <w:rFonts w:ascii="Twentieth Century" w:hAnsi="Twentieth Century"/>
          <w:sz w:val="22"/>
          <w:szCs w:val="22"/>
        </w:rPr>
        <w:t>responden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mayoritas</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umurnya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adalah</w:t>
      </w:r>
      <w:proofErr w:type="spellEnd"/>
      <w:r w:rsidRPr="00E47A49">
        <w:rPr>
          <w:rFonts w:ascii="Twentieth Century" w:hAnsi="Twentieth Century"/>
          <w:sz w:val="22"/>
          <w:szCs w:val="22"/>
        </w:rPr>
        <w:t xml:space="preserve"> 11 </w:t>
      </w:r>
      <w:proofErr w:type="spellStart"/>
      <w:r w:rsidRPr="00E47A49">
        <w:rPr>
          <w:rFonts w:ascii="Twentieth Century" w:hAnsi="Twentieth Century"/>
          <w:sz w:val="22"/>
          <w:szCs w:val="22"/>
        </w:rPr>
        <w:t>tahun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sebanyak</w:t>
      </w:r>
      <w:proofErr w:type="spellEnd"/>
      <w:r w:rsidRPr="00E47A49">
        <w:rPr>
          <w:rFonts w:ascii="Twentieth Century" w:hAnsi="Twentieth Century"/>
          <w:sz w:val="22"/>
          <w:szCs w:val="22"/>
        </w:rPr>
        <w:t xml:space="preserve"> 32 orang (64%). </w:t>
      </w:r>
      <w:proofErr w:type="spellStart"/>
      <w:r w:rsidRPr="00E47A49">
        <w:rPr>
          <w:rFonts w:ascii="Twentieth Century" w:hAnsi="Twentieth Century"/>
          <w:sz w:val="22"/>
          <w:szCs w:val="22"/>
        </w:rPr>
        <w:t>Penelitian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ini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sejalan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dengan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penelitian</w:t>
      </w:r>
      <w:proofErr w:type="spellEnd"/>
      <w:r w:rsidRPr="00E47A49">
        <w:rPr>
          <w:rFonts w:ascii="Twentieth Century" w:hAnsi="Twentieth Century"/>
          <w:sz w:val="22"/>
          <w:szCs w:val="22"/>
        </w:rPr>
        <w:t xml:space="preserve"> </w:t>
      </w:r>
      <w:r w:rsidRPr="00E47A49">
        <w:rPr>
          <w:rFonts w:ascii="Twentieth Century" w:hAnsi="Twentieth Century"/>
          <w:sz w:val="22"/>
          <w:szCs w:val="22"/>
        </w:rPr>
        <w:fldChar w:fldCharType="begin" w:fldLock="1"/>
      </w:r>
      <w:r w:rsidR="00E47A49" w:rsidRPr="00E47A49">
        <w:rPr>
          <w:rFonts w:ascii="Twentieth Century" w:hAnsi="Twentieth Century"/>
          <w:sz w:val="22"/>
          <w:szCs w:val="22"/>
        </w:rPr>
        <w:instrText>ADDIN CSL_CITATION {"citationItems":[{"id":"ITEM-1","itemData":{"abstract":"Puberty in girlsadolescent is characterized by hormonal changes that the arrival of menarche can caused anxiety. The aim of this research was to determine the relationship of family support with the level of anxiety in adolescent to confrontingmenarche in elementary school/equivalent at Kelurahan Tuah Karya was descriptive correlation design and cross sectional approachment. The sample are 275 respondent was cluster random samping. The instrument used questionnaire the validityand reliability had been tested. The analyses used are univariat to determine the frequency distribution and bivariate usingchi-Square test. The result showed 149 respondents received positif family support was 56 from them experienced mild anxiety(37,6%), 63 respondents had moderate anxiety (42,3%), and 30 respondents experienced severe anxiety (20,1%). A total of 126 respondents received negative family support was 67 of them experienced mild anxiety (53,2%), 48 respondents hadmoderate anxiety (38,1%), and 11 respondents experienced severe anxiety (8,7%). The statistic result obtained is (0,007) &lt; (α= 0,05), therefore there is significantly relationship of the family support with level anxiety in adolescent girl in confront menarche during elementary school/aquevalent at Kelurahan Tuah Karya Kecamatan Tampan. This research recommend tothe nurse for give promotion of healt about menarche that can caused anxiety to adolescent confornt puberty.","author":[{"dropping-particle":"","family":"Abadi","given":"Desti Ramatika","non-dropping-particle":"","parse-names":false,"suffix":""},{"dropping-particle":"","family":"Dewi","given":"Ari Pristiana","non-dropping-particle":"","parse-names":false,"suffix":""},{"dropping-particle":"","family":"Nuschayati","given":"Sofiana","non-dropping-particle":"","parse-names":false,"suffix":""}],"container-title":"JOM","id":"ITEM-1","issue":"2","issued":{"date-parts":[["2015"]]},"title":"Hubungan Dukungan Keluarga dengan Tingkat Kecemasan Remaja Putri dalam Menghadapi Menarche","type":"article-journal","volume":"2"},"uris":["http://www.mendeley.com/documents/?uuid=67bd4d02-2dd6-46b6-ac2b-41c598ddd0e6"]}],"mendeley":{"formattedCitation":"[12]","plainTextFormattedCitation":"[12]","previouslyFormattedCitation":"[12]"},"properties":{"noteIndex":0},"schema":"https://github.com/citation-style-language/schema/raw/master/csl-citation.json"}</w:instrText>
      </w:r>
      <w:r w:rsidRPr="00E47A49">
        <w:rPr>
          <w:rFonts w:ascii="Twentieth Century" w:hAnsi="Twentieth Century"/>
          <w:sz w:val="22"/>
          <w:szCs w:val="22"/>
        </w:rPr>
        <w:fldChar w:fldCharType="separate"/>
      </w:r>
      <w:r w:rsidR="00E47A49" w:rsidRPr="00E47A49">
        <w:rPr>
          <w:rFonts w:ascii="Twentieth Century" w:hAnsi="Twentieth Century"/>
          <w:noProof/>
          <w:sz w:val="22"/>
          <w:szCs w:val="22"/>
        </w:rPr>
        <w:t>[12]</w:t>
      </w:r>
      <w:r w:rsidRPr="00E47A49">
        <w:rPr>
          <w:rFonts w:ascii="Twentieth Century" w:hAnsi="Twentieth Century"/>
          <w:sz w:val="22"/>
          <w:szCs w:val="22"/>
        </w:rPr>
        <w:fldChar w:fldCharType="end"/>
      </w:r>
      <w:r w:rsidRPr="00E47A49">
        <w:rPr>
          <w:rFonts w:ascii="Twentieth Century" w:hAnsi="Twentieth Century"/>
          <w:sz w:val="22"/>
          <w:szCs w:val="22"/>
        </w:rPr>
        <w:t xml:space="preserve"> </w:t>
      </w:r>
      <w:proofErr w:type="spellStart"/>
      <w:r w:rsidRPr="00E47A49">
        <w:rPr>
          <w:rFonts w:ascii="Twentieth Century" w:hAnsi="Twentieth Century"/>
          <w:sz w:val="22"/>
          <w:szCs w:val="22"/>
        </w:rPr>
        <w:t>dengan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judul</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hubungan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dukungan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keluarga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dengan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tingkat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kecemasan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remaja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putri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dalam</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menghadapi</w:t>
      </w:r>
      <w:proofErr w:type="spellEnd"/>
      <w:r w:rsidRPr="00E47A49">
        <w:rPr>
          <w:rFonts w:ascii="Twentieth Century" w:hAnsi="Twentieth Century"/>
          <w:sz w:val="22"/>
          <w:szCs w:val="22"/>
        </w:rPr>
        <w:t xml:space="preserve"> </w:t>
      </w:r>
      <w:r w:rsidRPr="00E47A49">
        <w:rPr>
          <w:rFonts w:ascii="Twentieth Century" w:hAnsi="Twentieth Century"/>
          <w:i/>
          <w:sz w:val="22"/>
          <w:szCs w:val="22"/>
        </w:rPr>
        <w:t>menarche</w:t>
      </w:r>
      <w:r w:rsidRPr="00E47A49">
        <w:rPr>
          <w:rFonts w:ascii="Twentieth Century" w:hAnsi="Twentieth Century"/>
          <w:sz w:val="22"/>
          <w:szCs w:val="22"/>
        </w:rPr>
        <w:t xml:space="preserve">. Hasil </w:t>
      </w:r>
      <w:proofErr w:type="spellStart"/>
      <w:r w:rsidRPr="00E47A49">
        <w:rPr>
          <w:rFonts w:ascii="Twentieth Century" w:hAnsi="Twentieth Century"/>
          <w:sz w:val="22"/>
          <w:szCs w:val="22"/>
        </w:rPr>
        <w:t>penelitian</w:t>
      </w:r>
      <w:proofErr w:type="spellEnd"/>
      <w:r w:rsidRPr="00E47A49">
        <w:rPr>
          <w:rFonts w:ascii="Twentieth Century" w:hAnsi="Twentieth Century"/>
          <w:sz w:val="22"/>
          <w:szCs w:val="22"/>
        </w:rPr>
        <w:t xml:space="preserve"> Abadi </w:t>
      </w:r>
      <w:proofErr w:type="spellStart"/>
      <w:r w:rsidRPr="00E47A49">
        <w:rPr>
          <w:rFonts w:ascii="Twentieth Century" w:hAnsi="Twentieth Century"/>
          <w:sz w:val="22"/>
          <w:szCs w:val="22"/>
        </w:rPr>
        <w:t>ini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dilakukan</w:t>
      </w:r>
      <w:proofErr w:type="spellEnd"/>
      <w:r w:rsidRPr="00E47A49">
        <w:rPr>
          <w:rFonts w:ascii="Twentieth Century" w:hAnsi="Twentieth Century"/>
          <w:sz w:val="22"/>
          <w:szCs w:val="22"/>
        </w:rPr>
        <w:t xml:space="preserve"> pada 275 </w:t>
      </w:r>
      <w:proofErr w:type="spellStart"/>
      <w:r w:rsidRPr="00E47A49">
        <w:rPr>
          <w:rFonts w:ascii="Twentieth Century" w:hAnsi="Twentieth Century"/>
          <w:sz w:val="22"/>
          <w:szCs w:val="22"/>
        </w:rPr>
        <w:t>responden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diperoleh</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hasil</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sebagian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besar</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responden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berusia</w:t>
      </w:r>
      <w:proofErr w:type="spellEnd"/>
      <w:r w:rsidRPr="00E47A49">
        <w:rPr>
          <w:rFonts w:ascii="Twentieth Century" w:hAnsi="Twentieth Century"/>
          <w:sz w:val="22"/>
          <w:szCs w:val="22"/>
        </w:rPr>
        <w:t xml:space="preserve"> 11 </w:t>
      </w:r>
      <w:proofErr w:type="spellStart"/>
      <w:r w:rsidRPr="00E47A49">
        <w:rPr>
          <w:rFonts w:ascii="Twentieth Century" w:hAnsi="Twentieth Century"/>
          <w:sz w:val="22"/>
          <w:szCs w:val="22"/>
        </w:rPr>
        <w:t>tahun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sebanyak</w:t>
      </w:r>
      <w:proofErr w:type="spellEnd"/>
      <w:r w:rsidRPr="00E47A49">
        <w:rPr>
          <w:rFonts w:ascii="Twentieth Century" w:hAnsi="Twentieth Century"/>
          <w:sz w:val="22"/>
          <w:szCs w:val="22"/>
        </w:rPr>
        <w:t xml:space="preserve"> </w:t>
      </w:r>
      <w:r w:rsidRPr="00E47A49">
        <w:rPr>
          <w:rFonts w:ascii="Twentieth Century" w:hAnsi="Twentieth Century"/>
          <w:sz w:val="22"/>
          <w:szCs w:val="22"/>
        </w:rPr>
        <w:t xml:space="preserve">218 orang (79,3%). Hal </w:t>
      </w:r>
      <w:proofErr w:type="spellStart"/>
      <w:r w:rsidRPr="00E47A49">
        <w:rPr>
          <w:rFonts w:ascii="Twentieth Century" w:hAnsi="Twentieth Century"/>
          <w:sz w:val="22"/>
          <w:szCs w:val="22"/>
        </w:rPr>
        <w:t>ini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dikarenakan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dalam</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penelitian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ini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lebih</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menekankan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kriteria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inklusi</w:t>
      </w:r>
      <w:proofErr w:type="spellEnd"/>
      <w:r w:rsidRPr="00E47A49">
        <w:rPr>
          <w:rFonts w:ascii="Twentieth Century" w:hAnsi="Twentieth Century"/>
          <w:sz w:val="22"/>
          <w:szCs w:val="22"/>
        </w:rPr>
        <w:t xml:space="preserve"> yang </w:t>
      </w:r>
      <w:proofErr w:type="spellStart"/>
      <w:r w:rsidRPr="00E47A49">
        <w:rPr>
          <w:rFonts w:ascii="Twentieth Century" w:hAnsi="Twentieth Century"/>
          <w:sz w:val="22"/>
          <w:szCs w:val="22"/>
        </w:rPr>
        <w:t>diambil</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adalah</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remaja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putri</w:t>
      </w:r>
      <w:proofErr w:type="spellEnd"/>
      <w:r w:rsidRPr="00E47A49">
        <w:rPr>
          <w:rFonts w:ascii="Twentieth Century" w:hAnsi="Twentieth Century"/>
          <w:sz w:val="22"/>
          <w:szCs w:val="22"/>
        </w:rPr>
        <w:t xml:space="preserve"> yang </w:t>
      </w:r>
      <w:proofErr w:type="spellStart"/>
      <w:r w:rsidRPr="00E47A49">
        <w:rPr>
          <w:rFonts w:ascii="Twentieth Century" w:hAnsi="Twentieth Century"/>
          <w:sz w:val="22"/>
          <w:szCs w:val="22"/>
        </w:rPr>
        <w:t>berusia</w:t>
      </w:r>
      <w:proofErr w:type="spellEnd"/>
      <w:r w:rsidRPr="00E47A49">
        <w:rPr>
          <w:rFonts w:ascii="Twentieth Century" w:hAnsi="Twentieth Century"/>
          <w:sz w:val="22"/>
          <w:szCs w:val="22"/>
        </w:rPr>
        <w:t xml:space="preserve"> 11-12 </w:t>
      </w:r>
      <w:proofErr w:type="spellStart"/>
      <w:r w:rsidRPr="00E47A49">
        <w:rPr>
          <w:rFonts w:ascii="Twentieth Century" w:hAnsi="Twentieth Century"/>
          <w:sz w:val="22"/>
          <w:szCs w:val="22"/>
        </w:rPr>
        <w:t>tahun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Penelitian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ini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sejalan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dengan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penelitian</w:t>
      </w:r>
      <w:proofErr w:type="spellEnd"/>
      <w:r w:rsidRPr="00E47A49">
        <w:rPr>
          <w:rFonts w:ascii="Twentieth Century" w:hAnsi="Twentieth Century"/>
          <w:sz w:val="22"/>
          <w:szCs w:val="22"/>
        </w:rPr>
        <w:t xml:space="preserve"> </w:t>
      </w:r>
      <w:r w:rsidRPr="00E47A49">
        <w:rPr>
          <w:rFonts w:ascii="Twentieth Century" w:hAnsi="Twentieth Century"/>
          <w:sz w:val="22"/>
          <w:szCs w:val="22"/>
        </w:rPr>
        <w:fldChar w:fldCharType="begin" w:fldLock="1"/>
      </w:r>
      <w:r w:rsidR="00E47A49" w:rsidRPr="00E47A49">
        <w:rPr>
          <w:rFonts w:ascii="Twentieth Century" w:hAnsi="Twentieth Century"/>
          <w:sz w:val="22"/>
          <w:szCs w:val="22"/>
        </w:rPr>
        <w:instrText>ADDIN CSL_CITATION {"citationItems":[{"id":"ITEM-1","itemData":{"DOI":"10.24252/kesehatan.v12i2.10295","ISSN":"2086-2555","abstract":"Menarche is menstruation which occurs first as a sign of maturity of a woman's reproductive organs. Menarche events that tend to be earlier, when children have not reached a maturity of mind coupled with a factor of lack of knowledge raise a variety of psychological responses to girls, namely anxiety. The purpose of this study was to describe the anxiety level of school-age children in the village when experiencing menarche. The design of this study used a cross-sectional approach, with a sample of 30 female students who had experienced menarche. The sampling technique uses total sampling. Data analysis using descriptive analysis. The results of the study showed that the majority of school-age children in the village experienced moderate anxiety. Based on the results of the study it is suggested that nurses need to carry out their role as educators zx and counselors by providing health education to school-age children, especially providing information regarding menarche, so that children are better prepared to face menarche, so as not to cause anxiety.ABSTRAKMenarche yaitu menstruasi yang terjadi pertama kali sebagai tanda kematangan alat reproduksi wanita. Kejadian menarche yang cenderung lebih awal, ketika anak belum mencapai kedewasaan pikiran ditambah dengan faktor kurangnya pengetahuan memunculkan bermacam respon psikologis pada anak perempuan yaitu ansietas. Penelitian ini untuk mengetahui gambaran tingkat ansietas anak usia sekolah di desasaat mengalami menarche. Jenis penelitian kuantitatif dengan metode deskriptif, dengan jumlah sampel 30 siswi yang sudah mengalami menarche. Teknik pengambilan sampel menggunakan total sampling. Analisis data menggunakan analisis deskriptif. Hasil penelitian diperoleh bahwa mayoritas anak usia sekolah di desa menalami ansietas sedang (56,7%). Berdasarkan hasil penelitian disarankan bahwa perawat perlu untuk melakukan perannya sebagai edukator dan konselor dengan memberikan pendidikan kesehatan pada anak usia sekolah terutama memberikan informasi terkait menarche, agar anak lebih siap dalam menghadapi menarche, sehingga tidak menimbulkan kecemasan. ","author":[{"dropping-particle":"","family":"PH","given":"Livana","non-dropping-particle":"","parse-names":false,"suffix":""},{"dropping-particle":"","family":"Indrayati","given":"Novi","non-dropping-particle":"","parse-names":false,"suffix":""},{"dropping-particle":"","family":"Yuliyanti","given":"Eka","non-dropping-particle":"","parse-names":false,"suffix":""}],"container-title":"Jurnal Kesehatan","id":"ITEM-1","issue":"2","issued":{"date-parts":[["2019"]]},"page":"146","title":"Gambaran Tingkat Ansietas Anak Usia Sekolah Saat Mengalami Menarche","type":"article-journal","volume":"12"},"uris":["http://www.mendeley.com/documents/?uuid=c95efe46-fe51-4dbb-a9a4-9fd04589f18b"]}],"mendeley":{"formattedCitation":"[13]","plainTextFormattedCitation":"[13]","previouslyFormattedCitation":"[13]"},"properties":{"noteIndex":0},"schema":"https://github.com/citation-style-language/schema/raw/master/csl-citation.json"}</w:instrText>
      </w:r>
      <w:r w:rsidRPr="00E47A49">
        <w:rPr>
          <w:rFonts w:ascii="Twentieth Century" w:hAnsi="Twentieth Century"/>
          <w:sz w:val="22"/>
          <w:szCs w:val="22"/>
        </w:rPr>
        <w:fldChar w:fldCharType="separate"/>
      </w:r>
      <w:r w:rsidR="00E47A49" w:rsidRPr="00E47A49">
        <w:rPr>
          <w:rFonts w:ascii="Twentieth Century" w:hAnsi="Twentieth Century"/>
          <w:noProof/>
          <w:sz w:val="22"/>
          <w:szCs w:val="22"/>
        </w:rPr>
        <w:t>[13]</w:t>
      </w:r>
      <w:r w:rsidRPr="00E47A49">
        <w:rPr>
          <w:rFonts w:ascii="Twentieth Century" w:hAnsi="Twentieth Century"/>
          <w:sz w:val="22"/>
          <w:szCs w:val="22"/>
        </w:rPr>
        <w:fldChar w:fldCharType="end"/>
      </w:r>
      <w:r w:rsidRPr="00E47A49">
        <w:rPr>
          <w:rFonts w:ascii="Twentieth Century" w:hAnsi="Twentieth Century"/>
          <w:sz w:val="22"/>
          <w:szCs w:val="22"/>
        </w:rPr>
        <w:t xml:space="preserve"> </w:t>
      </w:r>
      <w:proofErr w:type="spellStart"/>
      <w:r w:rsidRPr="00E47A49">
        <w:rPr>
          <w:rFonts w:ascii="Twentieth Century" w:hAnsi="Twentieth Century"/>
          <w:sz w:val="22"/>
          <w:szCs w:val="22"/>
        </w:rPr>
        <w:t>dengan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judul</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gambaran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tingkat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ansietas</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anak</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usia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sekolah</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saat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mengalami</w:t>
      </w:r>
      <w:proofErr w:type="spellEnd"/>
      <w:r w:rsidRPr="00E47A49">
        <w:rPr>
          <w:rFonts w:ascii="Twentieth Century" w:hAnsi="Twentieth Century"/>
          <w:sz w:val="22"/>
          <w:szCs w:val="22"/>
        </w:rPr>
        <w:t xml:space="preserve"> </w:t>
      </w:r>
      <w:r w:rsidRPr="00E47A49">
        <w:rPr>
          <w:rFonts w:ascii="Twentieth Century" w:hAnsi="Twentieth Century"/>
          <w:i/>
          <w:sz w:val="22"/>
          <w:szCs w:val="22"/>
        </w:rPr>
        <w:t>menarche</w:t>
      </w:r>
      <w:r w:rsidRPr="00E47A49">
        <w:rPr>
          <w:rFonts w:ascii="Twentieth Century" w:hAnsi="Twentieth Century"/>
          <w:sz w:val="22"/>
          <w:szCs w:val="22"/>
        </w:rPr>
        <w:t xml:space="preserve">. Hasil </w:t>
      </w:r>
      <w:proofErr w:type="spellStart"/>
      <w:r w:rsidRPr="00E47A49">
        <w:rPr>
          <w:rFonts w:ascii="Twentieth Century" w:hAnsi="Twentieth Century"/>
          <w:sz w:val="22"/>
          <w:szCs w:val="22"/>
        </w:rPr>
        <w:t>penelitian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ini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didapatkan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bahwa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karakteristik</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responden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berdasarkan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usia</w:t>
      </w:r>
      <w:proofErr w:type="spellEnd"/>
      <w:r w:rsidRPr="00E47A49">
        <w:rPr>
          <w:rFonts w:ascii="Twentieth Century" w:hAnsi="Twentieth Century"/>
          <w:sz w:val="22"/>
          <w:szCs w:val="22"/>
        </w:rPr>
        <w:t xml:space="preserve"> </w:t>
      </w:r>
      <w:r w:rsidRPr="00E47A49">
        <w:rPr>
          <w:rFonts w:ascii="Twentieth Century" w:hAnsi="Twentieth Century"/>
          <w:i/>
          <w:sz w:val="22"/>
          <w:szCs w:val="22"/>
        </w:rPr>
        <w:t>menarche</w:t>
      </w:r>
      <w:r w:rsidRPr="00E47A49">
        <w:rPr>
          <w:rFonts w:ascii="Twentieth Century" w:hAnsi="Twentieth Century"/>
          <w:sz w:val="22"/>
          <w:szCs w:val="22"/>
        </w:rPr>
        <w:t xml:space="preserve"> pada </w:t>
      </w:r>
      <w:proofErr w:type="spellStart"/>
      <w:r w:rsidRPr="00E47A49">
        <w:rPr>
          <w:rFonts w:ascii="Twentieth Century" w:hAnsi="Twentieth Century"/>
          <w:sz w:val="22"/>
          <w:szCs w:val="22"/>
        </w:rPr>
        <w:t>siswi</w:t>
      </w:r>
      <w:proofErr w:type="spellEnd"/>
      <w:r w:rsidRPr="00E47A49">
        <w:rPr>
          <w:rFonts w:ascii="Twentieth Century" w:hAnsi="Twentieth Century"/>
          <w:sz w:val="22"/>
          <w:szCs w:val="22"/>
        </w:rPr>
        <w:t xml:space="preserve"> di </w:t>
      </w:r>
      <w:proofErr w:type="spellStart"/>
      <w:r w:rsidRPr="00E47A49">
        <w:rPr>
          <w:rFonts w:ascii="Twentieth Century" w:hAnsi="Twentieth Century"/>
          <w:sz w:val="22"/>
          <w:szCs w:val="22"/>
        </w:rPr>
        <w:t>desa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yaitu</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mayoritas</w:t>
      </w:r>
      <w:proofErr w:type="spellEnd"/>
      <w:r w:rsidRPr="00E47A49">
        <w:rPr>
          <w:rFonts w:ascii="Twentieth Century" w:hAnsi="Twentieth Century"/>
          <w:sz w:val="22"/>
          <w:szCs w:val="22"/>
        </w:rPr>
        <w:t xml:space="preserve"> pada </w:t>
      </w:r>
      <w:proofErr w:type="spellStart"/>
      <w:r w:rsidRPr="00E47A49">
        <w:rPr>
          <w:rFonts w:ascii="Twentieth Century" w:hAnsi="Twentieth Century"/>
          <w:sz w:val="22"/>
          <w:szCs w:val="22"/>
        </w:rPr>
        <w:t>usia</w:t>
      </w:r>
      <w:proofErr w:type="spellEnd"/>
      <w:r w:rsidRPr="00E47A49">
        <w:rPr>
          <w:rFonts w:ascii="Twentieth Century" w:hAnsi="Twentieth Century"/>
          <w:sz w:val="22"/>
          <w:szCs w:val="22"/>
        </w:rPr>
        <w:t xml:space="preserve"> 11 </w:t>
      </w:r>
      <w:proofErr w:type="spellStart"/>
      <w:r w:rsidRPr="00E47A49">
        <w:rPr>
          <w:rFonts w:ascii="Twentieth Century" w:hAnsi="Twentieth Century"/>
          <w:sz w:val="22"/>
          <w:szCs w:val="22"/>
        </w:rPr>
        <w:t>tahun</w:t>
      </w:r>
      <w:proofErr w:type="spellEnd"/>
      <w:r w:rsidRPr="00E47A49">
        <w:rPr>
          <w:rFonts w:ascii="Twentieth Century" w:hAnsi="Twentieth Century"/>
          <w:sz w:val="22"/>
          <w:szCs w:val="22"/>
        </w:rPr>
        <w:t xml:space="preserve">. Hasil </w:t>
      </w:r>
      <w:proofErr w:type="spellStart"/>
      <w:r w:rsidRPr="00E47A49">
        <w:rPr>
          <w:rFonts w:ascii="Twentieth Century" w:hAnsi="Twentieth Century"/>
          <w:sz w:val="22"/>
          <w:szCs w:val="22"/>
        </w:rPr>
        <w:t>penelitian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menunjukkan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bahwa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usia</w:t>
      </w:r>
      <w:proofErr w:type="spellEnd"/>
      <w:r w:rsidRPr="00E47A49">
        <w:rPr>
          <w:rFonts w:ascii="Twentieth Century" w:hAnsi="Twentieth Century"/>
          <w:sz w:val="22"/>
          <w:szCs w:val="22"/>
        </w:rPr>
        <w:t xml:space="preserve"> </w:t>
      </w:r>
      <w:r w:rsidRPr="00E47A49">
        <w:rPr>
          <w:rFonts w:ascii="Twentieth Century" w:hAnsi="Twentieth Century"/>
          <w:i/>
          <w:sz w:val="22"/>
          <w:szCs w:val="22"/>
        </w:rPr>
        <w:t>menarche</w:t>
      </w:r>
      <w:r w:rsidRPr="00E47A49">
        <w:rPr>
          <w:rFonts w:ascii="Twentieth Century" w:hAnsi="Twentieth Century"/>
          <w:sz w:val="22"/>
          <w:szCs w:val="22"/>
        </w:rPr>
        <w:t xml:space="preserve"> </w:t>
      </w:r>
      <w:proofErr w:type="spellStart"/>
      <w:r w:rsidRPr="00E47A49">
        <w:rPr>
          <w:rFonts w:ascii="Twentieth Century" w:hAnsi="Twentieth Century"/>
          <w:sz w:val="22"/>
          <w:szCs w:val="22"/>
        </w:rPr>
        <w:t>anak</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usia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sekolah</w:t>
      </w:r>
      <w:proofErr w:type="spellEnd"/>
      <w:r w:rsidRPr="00E47A49">
        <w:rPr>
          <w:rFonts w:ascii="Twentieth Century" w:hAnsi="Twentieth Century"/>
          <w:sz w:val="22"/>
          <w:szCs w:val="22"/>
        </w:rPr>
        <w:t xml:space="preserve"> di </w:t>
      </w:r>
      <w:proofErr w:type="spellStart"/>
      <w:r w:rsidRPr="00E47A49">
        <w:rPr>
          <w:rFonts w:ascii="Twentieth Century" w:hAnsi="Twentieth Century"/>
          <w:sz w:val="22"/>
          <w:szCs w:val="22"/>
        </w:rPr>
        <w:t>desa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yaitu</w:t>
      </w:r>
      <w:proofErr w:type="spellEnd"/>
      <w:r w:rsidRPr="00E47A49">
        <w:rPr>
          <w:rFonts w:ascii="Twentieth Century" w:hAnsi="Twentieth Century"/>
          <w:sz w:val="22"/>
          <w:szCs w:val="22"/>
        </w:rPr>
        <w:t xml:space="preserve"> 10 </w:t>
      </w:r>
      <w:proofErr w:type="spellStart"/>
      <w:r w:rsidRPr="00E47A49">
        <w:rPr>
          <w:rFonts w:ascii="Twentieth Century" w:hAnsi="Twentieth Century"/>
          <w:sz w:val="22"/>
          <w:szCs w:val="22"/>
        </w:rPr>
        <w:t>tahun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sebanyak</w:t>
      </w:r>
      <w:proofErr w:type="spellEnd"/>
      <w:r w:rsidRPr="00E47A49">
        <w:rPr>
          <w:rFonts w:ascii="Twentieth Century" w:hAnsi="Twentieth Century"/>
          <w:sz w:val="22"/>
          <w:szCs w:val="22"/>
        </w:rPr>
        <w:t xml:space="preserve"> 4 (13,3%), 11 </w:t>
      </w:r>
      <w:proofErr w:type="spellStart"/>
      <w:r w:rsidRPr="00E47A49">
        <w:rPr>
          <w:rFonts w:ascii="Twentieth Century" w:hAnsi="Twentieth Century"/>
          <w:sz w:val="22"/>
          <w:szCs w:val="22"/>
        </w:rPr>
        <w:t>tahun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sebanyak</w:t>
      </w:r>
      <w:proofErr w:type="spellEnd"/>
      <w:r w:rsidRPr="00E47A49">
        <w:rPr>
          <w:rFonts w:ascii="Twentieth Century" w:hAnsi="Twentieth Century"/>
          <w:sz w:val="22"/>
          <w:szCs w:val="22"/>
        </w:rPr>
        <w:t xml:space="preserve"> 24 (80,0%), 12 </w:t>
      </w:r>
      <w:proofErr w:type="spellStart"/>
      <w:r w:rsidRPr="00E47A49">
        <w:rPr>
          <w:rFonts w:ascii="Twentieth Century" w:hAnsi="Twentieth Century"/>
          <w:sz w:val="22"/>
          <w:szCs w:val="22"/>
        </w:rPr>
        <w:t>tahun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sebanyak</w:t>
      </w:r>
      <w:proofErr w:type="spellEnd"/>
      <w:r w:rsidRPr="00E47A49">
        <w:rPr>
          <w:rFonts w:ascii="Twentieth Century" w:hAnsi="Twentieth Century"/>
          <w:sz w:val="22"/>
          <w:szCs w:val="22"/>
        </w:rPr>
        <w:t xml:space="preserve"> 2 (6,7%). </w:t>
      </w:r>
    </w:p>
    <w:p w14:paraId="16DDAA2D" w14:textId="77777777" w:rsidR="00EB58C7" w:rsidRPr="00E47A49" w:rsidRDefault="00EB58C7" w:rsidP="00EB58C7">
      <w:pPr>
        <w:spacing w:line="240" w:lineRule="auto"/>
        <w:jc w:val="both"/>
        <w:rPr>
          <w:rFonts w:ascii="Twentieth Century" w:hAnsi="Twentieth Century" w:hint="eastAsia"/>
          <w:sz w:val="22"/>
          <w:szCs w:val="22"/>
        </w:rPr>
      </w:pPr>
      <w:proofErr w:type="spellStart"/>
      <w:r w:rsidRPr="00E47A49">
        <w:rPr>
          <w:rFonts w:ascii="Twentieth Century" w:hAnsi="Twentieth Century"/>
          <w:sz w:val="22"/>
          <w:szCs w:val="22"/>
        </w:rPr>
        <w:t>Penelitian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ini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tidak</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sejalan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dengan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penelitian</w:t>
      </w:r>
      <w:proofErr w:type="spellEnd"/>
      <w:r w:rsidRPr="00E47A49">
        <w:rPr>
          <w:rFonts w:ascii="Twentieth Century" w:hAnsi="Twentieth Century"/>
          <w:sz w:val="22"/>
          <w:szCs w:val="22"/>
        </w:rPr>
        <w:t xml:space="preserve"> yang </w:t>
      </w:r>
      <w:proofErr w:type="spellStart"/>
      <w:r w:rsidRPr="00E47A49">
        <w:rPr>
          <w:rFonts w:ascii="Twentieth Century" w:hAnsi="Twentieth Century"/>
          <w:sz w:val="22"/>
          <w:szCs w:val="22"/>
        </w:rPr>
        <w:t>dilakukan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Retnaningsih</w:t>
      </w:r>
      <w:proofErr w:type="spellEnd"/>
      <w:r w:rsidR="00371476">
        <w:rPr>
          <w:rFonts w:ascii="Twentieth Century" w:hAnsi="Twentieth Century"/>
          <w:sz w:val="22"/>
          <w:szCs w:val="22"/>
        </w:rPr>
        <w:fldChar w:fldCharType="begin" w:fldLock="1"/>
      </w:r>
      <w:r w:rsidR="00371476">
        <w:rPr>
          <w:rFonts w:ascii="Twentieth Century" w:hAnsi="Twentieth Century"/>
          <w:sz w:val="22"/>
          <w:szCs w:val="22"/>
        </w:rPr>
        <w:instrText>ADDIN CSL_CITATION {"citationItems":[{"id":"ITEM-1","itemData":{"DOI":"10.24252/kesehatan.v12i2.10295","ISSN":"2086-2555","abstract":"Menarche is menstruation which occurs first as a sign of maturity of a woman's reproductive organs. Menarche events that tend to be earlier, when children have not reached a maturity of mind coupled with a factor of lack of knowledge raise a variety of psychological responses to girls, namely anxiety. The purpose of this study was to describe the anxiety level of school-age children in the village when experiencing menarche. The design of this study used a cross-sectional approach, with a sample of 30 female students who had experienced menarche. The sampling technique uses total sampling. Data analysis using descriptive analysis. The results of the study showed that the majority of school-age children in the village experienced moderate anxiety. Based on the results of the study it is suggested that nurses need to carry out their role as educators zx and counselors by providing health education to school-age children, especially providing information regarding menarche, so that children are better prepared to face menarche, so as not to cause anxiety.ABSTRAKMenarche yaitu menstruasi yang terjadi pertama kali sebagai tanda kematangan alat reproduksi wanita. Kejadian menarche yang cenderung lebih awal, ketika anak belum mencapai kedewasaan pikiran ditambah dengan faktor kurangnya pengetahuan memunculkan bermacam respon psikologis pada anak perempuan yaitu ansietas. Penelitian ini untuk mengetahui gambaran tingkat ansietas anak usia sekolah di desasaat mengalami menarche. Jenis penelitian kuantitatif dengan metode deskriptif, dengan jumlah sampel 30 siswi yang sudah mengalami menarche. Teknik pengambilan sampel menggunakan total sampling. Analisis data menggunakan analisis deskriptif. Hasil penelitian diperoleh bahwa mayoritas anak usia sekolah di desa menalami ansietas sedang (56,7%). Berdasarkan hasil penelitian disarankan bahwa perawat perlu untuk melakukan perannya sebagai edukator dan konselor dengan memberikan pendidikan kesehatan pada anak usia sekolah terutama memberikan informasi terkait menarche, agar anak lebih siap dalam menghadapi menarche, sehingga tidak menimbulkan kecemasan.</w:instrText>
      </w:r>
      <w:r w:rsidR="00371476">
        <w:rPr>
          <w:rFonts w:ascii="Twentieth Century" w:hAnsi="Twentieth Century" w:hint="eastAsia"/>
          <w:sz w:val="22"/>
          <w:szCs w:val="22"/>
        </w:rPr>
        <w:instrText> </w:instrText>
      </w:r>
      <w:r w:rsidR="00371476">
        <w:rPr>
          <w:rFonts w:ascii="Twentieth Century" w:hAnsi="Twentieth Century"/>
          <w:sz w:val="22"/>
          <w:szCs w:val="22"/>
        </w:rPr>
        <w:instrText>","author":[{"dropping-particle":"","family":"PH","given":"Livana","non-dropping-particle":"","parse-names":false,"suffix":""},{"dropping-particle":"","family":"Indrayati","given":"Novi","non-dropping-particle":"","parse-names":false,"suffix":""},{"dropping-particle":"","family":"Yuliyanti","given":"Eka","non-dropping-particle":"","parse-names":false,"suffix":""}],"container-title":"Jurnal Kesehatan","id":"ITEM-1","issue":"2","issued":{"date-parts":[["2019"]]},"page":"146","title":"Gambaran Tingkat Ansietas Anak Usia Sekolah Saat Mengalami Menarche","type":"article-journal","volume":"12"},"uris":["http://www.mendeley.com/documents/?uuid=c95efe46-fe51-4dbb-a9a4-9fd04589f18b"]}],"mendeley":{"formattedCitation":"[13]","plainTextFormattedCitation":"[13]","previouslyFormattedCitation":"[13]"},"properties":{"noteIndex":0},"schema":"https://github.com/citation-style-language/schema/raw/master/csl-citation.json"}</w:instrText>
      </w:r>
      <w:r w:rsidR="00371476">
        <w:rPr>
          <w:rFonts w:ascii="Twentieth Century" w:hAnsi="Twentieth Century"/>
          <w:sz w:val="22"/>
          <w:szCs w:val="22"/>
        </w:rPr>
        <w:fldChar w:fldCharType="separate"/>
      </w:r>
      <w:r w:rsidR="00371476" w:rsidRPr="00371476">
        <w:rPr>
          <w:rFonts w:ascii="Twentieth Century" w:hAnsi="Twentieth Century"/>
          <w:noProof/>
          <w:sz w:val="22"/>
          <w:szCs w:val="22"/>
        </w:rPr>
        <w:t>[13]</w:t>
      </w:r>
      <w:r w:rsidR="00371476">
        <w:rPr>
          <w:rFonts w:ascii="Twentieth Century" w:hAnsi="Twentieth Century"/>
          <w:sz w:val="22"/>
          <w:szCs w:val="22"/>
        </w:rPr>
        <w:fldChar w:fldCharType="end"/>
      </w:r>
      <w:r w:rsidRPr="00E47A49">
        <w:rPr>
          <w:rFonts w:ascii="Twentieth Century" w:hAnsi="Twentieth Century"/>
          <w:sz w:val="22"/>
          <w:szCs w:val="22"/>
        </w:rPr>
        <w:t xml:space="preserve"> </w:t>
      </w:r>
      <w:r w:rsidR="00371476">
        <w:rPr>
          <w:rFonts w:ascii="Twentieth Century" w:hAnsi="Twentieth Century"/>
          <w:sz w:val="22"/>
          <w:szCs w:val="22"/>
        </w:rPr>
        <w:t xml:space="preserve"> </w:t>
      </w:r>
      <w:proofErr w:type="spellStart"/>
      <w:r w:rsidRPr="00E47A49">
        <w:rPr>
          <w:rFonts w:ascii="Twentieth Century" w:hAnsi="Twentieth Century"/>
          <w:sz w:val="22"/>
          <w:szCs w:val="22"/>
        </w:rPr>
        <w:t>dengan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judul</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kesiapan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menghadapi</w:t>
      </w:r>
      <w:proofErr w:type="spellEnd"/>
      <w:r w:rsidRPr="00E47A49">
        <w:rPr>
          <w:rFonts w:ascii="Twentieth Century" w:hAnsi="Twentieth Century"/>
          <w:sz w:val="22"/>
          <w:szCs w:val="22"/>
        </w:rPr>
        <w:t xml:space="preserve"> </w:t>
      </w:r>
      <w:r w:rsidRPr="00E47A49">
        <w:rPr>
          <w:rFonts w:ascii="Twentieth Century" w:hAnsi="Twentieth Century"/>
          <w:i/>
          <w:sz w:val="22"/>
          <w:szCs w:val="22"/>
        </w:rPr>
        <w:t>menarche</w:t>
      </w:r>
      <w:r w:rsidRPr="00E47A49">
        <w:rPr>
          <w:rFonts w:ascii="Twentieth Century" w:hAnsi="Twentieth Century"/>
          <w:sz w:val="22"/>
          <w:szCs w:val="22"/>
        </w:rPr>
        <w:t xml:space="preserve"> </w:t>
      </w:r>
      <w:proofErr w:type="spellStart"/>
      <w:r w:rsidRPr="00E47A49">
        <w:rPr>
          <w:rFonts w:ascii="Twentieth Century" w:hAnsi="Twentieth Century"/>
          <w:sz w:val="22"/>
          <w:szCs w:val="22"/>
        </w:rPr>
        <w:t>dengan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tingkat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kecemasan</w:t>
      </w:r>
      <w:proofErr w:type="spellEnd"/>
      <w:r w:rsidRPr="00E47A49">
        <w:rPr>
          <w:rFonts w:ascii="Twentieth Century" w:hAnsi="Twentieth Century"/>
          <w:sz w:val="22"/>
          <w:szCs w:val="22"/>
        </w:rPr>
        <w:t xml:space="preserve"> pada </w:t>
      </w:r>
      <w:proofErr w:type="spellStart"/>
      <w:r w:rsidRPr="00E47A49">
        <w:rPr>
          <w:rFonts w:ascii="Twentieth Century" w:hAnsi="Twentieth Century"/>
          <w:sz w:val="22"/>
          <w:szCs w:val="22"/>
        </w:rPr>
        <w:t>anak</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usia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sekolah</w:t>
      </w:r>
      <w:proofErr w:type="spellEnd"/>
      <w:r w:rsidRPr="00E47A49">
        <w:rPr>
          <w:rFonts w:ascii="Twentieth Century" w:hAnsi="Twentieth Century"/>
          <w:sz w:val="22"/>
          <w:szCs w:val="22"/>
        </w:rPr>
        <w:t xml:space="preserve">. Hasil </w:t>
      </w:r>
      <w:proofErr w:type="spellStart"/>
      <w:r w:rsidRPr="00E47A49">
        <w:rPr>
          <w:rFonts w:ascii="Twentieth Century" w:hAnsi="Twentieth Century"/>
          <w:sz w:val="22"/>
          <w:szCs w:val="22"/>
        </w:rPr>
        <w:t>penelitian</w:t>
      </w:r>
      <w:proofErr w:type="spellEnd"/>
      <w:r w:rsidRPr="00E47A49">
        <w:rPr>
          <w:rFonts w:ascii="Twentieth Century" w:hAnsi="Twentieth Century"/>
          <w:sz w:val="22"/>
          <w:szCs w:val="22"/>
        </w:rPr>
        <w:t xml:space="preserve"> yang </w:t>
      </w:r>
      <w:proofErr w:type="spellStart"/>
      <w:r w:rsidRPr="00E47A49">
        <w:rPr>
          <w:rFonts w:ascii="Twentieth Century" w:hAnsi="Twentieth Century"/>
          <w:sz w:val="22"/>
          <w:szCs w:val="22"/>
        </w:rPr>
        <w:t>dilakukan</w:t>
      </w:r>
      <w:proofErr w:type="spellEnd"/>
      <w:r w:rsidRPr="00E47A49">
        <w:rPr>
          <w:rFonts w:ascii="Twentieth Century" w:hAnsi="Twentieth Century"/>
          <w:sz w:val="22"/>
          <w:szCs w:val="22"/>
        </w:rPr>
        <w:t xml:space="preserve"> pada 36 </w:t>
      </w:r>
      <w:proofErr w:type="spellStart"/>
      <w:r w:rsidRPr="00E47A49">
        <w:rPr>
          <w:rFonts w:ascii="Twentieth Century" w:hAnsi="Twentieth Century"/>
          <w:sz w:val="22"/>
          <w:szCs w:val="22"/>
        </w:rPr>
        <w:t>responden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diperoleh</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hasil</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sebagian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besar</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responden</w:t>
      </w:r>
      <w:proofErr w:type="spellEnd"/>
      <w:r w:rsidRPr="00E47A49">
        <w:rPr>
          <w:rFonts w:ascii="Twentieth Century" w:hAnsi="Twentieth Century"/>
          <w:sz w:val="22"/>
          <w:szCs w:val="22"/>
        </w:rPr>
        <w:t xml:space="preserve"> yang </w:t>
      </w:r>
      <w:proofErr w:type="spellStart"/>
      <w:r w:rsidRPr="00E47A49">
        <w:rPr>
          <w:rFonts w:ascii="Twentieth Century" w:hAnsi="Twentieth Century"/>
          <w:sz w:val="22"/>
          <w:szCs w:val="22"/>
        </w:rPr>
        <w:t>berumur</w:t>
      </w:r>
      <w:proofErr w:type="spellEnd"/>
      <w:r w:rsidRPr="00E47A49">
        <w:rPr>
          <w:rFonts w:ascii="Twentieth Century" w:hAnsi="Twentieth Century"/>
          <w:sz w:val="22"/>
          <w:szCs w:val="22"/>
        </w:rPr>
        <w:t xml:space="preserve"> 12 </w:t>
      </w:r>
      <w:proofErr w:type="spellStart"/>
      <w:r w:rsidRPr="00E47A49">
        <w:rPr>
          <w:rFonts w:ascii="Twentieth Century" w:hAnsi="Twentieth Century"/>
          <w:sz w:val="22"/>
          <w:szCs w:val="22"/>
        </w:rPr>
        <w:t>tahun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sebanyak</w:t>
      </w:r>
      <w:proofErr w:type="spellEnd"/>
      <w:r w:rsidRPr="00E47A49">
        <w:rPr>
          <w:rFonts w:ascii="Twentieth Century" w:hAnsi="Twentieth Century"/>
          <w:sz w:val="22"/>
          <w:szCs w:val="22"/>
        </w:rPr>
        <w:t xml:space="preserve"> 12 </w:t>
      </w:r>
      <w:proofErr w:type="spellStart"/>
      <w:r w:rsidRPr="00E47A49">
        <w:rPr>
          <w:rFonts w:ascii="Twentieth Century" w:hAnsi="Twentieth Century"/>
          <w:sz w:val="22"/>
          <w:szCs w:val="22"/>
        </w:rPr>
        <w:t>siswi</w:t>
      </w:r>
      <w:proofErr w:type="spellEnd"/>
      <w:r w:rsidRPr="00E47A49">
        <w:rPr>
          <w:rFonts w:ascii="Twentieth Century" w:hAnsi="Twentieth Century"/>
          <w:sz w:val="22"/>
          <w:szCs w:val="22"/>
        </w:rPr>
        <w:t xml:space="preserve"> (33,3%). Hal </w:t>
      </w:r>
      <w:proofErr w:type="spellStart"/>
      <w:r w:rsidRPr="00E47A49">
        <w:rPr>
          <w:rFonts w:ascii="Twentieth Century" w:hAnsi="Twentieth Century"/>
          <w:sz w:val="22"/>
          <w:szCs w:val="22"/>
        </w:rPr>
        <w:t>ini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menunjukkan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bahwa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banyak</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siswi</w:t>
      </w:r>
      <w:proofErr w:type="spellEnd"/>
      <w:r w:rsidRPr="00E47A49">
        <w:rPr>
          <w:rFonts w:ascii="Twentieth Century" w:hAnsi="Twentieth Century"/>
          <w:sz w:val="22"/>
          <w:szCs w:val="22"/>
        </w:rPr>
        <w:t xml:space="preserve"> SD yang </w:t>
      </w:r>
      <w:proofErr w:type="spellStart"/>
      <w:r w:rsidRPr="00E47A49">
        <w:rPr>
          <w:rFonts w:ascii="Twentieth Century" w:hAnsi="Twentieth Century"/>
          <w:sz w:val="22"/>
          <w:szCs w:val="22"/>
        </w:rPr>
        <w:t>belum</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menghadapi</w:t>
      </w:r>
      <w:proofErr w:type="spellEnd"/>
      <w:r w:rsidRPr="00E47A49">
        <w:rPr>
          <w:rFonts w:ascii="Twentieth Century" w:hAnsi="Twentieth Century"/>
          <w:sz w:val="22"/>
          <w:szCs w:val="22"/>
        </w:rPr>
        <w:t xml:space="preserve"> </w:t>
      </w:r>
      <w:r w:rsidRPr="00E47A49">
        <w:rPr>
          <w:rFonts w:ascii="Twentieth Century" w:hAnsi="Twentieth Century"/>
          <w:i/>
          <w:sz w:val="22"/>
          <w:szCs w:val="22"/>
        </w:rPr>
        <w:t>menarche</w:t>
      </w:r>
      <w:r w:rsidRPr="00E47A49">
        <w:rPr>
          <w:rFonts w:ascii="Twentieth Century" w:hAnsi="Twentieth Century"/>
          <w:sz w:val="22"/>
          <w:szCs w:val="22"/>
        </w:rPr>
        <w:t xml:space="preserve">. </w:t>
      </w:r>
      <w:proofErr w:type="spellStart"/>
      <w:r w:rsidRPr="00E47A49">
        <w:rPr>
          <w:rFonts w:ascii="Twentieth Century" w:hAnsi="Twentieth Century"/>
          <w:sz w:val="22"/>
          <w:szCs w:val="22"/>
        </w:rPr>
        <w:t>Usia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seorang</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anak</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perempuan</w:t>
      </w:r>
      <w:proofErr w:type="spellEnd"/>
      <w:r w:rsidRPr="00E47A49">
        <w:rPr>
          <w:rFonts w:ascii="Twentieth Century" w:hAnsi="Twentieth Century"/>
          <w:sz w:val="22"/>
          <w:szCs w:val="22"/>
        </w:rPr>
        <w:t xml:space="preserve"> yang </w:t>
      </w:r>
      <w:proofErr w:type="spellStart"/>
      <w:r w:rsidRPr="00E47A49">
        <w:rPr>
          <w:rFonts w:ascii="Twentieth Century" w:hAnsi="Twentieth Century"/>
          <w:sz w:val="22"/>
          <w:szCs w:val="22"/>
        </w:rPr>
        <w:t>mengalami</w:t>
      </w:r>
      <w:proofErr w:type="spellEnd"/>
      <w:r w:rsidRPr="00E47A49">
        <w:rPr>
          <w:rFonts w:ascii="Twentieth Century" w:hAnsi="Twentieth Century"/>
          <w:sz w:val="22"/>
          <w:szCs w:val="22"/>
        </w:rPr>
        <w:t xml:space="preserve"> </w:t>
      </w:r>
      <w:r w:rsidRPr="00E47A49">
        <w:rPr>
          <w:rFonts w:ascii="Twentieth Century" w:hAnsi="Twentieth Century"/>
          <w:i/>
          <w:sz w:val="22"/>
          <w:szCs w:val="22"/>
        </w:rPr>
        <w:t xml:space="preserve">menarche </w:t>
      </w:r>
      <w:r w:rsidRPr="00E47A49">
        <w:rPr>
          <w:rFonts w:ascii="Twentieth Century" w:hAnsi="Twentieth Century"/>
          <w:sz w:val="22"/>
          <w:szCs w:val="22"/>
        </w:rPr>
        <w:t xml:space="preserve">sangat </w:t>
      </w:r>
      <w:proofErr w:type="spellStart"/>
      <w:r w:rsidRPr="00E47A49">
        <w:rPr>
          <w:rFonts w:ascii="Twentieth Century" w:hAnsi="Twentieth Century"/>
          <w:sz w:val="22"/>
          <w:szCs w:val="22"/>
        </w:rPr>
        <w:t>bervariasi</w:t>
      </w:r>
      <w:proofErr w:type="spellEnd"/>
      <w:r w:rsidRPr="00E47A49">
        <w:rPr>
          <w:rFonts w:ascii="Twentieth Century" w:hAnsi="Twentieth Century"/>
          <w:sz w:val="22"/>
          <w:szCs w:val="22"/>
        </w:rPr>
        <w:t xml:space="preserve">. Anak </w:t>
      </w:r>
      <w:proofErr w:type="spellStart"/>
      <w:r w:rsidRPr="00E47A49">
        <w:rPr>
          <w:rFonts w:ascii="Twentieth Century" w:hAnsi="Twentieth Century"/>
          <w:sz w:val="22"/>
          <w:szCs w:val="22"/>
        </w:rPr>
        <w:t>mendapatkan</w:t>
      </w:r>
      <w:proofErr w:type="spellEnd"/>
      <w:r w:rsidRPr="00E47A49">
        <w:rPr>
          <w:rFonts w:ascii="Twentieth Century" w:hAnsi="Twentieth Century"/>
          <w:sz w:val="22"/>
          <w:szCs w:val="22"/>
        </w:rPr>
        <w:t xml:space="preserve"> </w:t>
      </w:r>
      <w:r w:rsidRPr="00E47A49">
        <w:rPr>
          <w:rFonts w:ascii="Twentieth Century" w:hAnsi="Twentieth Century"/>
          <w:i/>
          <w:sz w:val="22"/>
          <w:szCs w:val="22"/>
        </w:rPr>
        <w:t xml:space="preserve">menarche </w:t>
      </w:r>
      <w:r w:rsidRPr="00E47A49">
        <w:rPr>
          <w:rFonts w:ascii="Twentieth Century" w:hAnsi="Twentieth Century"/>
          <w:sz w:val="22"/>
          <w:szCs w:val="22"/>
        </w:rPr>
        <w:t xml:space="preserve">pada </w:t>
      </w:r>
      <w:proofErr w:type="spellStart"/>
      <w:r w:rsidRPr="00E47A49">
        <w:rPr>
          <w:rFonts w:ascii="Twentieth Century" w:hAnsi="Twentieth Century"/>
          <w:sz w:val="22"/>
          <w:szCs w:val="22"/>
        </w:rPr>
        <w:t>usia</w:t>
      </w:r>
      <w:proofErr w:type="spellEnd"/>
      <w:r w:rsidRPr="00E47A49">
        <w:rPr>
          <w:rFonts w:ascii="Twentieth Century" w:hAnsi="Twentieth Century"/>
          <w:sz w:val="22"/>
          <w:szCs w:val="22"/>
        </w:rPr>
        <w:t xml:space="preserve"> yang </w:t>
      </w:r>
      <w:proofErr w:type="spellStart"/>
      <w:r w:rsidRPr="00E47A49">
        <w:rPr>
          <w:rFonts w:ascii="Twentieth Century" w:hAnsi="Twentieth Century"/>
          <w:sz w:val="22"/>
          <w:szCs w:val="22"/>
        </w:rPr>
        <w:t>lebih</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muda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yaitu</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usia</w:t>
      </w:r>
      <w:proofErr w:type="spellEnd"/>
      <w:r w:rsidRPr="00E47A49">
        <w:rPr>
          <w:rFonts w:ascii="Twentieth Century" w:hAnsi="Twentieth Century"/>
          <w:sz w:val="22"/>
          <w:szCs w:val="22"/>
        </w:rPr>
        <w:t xml:space="preserve"> 8 dan 12 </w:t>
      </w:r>
      <w:proofErr w:type="spellStart"/>
      <w:r w:rsidRPr="00E47A49">
        <w:rPr>
          <w:rFonts w:ascii="Twentieth Century" w:hAnsi="Twentieth Century"/>
          <w:sz w:val="22"/>
          <w:szCs w:val="22"/>
        </w:rPr>
        <w:t>tahun</w:t>
      </w:r>
      <w:proofErr w:type="spellEnd"/>
      <w:r w:rsidRPr="00E47A49">
        <w:rPr>
          <w:rFonts w:ascii="Twentieth Century" w:hAnsi="Twentieth Century"/>
          <w:sz w:val="22"/>
          <w:szCs w:val="22"/>
        </w:rPr>
        <w:t xml:space="preserve">. </w:t>
      </w:r>
      <w:r w:rsidRPr="00E47A49">
        <w:rPr>
          <w:rFonts w:ascii="Twentieth Century" w:hAnsi="Twentieth Century"/>
          <w:i/>
          <w:sz w:val="22"/>
          <w:szCs w:val="22"/>
        </w:rPr>
        <w:t xml:space="preserve">Menarche </w:t>
      </w:r>
      <w:r w:rsidRPr="00E47A49">
        <w:rPr>
          <w:rFonts w:ascii="Twentieth Century" w:hAnsi="Twentieth Century"/>
          <w:sz w:val="22"/>
          <w:szCs w:val="22"/>
        </w:rPr>
        <w:t xml:space="preserve">juga </w:t>
      </w:r>
      <w:proofErr w:type="spellStart"/>
      <w:r w:rsidRPr="00E47A49">
        <w:rPr>
          <w:rFonts w:ascii="Twentieth Century" w:hAnsi="Twentieth Century"/>
          <w:sz w:val="22"/>
          <w:szCs w:val="22"/>
        </w:rPr>
        <w:t>dapat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terjadi</w:t>
      </w:r>
      <w:proofErr w:type="spellEnd"/>
      <w:r w:rsidRPr="00E47A49">
        <w:rPr>
          <w:rFonts w:ascii="Twentieth Century" w:hAnsi="Twentieth Century"/>
          <w:sz w:val="22"/>
          <w:szCs w:val="22"/>
        </w:rPr>
        <w:t xml:space="preserve"> pada </w:t>
      </w:r>
      <w:proofErr w:type="spellStart"/>
      <w:r w:rsidRPr="00E47A49">
        <w:rPr>
          <w:rFonts w:ascii="Twentieth Century" w:hAnsi="Twentieth Century"/>
          <w:sz w:val="22"/>
          <w:szCs w:val="22"/>
        </w:rPr>
        <w:t>usia</w:t>
      </w:r>
      <w:proofErr w:type="spellEnd"/>
      <w:r w:rsidRPr="00E47A49">
        <w:rPr>
          <w:rFonts w:ascii="Twentieth Century" w:hAnsi="Twentieth Century"/>
          <w:sz w:val="22"/>
          <w:szCs w:val="22"/>
        </w:rPr>
        <w:t xml:space="preserve"> 16 </w:t>
      </w:r>
      <w:proofErr w:type="spellStart"/>
      <w:r w:rsidRPr="00E47A49">
        <w:rPr>
          <w:rFonts w:ascii="Twentieth Century" w:hAnsi="Twentieth Century"/>
          <w:sz w:val="22"/>
          <w:szCs w:val="22"/>
        </w:rPr>
        <w:t>tahun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Usia</w:t>
      </w:r>
      <w:proofErr w:type="spellEnd"/>
      <w:r w:rsidRPr="00E47A49">
        <w:rPr>
          <w:rFonts w:ascii="Twentieth Century" w:hAnsi="Twentieth Century"/>
          <w:sz w:val="22"/>
          <w:szCs w:val="22"/>
        </w:rPr>
        <w:t xml:space="preserve"> </w:t>
      </w:r>
      <w:r w:rsidRPr="00E47A49">
        <w:rPr>
          <w:rFonts w:ascii="Twentieth Century" w:hAnsi="Twentieth Century"/>
          <w:i/>
          <w:sz w:val="22"/>
          <w:szCs w:val="22"/>
        </w:rPr>
        <w:t xml:space="preserve">menarche </w:t>
      </w:r>
      <w:proofErr w:type="spellStart"/>
      <w:r w:rsidRPr="00E47A49">
        <w:rPr>
          <w:rFonts w:ascii="Twentieth Century" w:hAnsi="Twentieth Century"/>
          <w:sz w:val="22"/>
          <w:szCs w:val="22"/>
        </w:rPr>
        <w:t>normalnya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adalah</w:t>
      </w:r>
      <w:proofErr w:type="spellEnd"/>
      <w:r w:rsidRPr="00E47A49">
        <w:rPr>
          <w:rFonts w:ascii="Twentieth Century" w:hAnsi="Twentieth Century"/>
          <w:sz w:val="22"/>
          <w:szCs w:val="22"/>
        </w:rPr>
        <w:t xml:space="preserve"> 12 </w:t>
      </w:r>
      <w:proofErr w:type="spellStart"/>
      <w:r w:rsidRPr="00E47A49">
        <w:rPr>
          <w:rFonts w:ascii="Twentieth Century" w:hAnsi="Twentieth Century"/>
          <w:sz w:val="22"/>
          <w:szCs w:val="22"/>
        </w:rPr>
        <w:t>atau</w:t>
      </w:r>
      <w:proofErr w:type="spellEnd"/>
      <w:r w:rsidRPr="00E47A49">
        <w:rPr>
          <w:rFonts w:ascii="Twentieth Century" w:hAnsi="Twentieth Century"/>
          <w:sz w:val="22"/>
          <w:szCs w:val="22"/>
        </w:rPr>
        <w:t xml:space="preserve"> 13 </w:t>
      </w:r>
      <w:proofErr w:type="spellStart"/>
      <w:r w:rsidRPr="00E47A49">
        <w:rPr>
          <w:rFonts w:ascii="Twentieth Century" w:hAnsi="Twentieth Century"/>
          <w:sz w:val="22"/>
          <w:szCs w:val="22"/>
        </w:rPr>
        <w:t>tahun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sebagian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perempuan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mengalami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menstruasi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lebih</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awal</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usia</w:t>
      </w:r>
      <w:proofErr w:type="spellEnd"/>
      <w:r w:rsidRPr="00E47A49">
        <w:rPr>
          <w:rFonts w:ascii="Twentieth Century" w:hAnsi="Twentieth Century"/>
          <w:sz w:val="22"/>
          <w:szCs w:val="22"/>
        </w:rPr>
        <w:t xml:space="preserve"> 8 </w:t>
      </w:r>
      <w:proofErr w:type="spellStart"/>
      <w:r w:rsidRPr="00E47A49">
        <w:rPr>
          <w:rFonts w:ascii="Twentieth Century" w:hAnsi="Twentieth Century"/>
          <w:sz w:val="22"/>
          <w:szCs w:val="22"/>
        </w:rPr>
        <w:t>tahun</w:t>
      </w:r>
      <w:proofErr w:type="spellEnd"/>
      <w:r w:rsidRPr="00E47A49">
        <w:rPr>
          <w:rFonts w:ascii="Twentieth Century" w:hAnsi="Twentieth Century"/>
          <w:sz w:val="22"/>
          <w:szCs w:val="22"/>
        </w:rPr>
        <w:t xml:space="preserve">) dan </w:t>
      </w:r>
      <w:proofErr w:type="spellStart"/>
      <w:r w:rsidRPr="00E47A49">
        <w:rPr>
          <w:rFonts w:ascii="Twentieth Century" w:hAnsi="Twentieth Century"/>
          <w:sz w:val="22"/>
          <w:szCs w:val="22"/>
        </w:rPr>
        <w:t>lebih</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lambat</w:t>
      </w:r>
      <w:proofErr w:type="spellEnd"/>
      <w:r w:rsidRPr="00E47A49">
        <w:rPr>
          <w:rFonts w:ascii="Twentieth Century" w:hAnsi="Twentieth Century"/>
          <w:sz w:val="22"/>
          <w:szCs w:val="22"/>
        </w:rPr>
        <w:t xml:space="preserve"> (18 </w:t>
      </w:r>
      <w:proofErr w:type="spellStart"/>
      <w:r w:rsidRPr="00E47A49">
        <w:rPr>
          <w:rFonts w:ascii="Twentieth Century" w:hAnsi="Twentieth Century"/>
          <w:sz w:val="22"/>
          <w:szCs w:val="22"/>
        </w:rPr>
        <w:t>tahun</w:t>
      </w:r>
      <w:proofErr w:type="spellEnd"/>
      <w:r w:rsidRPr="00E47A49">
        <w:rPr>
          <w:rFonts w:ascii="Twentieth Century" w:hAnsi="Twentieth Century"/>
          <w:sz w:val="22"/>
          <w:szCs w:val="22"/>
        </w:rPr>
        <w:t>).</w:t>
      </w:r>
    </w:p>
    <w:p w14:paraId="50D6341F" w14:textId="77777777" w:rsidR="00EB58C7" w:rsidRPr="00E47A49" w:rsidRDefault="00EB58C7" w:rsidP="00EB58C7">
      <w:pPr>
        <w:jc w:val="both"/>
        <w:rPr>
          <w:rFonts w:ascii="Twentieth Century" w:hAnsi="Twentieth Century" w:hint="eastAsia"/>
          <w:sz w:val="22"/>
          <w:szCs w:val="22"/>
        </w:rPr>
      </w:pPr>
      <w:r w:rsidRPr="00E47A49">
        <w:rPr>
          <w:rFonts w:ascii="Twentieth Century" w:hAnsi="Twentieth Century"/>
          <w:sz w:val="22"/>
          <w:szCs w:val="22"/>
        </w:rPr>
        <w:t xml:space="preserve">Tingkat </w:t>
      </w:r>
      <w:proofErr w:type="spellStart"/>
      <w:r w:rsidRPr="00E47A49">
        <w:rPr>
          <w:rFonts w:ascii="Twentieth Century" w:hAnsi="Twentieth Century"/>
          <w:sz w:val="22"/>
          <w:szCs w:val="22"/>
        </w:rPr>
        <w:t>Kecemasan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Sebelum</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Intervensi</w:t>
      </w:r>
      <w:proofErr w:type="spellEnd"/>
    </w:p>
    <w:p w14:paraId="449A76CF" w14:textId="77777777" w:rsidR="00EB58C7" w:rsidRPr="00E47A49" w:rsidRDefault="00EB58C7" w:rsidP="00EB58C7">
      <w:pPr>
        <w:spacing w:line="240" w:lineRule="auto"/>
        <w:jc w:val="both"/>
        <w:rPr>
          <w:rFonts w:ascii="Twentieth Century" w:hAnsi="Twentieth Century" w:hint="eastAsia"/>
          <w:sz w:val="22"/>
          <w:szCs w:val="22"/>
        </w:rPr>
      </w:pPr>
      <w:proofErr w:type="spellStart"/>
      <w:r w:rsidRPr="00E47A49">
        <w:rPr>
          <w:rFonts w:ascii="Twentieth Century" w:hAnsi="Twentieth Century"/>
          <w:sz w:val="22"/>
          <w:szCs w:val="22"/>
        </w:rPr>
        <w:t>Berdasarkan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hasil</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penelitian</w:t>
      </w:r>
      <w:proofErr w:type="spellEnd"/>
      <w:r w:rsidRPr="00E47A49">
        <w:rPr>
          <w:rFonts w:ascii="Twentieth Century" w:hAnsi="Twentieth Century"/>
          <w:sz w:val="22"/>
          <w:szCs w:val="22"/>
        </w:rPr>
        <w:t xml:space="preserve"> yang </w:t>
      </w:r>
      <w:proofErr w:type="spellStart"/>
      <w:r w:rsidRPr="00E47A49">
        <w:rPr>
          <w:rFonts w:ascii="Twentieth Century" w:hAnsi="Twentieth Century"/>
          <w:sz w:val="22"/>
          <w:szCs w:val="22"/>
        </w:rPr>
        <w:t>dilakukan</w:t>
      </w:r>
      <w:proofErr w:type="spellEnd"/>
      <w:r w:rsidRPr="00E47A49">
        <w:rPr>
          <w:rFonts w:ascii="Twentieth Century" w:hAnsi="Twentieth Century"/>
          <w:sz w:val="22"/>
          <w:szCs w:val="22"/>
        </w:rPr>
        <w:t xml:space="preserve"> pada 50 </w:t>
      </w:r>
      <w:proofErr w:type="spellStart"/>
      <w:r w:rsidRPr="00E47A49">
        <w:rPr>
          <w:rFonts w:ascii="Twentieth Century" w:hAnsi="Twentieth Century"/>
          <w:sz w:val="22"/>
          <w:szCs w:val="22"/>
        </w:rPr>
        <w:t>responden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memiliki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tingkat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kecemasan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sebelum</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melakukan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intervensi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adalah</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sedang</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sebanyak</w:t>
      </w:r>
      <w:proofErr w:type="spellEnd"/>
      <w:r w:rsidRPr="00E47A49">
        <w:rPr>
          <w:rFonts w:ascii="Twentieth Century" w:hAnsi="Twentieth Century"/>
          <w:sz w:val="22"/>
          <w:szCs w:val="22"/>
        </w:rPr>
        <w:t xml:space="preserve"> 20 orang (40%), </w:t>
      </w:r>
      <w:proofErr w:type="spellStart"/>
      <w:r w:rsidRPr="00E47A49">
        <w:rPr>
          <w:rFonts w:ascii="Twentieth Century" w:hAnsi="Twentieth Century"/>
          <w:sz w:val="22"/>
          <w:szCs w:val="22"/>
        </w:rPr>
        <w:t>ringan</w:t>
      </w:r>
      <w:proofErr w:type="spellEnd"/>
      <w:r w:rsidRPr="00E47A49">
        <w:rPr>
          <w:rFonts w:ascii="Twentieth Century" w:hAnsi="Twentieth Century"/>
          <w:sz w:val="22"/>
          <w:szCs w:val="22"/>
        </w:rPr>
        <w:t xml:space="preserve">  dan </w:t>
      </w:r>
      <w:proofErr w:type="spellStart"/>
      <w:r w:rsidRPr="00E47A49">
        <w:rPr>
          <w:rFonts w:ascii="Twentieth Century" w:hAnsi="Twentieth Century"/>
          <w:sz w:val="22"/>
          <w:szCs w:val="22"/>
        </w:rPr>
        <w:t>berat</w:t>
      </w:r>
      <w:proofErr w:type="spellEnd"/>
      <w:r w:rsidRPr="00E47A49">
        <w:rPr>
          <w:rFonts w:ascii="Twentieth Century" w:hAnsi="Twentieth Century"/>
          <w:sz w:val="22"/>
          <w:szCs w:val="22"/>
        </w:rPr>
        <w:t xml:space="preserve"> masing-masing 15 orang (30%). </w:t>
      </w:r>
      <w:proofErr w:type="spellStart"/>
      <w:r w:rsidRPr="00E47A49">
        <w:rPr>
          <w:rFonts w:ascii="Twentieth Century" w:hAnsi="Twentieth Century"/>
          <w:sz w:val="22"/>
          <w:szCs w:val="22"/>
        </w:rPr>
        <w:t>Peneltian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ini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tidak</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sejalan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dengan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penelitian</w:t>
      </w:r>
      <w:proofErr w:type="spellEnd"/>
      <w:r w:rsidRPr="00E47A49">
        <w:rPr>
          <w:rFonts w:ascii="Twentieth Century" w:hAnsi="Twentieth Century"/>
          <w:sz w:val="22"/>
          <w:szCs w:val="22"/>
        </w:rPr>
        <w:t xml:space="preserve"> </w:t>
      </w:r>
      <w:r w:rsidRPr="00E47A49">
        <w:rPr>
          <w:rFonts w:ascii="Twentieth Century" w:hAnsi="Twentieth Century"/>
          <w:sz w:val="22"/>
          <w:szCs w:val="22"/>
        </w:rPr>
        <w:fldChar w:fldCharType="begin" w:fldLock="1"/>
      </w:r>
      <w:r w:rsidR="00E47A49" w:rsidRPr="00E47A49">
        <w:rPr>
          <w:rFonts w:ascii="Twentieth Century" w:hAnsi="Twentieth Century"/>
          <w:sz w:val="22"/>
          <w:szCs w:val="22"/>
        </w:rPr>
        <w:instrText>ADDIN CSL_CITATION {"citationItems":[{"id":"ITEM-1","itemData":{"DOI":"http://dx.doi.org/10.30595/medisains.v13i1.1829","ISBN":"9781119130536","author":[{"dropping-particle":"","family":"Pujiati","given":"Wasis","non-dropping-particle":"","parse-names":false,"suffix":""},{"dropping-particle":"","family":"Ernawati","given":"","non-dropping-particle":"","parse-names":false,"suffix":""},{"dropping-particle":"","family":"Daratullalla","given":"","non-dropping-particle":"","parse-names":false,"suffix":""}],"id":"ITEM-1","issue":"1","issued":{"date-parts":[["2019"]]},"page":"50-58","title":"Pendidikan Kesehatan tentang Menstruasi terhadap Tingkat Kecemasan Menghadapi Menarche pada Siswi Sekolah Dasar","type":"article-journal","volume":"13"},"uris":["http://www.mendeley.com/documents/?uuid=6ee4d96f-dbc7-4c01-8407-14eb1e35d1a5"]}],"mendeley":{"formattedCitation":"[14]","plainTextFormattedCitation":"[14]","previouslyFormattedCitation":"[14]"},"properties":{"noteIndex":0},"schema":"https://github.com/citation-style-language/schema/raw/master/csl-citation.json"}</w:instrText>
      </w:r>
      <w:r w:rsidRPr="00E47A49">
        <w:rPr>
          <w:rFonts w:ascii="Twentieth Century" w:hAnsi="Twentieth Century"/>
          <w:sz w:val="22"/>
          <w:szCs w:val="22"/>
        </w:rPr>
        <w:fldChar w:fldCharType="separate"/>
      </w:r>
      <w:r w:rsidR="00E47A49" w:rsidRPr="00E47A49">
        <w:rPr>
          <w:rFonts w:ascii="Twentieth Century" w:hAnsi="Twentieth Century"/>
          <w:noProof/>
          <w:sz w:val="22"/>
          <w:szCs w:val="22"/>
        </w:rPr>
        <w:t>[14]</w:t>
      </w:r>
      <w:r w:rsidRPr="00E47A49">
        <w:rPr>
          <w:rFonts w:ascii="Twentieth Century" w:hAnsi="Twentieth Century"/>
          <w:sz w:val="22"/>
          <w:szCs w:val="22"/>
        </w:rPr>
        <w:fldChar w:fldCharType="end"/>
      </w:r>
      <w:r w:rsidRPr="00E47A49">
        <w:rPr>
          <w:rFonts w:ascii="Twentieth Century" w:hAnsi="Twentieth Century"/>
          <w:sz w:val="22"/>
          <w:szCs w:val="22"/>
        </w:rPr>
        <w:t xml:space="preserve"> </w:t>
      </w:r>
      <w:proofErr w:type="spellStart"/>
      <w:r w:rsidRPr="00E47A49">
        <w:rPr>
          <w:rFonts w:ascii="Twentieth Century" w:hAnsi="Twentieth Century"/>
          <w:sz w:val="22"/>
          <w:szCs w:val="22"/>
        </w:rPr>
        <w:t>dengan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judul</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pendidikan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kesehatan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tentang</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menstruasi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terhadap</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tingkat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kecemasan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menghadapi</w:t>
      </w:r>
      <w:proofErr w:type="spellEnd"/>
      <w:r w:rsidRPr="00E47A49">
        <w:rPr>
          <w:rFonts w:ascii="Twentieth Century" w:hAnsi="Twentieth Century"/>
          <w:sz w:val="22"/>
          <w:szCs w:val="22"/>
        </w:rPr>
        <w:t xml:space="preserve"> </w:t>
      </w:r>
      <w:r w:rsidRPr="00E47A49">
        <w:rPr>
          <w:rFonts w:ascii="Twentieth Century" w:hAnsi="Twentieth Century"/>
          <w:i/>
          <w:sz w:val="22"/>
          <w:szCs w:val="22"/>
        </w:rPr>
        <w:t>menarche</w:t>
      </w:r>
      <w:r w:rsidRPr="00E47A49">
        <w:rPr>
          <w:rFonts w:ascii="Twentieth Century" w:hAnsi="Twentieth Century"/>
          <w:sz w:val="22"/>
          <w:szCs w:val="22"/>
        </w:rPr>
        <w:t xml:space="preserve"> pada </w:t>
      </w:r>
      <w:proofErr w:type="spellStart"/>
      <w:r w:rsidRPr="00E47A49">
        <w:rPr>
          <w:rFonts w:ascii="Twentieth Century" w:hAnsi="Twentieth Century"/>
          <w:sz w:val="22"/>
          <w:szCs w:val="22"/>
        </w:rPr>
        <w:t>siswi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sekolah</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dasar</w:t>
      </w:r>
      <w:proofErr w:type="spellEnd"/>
      <w:r w:rsidRPr="00E47A49">
        <w:rPr>
          <w:rFonts w:ascii="Twentieth Century" w:hAnsi="Twentieth Century"/>
          <w:sz w:val="22"/>
          <w:szCs w:val="22"/>
        </w:rPr>
        <w:t xml:space="preserve">. Hasil </w:t>
      </w:r>
      <w:proofErr w:type="spellStart"/>
      <w:r w:rsidRPr="00E47A49">
        <w:rPr>
          <w:rFonts w:ascii="Twentieth Century" w:hAnsi="Twentieth Century"/>
          <w:sz w:val="22"/>
          <w:szCs w:val="22"/>
        </w:rPr>
        <w:t>penelitian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menunjukkan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bahwa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tingkat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kecemasan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siswi</w:t>
      </w:r>
      <w:proofErr w:type="spellEnd"/>
      <w:r w:rsidRPr="00E47A49">
        <w:rPr>
          <w:rFonts w:ascii="Twentieth Century" w:hAnsi="Twentieth Century"/>
          <w:sz w:val="22"/>
          <w:szCs w:val="22"/>
        </w:rPr>
        <w:t xml:space="preserve"> SDN 011 </w:t>
      </w:r>
      <w:proofErr w:type="spellStart"/>
      <w:r w:rsidRPr="00E47A49">
        <w:rPr>
          <w:rFonts w:ascii="Twentieth Century" w:hAnsi="Twentieth Century"/>
          <w:sz w:val="22"/>
          <w:szCs w:val="22"/>
        </w:rPr>
        <w:t>Tanjungpinang</w:t>
      </w:r>
      <w:proofErr w:type="spellEnd"/>
      <w:r w:rsidRPr="00E47A49">
        <w:rPr>
          <w:rFonts w:ascii="Twentieth Century" w:hAnsi="Twentieth Century"/>
          <w:sz w:val="22"/>
          <w:szCs w:val="22"/>
        </w:rPr>
        <w:t xml:space="preserve"> Barat </w:t>
      </w:r>
      <w:proofErr w:type="spellStart"/>
      <w:r w:rsidRPr="00E47A49">
        <w:rPr>
          <w:rFonts w:ascii="Twentieth Century" w:hAnsi="Twentieth Century"/>
          <w:sz w:val="22"/>
          <w:szCs w:val="22"/>
        </w:rPr>
        <w:lastRenderedPageBreak/>
        <w:t>sebelum</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diberikan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pendidikan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kesehatan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sebagian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besar</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memiliki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tingkat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kecemasan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berat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sebanyak</w:t>
      </w:r>
      <w:proofErr w:type="spellEnd"/>
      <w:r w:rsidRPr="00E47A49">
        <w:rPr>
          <w:rFonts w:ascii="Twentieth Century" w:hAnsi="Twentieth Century"/>
          <w:sz w:val="22"/>
          <w:szCs w:val="22"/>
        </w:rPr>
        <w:t xml:space="preserve"> 17 </w:t>
      </w:r>
      <w:proofErr w:type="spellStart"/>
      <w:r w:rsidRPr="00E47A49">
        <w:rPr>
          <w:rFonts w:ascii="Twentieth Century" w:hAnsi="Twentieth Century"/>
          <w:sz w:val="22"/>
          <w:szCs w:val="22"/>
        </w:rPr>
        <w:t>responden</w:t>
      </w:r>
      <w:proofErr w:type="spellEnd"/>
      <w:r w:rsidRPr="00E47A49">
        <w:rPr>
          <w:rFonts w:ascii="Twentieth Century" w:hAnsi="Twentieth Century"/>
          <w:sz w:val="22"/>
          <w:szCs w:val="22"/>
        </w:rPr>
        <w:t xml:space="preserve"> (53,1%) dan </w:t>
      </w:r>
      <w:proofErr w:type="spellStart"/>
      <w:r w:rsidRPr="00E47A49">
        <w:rPr>
          <w:rFonts w:ascii="Twentieth Century" w:hAnsi="Twentieth Century"/>
          <w:sz w:val="22"/>
          <w:szCs w:val="22"/>
        </w:rPr>
        <w:t>kecemasan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berat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sekali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sebanyak</w:t>
      </w:r>
      <w:proofErr w:type="spellEnd"/>
      <w:r w:rsidRPr="00E47A49">
        <w:rPr>
          <w:rFonts w:ascii="Twentieth Century" w:hAnsi="Twentieth Century"/>
          <w:sz w:val="22"/>
          <w:szCs w:val="22"/>
        </w:rPr>
        <w:t xml:space="preserve"> 8 </w:t>
      </w:r>
      <w:proofErr w:type="spellStart"/>
      <w:r w:rsidRPr="00E47A49">
        <w:rPr>
          <w:rFonts w:ascii="Twentieth Century" w:hAnsi="Twentieth Century"/>
          <w:sz w:val="22"/>
          <w:szCs w:val="22"/>
        </w:rPr>
        <w:t>responden</w:t>
      </w:r>
      <w:proofErr w:type="spellEnd"/>
      <w:r w:rsidRPr="00E47A49">
        <w:rPr>
          <w:rFonts w:ascii="Twentieth Century" w:hAnsi="Twentieth Century"/>
          <w:sz w:val="22"/>
          <w:szCs w:val="22"/>
        </w:rPr>
        <w:t xml:space="preserve"> (25%) </w:t>
      </w:r>
      <w:proofErr w:type="spellStart"/>
      <w:r w:rsidRPr="00E47A49">
        <w:rPr>
          <w:rFonts w:ascii="Twentieth Century" w:hAnsi="Twentieth Century"/>
          <w:sz w:val="22"/>
          <w:szCs w:val="22"/>
        </w:rPr>
        <w:t>hal</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ini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disebabkan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karena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ketidaktahuan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responden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mengenai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apa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itu</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menstruasi</w:t>
      </w:r>
      <w:proofErr w:type="spellEnd"/>
      <w:r w:rsidRPr="00E47A49">
        <w:rPr>
          <w:rFonts w:ascii="Twentieth Century" w:hAnsi="Twentieth Century"/>
          <w:sz w:val="22"/>
          <w:szCs w:val="22"/>
        </w:rPr>
        <w:t xml:space="preserve"> dan </w:t>
      </w:r>
      <w:proofErr w:type="spellStart"/>
      <w:r w:rsidRPr="00E47A49">
        <w:rPr>
          <w:rFonts w:ascii="Twentieth Century" w:hAnsi="Twentieth Century"/>
          <w:sz w:val="22"/>
          <w:szCs w:val="22"/>
        </w:rPr>
        <w:t>cemas</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menghadapi</w:t>
      </w:r>
      <w:proofErr w:type="spellEnd"/>
      <w:r w:rsidRPr="00E47A49">
        <w:rPr>
          <w:rFonts w:ascii="Twentieth Century" w:hAnsi="Twentieth Century"/>
          <w:sz w:val="22"/>
          <w:szCs w:val="22"/>
        </w:rPr>
        <w:t xml:space="preserve"> </w:t>
      </w:r>
      <w:r w:rsidRPr="00E47A49">
        <w:rPr>
          <w:rFonts w:ascii="Twentieth Century" w:hAnsi="Twentieth Century"/>
          <w:i/>
          <w:sz w:val="22"/>
          <w:szCs w:val="22"/>
        </w:rPr>
        <w:t>menarche</w:t>
      </w:r>
      <w:r w:rsidRPr="00E47A49">
        <w:rPr>
          <w:rFonts w:ascii="Twentieth Century" w:hAnsi="Twentieth Century"/>
          <w:sz w:val="22"/>
          <w:szCs w:val="22"/>
        </w:rPr>
        <w:t xml:space="preserve">. </w:t>
      </w:r>
    </w:p>
    <w:p w14:paraId="74CCAC1A" w14:textId="77777777" w:rsidR="00EB58C7" w:rsidRPr="00E47A49" w:rsidRDefault="00371476" w:rsidP="00EB58C7">
      <w:pPr>
        <w:spacing w:line="240" w:lineRule="auto"/>
        <w:jc w:val="both"/>
        <w:rPr>
          <w:rFonts w:ascii="Twentieth Century" w:hAnsi="Twentieth Century" w:hint="eastAsia"/>
          <w:sz w:val="22"/>
          <w:szCs w:val="22"/>
        </w:rPr>
      </w:pPr>
      <w:proofErr w:type="spellStart"/>
      <w:r>
        <w:rPr>
          <w:rFonts w:ascii="Twentieth Century" w:hAnsi="Twentieth Century"/>
          <w:sz w:val="22"/>
          <w:szCs w:val="22"/>
        </w:rPr>
        <w:t>K</w:t>
      </w:r>
      <w:r w:rsidR="00EB58C7" w:rsidRPr="00E47A49">
        <w:rPr>
          <w:rFonts w:ascii="Twentieth Century" w:hAnsi="Twentieth Century"/>
          <w:sz w:val="22"/>
          <w:szCs w:val="22"/>
        </w:rPr>
        <w:t>ecemasan</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adalah</w:t>
      </w:r>
      <w:proofErr w:type="spellEnd"/>
      <w:r w:rsidR="00EB58C7" w:rsidRPr="00E47A49">
        <w:rPr>
          <w:rFonts w:ascii="Twentieth Century" w:hAnsi="Twentieth Century"/>
          <w:sz w:val="22"/>
          <w:szCs w:val="22"/>
        </w:rPr>
        <w:t xml:space="preserve"> rasa </w:t>
      </w:r>
      <w:proofErr w:type="spellStart"/>
      <w:r w:rsidR="00EB58C7" w:rsidRPr="00E47A49">
        <w:rPr>
          <w:rFonts w:ascii="Twentieth Century" w:hAnsi="Twentieth Century"/>
          <w:sz w:val="22"/>
          <w:szCs w:val="22"/>
        </w:rPr>
        <w:t>khawatir</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takut</w:t>
      </w:r>
      <w:proofErr w:type="spellEnd"/>
      <w:r w:rsidR="00EB58C7" w:rsidRPr="00E47A49">
        <w:rPr>
          <w:rFonts w:ascii="Twentieth Century" w:hAnsi="Twentieth Century"/>
          <w:sz w:val="22"/>
          <w:szCs w:val="22"/>
        </w:rPr>
        <w:t xml:space="preserve"> yang </w:t>
      </w:r>
      <w:proofErr w:type="spellStart"/>
      <w:r w:rsidR="00EB58C7" w:rsidRPr="00E47A49">
        <w:rPr>
          <w:rFonts w:ascii="Twentieth Century" w:hAnsi="Twentieth Century"/>
          <w:sz w:val="22"/>
          <w:szCs w:val="22"/>
        </w:rPr>
        <w:t>tidak</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jelas</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sebabnya</w:t>
      </w:r>
      <w:proofErr w:type="spellEnd"/>
      <w:r w:rsidR="00EB58C7" w:rsidRPr="00E47A49">
        <w:rPr>
          <w:rFonts w:ascii="Twentieth Century" w:hAnsi="Twentieth Century"/>
          <w:sz w:val="22"/>
          <w:szCs w:val="22"/>
        </w:rPr>
        <w:t xml:space="preserve"> dan </w:t>
      </w:r>
      <w:proofErr w:type="spellStart"/>
      <w:r w:rsidR="00EB58C7" w:rsidRPr="00E47A49">
        <w:rPr>
          <w:rFonts w:ascii="Twentieth Century" w:hAnsi="Twentieth Century"/>
          <w:sz w:val="22"/>
          <w:szCs w:val="22"/>
        </w:rPr>
        <w:t>merupakan</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kekuatan</w:t>
      </w:r>
      <w:proofErr w:type="spellEnd"/>
      <w:r w:rsidR="00EB58C7" w:rsidRPr="00E47A49">
        <w:rPr>
          <w:rFonts w:ascii="Twentieth Century" w:hAnsi="Twentieth Century"/>
          <w:sz w:val="22"/>
          <w:szCs w:val="22"/>
        </w:rPr>
        <w:t xml:space="preserve"> yang </w:t>
      </w:r>
      <w:proofErr w:type="spellStart"/>
      <w:r w:rsidR="00EB58C7" w:rsidRPr="00E47A49">
        <w:rPr>
          <w:rFonts w:ascii="Twentieth Century" w:hAnsi="Twentieth Century"/>
          <w:sz w:val="22"/>
          <w:szCs w:val="22"/>
        </w:rPr>
        <w:t>besar</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dalam</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menggerakkan</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tingkahlaku</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Baik</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tingkahlaku</w:t>
      </w:r>
      <w:proofErr w:type="spellEnd"/>
      <w:r w:rsidR="00EB58C7" w:rsidRPr="00E47A49">
        <w:rPr>
          <w:rFonts w:ascii="Twentieth Century" w:hAnsi="Twentieth Century"/>
          <w:sz w:val="22"/>
          <w:szCs w:val="22"/>
        </w:rPr>
        <w:t xml:space="preserve"> normal </w:t>
      </w:r>
      <w:proofErr w:type="spellStart"/>
      <w:r w:rsidR="00EB58C7" w:rsidRPr="00E47A49">
        <w:rPr>
          <w:rFonts w:ascii="Twentieth Century" w:hAnsi="Twentieth Century"/>
          <w:sz w:val="22"/>
          <w:szCs w:val="22"/>
        </w:rPr>
        <w:t>maupun</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tingkahlaku</w:t>
      </w:r>
      <w:proofErr w:type="spellEnd"/>
      <w:r w:rsidR="00EB58C7" w:rsidRPr="00E47A49">
        <w:rPr>
          <w:rFonts w:ascii="Twentieth Century" w:hAnsi="Twentieth Century"/>
          <w:sz w:val="22"/>
          <w:szCs w:val="22"/>
        </w:rPr>
        <w:t xml:space="preserve"> yang </w:t>
      </w:r>
      <w:proofErr w:type="spellStart"/>
      <w:r w:rsidR="00EB58C7" w:rsidRPr="00E47A49">
        <w:rPr>
          <w:rFonts w:ascii="Twentieth Century" w:hAnsi="Twentieth Century"/>
          <w:sz w:val="22"/>
          <w:szCs w:val="22"/>
        </w:rPr>
        <w:t>menyimpang</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kedua-duanya</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merupakan</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pernyataan</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penampilan</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penjelmaan</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dari</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pertahanan</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terhadap</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kecemasan</w:t>
      </w:r>
      <w:proofErr w:type="spellEnd"/>
      <w:r w:rsidR="00EB58C7" w:rsidRPr="00E47A49">
        <w:rPr>
          <w:rFonts w:ascii="Twentieth Century" w:hAnsi="Twentieth Century"/>
          <w:sz w:val="22"/>
          <w:szCs w:val="22"/>
        </w:rPr>
        <w:t xml:space="preserve">. </w:t>
      </w:r>
      <w:r w:rsidR="00EB58C7" w:rsidRPr="00E47A49">
        <w:rPr>
          <w:rFonts w:ascii="Twentieth Century" w:hAnsi="Twentieth Century"/>
          <w:i/>
          <w:sz w:val="22"/>
          <w:szCs w:val="22"/>
        </w:rPr>
        <w:t xml:space="preserve">Menarche </w:t>
      </w:r>
      <w:proofErr w:type="spellStart"/>
      <w:r w:rsidR="00EB58C7" w:rsidRPr="00E47A49">
        <w:rPr>
          <w:rFonts w:ascii="Twentieth Century" w:hAnsi="Twentieth Century"/>
          <w:sz w:val="22"/>
          <w:szCs w:val="22"/>
        </w:rPr>
        <w:t>merupakan</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menstruasi</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pertama</w:t>
      </w:r>
      <w:proofErr w:type="spellEnd"/>
      <w:r w:rsidR="00EB58C7" w:rsidRPr="00E47A49">
        <w:rPr>
          <w:rFonts w:ascii="Twentieth Century" w:hAnsi="Twentieth Century"/>
          <w:sz w:val="22"/>
          <w:szCs w:val="22"/>
        </w:rPr>
        <w:t xml:space="preserve"> yang </w:t>
      </w:r>
      <w:proofErr w:type="spellStart"/>
      <w:r w:rsidR="00EB58C7" w:rsidRPr="00E47A49">
        <w:rPr>
          <w:rFonts w:ascii="Twentieth Century" w:hAnsi="Twentieth Century"/>
          <w:sz w:val="22"/>
          <w:szCs w:val="22"/>
        </w:rPr>
        <w:t>terjadi</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dalam</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rentang</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usia</w:t>
      </w:r>
      <w:proofErr w:type="spellEnd"/>
      <w:r w:rsidR="00EB58C7" w:rsidRPr="00E47A49">
        <w:rPr>
          <w:rFonts w:ascii="Twentieth Century" w:hAnsi="Twentieth Century"/>
          <w:sz w:val="22"/>
          <w:szCs w:val="22"/>
        </w:rPr>
        <w:t xml:space="preserve"> 10-16 </w:t>
      </w:r>
      <w:proofErr w:type="spellStart"/>
      <w:r w:rsidR="00EB58C7" w:rsidRPr="00E47A49">
        <w:rPr>
          <w:rFonts w:ascii="Twentieth Century" w:hAnsi="Twentieth Century"/>
          <w:sz w:val="22"/>
          <w:szCs w:val="22"/>
        </w:rPr>
        <w:t>tahun</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atau</w:t>
      </w:r>
      <w:proofErr w:type="spellEnd"/>
      <w:r w:rsidR="00EB58C7" w:rsidRPr="00E47A49">
        <w:rPr>
          <w:rFonts w:ascii="Twentieth Century" w:hAnsi="Twentieth Century"/>
          <w:sz w:val="22"/>
          <w:szCs w:val="22"/>
        </w:rPr>
        <w:t xml:space="preserve"> pada masa </w:t>
      </w:r>
      <w:proofErr w:type="spellStart"/>
      <w:r w:rsidR="00EB58C7" w:rsidRPr="00E47A49">
        <w:rPr>
          <w:rFonts w:ascii="Twentieth Century" w:hAnsi="Twentieth Century"/>
          <w:sz w:val="22"/>
          <w:szCs w:val="22"/>
        </w:rPr>
        <w:t>awal</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remaja</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ditengah</w:t>
      </w:r>
      <w:proofErr w:type="spellEnd"/>
      <w:r w:rsidR="00EB58C7" w:rsidRPr="00E47A49">
        <w:rPr>
          <w:rFonts w:ascii="Twentieth Century" w:hAnsi="Twentieth Century"/>
          <w:sz w:val="22"/>
          <w:szCs w:val="22"/>
        </w:rPr>
        <w:t xml:space="preserve"> masa </w:t>
      </w:r>
      <w:proofErr w:type="spellStart"/>
      <w:r w:rsidR="00EB58C7" w:rsidRPr="00E47A49">
        <w:rPr>
          <w:rFonts w:ascii="Twentieth Century" w:hAnsi="Twentieth Century"/>
          <w:sz w:val="22"/>
          <w:szCs w:val="22"/>
        </w:rPr>
        <w:t>pubertas</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se</w:t>
      </w:r>
      <w:r>
        <w:rPr>
          <w:rFonts w:ascii="Twentieth Century" w:hAnsi="Twentieth Century"/>
          <w:sz w:val="22"/>
          <w:szCs w:val="22"/>
        </w:rPr>
        <w:t>belum</w:t>
      </w:r>
      <w:proofErr w:type="spellEnd"/>
      <w:r>
        <w:rPr>
          <w:rFonts w:ascii="Twentieth Century" w:hAnsi="Twentieth Century"/>
          <w:sz w:val="22"/>
          <w:szCs w:val="22"/>
        </w:rPr>
        <w:t xml:space="preserve"> </w:t>
      </w:r>
      <w:proofErr w:type="spellStart"/>
      <w:r>
        <w:rPr>
          <w:rFonts w:ascii="Twentieth Century" w:hAnsi="Twentieth Century"/>
          <w:sz w:val="22"/>
          <w:szCs w:val="22"/>
        </w:rPr>
        <w:t>memasuki</w:t>
      </w:r>
      <w:proofErr w:type="spellEnd"/>
      <w:r>
        <w:rPr>
          <w:rFonts w:ascii="Twentieth Century" w:hAnsi="Twentieth Century"/>
          <w:sz w:val="22"/>
          <w:szCs w:val="22"/>
        </w:rPr>
        <w:t xml:space="preserve"> masa </w:t>
      </w:r>
      <w:proofErr w:type="spellStart"/>
      <w:r>
        <w:rPr>
          <w:rFonts w:ascii="Twentieth Century" w:hAnsi="Twentieth Century"/>
          <w:sz w:val="22"/>
          <w:szCs w:val="22"/>
        </w:rPr>
        <w:t>reproduksi</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Perubahan</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penting</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terjadi</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dimana</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jiwa</w:t>
      </w:r>
      <w:proofErr w:type="spellEnd"/>
      <w:r w:rsidR="00EB58C7" w:rsidRPr="00E47A49">
        <w:rPr>
          <w:rFonts w:ascii="Twentieth Century" w:hAnsi="Twentieth Century"/>
          <w:sz w:val="22"/>
          <w:szCs w:val="22"/>
        </w:rPr>
        <w:t xml:space="preserve"> dan raga </w:t>
      </w:r>
      <w:proofErr w:type="spellStart"/>
      <w:r w:rsidR="00EB58C7" w:rsidRPr="00E47A49">
        <w:rPr>
          <w:rFonts w:ascii="Twentieth Century" w:hAnsi="Twentieth Century"/>
          <w:sz w:val="22"/>
          <w:szCs w:val="22"/>
        </w:rPr>
        <w:t>anak</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menjadi</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matang</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melalui</w:t>
      </w:r>
      <w:proofErr w:type="spellEnd"/>
      <w:r w:rsidR="00EB58C7" w:rsidRPr="00E47A49">
        <w:rPr>
          <w:rFonts w:ascii="Twentieth Century" w:hAnsi="Twentieth Century"/>
          <w:sz w:val="22"/>
          <w:szCs w:val="22"/>
        </w:rPr>
        <w:t xml:space="preserve"> masa </w:t>
      </w:r>
      <w:proofErr w:type="spellStart"/>
      <w:r w:rsidR="00EB58C7" w:rsidRPr="00E47A49">
        <w:rPr>
          <w:rFonts w:ascii="Twentieth Century" w:hAnsi="Twentieth Century"/>
          <w:sz w:val="22"/>
          <w:szCs w:val="22"/>
        </w:rPr>
        <w:t>remaja</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wanita</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dewasa</w:t>
      </w:r>
      <w:proofErr w:type="spellEnd"/>
      <w:r w:rsidR="00EB58C7" w:rsidRPr="00E47A49">
        <w:rPr>
          <w:rFonts w:ascii="Twentieth Century" w:hAnsi="Twentieth Century"/>
          <w:sz w:val="22"/>
          <w:szCs w:val="22"/>
        </w:rPr>
        <w:t xml:space="preserve">. Hal </w:t>
      </w:r>
      <w:proofErr w:type="spellStart"/>
      <w:r w:rsidR="00EB58C7" w:rsidRPr="00E47A49">
        <w:rPr>
          <w:rFonts w:ascii="Twentieth Century" w:hAnsi="Twentieth Century"/>
          <w:sz w:val="22"/>
          <w:szCs w:val="22"/>
        </w:rPr>
        <w:t>ini</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menandakan</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bahwa</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anak</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sudah</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memasuki</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tahap</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kematangan</w:t>
      </w:r>
      <w:proofErr w:type="spellEnd"/>
      <w:r w:rsidR="00EB58C7" w:rsidRPr="00E47A49">
        <w:rPr>
          <w:rFonts w:ascii="Twentieth Century" w:hAnsi="Twentieth Century"/>
          <w:sz w:val="22"/>
          <w:szCs w:val="22"/>
        </w:rPr>
        <w:t xml:space="preserve"> o</w:t>
      </w:r>
      <w:r w:rsidR="00090CB1">
        <w:rPr>
          <w:rFonts w:ascii="Twentieth Century" w:hAnsi="Twentieth Century"/>
          <w:sz w:val="22"/>
          <w:szCs w:val="22"/>
        </w:rPr>
        <w:t xml:space="preserve">rgan </w:t>
      </w:r>
      <w:proofErr w:type="spellStart"/>
      <w:r w:rsidR="00090CB1">
        <w:rPr>
          <w:rFonts w:ascii="Twentieth Century" w:hAnsi="Twentieth Century"/>
          <w:sz w:val="22"/>
          <w:szCs w:val="22"/>
        </w:rPr>
        <w:t>seksual</w:t>
      </w:r>
      <w:proofErr w:type="spellEnd"/>
      <w:r w:rsidR="00090CB1">
        <w:rPr>
          <w:rFonts w:ascii="Twentieth Century" w:hAnsi="Twentieth Century"/>
          <w:sz w:val="22"/>
          <w:szCs w:val="22"/>
        </w:rPr>
        <w:t xml:space="preserve"> </w:t>
      </w:r>
      <w:proofErr w:type="spellStart"/>
      <w:r w:rsidR="00090CB1">
        <w:rPr>
          <w:rFonts w:ascii="Twentieth Century" w:hAnsi="Twentieth Century"/>
          <w:sz w:val="22"/>
          <w:szCs w:val="22"/>
        </w:rPr>
        <w:t>dalam</w:t>
      </w:r>
      <w:proofErr w:type="spellEnd"/>
      <w:r w:rsidR="00090CB1">
        <w:rPr>
          <w:rFonts w:ascii="Twentieth Century" w:hAnsi="Twentieth Century"/>
          <w:sz w:val="22"/>
          <w:szCs w:val="22"/>
        </w:rPr>
        <w:t xml:space="preserve"> </w:t>
      </w:r>
      <w:proofErr w:type="spellStart"/>
      <w:r w:rsidR="00090CB1">
        <w:rPr>
          <w:rFonts w:ascii="Twentieth Century" w:hAnsi="Twentieth Century"/>
          <w:sz w:val="22"/>
          <w:szCs w:val="22"/>
        </w:rPr>
        <w:t>tubuhnya</w:t>
      </w:r>
      <w:proofErr w:type="spellEnd"/>
      <w:r w:rsidR="00090CB1">
        <w:rPr>
          <w:rFonts w:ascii="Twentieth Century" w:hAnsi="Twentieth Century"/>
          <w:sz w:val="22"/>
          <w:szCs w:val="22"/>
        </w:rPr>
        <w:t xml:space="preserve">. </w:t>
      </w:r>
      <w:proofErr w:type="spellStart"/>
      <w:r w:rsidR="00EB58C7" w:rsidRPr="00E47A49">
        <w:rPr>
          <w:rFonts w:ascii="Twentieth Century" w:hAnsi="Twentieth Century"/>
          <w:sz w:val="22"/>
          <w:szCs w:val="22"/>
        </w:rPr>
        <w:t>Peneliti</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berpendapat</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bahwa</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walaupun</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menstruasi</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adalah</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hal</w:t>
      </w:r>
      <w:proofErr w:type="spellEnd"/>
      <w:r w:rsidR="00EB58C7" w:rsidRPr="00E47A49">
        <w:rPr>
          <w:rFonts w:ascii="Twentieth Century" w:hAnsi="Twentieth Century"/>
          <w:sz w:val="22"/>
          <w:szCs w:val="22"/>
        </w:rPr>
        <w:t xml:space="preserve"> yang </w:t>
      </w:r>
      <w:proofErr w:type="spellStart"/>
      <w:r w:rsidR="00EB58C7" w:rsidRPr="00E47A49">
        <w:rPr>
          <w:rFonts w:ascii="Twentieth Century" w:hAnsi="Twentieth Century"/>
          <w:sz w:val="22"/>
          <w:szCs w:val="22"/>
        </w:rPr>
        <w:t>wajar</w:t>
      </w:r>
      <w:proofErr w:type="spellEnd"/>
      <w:r w:rsidR="00EB58C7" w:rsidRPr="00E47A49">
        <w:rPr>
          <w:rFonts w:ascii="Twentieth Century" w:hAnsi="Twentieth Century"/>
          <w:sz w:val="22"/>
          <w:szCs w:val="22"/>
        </w:rPr>
        <w:t xml:space="preserve"> dan </w:t>
      </w:r>
      <w:proofErr w:type="spellStart"/>
      <w:r w:rsidR="00EB58C7" w:rsidRPr="00E47A49">
        <w:rPr>
          <w:rFonts w:ascii="Twentieth Century" w:hAnsi="Twentieth Century"/>
          <w:sz w:val="22"/>
          <w:szCs w:val="22"/>
        </w:rPr>
        <w:t>pasti</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dialami</w:t>
      </w:r>
      <w:proofErr w:type="spellEnd"/>
      <w:r w:rsidR="00EB58C7" w:rsidRPr="00E47A49">
        <w:rPr>
          <w:rFonts w:ascii="Twentieth Century" w:hAnsi="Twentieth Century"/>
          <w:sz w:val="22"/>
          <w:szCs w:val="22"/>
        </w:rPr>
        <w:t xml:space="preserve"> oleh </w:t>
      </w:r>
      <w:proofErr w:type="spellStart"/>
      <w:r w:rsidR="00EB58C7" w:rsidRPr="00E47A49">
        <w:rPr>
          <w:rFonts w:ascii="Twentieth Century" w:hAnsi="Twentieth Century"/>
          <w:sz w:val="22"/>
          <w:szCs w:val="22"/>
        </w:rPr>
        <w:t>setiap</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perempuan</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hal</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ini</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akan</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menjadi</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masalah</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apabila</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remaja</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putri</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belum</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pernah</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mengetahui</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tentang</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menstruasi</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Kurangnya</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pengetahuan</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tentang</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menstruasi</w:t>
      </w:r>
      <w:proofErr w:type="spellEnd"/>
      <w:r w:rsidR="00EB58C7" w:rsidRPr="00E47A49">
        <w:rPr>
          <w:rFonts w:ascii="Twentieth Century" w:hAnsi="Twentieth Century"/>
          <w:sz w:val="22"/>
          <w:szCs w:val="22"/>
        </w:rPr>
        <w:t xml:space="preserve"> pada </w:t>
      </w:r>
      <w:proofErr w:type="spellStart"/>
      <w:r w:rsidR="00EB58C7" w:rsidRPr="00E47A49">
        <w:rPr>
          <w:rFonts w:ascii="Twentieth Century" w:hAnsi="Twentieth Century"/>
          <w:sz w:val="22"/>
          <w:szCs w:val="22"/>
        </w:rPr>
        <w:t>remaja</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putri</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akan</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berdampak</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terhadap</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kesiapan</w:t>
      </w:r>
      <w:proofErr w:type="spellEnd"/>
      <w:r w:rsidR="00EB58C7" w:rsidRPr="00E47A49">
        <w:rPr>
          <w:rFonts w:ascii="Twentieth Century" w:hAnsi="Twentieth Century"/>
          <w:sz w:val="22"/>
          <w:szCs w:val="22"/>
        </w:rPr>
        <w:t xml:space="preserve"> dan </w:t>
      </w:r>
      <w:proofErr w:type="spellStart"/>
      <w:r w:rsidR="00EB58C7" w:rsidRPr="00E47A49">
        <w:rPr>
          <w:rFonts w:ascii="Twentieth Century" w:hAnsi="Twentieth Century"/>
          <w:sz w:val="22"/>
          <w:szCs w:val="22"/>
        </w:rPr>
        <w:t>mengalami</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kecemasan</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dalam</w:t>
      </w:r>
      <w:proofErr w:type="spellEnd"/>
      <w:r w:rsidR="00EB58C7" w:rsidRPr="00E47A49">
        <w:rPr>
          <w:rFonts w:ascii="Twentieth Century" w:hAnsi="Twentieth Century"/>
          <w:sz w:val="22"/>
          <w:szCs w:val="22"/>
        </w:rPr>
        <w:t xml:space="preserve"> </w:t>
      </w:r>
      <w:proofErr w:type="spellStart"/>
      <w:r w:rsidR="00EB58C7" w:rsidRPr="00E47A49">
        <w:rPr>
          <w:rFonts w:ascii="Twentieth Century" w:hAnsi="Twentieth Century"/>
          <w:sz w:val="22"/>
          <w:szCs w:val="22"/>
        </w:rPr>
        <w:t>menghadapi</w:t>
      </w:r>
      <w:proofErr w:type="spellEnd"/>
      <w:r w:rsidR="00EB58C7" w:rsidRPr="00E47A49">
        <w:rPr>
          <w:rFonts w:ascii="Twentieth Century" w:hAnsi="Twentieth Century"/>
          <w:sz w:val="22"/>
          <w:szCs w:val="22"/>
        </w:rPr>
        <w:t xml:space="preserve"> </w:t>
      </w:r>
      <w:r w:rsidR="00EB58C7" w:rsidRPr="00E47A49">
        <w:rPr>
          <w:rFonts w:ascii="Twentieth Century" w:hAnsi="Twentieth Century"/>
          <w:i/>
          <w:iCs/>
          <w:sz w:val="22"/>
          <w:szCs w:val="22"/>
        </w:rPr>
        <w:t>menarche</w:t>
      </w:r>
      <w:r w:rsidR="00EB58C7" w:rsidRPr="00E47A49">
        <w:rPr>
          <w:rFonts w:ascii="Twentieth Century" w:hAnsi="Twentieth Century"/>
          <w:sz w:val="22"/>
          <w:szCs w:val="22"/>
        </w:rPr>
        <w:t>.</w:t>
      </w:r>
    </w:p>
    <w:p w14:paraId="6AF35788" w14:textId="77777777" w:rsidR="00EB58C7" w:rsidRPr="00E47A49" w:rsidRDefault="00EB58C7" w:rsidP="00EB58C7">
      <w:pPr>
        <w:jc w:val="both"/>
        <w:rPr>
          <w:rFonts w:ascii="Twentieth Century" w:hAnsi="Twentieth Century" w:hint="eastAsia"/>
          <w:sz w:val="22"/>
          <w:szCs w:val="22"/>
        </w:rPr>
      </w:pPr>
      <w:r w:rsidRPr="00E47A49">
        <w:rPr>
          <w:rFonts w:ascii="Twentieth Century" w:hAnsi="Twentieth Century"/>
          <w:sz w:val="22"/>
          <w:szCs w:val="22"/>
        </w:rPr>
        <w:t xml:space="preserve">Tingkat </w:t>
      </w:r>
      <w:proofErr w:type="spellStart"/>
      <w:r w:rsidRPr="00E47A49">
        <w:rPr>
          <w:rFonts w:ascii="Twentieth Century" w:hAnsi="Twentieth Century"/>
          <w:sz w:val="22"/>
          <w:szCs w:val="22"/>
        </w:rPr>
        <w:t>Kecemasan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Sesudah</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Intervensi</w:t>
      </w:r>
      <w:proofErr w:type="spellEnd"/>
      <w:r w:rsidRPr="00E47A49">
        <w:rPr>
          <w:rFonts w:ascii="Twentieth Century" w:hAnsi="Twentieth Century"/>
          <w:sz w:val="22"/>
          <w:szCs w:val="22"/>
        </w:rPr>
        <w:t xml:space="preserve"> </w:t>
      </w:r>
    </w:p>
    <w:p w14:paraId="1471E070" w14:textId="77777777" w:rsidR="00EB58C7" w:rsidRPr="00E47A49" w:rsidRDefault="00EB58C7" w:rsidP="00EB58C7">
      <w:pPr>
        <w:spacing w:line="240" w:lineRule="auto"/>
        <w:jc w:val="both"/>
        <w:rPr>
          <w:rFonts w:ascii="Twentieth Century" w:hAnsi="Twentieth Century" w:hint="eastAsia"/>
          <w:sz w:val="22"/>
          <w:szCs w:val="22"/>
        </w:rPr>
      </w:pPr>
      <w:proofErr w:type="spellStart"/>
      <w:r w:rsidRPr="00E47A49">
        <w:rPr>
          <w:rFonts w:ascii="Twentieth Century" w:hAnsi="Twentieth Century"/>
          <w:sz w:val="22"/>
          <w:szCs w:val="22"/>
        </w:rPr>
        <w:t>Berdasarkan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hasil</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penelitian</w:t>
      </w:r>
      <w:proofErr w:type="spellEnd"/>
      <w:r w:rsidRPr="00E47A49">
        <w:rPr>
          <w:rFonts w:ascii="Twentieth Century" w:hAnsi="Twentieth Century"/>
          <w:sz w:val="22"/>
          <w:szCs w:val="22"/>
        </w:rPr>
        <w:t xml:space="preserve"> yang </w:t>
      </w:r>
      <w:proofErr w:type="spellStart"/>
      <w:r w:rsidRPr="00E47A49">
        <w:rPr>
          <w:rFonts w:ascii="Twentieth Century" w:hAnsi="Twentieth Century"/>
          <w:sz w:val="22"/>
          <w:szCs w:val="22"/>
        </w:rPr>
        <w:t>dilakukan</w:t>
      </w:r>
      <w:proofErr w:type="spellEnd"/>
      <w:r w:rsidRPr="00E47A49">
        <w:rPr>
          <w:rFonts w:ascii="Twentieth Century" w:hAnsi="Twentieth Century"/>
          <w:sz w:val="22"/>
          <w:szCs w:val="22"/>
        </w:rPr>
        <w:t xml:space="preserve"> pada 50 </w:t>
      </w:r>
      <w:proofErr w:type="spellStart"/>
      <w:r w:rsidRPr="00E47A49">
        <w:rPr>
          <w:rFonts w:ascii="Twentieth Century" w:hAnsi="Twentieth Century"/>
          <w:sz w:val="22"/>
          <w:szCs w:val="22"/>
        </w:rPr>
        <w:t>responden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memiliki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tingkat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kecemasan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sesudah</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melakukan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intervensi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adalah</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ringan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sebanyak</w:t>
      </w:r>
      <w:proofErr w:type="spellEnd"/>
      <w:r w:rsidRPr="00E47A49">
        <w:rPr>
          <w:rFonts w:ascii="Twentieth Century" w:hAnsi="Twentieth Century"/>
          <w:sz w:val="22"/>
          <w:szCs w:val="22"/>
        </w:rPr>
        <w:t xml:space="preserve"> 36 orang (72%), </w:t>
      </w:r>
      <w:proofErr w:type="spellStart"/>
      <w:r w:rsidRPr="00E47A49">
        <w:rPr>
          <w:rFonts w:ascii="Twentieth Century" w:hAnsi="Twentieth Century"/>
          <w:sz w:val="22"/>
          <w:szCs w:val="22"/>
        </w:rPr>
        <w:t>sedang</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sebanyak</w:t>
      </w:r>
      <w:proofErr w:type="spellEnd"/>
      <w:r w:rsidRPr="00E47A49">
        <w:rPr>
          <w:rFonts w:ascii="Twentieth Century" w:hAnsi="Twentieth Century"/>
          <w:sz w:val="22"/>
          <w:szCs w:val="22"/>
        </w:rPr>
        <w:t xml:space="preserve"> 8 orang (16%), </w:t>
      </w:r>
      <w:proofErr w:type="spellStart"/>
      <w:r w:rsidRPr="00E47A49">
        <w:rPr>
          <w:rFonts w:ascii="Twentieth Century" w:hAnsi="Twentieth Century"/>
          <w:sz w:val="22"/>
          <w:szCs w:val="22"/>
        </w:rPr>
        <w:t>berat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sebanyak</w:t>
      </w:r>
      <w:proofErr w:type="spellEnd"/>
      <w:r w:rsidRPr="00E47A49">
        <w:rPr>
          <w:rFonts w:ascii="Twentieth Century" w:hAnsi="Twentieth Century"/>
          <w:sz w:val="22"/>
          <w:szCs w:val="22"/>
        </w:rPr>
        <w:t xml:space="preserve"> 2 orang (4%), dan </w:t>
      </w:r>
      <w:proofErr w:type="spellStart"/>
      <w:r w:rsidRPr="00E47A49">
        <w:rPr>
          <w:rFonts w:ascii="Twentieth Century" w:hAnsi="Twentieth Century"/>
          <w:sz w:val="22"/>
          <w:szCs w:val="22"/>
        </w:rPr>
        <w:t>tidak</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cemas</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sebanyak</w:t>
      </w:r>
      <w:proofErr w:type="spellEnd"/>
      <w:r w:rsidRPr="00E47A49">
        <w:rPr>
          <w:rFonts w:ascii="Twentieth Century" w:hAnsi="Twentieth Century"/>
          <w:sz w:val="22"/>
          <w:szCs w:val="22"/>
        </w:rPr>
        <w:t xml:space="preserve"> 4 orang (8%). </w:t>
      </w:r>
      <w:proofErr w:type="spellStart"/>
      <w:r w:rsidRPr="00E47A49">
        <w:rPr>
          <w:rFonts w:ascii="Twentieth Century" w:hAnsi="Twentieth Century"/>
          <w:sz w:val="22"/>
          <w:szCs w:val="22"/>
        </w:rPr>
        <w:t>Peneltian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ini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tidak</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sejalan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dengan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penelitian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w:t>
      </w:r>
      <w:r w:rsidR="00371476">
        <w:rPr>
          <w:rFonts w:ascii="Twentieth Century" w:hAnsi="Twentieth Century"/>
          <w:sz w:val="22"/>
          <w:szCs w:val="22"/>
        </w:rPr>
        <w:t>ujiati</w:t>
      </w:r>
      <w:proofErr w:type="spellEnd"/>
      <w:r w:rsidR="00371476">
        <w:rPr>
          <w:rFonts w:ascii="Twentieth Century" w:hAnsi="Twentieth Century"/>
          <w:sz w:val="22"/>
          <w:szCs w:val="22"/>
        </w:rPr>
        <w:t xml:space="preserve"> </w:t>
      </w:r>
      <w:r w:rsidR="00371476">
        <w:rPr>
          <w:rFonts w:ascii="Twentieth Century" w:hAnsi="Twentieth Century"/>
          <w:sz w:val="22"/>
          <w:szCs w:val="22"/>
        </w:rPr>
        <w:fldChar w:fldCharType="begin" w:fldLock="1"/>
      </w:r>
      <w:r w:rsidR="00371476">
        <w:rPr>
          <w:rFonts w:ascii="Twentieth Century" w:hAnsi="Twentieth Century"/>
          <w:sz w:val="22"/>
          <w:szCs w:val="22"/>
        </w:rPr>
        <w:instrText>ADDIN CSL_CITATION {"citationItems":[{"id":"ITEM-1","itemData":{"DOI":"http://dx.doi.org/10.30595/medisains.v13i1.1829","ISBN":"9781119130536","author":[{"dropping-particle":"","family":"Pujiati","given":"Wasis","non-dropping-particle":"","parse-names":false,"suffix":""},{"dropping-particle":"","family":"Ernawati","given":"","non-dropping-particle":"","parse-names":false,"suffix":""},{"dropping-particle":"","family":"Daratullalla","given":"","non-dropping-particle":"","parse-names":false,"suffix":""}],"id":"ITEM-1","issue":"1","issued":{"date-parts":[["2019"]]},"page":"50-58","title":"Pendidikan Kesehatan tentang Menstruasi terhadap Tingkat Kecemasan Menghadapi Menarche pada Siswi Sekolah Dasar","type":"article-journal","volume":"13"},"uris":["http://www.mendeley.com/documents/?uuid=6ee4d96f-dbc7-4c01-8407-14eb1e35d1a5"]}],"mendeley":{"formattedCitation":"[14]","plainTextFormattedCitation":"[14]","previouslyFormattedCitation":"[14]"},"properties":{"noteIndex":0},"schema":"https://github.com/citation-style-language/schema/raw/master/csl-citation.json"}</w:instrText>
      </w:r>
      <w:r w:rsidR="00371476">
        <w:rPr>
          <w:rFonts w:ascii="Twentieth Century" w:hAnsi="Twentieth Century"/>
          <w:sz w:val="22"/>
          <w:szCs w:val="22"/>
        </w:rPr>
        <w:fldChar w:fldCharType="separate"/>
      </w:r>
      <w:r w:rsidR="00371476" w:rsidRPr="00371476">
        <w:rPr>
          <w:rFonts w:ascii="Twentieth Century" w:hAnsi="Twentieth Century"/>
          <w:noProof/>
          <w:sz w:val="22"/>
          <w:szCs w:val="22"/>
        </w:rPr>
        <w:t>[14]</w:t>
      </w:r>
      <w:r w:rsidR="00371476">
        <w:rPr>
          <w:rFonts w:ascii="Twentieth Century" w:hAnsi="Twentieth Century"/>
          <w:sz w:val="22"/>
          <w:szCs w:val="22"/>
        </w:rPr>
        <w:fldChar w:fldCharType="end"/>
      </w:r>
      <w:r w:rsidR="00371476">
        <w:rPr>
          <w:rFonts w:ascii="Twentieth Century" w:hAnsi="Twentieth Century"/>
          <w:sz w:val="22"/>
          <w:szCs w:val="22"/>
        </w:rPr>
        <w:t xml:space="preserve"> </w:t>
      </w:r>
      <w:proofErr w:type="spellStart"/>
      <w:r w:rsidRPr="00E47A49">
        <w:rPr>
          <w:rFonts w:ascii="Twentieth Century" w:hAnsi="Twentieth Century"/>
          <w:sz w:val="22"/>
          <w:szCs w:val="22"/>
        </w:rPr>
        <w:t>dengan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judul</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pendidikan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kesehatan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tentang</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menstruasi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terhadap</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tingkat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kecemasan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menghadapi</w:t>
      </w:r>
      <w:proofErr w:type="spellEnd"/>
      <w:r w:rsidRPr="00E47A49">
        <w:rPr>
          <w:rFonts w:ascii="Twentieth Century" w:hAnsi="Twentieth Century"/>
          <w:sz w:val="22"/>
          <w:szCs w:val="22"/>
        </w:rPr>
        <w:t xml:space="preserve"> </w:t>
      </w:r>
      <w:r w:rsidRPr="00E47A49">
        <w:rPr>
          <w:rFonts w:ascii="Twentieth Century" w:hAnsi="Twentieth Century"/>
          <w:i/>
          <w:sz w:val="22"/>
          <w:szCs w:val="22"/>
        </w:rPr>
        <w:t>menarche</w:t>
      </w:r>
      <w:r w:rsidRPr="00E47A49">
        <w:rPr>
          <w:rFonts w:ascii="Twentieth Century" w:hAnsi="Twentieth Century"/>
          <w:sz w:val="22"/>
          <w:szCs w:val="22"/>
        </w:rPr>
        <w:t xml:space="preserve"> pada </w:t>
      </w:r>
      <w:proofErr w:type="spellStart"/>
      <w:r w:rsidRPr="00E47A49">
        <w:rPr>
          <w:rFonts w:ascii="Twentieth Century" w:hAnsi="Twentieth Century"/>
          <w:sz w:val="22"/>
          <w:szCs w:val="22"/>
        </w:rPr>
        <w:t>siswi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sekolah</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dasar</w:t>
      </w:r>
      <w:proofErr w:type="spellEnd"/>
      <w:r w:rsidRPr="00E47A49">
        <w:rPr>
          <w:rFonts w:ascii="Twentieth Century" w:hAnsi="Twentieth Century"/>
          <w:sz w:val="22"/>
          <w:szCs w:val="22"/>
        </w:rPr>
        <w:t xml:space="preserve">. Hasil </w:t>
      </w:r>
      <w:proofErr w:type="spellStart"/>
      <w:r w:rsidRPr="00E47A49">
        <w:rPr>
          <w:rFonts w:ascii="Twentieth Century" w:hAnsi="Twentieth Century"/>
          <w:sz w:val="22"/>
          <w:szCs w:val="22"/>
        </w:rPr>
        <w:t>penelitian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ini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menunjukkan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kecemasan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sedang</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sebanyak</w:t>
      </w:r>
      <w:proofErr w:type="spellEnd"/>
      <w:r w:rsidRPr="00E47A49">
        <w:rPr>
          <w:rFonts w:ascii="Twentieth Century" w:hAnsi="Twentieth Century"/>
          <w:sz w:val="22"/>
          <w:szCs w:val="22"/>
        </w:rPr>
        <w:t xml:space="preserve"> 14 </w:t>
      </w:r>
      <w:proofErr w:type="spellStart"/>
      <w:r w:rsidRPr="00E47A49">
        <w:rPr>
          <w:rFonts w:ascii="Twentieth Century" w:hAnsi="Twentieth Century"/>
          <w:sz w:val="22"/>
          <w:szCs w:val="22"/>
        </w:rPr>
        <w:t>responden</w:t>
      </w:r>
      <w:proofErr w:type="spellEnd"/>
      <w:r w:rsidRPr="00E47A49">
        <w:rPr>
          <w:rFonts w:ascii="Twentieth Century" w:hAnsi="Twentieth Century"/>
          <w:sz w:val="22"/>
          <w:szCs w:val="22"/>
        </w:rPr>
        <w:t xml:space="preserve"> (</w:t>
      </w:r>
      <w:proofErr w:type="gramStart"/>
      <w:r w:rsidRPr="00E47A49">
        <w:rPr>
          <w:rFonts w:ascii="Twentieth Century" w:hAnsi="Twentieth Century"/>
          <w:sz w:val="22"/>
          <w:szCs w:val="22"/>
        </w:rPr>
        <w:t>43,%</w:t>
      </w:r>
      <w:proofErr w:type="gramEnd"/>
      <w:r w:rsidRPr="00E47A49">
        <w:rPr>
          <w:rFonts w:ascii="Twentieth Century" w:hAnsi="Twentieth Century"/>
          <w:sz w:val="22"/>
          <w:szCs w:val="22"/>
        </w:rPr>
        <w:t xml:space="preserve">) dan </w:t>
      </w:r>
      <w:proofErr w:type="spellStart"/>
      <w:r w:rsidRPr="00E47A49">
        <w:rPr>
          <w:rFonts w:ascii="Twentieth Century" w:hAnsi="Twentieth Century"/>
          <w:sz w:val="22"/>
          <w:szCs w:val="22"/>
        </w:rPr>
        <w:t>kecemasan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ringan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sebanyak</w:t>
      </w:r>
      <w:proofErr w:type="spellEnd"/>
      <w:r w:rsidRPr="00E47A49">
        <w:rPr>
          <w:rFonts w:ascii="Twentieth Century" w:hAnsi="Twentieth Century"/>
          <w:sz w:val="22"/>
          <w:szCs w:val="22"/>
        </w:rPr>
        <w:t xml:space="preserve"> 3 </w:t>
      </w:r>
      <w:proofErr w:type="spellStart"/>
      <w:r w:rsidRPr="00E47A49">
        <w:rPr>
          <w:rFonts w:ascii="Twentieth Century" w:hAnsi="Twentieth Century"/>
          <w:sz w:val="22"/>
          <w:szCs w:val="22"/>
        </w:rPr>
        <w:t>responden</w:t>
      </w:r>
      <w:proofErr w:type="spellEnd"/>
      <w:r w:rsidRPr="00E47A49">
        <w:rPr>
          <w:rFonts w:ascii="Twentieth Century" w:hAnsi="Twentieth Century"/>
          <w:sz w:val="22"/>
          <w:szCs w:val="22"/>
        </w:rPr>
        <w:t xml:space="preserve"> (9,4%).</w:t>
      </w:r>
    </w:p>
    <w:p w14:paraId="6FBBEF0B" w14:textId="77777777" w:rsidR="00371476" w:rsidRDefault="00371476" w:rsidP="00371476">
      <w:pPr>
        <w:pStyle w:val="TeksIsi"/>
        <w:spacing w:before="133"/>
        <w:ind w:right="2"/>
        <w:jc w:val="both"/>
        <w:rPr>
          <w:rFonts w:ascii="Twentieth Century" w:hAnsi="Twentieth Century"/>
          <w:sz w:val="22"/>
          <w:szCs w:val="22"/>
        </w:rPr>
      </w:pPr>
      <w:r>
        <w:rPr>
          <w:rFonts w:ascii="Twentieth Century" w:hAnsi="Twentieth Century"/>
          <w:sz w:val="22"/>
          <w:szCs w:val="22"/>
        </w:rPr>
        <w:t>F</w:t>
      </w:r>
      <w:r w:rsidR="00EB58C7" w:rsidRPr="00E47A49">
        <w:rPr>
          <w:rFonts w:ascii="Twentieth Century" w:hAnsi="Twentieth Century"/>
          <w:sz w:val="22"/>
          <w:szCs w:val="22"/>
        </w:rPr>
        <w:t xml:space="preserve">aktor-faktor penyebab kecemasan yaitu berdasarkan teori psikoanalisis </w:t>
      </w:r>
      <w:proofErr w:type="spellStart"/>
      <w:r w:rsidR="00EB58C7" w:rsidRPr="00E47A49">
        <w:rPr>
          <w:rFonts w:ascii="Twentieth Century" w:hAnsi="Twentieth Century"/>
          <w:sz w:val="22"/>
          <w:szCs w:val="22"/>
        </w:rPr>
        <w:t>ansietas</w:t>
      </w:r>
      <w:proofErr w:type="spellEnd"/>
      <w:r w:rsidR="00EB58C7" w:rsidRPr="00E47A49">
        <w:rPr>
          <w:rFonts w:ascii="Twentieth Century" w:hAnsi="Twentieth Century"/>
          <w:sz w:val="22"/>
          <w:szCs w:val="22"/>
        </w:rPr>
        <w:t xml:space="preserve"> merupakan konflik emosional antara 2 elemen kepribadian, yakni </w:t>
      </w:r>
      <w:proofErr w:type="spellStart"/>
      <w:r w:rsidR="00EB58C7" w:rsidRPr="00E47A49">
        <w:rPr>
          <w:rFonts w:ascii="Twentieth Century" w:hAnsi="Twentieth Century"/>
          <w:i/>
          <w:sz w:val="22"/>
          <w:szCs w:val="22"/>
        </w:rPr>
        <w:t>Id</w:t>
      </w:r>
      <w:proofErr w:type="spellEnd"/>
      <w:r w:rsidR="00EB58C7" w:rsidRPr="00E47A49">
        <w:rPr>
          <w:rFonts w:ascii="Twentieth Century" w:hAnsi="Twentieth Century"/>
          <w:sz w:val="22"/>
          <w:szCs w:val="22"/>
        </w:rPr>
        <w:t xml:space="preserve">, Ego, dan Super-ego. </w:t>
      </w:r>
      <w:proofErr w:type="spellStart"/>
      <w:r w:rsidR="00EB58C7" w:rsidRPr="00E47A49">
        <w:rPr>
          <w:rFonts w:ascii="Twentieth Century" w:hAnsi="Twentieth Century"/>
          <w:i/>
          <w:sz w:val="22"/>
          <w:szCs w:val="22"/>
        </w:rPr>
        <w:t>Id</w:t>
      </w:r>
      <w:proofErr w:type="spellEnd"/>
      <w:r w:rsidR="00EB58C7" w:rsidRPr="00E47A49">
        <w:rPr>
          <w:rFonts w:ascii="Twentieth Century" w:hAnsi="Twentieth Century"/>
          <w:i/>
          <w:sz w:val="22"/>
          <w:szCs w:val="22"/>
        </w:rPr>
        <w:t xml:space="preserve"> </w:t>
      </w:r>
      <w:r w:rsidR="00EB58C7" w:rsidRPr="00E47A49">
        <w:rPr>
          <w:rFonts w:ascii="Twentieth Century" w:hAnsi="Twentieth Century"/>
          <w:sz w:val="22"/>
          <w:szCs w:val="22"/>
        </w:rPr>
        <w:t xml:space="preserve">mencerminkan dorongan instingtif dan </w:t>
      </w:r>
      <w:proofErr w:type="spellStart"/>
      <w:r w:rsidR="00EB58C7" w:rsidRPr="00E47A49">
        <w:rPr>
          <w:rFonts w:ascii="Twentieth Century" w:hAnsi="Twentieth Century"/>
          <w:sz w:val="22"/>
          <w:szCs w:val="22"/>
        </w:rPr>
        <w:t>implus-implus</w:t>
      </w:r>
      <w:proofErr w:type="spellEnd"/>
      <w:r w:rsidR="00EB58C7" w:rsidRPr="00E47A49">
        <w:rPr>
          <w:rFonts w:ascii="Twentieth Century" w:hAnsi="Twentieth Century"/>
          <w:sz w:val="22"/>
          <w:szCs w:val="22"/>
        </w:rPr>
        <w:t xml:space="preserve"> primitif. Ego melambangkan </w:t>
      </w:r>
      <w:proofErr w:type="spellStart"/>
      <w:r w:rsidR="00EB58C7" w:rsidRPr="00E47A49">
        <w:rPr>
          <w:rFonts w:ascii="Twentieth Century" w:hAnsi="Twentieth Century"/>
          <w:sz w:val="22"/>
          <w:szCs w:val="22"/>
        </w:rPr>
        <w:t>mediatir</w:t>
      </w:r>
      <w:proofErr w:type="spellEnd"/>
      <w:r w:rsidR="00EB58C7" w:rsidRPr="00E47A49">
        <w:rPr>
          <w:rFonts w:ascii="Twentieth Century" w:hAnsi="Twentieth Century"/>
          <w:sz w:val="22"/>
          <w:szCs w:val="22"/>
        </w:rPr>
        <w:t xml:space="preserve"> antara </w:t>
      </w:r>
      <w:proofErr w:type="spellStart"/>
      <w:r w:rsidR="00EB58C7" w:rsidRPr="00E47A49">
        <w:rPr>
          <w:rFonts w:ascii="Twentieth Century" w:hAnsi="Twentieth Century"/>
          <w:i/>
          <w:sz w:val="22"/>
          <w:szCs w:val="22"/>
        </w:rPr>
        <w:t>Id</w:t>
      </w:r>
      <w:proofErr w:type="spellEnd"/>
      <w:r w:rsidR="00EB58C7" w:rsidRPr="00E47A49">
        <w:rPr>
          <w:rFonts w:ascii="Twentieth Century" w:hAnsi="Twentieth Century"/>
          <w:i/>
          <w:sz w:val="22"/>
          <w:szCs w:val="22"/>
        </w:rPr>
        <w:t xml:space="preserve"> </w:t>
      </w:r>
      <w:r w:rsidR="00EB58C7" w:rsidRPr="00E47A49">
        <w:rPr>
          <w:rFonts w:ascii="Twentieth Century" w:hAnsi="Twentieth Century"/>
          <w:sz w:val="22"/>
          <w:szCs w:val="22"/>
        </w:rPr>
        <w:t xml:space="preserve">dan super-ego. </w:t>
      </w:r>
      <w:proofErr w:type="spellStart"/>
      <w:r w:rsidR="00EB58C7" w:rsidRPr="00E47A49">
        <w:rPr>
          <w:rFonts w:ascii="Twentieth Century" w:hAnsi="Twentieth Century"/>
          <w:sz w:val="22"/>
          <w:szCs w:val="22"/>
        </w:rPr>
        <w:t>Superego</w:t>
      </w:r>
      <w:proofErr w:type="spellEnd"/>
      <w:r w:rsidR="00EB58C7" w:rsidRPr="00E47A49">
        <w:rPr>
          <w:rFonts w:ascii="Twentieth Century" w:hAnsi="Twentieth Century"/>
          <w:sz w:val="22"/>
          <w:szCs w:val="22"/>
        </w:rPr>
        <w:t xml:space="preserve"> mencerminkan hati nurani seseorang yang dikendali oleh norma-norma lingkungan, agama dan budaya. Kaitannya pada </w:t>
      </w:r>
      <w:proofErr w:type="spellStart"/>
      <w:r w:rsidR="00EB58C7" w:rsidRPr="00E47A49">
        <w:rPr>
          <w:rFonts w:ascii="Twentieth Century" w:hAnsi="Twentieth Century"/>
          <w:sz w:val="22"/>
          <w:szCs w:val="22"/>
        </w:rPr>
        <w:t>ansietas</w:t>
      </w:r>
      <w:proofErr w:type="spellEnd"/>
      <w:r w:rsidR="00EB58C7" w:rsidRPr="00E47A49">
        <w:rPr>
          <w:rFonts w:ascii="Twentieth Century" w:hAnsi="Twentieth Century"/>
          <w:sz w:val="22"/>
          <w:szCs w:val="22"/>
        </w:rPr>
        <w:t xml:space="preserve"> adalah peringatan terhadap pertahanan ego. </w:t>
      </w:r>
      <w:r>
        <w:rPr>
          <w:rFonts w:ascii="Twentieth Century" w:hAnsi="Twentieth Century"/>
          <w:sz w:val="22"/>
          <w:szCs w:val="22"/>
        </w:rPr>
        <w:t>P</w:t>
      </w:r>
      <w:r w:rsidR="00EB58C7" w:rsidRPr="00E47A49">
        <w:rPr>
          <w:rFonts w:ascii="Twentieth Century" w:hAnsi="Twentieth Century"/>
          <w:sz w:val="22"/>
          <w:szCs w:val="22"/>
        </w:rPr>
        <w:t>endidikan kesehatan adalah suatu proses belajar yang berarti di  dalam pendidikan terjadi proses pertumbuhan, perkembangan atau perubahan ke arah yang lebih dewasa, lebih baik, lebih matang pada diri individu, kelompok atau masyarakat. Seseorang dikatakan belajar apabila terjadi perubahan dari tidak tahu menjadi tahu atau dari tidak bisa mengerjakan sesuatu menjadi mampu mengerjakan sesuatu</w:t>
      </w:r>
      <w:r>
        <w:rPr>
          <w:rFonts w:ascii="Twentieth Century" w:hAnsi="Twentieth Century"/>
          <w:sz w:val="22"/>
          <w:szCs w:val="22"/>
        </w:rPr>
        <w:t xml:space="preserve"> </w:t>
      </w:r>
      <w:r>
        <w:rPr>
          <w:rFonts w:ascii="Twentieth Century" w:hAnsi="Twentieth Century"/>
          <w:sz w:val="22"/>
          <w:szCs w:val="22"/>
        </w:rPr>
        <w:fldChar w:fldCharType="begin" w:fldLock="1"/>
      </w:r>
      <w:r w:rsidR="00E4675D">
        <w:rPr>
          <w:rFonts w:ascii="Twentieth Century" w:hAnsi="Twentieth Century"/>
          <w:sz w:val="22"/>
          <w:szCs w:val="22"/>
        </w:rPr>
        <w:instrText>ADDIN CSL_CITATION {"citationItems":[{"id":"ITEM-1","itemData":{"DOI":"http://dx.doi.org/10.30595/medisains.v13i1.1829","ISBN":"9781119130536","author":[{"dropping-particle":"","family":"Pujiati","given":"Wasis","non-dropping-particle":"","parse-names":false,"suffix":""},{"dropping-particle":"","family":"Ernawati","given":"","non-dropping-particle":"","parse-names":false,"suffix":""},{"dropping-particle":"","family":"Daratullalla","given":"","non-dropping-particle":"","parse-names":false,"suffix":""}],"id":"ITEM-1","issue":"1","issued":{"date-parts":[["2019"]]},"page":"50-58","title":"Pendidikan Kesehatan tentang Menstruasi terhadap Tingkat Kecemasan Menghadapi Menarche pada Siswi Sekolah Dasar","type":"article-journal","volume":"13"},"uris":["http://www.mendeley.com/documents/?uuid=6ee4d96f-dbc7-4c01-8407-14eb1e35d1a5"]}],"mendeley":{"formattedCitation":"[14]","plainTextFormattedCitation":"[14]","previouslyFormattedCitation":"[14]"},"properties":{"noteIndex":0},"schema":"https://github.com/citation-style-language/schema/raw/master/csl-citation.json"}</w:instrText>
      </w:r>
      <w:r>
        <w:rPr>
          <w:rFonts w:ascii="Twentieth Century" w:hAnsi="Twentieth Century"/>
          <w:sz w:val="22"/>
          <w:szCs w:val="22"/>
        </w:rPr>
        <w:fldChar w:fldCharType="separate"/>
      </w:r>
      <w:r w:rsidRPr="00371476">
        <w:rPr>
          <w:rFonts w:ascii="Twentieth Century" w:hAnsi="Twentieth Century"/>
          <w:noProof/>
          <w:sz w:val="22"/>
          <w:szCs w:val="22"/>
        </w:rPr>
        <w:t>[14]</w:t>
      </w:r>
      <w:r>
        <w:rPr>
          <w:rFonts w:ascii="Twentieth Century" w:hAnsi="Twentieth Century"/>
          <w:sz w:val="22"/>
          <w:szCs w:val="22"/>
        </w:rPr>
        <w:fldChar w:fldCharType="end"/>
      </w:r>
      <w:r w:rsidR="00EB58C7" w:rsidRPr="00E47A49">
        <w:rPr>
          <w:rFonts w:ascii="Twentieth Century" w:hAnsi="Twentieth Century"/>
          <w:sz w:val="22"/>
          <w:szCs w:val="22"/>
        </w:rPr>
        <w:t>.</w:t>
      </w:r>
      <w:r>
        <w:rPr>
          <w:rFonts w:ascii="Twentieth Century" w:hAnsi="Twentieth Century"/>
          <w:sz w:val="22"/>
          <w:szCs w:val="22"/>
        </w:rPr>
        <w:t xml:space="preserve"> </w:t>
      </w:r>
      <w:r w:rsidR="00EB58C7" w:rsidRPr="00E47A49">
        <w:rPr>
          <w:rFonts w:ascii="Twentieth Century" w:hAnsi="Twentieth Century"/>
          <w:sz w:val="22"/>
          <w:szCs w:val="22"/>
        </w:rPr>
        <w:t xml:space="preserve">Peneliti berpendapat bahwa dengan diberikan pendidikan kesehatan tentang </w:t>
      </w:r>
      <w:proofErr w:type="spellStart"/>
      <w:r w:rsidR="00EB58C7" w:rsidRPr="00E47A49">
        <w:rPr>
          <w:rFonts w:ascii="Twentieth Century" w:hAnsi="Twentieth Century"/>
          <w:i/>
          <w:sz w:val="22"/>
          <w:szCs w:val="22"/>
        </w:rPr>
        <w:t>menarche</w:t>
      </w:r>
      <w:proofErr w:type="spellEnd"/>
      <w:r w:rsidR="00EB58C7" w:rsidRPr="00E47A49">
        <w:rPr>
          <w:rFonts w:ascii="Twentieth Century" w:hAnsi="Twentieth Century"/>
          <w:sz w:val="22"/>
          <w:szCs w:val="22"/>
        </w:rPr>
        <w:t xml:space="preserve"> dapat menurunkan angka kecemasan pada remaja putri. Pendidikan kesehatan dapat memberikan informasi pada remaja putri tentang apa itu </w:t>
      </w:r>
      <w:proofErr w:type="spellStart"/>
      <w:r w:rsidR="00EB58C7" w:rsidRPr="00E47A49">
        <w:rPr>
          <w:rFonts w:ascii="Twentieth Century" w:hAnsi="Twentieth Century"/>
          <w:i/>
          <w:sz w:val="22"/>
          <w:szCs w:val="22"/>
        </w:rPr>
        <w:t>menarche</w:t>
      </w:r>
      <w:proofErr w:type="spellEnd"/>
      <w:r w:rsidR="00EB58C7" w:rsidRPr="00E47A49">
        <w:rPr>
          <w:rFonts w:ascii="Twentieth Century" w:hAnsi="Twentieth Century"/>
          <w:sz w:val="22"/>
          <w:szCs w:val="22"/>
        </w:rPr>
        <w:t xml:space="preserve">, usia berapa terjadi </w:t>
      </w:r>
      <w:proofErr w:type="spellStart"/>
      <w:r w:rsidR="00EB58C7" w:rsidRPr="00E47A49">
        <w:rPr>
          <w:rFonts w:ascii="Twentieth Century" w:hAnsi="Twentieth Century"/>
          <w:i/>
          <w:sz w:val="22"/>
          <w:szCs w:val="22"/>
        </w:rPr>
        <w:t>menarche</w:t>
      </w:r>
      <w:proofErr w:type="spellEnd"/>
      <w:r w:rsidR="00EB58C7" w:rsidRPr="00E47A49">
        <w:rPr>
          <w:rFonts w:ascii="Twentieth Century" w:hAnsi="Twentieth Century"/>
          <w:sz w:val="22"/>
          <w:szCs w:val="22"/>
        </w:rPr>
        <w:t xml:space="preserve">, dan  faktor penyebab </w:t>
      </w:r>
      <w:proofErr w:type="spellStart"/>
      <w:r w:rsidR="00EB58C7" w:rsidRPr="00E47A49">
        <w:rPr>
          <w:rFonts w:ascii="Twentieth Century" w:hAnsi="Twentieth Century"/>
          <w:i/>
          <w:sz w:val="22"/>
          <w:szCs w:val="22"/>
        </w:rPr>
        <w:t>menarche</w:t>
      </w:r>
      <w:proofErr w:type="spellEnd"/>
      <w:r w:rsidR="00EB58C7" w:rsidRPr="00E47A49">
        <w:rPr>
          <w:rFonts w:ascii="Twentieth Century" w:hAnsi="Twentieth Century"/>
          <w:sz w:val="22"/>
          <w:szCs w:val="22"/>
        </w:rPr>
        <w:t xml:space="preserve">. Dengan adanya pendidikan kesehatan remaja putri menjadi tahu dan dapat mengurangi kecemasan  pada saat mengalami </w:t>
      </w:r>
      <w:proofErr w:type="spellStart"/>
      <w:r w:rsidR="00EB58C7" w:rsidRPr="00E47A49">
        <w:rPr>
          <w:rFonts w:ascii="Twentieth Century" w:hAnsi="Twentieth Century"/>
          <w:i/>
          <w:sz w:val="22"/>
          <w:szCs w:val="22"/>
        </w:rPr>
        <w:t>menarche</w:t>
      </w:r>
      <w:proofErr w:type="spellEnd"/>
      <w:r w:rsidR="00EB58C7" w:rsidRPr="00E47A49">
        <w:rPr>
          <w:rFonts w:ascii="Twentieth Century" w:hAnsi="Twentieth Century"/>
          <w:sz w:val="22"/>
          <w:szCs w:val="22"/>
        </w:rPr>
        <w:t xml:space="preserve">. </w:t>
      </w:r>
    </w:p>
    <w:p w14:paraId="17CE6858" w14:textId="77777777" w:rsidR="00EB58C7" w:rsidRPr="00371476" w:rsidRDefault="00EB58C7" w:rsidP="00371476">
      <w:pPr>
        <w:pStyle w:val="TeksIsi"/>
        <w:spacing w:before="133"/>
        <w:ind w:right="2"/>
        <w:jc w:val="both"/>
        <w:rPr>
          <w:rFonts w:ascii="Twentieth Century" w:hAnsi="Twentieth Century"/>
          <w:sz w:val="22"/>
          <w:szCs w:val="22"/>
        </w:rPr>
      </w:pPr>
      <w:r w:rsidRPr="00E47A49">
        <w:rPr>
          <w:rFonts w:ascii="Twentieth Century" w:hAnsi="Twentieth Century"/>
          <w:sz w:val="22"/>
          <w:szCs w:val="22"/>
        </w:rPr>
        <w:t xml:space="preserve">Penelitian ini menggunakan jumlah responden sebanyak 50 responden. Pada hasil uji </w:t>
      </w:r>
      <w:proofErr w:type="spellStart"/>
      <w:r w:rsidRPr="00E47A49">
        <w:rPr>
          <w:rFonts w:ascii="Twentieth Century" w:hAnsi="Twentieth Century"/>
          <w:i/>
          <w:sz w:val="22"/>
          <w:szCs w:val="22"/>
        </w:rPr>
        <w:t>Wilcoxon</w:t>
      </w:r>
      <w:proofErr w:type="spellEnd"/>
      <w:r w:rsidRPr="00E47A49">
        <w:rPr>
          <w:rFonts w:ascii="Twentieth Century" w:hAnsi="Twentieth Century"/>
          <w:i/>
          <w:sz w:val="22"/>
          <w:szCs w:val="22"/>
        </w:rPr>
        <w:t xml:space="preserve"> </w:t>
      </w:r>
      <w:r w:rsidRPr="00E47A49">
        <w:rPr>
          <w:rFonts w:ascii="Twentieth Century" w:hAnsi="Twentieth Century"/>
          <w:sz w:val="22"/>
          <w:szCs w:val="22"/>
        </w:rPr>
        <w:t xml:space="preserve">didapatkan nilai </w:t>
      </w:r>
      <w:r w:rsidRPr="00E47A49">
        <w:rPr>
          <w:rFonts w:ascii="Twentieth Century" w:hAnsi="Twentieth Century"/>
          <w:i/>
          <w:sz w:val="22"/>
          <w:szCs w:val="22"/>
        </w:rPr>
        <w:t>p-</w:t>
      </w:r>
      <w:proofErr w:type="spellStart"/>
      <w:r w:rsidRPr="00E47A49">
        <w:rPr>
          <w:rFonts w:ascii="Twentieth Century" w:hAnsi="Twentieth Century"/>
          <w:i/>
          <w:sz w:val="22"/>
          <w:szCs w:val="22"/>
        </w:rPr>
        <w:t>value</w:t>
      </w:r>
      <w:proofErr w:type="spellEnd"/>
      <w:r w:rsidRPr="00E47A49">
        <w:rPr>
          <w:rFonts w:ascii="Twentieth Century" w:hAnsi="Twentieth Century"/>
          <w:sz w:val="22"/>
          <w:szCs w:val="22"/>
        </w:rPr>
        <w:t xml:space="preserve"> tingkat kecemasan sebelum dan sesudah intervensi sebesar 0.000 pada α 5% (0,05) yang berarti bahwa </w:t>
      </w:r>
      <w:r w:rsidRPr="00E47A49">
        <w:rPr>
          <w:rFonts w:ascii="Twentieth Century" w:hAnsi="Twentieth Century"/>
          <w:i/>
          <w:sz w:val="22"/>
          <w:szCs w:val="22"/>
        </w:rPr>
        <w:t>p-</w:t>
      </w:r>
      <w:proofErr w:type="spellStart"/>
      <w:r w:rsidRPr="00E47A49">
        <w:rPr>
          <w:rFonts w:ascii="Twentieth Century" w:hAnsi="Twentieth Century"/>
          <w:i/>
          <w:sz w:val="22"/>
          <w:szCs w:val="22"/>
        </w:rPr>
        <w:t>value</w:t>
      </w:r>
      <w:proofErr w:type="spellEnd"/>
      <w:r w:rsidRPr="00E47A49">
        <w:rPr>
          <w:rFonts w:ascii="Twentieth Century" w:hAnsi="Twentieth Century"/>
          <w:i/>
          <w:sz w:val="22"/>
          <w:szCs w:val="22"/>
        </w:rPr>
        <w:t xml:space="preserve"> </w:t>
      </w:r>
      <w:r w:rsidRPr="00E47A49">
        <w:rPr>
          <w:rFonts w:ascii="Twentieth Century" w:hAnsi="Twentieth Century"/>
          <w:sz w:val="22"/>
          <w:szCs w:val="22"/>
        </w:rPr>
        <w:t xml:space="preserve">&lt; α. Jadi dapat disimpulkan bahwa ada pengaruh Terapi Kelompok Terapeutik (TKT) dan </w:t>
      </w:r>
      <w:proofErr w:type="spellStart"/>
      <w:r w:rsidRPr="00E47A49">
        <w:rPr>
          <w:rFonts w:ascii="Twentieth Century" w:hAnsi="Twentieth Century"/>
          <w:sz w:val="22"/>
          <w:szCs w:val="22"/>
        </w:rPr>
        <w:t>pendidilan</w:t>
      </w:r>
      <w:proofErr w:type="spellEnd"/>
      <w:r w:rsidRPr="00E47A49">
        <w:rPr>
          <w:rFonts w:ascii="Twentieth Century" w:hAnsi="Twentieth Century"/>
          <w:sz w:val="22"/>
          <w:szCs w:val="22"/>
        </w:rPr>
        <w:t xml:space="preserve"> kesehatan terhadap tingkat kecemasan menghadapi </w:t>
      </w:r>
      <w:proofErr w:type="spellStart"/>
      <w:r w:rsidRPr="00E47A49">
        <w:rPr>
          <w:rFonts w:ascii="Twentieth Century" w:hAnsi="Twentieth Century"/>
          <w:i/>
          <w:sz w:val="22"/>
          <w:szCs w:val="22"/>
        </w:rPr>
        <w:t>menarche</w:t>
      </w:r>
      <w:proofErr w:type="spellEnd"/>
      <w:r w:rsidRPr="00E47A49">
        <w:rPr>
          <w:rFonts w:ascii="Twentieth Century" w:hAnsi="Twentieth Century"/>
          <w:i/>
          <w:sz w:val="22"/>
          <w:szCs w:val="22"/>
        </w:rPr>
        <w:t xml:space="preserve"> </w:t>
      </w:r>
      <w:r w:rsidRPr="00E47A49">
        <w:rPr>
          <w:rFonts w:ascii="Twentieth Century" w:hAnsi="Twentieth Century"/>
          <w:sz w:val="22"/>
          <w:szCs w:val="22"/>
        </w:rPr>
        <w:t xml:space="preserve">pada siswi SD di Sekolah Dasar Negeri Pekanbaru. </w:t>
      </w:r>
      <w:r w:rsidRPr="006D6170">
        <w:rPr>
          <w:rFonts w:ascii="Twentieth Century" w:hAnsi="Twentieth Century"/>
          <w:sz w:val="22"/>
          <w:szCs w:val="22"/>
        </w:rPr>
        <w:t xml:space="preserve"> </w:t>
      </w:r>
      <w:r w:rsidRPr="00E47A49">
        <w:rPr>
          <w:rFonts w:ascii="Twentieth Century" w:hAnsi="Twentieth Century"/>
          <w:sz w:val="22"/>
          <w:szCs w:val="22"/>
        </w:rPr>
        <w:t xml:space="preserve">Penelitian ini sejalan dengan penelitian Pujiati </w:t>
      </w:r>
      <w:r w:rsidR="00E4675D">
        <w:rPr>
          <w:rFonts w:ascii="Twentieth Century" w:hAnsi="Twentieth Century"/>
          <w:sz w:val="22"/>
          <w:szCs w:val="22"/>
        </w:rPr>
        <w:lastRenderedPageBreak/>
        <w:fldChar w:fldCharType="begin" w:fldLock="1"/>
      </w:r>
      <w:r w:rsidR="00E4675D">
        <w:rPr>
          <w:rFonts w:ascii="Twentieth Century" w:hAnsi="Twentieth Century"/>
          <w:sz w:val="22"/>
          <w:szCs w:val="22"/>
        </w:rPr>
        <w:instrText>ADDIN CSL_CITATION {"citationItems":[{"id":"ITEM-1","itemData":{"DOI":"http://dx.doi.org/10.30595/medisains.v13i1.1829","ISBN":"9781119130536","author":[{"dropping-particle":"","family":"Pujiati","given":"Wasis","non-dropping-particle":"","parse-names":false,"suffix":""},{"dropping-particle":"","family":"Ernawati","given":"","non-dropping-particle":"","parse-names":false,"suffix":""},{"dropping-particle":"","family":"Daratullalla","given":"","non-dropping-particle":"","parse-names":false,"suffix":""}],"id":"ITEM-1","issue":"1","issued":{"date-parts":[["2019"]]},"page":"50-58","title":"Pendidikan Kesehatan tentang Menstruasi terhadap Tingkat Kecemasan Menghadapi Menarche pada Siswi Sekolah Dasar","type":"article-journal","volume":"13"},"uris":["http://www.mendeley.com/documents/?uuid=6ee4d96f-dbc7-4c01-8407-14eb1e35d1a5"]}],"mendeley":{"formattedCitation":"[14]","plainTextFormattedCitation":"[14]"},"properties":{"noteIndex":0},"schema":"https://github.com/citation-style-language/schema/raw/master/csl-citation.json"}</w:instrText>
      </w:r>
      <w:r w:rsidR="00E4675D">
        <w:rPr>
          <w:rFonts w:ascii="Twentieth Century" w:hAnsi="Twentieth Century"/>
          <w:sz w:val="22"/>
          <w:szCs w:val="22"/>
        </w:rPr>
        <w:fldChar w:fldCharType="separate"/>
      </w:r>
      <w:r w:rsidR="00E4675D" w:rsidRPr="00E4675D">
        <w:rPr>
          <w:rFonts w:ascii="Twentieth Century" w:hAnsi="Twentieth Century"/>
          <w:noProof/>
          <w:sz w:val="22"/>
          <w:szCs w:val="22"/>
        </w:rPr>
        <w:t>[14]</w:t>
      </w:r>
      <w:r w:rsidR="00E4675D">
        <w:rPr>
          <w:rFonts w:ascii="Twentieth Century" w:hAnsi="Twentieth Century"/>
          <w:sz w:val="22"/>
          <w:szCs w:val="22"/>
        </w:rPr>
        <w:fldChar w:fldCharType="end"/>
      </w:r>
      <w:r w:rsidR="00E4675D">
        <w:rPr>
          <w:rFonts w:ascii="Twentieth Century" w:hAnsi="Twentieth Century"/>
          <w:sz w:val="22"/>
          <w:szCs w:val="22"/>
        </w:rPr>
        <w:t xml:space="preserve"> </w:t>
      </w:r>
      <w:r w:rsidRPr="00E47A49">
        <w:rPr>
          <w:rFonts w:ascii="Twentieth Century" w:hAnsi="Twentieth Century"/>
          <w:sz w:val="22"/>
          <w:szCs w:val="22"/>
        </w:rPr>
        <w:t xml:space="preserve">pada kelompok eksperimen didapatkan hasil </w:t>
      </w:r>
      <w:r w:rsidRPr="00E47A49">
        <w:rPr>
          <w:rFonts w:ascii="Twentieth Century" w:hAnsi="Twentieth Century"/>
          <w:i/>
          <w:sz w:val="22"/>
          <w:szCs w:val="22"/>
        </w:rPr>
        <w:t xml:space="preserve">p </w:t>
      </w:r>
      <w:proofErr w:type="spellStart"/>
      <w:r w:rsidRPr="00E47A49">
        <w:rPr>
          <w:rFonts w:ascii="Twentieth Century" w:hAnsi="Twentieth Century"/>
          <w:i/>
          <w:sz w:val="22"/>
          <w:szCs w:val="22"/>
        </w:rPr>
        <w:t>value</w:t>
      </w:r>
      <w:proofErr w:type="spellEnd"/>
      <w:r w:rsidRPr="00E47A49">
        <w:rPr>
          <w:rFonts w:ascii="Twentieth Century" w:hAnsi="Twentieth Century"/>
          <w:sz w:val="22"/>
          <w:szCs w:val="22"/>
        </w:rPr>
        <w:t>=0,000 (</w:t>
      </w:r>
      <w:r w:rsidRPr="00E47A49">
        <w:rPr>
          <w:rFonts w:ascii="Twentieth Century" w:hAnsi="Twentieth Century"/>
          <w:i/>
          <w:sz w:val="22"/>
          <w:szCs w:val="22"/>
        </w:rPr>
        <w:t xml:space="preserve">p </w:t>
      </w:r>
      <w:proofErr w:type="spellStart"/>
      <w:r w:rsidRPr="00E47A49">
        <w:rPr>
          <w:rFonts w:ascii="Twentieth Century" w:hAnsi="Twentieth Century"/>
          <w:i/>
          <w:sz w:val="22"/>
          <w:szCs w:val="22"/>
        </w:rPr>
        <w:t>value</w:t>
      </w:r>
      <w:proofErr w:type="spellEnd"/>
      <w:r w:rsidRPr="00E47A49">
        <w:rPr>
          <w:rFonts w:ascii="Twentieth Century" w:hAnsi="Twentieth Century"/>
          <w:sz w:val="22"/>
          <w:szCs w:val="22"/>
        </w:rPr>
        <w:t xml:space="preserve"> &lt; α) dapat disimpulkan bahwa H0 ditolak yang artinya ada pengaruh yang bermakan antara pendidikan kesehatan tentang menstruasi terhadap tingkat kecemasan menghadapi </w:t>
      </w:r>
      <w:proofErr w:type="spellStart"/>
      <w:r w:rsidRPr="00E47A49">
        <w:rPr>
          <w:rFonts w:ascii="Twentieth Century" w:hAnsi="Twentieth Century"/>
          <w:i/>
          <w:sz w:val="22"/>
          <w:szCs w:val="22"/>
        </w:rPr>
        <w:t>menarche</w:t>
      </w:r>
      <w:proofErr w:type="spellEnd"/>
      <w:r w:rsidRPr="00E47A49">
        <w:rPr>
          <w:rFonts w:ascii="Twentieth Century" w:hAnsi="Twentieth Century"/>
          <w:i/>
          <w:sz w:val="22"/>
          <w:szCs w:val="22"/>
        </w:rPr>
        <w:t xml:space="preserve"> </w:t>
      </w:r>
      <w:r w:rsidRPr="00E47A49">
        <w:rPr>
          <w:rFonts w:ascii="Twentieth Century" w:hAnsi="Twentieth Century"/>
          <w:sz w:val="22"/>
          <w:szCs w:val="22"/>
        </w:rPr>
        <w:t xml:space="preserve">pada siswi SDN 011 kelas V dan VI </w:t>
      </w:r>
      <w:proofErr w:type="spellStart"/>
      <w:r w:rsidRPr="00E47A49">
        <w:rPr>
          <w:rFonts w:ascii="Twentieth Century" w:hAnsi="Twentieth Century"/>
          <w:sz w:val="22"/>
          <w:szCs w:val="22"/>
        </w:rPr>
        <w:t>Tanjungpinang</w:t>
      </w:r>
      <w:proofErr w:type="spellEnd"/>
      <w:r w:rsidRPr="00E47A49">
        <w:rPr>
          <w:rFonts w:ascii="Twentieth Century" w:hAnsi="Twentieth Century"/>
          <w:sz w:val="22"/>
          <w:szCs w:val="22"/>
        </w:rPr>
        <w:t xml:space="preserve"> Barat. </w:t>
      </w:r>
    </w:p>
    <w:p w14:paraId="6485A872" w14:textId="77777777" w:rsidR="00503D72" w:rsidRDefault="00503D72" w:rsidP="00EB58C7">
      <w:pPr>
        <w:spacing w:line="240" w:lineRule="auto"/>
        <w:jc w:val="both"/>
        <w:rPr>
          <w:rFonts w:ascii="Twentieth Century" w:hAnsi="Twentieth Century" w:hint="eastAsia"/>
          <w:sz w:val="22"/>
          <w:szCs w:val="22"/>
        </w:rPr>
      </w:pPr>
    </w:p>
    <w:p w14:paraId="769C0B42" w14:textId="77777777" w:rsidR="00EB58C7" w:rsidRPr="00E47A49" w:rsidRDefault="00EB58C7" w:rsidP="00EB58C7">
      <w:pPr>
        <w:spacing w:line="240" w:lineRule="auto"/>
        <w:jc w:val="both"/>
        <w:rPr>
          <w:rFonts w:ascii="Twentieth Century" w:hAnsi="Twentieth Century" w:hint="eastAsia"/>
          <w:sz w:val="22"/>
          <w:szCs w:val="22"/>
        </w:rPr>
      </w:pPr>
      <w:proofErr w:type="spellStart"/>
      <w:r w:rsidRPr="00E47A49">
        <w:rPr>
          <w:rFonts w:ascii="Twentieth Century" w:hAnsi="Twentieth Century"/>
          <w:sz w:val="22"/>
          <w:szCs w:val="22"/>
        </w:rPr>
        <w:t>Dalam</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penelitian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Pujiati</w:t>
      </w:r>
      <w:proofErr w:type="spellEnd"/>
      <w:r w:rsidR="00371476">
        <w:rPr>
          <w:rFonts w:ascii="Twentieth Century" w:hAnsi="Twentieth Century"/>
          <w:sz w:val="22"/>
          <w:szCs w:val="22"/>
        </w:rPr>
        <w:t xml:space="preserve"> </w:t>
      </w:r>
      <w:r w:rsidR="00371476">
        <w:rPr>
          <w:rFonts w:ascii="Twentieth Century" w:hAnsi="Twentieth Century"/>
          <w:sz w:val="22"/>
          <w:szCs w:val="22"/>
        </w:rPr>
        <w:fldChar w:fldCharType="begin" w:fldLock="1"/>
      </w:r>
      <w:r w:rsidR="00371476">
        <w:rPr>
          <w:rFonts w:ascii="Twentieth Century" w:hAnsi="Twentieth Century"/>
          <w:sz w:val="22"/>
          <w:szCs w:val="22"/>
        </w:rPr>
        <w:instrText>ADDIN CSL_CITATION {"citationItems":[{"id":"ITEM-1","itemData":{"DOI":"http://dx.doi.org/10.30595/medisains.v13i1.1829","ISBN":"9781119130536","author":[{"dropping-particle":"","family":"Pujiati","given":"Wasis","non-dropping-particle":"","parse-names":false,"suffix":""},{"dropping-particle":"","family":"Ernawati","given":"","non-dropping-particle":"","parse-names":false,"suffix":""},{"dropping-particle":"","family":"Daratullalla","given":"","non-dropping-particle":"","parse-names":false,"suffix":""}],"id":"ITEM-1","issue":"1","issued":{"date-parts":[["2019"]]},"page":"50-58","title":"Pendidikan Kesehatan tentang Menstruasi terhadap Tingkat Kecemasan Menghadapi Menarche pada Siswi Sekolah Dasar","type":"article-journal","volume":"13"},"uris":["http://www.mendeley.com/documents/?uuid=6ee4d96f-dbc7-4c01-8407-14eb1e35d1a5"]}],"mendeley":{"formattedCitation":"[14]","plainTextFormattedCitation":"[14]","previouslyFormattedCitation":"[14]"},"properties":{"noteIndex":0},"schema":"https://github.com/citation-style-language/schema/raw/master/csl-citation.json"}</w:instrText>
      </w:r>
      <w:r w:rsidR="00371476">
        <w:rPr>
          <w:rFonts w:ascii="Twentieth Century" w:hAnsi="Twentieth Century"/>
          <w:sz w:val="22"/>
          <w:szCs w:val="22"/>
        </w:rPr>
        <w:fldChar w:fldCharType="separate"/>
      </w:r>
      <w:r w:rsidR="00371476" w:rsidRPr="00371476">
        <w:rPr>
          <w:rFonts w:ascii="Twentieth Century" w:hAnsi="Twentieth Century"/>
          <w:noProof/>
          <w:sz w:val="22"/>
          <w:szCs w:val="22"/>
        </w:rPr>
        <w:t>[14]</w:t>
      </w:r>
      <w:r w:rsidR="00371476">
        <w:rPr>
          <w:rFonts w:ascii="Twentieth Century" w:hAnsi="Twentieth Century"/>
          <w:sz w:val="22"/>
          <w:szCs w:val="22"/>
        </w:rPr>
        <w:fldChar w:fldCharType="end"/>
      </w:r>
      <w:r w:rsidRPr="00E47A49">
        <w:rPr>
          <w:rFonts w:ascii="Twentieth Century" w:hAnsi="Twentieth Century"/>
          <w:sz w:val="22"/>
          <w:szCs w:val="22"/>
        </w:rPr>
        <w:t xml:space="preserve"> </w:t>
      </w:r>
      <w:proofErr w:type="spellStart"/>
      <w:r w:rsidRPr="00E47A49">
        <w:rPr>
          <w:rFonts w:ascii="Twentieth Century" w:hAnsi="Twentieth Century"/>
          <w:sz w:val="22"/>
          <w:szCs w:val="22"/>
        </w:rPr>
        <w:t>mengatakan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bahwa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pemberian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pendidikan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kesehatan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reproduksi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remaja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khususnya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tentang</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menstruasi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dapat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diberikan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melalui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penyuluhan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sehingga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kecemasan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remaja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putri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terhadap</w:t>
      </w:r>
      <w:proofErr w:type="spellEnd"/>
      <w:r w:rsidRPr="00E47A49">
        <w:rPr>
          <w:rFonts w:ascii="Twentieth Century" w:hAnsi="Twentieth Century"/>
          <w:sz w:val="22"/>
          <w:szCs w:val="22"/>
        </w:rPr>
        <w:t xml:space="preserve"> menarche </w:t>
      </w:r>
      <w:proofErr w:type="spellStart"/>
      <w:r w:rsidRPr="00E47A49">
        <w:rPr>
          <w:rFonts w:ascii="Twentieth Century" w:hAnsi="Twentieth Century"/>
          <w:sz w:val="22"/>
          <w:szCs w:val="22"/>
        </w:rPr>
        <w:t>dapat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berkurang</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atau</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bahkan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tidak</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ada</w:t>
      </w:r>
      <w:proofErr w:type="spellEnd"/>
      <w:r w:rsidRPr="00E47A49">
        <w:rPr>
          <w:rFonts w:ascii="Twentieth Century" w:hAnsi="Twentieth Century"/>
          <w:sz w:val="22"/>
          <w:szCs w:val="22"/>
        </w:rPr>
        <w:t xml:space="preserve">. Pendidikan </w:t>
      </w:r>
      <w:proofErr w:type="spellStart"/>
      <w:r w:rsidRPr="00E47A49">
        <w:rPr>
          <w:rFonts w:ascii="Twentieth Century" w:hAnsi="Twentieth Century"/>
          <w:sz w:val="22"/>
          <w:szCs w:val="22"/>
        </w:rPr>
        <w:t>kesehatan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tentang</w:t>
      </w:r>
      <w:proofErr w:type="spellEnd"/>
      <w:r w:rsidRPr="00E47A49">
        <w:rPr>
          <w:rFonts w:ascii="Twentieth Century" w:hAnsi="Twentieth Century"/>
          <w:sz w:val="22"/>
          <w:szCs w:val="22"/>
        </w:rPr>
        <w:t xml:space="preserve"> menarche </w:t>
      </w:r>
      <w:proofErr w:type="spellStart"/>
      <w:r w:rsidRPr="00E47A49">
        <w:rPr>
          <w:rFonts w:ascii="Twentieth Century" w:hAnsi="Twentieth Century"/>
          <w:sz w:val="22"/>
          <w:szCs w:val="22"/>
        </w:rPr>
        <w:t>bertujuan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untuk</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memberikan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informasi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kepada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siswi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tentang</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pengertian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tanda</w:t>
      </w:r>
      <w:proofErr w:type="spellEnd"/>
      <w:r w:rsidRPr="00E47A49">
        <w:rPr>
          <w:rFonts w:ascii="Twentieth Century" w:hAnsi="Twentieth Century"/>
          <w:sz w:val="22"/>
          <w:szCs w:val="22"/>
        </w:rPr>
        <w:t xml:space="preserve"> dan </w:t>
      </w:r>
      <w:proofErr w:type="spellStart"/>
      <w:r w:rsidRPr="00E47A49">
        <w:rPr>
          <w:rFonts w:ascii="Twentieth Century" w:hAnsi="Twentieth Century"/>
          <w:sz w:val="22"/>
          <w:szCs w:val="22"/>
        </w:rPr>
        <w:t>gejala</w:t>
      </w:r>
      <w:proofErr w:type="spellEnd"/>
      <w:r w:rsidRPr="00E47A49">
        <w:rPr>
          <w:rFonts w:ascii="Twentieth Century" w:hAnsi="Twentieth Century"/>
          <w:sz w:val="22"/>
          <w:szCs w:val="22"/>
        </w:rPr>
        <w:t xml:space="preserve"> menarche. </w:t>
      </w:r>
      <w:proofErr w:type="spellStart"/>
      <w:r w:rsidRPr="00E47A49">
        <w:rPr>
          <w:rFonts w:ascii="Twentieth Century" w:hAnsi="Twentieth Century"/>
          <w:sz w:val="22"/>
          <w:szCs w:val="22"/>
        </w:rPr>
        <w:t>Dengan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pemberian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informasi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tersebut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diharapkan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pengetahuan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siswi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tentang</w:t>
      </w:r>
      <w:proofErr w:type="spellEnd"/>
      <w:r w:rsidRPr="00E47A49">
        <w:rPr>
          <w:rFonts w:ascii="Twentieth Century" w:hAnsi="Twentieth Century"/>
          <w:sz w:val="22"/>
          <w:szCs w:val="22"/>
        </w:rPr>
        <w:t xml:space="preserve"> menarche </w:t>
      </w:r>
      <w:proofErr w:type="spellStart"/>
      <w:r w:rsidRPr="00E47A49">
        <w:rPr>
          <w:rFonts w:ascii="Twentieth Century" w:hAnsi="Twentieth Century"/>
          <w:sz w:val="22"/>
          <w:szCs w:val="22"/>
        </w:rPr>
        <w:t>meningkat</w:t>
      </w:r>
      <w:proofErr w:type="spellEnd"/>
      <w:r w:rsidRPr="00E47A49">
        <w:rPr>
          <w:rFonts w:ascii="Twentieth Century" w:hAnsi="Twentieth Century"/>
          <w:sz w:val="22"/>
          <w:szCs w:val="22"/>
        </w:rPr>
        <w:t xml:space="preserve"> dan </w:t>
      </w:r>
      <w:proofErr w:type="spellStart"/>
      <w:r w:rsidRPr="00E47A49">
        <w:rPr>
          <w:rFonts w:ascii="Twentieth Century" w:hAnsi="Twentieth Century"/>
          <w:sz w:val="22"/>
          <w:szCs w:val="22"/>
        </w:rPr>
        <w:t>dapat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mengurangi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kecemasan</w:t>
      </w:r>
      <w:proofErr w:type="spellEnd"/>
      <w:r w:rsidRPr="00E47A49">
        <w:rPr>
          <w:rFonts w:ascii="Twentieth Century" w:hAnsi="Twentieth Century"/>
          <w:sz w:val="22"/>
          <w:szCs w:val="22"/>
        </w:rPr>
        <w:t xml:space="preserve"> yang </w:t>
      </w:r>
      <w:proofErr w:type="spellStart"/>
      <w:r w:rsidRPr="00E47A49">
        <w:rPr>
          <w:rFonts w:ascii="Twentieth Century" w:hAnsi="Twentieth Century"/>
          <w:sz w:val="22"/>
          <w:szCs w:val="22"/>
        </w:rPr>
        <w:t>dialami</w:t>
      </w:r>
      <w:proofErr w:type="spellEnd"/>
      <w:r w:rsidRPr="00E47A49">
        <w:rPr>
          <w:rFonts w:ascii="Twentieth Century" w:hAnsi="Twentieth Century"/>
          <w:sz w:val="22"/>
          <w:szCs w:val="22"/>
        </w:rPr>
        <w:t xml:space="preserve"> oleh </w:t>
      </w:r>
      <w:proofErr w:type="spellStart"/>
      <w:r w:rsidRPr="00E47A49">
        <w:rPr>
          <w:rFonts w:ascii="Twentieth Century" w:hAnsi="Twentieth Century"/>
          <w:sz w:val="22"/>
          <w:szCs w:val="22"/>
        </w:rPr>
        <w:t>siswi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Dalam</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hal</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ini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peneliti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dapat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menarik</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kesimpulan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bahwa</w:t>
      </w:r>
      <w:proofErr w:type="spellEnd"/>
      <w:r w:rsidRPr="00E47A49">
        <w:rPr>
          <w:rFonts w:ascii="Twentieth Century" w:hAnsi="Twentieth Century"/>
          <w:sz w:val="22"/>
          <w:szCs w:val="22"/>
        </w:rPr>
        <w:t xml:space="preserve"> TKT, </w:t>
      </w:r>
      <w:proofErr w:type="spellStart"/>
      <w:r w:rsidRPr="00E47A49">
        <w:rPr>
          <w:rFonts w:ascii="Twentieth Century" w:hAnsi="Twentieth Century"/>
          <w:sz w:val="22"/>
          <w:szCs w:val="22"/>
        </w:rPr>
        <w:t>pendidikan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kesehatan</w:t>
      </w:r>
      <w:proofErr w:type="spellEnd"/>
      <w:r w:rsidRPr="00E47A49">
        <w:rPr>
          <w:rFonts w:ascii="Twentieth Century" w:hAnsi="Twentieth Century"/>
          <w:sz w:val="22"/>
          <w:szCs w:val="22"/>
        </w:rPr>
        <w:t xml:space="preserve"> dan TS </w:t>
      </w:r>
      <w:proofErr w:type="spellStart"/>
      <w:r w:rsidRPr="00E47A49">
        <w:rPr>
          <w:rFonts w:ascii="Twentieth Century" w:hAnsi="Twentieth Century"/>
          <w:sz w:val="22"/>
          <w:szCs w:val="22"/>
        </w:rPr>
        <w:t>tentang</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menstruasi</w:t>
      </w:r>
      <w:proofErr w:type="spellEnd"/>
      <w:r w:rsidRPr="00E47A49">
        <w:rPr>
          <w:rFonts w:ascii="Twentieth Century" w:hAnsi="Twentieth Century"/>
          <w:sz w:val="22"/>
          <w:szCs w:val="22"/>
        </w:rPr>
        <w:t xml:space="preserve"> sangat </w:t>
      </w:r>
      <w:proofErr w:type="spellStart"/>
      <w:r w:rsidRPr="00E47A49">
        <w:rPr>
          <w:rFonts w:ascii="Twentieth Century" w:hAnsi="Twentieth Century"/>
          <w:sz w:val="22"/>
          <w:szCs w:val="22"/>
        </w:rPr>
        <w:t>bermanfaat</w:t>
      </w:r>
      <w:proofErr w:type="spellEnd"/>
      <w:r w:rsidRPr="00E47A49">
        <w:rPr>
          <w:rFonts w:ascii="Twentieth Century" w:hAnsi="Twentieth Century"/>
          <w:sz w:val="22"/>
          <w:szCs w:val="22"/>
        </w:rPr>
        <w:t xml:space="preserve"> dan </w:t>
      </w:r>
      <w:proofErr w:type="spellStart"/>
      <w:r w:rsidRPr="00E47A49">
        <w:rPr>
          <w:rFonts w:ascii="Twentieth Century" w:hAnsi="Twentieth Century"/>
          <w:sz w:val="22"/>
          <w:szCs w:val="22"/>
        </w:rPr>
        <w:t>berguna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jika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diberikan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kepada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siswi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untuk</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dapat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meningkatkan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pengetahuan</w:t>
      </w:r>
      <w:proofErr w:type="spellEnd"/>
      <w:r w:rsidRPr="00E47A49">
        <w:rPr>
          <w:rFonts w:ascii="Twentieth Century" w:hAnsi="Twentieth Century"/>
          <w:sz w:val="22"/>
          <w:szCs w:val="22"/>
        </w:rPr>
        <w:t xml:space="preserve"> dan </w:t>
      </w:r>
      <w:proofErr w:type="spellStart"/>
      <w:r w:rsidRPr="00E47A49">
        <w:rPr>
          <w:rFonts w:ascii="Twentieth Century" w:hAnsi="Twentieth Century"/>
          <w:sz w:val="22"/>
          <w:szCs w:val="22"/>
        </w:rPr>
        <w:t>menurunkan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tingkat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kecemasan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siswi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mengenai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menstruasi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karena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dapat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mempengaruhi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persepsi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remaja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putri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untuk</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menghadapi</w:t>
      </w:r>
      <w:proofErr w:type="spellEnd"/>
      <w:r w:rsidRPr="00E47A49">
        <w:rPr>
          <w:rFonts w:ascii="Twentieth Century" w:hAnsi="Twentieth Century"/>
          <w:sz w:val="22"/>
          <w:szCs w:val="22"/>
        </w:rPr>
        <w:t xml:space="preserve"> </w:t>
      </w:r>
      <w:r w:rsidRPr="00E47A49">
        <w:rPr>
          <w:rFonts w:ascii="Twentieth Century" w:hAnsi="Twentieth Century"/>
          <w:i/>
          <w:sz w:val="22"/>
          <w:szCs w:val="22"/>
        </w:rPr>
        <w:t>menarche.</w:t>
      </w:r>
    </w:p>
    <w:p w14:paraId="5B68C7C1" w14:textId="77777777" w:rsidR="00EB58C7" w:rsidRPr="00E47A49" w:rsidRDefault="00EB58C7" w:rsidP="00EB58C7">
      <w:pPr>
        <w:pStyle w:val="TeksKomentar"/>
        <w:jc w:val="both"/>
        <w:rPr>
          <w:rFonts w:ascii="Twentieth Century" w:hAnsi="Twentieth Century"/>
          <w:sz w:val="22"/>
          <w:szCs w:val="22"/>
          <w:lang w:val="en-US"/>
        </w:rPr>
      </w:pPr>
    </w:p>
    <w:p w14:paraId="5DC41CCA" w14:textId="77777777" w:rsidR="00FD35AB" w:rsidRPr="00E47A49" w:rsidRDefault="00BE3CDC">
      <w:pPr>
        <w:spacing w:after="0" w:line="360" w:lineRule="auto"/>
        <w:jc w:val="both"/>
        <w:rPr>
          <w:rFonts w:ascii="Twentieth Century" w:eastAsia="Twentieth Century" w:hAnsi="Twentieth Century" w:cs="Twentieth Century"/>
          <w:sz w:val="22"/>
          <w:szCs w:val="22"/>
        </w:rPr>
      </w:pPr>
      <w:r w:rsidRPr="00E47A49">
        <w:rPr>
          <w:rFonts w:ascii="Twentieth Century" w:eastAsia="Twentieth Century" w:hAnsi="Twentieth Century" w:cs="Twentieth Century"/>
          <w:b/>
          <w:sz w:val="22"/>
          <w:szCs w:val="22"/>
        </w:rPr>
        <w:t>SIMPULAN</w:t>
      </w:r>
    </w:p>
    <w:p w14:paraId="47915DE1" w14:textId="77777777" w:rsidR="00E47A49" w:rsidRPr="00E47A49" w:rsidRDefault="00E47A49">
      <w:pPr>
        <w:tabs>
          <w:tab w:val="left" w:pos="426"/>
        </w:tabs>
        <w:spacing w:after="0"/>
        <w:jc w:val="both"/>
        <w:rPr>
          <w:rFonts w:ascii="Twentieth Century" w:eastAsia="Twentieth Century" w:hAnsi="Twentieth Century" w:cs="Twentieth Century"/>
          <w:b/>
          <w:sz w:val="22"/>
          <w:szCs w:val="22"/>
        </w:rPr>
      </w:pPr>
      <w:proofErr w:type="spellStart"/>
      <w:r w:rsidRPr="00E47A49">
        <w:rPr>
          <w:rFonts w:ascii="Twentieth Century" w:hAnsi="Twentieth Century"/>
          <w:sz w:val="22"/>
          <w:szCs w:val="22"/>
        </w:rPr>
        <w:t>Adanya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penurunan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tingkat</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kecemasan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dalam</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menghadapi</w:t>
      </w:r>
      <w:proofErr w:type="spellEnd"/>
      <w:r w:rsidRPr="00E47A49">
        <w:rPr>
          <w:rFonts w:ascii="Twentieth Century" w:hAnsi="Twentieth Century"/>
          <w:sz w:val="22"/>
          <w:szCs w:val="22"/>
        </w:rPr>
        <w:t xml:space="preserve"> menarche </w:t>
      </w:r>
      <w:proofErr w:type="spellStart"/>
      <w:r w:rsidRPr="00E47A49">
        <w:rPr>
          <w:rFonts w:ascii="Twentieth Century" w:hAnsi="Twentieth Century"/>
          <w:sz w:val="22"/>
          <w:szCs w:val="22"/>
        </w:rPr>
        <w:t>setelah</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diberikan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terapi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berupa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tindakan</w:t>
      </w:r>
      <w:proofErr w:type="spellEnd"/>
      <w:r w:rsidRPr="00E47A49">
        <w:rPr>
          <w:rFonts w:ascii="Twentieth Century" w:hAnsi="Twentieth Century"/>
          <w:sz w:val="22"/>
          <w:szCs w:val="22"/>
        </w:rPr>
        <w:t xml:space="preserve"> TKT, Pendidikan Kesehatan dan TS pada </w:t>
      </w:r>
      <w:proofErr w:type="spellStart"/>
      <w:r w:rsidRPr="00E47A49">
        <w:rPr>
          <w:rFonts w:ascii="Twentieth Century" w:hAnsi="Twentieth Century"/>
          <w:sz w:val="22"/>
          <w:szCs w:val="22"/>
        </w:rPr>
        <w:t>anak</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usia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sekolah</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Kelas</w:t>
      </w:r>
      <w:proofErr w:type="spellEnd"/>
      <w:r w:rsidRPr="00E47A49">
        <w:rPr>
          <w:rFonts w:ascii="Twentieth Century" w:hAnsi="Twentieth Century"/>
          <w:sz w:val="22"/>
          <w:szCs w:val="22"/>
        </w:rPr>
        <w:t xml:space="preserve"> 4 SDN 176 </w:t>
      </w:r>
      <w:proofErr w:type="spellStart"/>
      <w:r w:rsidRPr="00E47A49">
        <w:rPr>
          <w:rFonts w:ascii="Twentieth Century" w:hAnsi="Twentieth Century"/>
          <w:sz w:val="22"/>
          <w:szCs w:val="22"/>
        </w:rPr>
        <w:t>Pekanbaru</w:t>
      </w:r>
      <w:proofErr w:type="spellEnd"/>
      <w:r w:rsidRPr="00E47A49">
        <w:rPr>
          <w:rFonts w:ascii="Twentieth Century" w:eastAsia="Twentieth Century" w:hAnsi="Twentieth Century" w:cs="Twentieth Century"/>
          <w:b/>
          <w:sz w:val="22"/>
          <w:szCs w:val="22"/>
        </w:rPr>
        <w:t xml:space="preserve"> </w:t>
      </w:r>
    </w:p>
    <w:p w14:paraId="2ECB5B2E" w14:textId="77777777" w:rsidR="00E47A49" w:rsidRPr="00E47A49" w:rsidRDefault="00E47A49">
      <w:pPr>
        <w:tabs>
          <w:tab w:val="left" w:pos="426"/>
        </w:tabs>
        <w:spacing w:after="0"/>
        <w:jc w:val="both"/>
        <w:rPr>
          <w:rFonts w:ascii="Twentieth Century" w:eastAsia="Twentieth Century" w:hAnsi="Twentieth Century" w:cs="Twentieth Century"/>
          <w:b/>
          <w:sz w:val="22"/>
          <w:szCs w:val="22"/>
        </w:rPr>
      </w:pPr>
    </w:p>
    <w:p w14:paraId="4A75B067" w14:textId="77777777" w:rsidR="00FD35AB" w:rsidRPr="00E47A49" w:rsidRDefault="00BE3CDC">
      <w:pPr>
        <w:tabs>
          <w:tab w:val="left" w:pos="426"/>
        </w:tabs>
        <w:spacing w:after="0"/>
        <w:jc w:val="both"/>
        <w:rPr>
          <w:rFonts w:ascii="Twentieth Century" w:eastAsia="Twentieth Century" w:hAnsi="Twentieth Century" w:cs="Twentieth Century"/>
          <w:b/>
          <w:sz w:val="22"/>
          <w:szCs w:val="22"/>
        </w:rPr>
      </w:pPr>
      <w:r w:rsidRPr="00E47A49">
        <w:rPr>
          <w:rFonts w:ascii="Twentieth Century" w:eastAsia="Twentieth Century" w:hAnsi="Twentieth Century" w:cs="Twentieth Century"/>
          <w:b/>
          <w:sz w:val="22"/>
          <w:szCs w:val="22"/>
        </w:rPr>
        <w:t xml:space="preserve">UCAPAN TERIMA KASIH </w:t>
      </w:r>
    </w:p>
    <w:p w14:paraId="1FFD3E34" w14:textId="77777777" w:rsidR="00FD35AB" w:rsidRPr="00E47A49" w:rsidRDefault="00E47A49" w:rsidP="00E47A49">
      <w:pPr>
        <w:spacing w:after="100" w:afterAutospacing="1" w:line="240" w:lineRule="auto"/>
        <w:jc w:val="both"/>
        <w:rPr>
          <w:rFonts w:ascii="Twentieth Century" w:hAnsi="Twentieth Century" w:hint="eastAsia"/>
          <w:sz w:val="22"/>
          <w:szCs w:val="22"/>
        </w:rPr>
      </w:pPr>
      <w:proofErr w:type="spellStart"/>
      <w:r w:rsidRPr="00E47A49">
        <w:rPr>
          <w:rFonts w:ascii="Twentieth Century" w:hAnsi="Twentieth Century"/>
          <w:sz w:val="22"/>
          <w:szCs w:val="22"/>
        </w:rPr>
        <w:t>Ucapan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terimakasih</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penulis</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sampaikan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kepada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kepala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sekolah</w:t>
      </w:r>
      <w:proofErr w:type="spellEnd"/>
      <w:r w:rsidRPr="00E47A49">
        <w:rPr>
          <w:rFonts w:ascii="Twentieth Century" w:hAnsi="Twentieth Century"/>
          <w:sz w:val="22"/>
          <w:szCs w:val="22"/>
        </w:rPr>
        <w:t xml:space="preserve"> dan </w:t>
      </w:r>
      <w:proofErr w:type="spellStart"/>
      <w:r w:rsidRPr="00E47A49">
        <w:rPr>
          <w:rFonts w:ascii="Twentieth Century" w:hAnsi="Twentieth Century"/>
          <w:sz w:val="22"/>
          <w:szCs w:val="22"/>
        </w:rPr>
        <w:t>bagian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kesiswaan</w:t>
      </w:r>
      <w:proofErr w:type="spellEnd"/>
      <w:r w:rsidRPr="00E47A49">
        <w:rPr>
          <w:rFonts w:ascii="Twentieth Century" w:hAnsi="Twentieth Century"/>
          <w:sz w:val="22"/>
          <w:szCs w:val="22"/>
        </w:rPr>
        <w:t xml:space="preserve"> SDN 176 </w:t>
      </w:r>
      <w:proofErr w:type="spellStart"/>
      <w:r w:rsidRPr="00E47A49">
        <w:rPr>
          <w:rFonts w:ascii="Twentieth Century" w:hAnsi="Twentieth Century"/>
          <w:sz w:val="22"/>
          <w:szCs w:val="22"/>
        </w:rPr>
        <w:t>Pekanbaru</w:t>
      </w:r>
      <w:proofErr w:type="spellEnd"/>
      <w:r w:rsidRPr="00E47A49">
        <w:rPr>
          <w:rFonts w:ascii="Twentieth Century" w:hAnsi="Twentieth Century"/>
          <w:sz w:val="22"/>
          <w:szCs w:val="22"/>
        </w:rPr>
        <w:t xml:space="preserve"> yang </w:t>
      </w:r>
      <w:proofErr w:type="spellStart"/>
      <w:r w:rsidRPr="00E47A49">
        <w:rPr>
          <w:rFonts w:ascii="Twentieth Century" w:hAnsi="Twentieth Century"/>
          <w:sz w:val="22"/>
          <w:szCs w:val="22"/>
        </w:rPr>
        <w:t>telah</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memfasilitasi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pelaksanaan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penelitian</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ini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dari</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awal</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hingga</w:t>
      </w:r>
      <w:proofErr w:type="spellEnd"/>
      <w:r w:rsidRPr="00E47A49">
        <w:rPr>
          <w:rFonts w:ascii="Twentieth Century" w:hAnsi="Twentieth Century"/>
          <w:sz w:val="22"/>
          <w:szCs w:val="22"/>
        </w:rPr>
        <w:t xml:space="preserve"> </w:t>
      </w:r>
      <w:proofErr w:type="spellStart"/>
      <w:r w:rsidRPr="00E47A49">
        <w:rPr>
          <w:rFonts w:ascii="Twentieth Century" w:hAnsi="Twentieth Century"/>
          <w:sz w:val="22"/>
          <w:szCs w:val="22"/>
        </w:rPr>
        <w:t>akhir</w:t>
      </w:r>
      <w:proofErr w:type="spellEnd"/>
      <w:proofErr w:type="gramStart"/>
      <w:r w:rsidRPr="00E47A49">
        <w:rPr>
          <w:rFonts w:ascii="Twentieth Century" w:hAnsi="Twentieth Century"/>
          <w:sz w:val="22"/>
          <w:szCs w:val="22"/>
        </w:rPr>
        <w:t xml:space="preserve">. </w:t>
      </w:r>
      <w:r w:rsidR="00BE3CDC" w:rsidRPr="00E47A49">
        <w:rPr>
          <w:rFonts w:ascii="Twentieth Century" w:eastAsia="Twentieth Century" w:hAnsi="Twentieth Century" w:cs="Twentieth Century"/>
          <w:sz w:val="22"/>
          <w:szCs w:val="22"/>
        </w:rPr>
        <w:t>.</w:t>
      </w:r>
      <w:proofErr w:type="gramEnd"/>
    </w:p>
    <w:p w14:paraId="5148221D" w14:textId="77777777" w:rsidR="00FD35AB" w:rsidRPr="00E47A49" w:rsidRDefault="00FD35AB">
      <w:pPr>
        <w:spacing w:after="0" w:line="240" w:lineRule="auto"/>
        <w:jc w:val="both"/>
        <w:rPr>
          <w:rFonts w:ascii="Twentieth Century" w:eastAsia="Twentieth Century" w:hAnsi="Twentieth Century" w:cs="Twentieth Century"/>
          <w:b/>
          <w:sz w:val="22"/>
          <w:szCs w:val="22"/>
        </w:rPr>
      </w:pPr>
    </w:p>
    <w:p w14:paraId="5751887A" w14:textId="77777777" w:rsidR="00FD35AB" w:rsidRDefault="00BE3CDC">
      <w:pPr>
        <w:tabs>
          <w:tab w:val="left" w:pos="426"/>
        </w:tabs>
        <w:spacing w:after="0"/>
        <w:jc w:val="both"/>
        <w:rPr>
          <w:rFonts w:ascii="Twentieth Century" w:eastAsia="Twentieth Century" w:hAnsi="Twentieth Century" w:cs="Twentieth Century"/>
          <w:b/>
          <w:sz w:val="22"/>
          <w:szCs w:val="22"/>
        </w:rPr>
      </w:pPr>
      <w:r w:rsidRPr="00E47A49">
        <w:rPr>
          <w:rFonts w:ascii="Twentieth Century" w:eastAsia="Twentieth Century" w:hAnsi="Twentieth Century" w:cs="Twentieth Century"/>
          <w:b/>
          <w:sz w:val="22"/>
          <w:szCs w:val="22"/>
        </w:rPr>
        <w:t>DAFTAR PUSTAKA</w:t>
      </w:r>
    </w:p>
    <w:p w14:paraId="72AD996C" w14:textId="53D32DC5" w:rsidR="00E90998" w:rsidRPr="00E90998" w:rsidRDefault="00E90998">
      <w:pPr>
        <w:tabs>
          <w:tab w:val="left" w:pos="426"/>
        </w:tabs>
        <w:spacing w:after="0"/>
        <w:jc w:val="both"/>
        <w:rPr>
          <w:rFonts w:ascii="Twentieth Century" w:eastAsia="Twentieth Century" w:hAnsi="Twentieth Century" w:cs="Twentieth Century"/>
          <w:bCs/>
          <w:color w:val="FF0000"/>
          <w:sz w:val="22"/>
          <w:szCs w:val="22"/>
        </w:rPr>
      </w:pPr>
      <w:r w:rsidRPr="00E90998">
        <w:rPr>
          <w:rFonts w:ascii="Twentieth Century" w:eastAsia="Twentieth Century" w:hAnsi="Twentieth Century" w:cs="Twentieth Century"/>
          <w:bCs/>
          <w:color w:val="FF0000"/>
          <w:sz w:val="22"/>
          <w:szCs w:val="22"/>
        </w:rPr>
        <w:t xml:space="preserve">Mohon </w:t>
      </w:r>
      <w:proofErr w:type="spellStart"/>
      <w:r w:rsidRPr="00E90998">
        <w:rPr>
          <w:rFonts w:ascii="Twentieth Century" w:eastAsia="Twentieth Century" w:hAnsi="Twentieth Century" w:cs="Twentieth Century"/>
          <w:bCs/>
          <w:color w:val="FF0000"/>
          <w:sz w:val="22"/>
          <w:szCs w:val="22"/>
        </w:rPr>
        <w:t>ditambahkan</w:t>
      </w:r>
      <w:proofErr w:type="spellEnd"/>
      <w:r w:rsidRPr="00E90998">
        <w:rPr>
          <w:rFonts w:ascii="Twentieth Century" w:eastAsia="Twentieth Century" w:hAnsi="Twentieth Century" w:cs="Twentieth Century"/>
          <w:bCs/>
          <w:color w:val="FF0000"/>
          <w:sz w:val="22"/>
          <w:szCs w:val="22"/>
        </w:rPr>
        <w:t xml:space="preserve"> Pustaka minimal 20</w:t>
      </w:r>
    </w:p>
    <w:p w14:paraId="6DED9745" w14:textId="77777777" w:rsidR="00E4675D" w:rsidRPr="00E4675D" w:rsidRDefault="00E47A49" w:rsidP="00E4675D">
      <w:pPr>
        <w:widowControl w:val="0"/>
        <w:autoSpaceDE w:val="0"/>
        <w:autoSpaceDN w:val="0"/>
        <w:adjustRightInd w:val="0"/>
        <w:spacing w:after="0" w:line="240" w:lineRule="auto"/>
        <w:ind w:left="640" w:hanging="640"/>
        <w:rPr>
          <w:rFonts w:ascii="Twentieth Century" w:hAnsi="Twentieth Century" w:cs="Times New Roman" w:hint="eastAsia"/>
          <w:noProof/>
          <w:sz w:val="22"/>
          <w:szCs w:val="24"/>
        </w:rPr>
      </w:pPr>
      <w:r w:rsidRPr="00E47A49">
        <w:rPr>
          <w:rFonts w:ascii="Twentieth Century" w:eastAsia="Twentieth Century" w:hAnsi="Twentieth Century" w:cs="Twentieth Century"/>
          <w:sz w:val="22"/>
          <w:szCs w:val="22"/>
        </w:rPr>
        <w:fldChar w:fldCharType="begin" w:fldLock="1"/>
      </w:r>
      <w:r w:rsidRPr="00E47A49">
        <w:rPr>
          <w:rFonts w:ascii="Twentieth Century" w:eastAsia="Twentieth Century" w:hAnsi="Twentieth Century" w:cs="Twentieth Century"/>
          <w:sz w:val="22"/>
          <w:szCs w:val="22"/>
        </w:rPr>
        <w:instrText xml:space="preserve">ADDIN Mendeley Bibliography CSL_BIBLIOGRAPHY </w:instrText>
      </w:r>
      <w:r w:rsidRPr="00E47A49">
        <w:rPr>
          <w:rFonts w:ascii="Twentieth Century" w:eastAsia="Twentieth Century" w:hAnsi="Twentieth Century" w:cs="Twentieth Century"/>
          <w:sz w:val="22"/>
          <w:szCs w:val="22"/>
        </w:rPr>
        <w:fldChar w:fldCharType="separate"/>
      </w:r>
      <w:r w:rsidR="00E4675D" w:rsidRPr="00E4675D">
        <w:rPr>
          <w:rFonts w:ascii="Twentieth Century" w:hAnsi="Twentieth Century" w:cs="Times New Roman"/>
          <w:noProof/>
          <w:sz w:val="22"/>
          <w:szCs w:val="24"/>
        </w:rPr>
        <w:t>[1]</w:t>
      </w:r>
      <w:r w:rsidR="00E4675D" w:rsidRPr="00E4675D">
        <w:rPr>
          <w:rFonts w:ascii="Twentieth Century" w:hAnsi="Twentieth Century" w:cs="Times New Roman"/>
          <w:noProof/>
          <w:sz w:val="22"/>
          <w:szCs w:val="24"/>
        </w:rPr>
        <w:tab/>
        <w:t xml:space="preserve">S. Sudikno and S. Sandjaja, “Usia Menarche Perempuan Indonesia Semakin Muda: Hasil Analisis Riskesdas 2010,” </w:t>
      </w:r>
      <w:r w:rsidR="00E4675D" w:rsidRPr="00E4675D">
        <w:rPr>
          <w:rFonts w:ascii="Twentieth Century" w:hAnsi="Twentieth Century" w:cs="Times New Roman"/>
          <w:i/>
          <w:iCs/>
          <w:noProof/>
          <w:sz w:val="22"/>
          <w:szCs w:val="24"/>
        </w:rPr>
        <w:t>J. Kesehat. Reproduksi</w:t>
      </w:r>
      <w:r w:rsidR="00E4675D" w:rsidRPr="00E4675D">
        <w:rPr>
          <w:rFonts w:ascii="Twentieth Century" w:hAnsi="Twentieth Century" w:cs="Times New Roman"/>
          <w:noProof/>
          <w:sz w:val="22"/>
          <w:szCs w:val="24"/>
        </w:rPr>
        <w:t>, vol. 10, no. 2, pp. 163–171, 2020, doi: 10.22435/kespro.v10i2.2568.</w:t>
      </w:r>
    </w:p>
    <w:p w14:paraId="4ED121EF" w14:textId="77777777" w:rsidR="00E4675D" w:rsidRPr="00E4675D" w:rsidRDefault="00E4675D" w:rsidP="00E4675D">
      <w:pPr>
        <w:widowControl w:val="0"/>
        <w:autoSpaceDE w:val="0"/>
        <w:autoSpaceDN w:val="0"/>
        <w:adjustRightInd w:val="0"/>
        <w:spacing w:after="0" w:line="240" w:lineRule="auto"/>
        <w:ind w:left="640" w:hanging="640"/>
        <w:rPr>
          <w:rFonts w:ascii="Twentieth Century" w:hAnsi="Twentieth Century" w:cs="Times New Roman" w:hint="eastAsia"/>
          <w:noProof/>
          <w:sz w:val="22"/>
          <w:szCs w:val="24"/>
        </w:rPr>
      </w:pPr>
      <w:r w:rsidRPr="00E4675D">
        <w:rPr>
          <w:rFonts w:ascii="Twentieth Century" w:hAnsi="Twentieth Century" w:cs="Times New Roman"/>
          <w:noProof/>
          <w:sz w:val="22"/>
          <w:szCs w:val="24"/>
        </w:rPr>
        <w:t>[2]</w:t>
      </w:r>
      <w:r w:rsidRPr="00E4675D">
        <w:rPr>
          <w:rFonts w:ascii="Twentieth Century" w:hAnsi="Twentieth Century" w:cs="Times New Roman"/>
          <w:noProof/>
          <w:sz w:val="22"/>
          <w:szCs w:val="24"/>
        </w:rPr>
        <w:tab/>
        <w:t xml:space="preserve">B. Ramraj, V. M. Subramanian, and V. G, “Study on age of menarche between generations and the factors associated with it,” </w:t>
      </w:r>
      <w:r w:rsidRPr="00E4675D">
        <w:rPr>
          <w:rFonts w:ascii="Twentieth Century" w:hAnsi="Twentieth Century" w:cs="Times New Roman"/>
          <w:i/>
          <w:iCs/>
          <w:noProof/>
          <w:sz w:val="22"/>
          <w:szCs w:val="24"/>
        </w:rPr>
        <w:t>Clin. Epidemiol. Glob. Heal.</w:t>
      </w:r>
      <w:r w:rsidRPr="00E4675D">
        <w:rPr>
          <w:rFonts w:ascii="Twentieth Century" w:hAnsi="Twentieth Century" w:cs="Times New Roman"/>
          <w:noProof/>
          <w:sz w:val="22"/>
          <w:szCs w:val="24"/>
        </w:rPr>
        <w:t>, vol. 11, p. 100758, 2021, doi: https://doi.org/10.1016/j.cegh.2021.100758.</w:t>
      </w:r>
    </w:p>
    <w:p w14:paraId="480FAF02" w14:textId="77777777" w:rsidR="00E4675D" w:rsidRPr="00E4675D" w:rsidRDefault="00E4675D" w:rsidP="00E4675D">
      <w:pPr>
        <w:widowControl w:val="0"/>
        <w:autoSpaceDE w:val="0"/>
        <w:autoSpaceDN w:val="0"/>
        <w:adjustRightInd w:val="0"/>
        <w:spacing w:after="0" w:line="240" w:lineRule="auto"/>
        <w:ind w:left="640" w:hanging="640"/>
        <w:rPr>
          <w:rFonts w:ascii="Twentieth Century" w:hAnsi="Twentieth Century" w:cs="Times New Roman" w:hint="eastAsia"/>
          <w:noProof/>
          <w:sz w:val="22"/>
          <w:szCs w:val="24"/>
        </w:rPr>
      </w:pPr>
      <w:r w:rsidRPr="00E4675D">
        <w:rPr>
          <w:rFonts w:ascii="Twentieth Century" w:hAnsi="Twentieth Century" w:cs="Times New Roman"/>
          <w:noProof/>
          <w:sz w:val="22"/>
          <w:szCs w:val="24"/>
        </w:rPr>
        <w:t>[3]</w:t>
      </w:r>
      <w:r w:rsidRPr="00E4675D">
        <w:rPr>
          <w:rFonts w:ascii="Twentieth Century" w:hAnsi="Twentieth Century" w:cs="Times New Roman"/>
          <w:noProof/>
          <w:sz w:val="22"/>
          <w:szCs w:val="24"/>
        </w:rPr>
        <w:tab/>
        <w:t xml:space="preserve">I. Markevych </w:t>
      </w:r>
      <w:r w:rsidRPr="00E4675D">
        <w:rPr>
          <w:rFonts w:ascii="Twentieth Century" w:hAnsi="Twentieth Century" w:cs="Times New Roman"/>
          <w:i/>
          <w:iCs/>
          <w:noProof/>
          <w:sz w:val="22"/>
          <w:szCs w:val="24"/>
        </w:rPr>
        <w:t>et al.</w:t>
      </w:r>
      <w:r w:rsidRPr="00E4675D">
        <w:rPr>
          <w:rFonts w:ascii="Twentieth Century" w:hAnsi="Twentieth Century" w:cs="Times New Roman"/>
          <w:noProof/>
          <w:sz w:val="22"/>
          <w:szCs w:val="24"/>
        </w:rPr>
        <w:t xml:space="preserve">, “Residential green space and age at menarche in German and Australian adolescent girls: A longitudinal study,” </w:t>
      </w:r>
      <w:r w:rsidRPr="00E4675D">
        <w:rPr>
          <w:rFonts w:ascii="Twentieth Century" w:hAnsi="Twentieth Century" w:cs="Times New Roman"/>
          <w:i/>
          <w:iCs/>
          <w:noProof/>
          <w:sz w:val="22"/>
          <w:szCs w:val="24"/>
        </w:rPr>
        <w:t>Int. J. Hyg. Environ. Health</w:t>
      </w:r>
      <w:r w:rsidRPr="00E4675D">
        <w:rPr>
          <w:rFonts w:ascii="Twentieth Century" w:hAnsi="Twentieth Century" w:cs="Times New Roman"/>
          <w:noProof/>
          <w:sz w:val="22"/>
          <w:szCs w:val="24"/>
        </w:rPr>
        <w:t>, vol. 240, p. 113917, 2022, doi: https://doi.org/10.1016/j.ijheh.2021.113917.</w:t>
      </w:r>
    </w:p>
    <w:p w14:paraId="1CB9A9C2" w14:textId="77777777" w:rsidR="00E4675D" w:rsidRPr="00E4675D" w:rsidRDefault="00E4675D" w:rsidP="00E4675D">
      <w:pPr>
        <w:widowControl w:val="0"/>
        <w:autoSpaceDE w:val="0"/>
        <w:autoSpaceDN w:val="0"/>
        <w:adjustRightInd w:val="0"/>
        <w:spacing w:after="0" w:line="240" w:lineRule="auto"/>
        <w:ind w:left="640" w:hanging="640"/>
        <w:rPr>
          <w:rFonts w:ascii="Twentieth Century" w:hAnsi="Twentieth Century" w:cs="Times New Roman" w:hint="eastAsia"/>
          <w:noProof/>
          <w:sz w:val="22"/>
          <w:szCs w:val="24"/>
        </w:rPr>
      </w:pPr>
      <w:r w:rsidRPr="00E4675D">
        <w:rPr>
          <w:rFonts w:ascii="Twentieth Century" w:hAnsi="Twentieth Century" w:cs="Times New Roman"/>
          <w:noProof/>
          <w:sz w:val="22"/>
          <w:szCs w:val="24"/>
        </w:rPr>
        <w:t>[4]</w:t>
      </w:r>
      <w:r w:rsidRPr="00E4675D">
        <w:rPr>
          <w:rFonts w:ascii="Twentieth Century" w:hAnsi="Twentieth Century" w:cs="Times New Roman"/>
          <w:noProof/>
          <w:sz w:val="22"/>
          <w:szCs w:val="24"/>
        </w:rPr>
        <w:tab/>
        <w:t xml:space="preserve">L. Tondo, M. Pinna, G. Serra, L. De Chiara, and R. J. Baldessarini, “Age at menarche predicts age at onset of major affective and anxiety disorders,” </w:t>
      </w:r>
      <w:r w:rsidRPr="00E4675D">
        <w:rPr>
          <w:rFonts w:ascii="Twentieth Century" w:hAnsi="Twentieth Century" w:cs="Times New Roman"/>
          <w:i/>
          <w:iCs/>
          <w:noProof/>
          <w:sz w:val="22"/>
          <w:szCs w:val="24"/>
        </w:rPr>
        <w:t>Eur. Psychiatry</w:t>
      </w:r>
      <w:r w:rsidRPr="00E4675D">
        <w:rPr>
          <w:rFonts w:ascii="Twentieth Century" w:hAnsi="Twentieth Century" w:cs="Times New Roman"/>
          <w:noProof/>
          <w:sz w:val="22"/>
          <w:szCs w:val="24"/>
        </w:rPr>
        <w:t>, vol. 39, pp. 80–85, 2017, doi: https://doi.org/10.1016/j.eurpsy.2016.08.001.</w:t>
      </w:r>
    </w:p>
    <w:p w14:paraId="19B23CA3" w14:textId="77777777" w:rsidR="00E4675D" w:rsidRPr="00E4675D" w:rsidRDefault="00E4675D" w:rsidP="00E4675D">
      <w:pPr>
        <w:widowControl w:val="0"/>
        <w:autoSpaceDE w:val="0"/>
        <w:autoSpaceDN w:val="0"/>
        <w:adjustRightInd w:val="0"/>
        <w:spacing w:after="0" w:line="240" w:lineRule="auto"/>
        <w:ind w:left="640" w:hanging="640"/>
        <w:rPr>
          <w:rFonts w:ascii="Twentieth Century" w:hAnsi="Twentieth Century" w:cs="Times New Roman" w:hint="eastAsia"/>
          <w:noProof/>
          <w:sz w:val="22"/>
          <w:szCs w:val="24"/>
        </w:rPr>
      </w:pPr>
      <w:r w:rsidRPr="00E4675D">
        <w:rPr>
          <w:rFonts w:ascii="Twentieth Century" w:hAnsi="Twentieth Century" w:cs="Times New Roman"/>
          <w:noProof/>
          <w:sz w:val="22"/>
          <w:szCs w:val="24"/>
        </w:rPr>
        <w:t>[5]</w:t>
      </w:r>
      <w:r w:rsidRPr="00E4675D">
        <w:rPr>
          <w:rFonts w:ascii="Twentieth Century" w:hAnsi="Twentieth Century" w:cs="Times New Roman"/>
          <w:noProof/>
          <w:sz w:val="22"/>
          <w:szCs w:val="24"/>
        </w:rPr>
        <w:tab/>
        <w:t xml:space="preserve">C. C. Anikwe, J. E. Mamah, B. C. Okorochukwu, U. U. Nnadozie, C. H. Obarezi, and K. C. Ekwedigwe, “Age at menarche, menstrual characteristics, and its associated morbidities among secondary school students in Abakaliki, southeast Nigeria,” </w:t>
      </w:r>
      <w:r w:rsidRPr="00E4675D">
        <w:rPr>
          <w:rFonts w:ascii="Twentieth Century" w:hAnsi="Twentieth Century" w:cs="Times New Roman"/>
          <w:i/>
          <w:iCs/>
          <w:noProof/>
          <w:sz w:val="22"/>
          <w:szCs w:val="24"/>
        </w:rPr>
        <w:t>Heliyon</w:t>
      </w:r>
      <w:r w:rsidRPr="00E4675D">
        <w:rPr>
          <w:rFonts w:ascii="Twentieth Century" w:hAnsi="Twentieth Century" w:cs="Times New Roman"/>
          <w:noProof/>
          <w:sz w:val="22"/>
          <w:szCs w:val="24"/>
        </w:rPr>
        <w:t>, vol. 6, no. 5, p. e04018, 2020, doi: https://doi.org/10.1016/j.heliyon.2020.e04018.</w:t>
      </w:r>
    </w:p>
    <w:p w14:paraId="65CD05CA" w14:textId="77777777" w:rsidR="00E4675D" w:rsidRPr="00E4675D" w:rsidRDefault="00E4675D" w:rsidP="00E4675D">
      <w:pPr>
        <w:widowControl w:val="0"/>
        <w:autoSpaceDE w:val="0"/>
        <w:autoSpaceDN w:val="0"/>
        <w:adjustRightInd w:val="0"/>
        <w:spacing w:after="0" w:line="240" w:lineRule="auto"/>
        <w:ind w:left="640" w:hanging="640"/>
        <w:rPr>
          <w:rFonts w:ascii="Twentieth Century" w:hAnsi="Twentieth Century" w:cs="Times New Roman" w:hint="eastAsia"/>
          <w:noProof/>
          <w:sz w:val="22"/>
          <w:szCs w:val="24"/>
        </w:rPr>
      </w:pPr>
      <w:r w:rsidRPr="00E4675D">
        <w:rPr>
          <w:rFonts w:ascii="Twentieth Century" w:hAnsi="Twentieth Century" w:cs="Times New Roman"/>
          <w:noProof/>
          <w:sz w:val="22"/>
          <w:szCs w:val="24"/>
        </w:rPr>
        <w:t>[6]</w:t>
      </w:r>
      <w:r w:rsidRPr="00E4675D">
        <w:rPr>
          <w:rFonts w:ascii="Twentieth Century" w:hAnsi="Twentieth Century" w:cs="Times New Roman"/>
          <w:noProof/>
          <w:sz w:val="22"/>
          <w:szCs w:val="24"/>
        </w:rPr>
        <w:tab/>
        <w:t xml:space="preserve">S. E. Syarif, D. T. Mau, and C. Anugrahini, “Gambaran Tingkat Kecemasan Remaja </w:t>
      </w:r>
      <w:r w:rsidRPr="00E4675D">
        <w:rPr>
          <w:rFonts w:ascii="Twentieth Century" w:hAnsi="Twentieth Century" w:cs="Times New Roman"/>
          <w:noProof/>
          <w:sz w:val="22"/>
          <w:szCs w:val="24"/>
        </w:rPr>
        <w:lastRenderedPageBreak/>
        <w:t xml:space="preserve">Putri Dalam Menghadapi Haid Pertama Kali (Menarche) Pada Siswi Kelas Vii Smp Negeri 1 Atambua,” </w:t>
      </w:r>
      <w:r w:rsidRPr="00E4675D">
        <w:rPr>
          <w:rFonts w:ascii="Twentieth Century" w:hAnsi="Twentieth Century" w:cs="Times New Roman"/>
          <w:i/>
          <w:iCs/>
          <w:noProof/>
          <w:sz w:val="22"/>
          <w:szCs w:val="24"/>
        </w:rPr>
        <w:t>J. Sahabat Keperawatan</w:t>
      </w:r>
      <w:r w:rsidRPr="00E4675D">
        <w:rPr>
          <w:rFonts w:ascii="Twentieth Century" w:hAnsi="Twentieth Century" w:cs="Times New Roman"/>
          <w:noProof/>
          <w:sz w:val="22"/>
          <w:szCs w:val="24"/>
        </w:rPr>
        <w:t>, vol. 2, no. 02, pp. 13–17, 2020, doi: 10.32938/jsk.v2i02.628.</w:t>
      </w:r>
    </w:p>
    <w:p w14:paraId="056408A7" w14:textId="77777777" w:rsidR="00E4675D" w:rsidRPr="00E4675D" w:rsidRDefault="00E4675D" w:rsidP="00E4675D">
      <w:pPr>
        <w:widowControl w:val="0"/>
        <w:autoSpaceDE w:val="0"/>
        <w:autoSpaceDN w:val="0"/>
        <w:adjustRightInd w:val="0"/>
        <w:spacing w:after="0" w:line="240" w:lineRule="auto"/>
        <w:ind w:left="640" w:hanging="640"/>
        <w:rPr>
          <w:rFonts w:ascii="Twentieth Century" w:hAnsi="Twentieth Century" w:cs="Times New Roman" w:hint="eastAsia"/>
          <w:noProof/>
          <w:sz w:val="22"/>
          <w:szCs w:val="24"/>
        </w:rPr>
      </w:pPr>
      <w:r w:rsidRPr="00E4675D">
        <w:rPr>
          <w:rFonts w:ascii="Twentieth Century" w:hAnsi="Twentieth Century" w:cs="Times New Roman"/>
          <w:noProof/>
          <w:sz w:val="22"/>
          <w:szCs w:val="24"/>
        </w:rPr>
        <w:t>[7]</w:t>
      </w:r>
      <w:r w:rsidRPr="00E4675D">
        <w:rPr>
          <w:rFonts w:ascii="Twentieth Century" w:hAnsi="Twentieth Century" w:cs="Times New Roman"/>
          <w:noProof/>
          <w:sz w:val="22"/>
          <w:szCs w:val="24"/>
        </w:rPr>
        <w:tab/>
        <w:t xml:space="preserve">R. Hirtz </w:t>
      </w:r>
      <w:r w:rsidRPr="00E4675D">
        <w:rPr>
          <w:rFonts w:ascii="Twentieth Century" w:hAnsi="Twentieth Century" w:cs="Times New Roman"/>
          <w:i/>
          <w:iCs/>
          <w:noProof/>
          <w:sz w:val="22"/>
          <w:szCs w:val="24"/>
        </w:rPr>
        <w:t>et al.</w:t>
      </w:r>
      <w:r w:rsidRPr="00E4675D">
        <w:rPr>
          <w:rFonts w:ascii="Twentieth Century" w:hAnsi="Twentieth Century" w:cs="Times New Roman"/>
          <w:noProof/>
          <w:sz w:val="22"/>
          <w:szCs w:val="24"/>
        </w:rPr>
        <w:t xml:space="preserve">, “Age at menarche relates to depression in adolescent girls: Comparing a clinical sample to the general pediatric population,” </w:t>
      </w:r>
      <w:r w:rsidRPr="00E4675D">
        <w:rPr>
          <w:rFonts w:ascii="Twentieth Century" w:hAnsi="Twentieth Century" w:cs="Times New Roman"/>
          <w:i/>
          <w:iCs/>
          <w:noProof/>
          <w:sz w:val="22"/>
          <w:szCs w:val="24"/>
        </w:rPr>
        <w:t>J. Affect. Disord.</w:t>
      </w:r>
      <w:r w:rsidRPr="00E4675D">
        <w:rPr>
          <w:rFonts w:ascii="Twentieth Century" w:hAnsi="Twentieth Century" w:cs="Times New Roman"/>
          <w:noProof/>
          <w:sz w:val="22"/>
          <w:szCs w:val="24"/>
        </w:rPr>
        <w:t>, vol. 318, pp. 103–112, 2022, doi: https://doi.org/10.1016/j.jad.2022.08.092.</w:t>
      </w:r>
    </w:p>
    <w:p w14:paraId="69ACA237" w14:textId="77777777" w:rsidR="00E4675D" w:rsidRPr="00E4675D" w:rsidRDefault="00E4675D" w:rsidP="00E4675D">
      <w:pPr>
        <w:widowControl w:val="0"/>
        <w:autoSpaceDE w:val="0"/>
        <w:autoSpaceDN w:val="0"/>
        <w:adjustRightInd w:val="0"/>
        <w:spacing w:after="0" w:line="240" w:lineRule="auto"/>
        <w:ind w:left="640" w:hanging="640"/>
        <w:rPr>
          <w:rFonts w:ascii="Twentieth Century" w:hAnsi="Twentieth Century" w:cs="Times New Roman" w:hint="eastAsia"/>
          <w:noProof/>
          <w:sz w:val="22"/>
          <w:szCs w:val="24"/>
        </w:rPr>
      </w:pPr>
      <w:r w:rsidRPr="00E4675D">
        <w:rPr>
          <w:rFonts w:ascii="Twentieth Century" w:hAnsi="Twentieth Century" w:cs="Times New Roman"/>
          <w:noProof/>
          <w:sz w:val="22"/>
          <w:szCs w:val="24"/>
        </w:rPr>
        <w:t>[8]</w:t>
      </w:r>
      <w:r w:rsidRPr="00E4675D">
        <w:rPr>
          <w:rFonts w:ascii="Twentieth Century" w:hAnsi="Twentieth Century" w:cs="Times New Roman"/>
          <w:noProof/>
          <w:sz w:val="22"/>
          <w:szCs w:val="24"/>
        </w:rPr>
        <w:tab/>
        <w:t xml:space="preserve">C. Cleodora, Mustikasari, and D. Gayatri, “Therapeutic group therapy improved self-efficacy of school age children,” </w:t>
      </w:r>
      <w:r w:rsidRPr="00E4675D">
        <w:rPr>
          <w:rFonts w:ascii="Twentieth Century" w:hAnsi="Twentieth Century" w:cs="Times New Roman"/>
          <w:i/>
          <w:iCs/>
          <w:noProof/>
          <w:sz w:val="22"/>
          <w:szCs w:val="24"/>
        </w:rPr>
        <w:t>Enfermería Clínica</w:t>
      </w:r>
      <w:r w:rsidRPr="00E4675D">
        <w:rPr>
          <w:rFonts w:ascii="Twentieth Century" w:hAnsi="Twentieth Century" w:cs="Times New Roman"/>
          <w:noProof/>
          <w:sz w:val="22"/>
          <w:szCs w:val="24"/>
        </w:rPr>
        <w:t>, vol. 28, pp. 112–115, 2018, doi: https://doi.org/10.1016/S1130-8621(18)30048-2.</w:t>
      </w:r>
    </w:p>
    <w:p w14:paraId="1ED816FC" w14:textId="77777777" w:rsidR="00E4675D" w:rsidRPr="00E4675D" w:rsidRDefault="00E4675D" w:rsidP="00E4675D">
      <w:pPr>
        <w:widowControl w:val="0"/>
        <w:autoSpaceDE w:val="0"/>
        <w:autoSpaceDN w:val="0"/>
        <w:adjustRightInd w:val="0"/>
        <w:spacing w:after="0" w:line="240" w:lineRule="auto"/>
        <w:ind w:left="640" w:hanging="640"/>
        <w:rPr>
          <w:rFonts w:ascii="Twentieth Century" w:hAnsi="Twentieth Century" w:cs="Times New Roman" w:hint="eastAsia"/>
          <w:noProof/>
          <w:sz w:val="22"/>
          <w:szCs w:val="24"/>
        </w:rPr>
      </w:pPr>
      <w:r w:rsidRPr="00E4675D">
        <w:rPr>
          <w:rFonts w:ascii="Twentieth Century" w:hAnsi="Twentieth Century" w:cs="Times New Roman"/>
          <w:noProof/>
          <w:sz w:val="22"/>
          <w:szCs w:val="24"/>
        </w:rPr>
        <w:t>[9]</w:t>
      </w:r>
      <w:r w:rsidRPr="00E4675D">
        <w:rPr>
          <w:rFonts w:ascii="Twentieth Century" w:hAnsi="Twentieth Century" w:cs="Times New Roman"/>
          <w:noProof/>
          <w:sz w:val="22"/>
          <w:szCs w:val="24"/>
        </w:rPr>
        <w:tab/>
        <w:t xml:space="preserve">J. H. Park, J. Y. Kim, and H. O. Kim, “Effects of a group poetry therapy program on stress, anxiety, ego-resilience, and psychological well-being of nursing students,” </w:t>
      </w:r>
      <w:r w:rsidRPr="00E4675D">
        <w:rPr>
          <w:rFonts w:ascii="Twentieth Century" w:hAnsi="Twentieth Century" w:cs="Times New Roman"/>
          <w:i/>
          <w:iCs/>
          <w:noProof/>
          <w:sz w:val="22"/>
          <w:szCs w:val="24"/>
        </w:rPr>
        <w:t>Arch. Psychiatr. Nurs.</w:t>
      </w:r>
      <w:r w:rsidRPr="00E4675D">
        <w:rPr>
          <w:rFonts w:ascii="Twentieth Century" w:hAnsi="Twentieth Century" w:cs="Times New Roman"/>
          <w:noProof/>
          <w:sz w:val="22"/>
          <w:szCs w:val="24"/>
        </w:rPr>
        <w:t>, vol. 41, pp. 144–152, 2022, doi: https://doi.org/10.1016/j.apnu.2022.07.027.</w:t>
      </w:r>
    </w:p>
    <w:p w14:paraId="62F696D0" w14:textId="77777777" w:rsidR="00E4675D" w:rsidRPr="00E4675D" w:rsidRDefault="00E4675D" w:rsidP="00E4675D">
      <w:pPr>
        <w:widowControl w:val="0"/>
        <w:autoSpaceDE w:val="0"/>
        <w:autoSpaceDN w:val="0"/>
        <w:adjustRightInd w:val="0"/>
        <w:spacing w:after="0" w:line="240" w:lineRule="auto"/>
        <w:ind w:left="640" w:hanging="640"/>
        <w:rPr>
          <w:rFonts w:ascii="Twentieth Century" w:hAnsi="Twentieth Century" w:cs="Times New Roman" w:hint="eastAsia"/>
          <w:noProof/>
          <w:sz w:val="22"/>
          <w:szCs w:val="24"/>
        </w:rPr>
      </w:pPr>
      <w:r w:rsidRPr="00E4675D">
        <w:rPr>
          <w:rFonts w:ascii="Twentieth Century" w:hAnsi="Twentieth Century" w:cs="Times New Roman"/>
          <w:noProof/>
          <w:sz w:val="22"/>
          <w:szCs w:val="24"/>
        </w:rPr>
        <w:t>[10]</w:t>
      </w:r>
      <w:r w:rsidRPr="00E4675D">
        <w:rPr>
          <w:rFonts w:ascii="Twentieth Century" w:hAnsi="Twentieth Century" w:cs="Times New Roman"/>
          <w:noProof/>
          <w:sz w:val="22"/>
          <w:szCs w:val="24"/>
        </w:rPr>
        <w:tab/>
        <w:t xml:space="preserve">J. Yoost, M. Ruley, and L. Durfee, “Acceptability of a Comprehensive Sex Education Self-Study Website for Teaching Reproductive Health: A Pilot Study Among College Students and Obstetrics and Gynecology Resident Physicians,” </w:t>
      </w:r>
      <w:r w:rsidRPr="00E4675D">
        <w:rPr>
          <w:rFonts w:ascii="Twentieth Century" w:hAnsi="Twentieth Century" w:cs="Times New Roman"/>
          <w:i/>
          <w:iCs/>
          <w:noProof/>
          <w:sz w:val="22"/>
          <w:szCs w:val="24"/>
        </w:rPr>
        <w:t>Sex. Med.</w:t>
      </w:r>
      <w:r w:rsidRPr="00E4675D">
        <w:rPr>
          <w:rFonts w:ascii="Twentieth Century" w:hAnsi="Twentieth Century" w:cs="Times New Roman"/>
          <w:noProof/>
          <w:sz w:val="22"/>
          <w:szCs w:val="24"/>
        </w:rPr>
        <w:t>, vol. 9, no. 1, p. 100302, 2021, doi: https://doi.org/10.1016/j.esxm.2020.100302.</w:t>
      </w:r>
    </w:p>
    <w:p w14:paraId="29049E87" w14:textId="77777777" w:rsidR="00E4675D" w:rsidRPr="00E4675D" w:rsidRDefault="00E4675D" w:rsidP="00E4675D">
      <w:pPr>
        <w:widowControl w:val="0"/>
        <w:autoSpaceDE w:val="0"/>
        <w:autoSpaceDN w:val="0"/>
        <w:adjustRightInd w:val="0"/>
        <w:spacing w:after="0" w:line="240" w:lineRule="auto"/>
        <w:ind w:left="640" w:hanging="640"/>
        <w:rPr>
          <w:rFonts w:ascii="Twentieth Century" w:hAnsi="Twentieth Century" w:cs="Times New Roman" w:hint="eastAsia"/>
          <w:noProof/>
          <w:sz w:val="22"/>
          <w:szCs w:val="24"/>
        </w:rPr>
      </w:pPr>
      <w:r w:rsidRPr="00E4675D">
        <w:rPr>
          <w:rFonts w:ascii="Twentieth Century" w:hAnsi="Twentieth Century" w:cs="Times New Roman"/>
          <w:noProof/>
          <w:sz w:val="22"/>
          <w:szCs w:val="24"/>
        </w:rPr>
        <w:t>[11]</w:t>
      </w:r>
      <w:r w:rsidRPr="00E4675D">
        <w:rPr>
          <w:rFonts w:ascii="Twentieth Century" w:hAnsi="Twentieth Century" w:cs="Times New Roman"/>
          <w:noProof/>
          <w:sz w:val="22"/>
          <w:szCs w:val="24"/>
        </w:rPr>
        <w:tab/>
        <w:t xml:space="preserve">Y. A. Hardayati, Mustikasari, and R. U. Panjaitan, “The effects of thought stopping on anxiety levels in adolescents living in earthquake-prone areas,” </w:t>
      </w:r>
      <w:r w:rsidRPr="00E4675D">
        <w:rPr>
          <w:rFonts w:ascii="Twentieth Century" w:hAnsi="Twentieth Century" w:cs="Times New Roman"/>
          <w:i/>
          <w:iCs/>
          <w:noProof/>
          <w:sz w:val="22"/>
          <w:szCs w:val="24"/>
        </w:rPr>
        <w:t>Enfermería Clínica</w:t>
      </w:r>
      <w:r w:rsidRPr="00E4675D">
        <w:rPr>
          <w:rFonts w:ascii="Twentieth Century" w:hAnsi="Twentieth Century" w:cs="Times New Roman"/>
          <w:noProof/>
          <w:sz w:val="22"/>
          <w:szCs w:val="24"/>
        </w:rPr>
        <w:t>, vol. 31, pp. S395–S399, 2021, doi: https://doi.org/10.1016/j.enfcli.2021.01.001.</w:t>
      </w:r>
    </w:p>
    <w:p w14:paraId="31426946" w14:textId="77777777" w:rsidR="00E4675D" w:rsidRPr="00E4675D" w:rsidRDefault="00E4675D" w:rsidP="00E4675D">
      <w:pPr>
        <w:widowControl w:val="0"/>
        <w:autoSpaceDE w:val="0"/>
        <w:autoSpaceDN w:val="0"/>
        <w:adjustRightInd w:val="0"/>
        <w:spacing w:after="0" w:line="240" w:lineRule="auto"/>
        <w:ind w:left="640" w:hanging="640"/>
        <w:rPr>
          <w:rFonts w:ascii="Twentieth Century" w:hAnsi="Twentieth Century" w:cs="Times New Roman" w:hint="eastAsia"/>
          <w:noProof/>
          <w:sz w:val="22"/>
          <w:szCs w:val="24"/>
        </w:rPr>
      </w:pPr>
      <w:r w:rsidRPr="00E4675D">
        <w:rPr>
          <w:rFonts w:ascii="Twentieth Century" w:hAnsi="Twentieth Century" w:cs="Times New Roman"/>
          <w:noProof/>
          <w:sz w:val="22"/>
          <w:szCs w:val="24"/>
        </w:rPr>
        <w:t>[12]</w:t>
      </w:r>
      <w:r w:rsidRPr="00E4675D">
        <w:rPr>
          <w:rFonts w:ascii="Twentieth Century" w:hAnsi="Twentieth Century" w:cs="Times New Roman"/>
          <w:noProof/>
          <w:sz w:val="22"/>
          <w:szCs w:val="24"/>
        </w:rPr>
        <w:tab/>
        <w:t xml:space="preserve">D. R. Abadi, A. P. Dewi, and S. Nuschayati, “Hubungan Dukungan Keluarga dengan Tingkat Kecemasan Remaja Putri dalam Menghadapi Menarche,” </w:t>
      </w:r>
      <w:r w:rsidRPr="00E4675D">
        <w:rPr>
          <w:rFonts w:ascii="Twentieth Century" w:hAnsi="Twentieth Century" w:cs="Times New Roman"/>
          <w:i/>
          <w:iCs/>
          <w:noProof/>
          <w:sz w:val="22"/>
          <w:szCs w:val="24"/>
        </w:rPr>
        <w:t>JOM</w:t>
      </w:r>
      <w:r w:rsidRPr="00E4675D">
        <w:rPr>
          <w:rFonts w:ascii="Twentieth Century" w:hAnsi="Twentieth Century" w:cs="Times New Roman"/>
          <w:noProof/>
          <w:sz w:val="22"/>
          <w:szCs w:val="24"/>
        </w:rPr>
        <w:t>, vol. 2, no. 2, 2015.</w:t>
      </w:r>
    </w:p>
    <w:p w14:paraId="5BCD802A" w14:textId="77777777" w:rsidR="00E4675D" w:rsidRPr="00E4675D" w:rsidRDefault="00E4675D" w:rsidP="00E4675D">
      <w:pPr>
        <w:widowControl w:val="0"/>
        <w:autoSpaceDE w:val="0"/>
        <w:autoSpaceDN w:val="0"/>
        <w:adjustRightInd w:val="0"/>
        <w:spacing w:after="0" w:line="240" w:lineRule="auto"/>
        <w:ind w:left="640" w:hanging="640"/>
        <w:rPr>
          <w:rFonts w:ascii="Twentieth Century" w:hAnsi="Twentieth Century" w:cs="Times New Roman" w:hint="eastAsia"/>
          <w:noProof/>
          <w:sz w:val="22"/>
          <w:szCs w:val="24"/>
        </w:rPr>
      </w:pPr>
      <w:r w:rsidRPr="00E4675D">
        <w:rPr>
          <w:rFonts w:ascii="Twentieth Century" w:hAnsi="Twentieth Century" w:cs="Times New Roman"/>
          <w:noProof/>
          <w:sz w:val="22"/>
          <w:szCs w:val="24"/>
        </w:rPr>
        <w:t>[13]</w:t>
      </w:r>
      <w:r w:rsidRPr="00E4675D">
        <w:rPr>
          <w:rFonts w:ascii="Twentieth Century" w:hAnsi="Twentieth Century" w:cs="Times New Roman"/>
          <w:noProof/>
          <w:sz w:val="22"/>
          <w:szCs w:val="24"/>
        </w:rPr>
        <w:tab/>
        <w:t xml:space="preserve">L. PH, N. Indrayati, and E. Yuliyanti, “Gambaran Tingkat Ansietas Anak Usia Sekolah Saat Mengalami Menarche,” </w:t>
      </w:r>
      <w:r w:rsidRPr="00E4675D">
        <w:rPr>
          <w:rFonts w:ascii="Twentieth Century" w:hAnsi="Twentieth Century" w:cs="Times New Roman"/>
          <w:i/>
          <w:iCs/>
          <w:noProof/>
          <w:sz w:val="22"/>
          <w:szCs w:val="24"/>
        </w:rPr>
        <w:t>J. Kesehat.</w:t>
      </w:r>
      <w:r w:rsidRPr="00E4675D">
        <w:rPr>
          <w:rFonts w:ascii="Twentieth Century" w:hAnsi="Twentieth Century" w:cs="Times New Roman"/>
          <w:noProof/>
          <w:sz w:val="22"/>
          <w:szCs w:val="24"/>
        </w:rPr>
        <w:t>, vol. 12, no. 2, p. 146, 2019, doi: 10.24252/kesehatan.v12i2.10295.</w:t>
      </w:r>
    </w:p>
    <w:p w14:paraId="75BAAE03" w14:textId="77777777" w:rsidR="00E4675D" w:rsidRPr="00E4675D" w:rsidRDefault="00E4675D" w:rsidP="00E4675D">
      <w:pPr>
        <w:widowControl w:val="0"/>
        <w:autoSpaceDE w:val="0"/>
        <w:autoSpaceDN w:val="0"/>
        <w:adjustRightInd w:val="0"/>
        <w:spacing w:after="0" w:line="240" w:lineRule="auto"/>
        <w:ind w:left="640" w:hanging="640"/>
        <w:rPr>
          <w:rFonts w:ascii="Twentieth Century" w:hAnsi="Twentieth Century" w:hint="eastAsia"/>
          <w:noProof/>
          <w:sz w:val="22"/>
        </w:rPr>
      </w:pPr>
      <w:r w:rsidRPr="00E4675D">
        <w:rPr>
          <w:rFonts w:ascii="Twentieth Century" w:hAnsi="Twentieth Century" w:cs="Times New Roman"/>
          <w:noProof/>
          <w:sz w:val="22"/>
          <w:szCs w:val="24"/>
        </w:rPr>
        <w:t>[14]</w:t>
      </w:r>
      <w:r w:rsidRPr="00E4675D">
        <w:rPr>
          <w:rFonts w:ascii="Twentieth Century" w:hAnsi="Twentieth Century" w:cs="Times New Roman"/>
          <w:noProof/>
          <w:sz w:val="22"/>
          <w:szCs w:val="24"/>
        </w:rPr>
        <w:tab/>
        <w:t>W. Pujiati, Ernawati, and Daratullalla, “Pendidikan Kesehatan tentang Menstruasi terhadap Tingkat Kecemasan Menghadapi Menarche pada Siswi Sekolah Dasar,” vol. 13, no. 1, pp. 50–58, 2019, doi: http://dx.doi.org/10.30595/medisains.v13i1.1829.</w:t>
      </w:r>
    </w:p>
    <w:p w14:paraId="15B2925E" w14:textId="77777777" w:rsidR="00FD35AB" w:rsidRPr="00E47A49" w:rsidRDefault="00E47A49" w:rsidP="00E4675D">
      <w:pPr>
        <w:widowControl w:val="0"/>
        <w:autoSpaceDE w:val="0"/>
        <w:autoSpaceDN w:val="0"/>
        <w:adjustRightInd w:val="0"/>
        <w:spacing w:after="0" w:line="240" w:lineRule="auto"/>
        <w:ind w:left="640" w:hanging="640"/>
        <w:rPr>
          <w:rFonts w:ascii="Twentieth Century" w:eastAsia="Twentieth Century" w:hAnsi="Twentieth Century" w:cs="Twentieth Century"/>
          <w:sz w:val="22"/>
          <w:szCs w:val="22"/>
        </w:rPr>
      </w:pPr>
      <w:r w:rsidRPr="00E47A49">
        <w:rPr>
          <w:rFonts w:ascii="Twentieth Century" w:eastAsia="Twentieth Century" w:hAnsi="Twentieth Century" w:cs="Twentieth Century"/>
          <w:sz w:val="22"/>
          <w:szCs w:val="22"/>
        </w:rPr>
        <w:fldChar w:fldCharType="end"/>
      </w:r>
    </w:p>
    <w:sectPr w:rsidR="00FD35AB" w:rsidRPr="00E47A49">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C6DB7" w14:textId="77777777" w:rsidR="00F7335E" w:rsidRDefault="00F7335E">
      <w:pPr>
        <w:spacing w:after="0" w:line="240" w:lineRule="auto"/>
      </w:pPr>
      <w:r>
        <w:separator/>
      </w:r>
    </w:p>
  </w:endnote>
  <w:endnote w:type="continuationSeparator" w:id="0">
    <w:p w14:paraId="0C0A7465" w14:textId="77777777" w:rsidR="00F7335E" w:rsidRDefault="00F73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3085F" w14:textId="77777777" w:rsidR="00FD35AB" w:rsidRDefault="00BE3CDC">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Coresponden</w:t>
    </w:r>
    <w:proofErr w:type="spellEnd"/>
    <w:r>
      <w:rPr>
        <w:rFonts w:ascii="Twentieth Century" w:eastAsia="Twentieth Century" w:hAnsi="Twentieth Century" w:cs="Twentieth Century"/>
        <w:color w:val="000000"/>
        <w:sz w:val="20"/>
        <w:szCs w:val="20"/>
      </w:rPr>
      <w:t xml:space="preserve"> Name and email </w:t>
    </w:r>
    <w:r>
      <w:rPr>
        <w:noProof/>
      </w:rPr>
      <mc:AlternateContent>
        <mc:Choice Requires="wps">
          <w:drawing>
            <wp:anchor distT="0" distB="0" distL="114300" distR="114300" simplePos="0" relativeHeight="251658240" behindDoc="0" locked="0" layoutInCell="1" hidden="0" allowOverlap="1" wp14:anchorId="41BEA6D2" wp14:editId="4A12A227">
              <wp:simplePos x="0" y="0"/>
              <wp:positionH relativeFrom="column">
                <wp:posOffset>-12699</wp:posOffset>
              </wp:positionH>
              <wp:positionV relativeFrom="paragraph">
                <wp:posOffset>-215899</wp:posOffset>
              </wp:positionV>
              <wp:extent cx="5985510" cy="57150"/>
              <wp:effectExtent l="0" t="0" r="0" b="0"/>
              <wp:wrapNone/>
              <wp:docPr id="67" name="Straight Arrow Connector 6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w:pict>
            <v:shapetype w14:anchorId="0F2776B1" id="_x0000_t32" coordsize="21600,21600" o:spt="32" o:oned="t" path="m,l21600,21600e" filled="f">
              <v:path arrowok="t" fillok="f" o:connecttype="none"/>
              <o:lock v:ext="edit" shapetype="t"/>
            </v:shapetype>
            <v:shape id="Straight Arrow Connector 67" o:spid="_x0000_s1026" type="#_x0000_t32" style="position:absolute;margin-left:-1pt;margin-top:-17pt;width:471.3pt;height: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" strokecolor="black [3200]" strokeweight="2.25pt">
              <v:stroke startarrowwidth="narrow" startarrowlength="short" endarrowwidth="narrow" endarrowlength="short"/>
            </v:shape>
          </w:pict>
        </mc:Fallback>
      </mc:AlternateContent>
    </w:r>
  </w:p>
  <w:p w14:paraId="3E84F057" w14:textId="77777777" w:rsidR="00FD35AB" w:rsidRDefault="00BE3CDC">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3360" behindDoc="0" locked="0" layoutInCell="1" hidden="0" allowOverlap="1" wp14:anchorId="47E3802B" wp14:editId="7DB8CED4">
              <wp:simplePos x="0" y="0"/>
              <wp:positionH relativeFrom="column">
                <wp:posOffset>4406900</wp:posOffset>
              </wp:positionH>
              <wp:positionV relativeFrom="paragraph">
                <wp:posOffset>0</wp:posOffset>
              </wp:positionV>
              <wp:extent cx="1527810" cy="414655"/>
              <wp:effectExtent l="0" t="0" r="0" b="0"/>
              <wp:wrapNone/>
              <wp:docPr id="68" name="Rectangle 68"/>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28A82970" w14:textId="77777777" w:rsidR="00FD35AB" w:rsidRDefault="00BE3CDC">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wps:txbx>
                    <wps:bodyPr spcFirstLastPara="1" wrap="square" lIns="91425" tIns="45700" rIns="91425" bIns="45700" anchor="t" anchorCtr="0">
                      <a:noAutofit/>
                    </wps:bodyPr>
                  </wps:wsp>
                </a:graphicData>
              </a:graphic>
            </wp:anchor>
          </w:drawing>
        </mc:Choice>
        <mc:Fallback>
          <w:pict>
            <v:rect w14:anchorId="47E3802B" id="Rectangle 68" o:spid="_x0000_s1027" style="position:absolute;margin-left:347pt;margin-top:0;width:120.3pt;height:32.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" filled="f" stroked="f">
              <v:textbox inset="2.53958mm,1.2694mm,2.53958mm,1.2694mm">
                <w:txbxContent>
                  <w:p w14:paraId="28A82970" w14:textId="77777777" w:rsidR="00FD35AB" w:rsidRDefault="00BE3CDC">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4B2F9" w14:textId="77777777" w:rsidR="00F7335E" w:rsidRDefault="00F7335E">
      <w:pPr>
        <w:spacing w:after="0" w:line="240" w:lineRule="auto"/>
      </w:pPr>
      <w:r>
        <w:separator/>
      </w:r>
    </w:p>
  </w:footnote>
  <w:footnote w:type="continuationSeparator" w:id="0">
    <w:p w14:paraId="3F02B29D" w14:textId="77777777" w:rsidR="00F7335E" w:rsidRDefault="00F73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3F29B" w14:textId="77777777" w:rsidR="00FD35AB" w:rsidRDefault="00BE3CDC">
    <w:pPr>
      <w:pBdr>
        <w:top w:val="nil"/>
        <w:left w:val="nil"/>
        <w:bottom w:val="nil"/>
        <w:right w:val="nil"/>
        <w:between w:val="nil"/>
      </w:pBdr>
      <w:tabs>
        <w:tab w:val="center" w:pos="4680"/>
        <w:tab w:val="right" w:pos="9360"/>
      </w:tabs>
      <w:spacing w:after="120" w:line="276" w:lineRule="auto"/>
      <w:rPr>
        <w:b/>
        <w:color w:val="1F497D"/>
        <w:sz w:val="28"/>
        <w:szCs w:val="28"/>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Proteksi</w:t>
    </w:r>
    <w:proofErr w:type="spellEnd"/>
    <w:r>
      <w:rPr>
        <w:rFonts w:ascii="Twentieth Century" w:eastAsia="Twentieth Century" w:hAnsi="Twentieth Century" w:cs="Twentieth Century"/>
        <w:color w:val="000000"/>
        <w:sz w:val="20"/>
        <w:szCs w:val="20"/>
      </w:rPr>
      <w:t xml:space="preserve"> Kesehatan                                                                                                                                   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Pr>
        <w:rFonts w:ascii="Twentieth Century" w:eastAsia="Twentieth Century" w:hAnsi="Twentieth Century" w:cs="Twentieth Century"/>
        <w:color w:val="000000"/>
        <w:sz w:val="20"/>
        <w:szCs w:val="20"/>
      </w:rPr>
      <w:t>,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w:t>
    </w:r>
    <w:r w:rsidR="00596614">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color w:val="000000"/>
        <w:sz w:val="20"/>
        <w:szCs w:val="20"/>
      </w:rPr>
      <w:t xml:space="preserve">ISSN </w:t>
    </w:r>
    <w:r>
      <w:rPr>
        <w:rFonts w:ascii="Twentieth Century" w:eastAsia="Twentieth Century" w:hAnsi="Twentieth Century" w:cs="Twentieth Century"/>
        <w:sz w:val="20"/>
        <w:szCs w:val="20"/>
      </w:rPr>
      <w:t>2715-1115</w:t>
    </w:r>
    <w:r>
      <w:rPr>
        <w:rFonts w:ascii="Twentieth Century" w:eastAsia="Twentieth Century" w:hAnsi="Twentieth Century" w:cs="Twentieth Century"/>
        <w:color w:val="000000"/>
        <w:sz w:val="20"/>
        <w:szCs w:val="20"/>
      </w:rPr>
      <w:t xml:space="preserve"> (Online), ISSN 23</w:t>
    </w:r>
    <w:r>
      <w:rPr>
        <w:rFonts w:ascii="Twentieth Century" w:eastAsia="Twentieth Century" w:hAnsi="Twentieth Century" w:cs="Twentieth Century"/>
        <w:sz w:val="20"/>
        <w:szCs w:val="20"/>
      </w:rPr>
      <w:t>02</w:t>
    </w:r>
    <w:r>
      <w:rPr>
        <w:rFonts w:ascii="Twentieth Century" w:eastAsia="Twentieth Century" w:hAnsi="Twentieth Century" w:cs="Twentieth Century"/>
        <w:color w:val="000000"/>
        <w:sz w:val="20"/>
        <w:szCs w:val="20"/>
      </w:rPr>
      <w:t xml:space="preserve"> – </w:t>
    </w:r>
    <w:r>
      <w:rPr>
        <w:rFonts w:ascii="Twentieth Century" w:eastAsia="Twentieth Century" w:hAnsi="Twentieth Century" w:cs="Twentieth Century"/>
        <w:sz w:val="20"/>
        <w:szCs w:val="20"/>
      </w:rPr>
      <w:t>8</w:t>
    </w:r>
    <w:r>
      <w:rPr>
        <w:rFonts w:ascii="Twentieth Century" w:eastAsia="Twentieth Century" w:hAnsi="Twentieth Century" w:cs="Twentieth Century"/>
        <w:color w:val="000000"/>
        <w:sz w:val="20"/>
        <w:szCs w:val="20"/>
      </w:rPr>
      <w:t>6</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xml:space="preserve"> (Print)</w:t>
    </w:r>
  </w:p>
  <w:p w14:paraId="1E0EEEA4" w14:textId="77777777" w:rsidR="00FD35AB" w:rsidRDefault="00BE3CDC">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5168" behindDoc="0" locked="0" layoutInCell="1" hidden="0" allowOverlap="1" wp14:anchorId="68EBED70" wp14:editId="3E00DA2C">
              <wp:simplePos x="0" y="0"/>
              <wp:positionH relativeFrom="column">
                <wp:posOffset>1</wp:posOffset>
              </wp:positionH>
              <wp:positionV relativeFrom="paragraph">
                <wp:posOffset>177800</wp:posOffset>
              </wp:positionV>
              <wp:extent cx="5975985" cy="38100"/>
              <wp:effectExtent l="0" t="0" r="0" b="0"/>
              <wp:wrapNone/>
              <wp:docPr id="65" name="Straight Arrow Connector 65"/>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701F2606" id="_x0000_t32" coordsize="21600,21600" o:spt="32" o:oned="t" path="m,l21600,21600e" filled="f">
              <v:path arrowok="t" fillok="f" o:connecttype="none"/>
              <o:lock v:ext="edit" shapetype="t"/>
            </v:shapetype>
            <v:shape id="Straight Arrow Connector 65" o:spid="_x0000_s1026" type="#_x0000_t32" style="position:absolute;margin-left:0;margin-top:14pt;width:470.55pt;height:3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" strokecolor="black [3200]" strokeweight="1.5pt">
              <v:stroke startarrowwidth="narrow" startarrowlength="short" endarrowwidth="narrow" endarrowlength="short"/>
            </v:shape>
          </w:pict>
        </mc:Fallback>
      </mc:AlternateContent>
    </w:r>
  </w:p>
  <w:p w14:paraId="3DE5C43F" w14:textId="77777777" w:rsidR="00FD35AB" w:rsidRDefault="00FD35AB">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5AB"/>
    <w:rsid w:val="00090CB1"/>
    <w:rsid w:val="000F49FF"/>
    <w:rsid w:val="001060E1"/>
    <w:rsid w:val="00116B42"/>
    <w:rsid w:val="00123DD9"/>
    <w:rsid w:val="00154763"/>
    <w:rsid w:val="001E6D6E"/>
    <w:rsid w:val="00371476"/>
    <w:rsid w:val="00503D72"/>
    <w:rsid w:val="00534066"/>
    <w:rsid w:val="00596614"/>
    <w:rsid w:val="00644340"/>
    <w:rsid w:val="006D6170"/>
    <w:rsid w:val="007B2CB9"/>
    <w:rsid w:val="008D4B3F"/>
    <w:rsid w:val="0093609E"/>
    <w:rsid w:val="00A2263F"/>
    <w:rsid w:val="00BE3CDC"/>
    <w:rsid w:val="00BE7F34"/>
    <w:rsid w:val="00C0577A"/>
    <w:rsid w:val="00E4675D"/>
    <w:rsid w:val="00E47A49"/>
    <w:rsid w:val="00E90998"/>
    <w:rsid w:val="00EB58C7"/>
    <w:rsid w:val="00F7335E"/>
    <w:rsid w:val="00FD35AB"/>
    <w:rsid w:val="00FE0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AAF3"/>
  <w15:docId w15:val="{ED6FCD45-7918-41EC-B51D-212B16D2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paragraph" w:styleId="TeksKomentar">
    <w:name w:val="annotation text"/>
    <w:basedOn w:val="Normal"/>
    <w:link w:val="TeksKomentarKAR"/>
    <w:uiPriority w:val="99"/>
    <w:unhideWhenUsed/>
    <w:rsid w:val="00EB58C7"/>
    <w:pPr>
      <w:spacing w:after="0" w:line="240" w:lineRule="auto"/>
    </w:pPr>
    <w:rPr>
      <w:rFonts w:ascii="Times New Roman" w:eastAsiaTheme="minorHAnsi" w:hAnsi="Times New Roman" w:cs="Times New Roman"/>
      <w:sz w:val="20"/>
      <w:szCs w:val="20"/>
      <w:lang w:val="id-ID"/>
    </w:rPr>
  </w:style>
  <w:style w:type="character" w:customStyle="1" w:styleId="TeksKomentarKAR">
    <w:name w:val="Teks Komentar KAR"/>
    <w:basedOn w:val="FontParagrafDefault"/>
    <w:link w:val="TeksKomentar"/>
    <w:uiPriority w:val="99"/>
    <w:rsid w:val="00EB58C7"/>
    <w:rPr>
      <w:rFonts w:ascii="Times New Roman" w:eastAsiaTheme="minorHAnsi" w:hAnsi="Times New Roman" w:cs="Times New Roman"/>
      <w:sz w:val="20"/>
      <w:szCs w:val="20"/>
      <w:lang w:val="id-ID"/>
    </w:rPr>
  </w:style>
  <w:style w:type="table" w:styleId="KisiTabel">
    <w:name w:val="Table Grid"/>
    <w:basedOn w:val="TabelNormal"/>
    <w:uiPriority w:val="59"/>
    <w:rsid w:val="00EB58C7"/>
    <w:pPr>
      <w:spacing w:after="0" w:line="240" w:lineRule="auto"/>
    </w:pPr>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Isi">
    <w:name w:val="Body Text"/>
    <w:basedOn w:val="Normal"/>
    <w:link w:val="TeksIsiKAR"/>
    <w:uiPriority w:val="1"/>
    <w:qFormat/>
    <w:rsid w:val="00EB58C7"/>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TeksIsiKAR">
    <w:name w:val="Teks Isi KAR"/>
    <w:basedOn w:val="FontParagrafDefault"/>
    <w:link w:val="TeksIsi"/>
    <w:uiPriority w:val="1"/>
    <w:rsid w:val="00EB58C7"/>
    <w:rPr>
      <w:rFonts w:ascii="Times New Roman" w:eastAsia="Times New Roman" w:hAnsi="Times New Roman" w:cs="Times New Roman"/>
      <w:sz w:val="24"/>
      <w:szCs w:val="24"/>
      <w:lang w:val="id" w:eastAsia="id"/>
    </w:rPr>
  </w:style>
  <w:style w:type="character" w:styleId="ReferensiKomentar">
    <w:name w:val="annotation reference"/>
    <w:basedOn w:val="FontParagrafDefault"/>
    <w:uiPriority w:val="99"/>
    <w:semiHidden/>
    <w:unhideWhenUsed/>
    <w:rsid w:val="001E6D6E"/>
    <w:rPr>
      <w:sz w:val="16"/>
      <w:szCs w:val="16"/>
    </w:rPr>
  </w:style>
  <w:style w:type="paragraph" w:styleId="SubjekKomentar">
    <w:name w:val="annotation subject"/>
    <w:basedOn w:val="TeksKomentar"/>
    <w:next w:val="TeksKomentar"/>
    <w:link w:val="SubjekKomentarKAR"/>
    <w:uiPriority w:val="99"/>
    <w:semiHidden/>
    <w:unhideWhenUsed/>
    <w:rsid w:val="001E6D6E"/>
    <w:pPr>
      <w:spacing w:after="200"/>
    </w:pPr>
    <w:rPr>
      <w:rFonts w:ascii="Calibri" w:eastAsiaTheme="minorEastAsia" w:hAnsi="Calibri" w:cs="Calibri"/>
      <w:b/>
      <w:bCs/>
      <w:lang w:val="en-US"/>
    </w:rPr>
  </w:style>
  <w:style w:type="character" w:customStyle="1" w:styleId="SubjekKomentarKAR">
    <w:name w:val="Subjek Komentar KAR"/>
    <w:basedOn w:val="TeksKomentarKAR"/>
    <w:link w:val="SubjekKomentar"/>
    <w:uiPriority w:val="99"/>
    <w:semiHidden/>
    <w:rsid w:val="001E6D6E"/>
    <w:rPr>
      <w:rFonts w:ascii="Times New Roman" w:eastAsiaTheme="minorEastAsia" w:hAnsi="Times New Roman" w:cs="Times New Roman"/>
      <w:b/>
      <w:bCs/>
      <w:sz w:val="20"/>
      <w:szCs w:val="20"/>
      <w:lang w:val="id-ID"/>
    </w:rPr>
  </w:style>
  <w:style w:type="character" w:styleId="SebutanYangBelumTerselesaikan">
    <w:name w:val="Unresolved Mention"/>
    <w:basedOn w:val="FontParagrafDefault"/>
    <w:uiPriority w:val="99"/>
    <w:semiHidden/>
    <w:unhideWhenUsed/>
    <w:rsid w:val="00E90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11195">
      <w:bodyDiv w:val="1"/>
      <w:marLeft w:val="0"/>
      <w:marRight w:val="0"/>
      <w:marTop w:val="0"/>
      <w:marBottom w:val="0"/>
      <w:divBdr>
        <w:top w:val="none" w:sz="0" w:space="0" w:color="auto"/>
        <w:left w:val="none" w:sz="0" w:space="0" w:color="auto"/>
        <w:bottom w:val="none" w:sz="0" w:space="0" w:color="auto"/>
        <w:right w:val="none" w:sz="0" w:space="0" w:color="auto"/>
      </w:divBdr>
    </w:div>
    <w:div w:id="1679041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nkjePruw-OnseETVEhbqICkidDbnvb31/ed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niforwaty@pkr.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62B570F6-7890-4313-BF4C-540F0C238FA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10016</Words>
  <Characters>57092</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ira@pkr.ac.id</cp:lastModifiedBy>
  <cp:revision>2</cp:revision>
  <dcterms:created xsi:type="dcterms:W3CDTF">2023-05-05T14:30:00Z</dcterms:created>
  <dcterms:modified xsi:type="dcterms:W3CDTF">2023-05-05T14:30:00Z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76d2a645-8fb2-3ae6-b4af-d2a6961889f4</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http://www.zotero.org/styles/la-trobe-university-apa</vt:lpwstr>
  </property>
  <property fmtid="{D5CDD505-2E9C-101B-9397-08002B2CF9AE}" pid="18" name="Mendeley Recent Style Name 6_1">
    <vt:lpwstr>La Trobe University - APA 6th edition</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http://www.zotero.org/styles/university-of-gothenburg-apa-swedish-legislations</vt:lpwstr>
  </property>
  <property fmtid="{D5CDD505-2E9C-101B-9397-08002B2CF9AE}" pid="24" name="Mendeley Recent Style Name 9_1">
    <vt:lpwstr>University of Gothenburg - APA 6th edition (Swedish legislations)</vt:lpwstr>
  </property>
</Properties>
</file>