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579BB536" w:rsidR="00006CEA" w:rsidRPr="00C94263" w:rsidRDefault="00DB4A46" w:rsidP="008B3945">
      <w:pPr>
        <w:pStyle w:val="Title"/>
        <w:spacing w:before="240" w:after="240" w:line="240" w:lineRule="auto"/>
        <w:jc w:val="center"/>
        <w:rPr>
          <w:rFonts w:ascii="Tw Cen MT" w:eastAsia="Twentieth Century" w:hAnsi="Tw Cen MT" w:cs="Twentieth Century"/>
          <w:sz w:val="32"/>
          <w:szCs w:val="32"/>
        </w:rPr>
      </w:pPr>
      <w:r w:rsidRPr="008B6F4B">
        <w:rPr>
          <w:rFonts w:ascii="Tw Cen MT" w:eastAsia="Twentieth Century" w:hAnsi="Tw Cen MT" w:cs="Twentieth Century"/>
          <w:sz w:val="32"/>
          <w:szCs w:val="32"/>
        </w:rPr>
        <w:t>The Influence of Therapeutic Group Therapy (TKT), Health Education and Thought Stoping (TS) on the Anxiety Level of Children’s Anxiety Levels at Menarche</w:t>
      </w:r>
    </w:p>
    <w:p w14:paraId="2E7DDF99" w14:textId="6C652B40" w:rsidR="007F4948" w:rsidRPr="00006CEA" w:rsidRDefault="00DB4A46" w:rsidP="008B3945">
      <w:pPr>
        <w:spacing w:after="0" w:line="240" w:lineRule="auto"/>
        <w:jc w:val="center"/>
        <w:rPr>
          <w:rFonts w:ascii="Tw Cen MT" w:hAnsi="Tw Cen MT" w:cs="Times New Roman"/>
          <w:b/>
          <w:bCs/>
          <w:iCs/>
          <w:sz w:val="32"/>
          <w:szCs w:val="32"/>
        </w:rPr>
      </w:pPr>
      <w:r w:rsidRPr="008B6F4B">
        <w:rPr>
          <w:rFonts w:ascii="Tw Cen MT" w:eastAsia="Twentieth Century" w:hAnsi="Tw Cen MT" w:cs="Twentieth Century"/>
          <w:b/>
          <w:sz w:val="32"/>
          <w:szCs w:val="32"/>
        </w:rPr>
        <w:t>Pengaruh Terapi Kelompok Terapeutik (TKT), Pendidikan Kesehatan dan Thought Stopping (TS) terhadap Tingkat Kecemasan Anak pada saat Menarche</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874C5D7" w14:textId="77777777" w:rsidR="008B3945" w:rsidRPr="008B3945" w:rsidRDefault="008B3945" w:rsidP="008B3945">
      <w:pPr>
        <w:widowControl w:val="0"/>
        <w:spacing w:after="0" w:line="216" w:lineRule="auto"/>
        <w:ind w:left="7" w:right="-20"/>
        <w:jc w:val="center"/>
        <w:rPr>
          <w:rFonts w:ascii="Tw Cen MT" w:eastAsia="Twentieth Century" w:hAnsi="Tw Cen MT" w:cs="Twentieth Century"/>
          <w:sz w:val="20"/>
          <w:szCs w:val="20"/>
        </w:rPr>
      </w:pPr>
      <w:r w:rsidRPr="008B3945">
        <w:rPr>
          <w:rFonts w:ascii="Tw Cen MT" w:eastAsia="Twentieth Century" w:hAnsi="Tw Cen MT" w:cs="Twentieth Century"/>
          <w:sz w:val="24"/>
          <w:szCs w:val="24"/>
        </w:rPr>
        <w:t>Usraleli</w:t>
      </w:r>
      <w:r w:rsidRPr="008B3945">
        <w:rPr>
          <w:rFonts w:ascii="Tw Cen MT" w:eastAsia="Twentieth Century" w:hAnsi="Tw Cen MT" w:cs="Twentieth Century"/>
          <w:sz w:val="24"/>
          <w:szCs w:val="24"/>
          <w:vertAlign w:val="superscript"/>
        </w:rPr>
        <w:t xml:space="preserve">1, </w:t>
      </w:r>
      <w:r w:rsidRPr="008B3945">
        <w:rPr>
          <w:rFonts w:ascii="Tw Cen MT" w:eastAsia="Twentieth Century" w:hAnsi="Tw Cen MT" w:cs="Twentieth Century"/>
          <w:sz w:val="24"/>
          <w:szCs w:val="24"/>
        </w:rPr>
        <w:t>Erni Forwaty</w:t>
      </w:r>
      <w:r w:rsidRPr="008B3945">
        <w:rPr>
          <w:rFonts w:ascii="Tw Cen MT" w:eastAsia="Twentieth Century" w:hAnsi="Tw Cen MT" w:cs="Twentieth Century"/>
          <w:sz w:val="24"/>
          <w:szCs w:val="24"/>
          <w:vertAlign w:val="superscript"/>
        </w:rPr>
        <w:t>2</w:t>
      </w:r>
      <w:r w:rsidRPr="008B3945">
        <w:rPr>
          <w:rFonts w:ascii="Tw Cen MT" w:eastAsia="Twentieth Century" w:hAnsi="Tw Cen MT" w:cs="Twentieth Century"/>
          <w:sz w:val="24"/>
          <w:szCs w:val="24"/>
        </w:rPr>
        <w:t>, Syafrisar Meri Agritubella</w:t>
      </w:r>
      <w:r w:rsidRPr="008B3945">
        <w:rPr>
          <w:rFonts w:ascii="Tw Cen MT" w:eastAsia="Twentieth Century" w:hAnsi="Tw Cen MT" w:cs="Twentieth Century"/>
          <w:sz w:val="24"/>
          <w:szCs w:val="24"/>
          <w:vertAlign w:val="superscript"/>
        </w:rPr>
        <w:t xml:space="preserve">3 </w:t>
      </w:r>
    </w:p>
    <w:p w14:paraId="02D66C1A" w14:textId="7C73A2D1" w:rsidR="008B3945" w:rsidRPr="008B3945" w:rsidRDefault="008B3945" w:rsidP="008B3945">
      <w:pPr>
        <w:widowControl w:val="0"/>
        <w:spacing w:after="0" w:line="216" w:lineRule="auto"/>
        <w:ind w:left="7" w:right="-20"/>
        <w:jc w:val="center"/>
        <w:rPr>
          <w:rFonts w:ascii="Tw Cen MT" w:eastAsia="Twentieth Century" w:hAnsi="Tw Cen MT" w:cs="Twentieth Century"/>
          <w:sz w:val="20"/>
          <w:szCs w:val="20"/>
          <w:vertAlign w:val="superscript"/>
        </w:rPr>
      </w:pPr>
      <w:r w:rsidRPr="008B3945">
        <w:rPr>
          <w:rFonts w:ascii="Tw Cen MT" w:eastAsia="Twentieth Century" w:hAnsi="Tw Cen MT" w:cs="Twentieth Century"/>
          <w:sz w:val="20"/>
          <w:szCs w:val="20"/>
        </w:rPr>
        <w:t>Poltekkes Kemenkes Riau</w:t>
      </w:r>
      <w:r>
        <w:rPr>
          <w:rFonts w:ascii="Tw Cen MT" w:eastAsia="Twentieth Century" w:hAnsi="Tw Cen MT" w:cs="Twentieth Century"/>
          <w:sz w:val="20"/>
          <w:szCs w:val="20"/>
          <w:vertAlign w:val="superscript"/>
        </w:rPr>
        <w:t>1,2,3</w:t>
      </w:r>
    </w:p>
    <w:p w14:paraId="23FA8100" w14:textId="76FDCE40" w:rsidR="007F4948" w:rsidRPr="008B3945" w:rsidRDefault="008B3945" w:rsidP="008B3945">
      <w:pPr>
        <w:widowControl w:val="0"/>
        <w:spacing w:after="0" w:line="218" w:lineRule="auto"/>
        <w:ind w:right="-20"/>
        <w:jc w:val="center"/>
        <w:rPr>
          <w:rFonts w:ascii="Tw Cen MT" w:eastAsia="Twentieth Century" w:hAnsi="Tw Cen MT" w:cs="Twentieth Century"/>
          <w:sz w:val="20"/>
          <w:szCs w:val="20"/>
        </w:rPr>
      </w:pPr>
      <w:r w:rsidRPr="008B3945">
        <w:rPr>
          <w:rFonts w:ascii="Tw Cen MT" w:eastAsia="Twentieth Century" w:hAnsi="Tw Cen MT" w:cs="Twentieth Century"/>
          <w:sz w:val="20"/>
          <w:szCs w:val="20"/>
        </w:rPr>
        <w:t xml:space="preserve">Email Coresponden </w:t>
      </w:r>
      <w:hyperlink r:id="rId9" w:history="1">
        <w:r w:rsidRPr="008B3945">
          <w:rPr>
            <w:rStyle w:val="Hyperlink"/>
            <w:rFonts w:ascii="Tw Cen MT" w:eastAsia="Twentieth Century" w:hAnsi="Tw Cen MT" w:cs="Twentieth Century"/>
            <w:color w:val="auto"/>
            <w:sz w:val="20"/>
            <w:szCs w:val="20"/>
            <w:u w:val="none"/>
          </w:rPr>
          <w:t>erniforwaty@pkr.ac.id</w:t>
        </w:r>
      </w:hyperlink>
    </w:p>
    <w:p w14:paraId="5C33921F" w14:textId="2062BDBA" w:rsidR="007F4948" w:rsidRPr="008B3945" w:rsidRDefault="0027621D">
      <w:pPr>
        <w:spacing w:after="0"/>
        <w:rPr>
          <w:rFonts w:ascii="Tw Cen MT" w:eastAsia="Twentieth Century" w:hAnsi="Tw Cen MT" w:cs="Twentieth Century"/>
        </w:rPr>
      </w:pPr>
      <w:r w:rsidRPr="008B3945">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2016CF3" w:rsidR="0096335E" w:rsidRPr="00CB43AA"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
                          <w:p w14:paraId="2E3C9739" w14:textId="3BBDAAC0"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p>
                          <w:p w14:paraId="65822EE9" w14:textId="764C66FB"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2016CF3" w:rsidR="0096335E" w:rsidRPr="00CB43AA"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
                    <w:p w14:paraId="2E3C9739" w14:textId="3BBDAAC0"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p>
                    <w:p w14:paraId="65822EE9" w14:textId="764C66FB"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8B3945">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7C6C3B3B"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A46" w:rsidRPr="008B6F4B">
        <w:rPr>
          <w:rFonts w:ascii="Tw Cen MT" w:eastAsia="Twentieth Century" w:hAnsi="Tw Cen MT" w:cs="Twentieth Century"/>
          <w:i/>
          <w:sz w:val="20"/>
          <w:szCs w:val="20"/>
        </w:rPr>
        <w:t>Menarche is a new period of a child’s life as a sign of the start of the maturity stage. Children can experience emotional changes in the form of anxiety caused by bullying behavior when menstrual blood gets on clothes so that children feel embarrassed. This study aims to see the effect of Therapeutic Group Therapy (TKT) Health Education, Thought Stopping (TS) on the anxiety level of school-age children in facing menarche. This research is a quasy experiment with the Pre-Post Test Approach. The number of samples in this study were 50 grade 4 students at SDN 176 Pekanbaru. Bivariate analysis using Wilcoxon Test. The results showed that most of the respondents were at the age of 11 years (64%), the pre-test anxiety level was in the Moderate category of 20 students (40%), the post-test anxiety level was in the mild category of 36 students (72%). The results of the Bivariate Analysis obtained a Z value at the anxiety level of -3.5 with a P-value of 0.000. This shows that TKT, Health Education, and TS can overcome anxiety about menarche. The conclusion is that there is a decrease in the level of anxiety in facing menarche after the TKT, Health Education and TS actions</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327FEA09" w:rsidR="007F4948" w:rsidRPr="00006CEA" w:rsidRDefault="00DB4A46" w:rsidP="00006CEA">
      <w:pPr>
        <w:tabs>
          <w:tab w:val="left" w:pos="426"/>
        </w:tabs>
        <w:spacing w:after="0" w:line="360" w:lineRule="auto"/>
        <w:ind w:left="3150"/>
        <w:jc w:val="both"/>
        <w:rPr>
          <w:rFonts w:ascii="Tw Cen MT" w:eastAsia="Twentieth Century" w:hAnsi="Tw Cen MT" w:cs="Twentieth Century"/>
          <w:i/>
          <w:sz w:val="20"/>
          <w:szCs w:val="20"/>
        </w:rPr>
      </w:pPr>
      <w:r w:rsidRPr="008B6F4B">
        <w:rPr>
          <w:rFonts w:ascii="Tw Cen MT" w:eastAsia="Twentieth Century" w:hAnsi="Tw Cen MT" w:cs="Twentieth Century"/>
          <w:i/>
          <w:sz w:val="20"/>
          <w:szCs w:val="20"/>
        </w:rPr>
        <w:t>Therapeutic Group Therapy (TGT)</w:t>
      </w:r>
      <w:r>
        <w:rPr>
          <w:rFonts w:ascii="Tw Cen MT" w:eastAsia="Twentieth Century" w:hAnsi="Tw Cen MT" w:cs="Twentieth Century"/>
          <w:i/>
          <w:sz w:val="20"/>
          <w:szCs w:val="20"/>
        </w:rPr>
        <w:t>;</w:t>
      </w:r>
      <w:r w:rsidRPr="008B6F4B">
        <w:rPr>
          <w:rFonts w:ascii="Tw Cen MT" w:eastAsia="Twentieth Century" w:hAnsi="Tw Cen MT" w:cs="Twentieth Century"/>
          <w:i/>
          <w:sz w:val="20"/>
          <w:szCs w:val="20"/>
        </w:rPr>
        <w:t xml:space="preserve"> Health Education</w:t>
      </w:r>
      <w:r>
        <w:rPr>
          <w:rFonts w:ascii="Tw Cen MT" w:eastAsia="Twentieth Century" w:hAnsi="Tw Cen MT" w:cs="Twentieth Century"/>
          <w:i/>
          <w:sz w:val="20"/>
          <w:szCs w:val="20"/>
        </w:rPr>
        <w:t>;</w:t>
      </w:r>
      <w:r w:rsidRPr="008B6F4B">
        <w:rPr>
          <w:rFonts w:ascii="Tw Cen MT" w:eastAsia="Twentieth Century" w:hAnsi="Tw Cen MT" w:cs="Twentieth Century"/>
          <w:i/>
          <w:sz w:val="20"/>
          <w:szCs w:val="20"/>
        </w:rPr>
        <w:t xml:space="preserve"> Thought Stopping (TS)</w:t>
      </w:r>
    </w:p>
    <w:p w14:paraId="49F6A6E1" w14:textId="77777777" w:rsidR="007F4948" w:rsidRPr="0096335E" w:rsidRDefault="0086728C" w:rsidP="00FE5686">
      <w:pPr>
        <w:tabs>
          <w:tab w:val="left" w:pos="426"/>
        </w:tabs>
        <w:spacing w:before="120" w:after="0"/>
        <w:ind w:left="3153"/>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2AFF5BEB" w:rsidR="007F4948" w:rsidRPr="0096335E" w:rsidRDefault="00DB4A46" w:rsidP="00314849">
      <w:pPr>
        <w:tabs>
          <w:tab w:val="left" w:pos="426"/>
        </w:tabs>
        <w:spacing w:after="0" w:line="240" w:lineRule="auto"/>
        <w:ind w:left="3150"/>
        <w:jc w:val="both"/>
        <w:rPr>
          <w:rFonts w:ascii="Tw Cen MT" w:eastAsia="Twentieth Century" w:hAnsi="Tw Cen MT" w:cs="Twentieth Century"/>
          <w:iCs/>
          <w:sz w:val="20"/>
          <w:szCs w:val="20"/>
        </w:rPr>
      </w:pPr>
      <w:r w:rsidRPr="008B6F4B">
        <w:rPr>
          <w:rFonts w:ascii="Tw Cen MT" w:hAnsi="Tw Cen MT"/>
          <w:sz w:val="20"/>
          <w:szCs w:val="20"/>
        </w:rPr>
        <w:t xml:space="preserve">Menarche merupakan periode baru kehidupan seorang anak sebagai pertanda mulainya tahap kedewasaan. Anak dapat mengalami perubahan emosional berupa kecemasan yang diakibatkan perilaku </w:t>
      </w:r>
      <w:r w:rsidRPr="00E64B9F">
        <w:rPr>
          <w:rFonts w:ascii="Tw Cen MT" w:hAnsi="Tw Cen MT"/>
          <w:i/>
          <w:sz w:val="20"/>
          <w:szCs w:val="20"/>
        </w:rPr>
        <w:t>bullyng</w:t>
      </w:r>
      <w:r w:rsidRPr="008B6F4B">
        <w:rPr>
          <w:rFonts w:ascii="Tw Cen MT" w:hAnsi="Tw Cen MT"/>
          <w:sz w:val="20"/>
          <w:szCs w:val="20"/>
        </w:rPr>
        <w:t xml:space="preserve"> saat darah haid mengenai pakaian sehingga anak merasa malu. Penelitian ini bertujuan untuk melihat pengaruh Terapi Kelompok Terapeutik (TKT), Pendidikan Kesehatan, Thought Stopping (TS) terhadap tingkat kecemasan anak usia sekolah dalam menghadapi menarche. </w:t>
      </w:r>
      <w:commentRangeStart w:id="0"/>
      <w:r w:rsidRPr="008B6F4B">
        <w:rPr>
          <w:rFonts w:ascii="Tw Cen MT" w:hAnsi="Tw Cen MT"/>
          <w:sz w:val="20"/>
          <w:szCs w:val="20"/>
        </w:rPr>
        <w:t>Penelitian</w:t>
      </w:r>
      <w:commentRangeEnd w:id="0"/>
      <w:r w:rsidR="00DD1724">
        <w:rPr>
          <w:rStyle w:val="CommentReference"/>
        </w:rPr>
        <w:commentReference w:id="0"/>
      </w:r>
      <w:r w:rsidRPr="008B6F4B">
        <w:rPr>
          <w:rFonts w:ascii="Tw Cen MT" w:hAnsi="Tw Cen MT"/>
          <w:sz w:val="20"/>
          <w:szCs w:val="20"/>
        </w:rPr>
        <w:t xml:space="preserve"> ini merupakan quasy eksperimen dengan pendekatan Pre dan Post Test. Jumlah </w:t>
      </w:r>
      <w:r w:rsidRPr="00E64B9F">
        <w:rPr>
          <w:rFonts w:ascii="Tw Cen MT" w:hAnsi="Tw Cen MT"/>
          <w:i/>
          <w:sz w:val="20"/>
          <w:szCs w:val="20"/>
        </w:rPr>
        <w:t>sample</w:t>
      </w:r>
      <w:r w:rsidRPr="008B6F4B">
        <w:rPr>
          <w:rFonts w:ascii="Tw Cen MT" w:hAnsi="Tw Cen MT"/>
          <w:sz w:val="20"/>
          <w:szCs w:val="20"/>
        </w:rPr>
        <w:t xml:space="preserve"> dalam penelitian ini adalah 50 siswi kelas 4 di SDN 176 Pekanbaru. Analisis Bivariat menggunakan Uji Wilcoxon. Hasil didapatkan bahwa sebagian besar responden berada pada usia 11 tahun (64%), Tingkat Kecemasan Pre-test berada pada kategori Sedang sebanyak 20 siswi (40%), Tingkan Kecemasan Post-test berada pada kategori Ringan sebanyak 36 siswa (72%). Hasil Analisis Bivariat didapatkan nilai Z pada tingkat kecemasan sebesar -3,5 dengan P-value 0,000. Hal ini menunjukkan bahwa TKT, Pendidikan Kesehatan, dan TS dapat mengatasi kecemasan menghadapi menarche. Kesimpulan terdapat penurunan tingkat kecemasan dalam menghadapi menarche setelah tindakan TKT, Pendidikan Kesehatan dan TS</w:t>
      </w:r>
      <w:r w:rsidR="00997349" w:rsidRPr="0096335E">
        <w:rPr>
          <w:rFonts w:ascii="Tw Cen MT" w:eastAsia="Twentieth Century" w:hAnsi="Tw Cen MT" w:cs="Twentieth Century"/>
          <w:iCs/>
          <w:color w:val="000000"/>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2E12022" w:rsidR="00314849" w:rsidRPr="00DB4A46" w:rsidRDefault="00DB4A46" w:rsidP="00DB4A46">
      <w:pPr>
        <w:ind w:left="3150"/>
        <w:rPr>
          <w:rFonts w:ascii="Tw Cen MT" w:hAnsi="Tw Cen MT"/>
          <w:sz w:val="20"/>
          <w:szCs w:val="20"/>
        </w:rPr>
      </w:pPr>
      <w:r w:rsidRPr="008B6F4B">
        <w:rPr>
          <w:rFonts w:ascii="Tw Cen MT" w:hAnsi="Tw Cen MT"/>
          <w:sz w:val="20"/>
          <w:szCs w:val="20"/>
        </w:rPr>
        <w:lastRenderedPageBreak/>
        <w:t>Terapi Kelompok Terapeutik (TKT)</w:t>
      </w:r>
      <w:r>
        <w:rPr>
          <w:rFonts w:ascii="Tw Cen MT" w:hAnsi="Tw Cen MT"/>
          <w:sz w:val="20"/>
          <w:szCs w:val="20"/>
        </w:rPr>
        <w:t>;</w:t>
      </w:r>
      <w:r w:rsidRPr="008B6F4B">
        <w:rPr>
          <w:rFonts w:ascii="Tw Cen MT" w:hAnsi="Tw Cen MT"/>
          <w:sz w:val="20"/>
          <w:szCs w:val="20"/>
        </w:rPr>
        <w:t xml:space="preserve"> Pendidikan Kesehatan</w:t>
      </w:r>
      <w:r>
        <w:rPr>
          <w:rFonts w:ascii="Tw Cen MT" w:hAnsi="Tw Cen MT"/>
          <w:sz w:val="20"/>
          <w:szCs w:val="20"/>
        </w:rPr>
        <w:t xml:space="preserve">; </w:t>
      </w:r>
      <w:r w:rsidRPr="008B6F4B">
        <w:rPr>
          <w:rFonts w:ascii="Tw Cen MT" w:hAnsi="Tw Cen MT"/>
          <w:sz w:val="20"/>
          <w:szCs w:val="20"/>
        </w:rPr>
        <w:t>Thought Stopping (TS)</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0C2F19">
          <w:headerReference w:type="default" r:id="rId15"/>
          <w:footerReference w:type="default" r:id="rId16"/>
          <w:pgSz w:w="12240" w:h="15840"/>
          <w:pgMar w:top="1440" w:right="1440" w:bottom="1440" w:left="1440" w:header="720" w:footer="578" w:gutter="0"/>
          <w:pgNumType w:start="34"/>
          <w:cols w:space="720"/>
        </w:sectPr>
      </w:pPr>
    </w:p>
    <w:p w14:paraId="12468592" w14:textId="420DB32D"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5D19443" w14:textId="77777777" w:rsidR="00DB4A46" w:rsidRDefault="00DB4A46" w:rsidP="00DB4A46">
      <w:pPr>
        <w:pStyle w:val="CommentText"/>
        <w:spacing w:after="0"/>
        <w:jc w:val="both"/>
        <w:rPr>
          <w:rFonts w:ascii="Tw Cen MT" w:hAnsi="Tw Cen MT"/>
          <w:sz w:val="24"/>
          <w:szCs w:val="24"/>
        </w:rPr>
      </w:pPr>
      <w:r w:rsidRPr="00E64B9F">
        <w:rPr>
          <w:rFonts w:ascii="Tw Cen MT" w:hAnsi="Tw Cen MT"/>
          <w:sz w:val="24"/>
          <w:szCs w:val="24"/>
        </w:rPr>
        <w:t xml:space="preserve">Menarche merupakan haid atau menstruasi pertama seorang anak perempuan yang biasanya terjadi pada usia 10 – 19 tahun. Rata – rata usia menarche adalah 12,96 tahun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{"citationItems":[{"id":"ITEM-1","itemData":{"DOI":"10.22435/kespro.v10i2.2568","ISSN":"2087-703X","abstract":"Abstract\r Background: A  downward  trend  in  age  at  menarche (AAM) has been  leveling-off in industrialized countries. However, downward trends were still observed in developing countries.\r Objective: The aim  was to verify secular trend of AAM among Indonesian women and its associated factors.\r Methods: Data used were from Baseline Health Research (Riskesdas) 2010, a cross-sectional nationwide survey. Samples included were 79,026 women aged 10-59 years. History of menarche, socio-demographic variables, weight, height were taken. Descriptive and bivariate analysis were applied to measure proportion, central tendency measures.\r Results: Among adolescent 10-19years, overall proportion of menarche was 78.6%, ranging from 42.8%, 96.2%, 99.6% at age 12, 15, 18 years respectively. The overall mean AAM was 12.96 years. AAM was significantly younger in urban than rural areas. BMI was significantly lower among adolescense not experienced menarche yet than experienced menarche. AAM was younger in urban areas, higher socio-economic status, and varied among seven regions. \r Conclusions: Nutritional status was a significant factor associated with AAM. A downward trend in AAM was observed in Indonesian women.\r Key words: menarche, secular trend, body mass index, Indonesian woman\r Abstrak\r Latar belakang: Tren penurunan usia pada menarche telah meningkat di negara-negara industri. Namun, tren penurunan masih diamati di negara-negara berkembang.\r Tujuan: untuk memverifikasi tren sekuler usia menarche di kalangan perempuan Indonesia dan faktor-faktor terkaitnya.\r Metode: Data yang digunakan berasal dari Riskesdas 2010, survei nasional dengan desain cross-sectional. Sampel yang dianalisis adalah 79.026 perempuan berumur 10-59 tahun. Variabel yang dikumpulkan meliputi: riwayat menarche, sosio-demografis, berat badan, tinggi badan. Analisis deskriptif dan bivariat digunakan untuk mengukur proporsi, ukuran kecenderungan sentral.\r Hasil: Di antara remaja 10-19 tahun, proporsi keseluruhan menarche adalah 78,6 persen, mulai dari 42,8 persen, 96,2 persen, 99,6 persen pada masing-masing umur 12, 15, dan 18 tahun. Rata-rata keseluruhan usia menarche adalah 12,96 tahun. Usia menarche secara signifikan lebih muda di daerah perkotaan daripada pedesaan. IMT secara signifikan lebih rendah di antara remaja yang belum mengalami menarche dibandingkan dengan remaja yang sudah mengalami menarche. Usia menarche lebih muda di daerah perkotaan, status sosial ekonomi yang lebih tinggi, dan …","author":[{"dropping-particle":"","family":"Sudikno","given":"Sudikno","non-dropping-particle":"","parse-names":false,"suffix":""},{"dropping-particle":"","family":"Sandjaja","given":"Sandjaja","non-dropping-particle":"","parse-names":false,"suffix":""}],"container-title":"Jurnal Kesehatan Reproduksi","id":"ITEM-1","issue":"2","issued":{"date-parts":[["2020"]]},"page":"163-171","title":"Usia Menarche Perempuan Indonesia Semakin Muda: Hasil Analisis Riskesdas 2010","type":"article-journal","volume":"10"},"uris":["http://www.mendeley.com/documents/?uuid=9ebff299-d2e2-45bb-8b30-eb53f826165d","http://www.mendeley.com/documents/?uuid=58c98a6d-2633-4071-be0d-a63415293bd0"]}],"mendeley":{"formattedCitation":"[1]","plainTextFormattedCitation":"[1]","previouslyFormattedCitation":"[1]"},"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[1]</w:t>
      </w:r>
      <w:r w:rsidRPr="00E64B9F">
        <w:rPr>
          <w:rFonts w:ascii="Tw Cen MT" w:hAnsi="Tw Cen MT"/>
          <w:sz w:val="24"/>
          <w:szCs w:val="24"/>
        </w:rPr>
        <w:fldChar w:fldCharType="end"/>
      </w:r>
      <w:r w:rsidRPr="00E64B9F">
        <w:rPr>
          <w:rFonts w:ascii="Tw Cen MT" w:hAnsi="Tw Cen MT"/>
          <w:sz w:val="24"/>
          <w:szCs w:val="24"/>
        </w:rPr>
        <w:t xml:space="preserve">. Di India usia menarche pada remaja putri berkisar 12,5 (±1,42) tahun, di Jerman berkisar 15 tahun, dan di Australia berkisar 14-15 tahun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{"citationItems":[{"id":"ITEM-1","itemData":{"DOI":"https://doi.org/10.1016/j.cegh.2021.100758","ISSN":"2213-3984","abstract":"Background\nA declining trend of menarcheal age is noted in many developing and developed countries since last century. There is a reduction in the age of menarche by nearly one month per decade suggesting a secular decline in age of menarche among Indian women.\nAim\nTo find out the mean age of menarche in the adolescent girls and their mothers and to know the factors associated with the change in the mean age of menarche.\nMethodology\nA comparative cross-sectional study was conducted in SRM field practice area, Mamandur involving100 adolescent girls and their mothers using a semistructured questionnaire. Descriptive statistics and chi square analysis, univariate and multivariate analysis were used to analyse the data. A value of p &lt; 0.05 is considered significant.\nResults\nThe mean age of menarche in adolescent girls is 12.5 (±1.42) years and their mother is 14 (±1.10) years. The study revealed that in menstrual history, age of menarche, regularity, menstrual flow and habitual and lifestyle factors like outside food consumption, sedentary/active lifestyle, sleep, dietary habits, polycystic ovary syndrome (PCOS) showed significant difference between adolescent girls and their mother. In univariate analysis outside food consumption, sedentary lifestyle and hours of activity were found significant. In multivariate analysis sedentary lifestyle was only found to be significant for early menarche.\nConclusion\nA decline in the mean age of menarche was found among adolescent girls compared to their mothers. The adolescent girls attained menarche early compared to their mothers and this difference was attributed to sedentary lifestyle.","author":[{"dropping-particle":"","family":"Ramraj","given":"Balaji","non-dropping-particle":"","parse-names":false,"suffix":""},{"dropping-particle":"","family":"Subramanian","given":"V Meenakshi","non-dropping-particle":"","parse-names":false,"suffix":""},{"dropping-particle":"","family":"G","given":"Vijayakrishnan","non-dropping-particle":"","parse-names":false,"suffix":""}],"container-title":"Clinical Epidemiology and Global Health","id":"ITEM-1","issued":{"date-parts":[["2021"]]},"page":"100758","title":"Study on age of menarche between generations and the factors associated with it","type":"article-journal","volume":"11"},"uris":["http://www.mendeley.com/documents/?uuid=7572decb-c50a-4ff5-a072-d5a326afe083","http://www.mendeley.com/documents/?uuid=f2ad20fa-de44-411c-b246-ec013be95805"]},{"id":"ITEM-2","itemData":{"DOI":"https://doi.org/10.1016/j.ijheh.2021.113917","ISSN":"1438-4639","abstract":"Background\nA large multicentre European study reported later onset of menopause among women residing in greener areas. This influence on the timing of a reproductive event like menopause, raises the question whether similar associations can be observed with timing of menarche. We investigated whether exposure to residential green space was related to the age at menarche in German and Australian adolescent girls.\nMethods\nThe analytic samples comprised of 1706 German and 1474 Australian adolescent girls. Percentage of green space was calculated in 1000 m buffers around a residential address or its surrogate at the previous follow-up. Mixed effects Cox proportional hazard models were used to explore the associations. The survival object was the occurrence of menarche at the time of follow-up (15-year follow-up of the German cohorts and the study wave at 14–15 years in the Australian cohort) and number of years since baseline (10-year follow-up in the German cohort and the study wave at 10–11 years in the Australian cohort). Participants who did not reach menarche were included as censored observations.\nResults\nA greener residence was not associated with the age at menarche. Null findings were consistent in the general population and in analyses stratified by socioeconomic status or urbanicity in both countries. Urban residents were more likely to have earlier menarche, and this association was consistent across Germany and Australia.\nConclusion\nThe results of our analysis do not support the hypothesis that residing in places with more green space can influence timing of menarche. However, given the limitations of our study, researchers should not be discouraged to further explore environmental risk factors of early menarche.","author":[{"dropping-particle":"","family":"Markevych","given":"Iana","non-dropping-particle":"","parse-names":false,"suffix":""},{"dropping-particle":"","family":"Astell-Burt","given":"Thomas","non-dropping-particle":"","parse-names":false,"suffix":""},{"dropping-particle":"","family":"Altug","given":"Hicran","non-dropping-particle":"","parse-names":false,"suffix":""},{"dropping-particle":"","family":"Triebner","given":"Kai","non-dropping-particle":"","parse-names":false,"suffix":""},{"dropping-particle":"","family":"Standl","given":"Marie","non-dropping-particle":"","parse-names":false,"suffix":""},{"dropping-particle":"","family":"Flexeder","given":"Claudia","non-dropping-particle":"","parse-names":false,"suffix":""},{"dropping-particle":"","family":"Heinrich","given":"Joachim","non-dropping-particle":"","parse-names":false,"suffix":""},{"dropping-particle":"","family":"Schikowski","given":"Tamara","non-dropping-particle":"","parse-names":false,"suffix":""},{"dropping-particle":"","family":"Koletzko","given":"Sibylle","non-dropping-particle":"","parse-names":false,"suffix":""},{"dropping-particle":"","family":"Herberth","given":"Gunda","non-dropping-particle":"","parse-names":false,"suffix":""},{"dropping-particle":"","family":"Bauer","given":"Carl-Peter","non-dropping-particle":"","parse-names":false,"suffix":""},{"dropping-particle":"","family":"Berg","given":"Andrea","non-dropping-particle":"von","parse-names":false,"suffix":""},{"dropping-particle":"","family":"Berdel","given":"Dietrich","non-dropping-particle":"","parse-names":false,"suffix":""},{"dropping-particle":"","family":"Feng","given":"Xiaoqi","non-dropping-particle":"","parse-names":false,"suffix":""}],"container-title":"International Journal of Hygiene and Environmental Health","id":"ITEM-2","issued":{"date-parts":[["2022"]]},"page":"113917","title":"Residential green space and age at menarche in German and Australian adolescent girls: A longitudinal study","type":"article-journal","volume":"240"},"uris":["http://www.mendeley.com/documents/?uuid=ee8fd123-3bef-4fb8-a778-6c03d3920819","http://www.mendeley.com/documents/?uuid=e14f899b-a37f-4d0c-b12e-4a8b92087a3e"]}],"mendeley":{"formattedCitation":"[2], [3]","plainTextFormattedCitation":"[2], [3]","previouslyFormattedCitation":"[2], [3]"},"properties":{"noteIndex":0},"schema":"https://github.com/citation-style-language/schema/raw/master/csl-citation.json"}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[2], [3]</w:t>
      </w:r>
      <w:r w:rsidRPr="00E64B9F">
        <w:rPr>
          <w:rFonts w:ascii="Tw Cen MT" w:hAnsi="Tw Cen MT"/>
          <w:sz w:val="24"/>
          <w:szCs w:val="24"/>
        </w:rPr>
        <w:fldChar w:fldCharType="end"/>
      </w:r>
      <w:r w:rsidRPr="00E64B9F">
        <w:rPr>
          <w:rFonts w:ascii="Tw Cen MT" w:hAnsi="Tw Cen MT"/>
          <w:sz w:val="24"/>
          <w:szCs w:val="24"/>
        </w:rPr>
        <w:t>. Usia menarche yang relative dini berkaitan dengan kondisi psikopatologis pada remaja putri seperti gangguan kecemasan, gangguan perilaku, gangguan makan, depresi dan tempramen</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{"citationItems":[{"id":"ITEM-1","itemData":{"DOI":"https://doi.org/10.1016/j.eurpsy.2016.08.001","ISSN":"0924-9338","abstract":"Background\nMenarche age has been associated inconsistently with the occurrence, timing or severity of major depressive disorder (MDD), but rarely studied in women with bipolar (BDs) or anxiety disorders.\nMethods\nWe investigated women patients at a Sardinian mood disorder center for associations of age at menarche with age at illness onset for major affective or anxiety disorders, year of birth, and other selected factors, using bivariate comparisons and multivariate regression modeling.\nResults\nAmong women (n=1139) with DSM-IV MDD (n=557), BD-I (n=223), BD-II (n=178), or anxiety disorders (n=181), born in 1904–1998, of mean age 42.9 years, menarche age averaged 12.8 [CI: 12.7–12.9] years. Illness onset age averaged 30.9 [30.1–31.8] years, ranking: BD-I, 25.8; anxiety disorders, 28.0; BD-II, 30.3; MDD, 34.1 years. Menarche age declined secularly over birth years, and was associated with younger illness-onset, having no or fewer siblings, more psychiatrically ill first-degree relatives, living in rural environments, being suicidal, substance abuse, and being unemployed. Earlier menarche and earlier illness-onset were significantly associated for onset age groups of ≤ 20, 20–39, and &gt; 40 years. Menarche age versus diagnosis ranked: BD-II&lt;BD-I&lt;anxiety disorders&lt;MDD.\nConclusions\nAge at menarche in Sardinia, as elsewhere, has declined over the past decades. It was strongly associated with age at onset of bipolar and anxiety, as well as major depressive disorders across the age range, suggesting sustained effects of biological maturational factors.","author":[{"dropping-particle":"","family":"Tondo","given":"L","non-dropping-particle":"","parse-names":false,"suffix":""},{"dropping-particle":"","family":"Pinna","given":"M","non-dropping-particle":"","parse-names":false,"suffix":""},{"dropping-particle":"","family":"Serra","given":"G","non-dropping-particle":"","parse-names":false,"suffix":""},{"dropping-particle":"","family":"Chiara","given":"L","non-dropping-particle":"De","parse-names":false,"suffix":""},{"dropping-particle":"","family":"Baldessarini","given":"R J","non-dropping-particle":"","parse-names":false,"suffix":""}],"container-title":"European Psychiatry","id":"ITEM-1","issued":{"date-parts":[["2017"]]},"page":"80-85","title":"Age at menarche predicts age at onset of major affective and anxiety disorders","type":"article-journal","volume":"39"},"uris":["http://www.mendeley.com/documents/?uuid=9adcc8b2-d7c2-4033-83c9-7db7ac948ce1","http://www.mendeley.com/documents/?uuid=18afb826-f33a-4d6a-abed-6d77ff5a197b"]}],"mendeley":{"formattedCitation":"[4]","plainTextFormattedCitation":"[4]","previouslyFormattedCitation":"[4]"},"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[4]</w:t>
      </w:r>
      <w:r w:rsidRPr="00E64B9F">
        <w:rPr>
          <w:rFonts w:ascii="Tw Cen MT" w:hAnsi="Tw Cen MT"/>
          <w:sz w:val="24"/>
          <w:szCs w:val="24"/>
        </w:rPr>
        <w:fldChar w:fldCharType="end"/>
      </w:r>
      <w:r w:rsidRPr="00E64B9F">
        <w:rPr>
          <w:rFonts w:ascii="Tw Cen MT" w:hAnsi="Tw Cen MT"/>
          <w:sz w:val="24"/>
          <w:szCs w:val="24"/>
        </w:rPr>
        <w:t xml:space="preserve">. </w:t>
      </w:r>
    </w:p>
    <w:p w14:paraId="34B5EDAF" w14:textId="543185C9" w:rsidR="00DB4A46" w:rsidRPr="00E64B9F" w:rsidRDefault="00DB4A46" w:rsidP="00DB4A46">
      <w:pPr>
        <w:pStyle w:val="CommentText"/>
        <w:spacing w:after="0"/>
        <w:jc w:val="both"/>
        <w:rPr>
          <w:rFonts w:ascii="Tw Cen MT" w:hAnsi="Tw Cen MT"/>
          <w:sz w:val="24"/>
          <w:szCs w:val="24"/>
        </w:rPr>
      </w:pPr>
      <w:r w:rsidRPr="00E64B9F">
        <w:rPr>
          <w:rFonts w:ascii="Tw Cen MT" w:hAnsi="Tw Cen MT"/>
          <w:sz w:val="24"/>
          <w:szCs w:val="24"/>
        </w:rPr>
        <w:t xml:space="preserve">Menstruasi merupakan proses fisiologis dan alami yang memerlukan penanganan yang tepat terutama pada remaja yang baru mengalaminya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{"citationItems":[{"id":"ITEM-1","itemData":{"DOI":"https://doi.org/10.1016/j.heliyon.2020.e04018","ISSN":"2405-8440","abstract":"Background\nMenstruation has a variable pattern. Knowledge of age at menarche and providing accurate information to adolescent girls is necessary to allay anxiety, treat menstrual morbidities, and improve their quality of life.\nObjective\nTo determine the age at menarche and menstrual characteristics of adolescent secondary school girls in Abakaliki.\nMaterials and methods\nA cross-sectional descriptive study was conducted in seven secondary schools in Abakaliki among 960 female students. A total of 450 girls were randomly selected for the study. A pretested self-administered questionnaire was used in data collection. Four hundred questionnaires were properly filled and used for the final analysis.\nResults\nThe age range of the students was between 10 - 21years. The mean age of the respondents was 16.2 ± 1.7years. The average age at menarche was 13 ± 1.0 years. Urban dwellers had menarche 0.2years earlier than rural dwellers. There is an association between menarche and social class (X [2] 372.9 (2), p = 0.001). About 87.75% of the respondents had an average cycle length. Most (88.3%) of the respondents had a menstrual flow duration of 3–5 days. Dysmenorrhoea was present in 82% of respondents and was severe enough to cause absence from school in 56.5% of students. Oligomenorrhea and menorrhagia occurred in 8.5 % and 6.25 % of the student studied. Mothers (80.0%), friends (75.0%) and teachers (74.5%) accounted for the bulk of the information on menstrual health.\nConclusion\nThe average age at menarche was 13 ± 1.0 years. Dysmenorrhea is a major cause of morbidity amongst this age group and should be empathically addressed. It is therefore important that the students, their parents, and school managers in the study area be educated on the issues of menstrual problems that can occur in an adolescent.","author":[{"dropping-particle":"","family":"Anikwe","given":"Chidebe C","non-dropping-particle":"","parse-names":false,"suffix":""},{"dropping-particle":"","family":"Mamah","given":"Johnbosco E","non-dropping-particle":"","parse-names":false,"suffix":""},{"dropping-particle":"","family":"Okorochukwu","given":"Bartholomew C","non-dropping-particle":"","parse-names":false,"suffix":""},{"dropping-particle":"","family":"Nnadozie","given":"Ugochukwu U","non-dropping-particle":"","parse-names":false,"suffix":""},{"dropping-particle":"","family":"Obarezi","given":"Chukwuemeka H","non-dropping-particle":"","parse-names":false,"suffix":""},{"dropping-particle":"","family":"Ekwedigwe","given":"Kenneth C","non-dropping-particle":"","parse-names":false,"suffix":""}],"container-title":"Heliyon","id":"ITEM-1","issue":"5","issued":{"date-parts":[["2020"]]},"page":"e04018","title":"Age at menarche, menstrual characteristics, and its associated morbidities among secondary school students in Abakaliki, southeast Nigeria","type":"article-journal","volume":"6"},"uris":["http://www.mendeley.com/documents/?uuid=62bd84e8-03d8-4d9b-81aa-a7d30f2c140e","http://www.mendeley.com/documents/?uuid=3e346df9-f76e-4282-b244-b9fd9e1a0d2e"]}],"mendeley":{"formattedCitation":"[5]","plainTextFormattedCitation":"[5]","previouslyFormattedCitation":"[5]"},"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[5]</w:t>
      </w:r>
      <w:r w:rsidRPr="00E64B9F">
        <w:rPr>
          <w:rFonts w:ascii="Tw Cen MT" w:hAnsi="Tw Cen MT"/>
          <w:sz w:val="24"/>
          <w:szCs w:val="24"/>
        </w:rPr>
        <w:fldChar w:fldCharType="end"/>
      </w:r>
      <w:r w:rsidRPr="00E64B9F">
        <w:rPr>
          <w:rFonts w:ascii="Tw Cen MT" w:hAnsi="Tw Cen MT"/>
          <w:sz w:val="24"/>
          <w:szCs w:val="24"/>
        </w:rPr>
        <w:t>. Hal ini disebabkan karena menstruasi pertama merupakan periode baru dalam kehidupan seseorang dan pertanda mulainya tahap kedewasaan anak menuju pematangan organ seksual. Berbagai perubahan sering terjadi tidak hanya pada fisik saja tetapi juga perubahan psikologis seperti perasaan bingung, gelisah atau cemas, serta tidak nyaman</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{"citationItems":[{"id":"ITEM-1","itemData":{"author":[{"dropping-particle":"","family":"Chairunisa","given":"Tamara Septia","non-dropping-particle":"","parse-names":false,"suffix":""},{"dropping-particle":"","family":"Fujiana","given":"Fitri","non-dropping-particle":"","parse-names":false,"suffix":""},{"dropping-particle":"","family":"Priyono","given":"Djoko","non-dropping-particle":"","parse-names":false,"suffix":""}],"container-title":"Nursing Current","id":"ITEM-1","issue":"1","issued":{"date-parts":[["2022"]]},"page":"32-40","title":"Studi Fenomenologi : Perubahan Setelah Menarche yang Dialami oleh Anak Perempuan Usia Sekolah di Kota Pontianak","type":"article-journal","volume":"10"},"uris":["http://www.mendeley.com/documents/?uuid=42b4a713-188d-4151-b13c-12c20c99660c"]}],"mendeley":{"formattedCitation":"[6]","plainTextFormattedCitation":"[6]","previouslyFormattedCitation":"[6]"},"properties":{"noteIndex":0},"schema":"https://github.com/citation-style-language/schema/raw/master/csl-citation.json"}</w:instrText>
      </w:r>
      <w:r>
        <w:rPr>
          <w:rFonts w:ascii="Tw Cen MT" w:hAnsi="Tw Cen MT"/>
          <w:sz w:val="24"/>
          <w:szCs w:val="24"/>
        </w:rPr>
        <w:fldChar w:fldCharType="separate"/>
      </w:r>
      <w:r w:rsidRPr="00980DAD">
        <w:rPr>
          <w:rFonts w:ascii="Tw Cen MT" w:hAnsi="Tw Cen MT"/>
          <w:noProof/>
          <w:sz w:val="24"/>
          <w:szCs w:val="24"/>
        </w:rPr>
        <w:t>[6]</w:t>
      </w:r>
      <w:r>
        <w:rPr>
          <w:rFonts w:ascii="Tw Cen MT" w:hAnsi="Tw Cen MT"/>
          <w:sz w:val="24"/>
          <w:szCs w:val="24"/>
        </w:rPr>
        <w:fldChar w:fldCharType="end"/>
      </w:r>
      <w:r w:rsidRPr="00E64B9F">
        <w:rPr>
          <w:rFonts w:ascii="Tw Cen MT" w:hAnsi="Tw Cen MT"/>
          <w:sz w:val="24"/>
          <w:szCs w:val="24"/>
        </w:rPr>
        <w:t xml:space="preserve">. Terdapat 31,9% siswi mengalami kecemasan berat saat menghadapi menarche, bahkan 23,3% mengalami gejala panik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{"citationItems":[{"id":"ITEM-1","itemData":{"DOI":"10.32938/jsk.v2i02.628","abstract":"Haid pertama kali diartikan sebagai permulaan menstruasi pada seorang gadis pada masa Pubertas, yang biasanya muncul pada usia 11 sampai 14 tahun. Gejala yang sering menyertai ialah muncul Perasaan bingung, gelisah atau cemas, tidak nyaman selalu menyelimuti, seorang wanita yang mengalami menstruasi pertama kali. Penelitian ini dilakukan untuk mengetahui Gambaran tingkat kecemasan Remaja Putri dalam Menghadapi Haid Pertama Kali (Menarche) pada Siswi Kelas VII SMP Negeri 1 Atambua. Populasi adalah siswa remaja kelas VIIS MP Negeri 1 Atambua, sampel sebanyak 163 responden yang memenuhi kriteria teknik pengambilan dengan purpose  sampling, jenis penelitian kuantitatif dengan metode deskriptif Hasil penelitian didapatkan dari 163 responden sebanyak 26 responden (15,9%) mengalami cemas ringan, dan sebanyak 47 responden (28,8%)  mengalami cemas sedang hal ini kemungkinan dari beberapa sisiwi remaja putri yang mungkin telah terpapar informasi tentang pengetahuan haid pertama kali sehingga ada beberapa anak bisa mengatasi tingkat kecemasannya, dan sebanyak 52 responden (31,9%) mengalami cemas berat, dan 38 responden (23,3%) mengalami panik. hal ini berarti sebagian besar responden belum mengerti tentang perubahan didalam dirinya (baik perubahan psikologis maupun fisiologis) dan kurangnya informasi.","author":[{"dropping-particle":"","family":"Syarif","given":"Sakinah Ekawati","non-dropping-particle":"","parse-names":false,"suffix":""},{"dropping-particle":"","family":"Mau","given":"Djulianus Tes","non-dropping-particle":"","parse-names":false,"suffix":""},{"dropping-particle":"","family":"Anugrahini","given":"Christina","non-dropping-particle":"","parse-names":false,"suffix":""}],"container-title":"Jurnal Sahabat Keperawatan","id":"ITEM-1","issue":"02","issued":{"date-parts":[["2020"]]},"page":"13-17","title":"Gambaran Tingkat Kecemasan Remaja Putri Dalam Menghadapi Haid Pertama Kali (Menarche) Pada Siswi Kelas Vii Smp Negeri 1 Atambua","type":"article-journal","volume":"2"},"uris":["http://www.mendeley.com/documents/?uuid=a81028a8-8a83-4f2c-90c0-9bc99cae759c","http://www.mendeley.com/documents/?uuid=139359ce-4e51-4517-9c0c-1d9fcbe434b2"]}],"mendeley":{"formattedCitation":"[7]","plainTextFormattedCitation":"[7]","previouslyFormattedCitation":"[7]"},"properties":{"noteIndex":0},"schema":"https://github.com/citation-style-language/schema/raw/master/csl-citation.json"}</w:instrText>
      </w:r>
      <w:r w:rsidRPr="00E64B9F">
        <w:rPr>
          <w:rFonts w:ascii="Tw Cen MT" w:hAnsi="Tw Cen MT"/>
          <w:sz w:val="24"/>
          <w:szCs w:val="24"/>
        </w:rPr>
        <w:fldChar w:fldCharType="separate"/>
      </w:r>
      <w:r w:rsidRPr="00980DAD">
        <w:rPr>
          <w:rFonts w:ascii="Tw Cen MT" w:hAnsi="Tw Cen MT"/>
          <w:noProof/>
          <w:sz w:val="24"/>
          <w:szCs w:val="24"/>
        </w:rPr>
        <w:t>[7]</w:t>
      </w:r>
      <w:r w:rsidRPr="00E64B9F">
        <w:rPr>
          <w:rFonts w:ascii="Tw Cen MT" w:hAnsi="Tw Cen MT"/>
          <w:sz w:val="24"/>
          <w:szCs w:val="24"/>
        </w:rPr>
        <w:fldChar w:fldCharType="end"/>
      </w:r>
      <w:r w:rsidRPr="00E64B9F">
        <w:rPr>
          <w:rFonts w:ascii="Tw Cen MT" w:hAnsi="Tw Cen MT"/>
          <w:sz w:val="24"/>
          <w:szCs w:val="24"/>
        </w:rPr>
        <w:t xml:space="preserve">. Hasil penelitian juga didapatkan bahwa ada hubungan usia menarche dengan kejadian depresi pada remaja putri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{"citationItems":[{"id":"ITEM-1","itemData":{"DOI":"https://doi.org/10.1016/j.jad.2022.08.092","ISSN":"0165-0327","abstract":"Context\nThe timing of puberty, physical features of pubertal development, and hormones are closely intertwined but may also individually contribute to the risk for depression and depression severity. Additionally, their effects on mood may depend on depression severity, but previously this has only been studied in mostly subclinical depression.\nMethods\nIn 184 girls from a single psychiatric hospital with significant depressive symptoms (Beck Depression Inventory-II score &gt; 13), the relationship between depression severity and age at menarche (AAM), pubertal status, and gonadal/adrenal hormones (estradiol, progesterone, DHEA-S, androstenedione, testosterone, dihydrotestosterone) was investigated. Moreover, AAM in depressed girls was compared to that from a representative sample of German adolescents without a psychiatric disorder (N = 1674). Androgen levels were compared to those of age- and sex-matched controls (N = 59).\nResults\nAAM but not pubertal stage or biochemical parameters related to depression. Girls with AAM at the lower normative range of pubertal development were 61 % more likely to develop depression and scored 4.9 points higher on the depression scale than girls experiencing menarche at the population average. Androstenedione levels were increased in the psychiatric sample, but neither androgen nor gonadal hormone levels were associated with depression severity.\nLimitations\nThe study is cross-sectional.\nConclusions\nThese observations confirm previous studies in mostly subclinical depression and highlight the importance of AAM for adolescent depression. Thus, AAM could be considered a prognostic factor for a clinical risk score assessing the probability of adolescent depression. Moreover, these findings suggest fostering efforts that address risk factors that contribute to an earlier AAM.","author":[{"dropping-particle":"","family":"Hirtz","given":"Raphael","non-dropping-particle":"","parse-names":false,"suffix":""},{"dropping-particle":"","family":"Libuda","given":"Lars","non-dropping-particle":"","parse-names":false,"suffix":""},{"dropping-particle":"","family":"Hinney","given":"Anke","non-dropping-particle":"","parse-names":false,"suffix":""},{"dropping-particle":"","family":"Föcker","given":"Manuel","non-dropping-particle":"","parse-names":false,"suffix":""},{"dropping-particle":"","family":"Bühlmeier","given":"Judith","non-dropping-particle":"","parse-names":false,"suffix":""},{"dropping-particle":"","family":"Holterhus","given":"Paul-Martin","non-dropping-particle":"","parse-names":false,"suffix":""},{"dropping-particle":"","family":"Kulle","given":"Alexandra","non-dropping-particle":"","parse-names":false,"suffix":""},{"dropping-particle":"","family":"Kiewert","given":"Cordula","non-dropping-particle":"","parse-names":false,"suffix":""},{"dropping-particle":"","family":"Kuhnert","given":"Ronny","non-dropping-particle":"","parse-names":false,"suffix":""},{"dropping-particle":"","family":"Cohrdes","given":"Caroline","non-dropping-particle":"","parse-names":false,"suffix":""},{"dropping-particle":"","family":"Peters","given":"Triinu","non-dropping-particle":"","parse-names":false,"suffix":""},{"dropping-particle":"","family":"Hebebrand","given":"Johannes","non-dropping-particle":"","parse-names":false,"suffix":""},{"dropping-particle":"","family":"Grasemann","given":"Corinna","non-dropping-particle":"","parse-names":false,"suffix":""}],"container-title":"Journal of Affective Disorders","id":"ITEM-1","issued":{"date-parts":[["2022"]]},"page":"103-112","title":"Age at menarche relates to depression in adolescent girls: Comparing a clinical sample to the general pediatric population","type":"article-journal","volume":"318"},"uris":["http://www.mendeley.com/documents/?uuid=87256104-6b6d-4ba6-ab07-d0de7c8bc7e4","http://www.mendeley.com/documents/?uuid=b381ea63-0771-439f-b8c1-00e7df8bde11"]}],"mendeley":{"formattedCitation":"[8]","plainTextFormattedCitation":"[8]","previouslyFormattedCitation":"[8]"},"properties":{"noteIndex":0},"schema":"https://github.com/citation-style-language/schema/raw/master/csl-citation.json"}</w:instrText>
      </w:r>
      <w:r w:rsidRPr="00E64B9F">
        <w:rPr>
          <w:rFonts w:ascii="Tw Cen MT" w:hAnsi="Tw Cen MT"/>
          <w:sz w:val="24"/>
          <w:szCs w:val="24"/>
        </w:rPr>
        <w:fldChar w:fldCharType="separate"/>
      </w:r>
      <w:r w:rsidRPr="00980DAD">
        <w:rPr>
          <w:rFonts w:ascii="Tw Cen MT" w:hAnsi="Tw Cen MT"/>
          <w:noProof/>
          <w:sz w:val="24"/>
          <w:szCs w:val="24"/>
        </w:rPr>
        <w:t>[8]</w:t>
      </w:r>
      <w:r w:rsidRPr="00E64B9F">
        <w:rPr>
          <w:rFonts w:ascii="Tw Cen MT" w:hAnsi="Tw Cen MT"/>
          <w:sz w:val="24"/>
          <w:szCs w:val="24"/>
        </w:rPr>
        <w:fldChar w:fldCharType="end"/>
      </w:r>
      <w:r w:rsidRPr="00E64B9F">
        <w:rPr>
          <w:rFonts w:ascii="Tw Cen MT" w:hAnsi="Tw Cen MT"/>
          <w:sz w:val="24"/>
          <w:szCs w:val="24"/>
        </w:rPr>
        <w:t>.</w:t>
      </w:r>
    </w:p>
    <w:p w14:paraId="47F9D252" w14:textId="0AE659BF" w:rsidR="00DB4A46" w:rsidRPr="00E64B9F" w:rsidRDefault="00DB4A46" w:rsidP="00DB4A46">
      <w:pPr>
        <w:pStyle w:val="CommentText"/>
        <w:spacing w:after="0"/>
        <w:jc w:val="both"/>
        <w:rPr>
          <w:rFonts w:ascii="Tw Cen MT" w:hAnsi="Tw Cen MT"/>
          <w:sz w:val="24"/>
          <w:szCs w:val="24"/>
        </w:rPr>
      </w:pPr>
      <w:r w:rsidRPr="00E64B9F">
        <w:rPr>
          <w:rFonts w:ascii="Tw Cen MT" w:hAnsi="Tw Cen MT"/>
          <w:sz w:val="24"/>
          <w:szCs w:val="24"/>
        </w:rPr>
        <w:t>Pada saat anak mengalami menarche dan terkena pakaian (rok) memicu adanya tindakan bullying</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{"citationItems":[{"id":"ITEM-1","itemData":{"abstract":"Background: Adolescence is considered as a transition between childhood to adulthood characterized by physical or biological, cognitive and psychosocial changes. Changes experienced during adolescence are various internal and external problems in adolescents which can be in the form of stress, one of which is bullying. Social support is needed by adolescents to undergo a transition period. This study aimed to determine the effect of family support and anxiety levels in adolescents with bullying at SMA Negeri 7 Jakarta. Methods: A cross sectional study was done from February to June 2020 at SMA Negeri 7 Jakarta. Total 148 students were selected using simple random sampling who were interviewed online using google form. Pearson Correlation Test and T-Independent test was performed to analysed the data. Results: The results of this study found that there was a relationship between family support and the level of anxiety among bullying adolescents at SMA Negeri 7 Jakarta (p value = 0,000). Conclusion: Nurses can provide education regarding the anxiety experienced by adolescents with bullying, schools are expected to provide counseling guidance to students who are victims and perpetrators of bullying, and for families, especially parents, it is expected to increase. support for their teenagers.","author":[{"dropping-particle":"","family":"Zam","given":"Noer Aeni","non-dropping-particle":"","parse-names":false,"suffix":""},{"dropping-particle":"","family":"Mia","given":"Zam Novianti","non-dropping-particle":"","parse-names":false,"suffix":""}],"container-title":"Jurnal Ilmiah Kesehatan Masyarakat","id":"ITEM-1","issued":{"date-parts":[["2020"]]},"page":"2021","title":"Pengaruh Dukungan Keluarga Terhadap Tingkat Kecemasan Pada Remaja yang Mengalami Bullying The Effect of Family Support on Anxiety Levels in Teenagers Experience Bullying","type":"article-journal","volume":"13"},"uris":["http://www.mendeley.com/documents/?uuid=78cb9a24-1008-49d6-ab15-4e00547cbcdb"]},{"id":"ITEM-2","itemData":{"ISSN":"2442-448X","abstract":"Bullying adalah tindakan penggunaan kekuasaan untuk menyakiti seseorang atau sekelompok orang baik secara verbal, fisik, maupun psikologis sehingga korban merasa tertekan, trauma, dan tak berdaya (Sejiwa, 2008). Remaja yang menjadi korban bullying lebih berisiko mengalami berbagai masalah kesehatan, baik secara fisik maupun mental. Adapun masalah yang lebih mungkin diderita anak-anak yang menjadi korban bullying, antara lain munculnya berbagai masalah mental seperti depresi, kegelisahan dan masalah tidur yang mungkin akan terbawa hingga dewasa, keluhan kesehatan fisik, seperti sakit kepala, sakit perut dan ketegangan otot, rasa tidak aman saat berada di lingkungan sekolah, dan penurunan semangat belajar dan prestasi akademis. Dalam kasus yang cukup langka, anak-anak korban bullying mungkin akan menunjukkan sifat kekerasan. Seperti yang dialami seorang remaja 15 tahun di Denpasar, Bali, yang tega membunuh temannya sendiri karena dendamnya kepada korban. Pelaku mengaku kerap menjadi target bullying korban sejak kelas satu SMP.Artikel ini bertujuan untuk mengetahui faktor-faktor penyebab terjadinya bullying oleh remaja, peran-peran dalam tindakan bullying, dan jenis-jenis bullying. Sumber data tulisan ini dilakukan dengan metode studi dokumentasi. Dalam artikel ini didapatkan hasil bahwa faktor-faktor yang mempengaruhi terjadinya bullying bisa datang dari individu, keluarga, kelompok bermain, hingga lingkungan komunitas pelaku. Tindakan ini sangat berhubungan dengan dunia pekerjaan sosial, yang dalam kasus ini dituntut untuk menjadi konselor bagi pelaku bullying.","author":[{"dropping-particle":"","family":"Muhopilah","given":"Pipih","non-dropping-particle":"","parse-names":false,"suffix":""},{"dropping-particle":"","family":"Tentama","given":"Fatwa","non-dropping-particle":"","parse-names":false,"suffix":""}],"container-title":"Jurnal Psikologi Terapan dan Pendidikan","id":"ITEM-2","issue":"2","issued":{"date-parts":[["2019"]]},"page":"99-107","title":"Faktor Yang Mempengaruhi Bullying","type":"article-journal","volume":"1"},"uris":["http://www.mendeley.com/documents/?uuid=72bc6fd7-a272-4230-a616-947eebe73f5e"]}],"mendeley":{"formattedCitation":"[9], [10]","plainTextFormattedCitation":"[9], [10]","previouslyFormattedCitation":"[9], [10]"},"properties":{"noteIndex":0},"schema":"https://github.com/citation-style-language/schema/raw/master/csl-citation.json"}</w:instrText>
      </w:r>
      <w:r>
        <w:rPr>
          <w:rFonts w:ascii="Tw Cen MT" w:hAnsi="Tw Cen MT"/>
          <w:sz w:val="24"/>
          <w:szCs w:val="24"/>
        </w:rPr>
        <w:fldChar w:fldCharType="separate"/>
      </w:r>
      <w:r w:rsidRPr="008C7D81">
        <w:rPr>
          <w:rFonts w:ascii="Tw Cen MT" w:hAnsi="Tw Cen MT"/>
          <w:noProof/>
          <w:sz w:val="24"/>
          <w:szCs w:val="24"/>
        </w:rPr>
        <w:t>[9], [10]</w:t>
      </w:r>
      <w:r>
        <w:rPr>
          <w:rFonts w:ascii="Tw Cen MT" w:hAnsi="Tw Cen MT"/>
          <w:sz w:val="24"/>
          <w:szCs w:val="24"/>
        </w:rPr>
        <w:fldChar w:fldCharType="end"/>
      </w:r>
      <w:r w:rsidRPr="00E64B9F">
        <w:rPr>
          <w:rFonts w:ascii="Tw Cen MT" w:hAnsi="Tw Cen MT"/>
          <w:sz w:val="24"/>
          <w:szCs w:val="24"/>
        </w:rPr>
        <w:t xml:space="preserve"> dan anak merasa malu serta cemas. Kecemasan merupakan salah satu respon emosional terhadap ketidaktahuan anak terhadap sesuatu sehingga perlunya ada terapi dan edukasi untuk dapat mengatasi masalahnya. Beberapa terapi yang dapat diberikan tanpa ada efek samping tindakan seperti Terapi Kelompok Terapeutik, Pendidikan kesehatan dan Though Stopping (TS).  Terapi Kelompok Terapeutik dapat meningkatkan efikasi diri pada anak usia sekolah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{"citationItems":[{"id":"ITEM-1","itemData":{"DOI":"https://doi.org/10.1016/S1130-8621(18)30048-2","ISSN":"1130-8621","abstract":"Objective\nThe survival of children against disaster can be seen from their confidence in their ability (self-efficacy). Self-efficacy can help children to determine their ability against disaster as preparedness. The proper intervention to increase self-efficacy as a protective factor is a therapeutic group therapy. The aim of this research is to measure the increase of self-efficacy of school age children against earthquake and Tsunami through therapeutic group therapy.\nMethod\nThis research used quasi-experimental design with pre-post-tests with control group. The sample involved in this study is 69 children, where 35 of them are in the experimental group while the rest 34 children are in the control group consisting of school children at the IV and V graders of elementary school.\nResults\nThe result of the research showed that the self-efficacy of school children is improved significantly after being treated with therapeutic group therapy (p value &lt; 0,05), those who were not treated with therapeutic group therapy have no significant improvement (p value &gt; 0,05).\nConclusions\nThis research is recommended to be conducted on school age children to improve their self-efficacy against disaster through health education.","author":[{"dropping-particle":"","family":"Cleodora","given":"Cindy","non-dropping-particle":"","parse-names":false,"suffix":""},{"dropping-particle":"","family":"Mustikasari","given":"","non-dropping-particle":"","parse-names":false,"suffix":""},{"dropping-particle":"","family":"Gayatri","given":"Dewi","non-dropping-particle":"","parse-names":false,"suffix":""}],"container-title":"Enfermería Clínica","id":"ITEM-1","issued":{"date-parts":[["2018"]]},"page":"112-115","title":"Therapeutic group therapy improved self-efficacy of school age children","type":"article-journal","volume":"28"},"uris":["http://www.mendeley.com/documents/?uuid=16c12bb4-c30d-47a3-8c60-12cfcff0a02e","http://www.mendeley.com/documents/?uuid=8b48f5c0-9f88-44e1-a7d7-db69aed0b6eb"]}],"mendeley":{"formattedCitation":"[11]","plainTextFormattedCitation":"[11]","previouslyFormattedCitation":"[11]"},"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[11]</w:t>
      </w:r>
      <w:r w:rsidRPr="00E64B9F">
        <w:rPr>
          <w:rFonts w:ascii="Tw Cen MT" w:hAnsi="Tw Cen MT"/>
          <w:sz w:val="24"/>
          <w:szCs w:val="24"/>
        </w:rPr>
        <w:fldChar w:fldCharType="end"/>
      </w:r>
      <w:r w:rsidRPr="00E64B9F">
        <w:rPr>
          <w:rFonts w:ascii="Tw Cen MT" w:hAnsi="Tw Cen MT"/>
          <w:sz w:val="24"/>
          <w:szCs w:val="24"/>
        </w:rPr>
        <w:t xml:space="preserve">. Program Terapi Kelompok Terapeutik (TKT) dapat mengurangi stress dan </w:t>
      </w:r>
      <w:r w:rsidRPr="00E64B9F">
        <w:rPr>
          <w:rFonts w:ascii="Tw Cen MT" w:hAnsi="Tw Cen MT"/>
          <w:sz w:val="24"/>
          <w:szCs w:val="24"/>
        </w:rPr>
        <w:t xml:space="preserve">kecemasan pada seseorang dengan cara bercerita dan berbagi pada tim atau kelompoknya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{"citationItems":[{"id":"ITEM-1","itemData":{"DOI":"https://doi.org/10.1016/j.apnu.2022.07.027","ISSN":"0883-9417","abstract":"This quasi-experimental, nonequivalent control group pretest–posttest study developed a 10-session group poetry therapy program for nursing students and examined effects on clinical training, job-seeking stress, anxiety, ego-resilience, and psychological well-being. Forty-nine nursing students were conveniently recruited (experimental group n = 24, control group n = 25). Program construction used the Analysis, Design, Development, Implementation, and Evaluation model and Mazza's poetry therapy practice model. Compared to the control group, the experimental group showed significant decreases in stress and anxiety and significant improvements in ego-resilience and psychological well-being immediately after intervention, maintained at 5-week follow-up. The program can be a beneficial intervention for individuals experiencing various degrees of stress.","author":[{"dropping-particle":"","family":"Park","given":"Jung Hyun","non-dropping-particle":"","parse-names":false,"suffix":""},{"dropping-particle":"","family":"Kim","given":"Ji Young","non-dropping-particle":"","parse-names":false,"suffix":""},{"dropping-particle":"","family":"Kim","given":"Hyeon Ok","non-dropping-particle":"","parse-names":false,"suffix":""}],"container-title":"Archives of Psychiatric Nursing","id":"ITEM-1","issued":{"date-parts":[["2022"]]},"page":"144-152","title":"Effects of a group poetry therapy program on stress, anxiety, ego-resilience, and psychological well-being of nursing students","type":"article-journal","volume":"41"},"uris":["http://www.mendeley.com/documents/?uuid=0ae9526d-f273-434e-86ea-9a1d9c4d14b2","http://www.mendeley.com/documents/?uuid=d173bceb-9d80-4eb4-9f52-49c78e293422"]}],"mendeley":{"formattedCitation":"[12]","plainTextFormattedCitation":"[12]","previouslyFormattedCitation":"[12]"},"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[12]</w:t>
      </w:r>
      <w:r w:rsidRPr="00E64B9F">
        <w:rPr>
          <w:rFonts w:ascii="Tw Cen MT" w:hAnsi="Tw Cen MT"/>
          <w:sz w:val="24"/>
          <w:szCs w:val="24"/>
        </w:rPr>
        <w:fldChar w:fldCharType="end"/>
      </w:r>
      <w:r w:rsidRPr="00E64B9F">
        <w:rPr>
          <w:rFonts w:ascii="Tw Cen MT" w:hAnsi="Tw Cen MT"/>
          <w:sz w:val="24"/>
          <w:szCs w:val="24"/>
        </w:rPr>
        <w:t xml:space="preserve">. Pemberian edukasi tentang kesehatan dan pendidikan seksualitas harus diberikan secara komprehensif dan akurat serta sesuai dengan usia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{"citationItems":[{"id":"ITEM-1","itemData":{"DOI":"https://doi.org/10.1016/j.esxm.2020.100302","ISSN":"2050-1161","abstract":"Introduction\nThere is a growing interest among adolescents to obtain sexual health information online, which could be helpful in rural areas where adolescents face unique obstacles to contraception access, and medically accurate sex education is not mandated.\nAim\nThis study piloted a comprehensive sex education self-study website among undergraduate students and resident physicians to assess the accuracy and feasibility for future use in younger adolescents.\nMethods\nA sex education website developed by a board-certified obstetrician-gynecologist (OBGYN) was piloted among a group of OBGYN resident physicians and undergraduates from West Virginia. Groups were chosen to assess the accuracy of information and acceptability for use in younger adolescents. The 30-minute curriculum was a series of short videos (2–4 minutes each) covering anatomy, physiology, sexuality, gender identity, relationship health, contraception, and sexually transmitted infection prevention. Data were obtained on subjects’ past experience and perception of sex education. Subjects also evaluated the website for usefulness and accuracy.\nOutcomes\nMain outcomes included a Likert scale assessment of each curriculum session’s usefulness, accuracy, and how easy it was to follow.\nResults\n24 subjects (14 undergraduates and 10 physicians) participated during September and October of 2019. All except for 1 subject had sex education taught in school; 11 (45.8%) reported it to be “low quality”; 23 (95.8%) reported being taught in a classroom. Individual website video sessions were reported to be highly accurate, very easy to follow, and very useful. All subjects (100%) felt that high school adolescents would be interested in the self-study website.\nConclusions\nA self-study website was successfully tested and found to be a well-accepted way to teach sex education among this pilot group. Future work involves testing this tool among younger adolescent subjects. Yoost J, Ruley M, Durfee L. Acceptability of a Comprehensive Sex Education Self-Study Website for Teaching Reproductive Health: A Pilot Study Among College Students and Obstetrics and Gynecology Resident Physicians. Sex Med 2021;9:100302.","author":[{"dropping-particle":"","family":"Yoost","given":"Jennie","non-dropping-particle":"","parse-names":false,"suffix":""},{"dropping-particle":"","family":"Ruley","given":"Morgan","non-dropping-particle":"","parse-names":false,"suffix":""},{"dropping-particle":"","family":"Durfee","given":"Levi","non-dropping-particle":"","parse-names":false,"suffix":""}],"container-title":"Sexual Medicine","id":"ITEM-1","issue":"1","issued":{"date-parts":[["2021"]]},"page":"100302","title":"Acceptability of a Comprehensive Sex Education Self-Study Website for Teaching Reproductive Health: A Pilot Study Among College Students and Obstetrics and Gynecology Resident Physicians","type":"article-journal","volume":"9"},"uris":["http://www.mendeley.com/documents/?uuid=3bb5e17c-18d5-4fd2-beee-e8cc30a44858","http://www.mendeley.com/documents/?uuid=350f603e-6536-4b2a-99cb-739d58e8383c"]}],"mendeley":{"formattedCitation":"[13]","plainTextFormattedCitation":"[13]","previouslyFormattedCitation":"[13]"},"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[13]</w:t>
      </w:r>
      <w:r w:rsidRPr="00E64B9F">
        <w:rPr>
          <w:rFonts w:ascii="Tw Cen MT" w:hAnsi="Tw Cen MT"/>
          <w:sz w:val="24"/>
          <w:szCs w:val="24"/>
        </w:rPr>
        <w:fldChar w:fldCharType="end"/>
      </w:r>
      <w:r w:rsidRPr="00E64B9F">
        <w:rPr>
          <w:rFonts w:ascii="Tw Cen MT" w:hAnsi="Tw Cen MT"/>
          <w:sz w:val="24"/>
          <w:szCs w:val="24"/>
        </w:rPr>
        <w:t xml:space="preserve">. </w:t>
      </w:r>
      <w:r w:rsidRPr="00E64B9F">
        <w:rPr>
          <w:rFonts w:ascii="Tw Cen MT" w:hAnsi="Tw Cen MT"/>
          <w:i/>
          <w:sz w:val="24"/>
          <w:szCs w:val="24"/>
        </w:rPr>
        <w:t>Thought Stopping</w:t>
      </w:r>
      <w:r w:rsidRPr="00E64B9F">
        <w:rPr>
          <w:rFonts w:ascii="Tw Cen MT" w:hAnsi="Tw Cen MT"/>
          <w:sz w:val="24"/>
          <w:szCs w:val="24"/>
        </w:rPr>
        <w:t xml:space="preserve"> dapat membantu remaja mengatasi kecemasan yang dialaminya. Salah satu hasil penelitian dijelaskan bahwa terdapat penurunan kecemasan setelah diberikan terapi TS dengan cara menghentikan pikiran negatif dan merubahnya menjadi pemikiran positif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{"citationItems":[{"id":"ITEM-1","itemData":{"DOI":"https://doi.org/10.1016/j.enfcli.2021.01.001","ISSN":"1130-8621","abstract":"The objective of the study is to determine the effect of thought-stopping therapy on anxiety levels in adolescents living in earthquake-prone areas. This study used quasi-experiment pre-post test with control group, conducted in one of the earthquake-prone areas city in East Java. 112 respondents (the control and the intervention group) were included in the research. Both groups received nursing intervention. In addition to the nursing intervention, the intervention group was asked to use thought-stopping techniques. The HAM-A questionnaire was used to determine anxiety levels. A significant decrease in anxiety in both the control and intervention groups was demonstrated in the present study after the intervention. The intervention group experienced a decrease in the anxiety rating of 5.54, compared to the corresponding decrease in the control group of 2.79. Nursing intervention and thought-stopping are recommended as effective in reducing anxiety in adolescents living in earthquake-prone areas.","author":[{"dropping-particle":"","family":"Hardayati","given":"Yunita Astriani","non-dropping-particle":"","parse-names":false,"suffix":""},{"dropping-particle":"","family":"Mustikasari","given":"","non-dropping-particle":"","parse-names":false,"suffix":""},{"dropping-particle":"","family":"Panjaitan","given":"Ria Utami","non-dropping-particle":"","parse-names":false,"suffix":""}],"container-title":"Enfermería Clínica","id":"ITEM-1","issued":{"date-parts":[["2021"]]},"page":"S395-S399","title":"The effects of thought stopping on anxiety levels in adolescents living in earthquake-prone areas","type":"article-journal","volume":"31"},"uris":["http://www.mendeley.com/documents/?uuid=7e1517fe-2894-4538-a4d9-9ad72ed13737","http://www.mendeley.com/documents/?uuid=f4b79212-8e3e-40e4-824c-0a6e7a5d13ae"]}],"mendeley":{"formattedCitation":"[14]","plainTextFormattedCitation":"[14]","previouslyFormattedCitation":"[14]"},"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[14]</w:t>
      </w:r>
      <w:r w:rsidRPr="00E64B9F">
        <w:rPr>
          <w:rFonts w:ascii="Tw Cen MT" w:hAnsi="Tw Cen MT"/>
          <w:sz w:val="24"/>
          <w:szCs w:val="24"/>
        </w:rPr>
        <w:fldChar w:fldCharType="end"/>
      </w:r>
      <w:r w:rsidRPr="00E64B9F">
        <w:rPr>
          <w:rFonts w:ascii="Tw Cen MT" w:hAnsi="Tw Cen MT"/>
          <w:sz w:val="24"/>
          <w:szCs w:val="24"/>
        </w:rPr>
        <w:t xml:space="preserve">. </w:t>
      </w:r>
    </w:p>
    <w:p w14:paraId="6F078FE0" w14:textId="56067AF7" w:rsidR="007106F6" w:rsidRPr="0096335E" w:rsidRDefault="00DB4A46" w:rsidP="00DB4A46">
      <w:pPr>
        <w:spacing w:after="0" w:line="240" w:lineRule="auto"/>
        <w:jc w:val="both"/>
        <w:rPr>
          <w:rFonts w:ascii="Tw Cen MT" w:eastAsia="Twentieth Century" w:hAnsi="Tw Cen MT" w:cs="Twentieth Century"/>
          <w:color w:val="000000"/>
          <w:sz w:val="24"/>
          <w:szCs w:val="24"/>
        </w:rPr>
      </w:pPr>
      <w:r w:rsidRPr="00E64B9F">
        <w:rPr>
          <w:rFonts w:ascii="Tw Cen MT" w:hAnsi="Tw Cen MT"/>
          <w:sz w:val="24"/>
          <w:szCs w:val="24"/>
        </w:rPr>
        <w:t xml:space="preserve">Berdasarkan hasil wawancara didapatkan bahwa terdapat siswa kelas 4 SD yang telah mengalami menstruasi (menarche) yaitu pada saat usia 11 tahun dan pernah dibully oleh teman sekelas karena rok dan kursi terkena darah menstruasi sehingga siswi tersebut cemas, menangis dan tidak tahu harus bagaimana. Penelitian ini bertujuan untuk melihat efektifitas Terapi Kelompok Terapeutik (TKT), Pendidikan Kesehatan, Thought Stopping (TS) terhadap tingkat kecemasan anak usia sekolah dalam menghadapi </w:t>
      </w:r>
      <w:r w:rsidRPr="00E64B9F">
        <w:rPr>
          <w:rFonts w:ascii="Tw Cen MT" w:hAnsi="Tw Cen MT"/>
          <w:i/>
          <w:sz w:val="24"/>
          <w:szCs w:val="24"/>
        </w:rPr>
        <w:t>menarche</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DB4A4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72ECF33" w14:textId="27E9EECB" w:rsidR="00E55A48" w:rsidRPr="0096335E" w:rsidRDefault="00DB4A46" w:rsidP="00E55A48">
      <w:pPr>
        <w:spacing w:after="0" w:line="240" w:lineRule="auto"/>
        <w:jc w:val="both"/>
        <w:rPr>
          <w:rFonts w:ascii="Tw Cen MT" w:eastAsia="Twentieth Century" w:hAnsi="Tw Cen MT" w:cs="Twentieth Century"/>
          <w:sz w:val="24"/>
          <w:szCs w:val="24"/>
        </w:rPr>
      </w:pPr>
      <w:r w:rsidRPr="00E64B9F">
        <w:rPr>
          <w:rFonts w:ascii="Tw Cen MT" w:hAnsi="Tw Cen MT"/>
          <w:sz w:val="24"/>
          <w:szCs w:val="24"/>
        </w:rPr>
        <w:t xml:space="preserve">Penelitian ini merupakan quasy eksperimen dengan pendekatan Pre dan Post Test. Adapun variabel yang diteliti terdiri dari variabel dependen yaitu tingkat kecemasan dan variabel independen yang terdiri dari Terapi Kelompok Terapeutik (TKT), Pendidikan Kesehatan dan Thought Stopping (TS).  Populasi adalah siswi kelas 4 SD. Teknik pengambilan sampel adalah Total Sampling dengan memperhatikan kriteria inklusi dan ekslusi sehingga didapatkan jumlah sample dalam penelitian ini adalah 50 siswi kelas 4 di SDN 176 Pekanbaru. Kriteria ekslusi adalah siswi yang telah haid, tidak cemas, tidak bisa menulis dan membaca. Teknik pengumpulan data menggunakan kuesioner dan wawancara terpimpin. Analisis Univariat menggunakan distribusi frekuensi dan analisis Bivariat menggunakan Uji </w:t>
      </w:r>
      <w:r w:rsidRPr="00E64B9F">
        <w:rPr>
          <w:rFonts w:ascii="Tw Cen MT" w:hAnsi="Tw Cen MT"/>
          <w:i/>
          <w:sz w:val="24"/>
          <w:szCs w:val="24"/>
        </w:rPr>
        <w:t>Wilcoxon</w:t>
      </w:r>
      <w:r w:rsidRPr="00E64B9F">
        <w:rPr>
          <w:rFonts w:ascii="Tw Cen MT" w:hAnsi="Tw Cen MT"/>
          <w:sz w:val="24"/>
          <w:szCs w:val="24"/>
        </w:rPr>
        <w:t xml:space="preserve">. Penelitian ini telah </w:t>
      </w:r>
      <w:r w:rsidRPr="00E64B9F">
        <w:rPr>
          <w:rFonts w:ascii="Tw Cen MT" w:hAnsi="Tw Cen MT"/>
          <w:sz w:val="24"/>
          <w:szCs w:val="24"/>
        </w:rPr>
        <w:lastRenderedPageBreak/>
        <w:t>lulus kaji Etik oleh KEPK Poltekkes Kemenkes Riau dengan No LB.02.03/6/05/2022</w:t>
      </w:r>
      <w:r>
        <w:rPr>
          <w:rFonts w:ascii="Tw Cen MT" w:hAnsi="Tw Cen MT"/>
          <w:sz w:val="24"/>
          <w:szCs w:val="24"/>
        </w:rPr>
        <w:t>.</w:t>
      </w:r>
    </w:p>
    <w:p w14:paraId="73FB8D1E" w14:textId="77777777" w:rsidR="007106F6" w:rsidRPr="0096335E" w:rsidRDefault="007106F6" w:rsidP="00E55A48">
      <w:pPr>
        <w:tabs>
          <w:tab w:val="left" w:pos="426"/>
        </w:tabs>
        <w:spacing w:before="240"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F0111E5" w14:textId="777DFA9C" w:rsidR="00AE4E36" w:rsidRPr="00AE4E36" w:rsidRDefault="00AE4E36" w:rsidP="00E55A48">
      <w:pPr>
        <w:pStyle w:val="CommentText"/>
        <w:spacing w:after="0"/>
        <w:jc w:val="both"/>
        <w:rPr>
          <w:rFonts w:ascii="Tw Cen MT" w:hAnsi="Tw Cen MT"/>
          <w:sz w:val="24"/>
          <w:szCs w:val="24"/>
        </w:rPr>
      </w:pPr>
      <w:r w:rsidRPr="00E64B9F">
        <w:rPr>
          <w:rFonts w:ascii="Tw Cen MT" w:hAnsi="Tw Cen MT"/>
          <w:sz w:val="24"/>
          <w:szCs w:val="24"/>
        </w:rPr>
        <w:t>Hasil analisis univariat disajikan dalam tabel distribusi frekuensi. Berdasarkan Tabel 1 didapatkan bahwa sebagian besar responden berada pada usia 11 tahun, 0 bulan (64%).  Untuk lebih lengkapnya dapat dilihat pada tabel sebagai berikut:</w:t>
      </w:r>
    </w:p>
    <w:p w14:paraId="671878EC" w14:textId="77777777" w:rsidR="00AE4E36" w:rsidRPr="00980DAD" w:rsidRDefault="00AE4E36" w:rsidP="00AE4E36">
      <w:pPr>
        <w:spacing w:after="0" w:line="240" w:lineRule="auto"/>
        <w:jc w:val="center"/>
        <w:rPr>
          <w:rFonts w:ascii="Tw Cen MT" w:eastAsia="Twentieth Century" w:hAnsi="Tw Cen MT" w:cs="Twentieth Century"/>
          <w:sz w:val="20"/>
          <w:szCs w:val="20"/>
        </w:rPr>
      </w:pPr>
      <w:r w:rsidRPr="00980DAD">
        <w:rPr>
          <w:rFonts w:ascii="Tw Cen MT" w:eastAsia="Twentieth Century" w:hAnsi="Tw Cen MT" w:cs="Twentieth Century"/>
          <w:sz w:val="20"/>
          <w:szCs w:val="20"/>
        </w:rPr>
        <w:t>Tabel 1. Distribusi Frekuensi Umur Responden (n=50)</w:t>
      </w:r>
    </w:p>
    <w:tbl>
      <w:tblPr>
        <w:tblW w:w="4131" w:type="dxa"/>
        <w:jc w:val="center"/>
        <w:tblBorders>
          <w:top w:val="single" w:sz="4" w:space="0" w:color="000000"/>
          <w:bottom w:val="single" w:sz="4" w:space="0" w:color="000000"/>
        </w:tblBorders>
        <w:tblLayout w:type="fixed"/>
        <w:tblLook w:val="0000" w:firstRow="0" w:lastRow="0" w:firstColumn="0" w:lastColumn="0" w:noHBand="0" w:noVBand="0"/>
      </w:tblPr>
      <w:tblGrid>
        <w:gridCol w:w="1951"/>
        <w:gridCol w:w="1343"/>
        <w:gridCol w:w="837"/>
      </w:tblGrid>
      <w:tr w:rsidR="00AE4E36" w:rsidRPr="00E64B9F" w14:paraId="400958A0" w14:textId="77777777" w:rsidTr="00B84CDC">
        <w:trPr>
          <w:trHeight w:val="257"/>
          <w:jc w:val="center"/>
        </w:trPr>
        <w:tc>
          <w:tcPr>
            <w:tcW w:w="1951" w:type="dxa"/>
            <w:tcBorders>
              <w:top w:val="single" w:sz="4" w:space="0" w:color="000000"/>
              <w:bottom w:val="single" w:sz="4" w:space="0" w:color="000000"/>
            </w:tcBorders>
            <w:vAlign w:val="center"/>
          </w:tcPr>
          <w:p w14:paraId="30E3E3F5"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Umur</w:t>
            </w:r>
          </w:p>
        </w:tc>
        <w:tc>
          <w:tcPr>
            <w:tcW w:w="1343" w:type="dxa"/>
            <w:tcBorders>
              <w:top w:val="single" w:sz="4" w:space="0" w:color="000000"/>
              <w:bottom w:val="single" w:sz="4" w:space="0" w:color="000000"/>
            </w:tcBorders>
            <w:vAlign w:val="center"/>
          </w:tcPr>
          <w:p w14:paraId="31ACE8E6"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Frekuensi</w:t>
            </w:r>
          </w:p>
        </w:tc>
        <w:tc>
          <w:tcPr>
            <w:tcW w:w="837" w:type="dxa"/>
            <w:tcBorders>
              <w:top w:val="single" w:sz="4" w:space="0" w:color="000000"/>
              <w:bottom w:val="single" w:sz="4" w:space="0" w:color="000000"/>
            </w:tcBorders>
            <w:vAlign w:val="center"/>
          </w:tcPr>
          <w:p w14:paraId="516F908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w:t>
            </w:r>
          </w:p>
        </w:tc>
      </w:tr>
      <w:tr w:rsidR="00AE4E36" w:rsidRPr="00E64B9F" w14:paraId="3ED64C8D" w14:textId="77777777" w:rsidTr="00B84CDC">
        <w:trPr>
          <w:trHeight w:val="284"/>
          <w:jc w:val="center"/>
        </w:trPr>
        <w:tc>
          <w:tcPr>
            <w:tcW w:w="1951" w:type="dxa"/>
          </w:tcPr>
          <w:p w14:paraId="4199BF14"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10 tahun 6 bulan</w:t>
            </w:r>
          </w:p>
        </w:tc>
        <w:tc>
          <w:tcPr>
            <w:tcW w:w="1343" w:type="dxa"/>
          </w:tcPr>
          <w:p w14:paraId="42442AA6"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10</w:t>
            </w:r>
          </w:p>
        </w:tc>
        <w:tc>
          <w:tcPr>
            <w:tcW w:w="837" w:type="dxa"/>
          </w:tcPr>
          <w:p w14:paraId="4C24E79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20</w:t>
            </w:r>
          </w:p>
        </w:tc>
      </w:tr>
      <w:tr w:rsidR="00AE4E36" w:rsidRPr="00E64B9F" w14:paraId="4D76F2E5" w14:textId="77777777" w:rsidTr="00B84CDC">
        <w:trPr>
          <w:trHeight w:val="284"/>
          <w:jc w:val="center"/>
        </w:trPr>
        <w:tc>
          <w:tcPr>
            <w:tcW w:w="1951" w:type="dxa"/>
          </w:tcPr>
          <w:p w14:paraId="3E4380E2"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11 tahun 0 bulan</w:t>
            </w:r>
          </w:p>
        </w:tc>
        <w:tc>
          <w:tcPr>
            <w:tcW w:w="1343" w:type="dxa"/>
          </w:tcPr>
          <w:p w14:paraId="3EB438C4"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32</w:t>
            </w:r>
          </w:p>
        </w:tc>
        <w:tc>
          <w:tcPr>
            <w:tcW w:w="837" w:type="dxa"/>
          </w:tcPr>
          <w:p w14:paraId="22F288C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64</w:t>
            </w:r>
          </w:p>
        </w:tc>
      </w:tr>
      <w:tr w:rsidR="00AE4E36" w:rsidRPr="00E64B9F" w14:paraId="1EF9907B" w14:textId="77777777" w:rsidTr="00B84CDC">
        <w:trPr>
          <w:trHeight w:val="284"/>
          <w:jc w:val="center"/>
        </w:trPr>
        <w:tc>
          <w:tcPr>
            <w:tcW w:w="1951" w:type="dxa"/>
          </w:tcPr>
          <w:p w14:paraId="67510D89"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11 tahun 6 bulan</w:t>
            </w:r>
          </w:p>
        </w:tc>
        <w:tc>
          <w:tcPr>
            <w:tcW w:w="1343" w:type="dxa"/>
          </w:tcPr>
          <w:p w14:paraId="2B813283"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8</w:t>
            </w:r>
          </w:p>
        </w:tc>
        <w:tc>
          <w:tcPr>
            <w:tcW w:w="837" w:type="dxa"/>
          </w:tcPr>
          <w:p w14:paraId="167B9B17"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16</w:t>
            </w:r>
          </w:p>
        </w:tc>
      </w:tr>
    </w:tbl>
    <w:p w14:paraId="1A5C2AC5" w14:textId="02E74BF6" w:rsidR="00AE4E36" w:rsidRDefault="00AE4E36" w:rsidP="00AE4E36">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4"/>
          <w:szCs w:val="24"/>
        </w:rPr>
        <w:t xml:space="preserve"> </w:t>
      </w:r>
      <w:r w:rsidRPr="00AE4E36">
        <w:rPr>
          <w:rFonts w:ascii="Tw Cen MT" w:eastAsia="Twentieth Century" w:hAnsi="Tw Cen MT" w:cs="Twentieth Century"/>
          <w:sz w:val="20"/>
          <w:szCs w:val="20"/>
        </w:rPr>
        <w:t xml:space="preserve">Source : primary data processing </w:t>
      </w:r>
    </w:p>
    <w:p w14:paraId="55DAEAE7" w14:textId="77777777" w:rsidR="00AE4E36" w:rsidRPr="00AE4E36" w:rsidRDefault="00AE4E36" w:rsidP="00AE4E36">
      <w:pPr>
        <w:spacing w:after="0" w:line="240" w:lineRule="auto"/>
        <w:jc w:val="both"/>
        <w:rPr>
          <w:rFonts w:ascii="Tw Cen MT" w:eastAsia="Twentieth Century" w:hAnsi="Tw Cen MT" w:cs="Twentieth Century"/>
          <w:sz w:val="20"/>
          <w:szCs w:val="20"/>
        </w:rPr>
      </w:pPr>
    </w:p>
    <w:p w14:paraId="5CE18694" w14:textId="77777777" w:rsidR="00AE4E36" w:rsidRPr="00E64B9F" w:rsidRDefault="00AE4E36" w:rsidP="00AE4E36">
      <w:pPr>
        <w:pStyle w:val="CommentText"/>
        <w:jc w:val="both"/>
        <w:rPr>
          <w:rFonts w:ascii="Tw Cen MT" w:hAnsi="Tw Cen MT"/>
          <w:sz w:val="24"/>
          <w:szCs w:val="24"/>
        </w:rPr>
      </w:pPr>
      <w:r w:rsidRPr="00E64B9F">
        <w:rPr>
          <w:rFonts w:ascii="Tw Cen MT" w:hAnsi="Tw Cen MT"/>
          <w:sz w:val="24"/>
          <w:szCs w:val="24"/>
        </w:rPr>
        <w:t xml:space="preserve">Hasil distribusi frekuensi terhadap variabel tingkat kecemasan anak sebelum diberikan terapi dan setelah diberikan terapi memiliki perbedaan yang sangat signifikan. Adapun Tingkat Kecemasan Pre-test berada pada kategori Sedang sebanyak 20 siswi (40%) dan Tingkat Kecemasan Post-test berada pada kategori Ringan sebanyak 36 siswa (72%). Untuk selengkapnya dapat dilihat pada tabel sebagai berikut: </w:t>
      </w:r>
    </w:p>
    <w:p w14:paraId="52F4D2C0" w14:textId="77777777" w:rsidR="00AE4E36" w:rsidRPr="00980DAD" w:rsidRDefault="00AE4E36" w:rsidP="00AE4E36">
      <w:pPr>
        <w:tabs>
          <w:tab w:val="left" w:pos="2127"/>
        </w:tabs>
        <w:spacing w:after="0" w:line="240" w:lineRule="auto"/>
        <w:contextualSpacing/>
        <w:jc w:val="center"/>
        <w:rPr>
          <w:rFonts w:ascii="Tw Cen MT" w:hAnsi="Tw Cen MT"/>
          <w:sz w:val="20"/>
          <w:szCs w:val="20"/>
        </w:rPr>
      </w:pPr>
      <w:r w:rsidRPr="00980DAD">
        <w:rPr>
          <w:rFonts w:ascii="Tw Cen MT" w:hAnsi="Tw Cen MT"/>
          <w:sz w:val="20"/>
          <w:szCs w:val="20"/>
        </w:rPr>
        <w:t>Tabel 2 Distribusi Frekuensi Responden berdasarkan Tingkat Kecemasan menghadapi Menarche</w:t>
      </w:r>
    </w:p>
    <w:tbl>
      <w:tblPr>
        <w:tblStyle w:val="TableGrid"/>
        <w:tblW w:w="4287"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1020"/>
        <w:gridCol w:w="1140"/>
      </w:tblGrid>
      <w:tr w:rsidR="00AE4E36" w:rsidRPr="00E64B9F" w14:paraId="6A7531C7" w14:textId="77777777" w:rsidTr="00B84CDC">
        <w:trPr>
          <w:trHeight w:val="387"/>
        </w:trPr>
        <w:tc>
          <w:tcPr>
            <w:tcW w:w="2127" w:type="dxa"/>
            <w:tcBorders>
              <w:bottom w:val="single" w:sz="4" w:space="0" w:color="auto"/>
            </w:tcBorders>
            <w:vAlign w:val="center"/>
          </w:tcPr>
          <w:p w14:paraId="1545FAAD" w14:textId="77777777" w:rsidR="00AE4E36" w:rsidRPr="00E64B9F" w:rsidRDefault="00AE4E36" w:rsidP="00B84CDC">
            <w:pPr>
              <w:tabs>
                <w:tab w:val="left" w:pos="2127"/>
              </w:tabs>
              <w:ind w:left="567"/>
              <w:contextualSpacing/>
              <w:jc w:val="center"/>
              <w:rPr>
                <w:rFonts w:ascii="Tw Cen MT" w:hAnsi="Tw Cen MT"/>
                <w:sz w:val="20"/>
                <w:szCs w:val="20"/>
              </w:rPr>
            </w:pPr>
            <w:r w:rsidRPr="00E64B9F">
              <w:rPr>
                <w:rFonts w:ascii="Tw Cen MT" w:hAnsi="Tw Cen MT"/>
                <w:sz w:val="20"/>
                <w:szCs w:val="20"/>
              </w:rPr>
              <w:t>Tingkat Kecemasan</w:t>
            </w:r>
          </w:p>
        </w:tc>
        <w:tc>
          <w:tcPr>
            <w:tcW w:w="1020" w:type="dxa"/>
            <w:tcBorders>
              <w:bottom w:val="single" w:sz="4" w:space="0" w:color="auto"/>
            </w:tcBorders>
            <w:vAlign w:val="center"/>
          </w:tcPr>
          <w:p w14:paraId="38AE7A0B" w14:textId="77777777" w:rsidR="00AE4E36" w:rsidRPr="00E64B9F" w:rsidRDefault="00AE4E36" w:rsidP="00B84CDC">
            <w:pPr>
              <w:tabs>
                <w:tab w:val="left" w:pos="2127"/>
              </w:tabs>
              <w:ind w:left="-108"/>
              <w:contextualSpacing/>
              <w:rPr>
                <w:rFonts w:ascii="Tw Cen MT" w:hAnsi="Tw Cen MT"/>
                <w:sz w:val="20"/>
                <w:szCs w:val="20"/>
                <w:lang w:val="id-ID"/>
              </w:rPr>
            </w:pPr>
            <w:r w:rsidRPr="00E64B9F">
              <w:rPr>
                <w:rFonts w:ascii="Tw Cen MT" w:hAnsi="Tw Cen MT"/>
                <w:sz w:val="20"/>
                <w:szCs w:val="20"/>
              </w:rPr>
              <w:t>Frekuensi</w:t>
            </w:r>
          </w:p>
        </w:tc>
        <w:tc>
          <w:tcPr>
            <w:tcW w:w="1140" w:type="dxa"/>
            <w:tcBorders>
              <w:bottom w:val="single" w:sz="4" w:space="0" w:color="auto"/>
            </w:tcBorders>
            <w:vAlign w:val="center"/>
          </w:tcPr>
          <w:p w14:paraId="188CBE82" w14:textId="77777777" w:rsidR="00AE4E36" w:rsidRPr="00E64B9F" w:rsidRDefault="00AE4E36" w:rsidP="00B84CDC">
            <w:pPr>
              <w:tabs>
                <w:tab w:val="left" w:pos="2127"/>
              </w:tabs>
              <w:ind w:left="42"/>
              <w:contextualSpacing/>
              <w:jc w:val="center"/>
              <w:rPr>
                <w:rFonts w:ascii="Tw Cen MT" w:hAnsi="Tw Cen MT"/>
                <w:sz w:val="20"/>
                <w:szCs w:val="20"/>
              </w:rPr>
            </w:pPr>
            <w:r w:rsidRPr="00E64B9F">
              <w:rPr>
                <w:rFonts w:ascii="Tw Cen MT" w:hAnsi="Tw Cen MT"/>
                <w:i/>
                <w:sz w:val="20"/>
                <w:szCs w:val="20"/>
              </w:rPr>
              <w:t>%</w:t>
            </w:r>
          </w:p>
        </w:tc>
      </w:tr>
      <w:tr w:rsidR="00AE4E36" w:rsidRPr="00E64B9F" w14:paraId="0037F257" w14:textId="77777777" w:rsidTr="00B84CDC">
        <w:tc>
          <w:tcPr>
            <w:tcW w:w="2127" w:type="dxa"/>
            <w:tcBorders>
              <w:top w:val="nil"/>
              <w:bottom w:val="nil"/>
            </w:tcBorders>
          </w:tcPr>
          <w:p w14:paraId="2D03941C" w14:textId="77777777" w:rsidR="00AE4E36" w:rsidRPr="00E64B9F" w:rsidRDefault="00AE4E36" w:rsidP="00B84CDC">
            <w:pPr>
              <w:contextualSpacing/>
              <w:jc w:val="both"/>
              <w:rPr>
                <w:rFonts w:ascii="Tw Cen MT" w:hAnsi="Tw Cen MT"/>
                <w:sz w:val="20"/>
                <w:szCs w:val="20"/>
              </w:rPr>
            </w:pPr>
            <w:r w:rsidRPr="00E64B9F">
              <w:rPr>
                <w:rFonts w:ascii="Tw Cen MT" w:hAnsi="Tw Cen MT"/>
                <w:sz w:val="20"/>
                <w:szCs w:val="20"/>
              </w:rPr>
              <w:t>Pre Test</w:t>
            </w:r>
          </w:p>
        </w:tc>
        <w:tc>
          <w:tcPr>
            <w:tcW w:w="1020" w:type="dxa"/>
            <w:tcBorders>
              <w:top w:val="nil"/>
              <w:bottom w:val="nil"/>
            </w:tcBorders>
          </w:tcPr>
          <w:p w14:paraId="7D55B076" w14:textId="77777777" w:rsidR="00AE4E36" w:rsidRPr="00E64B9F" w:rsidRDefault="00AE4E36" w:rsidP="00B84CDC">
            <w:pPr>
              <w:ind w:left="-16"/>
              <w:contextualSpacing/>
              <w:jc w:val="center"/>
              <w:rPr>
                <w:rFonts w:ascii="Tw Cen MT" w:hAnsi="Tw Cen MT"/>
                <w:sz w:val="20"/>
                <w:szCs w:val="20"/>
                <w:lang w:val="id-ID"/>
              </w:rPr>
            </w:pPr>
          </w:p>
        </w:tc>
        <w:tc>
          <w:tcPr>
            <w:tcW w:w="1140" w:type="dxa"/>
            <w:tcBorders>
              <w:top w:val="nil"/>
              <w:bottom w:val="nil"/>
            </w:tcBorders>
          </w:tcPr>
          <w:p w14:paraId="5B5FAB35" w14:textId="77777777" w:rsidR="00AE4E36" w:rsidRPr="00E64B9F" w:rsidRDefault="00AE4E36" w:rsidP="00B84CDC">
            <w:pPr>
              <w:ind w:left="-16"/>
              <w:contextualSpacing/>
              <w:jc w:val="center"/>
              <w:rPr>
                <w:rFonts w:ascii="Tw Cen MT" w:hAnsi="Tw Cen MT"/>
                <w:sz w:val="20"/>
                <w:szCs w:val="20"/>
                <w:lang w:val="id-ID"/>
              </w:rPr>
            </w:pPr>
          </w:p>
        </w:tc>
      </w:tr>
      <w:tr w:rsidR="00AE4E36" w:rsidRPr="00E64B9F" w14:paraId="377165EC" w14:textId="77777777" w:rsidTr="00B84CDC">
        <w:tc>
          <w:tcPr>
            <w:tcW w:w="2127" w:type="dxa"/>
            <w:tcBorders>
              <w:top w:val="nil"/>
              <w:bottom w:val="nil"/>
            </w:tcBorders>
          </w:tcPr>
          <w:p w14:paraId="7D589E29"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Ringan</w:t>
            </w:r>
          </w:p>
        </w:tc>
        <w:tc>
          <w:tcPr>
            <w:tcW w:w="1020" w:type="dxa"/>
            <w:tcBorders>
              <w:top w:val="nil"/>
              <w:bottom w:val="nil"/>
            </w:tcBorders>
          </w:tcPr>
          <w:p w14:paraId="4BB891B1"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15</w:t>
            </w:r>
          </w:p>
        </w:tc>
        <w:tc>
          <w:tcPr>
            <w:tcW w:w="1140" w:type="dxa"/>
            <w:tcBorders>
              <w:top w:val="nil"/>
              <w:bottom w:val="nil"/>
            </w:tcBorders>
          </w:tcPr>
          <w:p w14:paraId="02BA12D7"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30</w:t>
            </w:r>
          </w:p>
        </w:tc>
      </w:tr>
      <w:tr w:rsidR="00AE4E36" w:rsidRPr="00E64B9F" w14:paraId="548568A8" w14:textId="77777777" w:rsidTr="00B84CDC">
        <w:tc>
          <w:tcPr>
            <w:tcW w:w="2127" w:type="dxa"/>
            <w:tcBorders>
              <w:top w:val="nil"/>
              <w:bottom w:val="nil"/>
            </w:tcBorders>
          </w:tcPr>
          <w:p w14:paraId="145FE1D6"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 xml:space="preserve">Sedang </w:t>
            </w:r>
          </w:p>
        </w:tc>
        <w:tc>
          <w:tcPr>
            <w:tcW w:w="1020" w:type="dxa"/>
            <w:tcBorders>
              <w:top w:val="nil"/>
              <w:bottom w:val="nil"/>
            </w:tcBorders>
          </w:tcPr>
          <w:p w14:paraId="3D6783B8"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20</w:t>
            </w:r>
          </w:p>
        </w:tc>
        <w:tc>
          <w:tcPr>
            <w:tcW w:w="1140" w:type="dxa"/>
            <w:tcBorders>
              <w:top w:val="nil"/>
              <w:bottom w:val="nil"/>
            </w:tcBorders>
          </w:tcPr>
          <w:p w14:paraId="4734ED6E"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40</w:t>
            </w:r>
          </w:p>
        </w:tc>
      </w:tr>
      <w:tr w:rsidR="00AE4E36" w:rsidRPr="00E64B9F" w14:paraId="297342CE" w14:textId="77777777" w:rsidTr="00B84CDC">
        <w:tc>
          <w:tcPr>
            <w:tcW w:w="2127" w:type="dxa"/>
            <w:tcBorders>
              <w:top w:val="nil"/>
              <w:bottom w:val="single" w:sz="4" w:space="0" w:color="auto"/>
            </w:tcBorders>
          </w:tcPr>
          <w:p w14:paraId="1D0CCAC0"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Berat</w:t>
            </w:r>
          </w:p>
        </w:tc>
        <w:tc>
          <w:tcPr>
            <w:tcW w:w="1020" w:type="dxa"/>
            <w:tcBorders>
              <w:top w:val="nil"/>
              <w:bottom w:val="single" w:sz="4" w:space="0" w:color="auto"/>
            </w:tcBorders>
          </w:tcPr>
          <w:p w14:paraId="0ECAF9CD"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15</w:t>
            </w:r>
          </w:p>
        </w:tc>
        <w:tc>
          <w:tcPr>
            <w:tcW w:w="1140" w:type="dxa"/>
            <w:tcBorders>
              <w:top w:val="nil"/>
              <w:bottom w:val="single" w:sz="4" w:space="0" w:color="auto"/>
            </w:tcBorders>
          </w:tcPr>
          <w:p w14:paraId="1BDDDCFB"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30</w:t>
            </w:r>
          </w:p>
        </w:tc>
      </w:tr>
      <w:tr w:rsidR="00AE4E36" w:rsidRPr="00E64B9F" w14:paraId="35F5CFEE" w14:textId="77777777" w:rsidTr="00B84CDC">
        <w:tc>
          <w:tcPr>
            <w:tcW w:w="2127" w:type="dxa"/>
            <w:tcBorders>
              <w:top w:val="single" w:sz="4" w:space="0" w:color="auto"/>
              <w:bottom w:val="nil"/>
            </w:tcBorders>
          </w:tcPr>
          <w:p w14:paraId="45D6A676" w14:textId="77777777" w:rsidR="00AE4E36" w:rsidRPr="00E64B9F" w:rsidRDefault="00AE4E36" w:rsidP="00B84CDC">
            <w:pPr>
              <w:contextualSpacing/>
              <w:jc w:val="both"/>
              <w:rPr>
                <w:rFonts w:ascii="Tw Cen MT" w:hAnsi="Tw Cen MT"/>
                <w:sz w:val="20"/>
                <w:szCs w:val="20"/>
              </w:rPr>
            </w:pPr>
            <w:r w:rsidRPr="00E64B9F">
              <w:rPr>
                <w:rFonts w:ascii="Tw Cen MT" w:hAnsi="Tw Cen MT"/>
                <w:sz w:val="20"/>
                <w:szCs w:val="20"/>
              </w:rPr>
              <w:t>Post Test</w:t>
            </w:r>
          </w:p>
        </w:tc>
        <w:tc>
          <w:tcPr>
            <w:tcW w:w="1020" w:type="dxa"/>
            <w:tcBorders>
              <w:top w:val="single" w:sz="4" w:space="0" w:color="auto"/>
              <w:bottom w:val="nil"/>
            </w:tcBorders>
          </w:tcPr>
          <w:p w14:paraId="56BCDD99" w14:textId="77777777" w:rsidR="00AE4E36" w:rsidRPr="00E64B9F" w:rsidRDefault="00AE4E36" w:rsidP="00B84CDC">
            <w:pPr>
              <w:ind w:left="-16"/>
              <w:contextualSpacing/>
              <w:jc w:val="center"/>
              <w:rPr>
                <w:rFonts w:ascii="Tw Cen MT" w:hAnsi="Tw Cen MT"/>
                <w:sz w:val="20"/>
                <w:szCs w:val="20"/>
              </w:rPr>
            </w:pPr>
          </w:p>
        </w:tc>
        <w:tc>
          <w:tcPr>
            <w:tcW w:w="1140" w:type="dxa"/>
            <w:tcBorders>
              <w:top w:val="single" w:sz="4" w:space="0" w:color="auto"/>
              <w:bottom w:val="nil"/>
            </w:tcBorders>
          </w:tcPr>
          <w:p w14:paraId="268E2388" w14:textId="77777777" w:rsidR="00AE4E36" w:rsidRPr="00E64B9F" w:rsidRDefault="00AE4E36" w:rsidP="00B84CDC">
            <w:pPr>
              <w:ind w:left="-16"/>
              <w:contextualSpacing/>
              <w:jc w:val="center"/>
              <w:rPr>
                <w:rFonts w:ascii="Tw Cen MT" w:hAnsi="Tw Cen MT"/>
                <w:sz w:val="20"/>
                <w:szCs w:val="20"/>
              </w:rPr>
            </w:pPr>
          </w:p>
        </w:tc>
      </w:tr>
      <w:tr w:rsidR="00AE4E36" w:rsidRPr="00E64B9F" w14:paraId="16351E49" w14:textId="77777777" w:rsidTr="00B84CDC">
        <w:tc>
          <w:tcPr>
            <w:tcW w:w="2127" w:type="dxa"/>
            <w:tcBorders>
              <w:top w:val="nil"/>
              <w:bottom w:val="nil"/>
            </w:tcBorders>
          </w:tcPr>
          <w:p w14:paraId="3236A7CA"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Ringan</w:t>
            </w:r>
          </w:p>
        </w:tc>
        <w:tc>
          <w:tcPr>
            <w:tcW w:w="1020" w:type="dxa"/>
            <w:tcBorders>
              <w:top w:val="nil"/>
              <w:bottom w:val="nil"/>
            </w:tcBorders>
          </w:tcPr>
          <w:p w14:paraId="75CFD169"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36</w:t>
            </w:r>
          </w:p>
        </w:tc>
        <w:tc>
          <w:tcPr>
            <w:tcW w:w="1140" w:type="dxa"/>
            <w:tcBorders>
              <w:top w:val="nil"/>
              <w:bottom w:val="nil"/>
            </w:tcBorders>
          </w:tcPr>
          <w:p w14:paraId="40A1B1F7"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72</w:t>
            </w:r>
          </w:p>
        </w:tc>
      </w:tr>
      <w:tr w:rsidR="00AE4E36" w:rsidRPr="00E64B9F" w14:paraId="3212D561" w14:textId="77777777" w:rsidTr="00B84CDC">
        <w:tc>
          <w:tcPr>
            <w:tcW w:w="2127" w:type="dxa"/>
            <w:tcBorders>
              <w:top w:val="nil"/>
              <w:bottom w:val="nil"/>
            </w:tcBorders>
          </w:tcPr>
          <w:p w14:paraId="0ED789EC"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Sedang</w:t>
            </w:r>
          </w:p>
        </w:tc>
        <w:tc>
          <w:tcPr>
            <w:tcW w:w="1020" w:type="dxa"/>
            <w:tcBorders>
              <w:top w:val="nil"/>
              <w:bottom w:val="nil"/>
            </w:tcBorders>
          </w:tcPr>
          <w:p w14:paraId="7DD2ED6F"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8</w:t>
            </w:r>
          </w:p>
        </w:tc>
        <w:tc>
          <w:tcPr>
            <w:tcW w:w="1140" w:type="dxa"/>
            <w:tcBorders>
              <w:top w:val="nil"/>
              <w:bottom w:val="nil"/>
            </w:tcBorders>
          </w:tcPr>
          <w:p w14:paraId="1FEBBF33"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16</w:t>
            </w:r>
          </w:p>
        </w:tc>
      </w:tr>
      <w:tr w:rsidR="00AE4E36" w:rsidRPr="00E64B9F" w14:paraId="20A48367" w14:textId="77777777" w:rsidTr="00B84CDC">
        <w:tc>
          <w:tcPr>
            <w:tcW w:w="2127" w:type="dxa"/>
            <w:tcBorders>
              <w:top w:val="nil"/>
              <w:bottom w:val="nil"/>
            </w:tcBorders>
          </w:tcPr>
          <w:p w14:paraId="1790B984"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Berat</w:t>
            </w:r>
          </w:p>
        </w:tc>
        <w:tc>
          <w:tcPr>
            <w:tcW w:w="1020" w:type="dxa"/>
            <w:tcBorders>
              <w:top w:val="nil"/>
              <w:bottom w:val="nil"/>
            </w:tcBorders>
          </w:tcPr>
          <w:p w14:paraId="2629B72D"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2</w:t>
            </w:r>
          </w:p>
        </w:tc>
        <w:tc>
          <w:tcPr>
            <w:tcW w:w="1140" w:type="dxa"/>
            <w:tcBorders>
              <w:top w:val="nil"/>
              <w:bottom w:val="nil"/>
            </w:tcBorders>
          </w:tcPr>
          <w:p w14:paraId="2964F1FF"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w:t>
            </w:r>
          </w:p>
        </w:tc>
      </w:tr>
      <w:tr w:rsidR="00AE4E36" w:rsidRPr="00E64B9F" w14:paraId="5BB030E3" w14:textId="77777777" w:rsidTr="00B84CDC">
        <w:tc>
          <w:tcPr>
            <w:tcW w:w="2127" w:type="dxa"/>
            <w:tcBorders>
              <w:top w:val="nil"/>
              <w:bottom w:val="single" w:sz="4" w:space="0" w:color="auto"/>
            </w:tcBorders>
          </w:tcPr>
          <w:p w14:paraId="6251CFFF"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Tidak Cemas</w:t>
            </w:r>
          </w:p>
        </w:tc>
        <w:tc>
          <w:tcPr>
            <w:tcW w:w="1020" w:type="dxa"/>
            <w:tcBorders>
              <w:top w:val="nil"/>
              <w:bottom w:val="single" w:sz="4" w:space="0" w:color="auto"/>
            </w:tcBorders>
          </w:tcPr>
          <w:p w14:paraId="77A551B6"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w:t>
            </w:r>
          </w:p>
        </w:tc>
        <w:tc>
          <w:tcPr>
            <w:tcW w:w="1140" w:type="dxa"/>
            <w:tcBorders>
              <w:top w:val="nil"/>
              <w:bottom w:val="single" w:sz="4" w:space="0" w:color="auto"/>
            </w:tcBorders>
          </w:tcPr>
          <w:p w14:paraId="1C3C986C"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8</w:t>
            </w:r>
          </w:p>
        </w:tc>
      </w:tr>
    </w:tbl>
    <w:p w14:paraId="54065368" w14:textId="68133187" w:rsidR="00AE4E36" w:rsidRDefault="00AE4E36" w:rsidP="00AE4E36">
      <w:pPr>
        <w:widowControl w:val="0"/>
        <w:autoSpaceDE w:val="0"/>
        <w:autoSpaceDN w:val="0"/>
        <w:adjustRightInd w:val="0"/>
        <w:spacing w:after="0" w:line="240" w:lineRule="auto"/>
        <w:jc w:val="both"/>
        <w:rPr>
          <w:rFonts w:ascii="Tw Cen MT" w:hAnsi="Tw Cen MT"/>
          <w:sz w:val="20"/>
          <w:szCs w:val="20"/>
        </w:rPr>
      </w:pPr>
      <w:r w:rsidRPr="00AE4E36">
        <w:rPr>
          <w:rFonts w:ascii="Tw Cen MT" w:hAnsi="Tw Cen MT"/>
          <w:sz w:val="20"/>
          <w:szCs w:val="20"/>
        </w:rPr>
        <w:t>Variabel Dependen: Tingkat Kecemasan</w:t>
      </w:r>
    </w:p>
    <w:p w14:paraId="52E4B031" w14:textId="77777777" w:rsidR="00AE4E36" w:rsidRPr="00AE4E36" w:rsidRDefault="00AE4E36" w:rsidP="00AE4E36">
      <w:pPr>
        <w:widowControl w:val="0"/>
        <w:autoSpaceDE w:val="0"/>
        <w:autoSpaceDN w:val="0"/>
        <w:adjustRightInd w:val="0"/>
        <w:spacing w:after="0" w:line="240" w:lineRule="auto"/>
        <w:jc w:val="both"/>
        <w:rPr>
          <w:rFonts w:ascii="Tw Cen MT" w:hAnsi="Tw Cen MT"/>
          <w:sz w:val="20"/>
          <w:szCs w:val="20"/>
        </w:rPr>
      </w:pPr>
    </w:p>
    <w:p w14:paraId="11BAAD2D" w14:textId="77777777" w:rsidR="00AE4E36" w:rsidRPr="00980DAD" w:rsidRDefault="00AE4E36" w:rsidP="00AE4E36">
      <w:pPr>
        <w:tabs>
          <w:tab w:val="left" w:pos="2127"/>
        </w:tabs>
        <w:spacing w:after="0" w:line="240" w:lineRule="auto"/>
        <w:contextualSpacing/>
        <w:jc w:val="center"/>
        <w:rPr>
          <w:rFonts w:ascii="Tw Cen MT" w:hAnsi="Tw Cen MT"/>
          <w:sz w:val="20"/>
          <w:szCs w:val="20"/>
        </w:rPr>
      </w:pPr>
      <w:r w:rsidRPr="00980DAD">
        <w:rPr>
          <w:rFonts w:ascii="Tw Cen MT" w:hAnsi="Tw Cen MT"/>
          <w:sz w:val="20"/>
          <w:szCs w:val="20"/>
        </w:rPr>
        <w:t xml:space="preserve">Tabel 3 Pengaruh Terapi Kelompok Terapeutik (TKT), Pendidikan Kesehatan dan TS terhadap Tingkat Kecemasan menghadapi </w:t>
      </w:r>
      <w:r w:rsidRPr="00980DAD">
        <w:rPr>
          <w:rFonts w:ascii="Tw Cen MT" w:hAnsi="Tw Cen MT"/>
          <w:i/>
          <w:sz w:val="20"/>
          <w:szCs w:val="20"/>
        </w:rPr>
        <w:t>Menarche</w:t>
      </w:r>
      <w:r w:rsidRPr="00980DAD">
        <w:rPr>
          <w:rFonts w:ascii="Tw Cen MT" w:hAnsi="Tw Cen MT"/>
          <w:sz w:val="20"/>
          <w:szCs w:val="20"/>
        </w:rPr>
        <w:t xml:space="preserve"> </w:t>
      </w:r>
    </w:p>
    <w:tbl>
      <w:tblPr>
        <w:tblStyle w:val="TableGrid"/>
        <w:tblW w:w="428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029"/>
        <w:gridCol w:w="891"/>
        <w:gridCol w:w="807"/>
      </w:tblGrid>
      <w:tr w:rsidR="00AE4E36" w:rsidRPr="00E64B9F" w14:paraId="2D04D50B" w14:textId="77777777" w:rsidTr="00B84CDC">
        <w:trPr>
          <w:trHeight w:val="387"/>
        </w:trPr>
        <w:tc>
          <w:tcPr>
            <w:tcW w:w="1560" w:type="dxa"/>
            <w:tcBorders>
              <w:bottom w:val="single" w:sz="4" w:space="0" w:color="auto"/>
            </w:tcBorders>
            <w:vAlign w:val="center"/>
          </w:tcPr>
          <w:p w14:paraId="41925C82" w14:textId="77777777" w:rsidR="00AE4E36" w:rsidRPr="00E64B9F" w:rsidRDefault="00AE4E36" w:rsidP="00B84CDC">
            <w:pPr>
              <w:tabs>
                <w:tab w:val="left" w:pos="2127"/>
              </w:tabs>
              <w:contextualSpacing/>
              <w:rPr>
                <w:rFonts w:ascii="Tw Cen MT" w:hAnsi="Tw Cen MT"/>
                <w:sz w:val="20"/>
                <w:szCs w:val="20"/>
              </w:rPr>
            </w:pPr>
            <w:r w:rsidRPr="00E64B9F">
              <w:rPr>
                <w:rFonts w:ascii="Tw Cen MT" w:hAnsi="Tw Cen MT"/>
                <w:sz w:val="20"/>
                <w:szCs w:val="20"/>
              </w:rPr>
              <w:t>Variabel</w:t>
            </w:r>
          </w:p>
        </w:tc>
        <w:tc>
          <w:tcPr>
            <w:tcW w:w="1029" w:type="dxa"/>
            <w:tcBorders>
              <w:bottom w:val="single" w:sz="4" w:space="0" w:color="auto"/>
            </w:tcBorders>
            <w:vAlign w:val="center"/>
          </w:tcPr>
          <w:p w14:paraId="26F3B3CE" w14:textId="77777777" w:rsidR="00AE4E36" w:rsidRPr="00E64B9F" w:rsidRDefault="00AE4E36" w:rsidP="00B84CDC">
            <w:pPr>
              <w:tabs>
                <w:tab w:val="left" w:pos="2127"/>
              </w:tabs>
              <w:contextualSpacing/>
              <w:jc w:val="center"/>
              <w:rPr>
                <w:rFonts w:ascii="Tw Cen MT" w:hAnsi="Tw Cen MT"/>
                <w:sz w:val="20"/>
                <w:szCs w:val="20"/>
                <w:lang w:val="id-ID"/>
              </w:rPr>
            </w:pPr>
            <w:r w:rsidRPr="00E64B9F">
              <w:rPr>
                <w:rFonts w:ascii="Tw Cen MT" w:hAnsi="Tw Cen MT"/>
                <w:sz w:val="20"/>
                <w:szCs w:val="20"/>
              </w:rPr>
              <w:t>N</w:t>
            </w:r>
          </w:p>
        </w:tc>
        <w:tc>
          <w:tcPr>
            <w:tcW w:w="891" w:type="dxa"/>
            <w:tcBorders>
              <w:bottom w:val="single" w:sz="4" w:space="0" w:color="auto"/>
            </w:tcBorders>
            <w:vAlign w:val="center"/>
          </w:tcPr>
          <w:p w14:paraId="6E45B1BC" w14:textId="77777777" w:rsidR="00AE4E36" w:rsidRPr="00E64B9F" w:rsidRDefault="00AE4E36" w:rsidP="00B84CDC">
            <w:pPr>
              <w:tabs>
                <w:tab w:val="left" w:pos="2127"/>
              </w:tabs>
              <w:contextualSpacing/>
              <w:jc w:val="center"/>
              <w:rPr>
                <w:rFonts w:ascii="Tw Cen MT" w:hAnsi="Tw Cen MT"/>
                <w:sz w:val="20"/>
                <w:szCs w:val="20"/>
              </w:rPr>
            </w:pPr>
            <w:r w:rsidRPr="00E64B9F">
              <w:rPr>
                <w:rFonts w:ascii="Tw Cen MT" w:hAnsi="Tw Cen MT"/>
                <w:sz w:val="20"/>
                <w:szCs w:val="20"/>
              </w:rPr>
              <w:t>Z</w:t>
            </w:r>
          </w:p>
        </w:tc>
        <w:tc>
          <w:tcPr>
            <w:tcW w:w="807" w:type="dxa"/>
            <w:tcBorders>
              <w:bottom w:val="single" w:sz="4" w:space="0" w:color="auto"/>
            </w:tcBorders>
          </w:tcPr>
          <w:p w14:paraId="02C07994" w14:textId="77777777" w:rsidR="00AE4E36" w:rsidRPr="00E64B9F" w:rsidRDefault="00AE4E36" w:rsidP="00B84CDC">
            <w:pPr>
              <w:tabs>
                <w:tab w:val="left" w:pos="2127"/>
              </w:tabs>
              <w:ind w:left="-185"/>
              <w:contextualSpacing/>
              <w:jc w:val="center"/>
              <w:rPr>
                <w:rFonts w:ascii="Tw Cen MT" w:hAnsi="Tw Cen MT"/>
                <w:i/>
                <w:sz w:val="20"/>
                <w:szCs w:val="20"/>
              </w:rPr>
            </w:pPr>
            <w:r w:rsidRPr="00E64B9F">
              <w:rPr>
                <w:rFonts w:ascii="Tw Cen MT" w:hAnsi="Tw Cen MT"/>
                <w:i/>
                <w:sz w:val="20"/>
                <w:szCs w:val="20"/>
              </w:rPr>
              <w:t>p-value</w:t>
            </w:r>
          </w:p>
        </w:tc>
      </w:tr>
      <w:tr w:rsidR="00AE4E36" w:rsidRPr="00E64B9F" w14:paraId="626FD426" w14:textId="77777777" w:rsidTr="00B84CDC">
        <w:tc>
          <w:tcPr>
            <w:tcW w:w="1560" w:type="dxa"/>
            <w:tcBorders>
              <w:top w:val="single" w:sz="4" w:space="0" w:color="auto"/>
              <w:bottom w:val="single" w:sz="4" w:space="0" w:color="auto"/>
            </w:tcBorders>
          </w:tcPr>
          <w:p w14:paraId="2D6DDC45" w14:textId="77777777" w:rsidR="00AE4E36" w:rsidRPr="00E64B9F" w:rsidRDefault="00AE4E36" w:rsidP="00B84CDC">
            <w:pPr>
              <w:contextualSpacing/>
              <w:rPr>
                <w:rFonts w:ascii="Tw Cen MT" w:hAnsi="Tw Cen MT"/>
                <w:sz w:val="20"/>
                <w:szCs w:val="20"/>
              </w:rPr>
            </w:pPr>
            <w:r w:rsidRPr="00E64B9F">
              <w:rPr>
                <w:rFonts w:ascii="Tw Cen MT" w:hAnsi="Tw Cen MT"/>
                <w:sz w:val="20"/>
                <w:szCs w:val="20"/>
              </w:rPr>
              <w:t xml:space="preserve">Implementasi TKT, Penkes dan TS terhadap </w:t>
            </w:r>
            <w:r w:rsidRPr="00E64B9F">
              <w:rPr>
                <w:rFonts w:ascii="Tw Cen MT" w:hAnsi="Tw Cen MT"/>
                <w:sz w:val="20"/>
                <w:szCs w:val="20"/>
              </w:rPr>
              <w:t>Tingkat Kecemasan</w:t>
            </w:r>
          </w:p>
        </w:tc>
        <w:tc>
          <w:tcPr>
            <w:tcW w:w="1029" w:type="dxa"/>
            <w:tcBorders>
              <w:top w:val="single" w:sz="4" w:space="0" w:color="auto"/>
              <w:bottom w:val="single" w:sz="4" w:space="0" w:color="auto"/>
            </w:tcBorders>
          </w:tcPr>
          <w:p w14:paraId="6AA8024E"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20</w:t>
            </w:r>
          </w:p>
        </w:tc>
        <w:tc>
          <w:tcPr>
            <w:tcW w:w="891" w:type="dxa"/>
            <w:tcBorders>
              <w:top w:val="single" w:sz="4" w:space="0" w:color="auto"/>
              <w:bottom w:val="single" w:sz="4" w:space="0" w:color="auto"/>
            </w:tcBorders>
          </w:tcPr>
          <w:p w14:paraId="4A6D4FDD"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-3.500</w:t>
            </w:r>
          </w:p>
        </w:tc>
        <w:tc>
          <w:tcPr>
            <w:tcW w:w="807" w:type="dxa"/>
            <w:tcBorders>
              <w:top w:val="single" w:sz="4" w:space="0" w:color="auto"/>
              <w:bottom w:val="single" w:sz="4" w:space="0" w:color="auto"/>
            </w:tcBorders>
          </w:tcPr>
          <w:p w14:paraId="5E9DAFD8"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0,000</w:t>
            </w:r>
          </w:p>
        </w:tc>
      </w:tr>
    </w:tbl>
    <w:p w14:paraId="2DAC71D4" w14:textId="77777777" w:rsidR="00AE4E36" w:rsidRDefault="00AE4E36" w:rsidP="00AE4E36">
      <w:pPr>
        <w:pStyle w:val="CommentText"/>
        <w:spacing w:after="0"/>
        <w:jc w:val="both"/>
        <w:rPr>
          <w:rFonts w:ascii="Tw Cen MT" w:hAnsi="Tw Cen MT"/>
          <w:sz w:val="24"/>
          <w:szCs w:val="24"/>
        </w:rPr>
      </w:pPr>
    </w:p>
    <w:p w14:paraId="381A5000" w14:textId="2A482B28" w:rsidR="00AE4E36" w:rsidRPr="00E64B9F" w:rsidRDefault="00AE4E36" w:rsidP="00AE4E36">
      <w:pPr>
        <w:pStyle w:val="CommentText"/>
        <w:spacing w:after="0"/>
        <w:jc w:val="both"/>
        <w:rPr>
          <w:rFonts w:ascii="Tw Cen MT" w:hAnsi="Tw Cen MT"/>
          <w:sz w:val="24"/>
          <w:szCs w:val="24"/>
        </w:rPr>
      </w:pPr>
      <w:r w:rsidRPr="00E64B9F">
        <w:rPr>
          <w:rFonts w:ascii="Tw Cen MT" w:hAnsi="Tw Cen MT"/>
          <w:sz w:val="24"/>
          <w:szCs w:val="24"/>
        </w:rPr>
        <w:t xml:space="preserve">Hasil Analisis Bivariat uji statistik </w:t>
      </w:r>
      <w:r w:rsidRPr="00E64B9F">
        <w:rPr>
          <w:rFonts w:ascii="Tw Cen MT" w:hAnsi="Tw Cen MT"/>
          <w:i/>
          <w:sz w:val="24"/>
          <w:szCs w:val="24"/>
        </w:rPr>
        <w:t xml:space="preserve">Wilcoxon </w:t>
      </w:r>
      <w:r w:rsidRPr="00E64B9F">
        <w:rPr>
          <w:rFonts w:ascii="Tw Cen MT" w:hAnsi="Tw Cen MT"/>
          <w:sz w:val="24"/>
          <w:szCs w:val="24"/>
        </w:rPr>
        <w:t>didapatkan nilai Z pre dan post tingkat kecemasan sebesar -3.500 dan p-</w:t>
      </w:r>
      <w:r w:rsidRPr="00E64B9F">
        <w:rPr>
          <w:rFonts w:ascii="Tw Cen MT" w:hAnsi="Tw Cen MT"/>
          <w:i/>
          <w:sz w:val="24"/>
          <w:szCs w:val="24"/>
        </w:rPr>
        <w:t xml:space="preserve">value </w:t>
      </w:r>
      <w:r w:rsidRPr="00E64B9F">
        <w:rPr>
          <w:rFonts w:ascii="Tw Cen MT" w:hAnsi="Tw Cen MT"/>
          <w:sz w:val="24"/>
          <w:szCs w:val="24"/>
        </w:rPr>
        <w:t xml:space="preserve">sebesar 0.000 pada </w:t>
      </w:r>
      <w:r w:rsidRPr="00E64B9F">
        <w:rPr>
          <w:rFonts w:ascii="Tw Cen MT" w:hAnsi="Tw Cen MT"/>
          <w:sz w:val="24"/>
          <w:szCs w:val="24"/>
        </w:rPr>
        <w:sym w:font="Symbol" w:char="F061"/>
      </w:r>
      <w:r w:rsidRPr="00E64B9F">
        <w:rPr>
          <w:rFonts w:ascii="Tw Cen MT" w:hAnsi="Tw Cen MT"/>
          <w:sz w:val="24"/>
          <w:szCs w:val="24"/>
        </w:rPr>
        <w:t xml:space="preserve"> 5% (0.05), yang berarti p-</w:t>
      </w:r>
      <w:r w:rsidRPr="00E64B9F">
        <w:rPr>
          <w:rFonts w:ascii="Tw Cen MT" w:hAnsi="Tw Cen MT"/>
          <w:i/>
          <w:sz w:val="24"/>
          <w:szCs w:val="24"/>
        </w:rPr>
        <w:t xml:space="preserve">value </w:t>
      </w:r>
      <w:r w:rsidRPr="00E64B9F">
        <w:rPr>
          <w:rFonts w:ascii="Tw Cen MT" w:hAnsi="Tw Cen MT"/>
          <w:sz w:val="24"/>
          <w:szCs w:val="24"/>
        </w:rPr>
        <w:sym w:font="Symbol" w:char="F03C"/>
      </w:r>
      <w:r w:rsidRPr="00E64B9F">
        <w:rPr>
          <w:rFonts w:ascii="Tw Cen MT" w:hAnsi="Tw Cen MT"/>
          <w:sz w:val="24"/>
          <w:szCs w:val="24"/>
        </w:rPr>
        <w:t xml:space="preserve"> </w:t>
      </w:r>
      <w:r w:rsidRPr="00E64B9F">
        <w:rPr>
          <w:rFonts w:ascii="Tw Cen MT" w:hAnsi="Tw Cen MT"/>
          <w:sz w:val="24"/>
          <w:szCs w:val="24"/>
        </w:rPr>
        <w:sym w:font="Symbol" w:char="F061"/>
      </w:r>
      <w:r w:rsidRPr="00E64B9F">
        <w:rPr>
          <w:rFonts w:ascii="Tw Cen MT" w:hAnsi="Tw Cen MT"/>
          <w:sz w:val="24"/>
          <w:szCs w:val="24"/>
        </w:rPr>
        <w:t xml:space="preserve">. Jadi dapat disimpulkan bahwa ada pengaruh Terapi Kelompok Terapeutik (TKT) pendidikan kesehatan dan TS terhadap tingkat kecemasan menghadapi </w:t>
      </w:r>
      <w:r w:rsidRPr="00E64B9F">
        <w:rPr>
          <w:rFonts w:ascii="Tw Cen MT" w:hAnsi="Tw Cen MT"/>
          <w:i/>
          <w:sz w:val="24"/>
          <w:szCs w:val="24"/>
        </w:rPr>
        <w:t xml:space="preserve">menarche </w:t>
      </w:r>
      <w:r w:rsidRPr="00E64B9F">
        <w:rPr>
          <w:rFonts w:ascii="Tw Cen MT" w:hAnsi="Tw Cen MT"/>
          <w:sz w:val="24"/>
          <w:szCs w:val="24"/>
        </w:rPr>
        <w:t>pada siswi di SD Negeri 176 Pekanbaru.</w:t>
      </w:r>
    </w:p>
    <w:p w14:paraId="70D5F576" w14:textId="4B9792C1"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 xml:space="preserve">Berdasarkan hasil penelitian yang dilakukan pada 50 responden mayoritas umurnya adalah 11 tahun sebanyak 32 orang (64%). Penelitian ini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{"citationItems":[{"id":"ITEM-1","itemData":{"abstract":"Puberty in girlsadolescent is characterized by hormonal changes that the arrival of menarche can caused anxiety. The aim of this research was to determine the relationship of family support with the level of anxiety in adolescent to confrontingmenarche in elementary school/equivalent at Kelurahan Tuah Karya was descriptive correlation design and cross sectional approachment. The sample are 275 respondent was cluster random samping. The instrument used questionnaire the validityand reliability had been tested. The analyses used are univariat to determine the frequency distribution and bivariate usingchi-Square test. The result showed 149 respondents received positif family support was 56 from them experienced mild anxiety(37,6%), 63 respondents had moderate anxiety (42,3%), and 30 respondents experienced severe anxiety (20,1%). A total of 126 respondents received negative family support was 67 of them experienced mild anxiety (53,2</w:instrText>
      </w:r>
      <w:r>
        <w:rPr>
          <w:rFonts w:ascii="Tw Cen MT" w:hAnsi="Tw Cen MT" w:hint="eastAsia"/>
          <w:sz w:val="24"/>
          <w:szCs w:val="24"/>
        </w:rPr>
        <w:instrText>%), 48 respondents hadmoderate anxiety (38,1%), and 11 respondents experienced severe anxiety (8,7%). The statistic result obtained is (0,007) &lt; (</w:instrText>
      </w:r>
      <w:r>
        <w:rPr>
          <w:rFonts w:ascii="Tw Cen MT" w:hAnsi="Tw Cen MT" w:hint="eastAsia"/>
          <w:sz w:val="24"/>
          <w:szCs w:val="24"/>
        </w:rPr>
        <w:instrText>α</w:instrText>
      </w:r>
      <w:r>
        <w:rPr>
          <w:rFonts w:ascii="Tw Cen MT" w:hAnsi="Tw Cen MT" w:hint="eastAsia"/>
          <w:sz w:val="24"/>
          <w:szCs w:val="24"/>
        </w:rPr>
        <w:instrText>= 0,05), therefore there is significantly relationship of the family support with level anxiety in adolescen</w:instrText>
      </w:r>
      <w:r>
        <w:rPr>
          <w:rFonts w:ascii="Tw Cen MT" w:hAnsi="Tw Cen MT"/>
          <w:sz w:val="24"/>
          <w:szCs w:val="24"/>
        </w:rPr>
        <w:instrText>t girl in confront menarche during elementary school/aquevalent at Kelurahan Tuah Karya Kecamatan Tampan. This research recommend tothe nurse for give promotion of healt about menarche that can caused anxiety to adolescent confornt puberty.","author":[{"dropping-particle":"","family":"Abadi","given":"Desti Ramatika","non-dropping-particle":"","parse-names":false,"suffix":""},{"dropping-particle":"","family":"Dewi","given":"Ari Pristiana","non-dropping-particle":"","parse-names":false,"suffix":""},{"dropping-particle":"","family":"Nuschayati","given":"Sofiana","non-dropping-particle":"","parse-names":false,"suffix":""}],"container-title":"JOM","id":"ITEM-1","issue":"2","issued":{"date-parts":[["2015"]]},"title":"Hubungan Dukungan Keluarga dengan Tingkat Kecemasan Remaja Putri dalam Menghadapi Menarche","type":"article-journal","volume":"2"},"uris":["http://www.mendeley.com/documents/?uuid=67bd4d02-2dd6-46b6-ac2b-41c598ddd0e6","http://www.mendeley.com/documents/?uuid=4f2b9851-4af0-4f25-94ea-6445c43fa9fb"]}],"mendeley":{"formattedCitation":"[15]","plainTextFormattedCitation":"[15]","previouslyFormattedCitation":"[15]"},"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[15]</w:t>
      </w:r>
      <w:r w:rsidRPr="00E64B9F">
        <w:rPr>
          <w:rFonts w:ascii="Tw Cen MT" w:hAnsi="Tw Cen MT"/>
          <w:sz w:val="24"/>
          <w:szCs w:val="24"/>
        </w:rPr>
        <w:fldChar w:fldCharType="end"/>
      </w:r>
      <w:r w:rsidRPr="00E64B9F">
        <w:rPr>
          <w:rFonts w:ascii="Tw Cen MT" w:hAnsi="Tw Cen MT"/>
          <w:sz w:val="24"/>
          <w:szCs w:val="24"/>
        </w:rPr>
        <w:t xml:space="preserve"> dengan judul hubungan dukungan keluarga dengan tingkat kecemasan remaja putri dalam menghadapi </w:t>
      </w:r>
      <w:r w:rsidRPr="00E64B9F">
        <w:rPr>
          <w:rFonts w:ascii="Tw Cen MT" w:hAnsi="Tw Cen MT"/>
          <w:i/>
          <w:sz w:val="24"/>
          <w:szCs w:val="24"/>
        </w:rPr>
        <w:t>menarche</w:t>
      </w:r>
      <w:r w:rsidRPr="00E64B9F">
        <w:rPr>
          <w:rFonts w:ascii="Tw Cen MT" w:hAnsi="Tw Cen MT"/>
          <w:sz w:val="24"/>
          <w:szCs w:val="24"/>
        </w:rPr>
        <w:t xml:space="preserve">. Hasil penelitian Abadi ini dilakukan pada 275 responden diperoleh hasil sebagian besar responden berusia 11 tahun sebanyak 218 orang (79,3%). Hal ini dikarenakan dalam penelitian ini lebih menekankan kriteria inklusi yang diambil adalah remaja putri yang berusia 11-12 tahun. Penelitian ini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95efe46-fe51-4dbb-a9a4-9fd04589f18b","http://www.mendeley.com/documents/?uuid=c5f262e2-6b6e-4979-8fe4-b5f47092b572"]}],"mendeley":{"formattedCitation":"[16]","plainTextFormattedCitation":"[16]","previouslyFormattedCitation":"[16]"},"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[16]</w:t>
      </w:r>
      <w:r w:rsidRPr="00E64B9F">
        <w:rPr>
          <w:rFonts w:ascii="Tw Cen MT" w:hAnsi="Tw Cen MT"/>
          <w:sz w:val="24"/>
          <w:szCs w:val="24"/>
        </w:rPr>
        <w:fldChar w:fldCharType="end"/>
      </w:r>
      <w:r w:rsidRPr="00E64B9F">
        <w:rPr>
          <w:rFonts w:ascii="Tw Cen MT" w:hAnsi="Tw Cen MT"/>
          <w:sz w:val="24"/>
          <w:szCs w:val="24"/>
        </w:rPr>
        <w:t xml:space="preserve"> dengan judul gambaran tingkat ansietas anak usia sekolah saat mengalami </w:t>
      </w:r>
      <w:r w:rsidRPr="00E64B9F">
        <w:rPr>
          <w:rFonts w:ascii="Tw Cen MT" w:hAnsi="Tw Cen MT"/>
          <w:i/>
          <w:sz w:val="24"/>
          <w:szCs w:val="24"/>
        </w:rPr>
        <w:t>menarche</w:t>
      </w:r>
      <w:r w:rsidRPr="00E64B9F">
        <w:rPr>
          <w:rFonts w:ascii="Tw Cen MT" w:hAnsi="Tw Cen MT"/>
          <w:sz w:val="24"/>
          <w:szCs w:val="24"/>
        </w:rPr>
        <w:t xml:space="preserve">. Hasil penelitian ini didapatkan bahwa karakteristik responden berdasarkan usia </w:t>
      </w:r>
      <w:r w:rsidRPr="00E64B9F">
        <w:rPr>
          <w:rFonts w:ascii="Tw Cen MT" w:hAnsi="Tw Cen MT"/>
          <w:i/>
          <w:sz w:val="24"/>
          <w:szCs w:val="24"/>
        </w:rPr>
        <w:t>menarche</w:t>
      </w:r>
      <w:r w:rsidRPr="00E64B9F">
        <w:rPr>
          <w:rFonts w:ascii="Tw Cen MT" w:hAnsi="Tw Cen MT"/>
          <w:sz w:val="24"/>
          <w:szCs w:val="24"/>
        </w:rPr>
        <w:t xml:space="preserve"> pada siswi di desa yaitu mayoritas pada usia 11 tahun. Hasil penelitian menunjukkan bahwa usia </w:t>
      </w:r>
      <w:r w:rsidRPr="00E64B9F">
        <w:rPr>
          <w:rFonts w:ascii="Tw Cen MT" w:hAnsi="Tw Cen MT"/>
          <w:i/>
          <w:sz w:val="24"/>
          <w:szCs w:val="24"/>
        </w:rPr>
        <w:t>menarche</w:t>
      </w:r>
      <w:r w:rsidRPr="00E64B9F">
        <w:rPr>
          <w:rFonts w:ascii="Tw Cen MT" w:hAnsi="Tw Cen MT"/>
          <w:sz w:val="24"/>
          <w:szCs w:val="24"/>
        </w:rPr>
        <w:t xml:space="preserve"> anak usia sekolah di desa yaitu 10 tahun sebanyak 4 (13,3%), 11 tahun sebanyak 24 (80,0%), 12 tahun sebanyak 2 (6,7%). </w:t>
      </w:r>
    </w:p>
    <w:p w14:paraId="5AD9E20C" w14:textId="6F65FBAA"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Penelitian ini tidak sejalan dengan penelitian yang dilakukan Retnaningsih</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5f262e2-6b6e-4979-8fe4-b5f47092b572","http://www.mendeley.com/documents/?uuid=c95efe46-fe51-4dbb-a9a4-9fd04589f18b"]}],"mendeley":{"formattedCitation":"[16]","plainTextFormattedCitation":"[16]","previouslyFormattedCitation":"[16]"},"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[16]</w:t>
      </w:r>
      <w:r w:rsidRPr="00E64B9F">
        <w:rPr>
          <w:rFonts w:ascii="Tw Cen MT" w:hAnsi="Tw Cen MT"/>
          <w:sz w:val="24"/>
          <w:szCs w:val="24"/>
        </w:rPr>
        <w:fldChar w:fldCharType="end"/>
      </w:r>
      <w:r w:rsidRPr="00E64B9F">
        <w:rPr>
          <w:rFonts w:ascii="Tw Cen MT" w:hAnsi="Tw Cen MT"/>
          <w:sz w:val="24"/>
          <w:szCs w:val="24"/>
        </w:rPr>
        <w:t xml:space="preserve">  dengan judul kesiapan menghadapi </w:t>
      </w:r>
      <w:r w:rsidRPr="00E64B9F">
        <w:rPr>
          <w:rFonts w:ascii="Tw Cen MT" w:hAnsi="Tw Cen MT"/>
          <w:i/>
          <w:sz w:val="24"/>
          <w:szCs w:val="24"/>
        </w:rPr>
        <w:t>menarche</w:t>
      </w:r>
      <w:r w:rsidRPr="00E64B9F">
        <w:rPr>
          <w:rFonts w:ascii="Tw Cen MT" w:hAnsi="Tw Cen MT"/>
          <w:sz w:val="24"/>
          <w:szCs w:val="24"/>
        </w:rPr>
        <w:t xml:space="preserve"> dengan tingkat kecemasan pada anak usia sekolah. Hasil penelitian yang dilakukan pada 36 responden diperoleh hasil sebagian besar responden yang berumur 12 tahun sebanyak 12 siswi (33,3%). Hal ini menunjukkan bahwa banyak siswi SD yang belum menghadapi </w:t>
      </w:r>
      <w:r w:rsidRPr="00E64B9F">
        <w:rPr>
          <w:rFonts w:ascii="Tw Cen MT" w:hAnsi="Tw Cen MT"/>
          <w:i/>
          <w:sz w:val="24"/>
          <w:szCs w:val="24"/>
        </w:rPr>
        <w:t>menarche</w:t>
      </w:r>
      <w:r w:rsidRPr="00E64B9F">
        <w:rPr>
          <w:rFonts w:ascii="Tw Cen MT" w:hAnsi="Tw Cen MT"/>
          <w:sz w:val="24"/>
          <w:szCs w:val="24"/>
        </w:rPr>
        <w:t xml:space="preserve">. Usia seorang anak perempuan yang mengalami </w:t>
      </w:r>
      <w:r w:rsidRPr="00E64B9F">
        <w:rPr>
          <w:rFonts w:ascii="Tw Cen MT" w:hAnsi="Tw Cen MT"/>
          <w:i/>
          <w:sz w:val="24"/>
          <w:szCs w:val="24"/>
        </w:rPr>
        <w:t xml:space="preserve">menarche </w:t>
      </w:r>
      <w:r w:rsidRPr="00E64B9F">
        <w:rPr>
          <w:rFonts w:ascii="Tw Cen MT" w:hAnsi="Tw Cen MT"/>
          <w:sz w:val="24"/>
          <w:szCs w:val="24"/>
        </w:rPr>
        <w:t xml:space="preserve">sangat bervariasi. Anak mendapatkan </w:t>
      </w:r>
      <w:r w:rsidRPr="00E64B9F">
        <w:rPr>
          <w:rFonts w:ascii="Tw Cen MT" w:hAnsi="Tw Cen MT"/>
          <w:i/>
          <w:sz w:val="24"/>
          <w:szCs w:val="24"/>
        </w:rPr>
        <w:t xml:space="preserve">menarche </w:t>
      </w:r>
      <w:r w:rsidRPr="00E64B9F">
        <w:rPr>
          <w:rFonts w:ascii="Tw Cen MT" w:hAnsi="Tw Cen MT"/>
          <w:sz w:val="24"/>
          <w:szCs w:val="24"/>
        </w:rPr>
        <w:t xml:space="preserve">pada usia yang lebih muda yaitu usia 8 dan 12 tahun. </w:t>
      </w:r>
      <w:r w:rsidRPr="00E64B9F">
        <w:rPr>
          <w:rFonts w:ascii="Tw Cen MT" w:hAnsi="Tw Cen MT"/>
          <w:i/>
          <w:sz w:val="24"/>
          <w:szCs w:val="24"/>
        </w:rPr>
        <w:t xml:space="preserve">Menarche </w:t>
      </w:r>
      <w:r w:rsidRPr="00E64B9F">
        <w:rPr>
          <w:rFonts w:ascii="Tw Cen MT" w:hAnsi="Tw Cen MT"/>
          <w:sz w:val="24"/>
          <w:szCs w:val="24"/>
        </w:rPr>
        <w:t xml:space="preserve">juga </w:t>
      </w:r>
      <w:r w:rsidRPr="00E64B9F">
        <w:rPr>
          <w:rFonts w:ascii="Tw Cen MT" w:hAnsi="Tw Cen MT"/>
          <w:sz w:val="24"/>
          <w:szCs w:val="24"/>
        </w:rPr>
        <w:lastRenderedPageBreak/>
        <w:t xml:space="preserve">dapat terjadi pada usia 16 tahun. Usia </w:t>
      </w:r>
      <w:r w:rsidRPr="00E64B9F">
        <w:rPr>
          <w:rFonts w:ascii="Tw Cen MT" w:hAnsi="Tw Cen MT"/>
          <w:i/>
          <w:sz w:val="24"/>
          <w:szCs w:val="24"/>
        </w:rPr>
        <w:t xml:space="preserve">menarche </w:t>
      </w:r>
      <w:r w:rsidRPr="00E64B9F">
        <w:rPr>
          <w:rFonts w:ascii="Tw Cen MT" w:hAnsi="Tw Cen MT"/>
          <w:sz w:val="24"/>
          <w:szCs w:val="24"/>
        </w:rPr>
        <w:t>normalnya adalah 12 atau 13 tahun, sebagian perempuan mengalami menstruasi lebih awal (usia 8 tahun) dan lebih lambat (18 tahun).</w:t>
      </w:r>
    </w:p>
    <w:p w14:paraId="37250D6B" w14:textId="77777777" w:rsidR="00E55A48" w:rsidRDefault="00E55A48" w:rsidP="00E55A48">
      <w:pPr>
        <w:spacing w:before="120" w:after="0" w:line="240" w:lineRule="auto"/>
        <w:jc w:val="both"/>
        <w:rPr>
          <w:rFonts w:ascii="Tw Cen MT" w:hAnsi="Tw Cen MT"/>
          <w:b/>
          <w:bCs/>
          <w:sz w:val="24"/>
          <w:szCs w:val="24"/>
        </w:rPr>
      </w:pPr>
    </w:p>
    <w:p w14:paraId="73C1D2B4" w14:textId="37DD12BF" w:rsidR="00AE4E36" w:rsidRPr="00AE4E36" w:rsidRDefault="00AE4E36" w:rsidP="00E55A48">
      <w:pPr>
        <w:spacing w:before="120" w:after="0" w:line="240" w:lineRule="auto"/>
        <w:jc w:val="both"/>
        <w:rPr>
          <w:rFonts w:ascii="Tw Cen MT" w:hAnsi="Tw Cen MT"/>
          <w:b/>
          <w:bCs/>
          <w:sz w:val="24"/>
          <w:szCs w:val="24"/>
        </w:rPr>
      </w:pPr>
      <w:r w:rsidRPr="00AE4E36">
        <w:rPr>
          <w:rFonts w:ascii="Tw Cen MT" w:hAnsi="Tw Cen MT"/>
          <w:b/>
          <w:bCs/>
          <w:sz w:val="24"/>
          <w:szCs w:val="24"/>
        </w:rPr>
        <w:t>Tingkat Kecemasan Sebelum Intervensi</w:t>
      </w:r>
    </w:p>
    <w:p w14:paraId="6DBD3641" w14:textId="77777777"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Berdasarkan hasil penelitian yang dilakukan pada 50 responden memiliki tingkat kecemasan sebelum melakukan intervensi adalah sedang s</w:t>
      </w:r>
      <w:r>
        <w:rPr>
          <w:rFonts w:ascii="Tw Cen MT" w:hAnsi="Tw Cen MT"/>
          <w:sz w:val="24"/>
          <w:szCs w:val="24"/>
        </w:rPr>
        <w:t xml:space="preserve">ebanyak 20 orang (40%), ringan </w:t>
      </w:r>
      <w:r w:rsidRPr="00E64B9F">
        <w:rPr>
          <w:rFonts w:ascii="Tw Cen MT" w:hAnsi="Tw Cen MT"/>
          <w:sz w:val="24"/>
          <w:szCs w:val="24"/>
        </w:rPr>
        <w:t xml:space="preserve">dan berat masing-masing 15 orang (30%). Peneltian ini tidak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http://www.mendeley.com/documents/?uuid=a28021a4-986d-4ff3-9f5d-2b9a586cdfa1"]}],"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[17]</w:t>
      </w:r>
      <w:r w:rsidRPr="00E64B9F">
        <w:rPr>
          <w:rFonts w:ascii="Tw Cen MT" w:hAnsi="Tw Cen MT"/>
          <w:sz w:val="24"/>
          <w:szCs w:val="24"/>
        </w:rPr>
        <w:fldChar w:fldCharType="end"/>
      </w:r>
      <w:r w:rsidRPr="00E64B9F">
        <w:rPr>
          <w:rFonts w:ascii="Tw Cen MT" w:hAnsi="Tw Cen MT"/>
          <w:sz w:val="24"/>
          <w:szCs w:val="24"/>
        </w:rPr>
        <w:t xml:space="preserve"> dengan judul pendidikan kesehatan tentang menstruasi terhadap tingkat kecemasan menghadapi </w:t>
      </w:r>
      <w:r w:rsidRPr="00E64B9F">
        <w:rPr>
          <w:rFonts w:ascii="Tw Cen MT" w:hAnsi="Tw Cen MT"/>
          <w:i/>
          <w:sz w:val="24"/>
          <w:szCs w:val="24"/>
        </w:rPr>
        <w:t>menarche</w:t>
      </w:r>
      <w:r w:rsidRPr="00E64B9F">
        <w:rPr>
          <w:rFonts w:ascii="Tw Cen MT" w:hAnsi="Tw Cen MT"/>
          <w:sz w:val="24"/>
          <w:szCs w:val="24"/>
        </w:rPr>
        <w:t xml:space="preserve"> pada siswi sekolah dasar. Hasil penelitian menunjukkan bahwa tingkat kecemasan siswi SDN 011 Tanjungpinang Barat sebelum diberikan pendidikan kesehatan sebagian besar memiliki tingkat kecemasan berat sebanyak 17 responden (53,1%) dan kecemasan berat sekali sebanyak 8 responden (25%) hal ini disebabkan karena ketidaktahuan responden mengenai apa itu menstruasi dan cemas menghadapi </w:t>
      </w:r>
      <w:r w:rsidRPr="00E64B9F">
        <w:rPr>
          <w:rFonts w:ascii="Tw Cen MT" w:hAnsi="Tw Cen MT"/>
          <w:i/>
          <w:sz w:val="24"/>
          <w:szCs w:val="24"/>
        </w:rPr>
        <w:t>menarche</w:t>
      </w:r>
      <w:r w:rsidRPr="00E64B9F">
        <w:rPr>
          <w:rFonts w:ascii="Tw Cen MT" w:hAnsi="Tw Cen MT"/>
          <w:sz w:val="24"/>
          <w:szCs w:val="24"/>
        </w:rPr>
        <w:t xml:space="preserve">. </w:t>
      </w:r>
    </w:p>
    <w:p w14:paraId="73CB169F" w14:textId="160B95F2"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Kecemasan adalah rasa khawatir, takut yang tidak jelas sebabnya dan merupakan kekuatan yang besar dalam menggerakkan tingkahlaku. Baik tingkahlaku normal maupun tingkahlaku yang menyimpang, kedua-duanya merupakan pernyataan, penampilan, penjelmaan dari pertahanan terhadap kecemasan</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{"citationItems":[{"id":"ITEM-1","itemData":{"author":[{"dropping-particle":"","family":"Kholil","given":"Lur Rochman","non-dropping-particle":"","parse-names":false,"suffix":""}],"id":"ITEM-1","issued":{"date-parts":[["2010"]]},"publisher":"Fajar Media Press","publisher-place":"Purwokerto","title":"Kesehatan Mental","type":"book"},"uris":["http://www.mendeley.com/documents/?uuid=bcc9b3f7-2915-4a9a-80e7-b4ca004d2be0"]}],"mendeley":{"formattedCitation":"[18]","plainTextFormattedCitation":"[18]"},"properties":{"noteIndex":0},"schema":"https://github.com/citation-style-language/schema/raw/master/csl-citation.json"}</w:instrText>
      </w:r>
      <w:r>
        <w:rPr>
          <w:rFonts w:ascii="Tw Cen MT" w:hAnsi="Tw Cen MT"/>
          <w:sz w:val="24"/>
          <w:szCs w:val="24"/>
        </w:rPr>
        <w:fldChar w:fldCharType="separate"/>
      </w:r>
      <w:r w:rsidRPr="0000713F">
        <w:rPr>
          <w:rFonts w:ascii="Tw Cen MT" w:hAnsi="Tw Cen MT"/>
          <w:noProof/>
          <w:sz w:val="24"/>
          <w:szCs w:val="24"/>
        </w:rPr>
        <w:t>[18]</w:t>
      </w:r>
      <w:r>
        <w:rPr>
          <w:rFonts w:ascii="Tw Cen MT" w:hAnsi="Tw Cen MT"/>
          <w:sz w:val="24"/>
          <w:szCs w:val="24"/>
        </w:rPr>
        <w:fldChar w:fldCharType="end"/>
      </w:r>
      <w:r w:rsidRPr="00E64B9F">
        <w:rPr>
          <w:rFonts w:ascii="Tw Cen MT" w:hAnsi="Tw Cen MT"/>
          <w:sz w:val="24"/>
          <w:szCs w:val="24"/>
        </w:rPr>
        <w:t xml:space="preserve">. </w:t>
      </w:r>
      <w:r w:rsidRPr="00E64B9F">
        <w:rPr>
          <w:rFonts w:ascii="Tw Cen MT" w:hAnsi="Tw Cen MT"/>
          <w:i/>
          <w:sz w:val="24"/>
          <w:szCs w:val="24"/>
        </w:rPr>
        <w:t xml:space="preserve">Menarche </w:t>
      </w:r>
      <w:r w:rsidRPr="00E64B9F">
        <w:rPr>
          <w:rFonts w:ascii="Tw Cen MT" w:hAnsi="Tw Cen MT"/>
          <w:sz w:val="24"/>
          <w:szCs w:val="24"/>
        </w:rPr>
        <w:t>merupakan menstruasi pertama yang terjadi dalam rentang usia 10-16 tahun atau pada masa awal remaja ditengah masa pubertas sebelum memasuki masa reproduksi. Perubahan penting terjadi, dimana jiwa dan raga anak menjadi matang melalui masa remaja wanita dewasa</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{"citationItems":[{"id":"ITEM-1","itemData":{"DOI":"10.25077/jka.v5i1.475","ISSN":"2301-7406","abstract":"AbstrakMenarche (menars) adalah haid pertama dari uterus yang merupakan awal dari fungsi menstruasi dan tanda telah terjadinya pubertas pada remaja putri. Pada dekade terakhir menunjukkan kecenderungan pergeseran usia menars ke arah umur yang lebih muda. Tujuan penelitian ini adalah menentukan faktor-faktor yang berhubungan dengan usia menars. Jenis penelitian ini adalah analitik observasional dalam bentuk rancangan cross sectional study. Populasi dalam penelitian ini adalah seluruh siswi SMP Adabiah kelas VII dan VIII tahun ajaran 2012/2013. Jumlah sampel sebanyak 72 siswi yang diambil secara Simple Random Sampling. Data dikumpulka</w:instrText>
      </w:r>
      <w:r>
        <w:rPr>
          <w:rFonts w:ascii="Tw Cen MT" w:hAnsi="Tw Cen MT" w:hint="eastAsia"/>
          <w:sz w:val="24"/>
          <w:szCs w:val="24"/>
        </w:rPr>
        <w:instrText xml:space="preserve">n dengan angket dan pengukuran tinggi dan berat badan responden. Pengolahan data dilakukan secara komputerisasi dan analisis dengan uji chi-square pada </w:instrText>
      </w:r>
      <w:r>
        <w:rPr>
          <w:rFonts w:ascii="Tw Cen MT" w:hAnsi="Tw Cen MT" w:hint="eastAsia"/>
          <w:sz w:val="24"/>
          <w:szCs w:val="24"/>
        </w:rPr>
        <w:instrText>α</w:instrText>
      </w:r>
      <w:r>
        <w:rPr>
          <w:rFonts w:ascii="Tw Cen MT" w:hAnsi="Tw Cen MT" w:hint="eastAsia"/>
          <w:sz w:val="24"/>
          <w:szCs w:val="24"/>
        </w:rPr>
        <w:instrText xml:space="preserve"> = 0,05. Hasil penelitian didapatkan bahwa usia menars rata-rata siswi SMP Adabiah adalah 12,29 </w:instrText>
      </w:r>
      <w:r>
        <w:rPr>
          <w:rFonts w:ascii="Tw Cen MT" w:hAnsi="Tw Cen MT" w:hint="eastAsia"/>
          <w:sz w:val="24"/>
          <w:szCs w:val="24"/>
        </w:rPr>
        <w:instrText>±</w:instrText>
      </w:r>
      <w:r>
        <w:rPr>
          <w:rFonts w:ascii="Tw Cen MT" w:hAnsi="Tw Cen MT" w:hint="eastAsia"/>
          <w:sz w:val="24"/>
          <w:szCs w:val="24"/>
        </w:rPr>
        <w:instrText xml:space="preserve"> 0,49</w:instrText>
      </w:r>
      <w:r>
        <w:rPr>
          <w:rFonts w:ascii="Tw Cen MT" w:hAnsi="Tw Cen MT"/>
          <w:sz w:val="24"/>
          <w:szCs w:val="24"/>
        </w:rPr>
        <w:instrText xml:space="preserve"> tahun. Uji statistik menunjukkan terdapat hubungan yang bermakna antara tingkat pendapatan per kapita dan status gizi dengan usia menars sedangkan tingkan pendidikan orang tua dan paparan media massa tidak terdapat hubungan yang bermakna dengan usia menars.Kata kunci: usia menars, pendapatan per kapita, status gizi AbstractMenarche is the first menstruation or bleeding of the uterus that is the beginning of the menstrual function and mark the occurrence of puberty in young girls. In the past decade shows a shift in the age of menarche trend toward younger age. The objective of this study was to determine the associated factors to age of menarche. This type of research is observational analytic with cross sectional study design. The population in this study were all junior high school students of class VII and VIII academic year 2012/2013. The total sample of 72 student were taken by simple random sampling. Data were collected by questionnaire and measurement of height and weight. Data was analyzed  by ch</w:instrText>
      </w:r>
      <w:r>
        <w:rPr>
          <w:rFonts w:ascii="Tw Cen MT" w:hAnsi="Tw Cen MT" w:hint="eastAsia"/>
          <w:sz w:val="24"/>
          <w:szCs w:val="24"/>
        </w:rPr>
        <w:instrText xml:space="preserve">i-square test at </w:instrText>
      </w:r>
      <w:r>
        <w:rPr>
          <w:rFonts w:ascii="Tw Cen MT" w:hAnsi="Tw Cen MT" w:hint="eastAsia"/>
          <w:sz w:val="24"/>
          <w:szCs w:val="24"/>
        </w:rPr>
        <w:instrText>α</w:instrText>
      </w:r>
      <w:r>
        <w:rPr>
          <w:rFonts w:ascii="Tw Cen MT" w:hAnsi="Tw Cen MT" w:hint="eastAsia"/>
          <w:sz w:val="24"/>
          <w:szCs w:val="24"/>
        </w:rPr>
        <w:instrText xml:space="preserve"> = 0,005. The result showed that the average age of menarche Adabiah junior high school student was 12.29 </w:instrText>
      </w:r>
      <w:r>
        <w:rPr>
          <w:rFonts w:ascii="Tw Cen MT" w:hAnsi="Tw Cen MT" w:hint="eastAsia"/>
          <w:sz w:val="24"/>
          <w:szCs w:val="24"/>
        </w:rPr>
        <w:instrText>±</w:instrText>
      </w:r>
      <w:r>
        <w:rPr>
          <w:rFonts w:ascii="Tw Cen MT" w:hAnsi="Tw Cen MT" w:hint="eastAsia"/>
          <w:sz w:val="24"/>
          <w:szCs w:val="24"/>
        </w:rPr>
        <w:instrText xml:space="preserve"> 0.49 years. There is a significant correlation between the level of per capita income and nutritional status with age of menarche</w:instrText>
      </w:r>
      <w:r>
        <w:rPr>
          <w:rFonts w:ascii="Tw Cen MT" w:hAnsi="Tw Cen MT"/>
          <w:sz w:val="24"/>
          <w:szCs w:val="24"/>
        </w:rPr>
        <w:instrText>, while the level of parental education and exposure to mass media have no significant correlation with age of menarche.Keywords:  menarche age, per capita income, nutritional status","author":[{"dropping-particle":"","family":"Mutasya","given":"Fitrah Umi","non-dropping-particle":"","parse-names":false,"suffix":""},{"dropping-particle":"","family":"Edison","given":"Edison","non-dropping-particle":"","parse-names":false,"suffix":""},{"dropping-particle":"","family":"Hasyim","given":"Hasnar","non-dropping-particle":"","parse-names":false,"suffix":""}],"container-title":"Jurnal Kesehatan Andalas","id":"ITEM-1","issue":"1","issued":{"date-parts":[["2016"]]},"page":"233-237","title":"Faktor-Faktor yang Berhubungan dengan Usia Menarche Siswi SMP Adabiah","type":"article-journal","volume":"5"},"uris":["http://www.mendeley.com/documents/?uuid=d4ce77c9-0b39-4ea2-9e8c-d91895299661"]}],"mendeley":{"formattedCitation":"[19]","plainTextFormattedCitation":"[19]","previouslyFormattedCitation":"[19]"},"properties":{"noteIndex":0},"schema":"https://github.com/citation-style-language/schema/raw/master/csl-citation.json"}</w:instrText>
      </w:r>
      <w:r>
        <w:rPr>
          <w:rFonts w:ascii="Tw Cen MT" w:hAnsi="Tw Cen MT"/>
          <w:sz w:val="24"/>
          <w:szCs w:val="24"/>
        </w:rPr>
        <w:fldChar w:fldCharType="separate"/>
      </w:r>
      <w:r w:rsidRPr="0000713F">
        <w:rPr>
          <w:rFonts w:ascii="Tw Cen MT" w:hAnsi="Tw Cen MT"/>
          <w:noProof/>
          <w:sz w:val="24"/>
          <w:szCs w:val="24"/>
        </w:rPr>
        <w:t>[19]</w:t>
      </w:r>
      <w:r>
        <w:rPr>
          <w:rFonts w:ascii="Tw Cen MT" w:hAnsi="Tw Cen MT"/>
          <w:sz w:val="24"/>
          <w:szCs w:val="24"/>
        </w:rPr>
        <w:fldChar w:fldCharType="end"/>
      </w:r>
      <w:r w:rsidRPr="00E64B9F">
        <w:rPr>
          <w:rFonts w:ascii="Tw Cen MT" w:hAnsi="Tw Cen MT"/>
          <w:sz w:val="24"/>
          <w:szCs w:val="24"/>
        </w:rPr>
        <w:t xml:space="preserve">. Hal ini menandakan bahwa anak sudah memasuki tahap kematangan organ seksual dalam tubuhnya. Peneliti berpendapat bahwa walaupun menstruasi adalah hal yang wajar dan pasti dialami oleh setiap perempuan, hal ini akan menjadi masalah apabila remaja putri belum pernah mengetahui tentang menstruasi. </w:t>
      </w:r>
      <w:r w:rsidRPr="00E64B9F">
        <w:rPr>
          <w:rFonts w:ascii="Tw Cen MT" w:hAnsi="Tw Cen MT"/>
          <w:sz w:val="24"/>
          <w:szCs w:val="24"/>
        </w:rPr>
        <w:t xml:space="preserve">Kurangnya pengetahuan tentang menstruasi pada remaja putri akan berdampak terhadap kesiapan dan mengalami kecemasan dalam menghadapi </w:t>
      </w:r>
      <w:r w:rsidRPr="00E64B9F">
        <w:rPr>
          <w:rFonts w:ascii="Tw Cen MT" w:hAnsi="Tw Cen MT"/>
          <w:i/>
          <w:iCs/>
          <w:sz w:val="24"/>
          <w:szCs w:val="24"/>
        </w:rPr>
        <w:t>menarche</w:t>
      </w:r>
      <w:r w:rsidRPr="00E64B9F">
        <w:rPr>
          <w:rFonts w:ascii="Tw Cen MT" w:hAnsi="Tw Cen MT"/>
          <w:sz w:val="24"/>
          <w:szCs w:val="24"/>
        </w:rPr>
        <w:t>.</w:t>
      </w:r>
    </w:p>
    <w:p w14:paraId="1282F019" w14:textId="77777777" w:rsidR="00FE5686" w:rsidRDefault="00FE5686" w:rsidP="00E55A48">
      <w:pPr>
        <w:spacing w:before="120" w:after="0" w:line="240" w:lineRule="auto"/>
        <w:jc w:val="both"/>
        <w:rPr>
          <w:rFonts w:ascii="Tw Cen MT" w:hAnsi="Tw Cen MT"/>
          <w:b/>
          <w:bCs/>
          <w:sz w:val="24"/>
          <w:szCs w:val="24"/>
        </w:rPr>
      </w:pPr>
    </w:p>
    <w:p w14:paraId="24F1FA87" w14:textId="77777777" w:rsidR="00FE5686" w:rsidRDefault="00FE5686" w:rsidP="00E55A48">
      <w:pPr>
        <w:spacing w:before="120" w:after="0" w:line="240" w:lineRule="auto"/>
        <w:jc w:val="both"/>
        <w:rPr>
          <w:rFonts w:ascii="Tw Cen MT" w:hAnsi="Tw Cen MT"/>
          <w:b/>
          <w:bCs/>
          <w:sz w:val="24"/>
          <w:szCs w:val="24"/>
        </w:rPr>
      </w:pPr>
    </w:p>
    <w:p w14:paraId="512FD33D" w14:textId="4441A209" w:rsidR="00AE4E36" w:rsidRPr="00AE4E36" w:rsidRDefault="00AE4E36" w:rsidP="00E55A48">
      <w:pPr>
        <w:spacing w:before="120" w:after="0" w:line="240" w:lineRule="auto"/>
        <w:jc w:val="both"/>
        <w:rPr>
          <w:rFonts w:ascii="Tw Cen MT" w:hAnsi="Tw Cen MT"/>
          <w:b/>
          <w:bCs/>
          <w:sz w:val="24"/>
          <w:szCs w:val="24"/>
        </w:rPr>
      </w:pPr>
      <w:r w:rsidRPr="00AE4E36">
        <w:rPr>
          <w:rFonts w:ascii="Tw Cen MT" w:hAnsi="Tw Cen MT"/>
          <w:b/>
          <w:bCs/>
          <w:sz w:val="24"/>
          <w:szCs w:val="24"/>
        </w:rPr>
        <w:t xml:space="preserve">Tingkat Kecemasan Sesudah Intervensi </w:t>
      </w:r>
    </w:p>
    <w:p w14:paraId="2F59CAF3" w14:textId="55841C23"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 xml:space="preserve">Berdasarkan hasil penelitian yang dilakukan pada 50 responden memiliki tingkat kecemasan sesudah melakukan intervensi adalah ringan sebanyak 36 orang (72%), sedang sebanyak 8 orang (16%), berat sebanyak 2 orang (4%), dan tidak cemas sebanyak 4 orang (8%). Peneltian ini tidak sejalan dengan penelitian Pujiati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[17]</w:t>
      </w:r>
      <w:r w:rsidRPr="00E64B9F">
        <w:rPr>
          <w:rFonts w:ascii="Tw Cen MT" w:hAnsi="Tw Cen MT"/>
          <w:sz w:val="24"/>
          <w:szCs w:val="24"/>
        </w:rPr>
        <w:fldChar w:fldCharType="end"/>
      </w:r>
      <w:r w:rsidRPr="00E64B9F">
        <w:rPr>
          <w:rFonts w:ascii="Tw Cen MT" w:hAnsi="Tw Cen MT"/>
          <w:sz w:val="24"/>
          <w:szCs w:val="24"/>
        </w:rPr>
        <w:t xml:space="preserve"> dengan judul pendidikan kesehatan tentang menstruasi terhadap tingkat kecemasan menghadapi </w:t>
      </w:r>
      <w:r w:rsidRPr="00E64B9F">
        <w:rPr>
          <w:rFonts w:ascii="Tw Cen MT" w:hAnsi="Tw Cen MT"/>
          <w:i/>
          <w:sz w:val="24"/>
          <w:szCs w:val="24"/>
        </w:rPr>
        <w:t>menarche</w:t>
      </w:r>
      <w:r w:rsidRPr="00E64B9F">
        <w:rPr>
          <w:rFonts w:ascii="Tw Cen MT" w:hAnsi="Tw Cen MT"/>
          <w:sz w:val="24"/>
          <w:szCs w:val="24"/>
        </w:rPr>
        <w:t xml:space="preserve"> pada siswi sekolah dasar. Hasil penelitian ini menunjukkan kecemasan sedang sebanyak 14 responden (43,%) dan kecemasan ringan sebanyak 3 responden (9,4%).</w:t>
      </w:r>
    </w:p>
    <w:p w14:paraId="78E7679F" w14:textId="48383F89" w:rsidR="00AE4E36" w:rsidRPr="00E64B9F" w:rsidRDefault="00AE4E36" w:rsidP="00AE4E36">
      <w:pPr>
        <w:pStyle w:val="BodyText"/>
        <w:ind w:right="2"/>
        <w:jc w:val="both"/>
        <w:rPr>
          <w:rFonts w:ascii="Tw Cen MT" w:hAnsi="Tw Cen MT"/>
        </w:rPr>
      </w:pPr>
      <w:r w:rsidRPr="00E64B9F">
        <w:rPr>
          <w:rFonts w:ascii="Tw Cen MT" w:hAnsi="Tw Cen MT"/>
        </w:rPr>
        <w:t xml:space="preserve">Faktor-faktor penyebab kecemasan yaitu berdasarkan teori psikoanalisis ansietas merupakan konflik emosional antara 2 elemen kepribadian, yakni </w:t>
      </w:r>
      <w:r w:rsidRPr="00E64B9F">
        <w:rPr>
          <w:rFonts w:ascii="Tw Cen MT" w:hAnsi="Tw Cen MT"/>
          <w:i/>
        </w:rPr>
        <w:t>Id</w:t>
      </w:r>
      <w:r w:rsidRPr="00E64B9F">
        <w:rPr>
          <w:rFonts w:ascii="Tw Cen MT" w:hAnsi="Tw Cen MT"/>
        </w:rPr>
        <w:t xml:space="preserve">, Ego, dan Super-ego. </w:t>
      </w:r>
      <w:r w:rsidRPr="00E64B9F">
        <w:rPr>
          <w:rFonts w:ascii="Tw Cen MT" w:hAnsi="Tw Cen MT"/>
          <w:i/>
        </w:rPr>
        <w:t xml:space="preserve">Id </w:t>
      </w:r>
      <w:r w:rsidRPr="00E64B9F">
        <w:rPr>
          <w:rFonts w:ascii="Tw Cen MT" w:hAnsi="Tw Cen MT"/>
        </w:rPr>
        <w:t xml:space="preserve">mencerminkan dorongan instingtif dan implus-implus primitif. Ego melambangkan mediatir antara </w:t>
      </w:r>
      <w:r w:rsidRPr="00E64B9F">
        <w:rPr>
          <w:rFonts w:ascii="Tw Cen MT" w:hAnsi="Tw Cen MT"/>
          <w:i/>
        </w:rPr>
        <w:t xml:space="preserve">Id </w:t>
      </w:r>
      <w:r w:rsidRPr="00E64B9F">
        <w:rPr>
          <w:rFonts w:ascii="Tw Cen MT" w:hAnsi="Tw Cen MT"/>
        </w:rPr>
        <w:t>dan super-ego. Superego mencerminkan hati nurani seseorang yang dikendali oleh norma-norma lingkungan, agama dan budaya. Kaitannya pada ansietas adalah per</w:t>
      </w:r>
      <w:r>
        <w:rPr>
          <w:rFonts w:ascii="Tw Cen MT" w:hAnsi="Tw Cen MT"/>
        </w:rPr>
        <w:t xml:space="preserve">ingatan terhadap pertahanan ego </w:t>
      </w:r>
      <w:r>
        <w:rPr>
          <w:rFonts w:ascii="Tw Cen MT" w:hAnsi="Tw Cen MT"/>
        </w:rPr>
        <w:fldChar w:fldCharType="begin" w:fldLock="1"/>
      </w:r>
      <w:r>
        <w:rPr>
          <w:rFonts w:ascii="Tw Cen MT" w:hAnsi="Tw Cen MT"/>
        </w:rPr>
        <w:instrText xml:space="preserve">ADDIN CSL_CITATION {"citationItems":[{"id":"ITEM-1","itemData":{"abstract":"Mekanisme Pert ahanan t er… winar gun REFRAR ANXIET Y rifai solichin A Primer of Freudian Psychology-Calvin S. Hall priyo adi t anoyo Download a PDF Pack of t he best relat ed papers </w:instrText>
      </w:r>
      <w:r>
        <w:rPr>
          <w:rFonts w:ascii="Tw Cen MT" w:hAnsi="Tw Cen MT"/>
        </w:rPr>
        <w:instrText>","author":[{"dropping-particle":"","family":"Andri","given":"Andri","non-dropping-particle":"","parse-names":false,"suffix":""},{"dropping-particle":"","family":"Purnamawati","given":"Yenny Dewi","non-dropping-particle":"","parse-names":false,"suffix":""}],"container-title":"Majalah Kedokteran Indonesia","id":"ITEM-1","issue":"7","issued":{"date-parts":[["2007"]]},"page":"233-238","title":"Teori Kecemasan Berdasarkan Psikoanalisis Klasik dan Berbagai Mekanisme Pertahanan terhadap Kecemasan","type":"article-journal","volume":"57"},"uris":["http://www.mendeley.com/documents/?uuid=dbc5724e-f303-4dc4-8958-be7d8e9fd067"]}],"mendeley":{"formattedCitation":"[20]","plainTextFormattedCitation":"[20]","previouslyFormattedCitation":"[20]"},"properties":{"noteIndex":0},"schema":"https://github.com/citation-style-language/schema/raw/master/csl-citation.json"}</w:instrText>
      </w:r>
      <w:r>
        <w:rPr>
          <w:rFonts w:ascii="Tw Cen MT" w:hAnsi="Tw Cen MT"/>
        </w:rPr>
        <w:fldChar w:fldCharType="separate"/>
      </w:r>
      <w:r w:rsidRPr="0000713F">
        <w:rPr>
          <w:rFonts w:ascii="Tw Cen MT" w:hAnsi="Tw Cen MT"/>
          <w:noProof/>
        </w:rPr>
        <w:t>[20]</w:t>
      </w:r>
      <w:r>
        <w:rPr>
          <w:rFonts w:ascii="Tw Cen MT" w:hAnsi="Tw Cen MT"/>
        </w:rPr>
        <w:fldChar w:fldCharType="end"/>
      </w:r>
      <w:r w:rsidRPr="00EE2C2B">
        <w:rPr>
          <w:rFonts w:ascii="Tw Cen MT" w:hAnsi="Tw Cen MT"/>
        </w:rPr>
        <w:t>.</w:t>
      </w:r>
      <w:r w:rsidRPr="00E64B9F">
        <w:rPr>
          <w:rFonts w:ascii="Tw Cen MT" w:hAnsi="Tw Cen MT"/>
        </w:rPr>
        <w:t xml:space="preserve"> Pendidikan kesehatan adalah suatu proses belajar yang berarti di  dalam pendidikan terjadi proses pertumbuhan, perkembangan atau perubahan ke arah yang lebih dewasa, lebih baik, lebih matang pada diri individu, kelompok atau masyarakat. Seseorang dikatakan belajar apabila terjadi perubahan dari tidak tahu menjadi tahu atau dari tidak bisa mengerjakan sesuatu menjadi mampu mengerjakan sesuatu </w:t>
      </w:r>
      <w:r w:rsidRPr="00E64B9F">
        <w:rPr>
          <w:rFonts w:ascii="Tw Cen MT" w:hAnsi="Tw Cen MT"/>
        </w:rPr>
        <w:fldChar w:fldCharType="begin" w:fldLock="1"/>
      </w:r>
      <w:r>
        <w:rPr>
          <w:rFonts w:ascii="Tw Cen MT" w:hAnsi="Tw Cen MT"/>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rPr>
        <w:fldChar w:fldCharType="separate"/>
      </w:r>
      <w:r w:rsidRPr="008C7D81">
        <w:rPr>
          <w:rFonts w:ascii="Tw Cen MT" w:hAnsi="Tw Cen MT"/>
          <w:noProof/>
        </w:rPr>
        <w:t>[17]</w:t>
      </w:r>
      <w:r w:rsidRPr="00E64B9F">
        <w:rPr>
          <w:rFonts w:ascii="Tw Cen MT" w:hAnsi="Tw Cen MT"/>
        </w:rPr>
        <w:fldChar w:fldCharType="end"/>
      </w:r>
      <w:r w:rsidRPr="00E64B9F">
        <w:rPr>
          <w:rFonts w:ascii="Tw Cen MT" w:hAnsi="Tw Cen MT"/>
        </w:rPr>
        <w:t xml:space="preserve">. Peneliti berpendapat bahwa dengan diberikan pendidikan kesehatan tentang </w:t>
      </w:r>
      <w:r w:rsidRPr="00E64B9F">
        <w:rPr>
          <w:rFonts w:ascii="Tw Cen MT" w:hAnsi="Tw Cen MT"/>
          <w:i/>
        </w:rPr>
        <w:t>menarche</w:t>
      </w:r>
      <w:r w:rsidRPr="00E64B9F">
        <w:rPr>
          <w:rFonts w:ascii="Tw Cen MT" w:hAnsi="Tw Cen MT"/>
        </w:rPr>
        <w:t xml:space="preserve"> dapat menurunkan angka kecemasan pada remaja </w:t>
      </w:r>
      <w:r w:rsidRPr="00E64B9F">
        <w:rPr>
          <w:rFonts w:ascii="Tw Cen MT" w:hAnsi="Tw Cen MT"/>
        </w:rPr>
        <w:lastRenderedPageBreak/>
        <w:t xml:space="preserve">putri. Pendidikan kesehatan dapat memberikan informasi pada remaja putri tentang apa itu </w:t>
      </w:r>
      <w:r w:rsidRPr="00E64B9F">
        <w:rPr>
          <w:rFonts w:ascii="Tw Cen MT" w:hAnsi="Tw Cen MT"/>
          <w:i/>
        </w:rPr>
        <w:t>menarche</w:t>
      </w:r>
      <w:r w:rsidRPr="00E64B9F">
        <w:rPr>
          <w:rFonts w:ascii="Tw Cen MT" w:hAnsi="Tw Cen MT"/>
        </w:rPr>
        <w:t xml:space="preserve">, usia berapa terjadi </w:t>
      </w:r>
      <w:r w:rsidRPr="00E64B9F">
        <w:rPr>
          <w:rFonts w:ascii="Tw Cen MT" w:hAnsi="Tw Cen MT"/>
          <w:i/>
        </w:rPr>
        <w:t>menarche</w:t>
      </w:r>
      <w:r w:rsidRPr="00E64B9F">
        <w:rPr>
          <w:rFonts w:ascii="Tw Cen MT" w:hAnsi="Tw Cen MT"/>
        </w:rPr>
        <w:t xml:space="preserve">, dan  faktor penyebab </w:t>
      </w:r>
      <w:r w:rsidRPr="00E64B9F">
        <w:rPr>
          <w:rFonts w:ascii="Tw Cen MT" w:hAnsi="Tw Cen MT"/>
          <w:i/>
        </w:rPr>
        <w:t>menarche</w:t>
      </w:r>
      <w:r w:rsidRPr="00E64B9F">
        <w:rPr>
          <w:rFonts w:ascii="Tw Cen MT" w:hAnsi="Tw Cen MT"/>
        </w:rPr>
        <w:t xml:space="preserve">. Dengan adanya pendidikan kesehatan remaja putri menjadi tahu dan dapat mengurangi kecemasan  pada saat mengalami </w:t>
      </w:r>
      <w:r w:rsidRPr="00E64B9F">
        <w:rPr>
          <w:rFonts w:ascii="Tw Cen MT" w:hAnsi="Tw Cen MT"/>
          <w:i/>
        </w:rPr>
        <w:t>menarche</w:t>
      </w:r>
      <w:r w:rsidRPr="00E64B9F">
        <w:rPr>
          <w:rFonts w:ascii="Tw Cen MT" w:hAnsi="Tw Cen MT"/>
        </w:rPr>
        <w:t xml:space="preserve">. </w:t>
      </w:r>
    </w:p>
    <w:p w14:paraId="09CAFC12" w14:textId="0CE7CFE3" w:rsidR="00AE4E36" w:rsidRPr="00E64B9F" w:rsidRDefault="00AE4E36" w:rsidP="00AE4E36">
      <w:pPr>
        <w:pStyle w:val="BodyText"/>
        <w:ind w:right="2"/>
        <w:jc w:val="both"/>
        <w:rPr>
          <w:rFonts w:ascii="Tw Cen MT" w:hAnsi="Tw Cen MT"/>
        </w:rPr>
      </w:pPr>
      <w:r w:rsidRPr="00E64B9F">
        <w:rPr>
          <w:rFonts w:ascii="Tw Cen MT" w:hAnsi="Tw Cen MT"/>
        </w:rPr>
        <w:t xml:space="preserve">Penelitian ini menggunakan jumlah responden sebanyak 50 responden. Pada hasil uji </w:t>
      </w:r>
      <w:r w:rsidRPr="00E64B9F">
        <w:rPr>
          <w:rFonts w:ascii="Tw Cen MT" w:hAnsi="Tw Cen MT"/>
          <w:i/>
        </w:rPr>
        <w:t xml:space="preserve">Wilcoxon </w:t>
      </w:r>
      <w:r w:rsidRPr="00E64B9F">
        <w:rPr>
          <w:rFonts w:ascii="Tw Cen MT" w:hAnsi="Tw Cen MT"/>
        </w:rPr>
        <w:t xml:space="preserve">didapatkan nilai </w:t>
      </w:r>
      <w:r w:rsidRPr="00E64B9F">
        <w:rPr>
          <w:rFonts w:ascii="Tw Cen MT" w:hAnsi="Tw Cen MT"/>
          <w:i/>
        </w:rPr>
        <w:t>p-value</w:t>
      </w:r>
      <w:r w:rsidRPr="00E64B9F">
        <w:rPr>
          <w:rFonts w:ascii="Tw Cen MT" w:hAnsi="Tw Cen MT"/>
        </w:rPr>
        <w:t xml:space="preserve"> tingkat kecemasan sebelum dan sesudah intervensi sebesar 0.000 pada </w:t>
      </w:r>
      <w:r w:rsidRPr="00E64B9F">
        <w:rPr>
          <w:rFonts w:ascii="Calibri" w:hAnsi="Calibri" w:cs="Calibri"/>
        </w:rPr>
        <w:t>α</w:t>
      </w:r>
      <w:r w:rsidRPr="00E64B9F">
        <w:rPr>
          <w:rFonts w:ascii="Tw Cen MT" w:hAnsi="Tw Cen MT"/>
        </w:rPr>
        <w:t xml:space="preserve"> 5% (0,05) yang berarti bahwa </w:t>
      </w:r>
      <w:r w:rsidRPr="00E64B9F">
        <w:rPr>
          <w:rFonts w:ascii="Tw Cen MT" w:hAnsi="Tw Cen MT"/>
          <w:i/>
        </w:rPr>
        <w:t xml:space="preserve">p-value </w:t>
      </w:r>
      <w:r w:rsidRPr="00E64B9F">
        <w:rPr>
          <w:rFonts w:ascii="Tw Cen MT" w:hAnsi="Tw Cen MT"/>
        </w:rPr>
        <w:t xml:space="preserve">&lt; </w:t>
      </w:r>
      <w:r w:rsidRPr="00E64B9F">
        <w:rPr>
          <w:rFonts w:ascii="Calibri" w:hAnsi="Calibri" w:cs="Calibri"/>
        </w:rPr>
        <w:t>α</w:t>
      </w:r>
      <w:r w:rsidRPr="00E64B9F">
        <w:rPr>
          <w:rFonts w:ascii="Tw Cen MT" w:hAnsi="Tw Cen MT"/>
        </w:rPr>
        <w:t xml:space="preserve">. Jadi dapat disimpulkan bahwa ada pengaruh Terapi Kelompok Terapeutik (TKT) dan pendidilan kesehatan terhadap tingkat kecemasan menghadapi </w:t>
      </w:r>
      <w:r w:rsidRPr="00E64B9F">
        <w:rPr>
          <w:rFonts w:ascii="Tw Cen MT" w:hAnsi="Tw Cen MT"/>
          <w:i/>
        </w:rPr>
        <w:t xml:space="preserve">menarche </w:t>
      </w:r>
      <w:r w:rsidRPr="00E64B9F">
        <w:rPr>
          <w:rFonts w:ascii="Tw Cen MT" w:hAnsi="Tw Cen MT"/>
        </w:rPr>
        <w:t xml:space="preserve">pada siswi SD di Sekolah Dasar Negeri Pekanbaru.  Penelitian ini sejalan dengan penelitian Pujiati </w:t>
      </w:r>
      <w:r w:rsidRPr="00E64B9F">
        <w:rPr>
          <w:rFonts w:ascii="Tw Cen MT" w:hAnsi="Tw Cen MT"/>
        </w:rPr>
        <w:fldChar w:fldCharType="begin" w:fldLock="1"/>
      </w:r>
      <w:r>
        <w:rPr>
          <w:rFonts w:ascii="Tw Cen MT" w:hAnsi="Tw Cen MT"/>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rPr>
        <w:fldChar w:fldCharType="separate"/>
      </w:r>
      <w:r w:rsidRPr="008C7D81">
        <w:rPr>
          <w:rFonts w:ascii="Tw Cen MT" w:hAnsi="Tw Cen MT"/>
          <w:noProof/>
        </w:rPr>
        <w:t>[17]</w:t>
      </w:r>
      <w:r w:rsidRPr="00E64B9F">
        <w:rPr>
          <w:rFonts w:ascii="Tw Cen MT" w:hAnsi="Tw Cen MT"/>
        </w:rPr>
        <w:fldChar w:fldCharType="end"/>
      </w:r>
      <w:r w:rsidRPr="00E64B9F">
        <w:rPr>
          <w:rFonts w:ascii="Tw Cen MT" w:hAnsi="Tw Cen MT"/>
        </w:rPr>
        <w:t xml:space="preserve"> pada kelompok eksperimen didapatkan hasil </w:t>
      </w:r>
      <w:r w:rsidRPr="00E64B9F">
        <w:rPr>
          <w:rFonts w:ascii="Tw Cen MT" w:hAnsi="Tw Cen MT"/>
          <w:i/>
        </w:rPr>
        <w:t>p value</w:t>
      </w:r>
      <w:r w:rsidRPr="00E64B9F">
        <w:rPr>
          <w:rFonts w:ascii="Tw Cen MT" w:hAnsi="Tw Cen MT"/>
        </w:rPr>
        <w:t>=0,000 (</w:t>
      </w:r>
      <w:r w:rsidRPr="00E64B9F">
        <w:rPr>
          <w:rFonts w:ascii="Tw Cen MT" w:hAnsi="Tw Cen MT"/>
          <w:i/>
        </w:rPr>
        <w:t>p value</w:t>
      </w:r>
      <w:r w:rsidRPr="00E64B9F">
        <w:rPr>
          <w:rFonts w:ascii="Tw Cen MT" w:hAnsi="Tw Cen MT"/>
        </w:rPr>
        <w:t xml:space="preserve"> &lt; </w:t>
      </w:r>
      <w:r w:rsidRPr="00E64B9F">
        <w:rPr>
          <w:rFonts w:ascii="Calibri" w:hAnsi="Calibri" w:cs="Calibri"/>
        </w:rPr>
        <w:t>α</w:t>
      </w:r>
      <w:r w:rsidRPr="00E64B9F">
        <w:rPr>
          <w:rFonts w:ascii="Tw Cen MT" w:hAnsi="Tw Cen MT"/>
        </w:rPr>
        <w:t xml:space="preserve">) dapat disimpulkan bahwa H0 ditolak yang artinya ada pengaruh yang bermakan antara pendidikan kesehatan tentang menstruasi terhadap tingkat kecemasan menghadapi </w:t>
      </w:r>
      <w:r w:rsidRPr="00E64B9F">
        <w:rPr>
          <w:rFonts w:ascii="Tw Cen MT" w:hAnsi="Tw Cen MT"/>
          <w:i/>
        </w:rPr>
        <w:t xml:space="preserve">menarche </w:t>
      </w:r>
      <w:r w:rsidRPr="00E64B9F">
        <w:rPr>
          <w:rFonts w:ascii="Tw Cen MT" w:hAnsi="Tw Cen MT"/>
        </w:rPr>
        <w:t xml:space="preserve">pada siswi SDN 011 kelas V dan VI Tanjungpinang Barat. </w:t>
      </w:r>
    </w:p>
    <w:p w14:paraId="7EF7F34A" w14:textId="006C602B" w:rsidR="007106F6" w:rsidRPr="0096335E" w:rsidRDefault="00AE4E36" w:rsidP="00AE4E36">
      <w:pPr>
        <w:spacing w:line="240" w:lineRule="auto"/>
        <w:jc w:val="both"/>
        <w:rPr>
          <w:rFonts w:ascii="Tw Cen MT" w:eastAsia="Twentieth Century" w:hAnsi="Tw Cen MT" w:cs="Twentieth Century"/>
          <w:sz w:val="24"/>
          <w:szCs w:val="24"/>
        </w:rPr>
      </w:pPr>
      <w:r w:rsidRPr="00AE4E36">
        <w:rPr>
          <w:rFonts w:ascii="Tw Cen MT" w:hAnsi="Tw Cen MT"/>
          <w:sz w:val="24"/>
          <w:szCs w:val="24"/>
          <w:lang w:val="id"/>
        </w:rPr>
        <w:t xml:space="preserve">Dalam penelitian Pujiati </w:t>
      </w:r>
      <w:r w:rsidRPr="00E64B9F">
        <w:rPr>
          <w:rFonts w:ascii="Tw Cen MT" w:hAnsi="Tw Cen MT"/>
          <w:sz w:val="24"/>
          <w:szCs w:val="24"/>
        </w:rPr>
        <w:fldChar w:fldCharType="begin" w:fldLock="1"/>
      </w:r>
      <w:r w:rsidRPr="00AE4E36">
        <w:rPr>
          <w:rFonts w:ascii="Tw Cen MT" w:hAnsi="Tw Cen MT"/>
          <w:sz w:val="24"/>
          <w:szCs w:val="24"/>
          <w:lang w:val="id"/>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AE4E36">
        <w:rPr>
          <w:rFonts w:ascii="Tw Cen MT" w:hAnsi="Tw Cen MT"/>
          <w:noProof/>
          <w:sz w:val="24"/>
          <w:szCs w:val="24"/>
          <w:lang w:val="id"/>
        </w:rPr>
        <w:t>[17]</w:t>
      </w:r>
      <w:r w:rsidRPr="00E64B9F">
        <w:rPr>
          <w:rFonts w:ascii="Tw Cen MT" w:hAnsi="Tw Cen MT"/>
          <w:sz w:val="24"/>
          <w:szCs w:val="24"/>
        </w:rPr>
        <w:fldChar w:fldCharType="end"/>
      </w:r>
      <w:r w:rsidRPr="00AE4E36">
        <w:rPr>
          <w:rFonts w:ascii="Tw Cen MT" w:hAnsi="Tw Cen MT"/>
          <w:sz w:val="24"/>
          <w:szCs w:val="24"/>
          <w:lang w:val="id"/>
        </w:rPr>
        <w:t xml:space="preserve"> mengatakan bahwa pemberian pendidikan kesehatan reproduksi remaja khususnya tentang menstruasi dapat diberikan melalui penyuluhan, sehingga kecemasan remaja putri terhadap menarche dapat berkurang atau bahkan tidak ada. </w:t>
      </w:r>
      <w:r w:rsidRPr="00E64B9F">
        <w:rPr>
          <w:rFonts w:ascii="Tw Cen MT" w:hAnsi="Tw Cen MT"/>
          <w:sz w:val="24"/>
          <w:szCs w:val="24"/>
        </w:rPr>
        <w:t xml:space="preserve">Pendidikan kesehatan tentang menarche bertujuan untuk memberikan informasi kepada siswi tentang pengertian, tanda dan gejala menarche. Dengan pemberian informasi tersebut diharapkan pengetahuan siswi tentang menarche meningkat dan dapat mengurangi kecemasan yang dialami oleh siswi. Dalam hal ini peneliti dapat menarik kesimpulan bahwa TKT, pendidikan kesehatan dan TS tentang menstruasi sangat bermanfaat dan berguna jika diberikan kepada siswi untuk dapat meningkatkan pengetahuan dan menurunkan tingkat kecemasan siswi mengenai menstruasi </w:t>
      </w:r>
      <w:r w:rsidRPr="00E64B9F">
        <w:rPr>
          <w:rFonts w:ascii="Tw Cen MT" w:hAnsi="Tw Cen MT"/>
          <w:sz w:val="24"/>
          <w:szCs w:val="24"/>
        </w:rPr>
        <w:t xml:space="preserve">karena dapat mempengaruhi persepsi remaja putri untuk menghadapi </w:t>
      </w:r>
      <w:r w:rsidRPr="00E64B9F">
        <w:rPr>
          <w:rFonts w:ascii="Tw Cen MT" w:hAnsi="Tw Cen MT"/>
          <w:i/>
          <w:sz w:val="24"/>
          <w:szCs w:val="24"/>
        </w:rPr>
        <w:t>menarche</w:t>
      </w:r>
      <w:r w:rsidR="00673A17" w:rsidRPr="00C94263">
        <w:rPr>
          <w:rFonts w:ascii="Tw Cen MT" w:eastAsia="Times New Roman" w:hAnsi="Tw Cen MT" w:cs="Times New Roman"/>
          <w:color w:val="000000"/>
          <w:sz w:val="24"/>
          <w:szCs w:val="24"/>
        </w:rPr>
        <w:t>.</w:t>
      </w:r>
    </w:p>
    <w:p w14:paraId="093D6C66" w14:textId="77777777"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F7E85FA" w:rsidR="007106F6" w:rsidRDefault="00AE4E36" w:rsidP="007106F6">
      <w:pPr>
        <w:spacing w:line="240" w:lineRule="auto"/>
        <w:jc w:val="both"/>
        <w:rPr>
          <w:rFonts w:ascii="Tw Cen MT" w:hAnsi="Tw Cen MT"/>
          <w:color w:val="000000"/>
          <w:sz w:val="24"/>
          <w:szCs w:val="24"/>
          <w:shd w:val="clear" w:color="auto" w:fill="FFFFFF"/>
          <w:lang w:val="id-ID"/>
        </w:rPr>
      </w:pPr>
      <w:r w:rsidRPr="00E64B9F">
        <w:rPr>
          <w:rFonts w:ascii="Tw Cen MT" w:hAnsi="Tw Cen MT"/>
          <w:sz w:val="24"/>
          <w:szCs w:val="24"/>
        </w:rPr>
        <w:t>Adanya penurunan tingkat kecemasan dalam menghadapi menarche setelah diberikan terapi berupa tindakan TKT, Pendidikan Kesehatan dan TS pada anak usia sekolah Kelas 4 SDN 176 Pekanbaru</w:t>
      </w:r>
      <w:r>
        <w:rPr>
          <w:rFonts w:ascii="Tw Cen MT" w:hAnsi="Tw Cen MT"/>
          <w:sz w:val="24"/>
          <w:szCs w:val="24"/>
        </w:rPr>
        <w:t>.</w:t>
      </w:r>
    </w:p>
    <w:p w14:paraId="27224DD3" w14:textId="77777777" w:rsidR="00FE5686" w:rsidRDefault="00FE5686" w:rsidP="00245150">
      <w:pPr>
        <w:tabs>
          <w:tab w:val="left" w:pos="426"/>
        </w:tabs>
        <w:spacing w:after="0" w:line="240" w:lineRule="auto"/>
        <w:jc w:val="both"/>
        <w:rPr>
          <w:rFonts w:ascii="Tw Cen MT" w:eastAsia="Twentieth Century" w:hAnsi="Tw Cen MT" w:cs="Twentieth Century"/>
          <w:b/>
          <w:sz w:val="24"/>
          <w:szCs w:val="24"/>
          <w:lang w:val="id-ID"/>
        </w:rPr>
      </w:pPr>
    </w:p>
    <w:p w14:paraId="1A625CF3" w14:textId="142D40F9" w:rsidR="00245150" w:rsidRPr="00AE4E36" w:rsidRDefault="00245150" w:rsidP="00245150">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60F8ECBE" w:rsidR="00245150" w:rsidRPr="00AE4E36" w:rsidRDefault="00AE4E36" w:rsidP="00245150">
      <w:pPr>
        <w:spacing w:line="240" w:lineRule="auto"/>
        <w:jc w:val="both"/>
        <w:rPr>
          <w:rFonts w:ascii="Tw Cen MT" w:eastAsia="Twentieth Century" w:hAnsi="Tw Cen MT" w:cs="Twentieth Century"/>
          <w:sz w:val="24"/>
          <w:szCs w:val="24"/>
          <w:lang w:val="id-ID"/>
        </w:rPr>
      </w:pPr>
      <w:r w:rsidRPr="00AE4E36">
        <w:rPr>
          <w:rFonts w:ascii="Tw Cen MT" w:hAnsi="Tw Cen MT"/>
          <w:sz w:val="24"/>
          <w:szCs w:val="24"/>
          <w:lang w:val="id-ID"/>
        </w:rPr>
        <w:t>Ucapan terimakasih penulis sampaikan kepada kepala sekolah dan bagian kesiswaan SDN 176 Pekanbaru yang telah memfasilitasi pelaksanaan penelitian ini dari awal hingga akhir.</w:t>
      </w:r>
    </w:p>
    <w:p w14:paraId="4C6CAB43"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72BF8A8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w:t>
      </w:r>
      <w:r w:rsidRPr="0000713F">
        <w:rPr>
          <w:rFonts w:ascii="Tw Cen MT" w:hAnsi="Tw Cen MT" w:cs="Times New Roman"/>
          <w:noProof/>
          <w:sz w:val="24"/>
          <w:szCs w:val="24"/>
        </w:rPr>
        <w:tab/>
        <w:t xml:space="preserve">S. Sudikno and S. Sandjaja, “Usia Menarche Perempuan Indonesia Semakin Muda: Hasil Analisis Riskesdas 2010,” </w:t>
      </w:r>
      <w:r w:rsidRPr="0000713F">
        <w:rPr>
          <w:rFonts w:ascii="Tw Cen MT" w:hAnsi="Tw Cen MT" w:cs="Times New Roman"/>
          <w:i/>
          <w:iCs/>
          <w:noProof/>
          <w:sz w:val="24"/>
          <w:szCs w:val="24"/>
        </w:rPr>
        <w:t>J. Kesehat. Reproduksi</w:t>
      </w:r>
      <w:r w:rsidRPr="0000713F">
        <w:rPr>
          <w:rFonts w:ascii="Tw Cen MT" w:hAnsi="Tw Cen MT" w:cs="Times New Roman"/>
          <w:noProof/>
          <w:sz w:val="24"/>
          <w:szCs w:val="24"/>
        </w:rPr>
        <w:t>, vol. 10, no. 2, pp. 163–171, 2020, doi: 10.22435/kespro.v10i2.2568.</w:t>
      </w:r>
    </w:p>
    <w:p w14:paraId="3932F01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[2]</w:t>
      </w:r>
      <w:r w:rsidRPr="0000713F">
        <w:rPr>
          <w:rFonts w:ascii="Tw Cen MT" w:hAnsi="Tw Cen MT" w:cs="Times New Roman"/>
          <w:noProof/>
          <w:sz w:val="24"/>
          <w:szCs w:val="24"/>
        </w:rPr>
        <w:tab/>
        <w:t xml:space="preserve">B. Ramraj, V. M. Subramanian, and V. G, “Study on age of menarche between generations and the factors associated with it,” </w:t>
      </w:r>
      <w:r w:rsidRPr="0000713F">
        <w:rPr>
          <w:rFonts w:ascii="Tw Cen MT" w:hAnsi="Tw Cen MT" w:cs="Times New Roman"/>
          <w:i/>
          <w:iCs/>
          <w:noProof/>
          <w:sz w:val="24"/>
          <w:szCs w:val="24"/>
        </w:rPr>
        <w:t>Clin. Epidemiol. Glob. Heal.</w:t>
      </w:r>
      <w:r w:rsidRPr="0000713F">
        <w:rPr>
          <w:rFonts w:ascii="Tw Cen MT" w:hAnsi="Tw Cen MT" w:cs="Times New Roman"/>
          <w:noProof/>
          <w:sz w:val="24"/>
          <w:szCs w:val="24"/>
        </w:rPr>
        <w:t>, vol. 11, p. 100758, 2021, doi: https://doi.org/10.1016/j.cegh.2021.100758.</w:t>
      </w:r>
    </w:p>
    <w:p w14:paraId="72320E27"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[3]</w:t>
      </w:r>
      <w:r w:rsidRPr="0000713F">
        <w:rPr>
          <w:rFonts w:ascii="Tw Cen MT" w:hAnsi="Tw Cen MT" w:cs="Times New Roman"/>
          <w:noProof/>
          <w:sz w:val="24"/>
          <w:szCs w:val="24"/>
        </w:rPr>
        <w:tab/>
        <w:t xml:space="preserve">I. Markevych </w:t>
      </w:r>
      <w:r w:rsidRPr="0000713F">
        <w:rPr>
          <w:rFonts w:ascii="Tw Cen MT" w:hAnsi="Tw Cen MT" w:cs="Times New Roman"/>
          <w:i/>
          <w:iCs/>
          <w:noProof/>
          <w:sz w:val="24"/>
          <w:szCs w:val="24"/>
        </w:rPr>
        <w:t>et al.</w:t>
      </w:r>
      <w:r w:rsidRPr="0000713F">
        <w:rPr>
          <w:rFonts w:ascii="Tw Cen MT" w:hAnsi="Tw Cen MT" w:cs="Times New Roman"/>
          <w:noProof/>
          <w:sz w:val="24"/>
          <w:szCs w:val="24"/>
        </w:rPr>
        <w:t xml:space="preserve">, “Residential green space and age at menarche in German and Australian adolescent girls: A longitudinal study,” </w:t>
      </w:r>
      <w:r w:rsidRPr="0000713F">
        <w:rPr>
          <w:rFonts w:ascii="Tw Cen MT" w:hAnsi="Tw Cen MT" w:cs="Times New Roman"/>
          <w:i/>
          <w:iCs/>
          <w:noProof/>
          <w:sz w:val="24"/>
          <w:szCs w:val="24"/>
        </w:rPr>
        <w:t>Int. J. Hyg. Environ. Health</w:t>
      </w:r>
      <w:r w:rsidRPr="0000713F">
        <w:rPr>
          <w:rFonts w:ascii="Tw Cen MT" w:hAnsi="Tw Cen MT" w:cs="Times New Roman"/>
          <w:noProof/>
          <w:sz w:val="24"/>
          <w:szCs w:val="24"/>
        </w:rPr>
        <w:t>, vol. 240, p. 113917, 2022, doi: https://doi.org/10.1016/j.ijheh.2021.113917.</w:t>
      </w:r>
    </w:p>
    <w:p w14:paraId="0555DFE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[4]</w:t>
      </w:r>
      <w:r w:rsidRPr="0000713F">
        <w:rPr>
          <w:rFonts w:ascii="Tw Cen MT" w:hAnsi="Tw Cen MT" w:cs="Times New Roman"/>
          <w:noProof/>
          <w:sz w:val="24"/>
          <w:szCs w:val="24"/>
        </w:rPr>
        <w:tab/>
        <w:t xml:space="preserve">L. Tondo, M. Pinna, G. Serra, L. De Chiara, and R. J. Baldessarini, “Age at menarche predicts age at onset of major affective and anxiety disorders,” </w:t>
      </w:r>
      <w:r w:rsidRPr="0000713F">
        <w:rPr>
          <w:rFonts w:ascii="Tw Cen MT" w:hAnsi="Tw Cen MT" w:cs="Times New Roman"/>
          <w:i/>
          <w:iCs/>
          <w:noProof/>
          <w:sz w:val="24"/>
          <w:szCs w:val="24"/>
        </w:rPr>
        <w:t>Eur. Psychiatry</w:t>
      </w:r>
      <w:r w:rsidRPr="0000713F">
        <w:rPr>
          <w:rFonts w:ascii="Tw Cen MT" w:hAnsi="Tw Cen MT" w:cs="Times New Roman"/>
          <w:noProof/>
          <w:sz w:val="24"/>
          <w:szCs w:val="24"/>
        </w:rPr>
        <w:t>, vol. 39, pp. 80–85, 2017, doi: https://doi.org/10.1016/j.eurpsy.2016.08.001.</w:t>
      </w:r>
    </w:p>
    <w:p w14:paraId="4A7BBD4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[5]</w:t>
      </w:r>
      <w:r w:rsidRPr="0000713F">
        <w:rPr>
          <w:rFonts w:ascii="Tw Cen MT" w:hAnsi="Tw Cen MT" w:cs="Times New Roman"/>
          <w:noProof/>
          <w:sz w:val="24"/>
          <w:szCs w:val="24"/>
        </w:rPr>
        <w:tab/>
        <w:t xml:space="preserve">C. C. Anikwe, J. E. Mamah, B. C. Okorochukwu, U. U. Nnadozie, C. H. </w:t>
      </w:r>
      <w:r w:rsidRPr="0000713F">
        <w:rPr>
          <w:rFonts w:ascii="Tw Cen MT" w:hAnsi="Tw Cen MT" w:cs="Times New Roman"/>
          <w:noProof/>
          <w:sz w:val="24"/>
          <w:szCs w:val="24"/>
        </w:rPr>
        <w:lastRenderedPageBreak/>
        <w:t xml:space="preserve">Obarezi, and K. C. Ekwedigwe, “Age at menarche, menstrual characteristics, and its associated morbidities among secondary school students in Abakaliki, southeast Nigeria,” </w:t>
      </w:r>
      <w:r w:rsidRPr="0000713F">
        <w:rPr>
          <w:rFonts w:ascii="Tw Cen MT" w:hAnsi="Tw Cen MT" w:cs="Times New Roman"/>
          <w:i/>
          <w:iCs/>
          <w:noProof/>
          <w:sz w:val="24"/>
          <w:szCs w:val="24"/>
        </w:rPr>
        <w:t>Heliyon</w:t>
      </w:r>
      <w:r w:rsidRPr="0000713F">
        <w:rPr>
          <w:rFonts w:ascii="Tw Cen MT" w:hAnsi="Tw Cen MT" w:cs="Times New Roman"/>
          <w:noProof/>
          <w:sz w:val="24"/>
          <w:szCs w:val="24"/>
        </w:rPr>
        <w:t>, vol. 6, no. 5, p. e04018, 2020, doi: https://doi.org/10.1016/j.heliyon.2020.e04018.</w:t>
      </w:r>
    </w:p>
    <w:p w14:paraId="0819C350"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[6]</w:t>
      </w:r>
      <w:r w:rsidRPr="0000713F">
        <w:rPr>
          <w:rFonts w:ascii="Tw Cen MT" w:hAnsi="Tw Cen MT" w:cs="Times New Roman"/>
          <w:noProof/>
          <w:sz w:val="24"/>
          <w:szCs w:val="24"/>
        </w:rPr>
        <w:tab/>
        <w:t xml:space="preserve">T. S. Chairunisa, F. Fujiana, and D. Priyono, “Studi Fenomenologi : Perubahan Setelah Menarche yang Dialami oleh Anak Perempuan Usia Sekolah di Kota Pontianak,” </w:t>
      </w:r>
      <w:r w:rsidRPr="0000713F">
        <w:rPr>
          <w:rFonts w:ascii="Tw Cen MT" w:hAnsi="Tw Cen MT" w:cs="Times New Roman"/>
          <w:i/>
          <w:iCs/>
          <w:noProof/>
          <w:sz w:val="24"/>
          <w:szCs w:val="24"/>
        </w:rPr>
        <w:t>Nurs. Curr.</w:t>
      </w:r>
      <w:r w:rsidRPr="0000713F">
        <w:rPr>
          <w:rFonts w:ascii="Tw Cen MT" w:hAnsi="Tw Cen MT" w:cs="Times New Roman"/>
          <w:noProof/>
          <w:sz w:val="24"/>
          <w:szCs w:val="24"/>
        </w:rPr>
        <w:t>, vol. 10, no. 1, pp. 32–40, 2022.</w:t>
      </w:r>
    </w:p>
    <w:p w14:paraId="5F66781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[7]</w:t>
      </w:r>
      <w:r w:rsidRPr="0000713F">
        <w:rPr>
          <w:rFonts w:ascii="Tw Cen MT" w:hAnsi="Tw Cen MT" w:cs="Times New Roman"/>
          <w:noProof/>
          <w:sz w:val="24"/>
          <w:szCs w:val="24"/>
        </w:rPr>
        <w:tab/>
        <w:t xml:space="preserve">S. E. Syarif, D. T. Mau, and C. Anugrahini, “Gambaran Tingkat Kecemasan Remaja Putri Dalam Menghadapi Haid Pertama Kali (Menarche) Pada Siswi Kelas Vii Smp Negeri 1 Atambua,” </w:t>
      </w:r>
      <w:r w:rsidRPr="0000713F">
        <w:rPr>
          <w:rFonts w:ascii="Tw Cen MT" w:hAnsi="Tw Cen MT" w:cs="Times New Roman"/>
          <w:i/>
          <w:iCs/>
          <w:noProof/>
          <w:sz w:val="24"/>
          <w:szCs w:val="24"/>
        </w:rPr>
        <w:t>J. Sahabat Keperawatan</w:t>
      </w:r>
      <w:r w:rsidRPr="0000713F">
        <w:rPr>
          <w:rFonts w:ascii="Tw Cen MT" w:hAnsi="Tw Cen MT" w:cs="Times New Roman"/>
          <w:noProof/>
          <w:sz w:val="24"/>
          <w:szCs w:val="24"/>
        </w:rPr>
        <w:t>, vol. 2, no. 02, pp. 13–17, 2020, doi: 10.32938/jsk.v2i02.628.</w:t>
      </w:r>
    </w:p>
    <w:p w14:paraId="791A6571"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[8]</w:t>
      </w:r>
      <w:r w:rsidRPr="0000713F">
        <w:rPr>
          <w:rFonts w:ascii="Tw Cen MT" w:hAnsi="Tw Cen MT" w:cs="Times New Roman"/>
          <w:noProof/>
          <w:sz w:val="24"/>
          <w:szCs w:val="24"/>
        </w:rPr>
        <w:tab/>
        <w:t xml:space="preserve">R. Hirtz </w:t>
      </w:r>
      <w:r w:rsidRPr="0000713F">
        <w:rPr>
          <w:rFonts w:ascii="Tw Cen MT" w:hAnsi="Tw Cen MT" w:cs="Times New Roman"/>
          <w:i/>
          <w:iCs/>
          <w:noProof/>
          <w:sz w:val="24"/>
          <w:szCs w:val="24"/>
        </w:rPr>
        <w:t>et al.</w:t>
      </w:r>
      <w:r w:rsidRPr="0000713F">
        <w:rPr>
          <w:rFonts w:ascii="Tw Cen MT" w:hAnsi="Tw Cen MT" w:cs="Times New Roman"/>
          <w:noProof/>
          <w:sz w:val="24"/>
          <w:szCs w:val="24"/>
        </w:rPr>
        <w:t xml:space="preserve">, “Age at menarche relates to depression in adolescent girls: Comparing a clinical sample to the general pediatric population,” </w:t>
      </w:r>
      <w:r w:rsidRPr="0000713F">
        <w:rPr>
          <w:rFonts w:ascii="Tw Cen MT" w:hAnsi="Tw Cen MT" w:cs="Times New Roman"/>
          <w:i/>
          <w:iCs/>
          <w:noProof/>
          <w:sz w:val="24"/>
          <w:szCs w:val="24"/>
        </w:rPr>
        <w:t>J. Affect. Disord.</w:t>
      </w:r>
      <w:r w:rsidRPr="0000713F">
        <w:rPr>
          <w:rFonts w:ascii="Tw Cen MT" w:hAnsi="Tw Cen MT" w:cs="Times New Roman"/>
          <w:noProof/>
          <w:sz w:val="24"/>
          <w:szCs w:val="24"/>
        </w:rPr>
        <w:t>, vol. 318, pp. 103–112, 2022, doi: https://doi.org/10.1016/j.jad.2022.08.092.</w:t>
      </w:r>
    </w:p>
    <w:p w14:paraId="04B2A4C1"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[9]</w:t>
      </w:r>
      <w:r w:rsidRPr="0000713F">
        <w:rPr>
          <w:rFonts w:ascii="Tw Cen MT" w:hAnsi="Tw Cen MT" w:cs="Times New Roman"/>
          <w:noProof/>
          <w:sz w:val="24"/>
          <w:szCs w:val="24"/>
        </w:rPr>
        <w:tab/>
        <w:t xml:space="preserve">N. A. Zam and Z. N. Mia, “Pengaruh Dukungan Keluarga Terhadap Tingkat Kecemasan Pada Remaja yang Mengalami Bullying The Effect of Family Support on Anxiety Levels in Teenagers Experience Bullying,” </w:t>
      </w:r>
      <w:r w:rsidRPr="0000713F">
        <w:rPr>
          <w:rFonts w:ascii="Tw Cen MT" w:hAnsi="Tw Cen MT" w:cs="Times New Roman"/>
          <w:i/>
          <w:iCs/>
          <w:noProof/>
          <w:sz w:val="24"/>
          <w:szCs w:val="24"/>
        </w:rPr>
        <w:t>J. Ilm. Kesehat. Masy.</w:t>
      </w:r>
      <w:r w:rsidRPr="0000713F">
        <w:rPr>
          <w:rFonts w:ascii="Tw Cen MT" w:hAnsi="Tw Cen MT" w:cs="Times New Roman"/>
          <w:noProof/>
          <w:sz w:val="24"/>
          <w:szCs w:val="24"/>
        </w:rPr>
        <w:t>, vol. 13, p. 2021, 2020.</w:t>
      </w:r>
    </w:p>
    <w:p w14:paraId="54672799"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[10]</w:t>
      </w:r>
      <w:r w:rsidRPr="0000713F">
        <w:rPr>
          <w:rFonts w:ascii="Tw Cen MT" w:hAnsi="Tw Cen MT" w:cs="Times New Roman"/>
          <w:noProof/>
          <w:sz w:val="24"/>
          <w:szCs w:val="24"/>
        </w:rPr>
        <w:tab/>
        <w:t xml:space="preserve">P. Muhopilah and F. Tentama, “Faktor Yang Mempengaruhi Bullying,” </w:t>
      </w:r>
      <w:r w:rsidRPr="0000713F">
        <w:rPr>
          <w:rFonts w:ascii="Tw Cen MT" w:hAnsi="Tw Cen MT" w:cs="Times New Roman"/>
          <w:i/>
          <w:iCs/>
          <w:noProof/>
          <w:sz w:val="24"/>
          <w:szCs w:val="24"/>
        </w:rPr>
        <w:t>J. Psikol. Terap. dan Pendidik.</w:t>
      </w:r>
      <w:r w:rsidRPr="0000713F">
        <w:rPr>
          <w:rFonts w:ascii="Tw Cen MT" w:hAnsi="Tw Cen MT" w:cs="Times New Roman"/>
          <w:noProof/>
          <w:sz w:val="24"/>
          <w:szCs w:val="24"/>
        </w:rPr>
        <w:t>, vol. 1, no. 2, pp. 99–107, 2019.</w:t>
      </w:r>
    </w:p>
    <w:p w14:paraId="14670E39"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[11]</w:t>
      </w:r>
      <w:r w:rsidRPr="0000713F">
        <w:rPr>
          <w:rFonts w:ascii="Tw Cen MT" w:hAnsi="Tw Cen MT" w:cs="Times New Roman"/>
          <w:noProof/>
          <w:sz w:val="24"/>
          <w:szCs w:val="24"/>
        </w:rPr>
        <w:tab/>
        <w:t xml:space="preserve">C. Cleodora, Mustikasari, and D. Gayatri, “Therapeutic group therapy improved self-efficacy of school age children,” </w:t>
      </w:r>
      <w:r w:rsidRPr="0000713F">
        <w:rPr>
          <w:rFonts w:ascii="Tw Cen MT" w:hAnsi="Tw Cen MT" w:cs="Times New Roman"/>
          <w:i/>
          <w:iCs/>
          <w:noProof/>
          <w:sz w:val="24"/>
          <w:szCs w:val="24"/>
        </w:rPr>
        <w:t>Enfermería Clínica</w:t>
      </w:r>
      <w:r w:rsidRPr="0000713F">
        <w:rPr>
          <w:rFonts w:ascii="Tw Cen MT" w:hAnsi="Tw Cen MT" w:cs="Times New Roman"/>
          <w:noProof/>
          <w:sz w:val="24"/>
          <w:szCs w:val="24"/>
        </w:rPr>
        <w:t>, vol. 28, pp. 112–115, 2018, doi: https://doi.org/10.1016/S1130-8621(18)30048-2.</w:t>
      </w:r>
    </w:p>
    <w:p w14:paraId="50995AED"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[12]</w:t>
      </w:r>
      <w:r w:rsidRPr="0000713F">
        <w:rPr>
          <w:rFonts w:ascii="Tw Cen MT" w:hAnsi="Tw Cen MT" w:cs="Times New Roman"/>
          <w:noProof/>
          <w:sz w:val="24"/>
          <w:szCs w:val="24"/>
        </w:rPr>
        <w:tab/>
        <w:t xml:space="preserve">J. H. Park, J. Y. Kim, and H. O. Kim, </w:t>
      </w:r>
      <w:r w:rsidRPr="0000713F">
        <w:rPr>
          <w:rFonts w:ascii="Tw Cen MT" w:hAnsi="Tw Cen MT" w:cs="Times New Roman"/>
          <w:noProof/>
          <w:sz w:val="24"/>
          <w:szCs w:val="24"/>
        </w:rPr>
        <w:t xml:space="preserve">“Effects of a group poetry therapy program on stress, anxiety, ego-resilience, and psychological well-being of nursing students,” </w:t>
      </w:r>
      <w:r w:rsidRPr="0000713F">
        <w:rPr>
          <w:rFonts w:ascii="Tw Cen MT" w:hAnsi="Tw Cen MT" w:cs="Times New Roman"/>
          <w:i/>
          <w:iCs/>
          <w:noProof/>
          <w:sz w:val="24"/>
          <w:szCs w:val="24"/>
        </w:rPr>
        <w:t>Arch. Psychiatr. Nurs.</w:t>
      </w:r>
      <w:r w:rsidRPr="0000713F">
        <w:rPr>
          <w:rFonts w:ascii="Tw Cen MT" w:hAnsi="Tw Cen MT" w:cs="Times New Roman"/>
          <w:noProof/>
          <w:sz w:val="24"/>
          <w:szCs w:val="24"/>
        </w:rPr>
        <w:t>, vol. 41, pp. 144–152, 2022, doi: https://doi.org/10.1016/j.apnu.2022.07.027.</w:t>
      </w:r>
    </w:p>
    <w:p w14:paraId="2642151C"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[13]</w:t>
      </w:r>
      <w:r w:rsidRPr="0000713F">
        <w:rPr>
          <w:rFonts w:ascii="Tw Cen MT" w:hAnsi="Tw Cen MT" w:cs="Times New Roman"/>
          <w:noProof/>
          <w:sz w:val="24"/>
          <w:szCs w:val="24"/>
        </w:rPr>
        <w:tab/>
        <w:t xml:space="preserve">J. Yoost, M. Ruley, and L. Durfee, “Acceptability of a Comprehensive Sex Education Self-Study Website for Teaching Reproductive Health: A Pilot Study Among College Students and Obstetrics and Gynecology Resident Physicians,” </w:t>
      </w:r>
      <w:r w:rsidRPr="0000713F">
        <w:rPr>
          <w:rFonts w:ascii="Tw Cen MT" w:hAnsi="Tw Cen MT" w:cs="Times New Roman"/>
          <w:i/>
          <w:iCs/>
          <w:noProof/>
          <w:sz w:val="24"/>
          <w:szCs w:val="24"/>
        </w:rPr>
        <w:t>Sex. Med.</w:t>
      </w:r>
      <w:r w:rsidRPr="0000713F">
        <w:rPr>
          <w:rFonts w:ascii="Tw Cen MT" w:hAnsi="Tw Cen MT" w:cs="Times New Roman"/>
          <w:noProof/>
          <w:sz w:val="24"/>
          <w:szCs w:val="24"/>
        </w:rPr>
        <w:t>, vol. 9, no. 1, p. 100302, 2021, doi: https://doi.org/10.1016/j.esxm.2020.100302.</w:t>
      </w:r>
    </w:p>
    <w:p w14:paraId="503092EF"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[14]</w:t>
      </w:r>
      <w:r w:rsidRPr="0000713F">
        <w:rPr>
          <w:rFonts w:ascii="Tw Cen MT" w:hAnsi="Tw Cen MT" w:cs="Times New Roman"/>
          <w:noProof/>
          <w:sz w:val="24"/>
          <w:szCs w:val="24"/>
        </w:rPr>
        <w:tab/>
        <w:t xml:space="preserve">Y. A. Hardayati, Mustikasari, and R. U. Panjaitan, “The effects of thought stopping on anxiety levels in adolescents living in earthquake-prone areas,” </w:t>
      </w:r>
      <w:r w:rsidRPr="0000713F">
        <w:rPr>
          <w:rFonts w:ascii="Tw Cen MT" w:hAnsi="Tw Cen MT" w:cs="Times New Roman"/>
          <w:i/>
          <w:iCs/>
          <w:noProof/>
          <w:sz w:val="24"/>
          <w:szCs w:val="24"/>
        </w:rPr>
        <w:t>Enfermería Clínica</w:t>
      </w:r>
      <w:r w:rsidRPr="0000713F">
        <w:rPr>
          <w:rFonts w:ascii="Tw Cen MT" w:hAnsi="Tw Cen MT" w:cs="Times New Roman"/>
          <w:noProof/>
          <w:sz w:val="24"/>
          <w:szCs w:val="24"/>
        </w:rPr>
        <w:t>, vol. 31, pp. S395–S399, 2021, doi: https://doi.org/10.1016/j.enfcli.2021.01.001.</w:t>
      </w:r>
    </w:p>
    <w:p w14:paraId="7281CAC4"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[15]</w:t>
      </w:r>
      <w:r w:rsidRPr="0000713F">
        <w:rPr>
          <w:rFonts w:ascii="Tw Cen MT" w:hAnsi="Tw Cen MT" w:cs="Times New Roman"/>
          <w:noProof/>
          <w:sz w:val="24"/>
          <w:szCs w:val="24"/>
        </w:rPr>
        <w:tab/>
        <w:t xml:space="preserve">D. R. Abadi, A. P. Dewi, and S. Nuschayati, “Hubungan Dukungan Keluarga dengan Tingkat Kecemasan Remaja Putri dalam Menghadapi Menarche,” </w:t>
      </w:r>
      <w:r w:rsidRPr="0000713F">
        <w:rPr>
          <w:rFonts w:ascii="Tw Cen MT" w:hAnsi="Tw Cen MT" w:cs="Times New Roman"/>
          <w:i/>
          <w:iCs/>
          <w:noProof/>
          <w:sz w:val="24"/>
          <w:szCs w:val="24"/>
        </w:rPr>
        <w:t>JOM</w:t>
      </w:r>
      <w:r w:rsidRPr="0000713F">
        <w:rPr>
          <w:rFonts w:ascii="Tw Cen MT" w:hAnsi="Tw Cen MT" w:cs="Times New Roman"/>
          <w:noProof/>
          <w:sz w:val="24"/>
          <w:szCs w:val="24"/>
        </w:rPr>
        <w:t>, vol. 2, no. 2, 2015.</w:t>
      </w:r>
    </w:p>
    <w:p w14:paraId="784CA947"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[16]</w:t>
      </w:r>
      <w:r w:rsidRPr="0000713F">
        <w:rPr>
          <w:rFonts w:ascii="Tw Cen MT" w:hAnsi="Tw Cen MT" w:cs="Times New Roman"/>
          <w:noProof/>
          <w:sz w:val="24"/>
          <w:szCs w:val="24"/>
        </w:rPr>
        <w:tab/>
        <w:t xml:space="preserve">L. PH, N. Indrayati, and E. Yuliyanti, “Gambaran Tingkat Ansietas Anak Usia Sekolah Saat Mengalami Menarche,” </w:t>
      </w:r>
      <w:r w:rsidRPr="0000713F">
        <w:rPr>
          <w:rFonts w:ascii="Tw Cen MT" w:hAnsi="Tw Cen MT" w:cs="Times New Roman"/>
          <w:i/>
          <w:iCs/>
          <w:noProof/>
          <w:sz w:val="24"/>
          <w:szCs w:val="24"/>
        </w:rPr>
        <w:t>J. Kesehat.</w:t>
      </w:r>
      <w:r w:rsidRPr="0000713F">
        <w:rPr>
          <w:rFonts w:ascii="Tw Cen MT" w:hAnsi="Tw Cen MT" w:cs="Times New Roman"/>
          <w:noProof/>
          <w:sz w:val="24"/>
          <w:szCs w:val="24"/>
        </w:rPr>
        <w:t>, vol. 12, no. 2, p. 146, 2019, doi: 10.24252/kesehatan.v12i2.10295.</w:t>
      </w:r>
    </w:p>
    <w:p w14:paraId="3006EE2C"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[17]</w:t>
      </w:r>
      <w:r w:rsidRPr="0000713F">
        <w:rPr>
          <w:rFonts w:ascii="Tw Cen MT" w:hAnsi="Tw Cen MT" w:cs="Times New Roman"/>
          <w:noProof/>
          <w:sz w:val="24"/>
          <w:szCs w:val="24"/>
        </w:rPr>
        <w:tab/>
        <w:t>W. Pujiati, Ernawati, and Daratullalla, “Pendidikan Kesehatan tentang Menstruasi terhadap Tingkat Kecemasan Menghadapi Menarche pada Siswi Sekolah Dasar,” vol. 13, no. 1, pp. 50–58, 2019, doi: http://dx.doi.org/10.30595/medisains.v13i1.1829.</w:t>
      </w:r>
    </w:p>
    <w:p w14:paraId="14EBDEAF"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[18]</w:t>
      </w:r>
      <w:r w:rsidRPr="0000713F">
        <w:rPr>
          <w:rFonts w:ascii="Tw Cen MT" w:hAnsi="Tw Cen MT" w:cs="Times New Roman"/>
          <w:noProof/>
          <w:sz w:val="24"/>
          <w:szCs w:val="24"/>
        </w:rPr>
        <w:tab/>
        <w:t xml:space="preserve">L. R. Kholil, </w:t>
      </w:r>
      <w:r w:rsidRPr="0000713F">
        <w:rPr>
          <w:rFonts w:ascii="Tw Cen MT" w:hAnsi="Tw Cen MT" w:cs="Times New Roman"/>
          <w:i/>
          <w:iCs/>
          <w:noProof/>
          <w:sz w:val="24"/>
          <w:szCs w:val="24"/>
        </w:rPr>
        <w:t>Kesehatan Mental</w:t>
      </w:r>
      <w:r w:rsidRPr="0000713F">
        <w:rPr>
          <w:rFonts w:ascii="Tw Cen MT" w:hAnsi="Tw Cen MT" w:cs="Times New Roman"/>
          <w:noProof/>
          <w:sz w:val="24"/>
          <w:szCs w:val="24"/>
        </w:rPr>
        <w:t>. Purwokerto: Fajar Media Press, 2010.</w:t>
      </w:r>
    </w:p>
    <w:p w14:paraId="37CAAB1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[19]</w:t>
      </w:r>
      <w:r w:rsidRPr="0000713F">
        <w:rPr>
          <w:rFonts w:ascii="Tw Cen MT" w:hAnsi="Tw Cen MT" w:cs="Times New Roman"/>
          <w:noProof/>
          <w:sz w:val="24"/>
          <w:szCs w:val="24"/>
        </w:rPr>
        <w:tab/>
        <w:t xml:space="preserve">F. U. Mutasya, E. Edison, and H. Hasyim, “Faktor-Faktor yang Berhubungan dengan Usia Menarche Siswi SMP </w:t>
      </w:r>
      <w:r w:rsidRPr="0000713F">
        <w:rPr>
          <w:rFonts w:ascii="Tw Cen MT" w:hAnsi="Tw Cen MT" w:cs="Times New Roman"/>
          <w:noProof/>
          <w:sz w:val="24"/>
          <w:szCs w:val="24"/>
        </w:rPr>
        <w:lastRenderedPageBreak/>
        <w:t xml:space="preserve">Adabiah,” </w:t>
      </w:r>
      <w:r w:rsidRPr="0000713F">
        <w:rPr>
          <w:rFonts w:ascii="Tw Cen MT" w:hAnsi="Tw Cen MT" w:cs="Times New Roman"/>
          <w:i/>
          <w:iCs/>
          <w:noProof/>
          <w:sz w:val="24"/>
          <w:szCs w:val="24"/>
        </w:rPr>
        <w:t>J. Kesehat. Andalas</w:t>
      </w:r>
      <w:r w:rsidRPr="0000713F">
        <w:rPr>
          <w:rFonts w:ascii="Tw Cen MT" w:hAnsi="Tw Cen MT" w:cs="Times New Roman"/>
          <w:noProof/>
          <w:sz w:val="24"/>
          <w:szCs w:val="24"/>
        </w:rPr>
        <w:t>, vol. 5, no. 1, pp. 233–237, 2016, doi: 10.25077/jka.v5i1.475.</w:t>
      </w:r>
    </w:p>
    <w:p w14:paraId="3F450C61" w14:textId="7512E1E1" w:rsidR="00AE4E36" w:rsidRPr="00245150" w:rsidRDefault="00AE4E36" w:rsidP="00E55A48">
      <w:pPr>
        <w:widowControl w:val="0"/>
        <w:autoSpaceDE w:val="0"/>
        <w:autoSpaceDN w:val="0"/>
        <w:adjustRightInd w:val="0"/>
        <w:spacing w:after="0" w:line="240" w:lineRule="auto"/>
        <w:ind w:left="567" w:hanging="567"/>
        <w:jc w:val="both"/>
        <w:rPr>
          <w:rFonts w:ascii="Tw Cen MT" w:eastAsia="Twentieth Century" w:hAnsi="Tw Cen MT" w:cs="Twentieth Century"/>
          <w:sz w:val="24"/>
          <w:szCs w:val="24"/>
        </w:rPr>
      </w:pPr>
      <w:r w:rsidRPr="0000713F">
        <w:rPr>
          <w:rFonts w:ascii="Tw Cen MT" w:hAnsi="Tw Cen MT" w:cs="Times New Roman"/>
          <w:noProof/>
          <w:sz w:val="24"/>
          <w:szCs w:val="24"/>
        </w:rPr>
        <w:t>[20]</w:t>
      </w:r>
      <w:r w:rsidRPr="0000713F">
        <w:rPr>
          <w:rFonts w:ascii="Tw Cen MT" w:hAnsi="Tw Cen MT" w:cs="Times New Roman"/>
          <w:noProof/>
          <w:sz w:val="24"/>
          <w:szCs w:val="24"/>
        </w:rPr>
        <w:tab/>
        <w:t xml:space="preserve">A. Andri and Y. D. Purnamawati, “Teori Kecemasan Berdasarkan Psikoanalisis Klasik dan Berbagai Mekanisme Pertahanan terhadap Kecemasan,” </w:t>
      </w:r>
      <w:r w:rsidRPr="0000713F">
        <w:rPr>
          <w:rFonts w:ascii="Tw Cen MT" w:hAnsi="Tw Cen MT" w:cs="Times New Roman"/>
          <w:i/>
          <w:iCs/>
          <w:noProof/>
          <w:sz w:val="24"/>
          <w:szCs w:val="24"/>
        </w:rPr>
        <w:t>Maj. Kedokt. Indones.</w:t>
      </w:r>
      <w:r w:rsidRPr="0000713F">
        <w:rPr>
          <w:rFonts w:ascii="Tw Cen MT" w:hAnsi="Tw Cen MT" w:cs="Times New Roman"/>
          <w:noProof/>
          <w:sz w:val="24"/>
          <w:szCs w:val="24"/>
        </w:rPr>
        <w:t>, vol. 57, no. 7, pp. 233–238, 2007</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3-06-21T15:10:00Z" w:initials="FJ">
    <w:p w14:paraId="62506FB5" w14:textId="77777777" w:rsidR="00DD1724" w:rsidRDefault="00DD1724" w:rsidP="00694EA7">
      <w:pPr>
        <w:pStyle w:val="CommentText"/>
      </w:pPr>
      <w:r>
        <w:rPr>
          <w:rStyle w:val="CommentReference"/>
        </w:rPr>
        <w:annotationRef/>
      </w:r>
      <w:r>
        <w:t>Sesuai dengan template, abstrak maksimal 150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06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D9178" w16cex:dateUtc="2023-06-21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06FB5" w16cid:durableId="283D9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4AE9" w14:textId="77777777" w:rsidR="0049077A" w:rsidRDefault="0049077A">
      <w:pPr>
        <w:spacing w:after="0" w:line="240" w:lineRule="auto"/>
      </w:pPr>
      <w:r>
        <w:separator/>
      </w:r>
    </w:p>
  </w:endnote>
  <w:endnote w:type="continuationSeparator" w:id="0">
    <w:p w14:paraId="25D3F910" w14:textId="77777777" w:rsidR="0049077A" w:rsidRDefault="0049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813F869" w:rsidR="00A36329" w:rsidRDefault="00FE5686" w:rsidP="006D261F">
        <w:pPr>
          <w:pStyle w:val="Foote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1A554E5E">
                  <wp:simplePos x="0" y="0"/>
                  <wp:positionH relativeFrom="column">
                    <wp:posOffset>-8890</wp:posOffset>
                  </wp:positionH>
                  <wp:positionV relativeFrom="paragraph">
                    <wp:posOffset>112615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2B2B12"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8.85pt" to="468.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" strokecolor="black [3213]" strokeweight="2.25pt"/>
              </w:pict>
            </mc:Fallback>
          </mc:AlternateContent>
        </w:r>
      </w:p>
      <w:p w14:paraId="246B4739" w14:textId="063A5D25" w:rsidR="000C2F19" w:rsidRPr="00FC0FFB" w:rsidRDefault="00000000" w:rsidP="000C2F19">
        <w:pPr>
          <w:pStyle w:val="Footer"/>
          <w:tabs>
            <w:tab w:val="clear" w:pos="9360"/>
          </w:tabs>
          <w:rPr>
            <w:rFonts w:ascii="Tw Cen MT" w:hAnsi="Tw Cen MT"/>
            <w:color w:val="000000" w:themeColor="text1"/>
            <w:sz w:val="20"/>
            <w:szCs w:val="24"/>
          </w:rPr>
        </w:pP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0C2F19">
              <w:rPr>
                <w:rFonts w:ascii="Tw Cen MT" w:hAnsi="Tw Cen MT"/>
                <w:color w:val="000000" w:themeColor="text1"/>
                <w:sz w:val="20"/>
                <w:szCs w:val="24"/>
                <w:lang w:val="en-ID"/>
              </w:rPr>
              <w:t>Usraleli and erniforwaty@pkr.ac.id</w:t>
            </w:r>
          </w:sdtContent>
        </w:sdt>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sidRPr="000C2F19">
          <w:rPr>
            <w:rFonts w:ascii="Tw Cen MT" w:hAnsi="Tw Cen MT"/>
            <w:color w:val="000000" w:themeColor="text1"/>
            <w:sz w:val="20"/>
            <w:szCs w:val="24"/>
          </w:rPr>
          <w:fldChar w:fldCharType="begin"/>
        </w:r>
        <w:r w:rsidR="000C2F19" w:rsidRPr="000C2F19">
          <w:rPr>
            <w:rFonts w:ascii="Tw Cen MT" w:hAnsi="Tw Cen MT"/>
            <w:color w:val="000000" w:themeColor="text1"/>
            <w:sz w:val="20"/>
            <w:szCs w:val="24"/>
          </w:rPr>
          <w:instrText xml:space="preserve"> PAGE   \* MERGEFORMAT </w:instrText>
        </w:r>
        <w:r w:rsidR="000C2F19" w:rsidRPr="000C2F19">
          <w:rPr>
            <w:rFonts w:ascii="Tw Cen MT" w:hAnsi="Tw Cen MT"/>
            <w:color w:val="000000" w:themeColor="text1"/>
            <w:sz w:val="20"/>
            <w:szCs w:val="24"/>
          </w:rPr>
          <w:fldChar w:fldCharType="separate"/>
        </w:r>
        <w:r w:rsidR="000C2F19" w:rsidRPr="000C2F19">
          <w:rPr>
            <w:rFonts w:ascii="Tw Cen MT" w:hAnsi="Tw Cen MT"/>
            <w:noProof/>
            <w:color w:val="000000" w:themeColor="text1"/>
            <w:sz w:val="20"/>
            <w:szCs w:val="24"/>
          </w:rPr>
          <w:t>1</w:t>
        </w:r>
        <w:r w:rsidR="000C2F19" w:rsidRPr="000C2F19">
          <w:rPr>
            <w:rFonts w:ascii="Tw Cen MT" w:hAnsi="Tw Cen MT"/>
            <w:noProof/>
            <w:color w:val="000000" w:themeColor="text1"/>
            <w:sz w:val="20"/>
            <w:szCs w:val="24"/>
          </w:rPr>
          <w:fldChar w:fldCharType="end"/>
        </w:r>
      </w:p>
      <w:p w14:paraId="07382446" w14:textId="4DB8C4AF" w:rsidR="00A36329" w:rsidRDefault="00A36329" w:rsidP="006D261F">
        <w:pPr>
          <w:pStyle w:val="Footer"/>
          <w:jc w:val="right"/>
        </w:pPr>
        <w:r>
          <w:rPr>
            <w:rFonts w:ascii="Tw Cen MT" w:hAnsi="Tw Cen MT"/>
            <w:noProof/>
            <w:color w:val="000000" w:themeColor="text1"/>
            <w:sz w:val="20"/>
            <w:szCs w:val="24"/>
          </w:rPr>
          <w:t xml:space="preserve"> </w:t>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BD1E" w14:textId="77777777" w:rsidR="0049077A" w:rsidRDefault="0049077A">
      <w:pPr>
        <w:spacing w:after="0" w:line="240" w:lineRule="auto"/>
      </w:pPr>
      <w:r>
        <w:separator/>
      </w:r>
    </w:p>
  </w:footnote>
  <w:footnote w:type="continuationSeparator" w:id="0">
    <w:p w14:paraId="6EF57E0E" w14:textId="77777777" w:rsidR="0049077A" w:rsidRDefault="00490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E68A" w14:textId="2F765530" w:rsidR="00A36329" w:rsidRPr="008B3945" w:rsidRDefault="008B3945" w:rsidP="008B3945">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4C0D725D">
              <wp:simplePos x="0" y="0"/>
              <wp:positionH relativeFrom="column">
                <wp:posOffset>-25400</wp:posOffset>
              </wp:positionH>
              <wp:positionV relativeFrom="paragraph">
                <wp:posOffset>493395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BDDB112" id="_x0000_t32" coordsize="21600,21600" o:spt="32" o:oned="t" path="m,l21600,21600e" filled="f">
              <v:path arrowok="t" fillok="f" o:connecttype="none"/>
              <o:lock v:ext="edit" shapetype="t"/>
            </v:shapetype>
            <v:shape id="Straight Arrow Connector 65" o:spid="_x0000_s1026" type="#_x0000_t32" style="position:absolute;margin-left:-2pt;margin-top:38.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" strokecolor="black [3200]" strokeweight="1.5pt">
              <v:stroke startarrowwidth="narrow" startarrowlength="short" endarrowwidth="narrow" endarrowlength="short"/>
            </v:shape>
          </w:pict>
        </mc:Fallback>
      </mc:AlternateContent>
    </w: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D56013">
          <w:rPr>
            <w:rFonts w:ascii="Tw Cen MT" w:hAnsi="Tw Cen MT" w:cstheme="minorBidi"/>
            <w:sz w:val="20"/>
            <w:szCs w:val="20"/>
          </w:rPr>
          <w:t>2</w:t>
        </w:r>
        <w:r w:rsidR="00A36329">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E55A48">
          <w:rPr>
            <w:rFonts w:ascii="Tw Cen MT" w:hAnsi="Tw Cen MT" w:cstheme="minorBidi"/>
            <w:sz w:val="20"/>
            <w:szCs w:val="20"/>
          </w:rPr>
          <w:t>34-39</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2F19"/>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01D37"/>
    <w:rsid w:val="00413D75"/>
    <w:rsid w:val="004201C9"/>
    <w:rsid w:val="00420F93"/>
    <w:rsid w:val="00431AAB"/>
    <w:rsid w:val="00463B9A"/>
    <w:rsid w:val="0046541C"/>
    <w:rsid w:val="0049077A"/>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8B3945"/>
    <w:rsid w:val="008F7335"/>
    <w:rsid w:val="00942731"/>
    <w:rsid w:val="0096335E"/>
    <w:rsid w:val="00997349"/>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74AF"/>
    <w:rsid w:val="00BC34CC"/>
    <w:rsid w:val="00BE7B4C"/>
    <w:rsid w:val="00C133E7"/>
    <w:rsid w:val="00C20FA8"/>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4A46"/>
    <w:rsid w:val="00DB7592"/>
    <w:rsid w:val="00DC2BB5"/>
    <w:rsid w:val="00DD1724"/>
    <w:rsid w:val="00DE3780"/>
    <w:rsid w:val="00DF0B65"/>
    <w:rsid w:val="00DF6E07"/>
    <w:rsid w:val="00E00E3E"/>
    <w:rsid w:val="00E03962"/>
    <w:rsid w:val="00E067A8"/>
    <w:rsid w:val="00E37E90"/>
    <w:rsid w:val="00E55A48"/>
    <w:rsid w:val="00E81E13"/>
    <w:rsid w:val="00EA57B9"/>
    <w:rsid w:val="00ED0E10"/>
    <w:rsid w:val="00F1133F"/>
    <w:rsid w:val="00F5431A"/>
    <w:rsid w:val="00F6187B"/>
    <w:rsid w:val="00F64252"/>
    <w:rsid w:val="00F817F4"/>
    <w:rsid w:val="00F841D1"/>
    <w:rsid w:val="00F9233C"/>
    <w:rsid w:val="00FE0EBE"/>
    <w:rsid w:val="00FE4F92"/>
    <w:rsid w:val="00F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006CEA"/>
  </w:style>
  <w:style w:type="paragraph" w:styleId="BodyText">
    <w:name w:val="Body Text"/>
    <w:basedOn w:val="Normal"/>
    <w:link w:val="BodyTextCh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AE4E36"/>
    <w:rPr>
      <w:rFonts w:ascii="Times New Roman" w:eastAsia="Times New Roman" w:hAnsi="Times New Roman"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29494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erniforwaty@pkr.ac.id"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5F769C"/>
    <w:rsid w:val="00637CD0"/>
    <w:rsid w:val="00700937"/>
    <w:rsid w:val="00A85543"/>
    <w:rsid w:val="00D30BBE"/>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11902</Words>
  <Characters>67842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Jurnal Proteksi Kesehatan                                                                                                                                   Vol.12, No.1, Mei 2023, pp. 7-14		                                                                 </vt:lpstr>
    </vt:vector>
  </TitlesOfParts>
  <Company>HP</Company>
  <LinksUpToDate>false</LinksUpToDate>
  <CharactersWithSpaces>79585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34-39		                                                                                                        ISSN 2715-1115 (Online), ISSN 2302 – 8610 (Print)</dc:title>
  <dc:creator>Usraleli and erniforwaty@pkr.ac.id</dc:creator>
  <cp:lastModifiedBy>Fathul Jannah</cp:lastModifiedBy>
  <cp:revision>5</cp:revision>
  <cp:lastPrinted>2023-01-25T03:53:00Z</cp:lastPrinted>
  <dcterms:created xsi:type="dcterms:W3CDTF">2023-06-10T16:23:00Z</dcterms:created>
  <dcterms:modified xsi:type="dcterms:W3CDTF">2023-06-21T08:10:00Z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