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A3C1" w14:textId="77777777" w:rsidR="00736F53" w:rsidRPr="00122FED" w:rsidRDefault="00DE523C" w:rsidP="00FB6355">
      <w:pPr>
        <w:spacing w:after="0" w:line="240" w:lineRule="auto"/>
        <w:jc w:val="center"/>
        <w:rPr>
          <w:rFonts w:ascii="Tw Cen MT" w:hAnsi="Tw Cen MT"/>
          <w:b/>
          <w:sz w:val="32"/>
          <w:szCs w:val="32"/>
        </w:rPr>
      </w:pPr>
      <w:r w:rsidRPr="00122FED">
        <w:rPr>
          <w:rFonts w:ascii="Tw Cen MT" w:eastAsia="Times New Roman" w:hAnsi="Tw Cen MT"/>
          <w:b/>
          <w:sz w:val="32"/>
          <w:szCs w:val="32"/>
          <w:lang w:val="en"/>
        </w:rPr>
        <w:t>Correlation of Estradiol Concentration and Body Mass Index in Progestin C</w:t>
      </w:r>
      <w:r w:rsidR="00744F66" w:rsidRPr="00122FED">
        <w:rPr>
          <w:rFonts w:ascii="Tw Cen MT" w:eastAsia="Times New Roman" w:hAnsi="Tw Cen MT"/>
          <w:b/>
          <w:sz w:val="32"/>
          <w:szCs w:val="32"/>
          <w:lang w:val="en"/>
        </w:rPr>
        <w:t>ontraceptive</w:t>
      </w:r>
      <w:r w:rsidRPr="00122FED">
        <w:rPr>
          <w:rFonts w:ascii="Tw Cen MT" w:hAnsi="Tw Cen MT"/>
          <w:b/>
          <w:sz w:val="32"/>
          <w:szCs w:val="32"/>
        </w:rPr>
        <w:t xml:space="preserve"> U</w:t>
      </w:r>
      <w:r w:rsidR="00103412" w:rsidRPr="00122FED">
        <w:rPr>
          <w:rFonts w:ascii="Tw Cen MT" w:hAnsi="Tw Cen MT"/>
          <w:b/>
          <w:sz w:val="32"/>
          <w:szCs w:val="32"/>
        </w:rPr>
        <w:t>ser</w:t>
      </w:r>
    </w:p>
    <w:p w14:paraId="47F766C0" w14:textId="77777777" w:rsidR="00122FED" w:rsidRPr="00122FED" w:rsidRDefault="00122FED" w:rsidP="00FB6355">
      <w:pPr>
        <w:spacing w:after="0" w:line="240" w:lineRule="auto"/>
        <w:jc w:val="center"/>
        <w:rPr>
          <w:rFonts w:ascii="Tw Cen MT" w:eastAsia="Twentieth Century" w:hAnsi="Tw Cen MT" w:cs="Twentieth Century"/>
          <w:b/>
          <w:sz w:val="32"/>
          <w:szCs w:val="32"/>
        </w:rPr>
      </w:pPr>
    </w:p>
    <w:p w14:paraId="08E60067" w14:textId="77777777" w:rsidR="00103412" w:rsidRPr="00122FED" w:rsidRDefault="00DE523C" w:rsidP="00103412">
      <w:pPr>
        <w:pStyle w:val="Title"/>
        <w:spacing w:before="0" w:after="0" w:line="240" w:lineRule="auto"/>
        <w:jc w:val="center"/>
        <w:rPr>
          <w:rFonts w:ascii="Tw Cen MT" w:hAnsi="Tw Cen MT"/>
          <w:sz w:val="32"/>
          <w:szCs w:val="32"/>
        </w:rPr>
      </w:pPr>
      <w:r w:rsidRPr="00122FED">
        <w:rPr>
          <w:rFonts w:ascii="Tw Cen MT" w:hAnsi="Tw Cen MT"/>
          <w:sz w:val="32"/>
          <w:szCs w:val="32"/>
        </w:rPr>
        <w:t>Korelasi Konsentrasi E</w:t>
      </w:r>
      <w:r w:rsidR="00744F66" w:rsidRPr="00122FED">
        <w:rPr>
          <w:rFonts w:ascii="Tw Cen MT" w:hAnsi="Tw Cen MT"/>
          <w:sz w:val="32"/>
          <w:szCs w:val="32"/>
        </w:rPr>
        <w:t xml:space="preserve">stradiol dan </w:t>
      </w:r>
      <w:r w:rsidRPr="00122FED">
        <w:rPr>
          <w:rFonts w:ascii="Tw Cen MT" w:hAnsi="Tw Cen MT"/>
          <w:sz w:val="32"/>
          <w:szCs w:val="32"/>
        </w:rPr>
        <w:t>Indeks Massa Tubuh pada A</w:t>
      </w:r>
      <w:r w:rsidR="00744F66" w:rsidRPr="00122FED">
        <w:rPr>
          <w:rFonts w:ascii="Tw Cen MT" w:hAnsi="Tw Cen MT"/>
          <w:sz w:val="32"/>
          <w:szCs w:val="32"/>
        </w:rPr>
        <w:t>kseptor KB Progestin</w:t>
      </w:r>
    </w:p>
    <w:p w14:paraId="7AAA285C" w14:textId="77777777" w:rsidR="00736F53" w:rsidRPr="00122FED" w:rsidRDefault="00736F53">
      <w:pPr>
        <w:widowControl w:val="0"/>
        <w:spacing w:after="0" w:line="218" w:lineRule="auto"/>
        <w:ind w:left="7" w:right="-20"/>
        <w:jc w:val="center"/>
        <w:rPr>
          <w:rFonts w:ascii="Tw Cen MT" w:eastAsia="Twentieth Century" w:hAnsi="Tw Cen MT" w:cs="Twentieth Century"/>
          <w:sz w:val="24"/>
          <w:szCs w:val="24"/>
        </w:rPr>
      </w:pPr>
    </w:p>
    <w:p w14:paraId="53F8598D" w14:textId="77777777" w:rsidR="00122FED" w:rsidRPr="00122FED" w:rsidRDefault="00122FED" w:rsidP="00122FED">
      <w:pPr>
        <w:widowControl w:val="0"/>
        <w:spacing w:after="0" w:line="218" w:lineRule="auto"/>
        <w:ind w:left="7" w:right="-20"/>
        <w:jc w:val="center"/>
        <w:rPr>
          <w:rFonts w:ascii="Tw Cen MT" w:eastAsia="Twentieth Century" w:hAnsi="Tw Cen MT" w:cs="Twentieth Century"/>
          <w:sz w:val="24"/>
          <w:szCs w:val="24"/>
        </w:rPr>
      </w:pPr>
      <w:r w:rsidRPr="00122FED">
        <w:rPr>
          <w:rFonts w:ascii="Tw Cen MT" w:eastAsia="Twentieth Century" w:hAnsi="Tw Cen MT" w:cs="Twentieth Century"/>
          <w:sz w:val="24"/>
          <w:szCs w:val="24"/>
        </w:rPr>
        <w:t>Ari Susanti</w:t>
      </w:r>
      <w:r w:rsidRPr="00122FED">
        <w:rPr>
          <w:rFonts w:ascii="Tw Cen MT" w:eastAsia="Twentieth Century" w:hAnsi="Tw Cen MT" w:cs="Twentieth Century"/>
          <w:sz w:val="24"/>
          <w:szCs w:val="24"/>
          <w:vertAlign w:val="superscript"/>
        </w:rPr>
        <w:t xml:space="preserve">1, </w:t>
      </w:r>
      <w:r w:rsidRPr="00122FED">
        <w:rPr>
          <w:rFonts w:ascii="Tw Cen MT" w:eastAsia="Twentieth Century" w:hAnsi="Tw Cen MT" w:cs="Twentieth Century"/>
          <w:sz w:val="24"/>
          <w:szCs w:val="24"/>
        </w:rPr>
        <w:t>Eryati Darwin</w:t>
      </w:r>
      <w:r w:rsidRPr="00122FED">
        <w:rPr>
          <w:rFonts w:ascii="Tw Cen MT" w:eastAsia="Twentieth Century" w:hAnsi="Tw Cen MT" w:cs="Twentieth Century"/>
          <w:sz w:val="24"/>
          <w:szCs w:val="24"/>
          <w:vertAlign w:val="superscript"/>
        </w:rPr>
        <w:t xml:space="preserve">2 , </w:t>
      </w:r>
      <w:r w:rsidRPr="00122FED">
        <w:rPr>
          <w:rFonts w:ascii="Tw Cen MT" w:eastAsia="Twentieth Century" w:hAnsi="Tw Cen MT" w:cs="Twentieth Century"/>
          <w:sz w:val="24"/>
          <w:szCs w:val="24"/>
        </w:rPr>
        <w:t>Rauza Sukma Rita</w:t>
      </w:r>
      <w:r w:rsidRPr="00122FED">
        <w:rPr>
          <w:rFonts w:ascii="Tw Cen MT" w:eastAsia="Twentieth Century" w:hAnsi="Tw Cen MT" w:cs="Twentieth Century"/>
          <w:sz w:val="24"/>
          <w:szCs w:val="24"/>
          <w:vertAlign w:val="superscript"/>
        </w:rPr>
        <w:t>2</w:t>
      </w:r>
    </w:p>
    <w:p w14:paraId="799068EF" w14:textId="77777777" w:rsidR="00122FED" w:rsidRPr="00122FED" w:rsidRDefault="00122FED" w:rsidP="00122FED">
      <w:pPr>
        <w:widowControl w:val="0"/>
        <w:spacing w:after="0" w:line="218" w:lineRule="auto"/>
        <w:ind w:left="7" w:right="-20"/>
        <w:jc w:val="center"/>
        <w:rPr>
          <w:rFonts w:ascii="Tw Cen MT" w:eastAsia="Twentieth Century" w:hAnsi="Tw Cen MT" w:cs="Twentieth Century"/>
          <w:sz w:val="20"/>
          <w:szCs w:val="20"/>
          <w:vertAlign w:val="superscript"/>
        </w:rPr>
      </w:pPr>
      <w:r w:rsidRPr="00122FED">
        <w:rPr>
          <w:rFonts w:ascii="Tw Cen MT" w:eastAsia="Twentieth Century" w:hAnsi="Tw Cen MT" w:cs="Twentieth Century"/>
          <w:sz w:val="20"/>
          <w:szCs w:val="20"/>
        </w:rPr>
        <w:t>Poltekkes Kemenkes Riau, Pekanbaru, Indonesia(s)</w:t>
      </w:r>
      <w:r w:rsidRPr="00122FED">
        <w:rPr>
          <w:rFonts w:ascii="Tw Cen MT" w:eastAsia="Twentieth Century" w:hAnsi="Tw Cen MT" w:cs="Twentieth Century"/>
          <w:sz w:val="20"/>
          <w:szCs w:val="20"/>
          <w:vertAlign w:val="superscript"/>
        </w:rPr>
        <w:t>1</w:t>
      </w:r>
      <w:r w:rsidRPr="00122FED">
        <w:rPr>
          <w:rFonts w:ascii="Tw Cen MT" w:eastAsia="Twentieth Century" w:hAnsi="Tw Cen MT" w:cs="Twentieth Century"/>
          <w:sz w:val="20"/>
          <w:szCs w:val="20"/>
        </w:rPr>
        <w:t xml:space="preserve">, </w:t>
      </w:r>
      <w:commentRangeStart w:id="0"/>
      <w:r w:rsidRPr="00122FED">
        <w:rPr>
          <w:rFonts w:ascii="Tw Cen MT" w:eastAsia="Twentieth Century" w:hAnsi="Tw Cen MT" w:cs="Twentieth Century"/>
          <w:sz w:val="20"/>
          <w:szCs w:val="20"/>
        </w:rPr>
        <w:t>Universitas</w:t>
      </w:r>
      <w:commentRangeEnd w:id="0"/>
      <w:r w:rsidR="004D0AD1">
        <w:rPr>
          <w:rStyle w:val="CommentReference"/>
        </w:rPr>
        <w:commentReference w:id="0"/>
      </w:r>
      <w:r w:rsidRPr="00122FED">
        <w:rPr>
          <w:rFonts w:ascii="Tw Cen MT" w:eastAsia="Twentieth Century" w:hAnsi="Tw Cen MT" w:cs="Twentieth Century"/>
          <w:sz w:val="20"/>
          <w:szCs w:val="20"/>
        </w:rPr>
        <w:t xml:space="preserve"> Andalas, Padang, Indonesia (s)</w:t>
      </w:r>
      <w:r w:rsidRPr="00122FED">
        <w:rPr>
          <w:rFonts w:ascii="Tw Cen MT" w:eastAsia="Twentieth Century" w:hAnsi="Tw Cen MT" w:cs="Twentieth Century"/>
          <w:sz w:val="20"/>
          <w:szCs w:val="20"/>
          <w:vertAlign w:val="superscript"/>
        </w:rPr>
        <w:t>2</w:t>
      </w:r>
    </w:p>
    <w:p w14:paraId="77AD71EC" w14:textId="6A895CA0" w:rsidR="00122FED" w:rsidRPr="00122FED" w:rsidRDefault="00122FED" w:rsidP="00122FED">
      <w:pPr>
        <w:widowControl w:val="0"/>
        <w:spacing w:after="0" w:line="218" w:lineRule="auto"/>
        <w:ind w:left="7" w:right="-20"/>
        <w:jc w:val="center"/>
        <w:rPr>
          <w:rFonts w:ascii="Tw Cen MT" w:eastAsia="Twentieth Century" w:hAnsi="Tw Cen MT" w:cs="Twentieth Century"/>
          <w:sz w:val="24"/>
          <w:szCs w:val="24"/>
        </w:rPr>
      </w:pPr>
      <w:r w:rsidRPr="00122FED">
        <w:rPr>
          <w:rFonts w:ascii="Tw Cen MT" w:eastAsia="Twentieth Century" w:hAnsi="Tw Cen MT" w:cs="Twentieth Century"/>
          <w:sz w:val="20"/>
          <w:szCs w:val="20"/>
        </w:rPr>
        <w:t>Email Coresponden ari@pkr.ac.id</w:t>
      </w:r>
    </w:p>
    <w:p w14:paraId="164790D3" w14:textId="612F8C3E" w:rsidR="00736F53" w:rsidRPr="00122FED" w:rsidRDefault="00122FED">
      <w:pPr>
        <w:widowControl w:val="0"/>
        <w:spacing w:after="0" w:line="218" w:lineRule="auto"/>
        <w:ind w:left="7" w:right="-20"/>
        <w:jc w:val="center"/>
        <w:rPr>
          <w:rFonts w:ascii="Tw Cen MT" w:eastAsia="Twentieth Century" w:hAnsi="Tw Cen MT" w:cs="Twentieth Century"/>
          <w:sz w:val="20"/>
          <w:szCs w:val="20"/>
        </w:rPr>
      </w:pPr>
      <w:r w:rsidRPr="008B3945">
        <w:rPr>
          <w:rFonts w:ascii="Tw Cen MT" w:hAnsi="Tw Cen MT"/>
          <w:noProof/>
        </w:rPr>
        <mc:AlternateContent>
          <mc:Choice Requires="wps">
            <w:drawing>
              <wp:anchor distT="0" distB="0" distL="114300" distR="114300" simplePos="0" relativeHeight="251662336" behindDoc="0" locked="0" layoutInCell="1" hidden="0" allowOverlap="1" wp14:anchorId="52DC017E" wp14:editId="7D530436">
                <wp:simplePos x="0" y="0"/>
                <wp:positionH relativeFrom="column">
                  <wp:posOffset>0</wp:posOffset>
                </wp:positionH>
                <wp:positionV relativeFrom="paragraph">
                  <wp:posOffset>76835</wp:posOffset>
                </wp:positionV>
                <wp:extent cx="5965825" cy="0"/>
                <wp:effectExtent l="0" t="0" r="0" b="0"/>
                <wp:wrapNone/>
                <wp:docPr id="69" name="Straight Arrow Connector 69"/>
                <wp:cNvGraphicFramePr/>
                <a:graphic xmlns:a="http://schemas.openxmlformats.org/drawingml/2006/main">
                  <a:graphicData uri="http://schemas.microsoft.com/office/word/2010/wordprocessingShape">
                    <wps:wsp>
                      <wps:cNvCnPr/>
                      <wps:spPr>
                        <a:xfrm>
                          <a:off x="0" y="0"/>
                          <a:ext cx="596582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1490810" id="_x0000_t32" coordsize="21600,21600" o:spt="32" o:oned="t" path="m,l21600,21600e" filled="f">
                <v:path arrowok="t" fillok="f" o:connecttype="none"/>
                <o:lock v:ext="edit" shapetype="t"/>
              </v:shapetype>
              <v:shape id="Straight Arrow Connector 69" o:spid="_x0000_s1026" type="#_x0000_t32" style="position:absolute;margin-left:0;margin-top:6.05pt;width:46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" strokecolor="black [3200]" strokeweight="1.5pt">
                <v:stroke startarrowwidth="narrow" startarrowlength="short" endarrowwidth="narrow" endarrowlength="short"/>
              </v:shape>
            </w:pict>
          </mc:Fallback>
        </mc:AlternateContent>
      </w:r>
    </w:p>
    <w:p w14:paraId="51E03D45" w14:textId="1F9639AE" w:rsidR="00736F53" w:rsidRPr="00122FED" w:rsidRDefault="00122FED" w:rsidP="00122FED">
      <w:pPr>
        <w:spacing w:after="0"/>
        <w:rPr>
          <w:rFonts w:ascii="Tw Cen MT" w:hAnsi="Tw Cen MT"/>
        </w:rPr>
      </w:pPr>
      <w:r w:rsidRPr="008B3945">
        <w:rPr>
          <w:rFonts w:ascii="Tw Cen MT" w:hAnsi="Tw Cen MT"/>
          <w:b/>
          <w:i/>
          <w:iCs/>
          <w:noProof/>
          <w:sz w:val="24"/>
          <w:szCs w:val="24"/>
        </w:rPr>
        <mc:AlternateContent>
          <mc:Choice Requires="wps">
            <w:drawing>
              <wp:anchor distT="0" distB="0" distL="114300" distR="114300" simplePos="0" relativeHeight="251664384" behindDoc="0" locked="0" layoutInCell="1" allowOverlap="1" wp14:anchorId="7F35F66B" wp14:editId="0B0BDAC5">
                <wp:simplePos x="0" y="0"/>
                <wp:positionH relativeFrom="column">
                  <wp:posOffset>-1270</wp:posOffset>
                </wp:positionH>
                <wp:positionV relativeFrom="paragraph">
                  <wp:posOffset>21590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BDBEDFD" w14:textId="77777777" w:rsidR="00122FED" w:rsidRPr="00623753" w:rsidRDefault="00122FED" w:rsidP="00122FED">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F45E31D" w14:textId="77777777" w:rsidR="00122FED" w:rsidRPr="00623753" w:rsidRDefault="00122FED" w:rsidP="00122FED">
                            <w:pPr>
                              <w:tabs>
                                <w:tab w:val="left" w:pos="567"/>
                              </w:tabs>
                              <w:spacing w:after="0"/>
                              <w:ind w:left="-85"/>
                              <w:rPr>
                                <w:rFonts w:ascii="Arial" w:hAnsi="Arial" w:cs="Arial"/>
                                <w:b/>
                                <w:bCs/>
                                <w:caps/>
                                <w:sz w:val="20"/>
                                <w:szCs w:val="20"/>
                                <w:lang w:val="id-ID"/>
                              </w:rPr>
                            </w:pPr>
                          </w:p>
                          <w:p w14:paraId="3726D86E" w14:textId="77777777" w:rsidR="00122FED" w:rsidRPr="00623753" w:rsidRDefault="00122FED" w:rsidP="00122FED">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849C867" w14:textId="544817FF" w:rsidR="00122FED" w:rsidRPr="00CB43AA" w:rsidRDefault="00122FED" w:rsidP="00122FED">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sz w:val="20"/>
                                <w:szCs w:val="20"/>
                              </w:rPr>
                              <w:t>2023-</w:t>
                            </w:r>
                          </w:p>
                          <w:p w14:paraId="719A0C74" w14:textId="18BA4BA4" w:rsidR="00122FED" w:rsidRPr="00CB43AA" w:rsidRDefault="00122FED" w:rsidP="00122FED">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r>
                              <w:rPr>
                                <w:rFonts w:ascii="Tw Cen MT" w:hAnsi="Tw Cen MT"/>
                                <w:sz w:val="20"/>
                                <w:szCs w:val="20"/>
                              </w:rPr>
                              <w:t>2023-</w:t>
                            </w:r>
                          </w:p>
                          <w:p w14:paraId="3DDCB3B4" w14:textId="4B0A5668" w:rsidR="00122FED" w:rsidRPr="00CB43AA" w:rsidRDefault="00122FED" w:rsidP="00122FED">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r>
                              <w:rPr>
                                <w:rFonts w:ascii="Tw Cen MT" w:hAnsi="Tw Cen MT"/>
                                <w:sz w:val="20"/>
                                <w:szCs w:val="20"/>
                              </w:rPr>
                              <w:t>2023-</w:t>
                            </w:r>
                          </w:p>
                          <w:p w14:paraId="56E6DA14" w14:textId="77777777" w:rsidR="00122FED" w:rsidRPr="00623753" w:rsidRDefault="00122FED" w:rsidP="00122FED">
                            <w:pPr>
                              <w:pBdr>
                                <w:top w:val="single" w:sz="4" w:space="0" w:color="auto"/>
                              </w:pBdr>
                              <w:tabs>
                                <w:tab w:val="left" w:pos="567"/>
                              </w:tabs>
                              <w:spacing w:after="0"/>
                              <w:ind w:left="-85" w:right="-57"/>
                              <w:rPr>
                                <w:rFonts w:ascii="Tw Cen MT" w:hAnsi="Tw Cen MT" w:cs="Arial"/>
                                <w:b/>
                                <w:bCs/>
                                <w:i/>
                                <w:caps/>
                                <w:sz w:val="20"/>
                                <w:szCs w:val="20"/>
                              </w:rPr>
                            </w:pPr>
                          </w:p>
                          <w:p w14:paraId="71491B5D" w14:textId="77777777" w:rsidR="00122FED" w:rsidRPr="00013A3E" w:rsidRDefault="00122FED" w:rsidP="00122FED">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F66B" id="Rectangle 7" o:spid="_x0000_s1026" style="position:absolute;margin-left:-.1pt;margin-top:1.7pt;width:153pt;height:9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" fillcolor="white [3201]" stroked="f" strokeweight="2pt">
                <v:textbox>
                  <w:txbxContent>
                    <w:p w14:paraId="3BDBEDFD" w14:textId="77777777" w:rsidR="00122FED" w:rsidRPr="00623753" w:rsidRDefault="00122FED" w:rsidP="00122FED">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F45E31D" w14:textId="77777777" w:rsidR="00122FED" w:rsidRPr="00623753" w:rsidRDefault="00122FED" w:rsidP="00122FED">
                      <w:pPr>
                        <w:tabs>
                          <w:tab w:val="left" w:pos="567"/>
                        </w:tabs>
                        <w:spacing w:after="0"/>
                        <w:ind w:left="-85"/>
                        <w:rPr>
                          <w:rFonts w:ascii="Arial" w:hAnsi="Arial" w:cs="Arial"/>
                          <w:b/>
                          <w:bCs/>
                          <w:caps/>
                          <w:sz w:val="20"/>
                          <w:szCs w:val="20"/>
                          <w:lang w:val="id-ID"/>
                        </w:rPr>
                      </w:pPr>
                    </w:p>
                    <w:p w14:paraId="3726D86E" w14:textId="77777777" w:rsidR="00122FED" w:rsidRPr="00623753" w:rsidRDefault="00122FED" w:rsidP="00122FED">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6849C867" w14:textId="544817FF" w:rsidR="00122FED" w:rsidRPr="00CB43AA" w:rsidRDefault="00122FED" w:rsidP="00122FED">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sz w:val="20"/>
                          <w:szCs w:val="20"/>
                        </w:rPr>
                        <w:t>2023-</w:t>
                      </w:r>
                    </w:p>
                    <w:p w14:paraId="719A0C74" w14:textId="18BA4BA4" w:rsidR="00122FED" w:rsidRPr="00CB43AA" w:rsidRDefault="00122FED" w:rsidP="00122FED">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r>
                        <w:rPr>
                          <w:rFonts w:ascii="Tw Cen MT" w:hAnsi="Tw Cen MT"/>
                          <w:sz w:val="20"/>
                          <w:szCs w:val="20"/>
                        </w:rPr>
                        <w:t>2023-</w:t>
                      </w:r>
                    </w:p>
                    <w:p w14:paraId="3DDCB3B4" w14:textId="4B0A5668" w:rsidR="00122FED" w:rsidRPr="00CB43AA" w:rsidRDefault="00122FED" w:rsidP="00122FED">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r>
                        <w:rPr>
                          <w:rFonts w:ascii="Tw Cen MT" w:hAnsi="Tw Cen MT"/>
                          <w:sz w:val="20"/>
                          <w:szCs w:val="20"/>
                        </w:rPr>
                        <w:t>2023-</w:t>
                      </w:r>
                    </w:p>
                    <w:p w14:paraId="56E6DA14" w14:textId="77777777" w:rsidR="00122FED" w:rsidRPr="00623753" w:rsidRDefault="00122FED" w:rsidP="00122FED">
                      <w:pPr>
                        <w:pBdr>
                          <w:top w:val="single" w:sz="4" w:space="0" w:color="auto"/>
                        </w:pBdr>
                        <w:tabs>
                          <w:tab w:val="left" w:pos="567"/>
                        </w:tabs>
                        <w:spacing w:after="0"/>
                        <w:ind w:left="-85" w:right="-57"/>
                        <w:rPr>
                          <w:rFonts w:ascii="Tw Cen MT" w:hAnsi="Tw Cen MT" w:cs="Arial"/>
                          <w:b/>
                          <w:bCs/>
                          <w:i/>
                          <w:caps/>
                          <w:sz w:val="20"/>
                          <w:szCs w:val="20"/>
                        </w:rPr>
                      </w:pPr>
                    </w:p>
                    <w:p w14:paraId="71491B5D" w14:textId="77777777" w:rsidR="00122FED" w:rsidRPr="00013A3E" w:rsidRDefault="00122FED" w:rsidP="00122FED">
                      <w:pPr>
                        <w:rPr>
                          <w:rFonts w:ascii="Tw Cen MT" w:hAnsi="Tw Cen MT"/>
                          <w:sz w:val="20"/>
                          <w:szCs w:val="20"/>
                        </w:rPr>
                      </w:pPr>
                    </w:p>
                  </w:txbxContent>
                </v:textbox>
              </v:rect>
            </w:pict>
          </mc:Fallback>
        </mc:AlternateContent>
      </w:r>
      <w:r w:rsidR="007E2FAB" w:rsidRPr="00122FED">
        <w:rPr>
          <w:rFonts w:ascii="Tw Cen MT" w:hAnsi="Tw Cen MT"/>
        </w:rPr>
        <w:tab/>
      </w:r>
      <w:r w:rsidR="007E2FAB" w:rsidRPr="00122FED">
        <w:rPr>
          <w:rFonts w:ascii="Tw Cen MT" w:hAnsi="Tw Cen MT"/>
        </w:rPr>
        <w:tab/>
      </w:r>
      <w:r w:rsidR="007E2FAB" w:rsidRPr="00122FED">
        <w:rPr>
          <w:rFonts w:ascii="Tw Cen MT" w:hAnsi="Tw Cen MT"/>
        </w:rPr>
        <w:tab/>
      </w:r>
      <w:r w:rsidR="007E2FAB" w:rsidRPr="00122FED">
        <w:rPr>
          <w:rFonts w:ascii="Tw Cen MT" w:hAnsi="Tw Cen MT"/>
        </w:rPr>
        <w:tab/>
        <w:t xml:space="preserve">     </w:t>
      </w:r>
      <w:r w:rsidR="007E2FAB" w:rsidRPr="00122FED">
        <w:rPr>
          <w:rFonts w:ascii="Tw Cen MT" w:hAnsi="Tw Cen MT"/>
          <w:noProof/>
        </w:rPr>
        <mc:AlternateContent>
          <mc:Choice Requires="wps">
            <w:drawing>
              <wp:anchor distT="0" distB="0" distL="114300" distR="114300" simplePos="0" relativeHeight="251658240" behindDoc="0" locked="0" layoutInCell="1" hidden="0" allowOverlap="1" wp14:anchorId="06D3BF2E" wp14:editId="045A0EE6">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0D999815" id="Straight Arrow Connector 58"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r w:rsidR="007E2FAB" w:rsidRPr="00122FED">
        <w:rPr>
          <w:rFonts w:ascii="Tw Cen MT" w:eastAsia="Twentieth Century" w:hAnsi="Tw Cen MT" w:cs="Twentieth Century"/>
          <w:b/>
          <w:i/>
          <w:sz w:val="20"/>
          <w:szCs w:val="20"/>
        </w:rPr>
        <w:t>Abstract</w:t>
      </w:r>
    </w:p>
    <w:p w14:paraId="229B7375" w14:textId="6756FBEF" w:rsidR="0014693C" w:rsidRPr="00122FED" w:rsidRDefault="00122FED" w:rsidP="00122FED">
      <w:pPr>
        <w:tabs>
          <w:tab w:val="left" w:pos="426"/>
          <w:tab w:val="left" w:pos="3150"/>
        </w:tabs>
        <w:spacing w:after="0" w:line="240" w:lineRule="auto"/>
        <w:ind w:left="3150"/>
        <w:jc w:val="both"/>
        <w:rPr>
          <w:rFonts w:ascii="Tw Cen MT" w:eastAsia="Twentieth Century" w:hAnsi="Tw Cen MT" w:cs="Times New Roman"/>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6432" behindDoc="1" locked="0" layoutInCell="1" allowOverlap="1" wp14:anchorId="2D012C94" wp14:editId="265BA2C6">
            <wp:simplePos x="0" y="0"/>
            <wp:positionH relativeFrom="column">
              <wp:posOffset>44450</wp:posOffset>
            </wp:positionH>
            <wp:positionV relativeFrom="paragraph">
              <wp:posOffset>952500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14572" w:rsidRPr="00122FED">
        <w:rPr>
          <w:rFonts w:ascii="Tw Cen MT" w:eastAsia="Times New Roman" w:hAnsi="Tw Cen MT" w:cs="Courier New"/>
          <w:color w:val="202124"/>
          <w:sz w:val="20"/>
          <w:szCs w:val="20"/>
          <w:lang w:val="en"/>
        </w:rPr>
        <w:t>One method of contraception that has high effectiveness is progestin contraception. One type of progestin, namely depot medroxyprogesterone acetate, can stimulate the appetite control center in the hypothalamus, causing an increase in appetite and body weight. The number that becomes the standard assessment to determine whether a body weight is classified as normal, underweight, overweight, or obese is the body mass index (BMI). This research aims to identify the relationship between estradiol levels and body mass index. This type of research is analytic. The research sample was 45 DMPA user. Data analysis used discriminant analysis. The results showed that estradiol levels of 56.4 ± 19.3 pg/mL tended to have normal BMI. Estradiol levels of 73.3 ± 47.7 pg/mL tend to be overweight. It can be concluded that there is no relationship between estradiol levels and body mass index</w:t>
      </w:r>
      <w:r w:rsidR="0014693C" w:rsidRPr="00122FED">
        <w:rPr>
          <w:rFonts w:ascii="Tw Cen MT" w:hAnsi="Tw Cen MT" w:cs="Times New Roman"/>
          <w:bCs/>
          <w:color w:val="212529"/>
          <w:sz w:val="20"/>
          <w:szCs w:val="20"/>
          <w:shd w:val="clear" w:color="auto" w:fill="FFFFFF"/>
        </w:rPr>
        <w:t>.</w:t>
      </w:r>
    </w:p>
    <w:p w14:paraId="40A91EDA" w14:textId="77777777" w:rsidR="00753E05" w:rsidRPr="00122FED" w:rsidRDefault="00B00D27" w:rsidP="00122FED">
      <w:pPr>
        <w:widowControl w:val="0"/>
        <w:spacing w:after="0" w:line="240" w:lineRule="auto"/>
        <w:ind w:left="3154" w:right="-14"/>
        <w:jc w:val="both"/>
        <w:rPr>
          <w:rFonts w:ascii="Tw Cen MT" w:hAnsi="Tw Cen MT"/>
          <w:sz w:val="18"/>
        </w:rPr>
      </w:pPr>
      <w:r w:rsidRPr="00122FED">
        <w:rPr>
          <w:rFonts w:ascii="Tw Cen MT" w:hAnsi="Tw Cen MT"/>
          <w:sz w:val="18"/>
        </w:rPr>
        <w:t>.</w:t>
      </w:r>
    </w:p>
    <w:p w14:paraId="331178BF" w14:textId="77777777" w:rsidR="00736F53" w:rsidRPr="00122FED" w:rsidRDefault="007E2FAB" w:rsidP="00122FED">
      <w:pPr>
        <w:widowControl w:val="0"/>
        <w:spacing w:after="0" w:line="240" w:lineRule="auto"/>
        <w:ind w:left="3154" w:right="-14"/>
        <w:jc w:val="both"/>
        <w:rPr>
          <w:rFonts w:ascii="Tw Cen MT" w:eastAsia="Twentieth Century" w:hAnsi="Tw Cen MT" w:cs="Arial"/>
          <w:b/>
          <w:i/>
          <w:sz w:val="20"/>
          <w:szCs w:val="20"/>
        </w:rPr>
      </w:pPr>
      <w:r w:rsidRPr="00122FED">
        <w:rPr>
          <w:rFonts w:ascii="Tw Cen MT" w:eastAsia="Twentieth Century" w:hAnsi="Tw Cen MT" w:cs="Arial"/>
          <w:b/>
          <w:i/>
          <w:sz w:val="20"/>
          <w:szCs w:val="20"/>
        </w:rPr>
        <w:t>Keywords:</w:t>
      </w:r>
    </w:p>
    <w:p w14:paraId="40521246" w14:textId="77777777" w:rsidR="00736F53" w:rsidRPr="00122FED" w:rsidRDefault="008A3A1D" w:rsidP="00122FED">
      <w:pPr>
        <w:tabs>
          <w:tab w:val="left" w:pos="426"/>
        </w:tabs>
        <w:spacing w:after="0" w:line="240" w:lineRule="auto"/>
        <w:ind w:left="3150"/>
        <w:jc w:val="both"/>
        <w:rPr>
          <w:rFonts w:ascii="Tw Cen MT" w:eastAsia="Twentieth Century" w:hAnsi="Tw Cen MT" w:cs="Twentieth Century"/>
          <w:i/>
          <w:sz w:val="20"/>
          <w:szCs w:val="20"/>
        </w:rPr>
      </w:pPr>
      <w:r w:rsidRPr="00122FED">
        <w:rPr>
          <w:rFonts w:ascii="Tw Cen MT" w:hAnsi="Tw Cen MT"/>
          <w:i/>
          <w:sz w:val="18"/>
        </w:rPr>
        <w:t>Estradiol, Body Mass index, DMPA User</w:t>
      </w:r>
    </w:p>
    <w:p w14:paraId="2793EDEF" w14:textId="77777777" w:rsidR="00736F53" w:rsidRPr="00122FED" w:rsidRDefault="00736F53" w:rsidP="00122FED">
      <w:pPr>
        <w:tabs>
          <w:tab w:val="left" w:pos="426"/>
        </w:tabs>
        <w:spacing w:after="0" w:line="240" w:lineRule="auto"/>
        <w:ind w:left="3150"/>
        <w:jc w:val="both"/>
        <w:rPr>
          <w:rFonts w:ascii="Tw Cen MT" w:eastAsia="Twentieth Century" w:hAnsi="Tw Cen MT" w:cs="Twentieth Century"/>
          <w:b/>
          <w:sz w:val="20"/>
          <w:szCs w:val="20"/>
        </w:rPr>
      </w:pPr>
    </w:p>
    <w:p w14:paraId="711BAFE1" w14:textId="77777777" w:rsidR="00736F53" w:rsidRPr="00122FED" w:rsidRDefault="007E2FAB" w:rsidP="00122FED">
      <w:pPr>
        <w:tabs>
          <w:tab w:val="left" w:pos="426"/>
        </w:tabs>
        <w:spacing w:after="0" w:line="240" w:lineRule="auto"/>
        <w:ind w:left="3150"/>
        <w:jc w:val="both"/>
        <w:rPr>
          <w:rFonts w:ascii="Tw Cen MT" w:eastAsia="Twentieth Century" w:hAnsi="Tw Cen MT" w:cs="Twentieth Century"/>
          <w:b/>
          <w:sz w:val="20"/>
          <w:szCs w:val="20"/>
        </w:rPr>
      </w:pPr>
      <w:r w:rsidRPr="00122FED">
        <w:rPr>
          <w:rFonts w:ascii="Tw Cen MT" w:eastAsia="Twentieth Century" w:hAnsi="Tw Cen MT" w:cs="Twentieth Century"/>
          <w:b/>
          <w:sz w:val="20"/>
          <w:szCs w:val="20"/>
        </w:rPr>
        <w:t>Abstrak</w:t>
      </w:r>
    </w:p>
    <w:p w14:paraId="4E374492" w14:textId="77777777" w:rsidR="0014693C" w:rsidRPr="00122FED" w:rsidRDefault="0014693C" w:rsidP="00122FED">
      <w:pPr>
        <w:tabs>
          <w:tab w:val="left" w:pos="916"/>
          <w:tab w:val="left" w:pos="1832"/>
          <w:tab w:val="left" w:pos="31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50"/>
        <w:jc w:val="both"/>
        <w:rPr>
          <w:rFonts w:ascii="Tw Cen MT" w:eastAsia="Times New Roman" w:hAnsi="Tw Cen MT" w:cs="Courier New"/>
          <w:color w:val="202124"/>
          <w:sz w:val="20"/>
          <w:szCs w:val="20"/>
        </w:rPr>
      </w:pPr>
    </w:p>
    <w:p w14:paraId="394E7C5E" w14:textId="77777777" w:rsidR="00114572" w:rsidRPr="00122FED" w:rsidRDefault="00114572" w:rsidP="00122FED">
      <w:pPr>
        <w:tabs>
          <w:tab w:val="left" w:pos="426"/>
          <w:tab w:val="left" w:pos="3150"/>
        </w:tabs>
        <w:spacing w:after="0" w:line="240" w:lineRule="auto"/>
        <w:ind w:left="3150"/>
        <w:jc w:val="both"/>
        <w:rPr>
          <w:rFonts w:ascii="Tw Cen MT" w:eastAsia="Twentieth Century" w:hAnsi="Tw Cen MT" w:cs="Times New Roman"/>
          <w:sz w:val="20"/>
          <w:szCs w:val="20"/>
        </w:rPr>
      </w:pPr>
      <w:r w:rsidRPr="00122FED">
        <w:rPr>
          <w:rFonts w:ascii="Tw Cen MT" w:eastAsia="Twentieth Century" w:hAnsi="Tw Cen MT" w:cs="Twentieth Century"/>
          <w:sz w:val="20"/>
          <w:szCs w:val="20"/>
        </w:rPr>
        <w:t xml:space="preserve">Salah satu metode kontrasepsi yang memiliki efektifitas tinggi yaitu kontrasepsi progestin. Salah satu tipe progestin yaitu depot medroksiprogesteron asetat yang dapat merangsang pusat pengendalian nafsu makan di hypothalamus sehingga menyebabkan terjadinya peningkatan nafsu makan dan berat badan. </w:t>
      </w:r>
      <w:r w:rsidRPr="00122FED">
        <w:rPr>
          <w:rFonts w:ascii="Tw Cen MT" w:hAnsi="Tw Cen MT" w:cs="Segoe UI"/>
          <w:color w:val="212529"/>
          <w:sz w:val="20"/>
          <w:szCs w:val="20"/>
          <w:shd w:val="clear" w:color="auto" w:fill="FFFFFF"/>
        </w:rPr>
        <w:t> </w:t>
      </w:r>
      <w:r w:rsidRPr="00122FED">
        <w:rPr>
          <w:rFonts w:ascii="Tw Cen MT" w:hAnsi="Tw Cen MT" w:cs="Times New Roman"/>
          <w:color w:val="212529"/>
          <w:sz w:val="20"/>
          <w:szCs w:val="20"/>
          <w:shd w:val="clear" w:color="auto" w:fill="FFFFFF"/>
        </w:rPr>
        <w:t>Angka yang menjadi penilaian standar untuk menentukan apakah berat badan tergolong </w:t>
      </w:r>
      <w:r w:rsidRPr="00122FED">
        <w:rPr>
          <w:rFonts w:ascii="Tw Cen MT" w:hAnsi="Tw Cen MT" w:cs="Times New Roman"/>
          <w:bCs/>
          <w:color w:val="212529"/>
          <w:sz w:val="20"/>
          <w:szCs w:val="20"/>
          <w:shd w:val="clear" w:color="auto" w:fill="FFFFFF"/>
        </w:rPr>
        <w:t>normal</w:t>
      </w:r>
      <w:r w:rsidRPr="00122FED">
        <w:rPr>
          <w:rFonts w:ascii="Tw Cen MT" w:hAnsi="Tw Cen MT" w:cs="Times New Roman"/>
          <w:color w:val="212529"/>
          <w:sz w:val="20"/>
          <w:szCs w:val="20"/>
          <w:shd w:val="clear" w:color="auto" w:fill="FFFFFF"/>
        </w:rPr>
        <w:t>, </w:t>
      </w:r>
      <w:r w:rsidRPr="00122FED">
        <w:rPr>
          <w:rFonts w:ascii="Tw Cen MT" w:hAnsi="Tw Cen MT" w:cs="Times New Roman"/>
          <w:bCs/>
          <w:color w:val="212529"/>
          <w:sz w:val="20"/>
          <w:szCs w:val="20"/>
          <w:shd w:val="clear" w:color="auto" w:fill="FFFFFF"/>
        </w:rPr>
        <w:t>kurang</w:t>
      </w:r>
      <w:r w:rsidRPr="00122FED">
        <w:rPr>
          <w:rFonts w:ascii="Tw Cen MT" w:hAnsi="Tw Cen MT" w:cs="Times New Roman"/>
          <w:color w:val="212529"/>
          <w:sz w:val="20"/>
          <w:szCs w:val="20"/>
          <w:shd w:val="clear" w:color="auto" w:fill="FFFFFF"/>
        </w:rPr>
        <w:t>, </w:t>
      </w:r>
      <w:r w:rsidRPr="00122FED">
        <w:rPr>
          <w:rFonts w:ascii="Tw Cen MT" w:hAnsi="Tw Cen MT" w:cs="Times New Roman"/>
          <w:bCs/>
          <w:color w:val="212529"/>
          <w:sz w:val="20"/>
          <w:szCs w:val="20"/>
          <w:shd w:val="clear" w:color="auto" w:fill="FFFFFF"/>
        </w:rPr>
        <w:t>berlebih</w:t>
      </w:r>
      <w:r w:rsidRPr="00122FED">
        <w:rPr>
          <w:rFonts w:ascii="Tw Cen MT" w:hAnsi="Tw Cen MT" w:cs="Times New Roman"/>
          <w:color w:val="212529"/>
          <w:sz w:val="20"/>
          <w:szCs w:val="20"/>
          <w:shd w:val="clear" w:color="auto" w:fill="FFFFFF"/>
        </w:rPr>
        <w:t>, atau </w:t>
      </w:r>
      <w:r w:rsidRPr="00122FED">
        <w:rPr>
          <w:rFonts w:ascii="Tw Cen MT" w:hAnsi="Tw Cen MT" w:cs="Times New Roman"/>
          <w:bCs/>
          <w:color w:val="212529"/>
          <w:sz w:val="20"/>
          <w:szCs w:val="20"/>
          <w:shd w:val="clear" w:color="auto" w:fill="FFFFFF"/>
        </w:rPr>
        <w:t>obesitas adalah indeks massa tubuh (IMT). Riset ini bertujuan untuk mengidentifikasi hubungan kadar estradiol dengan indeks massa tubuh. Jenis penelitian ini adalah analitik. Sampel penelitian sebanyak 45 orang akse</w:t>
      </w:r>
      <w:r w:rsidR="00744F66" w:rsidRPr="00122FED">
        <w:rPr>
          <w:rFonts w:ascii="Tw Cen MT" w:hAnsi="Tw Cen MT" w:cs="Times New Roman"/>
          <w:bCs/>
          <w:color w:val="212529"/>
          <w:sz w:val="20"/>
          <w:szCs w:val="20"/>
          <w:shd w:val="clear" w:color="auto" w:fill="FFFFFF"/>
        </w:rPr>
        <w:t xml:space="preserve">     </w:t>
      </w:r>
      <w:r w:rsidRPr="00122FED">
        <w:rPr>
          <w:rFonts w:ascii="Tw Cen MT" w:hAnsi="Tw Cen MT" w:cs="Times New Roman"/>
          <w:bCs/>
          <w:color w:val="212529"/>
          <w:sz w:val="20"/>
          <w:szCs w:val="20"/>
          <w:shd w:val="clear" w:color="auto" w:fill="FFFFFF"/>
        </w:rPr>
        <w:t>ptor DMPA. Analisis data menggunakan analisis diskriminan. Hasil penelitian menunjukkan kadar estradiol 56,4±19,3 pg/mL cenderung memiliki IMT normal. Kadar estradiol 73,3±47,7 pg/mL cenderung overweight. Dapat disimpulkan bahwa tidak ada hubungan antara kadar estradiol dengan indeks massa tubuh.</w:t>
      </w:r>
    </w:p>
    <w:p w14:paraId="1305E822" w14:textId="77777777" w:rsidR="00C8561A" w:rsidRPr="00122FED" w:rsidRDefault="00C8561A" w:rsidP="00122FED">
      <w:pPr>
        <w:tabs>
          <w:tab w:val="left" w:pos="426"/>
        </w:tabs>
        <w:spacing w:after="0" w:line="240" w:lineRule="auto"/>
        <w:ind w:left="3154"/>
        <w:jc w:val="both"/>
        <w:rPr>
          <w:rFonts w:ascii="Tw Cen MT" w:hAnsi="Tw Cen MT"/>
          <w:sz w:val="20"/>
          <w:szCs w:val="20"/>
        </w:rPr>
      </w:pPr>
    </w:p>
    <w:p w14:paraId="64A72CDA" w14:textId="77777777" w:rsidR="00736F53" w:rsidRPr="00122FED" w:rsidRDefault="007E2FAB" w:rsidP="00122FED">
      <w:pPr>
        <w:tabs>
          <w:tab w:val="left" w:pos="426"/>
        </w:tabs>
        <w:spacing w:after="0" w:line="240" w:lineRule="auto"/>
        <w:ind w:left="3150"/>
        <w:jc w:val="both"/>
        <w:rPr>
          <w:rFonts w:ascii="Tw Cen MT" w:eastAsia="Twentieth Century" w:hAnsi="Tw Cen MT" w:cs="Twentieth Century"/>
          <w:b/>
          <w:sz w:val="20"/>
          <w:szCs w:val="20"/>
        </w:rPr>
      </w:pPr>
      <w:r w:rsidRPr="00122FED">
        <w:rPr>
          <w:rFonts w:ascii="Tw Cen MT" w:eastAsia="Twentieth Century" w:hAnsi="Tw Cen MT" w:cs="Twentieth Century"/>
          <w:b/>
          <w:sz w:val="20"/>
          <w:szCs w:val="20"/>
        </w:rPr>
        <w:t>Kata Kunci</w:t>
      </w:r>
    </w:p>
    <w:p w14:paraId="3EE4B2E0" w14:textId="77777777" w:rsidR="00736F53" w:rsidRDefault="008A3A1D" w:rsidP="00122FED">
      <w:pPr>
        <w:spacing w:line="240" w:lineRule="auto"/>
        <w:ind w:left="2430" w:firstLine="720"/>
        <w:rPr>
          <w:rFonts w:ascii="Tw Cen MT" w:hAnsi="Tw Cen MT"/>
          <w:sz w:val="20"/>
          <w:szCs w:val="20"/>
        </w:rPr>
      </w:pPr>
      <w:r w:rsidRPr="00122FED">
        <w:rPr>
          <w:rFonts w:ascii="Tw Cen MT" w:hAnsi="Tw Cen MT"/>
          <w:sz w:val="20"/>
          <w:szCs w:val="20"/>
        </w:rPr>
        <w:t>Estradiol, Indeks Massa Tubuh, Akseptor DMPA</w:t>
      </w:r>
      <w:r w:rsidRPr="00122FED">
        <w:rPr>
          <w:rFonts w:ascii="Tw Cen MT" w:hAnsi="Tw Cen MT"/>
          <w:noProof/>
          <w:sz w:val="20"/>
          <w:szCs w:val="20"/>
        </w:rPr>
        <w:t xml:space="preserve"> </w:t>
      </w:r>
      <w:r w:rsidR="007E2FAB" w:rsidRPr="00122FED">
        <w:rPr>
          <w:rFonts w:ascii="Tw Cen MT" w:hAnsi="Tw Cen MT"/>
          <w:noProof/>
          <w:sz w:val="20"/>
          <w:szCs w:val="20"/>
        </w:rPr>
        <mc:AlternateContent>
          <mc:Choice Requires="wps">
            <w:drawing>
              <wp:anchor distT="0" distB="0" distL="114300" distR="114300" simplePos="0" relativeHeight="251660288" behindDoc="0" locked="0" layoutInCell="1" hidden="0" allowOverlap="1" wp14:anchorId="0DFA301A" wp14:editId="5213FECE">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745A6258" id="Straight Arrow Connector 60" o:spid="_x0000_s1026" type="#_x0000_t32" style="position:absolute;margin-left:0;margin-top:15pt;width:.7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" strokecolor="black [3200]" strokeweight="1.5pt">
                <v:stroke startarrowwidth="narrow" startarrowlength="short" endarrowwidth="narrow" endarrowlength="short"/>
              </v:shape>
            </w:pict>
          </mc:Fallback>
        </mc:AlternateContent>
      </w:r>
    </w:p>
    <w:p w14:paraId="5633B862" w14:textId="77777777" w:rsidR="00122FED" w:rsidRDefault="00122FED" w:rsidP="00122FED">
      <w:pPr>
        <w:rPr>
          <w:rFonts w:ascii="Tw Cen MT" w:hAnsi="Tw Cen MT"/>
          <w:sz w:val="20"/>
          <w:szCs w:val="20"/>
        </w:rPr>
      </w:pPr>
    </w:p>
    <w:p w14:paraId="7C70927D" w14:textId="77777777" w:rsidR="00122FED" w:rsidRPr="00122FED" w:rsidRDefault="00122FED" w:rsidP="00122FED">
      <w:pPr>
        <w:rPr>
          <w:rFonts w:ascii="Tw Cen MT" w:hAnsi="Tw Cen MT"/>
          <w:sz w:val="20"/>
          <w:szCs w:val="20"/>
        </w:rPr>
        <w:sectPr w:rsidR="00122FED" w:rsidRPr="00122FED" w:rsidSect="00122FED">
          <w:headerReference w:type="default" r:id="rId12"/>
          <w:footerReference w:type="default" r:id="rId13"/>
          <w:pgSz w:w="12240" w:h="15840"/>
          <w:pgMar w:top="1440" w:right="1440" w:bottom="1440" w:left="1440" w:header="720" w:footer="720" w:gutter="0"/>
          <w:pgNumType w:start="48"/>
          <w:cols w:space="720"/>
        </w:sectPr>
      </w:pPr>
    </w:p>
    <w:p w14:paraId="05B0C9D0" w14:textId="77777777" w:rsidR="000420FD" w:rsidRPr="00122FED" w:rsidRDefault="000420FD">
      <w:pPr>
        <w:spacing w:after="0" w:line="240" w:lineRule="auto"/>
        <w:jc w:val="both"/>
        <w:rPr>
          <w:rFonts w:ascii="Tw Cen MT" w:eastAsia="Twentieth Century" w:hAnsi="Tw Cen MT" w:cs="Twentieth Century"/>
          <w:sz w:val="24"/>
          <w:szCs w:val="24"/>
        </w:rPr>
      </w:pPr>
      <w:r w:rsidRPr="00122FED">
        <w:rPr>
          <w:rFonts w:ascii="Tw Cen MT" w:eastAsia="Twentieth Century" w:hAnsi="Tw Cen MT" w:cs="Twentieth Century"/>
          <w:b/>
          <w:sz w:val="24"/>
          <w:szCs w:val="24"/>
        </w:rPr>
        <w:lastRenderedPageBreak/>
        <w:t>PENDAHULUAN</w:t>
      </w:r>
      <w:r w:rsidRPr="00122FED">
        <w:rPr>
          <w:rFonts w:ascii="Tw Cen MT" w:eastAsia="Twentieth Century" w:hAnsi="Tw Cen MT" w:cs="Twentieth Century"/>
          <w:sz w:val="24"/>
          <w:szCs w:val="24"/>
        </w:rPr>
        <w:t xml:space="preserve"> </w:t>
      </w:r>
    </w:p>
    <w:p w14:paraId="6A3AE28A" w14:textId="77777777" w:rsidR="000420FD" w:rsidRPr="00122FED" w:rsidRDefault="000420FD" w:rsidP="000420FD">
      <w:pPr>
        <w:pStyle w:val="BodyText"/>
        <w:tabs>
          <w:tab w:val="left" w:pos="4410"/>
        </w:tabs>
        <w:ind w:left="0"/>
        <w:rPr>
          <w:rFonts w:ascii="Tw Cen MT" w:hAnsi="Tw Cen MT"/>
          <w:sz w:val="24"/>
          <w:szCs w:val="24"/>
          <w:vertAlign w:val="superscript"/>
        </w:rPr>
      </w:pPr>
      <w:r w:rsidRPr="00122FED">
        <w:rPr>
          <w:rFonts w:ascii="Tw Cen MT" w:hAnsi="Tw Cen MT"/>
          <w:sz w:val="24"/>
          <w:szCs w:val="24"/>
          <w:shd w:val="clear" w:color="auto" w:fill="F9F9F9"/>
        </w:rPr>
        <w:t>Kontrasepsi hormonal merupakan salah satu metode kontrasepsi yang paling efektif dan reversibel untuk mencegah terjadinya konsepsi. Kebanyakan jenis hormon yang terkandung dalam kontrasepsi hormonal adalah jenis hormon sintetik, termasuk yang terkandung dalam Depot Medroxyprogesterone Acetate (DMPA).</w:t>
      </w:r>
      <w:commentRangeStart w:id="1"/>
      <w:r w:rsidRPr="00122FED">
        <w:rPr>
          <w:rFonts w:ascii="Tw Cen MT" w:hAnsi="Tw Cen MT"/>
          <w:sz w:val="24"/>
          <w:szCs w:val="24"/>
          <w:shd w:val="clear" w:color="auto" w:fill="F9F9F9"/>
          <w:vertAlign w:val="superscript"/>
        </w:rPr>
        <w:t>1</w:t>
      </w:r>
      <w:commentRangeEnd w:id="1"/>
      <w:r w:rsidR="004D0AD1">
        <w:rPr>
          <w:rStyle w:val="CommentReference"/>
          <w:rFonts w:ascii="Calibri" w:eastAsiaTheme="minorEastAsia" w:hAnsi="Calibri" w:cs="Calibri"/>
          <w:lang w:val="en-US"/>
        </w:rPr>
        <w:commentReference w:id="1"/>
      </w:r>
    </w:p>
    <w:p w14:paraId="7011A7E3" w14:textId="77777777" w:rsidR="000420FD" w:rsidRPr="00122FED" w:rsidRDefault="000420FD" w:rsidP="00FB6355">
      <w:pPr>
        <w:pStyle w:val="BodyText"/>
        <w:ind w:left="0"/>
        <w:rPr>
          <w:rFonts w:ascii="Tw Cen MT" w:hAnsi="Tw Cen MT"/>
          <w:sz w:val="24"/>
          <w:szCs w:val="24"/>
        </w:rPr>
      </w:pPr>
      <w:r w:rsidRPr="00122FED">
        <w:rPr>
          <w:rFonts w:ascii="Tw Cen MT" w:hAnsi="Tw Cen MT"/>
          <w:sz w:val="24"/>
          <w:szCs w:val="24"/>
        </w:rPr>
        <w:t>Salah satu efek yang sering terjadi adalah peningkatan berat badan (kegemukan).Sekitar 54% akseptor DMPA mengalami masalah ini. Kegemukan adalah kondisi berat badan tubuh melebihi  berat tubuh normal. Berat badan adalah salah satu parameter yang memberikan gambaran  massa tubuh.</w:t>
      </w:r>
      <w:r w:rsidRPr="00122FED">
        <w:rPr>
          <w:rFonts w:ascii="Tw Cen MT" w:hAnsi="Tw Cen MT"/>
          <w:sz w:val="24"/>
          <w:szCs w:val="24"/>
          <w:vertAlign w:val="superscript"/>
        </w:rPr>
        <w:t>2</w:t>
      </w:r>
      <w:r w:rsidRPr="00122FED">
        <w:rPr>
          <w:rFonts w:ascii="Tw Cen MT" w:hAnsi="Tw Cen MT"/>
          <w:sz w:val="24"/>
          <w:szCs w:val="24"/>
        </w:rPr>
        <w:t xml:space="preserve"> Hormon adalah suatu substansi yang diproduksi pada suatu jaringan khusus, yang kemudian dilepaskan ke dalam aliran darah, dan kemudian menuju ke sel yang responsif yang jaraknya cukup jauh, dimana hormon tersebut mengeluarkan efeknya yang khas.</w:t>
      </w:r>
      <w:r w:rsidRPr="00122FED">
        <w:rPr>
          <w:rFonts w:ascii="Tw Cen MT" w:hAnsi="Tw Cen MT"/>
          <w:spacing w:val="1"/>
          <w:sz w:val="24"/>
          <w:szCs w:val="24"/>
        </w:rPr>
        <w:t xml:space="preserve"> </w:t>
      </w:r>
      <w:r w:rsidRPr="00122FED">
        <w:rPr>
          <w:rFonts w:ascii="Tw Cen MT" w:hAnsi="Tw Cen MT"/>
          <w:sz w:val="24"/>
          <w:szCs w:val="24"/>
          <w:vertAlign w:val="superscript"/>
        </w:rPr>
        <w:t>3</w:t>
      </w:r>
    </w:p>
    <w:p w14:paraId="7062B4E9" w14:textId="77777777" w:rsidR="000420FD" w:rsidRPr="00122FED" w:rsidRDefault="000420FD" w:rsidP="000420FD">
      <w:pPr>
        <w:pStyle w:val="BodyText"/>
        <w:ind w:left="0"/>
        <w:rPr>
          <w:rFonts w:ascii="Tw Cen MT" w:hAnsi="Tw Cen MT"/>
          <w:sz w:val="24"/>
          <w:szCs w:val="24"/>
        </w:rPr>
      </w:pPr>
      <w:r w:rsidRPr="00122FED">
        <w:rPr>
          <w:rFonts w:ascii="Tw Cen MT" w:hAnsi="Tw Cen MT"/>
          <w:sz w:val="24"/>
          <w:szCs w:val="24"/>
        </w:rPr>
        <w:t xml:space="preserve">Pada saat DMPA disuntikkan dan berdifusi ke sel sel target, menjadi umpan balik negatif terhadap pulsasi GnRH, sehingga menekan pulsasi GnRH.  yang berakibat pada berkurangnya estrogen. Estrogen terlibat dalam homeostasis energi, salah satunya efek terhadap </w:t>
      </w:r>
      <w:r w:rsidRPr="00122FED">
        <w:rPr>
          <w:rFonts w:ascii="Tw Cen MT" w:hAnsi="Tw Cen MT"/>
          <w:i/>
          <w:sz w:val="24"/>
          <w:szCs w:val="24"/>
        </w:rPr>
        <w:t xml:space="preserve">hormone-sensitive lipase </w:t>
      </w:r>
      <w:r w:rsidRPr="00122FED">
        <w:rPr>
          <w:rFonts w:ascii="Tw Cen MT" w:hAnsi="Tw Cen MT"/>
          <w:sz w:val="24"/>
          <w:szCs w:val="24"/>
        </w:rPr>
        <w:t>yang berpengaruh pada perubahan distribusi lemak tubuh. Penurunan kadar estradiol mengakibatkan penurunan kadar HSL di w</w:t>
      </w:r>
      <w:r w:rsidRPr="00122FED">
        <w:rPr>
          <w:rFonts w:ascii="Tw Cen MT" w:hAnsi="Tw Cen MT"/>
          <w:i/>
          <w:sz w:val="24"/>
          <w:szCs w:val="24"/>
        </w:rPr>
        <w:t xml:space="preserve">hite adipose tissue </w:t>
      </w:r>
      <w:r w:rsidRPr="00122FED">
        <w:rPr>
          <w:rFonts w:ascii="Tw Cen MT" w:hAnsi="Tw Cen MT"/>
          <w:sz w:val="24"/>
          <w:szCs w:val="24"/>
        </w:rPr>
        <w:t xml:space="preserve">sehingga menyebabkan peningkatan lipogenesis dengan demikian </w:t>
      </w:r>
      <w:r w:rsidRPr="00122FED">
        <w:rPr>
          <w:rFonts w:ascii="Tw Cen MT" w:hAnsi="Tw Cen MT"/>
          <w:i/>
          <w:sz w:val="24"/>
          <w:szCs w:val="24"/>
        </w:rPr>
        <w:t xml:space="preserve">white adipose tissue </w:t>
      </w:r>
      <w:r w:rsidRPr="00122FED">
        <w:rPr>
          <w:rFonts w:ascii="Tw Cen MT" w:hAnsi="Tw Cen MT"/>
          <w:sz w:val="24"/>
          <w:szCs w:val="24"/>
        </w:rPr>
        <w:t>bertambah banyak.</w:t>
      </w:r>
      <w:r w:rsidRPr="00122FED">
        <w:rPr>
          <w:rFonts w:ascii="Tw Cen MT" w:hAnsi="Tw Cen MT"/>
          <w:position w:val="9"/>
          <w:sz w:val="24"/>
          <w:szCs w:val="24"/>
        </w:rPr>
        <w:t>3</w:t>
      </w:r>
    </w:p>
    <w:p w14:paraId="15C33BD1" w14:textId="77777777" w:rsidR="000420FD" w:rsidRPr="00122FED" w:rsidRDefault="000420FD" w:rsidP="000420FD">
      <w:pPr>
        <w:pStyle w:val="BodyText"/>
        <w:ind w:left="0"/>
        <w:rPr>
          <w:rFonts w:ascii="Tw Cen MT" w:hAnsi="Tw Cen MT"/>
          <w:b/>
          <w:sz w:val="24"/>
          <w:szCs w:val="24"/>
        </w:rPr>
      </w:pPr>
      <w:r w:rsidRPr="00122FED">
        <w:rPr>
          <w:rFonts w:ascii="Tw Cen MT" w:hAnsi="Tw Cen MT"/>
          <w:sz w:val="24"/>
          <w:szCs w:val="24"/>
        </w:rPr>
        <w:t>Hasil penelitian menunjukkan DMPA berhubungan dengan peningkatan berat badan pada hampir banyak wanita.</w:t>
      </w:r>
      <w:r w:rsidRPr="00122FED">
        <w:rPr>
          <w:rFonts w:ascii="Tw Cen MT" w:hAnsi="Tw Cen MT"/>
          <w:sz w:val="24"/>
          <w:szCs w:val="24"/>
          <w:vertAlign w:val="superscript"/>
        </w:rPr>
        <w:t>4</w:t>
      </w:r>
      <w:r w:rsidRPr="00122FED">
        <w:rPr>
          <w:rFonts w:ascii="Tw Cen MT" w:hAnsi="Tw Cen MT"/>
          <w:sz w:val="24"/>
          <w:szCs w:val="24"/>
        </w:rPr>
        <w:t xml:space="preserve"> Peningkatan berat badan pada akseptor DMPA terjadi akibat bertambahnya massa lemak. Mekanisme bagaimana DMPA meningkatkan  berat  badan  dan  massa</w:t>
      </w:r>
      <w:r w:rsidRPr="00122FED">
        <w:rPr>
          <w:rFonts w:ascii="Tw Cen MT" w:hAnsi="Tw Cen MT"/>
          <w:spacing w:val="-5"/>
          <w:sz w:val="24"/>
          <w:szCs w:val="24"/>
        </w:rPr>
        <w:t xml:space="preserve"> </w:t>
      </w:r>
      <w:r w:rsidRPr="00122FED">
        <w:rPr>
          <w:rFonts w:ascii="Tw Cen MT" w:hAnsi="Tw Cen MT"/>
          <w:sz w:val="24"/>
          <w:szCs w:val="24"/>
        </w:rPr>
        <w:t>lemak</w:t>
      </w:r>
      <w:r w:rsidRPr="00122FED">
        <w:rPr>
          <w:rFonts w:ascii="Tw Cen MT" w:hAnsi="Tw Cen MT"/>
          <w:spacing w:val="40"/>
          <w:sz w:val="24"/>
          <w:szCs w:val="24"/>
        </w:rPr>
        <w:t xml:space="preserve"> </w:t>
      </w:r>
      <w:r w:rsidRPr="00122FED">
        <w:rPr>
          <w:rFonts w:ascii="Tw Cen MT" w:hAnsi="Tw Cen MT"/>
          <w:sz w:val="24"/>
          <w:szCs w:val="24"/>
        </w:rPr>
        <w:t>masih belum jelas.</w:t>
      </w:r>
      <w:r w:rsidRPr="00122FED">
        <w:rPr>
          <w:rFonts w:ascii="Tw Cen MT" w:hAnsi="Tw Cen MT"/>
          <w:sz w:val="24"/>
          <w:szCs w:val="24"/>
          <w:vertAlign w:val="superscript"/>
        </w:rPr>
        <w:t>5</w:t>
      </w:r>
      <w:r w:rsidRPr="00122FED">
        <w:rPr>
          <w:rFonts w:ascii="Tw Cen MT" w:hAnsi="Tw Cen MT"/>
          <w:sz w:val="24"/>
          <w:szCs w:val="24"/>
        </w:rPr>
        <w:t xml:space="preserve">  Menurut penelitian MK Clark tahun 2005, DMPA mengakibatkan hypoestrogenemia yang berhubungan dengan akumulasi lemak viseral dan peningkatan berat badan pada manusia.</w:t>
      </w:r>
      <w:r w:rsidRPr="00122FED">
        <w:rPr>
          <w:rFonts w:ascii="Tw Cen MT" w:hAnsi="Tw Cen MT"/>
          <w:sz w:val="24"/>
          <w:szCs w:val="24"/>
          <w:vertAlign w:val="superscript"/>
        </w:rPr>
        <w:t xml:space="preserve">6 </w:t>
      </w:r>
      <w:r w:rsidRPr="00122FED">
        <w:rPr>
          <w:rFonts w:ascii="Tw Cen MT" w:hAnsi="Tw Cen MT"/>
          <w:sz w:val="24"/>
          <w:szCs w:val="24"/>
        </w:rPr>
        <w:t>Penelitian pada hewan juga menunjukkan bahwa minimnya jumlah estrogen akan menyebabkan kenaikan berat badan yang berlebihan.</w:t>
      </w:r>
      <w:r w:rsidRPr="00122FED">
        <w:rPr>
          <w:rFonts w:ascii="Tw Cen MT" w:hAnsi="Tw Cen MT"/>
          <w:b/>
          <w:sz w:val="24"/>
          <w:szCs w:val="24"/>
          <w:vertAlign w:val="superscript"/>
        </w:rPr>
        <w:t>7</w:t>
      </w:r>
    </w:p>
    <w:p w14:paraId="7DDA8D6D" w14:textId="77777777" w:rsidR="000420FD" w:rsidRPr="00122FED" w:rsidRDefault="000420FD" w:rsidP="000420FD">
      <w:pPr>
        <w:pStyle w:val="BodyText"/>
        <w:tabs>
          <w:tab w:val="left" w:pos="5204"/>
          <w:tab w:val="left" w:pos="9857"/>
        </w:tabs>
        <w:ind w:left="0"/>
        <w:rPr>
          <w:rFonts w:ascii="Tw Cen MT" w:hAnsi="Tw Cen MT"/>
          <w:b/>
          <w:sz w:val="24"/>
          <w:szCs w:val="24"/>
          <w:vertAlign w:val="superscript"/>
        </w:rPr>
      </w:pPr>
      <w:r w:rsidRPr="00122FED">
        <w:rPr>
          <w:rFonts w:ascii="Tw Cen MT" w:hAnsi="Tw Cen MT"/>
          <w:sz w:val="24"/>
          <w:szCs w:val="24"/>
        </w:rPr>
        <w:t>Salah satu metode pengukuran yang dapat digunakan untuk menilai peningkatan berat badan adalah pengukuran Indeks Massa Tubuh (IMT). IMT telah digunakan secara luas dalam studi epidemiologi dan dimasukkan ke dalam praktik klinis</w:t>
      </w:r>
      <w:r w:rsidRPr="00122FED">
        <w:rPr>
          <w:rFonts w:ascii="Tw Cen MT" w:hAnsi="Tw Cen MT"/>
          <w:spacing w:val="-3"/>
          <w:sz w:val="24"/>
          <w:szCs w:val="24"/>
        </w:rPr>
        <w:t xml:space="preserve"> </w:t>
      </w:r>
      <w:r w:rsidRPr="00122FED">
        <w:rPr>
          <w:rFonts w:ascii="Tw Cen MT" w:hAnsi="Tw Cen MT"/>
          <w:sz w:val="24"/>
          <w:szCs w:val="24"/>
        </w:rPr>
        <w:t>karena bersifat sederhana (perhitungan BMI dilakukan dengan</w:t>
      </w:r>
      <w:r w:rsidRPr="00122FED">
        <w:rPr>
          <w:rFonts w:ascii="Tw Cen MT" w:hAnsi="Tw Cen MT"/>
          <w:spacing w:val="36"/>
          <w:sz w:val="24"/>
          <w:szCs w:val="24"/>
        </w:rPr>
        <w:t xml:space="preserve"> </w:t>
      </w:r>
      <w:r w:rsidRPr="00122FED">
        <w:rPr>
          <w:rFonts w:ascii="Tw Cen MT" w:hAnsi="Tw Cen MT"/>
          <w:sz w:val="24"/>
          <w:szCs w:val="24"/>
        </w:rPr>
        <w:t xml:space="preserve">caramenghitung   pembagian   antara   berat   badan </w:t>
      </w:r>
      <w:r w:rsidRPr="00122FED">
        <w:rPr>
          <w:rFonts w:ascii="Tw Cen MT" w:hAnsi="Tw Cen MT"/>
          <w:spacing w:val="48"/>
          <w:sz w:val="24"/>
          <w:szCs w:val="24"/>
        </w:rPr>
        <w:t xml:space="preserve"> </w:t>
      </w:r>
      <w:r w:rsidRPr="00122FED">
        <w:rPr>
          <w:rFonts w:ascii="Tw Cen MT" w:hAnsi="Tw Cen MT"/>
          <w:sz w:val="24"/>
          <w:szCs w:val="24"/>
        </w:rPr>
        <w:t>(BB) dalam</w:t>
      </w:r>
      <w:r w:rsidRPr="00122FED">
        <w:rPr>
          <w:rFonts w:ascii="Tw Cen MT" w:hAnsi="Tw Cen MT"/>
          <w:spacing w:val="24"/>
          <w:sz w:val="24"/>
          <w:szCs w:val="24"/>
        </w:rPr>
        <w:t xml:space="preserve"> </w:t>
      </w:r>
      <w:r w:rsidRPr="00122FED">
        <w:rPr>
          <w:rFonts w:ascii="Tw Cen MT" w:hAnsi="Tw Cen MT"/>
          <w:sz w:val="24"/>
          <w:szCs w:val="24"/>
        </w:rPr>
        <w:t>kilogram</w:t>
      </w:r>
      <w:r w:rsidRPr="00122FED">
        <w:rPr>
          <w:rFonts w:ascii="Tw Cen MT" w:hAnsi="Tw Cen MT"/>
          <w:spacing w:val="22"/>
          <w:sz w:val="24"/>
          <w:szCs w:val="24"/>
        </w:rPr>
        <w:t xml:space="preserve"> </w:t>
      </w:r>
      <w:r w:rsidRPr="00122FED">
        <w:rPr>
          <w:rFonts w:ascii="Tw Cen MT" w:hAnsi="Tw Cen MT"/>
          <w:sz w:val="24"/>
          <w:szCs w:val="24"/>
        </w:rPr>
        <w:t>dan</w:t>
      </w:r>
      <w:r w:rsidRPr="00122FED">
        <w:rPr>
          <w:rFonts w:ascii="Tw Cen MT" w:hAnsi="Tw Cen MT"/>
          <w:spacing w:val="21"/>
          <w:sz w:val="24"/>
          <w:szCs w:val="24"/>
        </w:rPr>
        <w:t xml:space="preserve"> </w:t>
      </w:r>
      <w:r w:rsidRPr="00122FED">
        <w:rPr>
          <w:rFonts w:ascii="Tw Cen MT" w:hAnsi="Tw Cen MT"/>
          <w:sz w:val="24"/>
          <w:szCs w:val="24"/>
        </w:rPr>
        <w:t>kuadrat</w:t>
      </w:r>
      <w:r w:rsidRPr="00122FED">
        <w:rPr>
          <w:rFonts w:ascii="Tw Cen MT" w:hAnsi="Tw Cen MT"/>
          <w:spacing w:val="24"/>
          <w:sz w:val="24"/>
          <w:szCs w:val="24"/>
        </w:rPr>
        <w:t xml:space="preserve"> </w:t>
      </w:r>
      <w:r w:rsidRPr="00122FED">
        <w:rPr>
          <w:rFonts w:ascii="Tw Cen MT" w:hAnsi="Tw Cen MT"/>
          <w:sz w:val="24"/>
          <w:szCs w:val="24"/>
        </w:rPr>
        <w:t>tinggi</w:t>
      </w:r>
      <w:r w:rsidRPr="00122FED">
        <w:rPr>
          <w:rFonts w:ascii="Tw Cen MT" w:hAnsi="Tw Cen MT"/>
          <w:spacing w:val="24"/>
          <w:sz w:val="24"/>
          <w:szCs w:val="24"/>
        </w:rPr>
        <w:t xml:space="preserve"> </w:t>
      </w:r>
      <w:r w:rsidRPr="00122FED">
        <w:rPr>
          <w:rFonts w:ascii="Tw Cen MT" w:hAnsi="Tw Cen MT"/>
          <w:sz w:val="24"/>
          <w:szCs w:val="24"/>
        </w:rPr>
        <w:t>badan</w:t>
      </w:r>
      <w:r w:rsidRPr="00122FED">
        <w:rPr>
          <w:rFonts w:ascii="Tw Cen MT" w:hAnsi="Tw Cen MT"/>
          <w:spacing w:val="25"/>
          <w:sz w:val="24"/>
          <w:szCs w:val="24"/>
        </w:rPr>
        <w:t xml:space="preserve"> </w:t>
      </w:r>
      <w:r w:rsidRPr="00122FED">
        <w:rPr>
          <w:rFonts w:ascii="Tw Cen MT" w:hAnsi="Tw Cen MT"/>
          <w:sz w:val="24"/>
          <w:szCs w:val="24"/>
        </w:rPr>
        <w:t>(TB)</w:t>
      </w:r>
      <w:r w:rsidRPr="00122FED">
        <w:rPr>
          <w:rFonts w:ascii="Tw Cen MT" w:hAnsi="Tw Cen MT"/>
          <w:spacing w:val="23"/>
          <w:sz w:val="24"/>
          <w:szCs w:val="24"/>
        </w:rPr>
        <w:t xml:space="preserve"> </w:t>
      </w:r>
      <w:r w:rsidRPr="00122FED">
        <w:rPr>
          <w:rFonts w:ascii="Tw Cen MT" w:hAnsi="Tw Cen MT"/>
          <w:sz w:val="24"/>
          <w:szCs w:val="24"/>
        </w:rPr>
        <w:t>dalam meter.</w:t>
      </w:r>
      <w:r w:rsidRPr="00122FED">
        <w:rPr>
          <w:rFonts w:ascii="Tw Cen MT" w:hAnsi="Tw Cen MT"/>
          <w:b/>
          <w:sz w:val="24"/>
          <w:szCs w:val="24"/>
          <w:vertAlign w:val="superscript"/>
        </w:rPr>
        <w:t>8</w:t>
      </w:r>
    </w:p>
    <w:p w14:paraId="447079E5" w14:textId="77777777" w:rsidR="00736F53" w:rsidRPr="00122FED" w:rsidRDefault="000420FD" w:rsidP="000420FD">
      <w:pPr>
        <w:spacing w:after="0" w:line="240" w:lineRule="auto"/>
        <w:jc w:val="both"/>
        <w:rPr>
          <w:rFonts w:ascii="Tw Cen MT" w:eastAsia="Twentieth Century" w:hAnsi="Tw Cen MT" w:cs="Twentieth Century"/>
          <w:color w:val="000000"/>
          <w:sz w:val="24"/>
          <w:szCs w:val="24"/>
        </w:rPr>
      </w:pPr>
      <w:r w:rsidRPr="00122FED">
        <w:rPr>
          <w:rFonts w:ascii="Tw Cen MT" w:hAnsi="Tw Cen MT" w:cs="Arial"/>
          <w:sz w:val="24"/>
          <w:szCs w:val="24"/>
        </w:rPr>
        <w:t>Berdasarkan penelitian- penelitian tersebut, diketahui bahwa estrogen turut terlibat dalam homeostasis energy</w:t>
      </w:r>
      <w:r w:rsidRPr="00122FED">
        <w:rPr>
          <w:rFonts w:ascii="Tw Cen MT" w:hAnsi="Tw Cen MT"/>
        </w:rPr>
        <w:t>.</w:t>
      </w:r>
      <w:r w:rsidR="007E2FAB" w:rsidRPr="00122FED">
        <w:rPr>
          <w:rFonts w:ascii="Tw Cen MT" w:eastAsia="Twentieth Century" w:hAnsi="Tw Cen MT" w:cs="Twentieth Century"/>
          <w:color w:val="000000"/>
          <w:sz w:val="24"/>
          <w:szCs w:val="24"/>
        </w:rPr>
        <w:t xml:space="preserve"> </w:t>
      </w:r>
    </w:p>
    <w:p w14:paraId="2A01243A" w14:textId="77777777" w:rsidR="00736F53" w:rsidRPr="00122FED" w:rsidRDefault="00736F53">
      <w:pPr>
        <w:spacing w:after="0" w:line="240" w:lineRule="auto"/>
        <w:jc w:val="both"/>
        <w:rPr>
          <w:rFonts w:ascii="Tw Cen MT" w:eastAsia="Twentieth Century" w:hAnsi="Tw Cen MT" w:cs="Twentieth Century"/>
          <w:color w:val="000000"/>
          <w:sz w:val="24"/>
          <w:szCs w:val="24"/>
        </w:rPr>
      </w:pPr>
    </w:p>
    <w:p w14:paraId="08D79D57" w14:textId="77777777" w:rsidR="00736F53" w:rsidRPr="00122FED" w:rsidRDefault="007E2FAB">
      <w:pPr>
        <w:spacing w:after="0" w:line="240" w:lineRule="auto"/>
        <w:jc w:val="both"/>
        <w:rPr>
          <w:rFonts w:ascii="Tw Cen MT" w:eastAsia="Twentieth Century" w:hAnsi="Tw Cen MT" w:cs="Twentieth Century"/>
          <w:b/>
          <w:sz w:val="24"/>
          <w:szCs w:val="24"/>
        </w:rPr>
      </w:pPr>
      <w:r w:rsidRPr="00122FED">
        <w:rPr>
          <w:rFonts w:ascii="Tw Cen MT" w:eastAsia="Twentieth Century" w:hAnsi="Tw Cen MT" w:cs="Twentieth Century"/>
          <w:b/>
          <w:sz w:val="24"/>
          <w:szCs w:val="24"/>
        </w:rPr>
        <w:t xml:space="preserve">METODE </w:t>
      </w:r>
    </w:p>
    <w:p w14:paraId="52BBC508" w14:textId="77777777" w:rsidR="000420FD" w:rsidRPr="00122FED" w:rsidRDefault="000420FD" w:rsidP="000420FD">
      <w:pPr>
        <w:pStyle w:val="BodyText"/>
        <w:tabs>
          <w:tab w:val="left" w:pos="4410"/>
        </w:tabs>
        <w:ind w:left="0"/>
        <w:rPr>
          <w:rFonts w:ascii="Tw Cen MT" w:hAnsi="Tw Cen MT"/>
          <w:sz w:val="24"/>
          <w:szCs w:val="24"/>
        </w:rPr>
      </w:pPr>
      <w:r w:rsidRPr="00122FED">
        <w:rPr>
          <w:rFonts w:ascii="Tw Cen MT" w:hAnsi="Tw Cen MT"/>
          <w:sz w:val="24"/>
          <w:szCs w:val="24"/>
        </w:rPr>
        <w:t>Jenis penelitian ini adalah penelitian analitik Populasi penelitian ini adalah</w:t>
      </w:r>
      <w:r w:rsidR="00335A5C" w:rsidRPr="00122FED">
        <w:rPr>
          <w:rFonts w:ascii="Tw Cen MT" w:hAnsi="Tw Cen MT"/>
          <w:sz w:val="24"/>
          <w:szCs w:val="24"/>
        </w:rPr>
        <w:t xml:space="preserve"> </w:t>
      </w:r>
      <w:r w:rsidRPr="00122FED">
        <w:rPr>
          <w:rFonts w:ascii="Tw Cen MT" w:hAnsi="Tw Cen MT"/>
          <w:sz w:val="24"/>
          <w:szCs w:val="24"/>
        </w:rPr>
        <w:t xml:space="preserve">seluruh wanita usia  </w:t>
      </w:r>
      <w:r w:rsidRPr="00122FED">
        <w:rPr>
          <w:rFonts w:ascii="Tw Cen MT" w:hAnsi="Tw Cen MT"/>
          <w:spacing w:val="20"/>
          <w:sz w:val="24"/>
          <w:szCs w:val="24"/>
        </w:rPr>
        <w:t xml:space="preserve"> </w:t>
      </w:r>
      <w:r w:rsidRPr="00122FED">
        <w:rPr>
          <w:rFonts w:ascii="Tw Cen MT" w:hAnsi="Tw Cen MT"/>
          <w:sz w:val="24"/>
          <w:szCs w:val="24"/>
        </w:rPr>
        <w:t xml:space="preserve">subur  </w:t>
      </w:r>
      <w:r w:rsidRPr="00122FED">
        <w:rPr>
          <w:rFonts w:ascii="Tw Cen MT" w:hAnsi="Tw Cen MT"/>
          <w:spacing w:val="23"/>
          <w:sz w:val="24"/>
          <w:szCs w:val="24"/>
        </w:rPr>
        <w:t xml:space="preserve"> </w:t>
      </w:r>
      <w:r w:rsidRPr="00122FED">
        <w:rPr>
          <w:rFonts w:ascii="Tw Cen MT" w:hAnsi="Tw Cen MT"/>
          <w:sz w:val="24"/>
          <w:szCs w:val="24"/>
        </w:rPr>
        <w:t xml:space="preserve">di  </w:t>
      </w:r>
      <w:r w:rsidRPr="00122FED">
        <w:rPr>
          <w:rFonts w:ascii="Tw Cen MT" w:hAnsi="Tw Cen MT"/>
          <w:spacing w:val="23"/>
          <w:sz w:val="24"/>
          <w:szCs w:val="24"/>
        </w:rPr>
        <w:t xml:space="preserve"> </w:t>
      </w:r>
      <w:r w:rsidRPr="00122FED">
        <w:rPr>
          <w:rFonts w:ascii="Tw Cen MT" w:hAnsi="Tw Cen MT"/>
          <w:sz w:val="24"/>
          <w:szCs w:val="24"/>
        </w:rPr>
        <w:t xml:space="preserve">wilayah  </w:t>
      </w:r>
      <w:r w:rsidRPr="00122FED">
        <w:rPr>
          <w:rFonts w:ascii="Tw Cen MT" w:hAnsi="Tw Cen MT"/>
          <w:spacing w:val="20"/>
          <w:sz w:val="24"/>
          <w:szCs w:val="24"/>
        </w:rPr>
        <w:t xml:space="preserve"> </w:t>
      </w:r>
      <w:r w:rsidRPr="00122FED">
        <w:rPr>
          <w:rFonts w:ascii="Tw Cen MT" w:hAnsi="Tw Cen MT"/>
          <w:sz w:val="24"/>
          <w:szCs w:val="24"/>
        </w:rPr>
        <w:t xml:space="preserve">kerja  </w:t>
      </w:r>
      <w:r w:rsidRPr="00122FED">
        <w:rPr>
          <w:rFonts w:ascii="Tw Cen MT" w:hAnsi="Tw Cen MT"/>
          <w:spacing w:val="23"/>
          <w:sz w:val="24"/>
          <w:szCs w:val="24"/>
        </w:rPr>
        <w:t xml:space="preserve"> </w:t>
      </w:r>
      <w:r w:rsidRPr="00122FED">
        <w:rPr>
          <w:rFonts w:ascii="Tw Cen MT" w:hAnsi="Tw Cen MT"/>
          <w:sz w:val="24"/>
          <w:szCs w:val="24"/>
        </w:rPr>
        <w:t xml:space="preserve">Puskesmas  </w:t>
      </w:r>
      <w:r w:rsidRPr="00122FED">
        <w:rPr>
          <w:rFonts w:ascii="Tw Cen MT" w:hAnsi="Tw Cen MT"/>
          <w:spacing w:val="21"/>
          <w:sz w:val="24"/>
          <w:szCs w:val="24"/>
        </w:rPr>
        <w:t xml:space="preserve"> </w:t>
      </w:r>
      <w:r w:rsidRPr="00122FED">
        <w:rPr>
          <w:rFonts w:ascii="Tw Cen MT" w:hAnsi="Tw Cen MT"/>
          <w:sz w:val="24"/>
          <w:szCs w:val="24"/>
        </w:rPr>
        <w:t>Lubuk Begalung dan Andalas.</w:t>
      </w:r>
      <w:r w:rsidR="00335A5C" w:rsidRPr="00122FED">
        <w:rPr>
          <w:rFonts w:ascii="Tw Cen MT" w:hAnsi="Tw Cen MT"/>
          <w:sz w:val="24"/>
          <w:szCs w:val="24"/>
        </w:rPr>
        <w:t xml:space="preserve"> </w:t>
      </w:r>
      <w:r w:rsidRPr="00122FED">
        <w:rPr>
          <w:rFonts w:ascii="Tw Cen MT" w:hAnsi="Tw Cen MT"/>
          <w:sz w:val="24"/>
          <w:szCs w:val="24"/>
        </w:rPr>
        <w:t>Sampel pada penelitian ini adalah semua populasi yang memenuhi kriteria inklusi dan eksklusi.</w:t>
      </w:r>
    </w:p>
    <w:p w14:paraId="0882A71D" w14:textId="77777777" w:rsidR="000420FD" w:rsidRPr="00122FED" w:rsidRDefault="000420FD" w:rsidP="000420FD">
      <w:pPr>
        <w:pStyle w:val="BodyText"/>
        <w:ind w:left="0" w:firstLine="566"/>
        <w:rPr>
          <w:rFonts w:ascii="Tw Cen MT" w:hAnsi="Tw Cen MT"/>
          <w:sz w:val="24"/>
          <w:szCs w:val="24"/>
        </w:rPr>
      </w:pPr>
      <w:r w:rsidRPr="00122FED">
        <w:rPr>
          <w:rFonts w:ascii="Tw Cen MT" w:hAnsi="Tw Cen MT"/>
          <w:sz w:val="24"/>
          <w:szCs w:val="24"/>
        </w:rPr>
        <w:t>Analisa data yang digunakan adalah analisis diskriminan untuk mengetahui hubungan antara kadar estradiol dengan indeks massa tubuh</w:t>
      </w:r>
    </w:p>
    <w:p w14:paraId="1751C9E5" w14:textId="77777777" w:rsidR="00736F53" w:rsidRPr="00122FED" w:rsidRDefault="000420FD" w:rsidP="000420FD">
      <w:pPr>
        <w:tabs>
          <w:tab w:val="left" w:pos="426"/>
        </w:tabs>
        <w:spacing w:after="0" w:line="240" w:lineRule="auto"/>
        <w:jc w:val="both"/>
        <w:rPr>
          <w:rFonts w:ascii="Tw Cen MT" w:hAnsi="Tw Cen MT"/>
          <w:sz w:val="24"/>
          <w:szCs w:val="24"/>
        </w:rPr>
      </w:pPr>
      <w:r w:rsidRPr="00122FED">
        <w:rPr>
          <w:rFonts w:ascii="Tw Cen MT" w:hAnsi="Tw Cen MT"/>
          <w:sz w:val="24"/>
          <w:szCs w:val="24"/>
        </w:rPr>
        <w:t>Penelitian dilaksanakan setelah mendapat persetujuan dari Komite Etik Penelitian Kesehatan Fakultas Kedokteran Universitas Andalas Nomor: 034/KEP/FK/2017</w:t>
      </w:r>
    </w:p>
    <w:p w14:paraId="37BB1F2C" w14:textId="77777777" w:rsidR="000420FD" w:rsidRPr="00122FED" w:rsidRDefault="000420FD" w:rsidP="000420FD">
      <w:pPr>
        <w:tabs>
          <w:tab w:val="left" w:pos="426"/>
        </w:tabs>
        <w:spacing w:after="0" w:line="240" w:lineRule="auto"/>
        <w:jc w:val="both"/>
        <w:rPr>
          <w:rFonts w:ascii="Tw Cen MT" w:eastAsia="Twentieth Century" w:hAnsi="Tw Cen MT" w:cs="Twentieth Century"/>
          <w:sz w:val="24"/>
          <w:szCs w:val="24"/>
        </w:rPr>
      </w:pPr>
    </w:p>
    <w:p w14:paraId="20A7B1AE" w14:textId="77777777" w:rsidR="00736F53" w:rsidRPr="00122FED" w:rsidRDefault="007E2FAB">
      <w:pPr>
        <w:tabs>
          <w:tab w:val="left" w:pos="426"/>
        </w:tabs>
        <w:spacing w:after="0" w:line="240" w:lineRule="auto"/>
        <w:jc w:val="both"/>
        <w:rPr>
          <w:rFonts w:ascii="Tw Cen MT" w:eastAsia="Twentieth Century" w:hAnsi="Tw Cen MT" w:cs="Twentieth Century"/>
          <w:b/>
          <w:sz w:val="24"/>
          <w:szCs w:val="24"/>
        </w:rPr>
      </w:pPr>
      <w:r w:rsidRPr="00122FED">
        <w:rPr>
          <w:rFonts w:ascii="Tw Cen MT" w:eastAsia="Twentieth Century" w:hAnsi="Tw Cen MT" w:cs="Twentieth Century"/>
          <w:b/>
          <w:sz w:val="24"/>
          <w:szCs w:val="24"/>
        </w:rPr>
        <w:t>HASIL DAN PEMBAHASAN</w:t>
      </w:r>
    </w:p>
    <w:p w14:paraId="5C5819C1" w14:textId="77777777" w:rsidR="000420FD" w:rsidRPr="00122FED" w:rsidRDefault="000420FD" w:rsidP="00D4179D">
      <w:pPr>
        <w:spacing w:after="0" w:line="240" w:lineRule="auto"/>
        <w:jc w:val="center"/>
        <w:rPr>
          <w:rFonts w:ascii="Tw Cen MT" w:hAnsi="Tw Cen MT"/>
          <w:b/>
          <w:sz w:val="20"/>
          <w:szCs w:val="20"/>
        </w:rPr>
      </w:pPr>
      <w:r w:rsidRPr="00122FED">
        <w:rPr>
          <w:rFonts w:ascii="Tw Cen MT" w:hAnsi="Tw Cen MT"/>
          <w:b/>
          <w:sz w:val="20"/>
          <w:szCs w:val="20"/>
        </w:rPr>
        <w:t xml:space="preserve">Tabel 1 </w:t>
      </w:r>
      <w:r w:rsidRPr="00122FED">
        <w:rPr>
          <w:rFonts w:ascii="Tw Cen MT" w:hAnsi="Tw Cen MT"/>
          <w:sz w:val="20"/>
          <w:szCs w:val="20"/>
        </w:rPr>
        <w:t>Karakteristik Responden Penelitian</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205"/>
        <w:gridCol w:w="2115"/>
      </w:tblGrid>
      <w:tr w:rsidR="000420FD" w:rsidRPr="00122FED" w14:paraId="787C7E75" w14:textId="77777777" w:rsidTr="000420FD">
        <w:tc>
          <w:tcPr>
            <w:tcW w:w="2290" w:type="dxa"/>
            <w:shd w:val="clear" w:color="auto" w:fill="auto"/>
          </w:tcPr>
          <w:p w14:paraId="3AE0EE22"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b/>
                <w:sz w:val="20"/>
                <w:szCs w:val="20"/>
              </w:rPr>
              <w:t>Variabel</w:t>
            </w:r>
          </w:p>
        </w:tc>
        <w:tc>
          <w:tcPr>
            <w:tcW w:w="2246" w:type="dxa"/>
            <w:shd w:val="clear" w:color="auto" w:fill="auto"/>
          </w:tcPr>
          <w:p w14:paraId="621C7334"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b/>
                <w:sz w:val="20"/>
                <w:szCs w:val="20"/>
              </w:rPr>
              <w:t>Rerata±SD</w:t>
            </w:r>
          </w:p>
        </w:tc>
      </w:tr>
      <w:tr w:rsidR="000420FD" w:rsidRPr="00122FED" w14:paraId="2C6CC0F2" w14:textId="77777777" w:rsidTr="000420FD">
        <w:tc>
          <w:tcPr>
            <w:tcW w:w="2290" w:type="dxa"/>
            <w:shd w:val="clear" w:color="auto" w:fill="auto"/>
          </w:tcPr>
          <w:p w14:paraId="5B0C5646" w14:textId="77777777" w:rsidR="000420FD" w:rsidRPr="00122FED" w:rsidRDefault="000420FD" w:rsidP="000420FD">
            <w:pPr>
              <w:pStyle w:val="TableParagraph"/>
              <w:spacing w:before="0"/>
              <w:ind w:left="108"/>
              <w:jc w:val="left"/>
              <w:rPr>
                <w:rFonts w:ascii="Tw Cen MT" w:hAnsi="Tw Cen MT"/>
                <w:sz w:val="20"/>
                <w:szCs w:val="20"/>
              </w:rPr>
            </w:pPr>
            <w:r w:rsidRPr="00122FED">
              <w:rPr>
                <w:rFonts w:ascii="Tw Cen MT" w:hAnsi="Tw Cen MT"/>
                <w:sz w:val="20"/>
                <w:szCs w:val="20"/>
              </w:rPr>
              <w:t>Umur</w:t>
            </w:r>
          </w:p>
        </w:tc>
        <w:tc>
          <w:tcPr>
            <w:tcW w:w="2246" w:type="dxa"/>
            <w:shd w:val="clear" w:color="auto" w:fill="auto"/>
          </w:tcPr>
          <w:p w14:paraId="03569A5E"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37±6,5</w:t>
            </w:r>
          </w:p>
        </w:tc>
      </w:tr>
      <w:tr w:rsidR="000420FD" w:rsidRPr="00122FED" w14:paraId="35EC241F" w14:textId="77777777" w:rsidTr="000420FD">
        <w:tc>
          <w:tcPr>
            <w:tcW w:w="2290" w:type="dxa"/>
            <w:shd w:val="clear" w:color="auto" w:fill="auto"/>
          </w:tcPr>
          <w:p w14:paraId="6332D19D" w14:textId="77777777" w:rsidR="000420FD" w:rsidRPr="00122FED" w:rsidRDefault="000420FD" w:rsidP="000420FD">
            <w:pPr>
              <w:spacing w:after="0" w:line="240" w:lineRule="auto"/>
              <w:rPr>
                <w:rFonts w:ascii="Tw Cen MT" w:hAnsi="Tw Cen MT"/>
                <w:b/>
                <w:sz w:val="20"/>
                <w:szCs w:val="20"/>
              </w:rPr>
            </w:pPr>
            <w:r w:rsidRPr="00122FED">
              <w:rPr>
                <w:rFonts w:ascii="Tw Cen MT" w:hAnsi="Tw Cen MT"/>
                <w:sz w:val="20"/>
                <w:szCs w:val="20"/>
              </w:rPr>
              <w:t>Lama penggunaan</w:t>
            </w:r>
          </w:p>
        </w:tc>
        <w:tc>
          <w:tcPr>
            <w:tcW w:w="2246" w:type="dxa"/>
            <w:shd w:val="clear" w:color="auto" w:fill="auto"/>
          </w:tcPr>
          <w:p w14:paraId="2FA05BBD"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48,7±39,7</w:t>
            </w:r>
          </w:p>
        </w:tc>
      </w:tr>
      <w:tr w:rsidR="000420FD" w:rsidRPr="00122FED" w14:paraId="77C4A5D5" w14:textId="77777777" w:rsidTr="000420FD">
        <w:tc>
          <w:tcPr>
            <w:tcW w:w="2290" w:type="dxa"/>
            <w:shd w:val="clear" w:color="auto" w:fill="auto"/>
          </w:tcPr>
          <w:p w14:paraId="3F329786" w14:textId="77777777" w:rsidR="000420FD" w:rsidRPr="00122FED" w:rsidRDefault="000420FD" w:rsidP="000420FD">
            <w:pPr>
              <w:pStyle w:val="TableParagraph"/>
              <w:tabs>
                <w:tab w:val="left" w:pos="1165"/>
                <w:tab w:val="left" w:pos="2290"/>
              </w:tabs>
              <w:spacing w:before="0"/>
              <w:ind w:right="230"/>
              <w:jc w:val="left"/>
              <w:rPr>
                <w:rFonts w:ascii="Tw Cen MT" w:hAnsi="Tw Cen MT"/>
                <w:sz w:val="20"/>
                <w:szCs w:val="20"/>
              </w:rPr>
            </w:pPr>
            <w:r w:rsidRPr="00122FED">
              <w:rPr>
                <w:rFonts w:ascii="Tw Cen MT" w:hAnsi="Tw Cen MT"/>
                <w:sz w:val="20"/>
                <w:szCs w:val="20"/>
              </w:rPr>
              <w:t>Berat badan</w:t>
            </w:r>
            <w:r w:rsidRPr="00122FED">
              <w:rPr>
                <w:rFonts w:ascii="Tw Cen MT" w:hAnsi="Tw Cen MT"/>
                <w:sz w:val="20"/>
                <w:szCs w:val="20"/>
              </w:rPr>
              <w:tab/>
            </w:r>
            <w:r w:rsidRPr="00122FED">
              <w:rPr>
                <w:rFonts w:ascii="Tw Cen MT" w:hAnsi="Tw Cen MT"/>
                <w:spacing w:val="-3"/>
                <w:sz w:val="20"/>
                <w:szCs w:val="20"/>
              </w:rPr>
              <w:t xml:space="preserve">sebelum </w:t>
            </w:r>
            <w:r w:rsidRPr="00122FED">
              <w:rPr>
                <w:rFonts w:ascii="Tw Cen MT" w:hAnsi="Tw Cen MT"/>
                <w:sz w:val="20"/>
                <w:szCs w:val="20"/>
              </w:rPr>
              <w:t>menggunakan DMPA</w:t>
            </w:r>
            <w:r w:rsidRPr="00122FED">
              <w:rPr>
                <w:rFonts w:ascii="Tw Cen MT" w:hAnsi="Tw Cen MT"/>
                <w:spacing w:val="-2"/>
                <w:sz w:val="20"/>
                <w:szCs w:val="20"/>
              </w:rPr>
              <w:t xml:space="preserve"> </w:t>
            </w:r>
            <w:r w:rsidRPr="00122FED">
              <w:rPr>
                <w:rFonts w:ascii="Tw Cen MT" w:hAnsi="Tw Cen MT"/>
                <w:sz w:val="20"/>
                <w:szCs w:val="20"/>
              </w:rPr>
              <w:t>(Kg))</w:t>
            </w:r>
          </w:p>
        </w:tc>
        <w:tc>
          <w:tcPr>
            <w:tcW w:w="2246" w:type="dxa"/>
            <w:shd w:val="clear" w:color="auto" w:fill="auto"/>
          </w:tcPr>
          <w:p w14:paraId="12EBB67D"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50,3±7,3</w:t>
            </w:r>
          </w:p>
        </w:tc>
      </w:tr>
      <w:tr w:rsidR="000420FD" w:rsidRPr="00122FED" w14:paraId="4875876D" w14:textId="77777777" w:rsidTr="000420FD">
        <w:tc>
          <w:tcPr>
            <w:tcW w:w="2290" w:type="dxa"/>
            <w:shd w:val="clear" w:color="auto" w:fill="auto"/>
          </w:tcPr>
          <w:p w14:paraId="4E1AE712" w14:textId="77777777" w:rsidR="000420FD" w:rsidRPr="00122FED" w:rsidRDefault="000420FD" w:rsidP="000420FD">
            <w:pPr>
              <w:spacing w:after="0" w:line="240" w:lineRule="auto"/>
              <w:rPr>
                <w:rFonts w:ascii="Tw Cen MT" w:hAnsi="Tw Cen MT"/>
                <w:b/>
                <w:sz w:val="20"/>
                <w:szCs w:val="20"/>
              </w:rPr>
            </w:pPr>
            <w:r w:rsidRPr="00122FED">
              <w:rPr>
                <w:rFonts w:ascii="Tw Cen MT" w:hAnsi="Tw Cen MT"/>
                <w:sz w:val="20"/>
                <w:szCs w:val="20"/>
              </w:rPr>
              <w:t>Berat badan saat pemeriksaan (Kg)</w:t>
            </w:r>
          </w:p>
        </w:tc>
        <w:tc>
          <w:tcPr>
            <w:tcW w:w="2246" w:type="dxa"/>
            <w:shd w:val="clear" w:color="auto" w:fill="auto"/>
          </w:tcPr>
          <w:p w14:paraId="791F7FC4"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57,6±8,4</w:t>
            </w:r>
          </w:p>
        </w:tc>
      </w:tr>
      <w:tr w:rsidR="000420FD" w:rsidRPr="00122FED" w14:paraId="2397D900" w14:textId="77777777" w:rsidTr="000420FD">
        <w:tc>
          <w:tcPr>
            <w:tcW w:w="2290" w:type="dxa"/>
            <w:shd w:val="clear" w:color="auto" w:fill="auto"/>
          </w:tcPr>
          <w:p w14:paraId="5FD938F0" w14:textId="77777777" w:rsidR="000420FD" w:rsidRPr="00122FED" w:rsidRDefault="000420FD" w:rsidP="000420FD">
            <w:pPr>
              <w:spacing w:after="0" w:line="240" w:lineRule="auto"/>
              <w:rPr>
                <w:rFonts w:ascii="Tw Cen MT" w:hAnsi="Tw Cen MT"/>
                <w:b/>
                <w:sz w:val="20"/>
                <w:szCs w:val="20"/>
              </w:rPr>
            </w:pPr>
            <w:r w:rsidRPr="00122FED">
              <w:rPr>
                <w:rFonts w:ascii="Tw Cen MT" w:hAnsi="Tw Cen MT"/>
                <w:sz w:val="20"/>
                <w:szCs w:val="20"/>
              </w:rPr>
              <w:t>Tinggi badan saat pemeriksaan (m)</w:t>
            </w:r>
          </w:p>
        </w:tc>
        <w:tc>
          <w:tcPr>
            <w:tcW w:w="2246" w:type="dxa"/>
            <w:shd w:val="clear" w:color="auto" w:fill="auto"/>
          </w:tcPr>
          <w:p w14:paraId="2B6A2EF3" w14:textId="77777777" w:rsidR="000420FD" w:rsidRPr="00122FED" w:rsidRDefault="000420FD" w:rsidP="000420FD">
            <w:pPr>
              <w:spacing w:after="0" w:line="240" w:lineRule="auto"/>
              <w:jc w:val="center"/>
              <w:rPr>
                <w:rFonts w:ascii="Tw Cen MT" w:hAnsi="Tw Cen MT"/>
                <w:b/>
                <w:sz w:val="20"/>
                <w:szCs w:val="20"/>
              </w:rPr>
            </w:pPr>
            <w:r w:rsidRPr="00122FED">
              <w:rPr>
                <w:rFonts w:ascii="Tw Cen MT" w:hAnsi="Tw Cen MT"/>
                <w:sz w:val="20"/>
                <w:szCs w:val="20"/>
              </w:rPr>
              <w:t>1,5±0,4</w:t>
            </w:r>
          </w:p>
        </w:tc>
      </w:tr>
    </w:tbl>
    <w:p w14:paraId="136C9BBC" w14:textId="77777777" w:rsidR="000420FD" w:rsidRPr="00122FED" w:rsidRDefault="000420FD" w:rsidP="000420FD">
      <w:pPr>
        <w:spacing w:line="360" w:lineRule="auto"/>
        <w:jc w:val="both"/>
        <w:rPr>
          <w:rFonts w:ascii="Tw Cen MT" w:eastAsia="Twentieth Century" w:hAnsi="Tw Cen MT" w:cs="Twentieth Century"/>
          <w:sz w:val="20"/>
          <w:szCs w:val="20"/>
        </w:rPr>
      </w:pPr>
      <w:r w:rsidRPr="00122FED">
        <w:rPr>
          <w:rFonts w:ascii="Tw Cen MT" w:eastAsia="Twentieth Century" w:hAnsi="Tw Cen MT" w:cs="Twentieth Century"/>
          <w:sz w:val="20"/>
          <w:szCs w:val="20"/>
        </w:rPr>
        <w:t xml:space="preserve">Source : secondary data processing </w:t>
      </w:r>
    </w:p>
    <w:p w14:paraId="489F40C1" w14:textId="77777777" w:rsidR="00736F53" w:rsidRPr="00122FED" w:rsidRDefault="000420FD">
      <w:pPr>
        <w:tabs>
          <w:tab w:val="left" w:pos="426"/>
        </w:tabs>
        <w:spacing w:after="0"/>
        <w:jc w:val="both"/>
        <w:rPr>
          <w:rFonts w:ascii="Tw Cen MT" w:hAnsi="Tw Cen MT"/>
          <w:sz w:val="24"/>
          <w:szCs w:val="24"/>
        </w:rPr>
      </w:pPr>
      <w:r w:rsidRPr="00122FED">
        <w:rPr>
          <w:rFonts w:ascii="Tw Cen MT" w:hAnsi="Tw Cen MT"/>
          <w:sz w:val="24"/>
          <w:szCs w:val="24"/>
        </w:rPr>
        <w:t xml:space="preserve">Tabel 1 menunjukkan rerata umur respondenadalah 37±6,5. Rerata lama </w:t>
      </w:r>
      <w:r w:rsidRPr="00122FED">
        <w:rPr>
          <w:rFonts w:ascii="Tw Cen MT" w:hAnsi="Tw Cen MT"/>
          <w:sz w:val="24"/>
          <w:szCs w:val="24"/>
        </w:rPr>
        <w:lastRenderedPageBreak/>
        <w:t>penggunaan DMPA 48,7±39,7 bulan. Rerata berat badan akseptor sebelum penggunaan DMPA adalah 50,3±7,3 Kg, sedangkan rerata berat badan akseptor DMPA saat pemeriksaan adalah 57,6±8,4 Kg. Dapat diperkirakan rerata kenaikan berat badan responden sekitar 7 kg. Adapun rerata tinggi badan 1,5±0,4</w:t>
      </w:r>
      <w:r w:rsidRPr="00122FED">
        <w:rPr>
          <w:rFonts w:ascii="Tw Cen MT" w:hAnsi="Tw Cen MT"/>
          <w:spacing w:val="-8"/>
          <w:sz w:val="24"/>
          <w:szCs w:val="24"/>
        </w:rPr>
        <w:t xml:space="preserve"> </w:t>
      </w:r>
      <w:r w:rsidRPr="00122FED">
        <w:rPr>
          <w:rFonts w:ascii="Tw Cen MT" w:hAnsi="Tw Cen MT"/>
          <w:sz w:val="24"/>
          <w:szCs w:val="24"/>
        </w:rPr>
        <w:t>m.</w:t>
      </w:r>
    </w:p>
    <w:p w14:paraId="20841491" w14:textId="77777777" w:rsidR="00D4179D" w:rsidRPr="00122FED" w:rsidRDefault="00D4179D">
      <w:pPr>
        <w:tabs>
          <w:tab w:val="left" w:pos="426"/>
        </w:tabs>
        <w:spacing w:after="0"/>
        <w:jc w:val="both"/>
        <w:rPr>
          <w:rFonts w:ascii="Tw Cen MT" w:eastAsia="Twentieth Century" w:hAnsi="Tw Cen MT" w:cs="Twentieth Century"/>
          <w:sz w:val="24"/>
          <w:szCs w:val="24"/>
        </w:rPr>
      </w:pPr>
    </w:p>
    <w:p w14:paraId="0615BA19" w14:textId="77777777" w:rsidR="00D4179D" w:rsidRPr="00122FED" w:rsidRDefault="00D4179D" w:rsidP="00D4179D">
      <w:pPr>
        <w:pStyle w:val="Heading1"/>
        <w:spacing w:before="1"/>
        <w:ind w:right="313"/>
        <w:jc w:val="center"/>
        <w:rPr>
          <w:rFonts w:ascii="Tw Cen MT" w:hAnsi="Tw Cen MT"/>
          <w:sz w:val="18"/>
          <w:szCs w:val="18"/>
        </w:rPr>
      </w:pPr>
      <w:r w:rsidRPr="00122FED">
        <w:rPr>
          <w:rFonts w:ascii="Tw Cen MT" w:hAnsi="Tw Cen MT"/>
          <w:sz w:val="18"/>
          <w:szCs w:val="18"/>
        </w:rPr>
        <w:t xml:space="preserve">Tabel 2 </w:t>
      </w:r>
      <w:r w:rsidRPr="00122FED">
        <w:rPr>
          <w:rFonts w:ascii="Tw Cen MT" w:hAnsi="Tw Cen MT"/>
          <w:b w:val="0"/>
          <w:sz w:val="18"/>
          <w:szCs w:val="18"/>
        </w:rPr>
        <w:t>Rerata dan Standar Deviasi Kadar Estradiol</w:t>
      </w:r>
    </w:p>
    <w:tbl>
      <w:tblPr>
        <w:tblW w:w="4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71"/>
      </w:tblGrid>
      <w:tr w:rsidR="00D4179D" w:rsidRPr="00122FED" w14:paraId="6F8663DA" w14:textId="77777777" w:rsidTr="002B178A">
        <w:tc>
          <w:tcPr>
            <w:tcW w:w="2370" w:type="dxa"/>
            <w:tcBorders>
              <w:left w:val="nil"/>
              <w:bottom w:val="single" w:sz="4" w:space="0" w:color="auto"/>
              <w:right w:val="nil"/>
            </w:tcBorders>
            <w:shd w:val="clear" w:color="auto" w:fill="auto"/>
          </w:tcPr>
          <w:p w14:paraId="0A910623"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Variabel</w:t>
            </w:r>
          </w:p>
        </w:tc>
        <w:tc>
          <w:tcPr>
            <w:tcW w:w="2371" w:type="dxa"/>
            <w:tcBorders>
              <w:left w:val="nil"/>
              <w:bottom w:val="single" w:sz="4" w:space="0" w:color="auto"/>
              <w:right w:val="nil"/>
            </w:tcBorders>
            <w:shd w:val="clear" w:color="auto" w:fill="auto"/>
          </w:tcPr>
          <w:p w14:paraId="78A510E7"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Rerata±SD</w:t>
            </w:r>
          </w:p>
        </w:tc>
      </w:tr>
      <w:tr w:rsidR="00D4179D" w:rsidRPr="00122FED" w14:paraId="5A1B6214" w14:textId="77777777" w:rsidTr="002B178A">
        <w:tc>
          <w:tcPr>
            <w:tcW w:w="2370" w:type="dxa"/>
            <w:tcBorders>
              <w:left w:val="nil"/>
              <w:right w:val="nil"/>
            </w:tcBorders>
            <w:shd w:val="clear" w:color="auto" w:fill="auto"/>
          </w:tcPr>
          <w:p w14:paraId="11B19ECE"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sz w:val="20"/>
                <w:szCs w:val="20"/>
              </w:rPr>
              <w:t>Kadar Estradiol</w:t>
            </w:r>
          </w:p>
        </w:tc>
        <w:tc>
          <w:tcPr>
            <w:tcW w:w="2371" w:type="dxa"/>
            <w:tcBorders>
              <w:left w:val="nil"/>
              <w:right w:val="nil"/>
            </w:tcBorders>
            <w:shd w:val="clear" w:color="auto" w:fill="auto"/>
          </w:tcPr>
          <w:p w14:paraId="6625FB02"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sz w:val="20"/>
                <w:szCs w:val="20"/>
              </w:rPr>
              <w:t>63,9±35,5</w:t>
            </w:r>
          </w:p>
        </w:tc>
      </w:tr>
    </w:tbl>
    <w:p w14:paraId="678E77C0" w14:textId="77777777" w:rsidR="00D4179D" w:rsidRPr="00122FED" w:rsidRDefault="00D4179D" w:rsidP="00D4179D">
      <w:pPr>
        <w:spacing w:line="360" w:lineRule="auto"/>
        <w:jc w:val="both"/>
        <w:rPr>
          <w:rFonts w:ascii="Tw Cen MT" w:eastAsia="Twentieth Century" w:hAnsi="Tw Cen MT" w:cs="Twentieth Century"/>
          <w:sz w:val="20"/>
          <w:szCs w:val="20"/>
        </w:rPr>
      </w:pPr>
      <w:r w:rsidRPr="00122FED">
        <w:rPr>
          <w:rFonts w:ascii="Tw Cen MT" w:eastAsia="Twentieth Century" w:hAnsi="Tw Cen MT" w:cs="Twentieth Century"/>
          <w:sz w:val="20"/>
          <w:szCs w:val="20"/>
        </w:rPr>
        <w:t xml:space="preserve">Source : secondary data processing </w:t>
      </w:r>
    </w:p>
    <w:p w14:paraId="5F94DC76" w14:textId="77777777" w:rsidR="00736F53" w:rsidRPr="00122FED" w:rsidRDefault="00D4179D" w:rsidP="00D4179D">
      <w:pPr>
        <w:spacing w:after="0" w:line="240" w:lineRule="auto"/>
        <w:jc w:val="both"/>
        <w:rPr>
          <w:rFonts w:ascii="Tw Cen MT" w:eastAsia="Twentieth Century" w:hAnsi="Tw Cen MT" w:cs="Twentieth Century"/>
          <w:sz w:val="24"/>
          <w:szCs w:val="24"/>
        </w:rPr>
      </w:pPr>
      <w:r w:rsidRPr="00122FED">
        <w:rPr>
          <w:rFonts w:ascii="Tw Cen MT" w:hAnsi="Tw Cen MT"/>
          <w:sz w:val="24"/>
          <w:szCs w:val="24"/>
        </w:rPr>
        <w:t>Tabel 2 menunjukkan rerata kadar estradiol akseptor DMPA adalah 63,9 pg/mL dengan standar deviasi 35,5 pg/mL</w:t>
      </w:r>
      <w:r w:rsidR="007E2FAB" w:rsidRPr="00122FED">
        <w:rPr>
          <w:rFonts w:ascii="Tw Cen MT" w:eastAsia="Twentieth Century" w:hAnsi="Tw Cen MT" w:cs="Twentieth Century"/>
          <w:sz w:val="24"/>
          <w:szCs w:val="24"/>
        </w:rPr>
        <w:t xml:space="preserve"> </w:t>
      </w:r>
    </w:p>
    <w:p w14:paraId="6CDA814B" w14:textId="77777777" w:rsidR="00525631" w:rsidRPr="00122FED" w:rsidRDefault="00525631" w:rsidP="00525631">
      <w:pPr>
        <w:pStyle w:val="BodyText"/>
        <w:ind w:left="0" w:right="43" w:firstLine="677"/>
        <w:rPr>
          <w:rFonts w:ascii="Tw Cen MT" w:hAnsi="Tw Cen MT"/>
          <w:sz w:val="24"/>
          <w:szCs w:val="24"/>
        </w:rPr>
      </w:pPr>
      <w:r w:rsidRPr="00122FED">
        <w:rPr>
          <w:rFonts w:ascii="Tw Cen MT" w:hAnsi="Tw Cen MT"/>
          <w:sz w:val="24"/>
          <w:szCs w:val="24"/>
        </w:rPr>
        <w:t>Hasil penelitian menunjukkan bahwa kadar estradiol pada ibu akseptor DMPA tergolong normal, tapi berada pada nilai konsentrasi serum estradiol pada kisaran fase folikular dini yaitu 63,9 pg/ml dengan standar deviasi 35,5 pg/mL. Seperti diketahui nilai konsentrasi serum estradiol pada fase folikular dini adalah 40-200 pg/mL.</w:t>
      </w:r>
      <w:r w:rsidRPr="00122FED">
        <w:rPr>
          <w:rFonts w:ascii="Tw Cen MT" w:hAnsi="Tw Cen MT"/>
          <w:sz w:val="24"/>
          <w:szCs w:val="24"/>
          <w:vertAlign w:val="superscript"/>
        </w:rPr>
        <w:t>9</w:t>
      </w:r>
    </w:p>
    <w:p w14:paraId="159EFFB4" w14:textId="77777777" w:rsidR="00525631" w:rsidRPr="00122FED" w:rsidRDefault="00525631" w:rsidP="00525631">
      <w:pPr>
        <w:pStyle w:val="BodyText"/>
        <w:ind w:left="0" w:right="43" w:firstLine="677"/>
        <w:rPr>
          <w:rFonts w:ascii="Tw Cen MT" w:hAnsi="Tw Cen MT"/>
          <w:sz w:val="24"/>
          <w:szCs w:val="24"/>
        </w:rPr>
      </w:pPr>
      <w:r w:rsidRPr="00122FED">
        <w:rPr>
          <w:rFonts w:ascii="Tw Cen MT" w:hAnsi="Tw Cen MT"/>
          <w:sz w:val="24"/>
          <w:szCs w:val="24"/>
        </w:rPr>
        <w:t xml:space="preserve">Pada saat DMPA disuntikkan dan berdifusi ke sel- sel target, menjadi umpan balik terhadap hipothalamus. Hipothalamus merilis FSHRH namun menekan LHRH.FSHRH merangsang hipofisis anterior untuk mengeluarkan FSH. </w:t>
      </w:r>
      <w:r w:rsidRPr="00122FED">
        <w:rPr>
          <w:rFonts w:ascii="Tw Cen MT" w:hAnsi="Tw Cen MT"/>
          <w:i/>
          <w:sz w:val="24"/>
          <w:szCs w:val="24"/>
        </w:rPr>
        <w:t xml:space="preserve">Follicle  Stimulating Hormone </w:t>
      </w:r>
      <w:r w:rsidRPr="00122FED">
        <w:rPr>
          <w:rFonts w:ascii="Tw Cen MT" w:hAnsi="Tw Cen MT"/>
          <w:sz w:val="24"/>
          <w:szCs w:val="24"/>
        </w:rPr>
        <w:t>merangsang perkembangan folikel di ovarium. Karena tidak adanya LH yang dirilis oleh LHRH menyebabkan folikel de graf tidak terbentuk sehingga kadar estrogen yang dihasilkan berkisar pada fase folikular dini.</w:t>
      </w:r>
      <w:r w:rsidRPr="00122FED">
        <w:rPr>
          <w:rFonts w:ascii="Tw Cen MT" w:hAnsi="Tw Cen MT"/>
          <w:sz w:val="24"/>
          <w:szCs w:val="24"/>
          <w:vertAlign w:val="superscript"/>
        </w:rPr>
        <w:t>10,</w:t>
      </w:r>
      <w:r w:rsidRPr="00122FED">
        <w:rPr>
          <w:rFonts w:ascii="Tw Cen MT" w:hAnsi="Tw Cen MT"/>
          <w:spacing w:val="-23"/>
          <w:sz w:val="24"/>
          <w:szCs w:val="24"/>
        </w:rPr>
        <w:t xml:space="preserve"> </w:t>
      </w:r>
      <w:r w:rsidRPr="00122FED">
        <w:rPr>
          <w:rFonts w:ascii="Tw Cen MT" w:hAnsi="Tw Cen MT"/>
          <w:sz w:val="24"/>
          <w:szCs w:val="24"/>
          <w:vertAlign w:val="superscript"/>
        </w:rPr>
        <w:t>11</w:t>
      </w:r>
    </w:p>
    <w:p w14:paraId="0FC44DC6" w14:textId="77777777" w:rsidR="00525631" w:rsidRPr="00122FED" w:rsidRDefault="00525631" w:rsidP="00B45DCC">
      <w:pPr>
        <w:pStyle w:val="BodyText"/>
        <w:ind w:left="0" w:right="38" w:firstLine="566"/>
        <w:rPr>
          <w:rFonts w:ascii="Tw Cen MT" w:hAnsi="Tw Cen MT"/>
          <w:sz w:val="24"/>
          <w:szCs w:val="24"/>
        </w:rPr>
      </w:pPr>
      <w:r w:rsidRPr="00122FED">
        <w:rPr>
          <w:rFonts w:ascii="Tw Cen MT" w:hAnsi="Tw Cen MT"/>
          <w:sz w:val="24"/>
          <w:szCs w:val="24"/>
        </w:rPr>
        <w:t xml:space="preserve">Hasil penelitian ini sejalan dengan penelitian yang dilakukan oleh Torgrimson </w:t>
      </w:r>
      <w:r w:rsidRPr="00122FED">
        <w:rPr>
          <w:rFonts w:ascii="Tw Cen MT" w:hAnsi="Tw Cen MT"/>
          <w:i/>
          <w:sz w:val="24"/>
          <w:szCs w:val="24"/>
        </w:rPr>
        <w:t>et al</w:t>
      </w:r>
      <w:r w:rsidRPr="00122FED">
        <w:rPr>
          <w:rFonts w:ascii="Tw Cen MT" w:hAnsi="Tw Cen MT"/>
          <w:sz w:val="24"/>
          <w:szCs w:val="24"/>
        </w:rPr>
        <w:t xml:space="preserve">, (2011) yang </w:t>
      </w:r>
    </w:p>
    <w:p w14:paraId="78E84CF0" w14:textId="77777777" w:rsidR="00525631" w:rsidRPr="00122FED" w:rsidRDefault="00525631" w:rsidP="00B45DCC">
      <w:pPr>
        <w:pStyle w:val="BodyText"/>
        <w:ind w:left="0" w:right="-23"/>
        <w:rPr>
          <w:rFonts w:ascii="Tw Cen MT" w:hAnsi="Tw Cen MT"/>
          <w:sz w:val="24"/>
          <w:szCs w:val="24"/>
        </w:rPr>
      </w:pPr>
      <w:r w:rsidRPr="00122FED">
        <w:rPr>
          <w:rFonts w:ascii="Tw Cen MT" w:hAnsi="Tw Cen MT"/>
          <w:sz w:val="24"/>
          <w:szCs w:val="24"/>
        </w:rPr>
        <w:t>menyatakan bahwa setelah injeksi DMPA, kadar serum estradiol berada pada kisaran folikular dini (50 pg/mL).</w:t>
      </w:r>
      <w:r w:rsidRPr="00122FED">
        <w:rPr>
          <w:rFonts w:ascii="Tw Cen MT" w:hAnsi="Tw Cen MT"/>
          <w:sz w:val="24"/>
          <w:szCs w:val="24"/>
          <w:vertAlign w:val="superscript"/>
        </w:rPr>
        <w:t>12</w:t>
      </w:r>
      <w:r w:rsidRPr="00122FED">
        <w:rPr>
          <w:rFonts w:ascii="Tw Cen MT" w:hAnsi="Tw Cen MT"/>
          <w:sz w:val="24"/>
          <w:szCs w:val="24"/>
        </w:rPr>
        <w:t xml:space="preserve"> Hasil penelitian ini juga sesuai dengan Razali (2008) yang </w:t>
      </w:r>
      <w:r w:rsidRPr="00122FED">
        <w:rPr>
          <w:rFonts w:ascii="Tw Cen MT" w:hAnsi="Tw Cen MT"/>
          <w:sz w:val="24"/>
          <w:szCs w:val="24"/>
        </w:rPr>
        <w:t>menyatakan bahwa rata- rata kadar estradiol pengguna KB DMPA 1-2 tahun yakni 78,69±29,76 pg/mL. Pada pengguna KB DMPA selama 3-5 tahun kadar estradiolnya adalah 54,23±21,07 pg/mL. Penurunan kadar estradiol masih berkisar dalam kadar fase folikular dini.</w:t>
      </w:r>
      <w:r w:rsidRPr="00122FED">
        <w:rPr>
          <w:rFonts w:ascii="Tw Cen MT" w:hAnsi="Tw Cen MT"/>
          <w:spacing w:val="-5"/>
          <w:sz w:val="24"/>
          <w:szCs w:val="24"/>
        </w:rPr>
        <w:t xml:space="preserve"> </w:t>
      </w:r>
      <w:r w:rsidRPr="00122FED">
        <w:rPr>
          <w:rFonts w:ascii="Tw Cen MT" w:hAnsi="Tw Cen MT"/>
          <w:sz w:val="24"/>
          <w:szCs w:val="24"/>
          <w:vertAlign w:val="superscript"/>
        </w:rPr>
        <w:t>13</w:t>
      </w:r>
    </w:p>
    <w:p w14:paraId="02DC933E" w14:textId="77777777" w:rsidR="00B45DCC" w:rsidRPr="00122FED" w:rsidRDefault="00B45DCC" w:rsidP="00D4179D">
      <w:pPr>
        <w:pStyle w:val="BodyText"/>
        <w:spacing w:line="360" w:lineRule="auto"/>
        <w:ind w:left="0"/>
        <w:jc w:val="center"/>
        <w:rPr>
          <w:rFonts w:ascii="Tw Cen MT" w:hAnsi="Tw Cen MT"/>
          <w:b/>
          <w:sz w:val="20"/>
          <w:szCs w:val="20"/>
        </w:rPr>
      </w:pPr>
    </w:p>
    <w:p w14:paraId="63097555" w14:textId="77777777" w:rsidR="00D4179D" w:rsidRPr="00122FED" w:rsidRDefault="00D4179D" w:rsidP="00D4179D">
      <w:pPr>
        <w:pStyle w:val="BodyText"/>
        <w:spacing w:line="360" w:lineRule="auto"/>
        <w:ind w:left="0"/>
        <w:jc w:val="center"/>
        <w:rPr>
          <w:rFonts w:ascii="Tw Cen MT" w:hAnsi="Tw Cen MT"/>
          <w:b/>
          <w:sz w:val="20"/>
          <w:szCs w:val="20"/>
        </w:rPr>
      </w:pPr>
      <w:r w:rsidRPr="00122FED">
        <w:rPr>
          <w:rFonts w:ascii="Tw Cen MT" w:hAnsi="Tw Cen MT"/>
          <w:b/>
          <w:sz w:val="20"/>
          <w:szCs w:val="20"/>
        </w:rPr>
        <w:t xml:space="preserve">Tabel 3 </w:t>
      </w:r>
      <w:r w:rsidRPr="00122FED">
        <w:rPr>
          <w:rFonts w:ascii="Tw Cen MT" w:hAnsi="Tw Cen MT"/>
          <w:sz w:val="20"/>
          <w:szCs w:val="20"/>
        </w:rPr>
        <w:t>Distribusi Indeks Massa Tubuh</w:t>
      </w:r>
    </w:p>
    <w:tbl>
      <w:tblPr>
        <w:tblW w:w="4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80"/>
        <w:gridCol w:w="1581"/>
      </w:tblGrid>
      <w:tr w:rsidR="00D4179D" w:rsidRPr="00122FED" w14:paraId="4610E650" w14:textId="77777777" w:rsidTr="002B178A">
        <w:tc>
          <w:tcPr>
            <w:tcW w:w="1728" w:type="dxa"/>
            <w:tcBorders>
              <w:left w:val="nil"/>
              <w:bottom w:val="single" w:sz="4" w:space="0" w:color="auto"/>
              <w:right w:val="nil"/>
            </w:tcBorders>
            <w:shd w:val="clear" w:color="auto" w:fill="auto"/>
          </w:tcPr>
          <w:p w14:paraId="7CE7267A"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Variabel (kg/m)</w:t>
            </w:r>
          </w:p>
        </w:tc>
        <w:tc>
          <w:tcPr>
            <w:tcW w:w="1580" w:type="dxa"/>
            <w:tcBorders>
              <w:left w:val="nil"/>
              <w:bottom w:val="single" w:sz="4" w:space="0" w:color="auto"/>
              <w:right w:val="nil"/>
            </w:tcBorders>
            <w:shd w:val="clear" w:color="auto" w:fill="auto"/>
          </w:tcPr>
          <w:p w14:paraId="4ABC1D0B"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n</w:t>
            </w:r>
          </w:p>
        </w:tc>
        <w:tc>
          <w:tcPr>
            <w:tcW w:w="1581" w:type="dxa"/>
            <w:tcBorders>
              <w:left w:val="nil"/>
              <w:bottom w:val="single" w:sz="4" w:space="0" w:color="auto"/>
              <w:right w:val="nil"/>
            </w:tcBorders>
            <w:shd w:val="clear" w:color="auto" w:fill="auto"/>
          </w:tcPr>
          <w:p w14:paraId="2DB2F940"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b/>
                <w:sz w:val="20"/>
                <w:szCs w:val="20"/>
              </w:rPr>
              <w:t>%</w:t>
            </w:r>
          </w:p>
        </w:tc>
      </w:tr>
      <w:tr w:rsidR="00D4179D" w:rsidRPr="00122FED" w14:paraId="28414A08" w14:textId="77777777" w:rsidTr="002B178A">
        <w:tc>
          <w:tcPr>
            <w:tcW w:w="1728" w:type="dxa"/>
            <w:tcBorders>
              <w:left w:val="nil"/>
              <w:right w:val="nil"/>
            </w:tcBorders>
            <w:shd w:val="clear" w:color="auto" w:fill="auto"/>
          </w:tcPr>
          <w:p w14:paraId="116071A4" w14:textId="77777777" w:rsidR="00D4179D" w:rsidRPr="00122FED" w:rsidRDefault="00D4179D" w:rsidP="002B178A">
            <w:pPr>
              <w:pStyle w:val="TableParagraph"/>
              <w:spacing w:before="65"/>
              <w:rPr>
                <w:rFonts w:ascii="Tw Cen MT" w:hAnsi="Tw Cen MT"/>
                <w:sz w:val="20"/>
                <w:szCs w:val="20"/>
              </w:rPr>
            </w:pPr>
            <w:r w:rsidRPr="00122FED">
              <w:rPr>
                <w:rFonts w:ascii="Tw Cen MT" w:hAnsi="Tw Cen MT"/>
                <w:sz w:val="20"/>
                <w:szCs w:val="20"/>
              </w:rPr>
              <w:t>Normal</w:t>
            </w:r>
          </w:p>
          <w:p w14:paraId="3BF46D9B" w14:textId="77777777" w:rsidR="00D4179D" w:rsidRPr="00122FED" w:rsidRDefault="00D4179D" w:rsidP="002B178A">
            <w:pPr>
              <w:pStyle w:val="TableParagraph"/>
              <w:spacing w:before="65"/>
              <w:rPr>
                <w:rFonts w:ascii="Tw Cen MT" w:hAnsi="Tw Cen MT"/>
                <w:sz w:val="20"/>
                <w:szCs w:val="20"/>
              </w:rPr>
            </w:pPr>
            <w:r w:rsidRPr="00122FED">
              <w:rPr>
                <w:rFonts w:ascii="Tw Cen MT" w:hAnsi="Tw Cen MT"/>
                <w:sz w:val="20"/>
                <w:szCs w:val="20"/>
              </w:rPr>
              <w:t>(≥18,5 -&lt; 24,9)</w:t>
            </w:r>
          </w:p>
          <w:p w14:paraId="2B1DA2A9" w14:textId="77777777" w:rsidR="00D4179D" w:rsidRPr="00122FED" w:rsidRDefault="00D4179D" w:rsidP="002B178A">
            <w:pPr>
              <w:pStyle w:val="BodyText"/>
              <w:spacing w:line="360" w:lineRule="auto"/>
              <w:ind w:left="0"/>
              <w:jc w:val="left"/>
              <w:rPr>
                <w:rFonts w:ascii="Tw Cen MT" w:hAnsi="Tw Cen MT"/>
                <w:b/>
                <w:sz w:val="20"/>
                <w:szCs w:val="20"/>
              </w:rPr>
            </w:pPr>
            <w:r w:rsidRPr="00122FED">
              <w:rPr>
                <w:rFonts w:ascii="Tw Cen MT" w:hAnsi="Tw Cen MT"/>
                <w:sz w:val="20"/>
                <w:szCs w:val="20"/>
              </w:rPr>
              <w:t>Overweight (≥ 25)</w:t>
            </w:r>
          </w:p>
        </w:tc>
        <w:tc>
          <w:tcPr>
            <w:tcW w:w="1580" w:type="dxa"/>
            <w:tcBorders>
              <w:left w:val="nil"/>
              <w:right w:val="nil"/>
            </w:tcBorders>
            <w:shd w:val="clear" w:color="auto" w:fill="auto"/>
          </w:tcPr>
          <w:p w14:paraId="2AF5EE95" w14:textId="77777777" w:rsidR="00D4179D" w:rsidRPr="00122FED" w:rsidRDefault="00D4179D" w:rsidP="002B178A">
            <w:pPr>
              <w:pStyle w:val="TableParagraph"/>
              <w:spacing w:before="62"/>
              <w:ind w:left="398" w:right="480"/>
              <w:rPr>
                <w:rFonts w:ascii="Tw Cen MT" w:hAnsi="Tw Cen MT"/>
                <w:sz w:val="20"/>
                <w:szCs w:val="20"/>
              </w:rPr>
            </w:pPr>
            <w:r w:rsidRPr="00122FED">
              <w:rPr>
                <w:rFonts w:ascii="Tw Cen MT" w:hAnsi="Tw Cen MT"/>
                <w:sz w:val="20"/>
                <w:szCs w:val="20"/>
              </w:rPr>
              <w:t>25</w:t>
            </w:r>
          </w:p>
          <w:p w14:paraId="37CEA505" w14:textId="77777777" w:rsidR="00D4179D" w:rsidRPr="00122FED" w:rsidRDefault="00D4179D" w:rsidP="002B178A">
            <w:pPr>
              <w:pStyle w:val="TableParagraph"/>
              <w:spacing w:before="11"/>
              <w:rPr>
                <w:rFonts w:ascii="Tw Cen MT" w:hAnsi="Tw Cen MT"/>
                <w:sz w:val="20"/>
                <w:szCs w:val="20"/>
              </w:rPr>
            </w:pPr>
          </w:p>
          <w:p w14:paraId="0D9D70F5"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sz w:val="20"/>
                <w:szCs w:val="20"/>
              </w:rPr>
              <w:t>20</w:t>
            </w:r>
          </w:p>
        </w:tc>
        <w:tc>
          <w:tcPr>
            <w:tcW w:w="1581" w:type="dxa"/>
            <w:tcBorders>
              <w:left w:val="nil"/>
              <w:right w:val="nil"/>
            </w:tcBorders>
            <w:shd w:val="clear" w:color="auto" w:fill="auto"/>
          </w:tcPr>
          <w:p w14:paraId="6C032D0F" w14:textId="77777777" w:rsidR="00D4179D" w:rsidRPr="00122FED" w:rsidRDefault="00D4179D" w:rsidP="002B178A">
            <w:pPr>
              <w:pStyle w:val="TableParagraph"/>
              <w:spacing w:before="61"/>
              <w:ind w:left="502"/>
              <w:jc w:val="left"/>
              <w:rPr>
                <w:rFonts w:ascii="Tw Cen MT" w:hAnsi="Tw Cen MT"/>
                <w:sz w:val="20"/>
                <w:szCs w:val="20"/>
              </w:rPr>
            </w:pPr>
            <w:r w:rsidRPr="00122FED">
              <w:rPr>
                <w:rFonts w:ascii="Tw Cen MT" w:hAnsi="Tw Cen MT"/>
                <w:sz w:val="20"/>
                <w:szCs w:val="20"/>
              </w:rPr>
              <w:t>55,6</w:t>
            </w:r>
          </w:p>
          <w:p w14:paraId="50E49248" w14:textId="77777777" w:rsidR="00D4179D" w:rsidRPr="00122FED" w:rsidRDefault="00D4179D" w:rsidP="002B178A">
            <w:pPr>
              <w:pStyle w:val="TableParagraph"/>
              <w:spacing w:before="10"/>
              <w:rPr>
                <w:rFonts w:ascii="Tw Cen MT" w:hAnsi="Tw Cen MT"/>
                <w:sz w:val="20"/>
                <w:szCs w:val="20"/>
              </w:rPr>
            </w:pPr>
          </w:p>
          <w:p w14:paraId="6BCCBB7B" w14:textId="77777777" w:rsidR="00D4179D" w:rsidRPr="00122FED" w:rsidRDefault="00D4179D" w:rsidP="002B178A">
            <w:pPr>
              <w:pStyle w:val="BodyText"/>
              <w:spacing w:line="360" w:lineRule="auto"/>
              <w:ind w:left="0"/>
              <w:jc w:val="center"/>
              <w:rPr>
                <w:rFonts w:ascii="Tw Cen MT" w:hAnsi="Tw Cen MT"/>
                <w:b/>
                <w:sz w:val="20"/>
                <w:szCs w:val="20"/>
              </w:rPr>
            </w:pPr>
            <w:r w:rsidRPr="00122FED">
              <w:rPr>
                <w:rFonts w:ascii="Tw Cen MT" w:hAnsi="Tw Cen MT"/>
                <w:sz w:val="20"/>
                <w:szCs w:val="20"/>
              </w:rPr>
              <w:t>44,4</w:t>
            </w:r>
          </w:p>
        </w:tc>
      </w:tr>
    </w:tbl>
    <w:p w14:paraId="6BC1E18E" w14:textId="77777777" w:rsidR="00D4179D" w:rsidRPr="00122FED" w:rsidRDefault="00D4179D" w:rsidP="00D4179D">
      <w:pPr>
        <w:spacing w:line="360" w:lineRule="auto"/>
        <w:jc w:val="both"/>
        <w:rPr>
          <w:rFonts w:ascii="Tw Cen MT" w:eastAsia="Twentieth Century" w:hAnsi="Tw Cen MT" w:cs="Twentieth Century"/>
          <w:sz w:val="20"/>
          <w:szCs w:val="20"/>
        </w:rPr>
      </w:pPr>
      <w:r w:rsidRPr="00122FED">
        <w:rPr>
          <w:rFonts w:ascii="Tw Cen MT" w:eastAsia="Twentieth Century" w:hAnsi="Tw Cen MT" w:cs="Twentieth Century"/>
          <w:sz w:val="20"/>
          <w:szCs w:val="20"/>
        </w:rPr>
        <w:t xml:space="preserve">Source : secondary data processing </w:t>
      </w:r>
    </w:p>
    <w:p w14:paraId="07F6FDD3" w14:textId="77777777" w:rsidR="00D4179D" w:rsidRPr="00122FED" w:rsidRDefault="00D4179D" w:rsidP="00D4179D">
      <w:pPr>
        <w:pStyle w:val="BodyText"/>
        <w:tabs>
          <w:tab w:val="left" w:pos="4320"/>
        </w:tabs>
        <w:ind w:left="0" w:firstLine="562"/>
        <w:rPr>
          <w:rFonts w:ascii="Tw Cen MT" w:hAnsi="Tw Cen MT"/>
          <w:sz w:val="24"/>
          <w:szCs w:val="24"/>
        </w:rPr>
      </w:pPr>
      <w:r w:rsidRPr="00122FED">
        <w:rPr>
          <w:rFonts w:ascii="Tw Cen MT" w:hAnsi="Tw Cen MT"/>
          <w:sz w:val="24"/>
          <w:szCs w:val="24"/>
        </w:rPr>
        <w:t>Tabel 3 menunjukan akseptor DMPA sebagian besar memiliki nilai IMT normal (≥18,5 -&lt; 24,9 kg/m) yaitu sebanyak 55, 6%. Namun 44,4 % responden memiliki nilai IMT ≥ 25 kg/m (</w:t>
      </w:r>
      <w:r w:rsidRPr="00122FED">
        <w:rPr>
          <w:rFonts w:ascii="Tw Cen MT" w:hAnsi="Tw Cen MT"/>
          <w:i/>
          <w:sz w:val="24"/>
          <w:szCs w:val="24"/>
        </w:rPr>
        <w:t>overweight</w:t>
      </w:r>
      <w:r w:rsidRPr="00122FED">
        <w:rPr>
          <w:rFonts w:ascii="Tw Cen MT" w:hAnsi="Tw Cen MT"/>
          <w:sz w:val="24"/>
          <w:szCs w:val="24"/>
        </w:rPr>
        <w:t>).</w:t>
      </w:r>
    </w:p>
    <w:p w14:paraId="2974373C" w14:textId="77777777" w:rsidR="00525631" w:rsidRPr="00122FED" w:rsidRDefault="00525631" w:rsidP="00525631">
      <w:pPr>
        <w:pStyle w:val="BodyText"/>
        <w:tabs>
          <w:tab w:val="left" w:pos="4680"/>
        </w:tabs>
        <w:ind w:left="0" w:right="2"/>
        <w:rPr>
          <w:rFonts w:ascii="Tw Cen MT" w:hAnsi="Tw Cen MT"/>
          <w:sz w:val="24"/>
          <w:szCs w:val="24"/>
          <w:vertAlign w:val="superscript"/>
        </w:rPr>
      </w:pPr>
      <w:r w:rsidRPr="00122FED">
        <w:rPr>
          <w:rFonts w:ascii="Tw Cen MT" w:hAnsi="Tw Cen MT"/>
          <w:sz w:val="24"/>
          <w:szCs w:val="24"/>
        </w:rPr>
        <w:t xml:space="preserve">       Peningkatan berat badan adalah fenomena yang umum pada wanita yang menggunakan kontrasepsi hormonal, khususnya DMPA. </w:t>
      </w:r>
      <w:r w:rsidRPr="00122FED">
        <w:rPr>
          <w:rFonts w:ascii="Tw Cen MT" w:hAnsi="Tw Cen MT"/>
          <w:sz w:val="24"/>
          <w:szCs w:val="24"/>
          <w:vertAlign w:val="superscript"/>
        </w:rPr>
        <w:t>14,15</w:t>
      </w:r>
      <w:r w:rsidRPr="00122FED">
        <w:rPr>
          <w:rFonts w:ascii="Tw Cen MT" w:hAnsi="Tw Cen MT"/>
          <w:sz w:val="24"/>
          <w:szCs w:val="24"/>
        </w:rPr>
        <w:t xml:space="preserve"> Penelitian oleh Dal’ Ava </w:t>
      </w:r>
      <w:r w:rsidRPr="00122FED">
        <w:rPr>
          <w:rFonts w:ascii="Tw Cen MT" w:hAnsi="Tw Cen MT"/>
          <w:i/>
          <w:sz w:val="24"/>
          <w:szCs w:val="24"/>
        </w:rPr>
        <w:t xml:space="preserve">et al, </w:t>
      </w:r>
      <w:r w:rsidRPr="00122FED">
        <w:rPr>
          <w:rFonts w:ascii="Tw Cen MT" w:hAnsi="Tw Cen MT"/>
          <w:sz w:val="24"/>
          <w:szCs w:val="24"/>
        </w:rPr>
        <w:t>(2014) menjelaskan terjadi peningkatan berat badan yang signifikan pada pengguna DMPA pada satu tahun pertama penggunaan metode kontrasepsi.</w:t>
      </w:r>
      <w:r w:rsidRPr="00122FED">
        <w:rPr>
          <w:rFonts w:ascii="Tw Cen MT" w:hAnsi="Tw Cen MT"/>
          <w:sz w:val="24"/>
          <w:szCs w:val="24"/>
          <w:vertAlign w:val="superscript"/>
        </w:rPr>
        <w:t>5</w:t>
      </w:r>
      <w:r w:rsidRPr="00122FED">
        <w:rPr>
          <w:rFonts w:ascii="Tw Cen MT" w:hAnsi="Tw Cen MT"/>
          <w:sz w:val="24"/>
          <w:szCs w:val="24"/>
        </w:rPr>
        <w:t xml:space="preserve"> Penelitian oleh Westhoff </w:t>
      </w:r>
      <w:r w:rsidRPr="00122FED">
        <w:rPr>
          <w:rFonts w:ascii="Tw Cen MT" w:hAnsi="Tw Cen MT"/>
          <w:i/>
          <w:sz w:val="24"/>
          <w:szCs w:val="24"/>
        </w:rPr>
        <w:t>et al</w:t>
      </w:r>
      <w:r w:rsidRPr="00122FED">
        <w:rPr>
          <w:rFonts w:ascii="Tw Cen MT" w:hAnsi="Tw Cen MT"/>
          <w:sz w:val="24"/>
          <w:szCs w:val="24"/>
        </w:rPr>
        <w:t>, (2007) mengemukakan bahwa DMPA berhubungan dengan peningkatan berat badan pada hampir banyak wanita.</w:t>
      </w:r>
      <w:r w:rsidRPr="00122FED">
        <w:rPr>
          <w:rFonts w:ascii="Tw Cen MT" w:hAnsi="Tw Cen MT"/>
          <w:sz w:val="24"/>
          <w:szCs w:val="24"/>
          <w:vertAlign w:val="superscript"/>
        </w:rPr>
        <w:t>4</w:t>
      </w:r>
      <w:r w:rsidRPr="00122FED">
        <w:rPr>
          <w:rFonts w:ascii="Tw Cen MT" w:hAnsi="Tw Cen MT"/>
          <w:sz w:val="24"/>
          <w:szCs w:val="24"/>
        </w:rPr>
        <w:t xml:space="preserve"> Penelitian yang dilakukan oleh MK. Clark (2005) menunjukkan terjadi perubahan  pada komposisi tubuh. Wanita pengguna DMPA mengalami peningkatan yang signifikan berdasarkan semua metode pengukuran kadar</w:t>
      </w:r>
      <w:r w:rsidRPr="00122FED">
        <w:rPr>
          <w:rFonts w:ascii="Tw Cen MT" w:hAnsi="Tw Cen MT"/>
          <w:spacing w:val="-4"/>
          <w:sz w:val="24"/>
          <w:szCs w:val="24"/>
        </w:rPr>
        <w:t xml:space="preserve"> </w:t>
      </w:r>
      <w:r w:rsidRPr="00122FED">
        <w:rPr>
          <w:rFonts w:ascii="Tw Cen MT" w:hAnsi="Tw Cen MT"/>
          <w:sz w:val="24"/>
          <w:szCs w:val="24"/>
        </w:rPr>
        <w:t>lemak.</w:t>
      </w:r>
      <w:r w:rsidRPr="00122FED">
        <w:rPr>
          <w:rFonts w:ascii="Tw Cen MT" w:hAnsi="Tw Cen MT"/>
          <w:sz w:val="24"/>
          <w:szCs w:val="24"/>
          <w:vertAlign w:val="superscript"/>
        </w:rPr>
        <w:t>6</w:t>
      </w:r>
    </w:p>
    <w:p w14:paraId="6A77B962" w14:textId="77777777" w:rsidR="00525631" w:rsidRPr="00122FED" w:rsidRDefault="00525631" w:rsidP="00525631">
      <w:pPr>
        <w:pStyle w:val="BodyText"/>
        <w:tabs>
          <w:tab w:val="left" w:pos="4680"/>
        </w:tabs>
        <w:ind w:left="0" w:right="2" w:firstLine="683"/>
        <w:rPr>
          <w:rFonts w:ascii="Tw Cen MT" w:hAnsi="Tw Cen MT"/>
          <w:sz w:val="24"/>
          <w:szCs w:val="24"/>
        </w:rPr>
      </w:pPr>
      <w:r w:rsidRPr="00122FED">
        <w:rPr>
          <w:rFonts w:ascii="Tw Cen MT" w:hAnsi="Tw Cen MT"/>
          <w:sz w:val="24"/>
          <w:szCs w:val="24"/>
        </w:rPr>
        <w:t xml:space="preserve">Hasil penelitian menunjukkan bahwa mayoritas IMT akseptor DMPA adalah normal  (≥18,5-&lt;24,9 kg/m) yakni sebanyak 55,6%. Namun, akseptor yang mengalami </w:t>
      </w:r>
      <w:r w:rsidRPr="00122FED">
        <w:rPr>
          <w:rFonts w:ascii="Tw Cen MT" w:hAnsi="Tw Cen MT"/>
          <w:i/>
          <w:sz w:val="24"/>
          <w:szCs w:val="24"/>
        </w:rPr>
        <w:t>overweight</w:t>
      </w:r>
      <w:r w:rsidRPr="00122FED">
        <w:rPr>
          <w:rFonts w:ascii="Tw Cen MT" w:hAnsi="Tw Cen MT"/>
          <w:sz w:val="24"/>
          <w:szCs w:val="24"/>
        </w:rPr>
        <w:t>(≥ 25 kg/m)cukup tinggi yakni 44,4 %. Nilai rerata dan standar deviasi berat badan : 57,64±8,37 Kg, tinggi badan 1,5±0,44 m. Hampir seluruh responden mengalami kenaikan berat badan yang cukup</w:t>
      </w:r>
      <w:r w:rsidRPr="00122FED">
        <w:rPr>
          <w:rFonts w:ascii="Tw Cen MT" w:hAnsi="Tw Cen MT"/>
          <w:spacing w:val="-3"/>
          <w:sz w:val="24"/>
          <w:szCs w:val="24"/>
        </w:rPr>
        <w:t xml:space="preserve"> </w:t>
      </w:r>
      <w:r w:rsidRPr="00122FED">
        <w:rPr>
          <w:rFonts w:ascii="Tw Cen MT" w:hAnsi="Tw Cen MT"/>
          <w:sz w:val="24"/>
          <w:szCs w:val="24"/>
        </w:rPr>
        <w:t>bervariasi.</w:t>
      </w:r>
    </w:p>
    <w:p w14:paraId="0E0FD479" w14:textId="77777777" w:rsidR="00525631" w:rsidRPr="00122FED" w:rsidRDefault="00525631" w:rsidP="00D4179D">
      <w:pPr>
        <w:pStyle w:val="BodyText"/>
        <w:tabs>
          <w:tab w:val="left" w:pos="4320"/>
        </w:tabs>
        <w:ind w:left="0" w:firstLine="562"/>
        <w:rPr>
          <w:rFonts w:ascii="Tw Cen MT" w:hAnsi="Tw Cen MT"/>
          <w:sz w:val="24"/>
          <w:szCs w:val="24"/>
        </w:rPr>
      </w:pPr>
    </w:p>
    <w:p w14:paraId="1056E0B4"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b/>
          <w:sz w:val="20"/>
          <w:szCs w:val="20"/>
        </w:rPr>
        <w:t xml:space="preserve">Tabel 4. </w:t>
      </w:r>
      <w:r w:rsidRPr="00122FED">
        <w:rPr>
          <w:rFonts w:ascii="Tw Cen MT" w:hAnsi="Tw Cen MT"/>
          <w:sz w:val="20"/>
          <w:szCs w:val="20"/>
        </w:rPr>
        <w:t>Hubungan Kadar Estradiol dengan Indeks Massa Tubuh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50"/>
        <w:gridCol w:w="1530"/>
        <w:gridCol w:w="630"/>
      </w:tblGrid>
      <w:tr w:rsidR="00D4179D" w:rsidRPr="00122FED" w14:paraId="575F4D5D" w14:textId="77777777" w:rsidTr="002B178A">
        <w:tc>
          <w:tcPr>
            <w:tcW w:w="1548" w:type="dxa"/>
            <w:tcBorders>
              <w:left w:val="nil"/>
              <w:bottom w:val="single" w:sz="4" w:space="0" w:color="auto"/>
              <w:right w:val="nil"/>
            </w:tcBorders>
            <w:shd w:val="clear" w:color="auto" w:fill="auto"/>
          </w:tcPr>
          <w:p w14:paraId="6FF71C73" w14:textId="77777777" w:rsidR="00D4179D" w:rsidRPr="00122FED" w:rsidRDefault="00D4179D" w:rsidP="00D4179D">
            <w:pPr>
              <w:pStyle w:val="BodyText"/>
              <w:tabs>
                <w:tab w:val="left" w:pos="0"/>
              </w:tabs>
              <w:ind w:left="0" w:right="332"/>
              <w:jc w:val="center"/>
              <w:rPr>
                <w:rFonts w:ascii="Tw Cen MT" w:hAnsi="Tw Cen MT"/>
                <w:b/>
                <w:sz w:val="20"/>
                <w:szCs w:val="20"/>
              </w:rPr>
            </w:pPr>
            <w:r w:rsidRPr="00122FED">
              <w:rPr>
                <w:rFonts w:ascii="Tw Cen MT" w:hAnsi="Tw Cen MT"/>
                <w:b/>
                <w:sz w:val="20"/>
                <w:szCs w:val="20"/>
              </w:rPr>
              <w:t>IMT (Kg/m)</w:t>
            </w:r>
          </w:p>
        </w:tc>
        <w:tc>
          <w:tcPr>
            <w:tcW w:w="450" w:type="dxa"/>
            <w:tcBorders>
              <w:left w:val="nil"/>
              <w:bottom w:val="single" w:sz="4" w:space="0" w:color="auto"/>
              <w:right w:val="nil"/>
            </w:tcBorders>
            <w:shd w:val="clear" w:color="auto" w:fill="auto"/>
          </w:tcPr>
          <w:p w14:paraId="760B576B" w14:textId="77777777" w:rsidR="00D4179D" w:rsidRPr="00122FED" w:rsidRDefault="00D4179D" w:rsidP="00D4179D">
            <w:pPr>
              <w:pStyle w:val="BodyText"/>
              <w:ind w:left="0"/>
              <w:jc w:val="center"/>
              <w:rPr>
                <w:rFonts w:ascii="Tw Cen MT" w:hAnsi="Tw Cen MT"/>
                <w:b/>
                <w:sz w:val="20"/>
                <w:szCs w:val="20"/>
              </w:rPr>
            </w:pPr>
            <w:r w:rsidRPr="00122FED">
              <w:rPr>
                <w:rFonts w:ascii="Tw Cen MT" w:hAnsi="Tw Cen MT"/>
                <w:b/>
                <w:sz w:val="20"/>
                <w:szCs w:val="20"/>
              </w:rPr>
              <w:t>n</w:t>
            </w:r>
          </w:p>
        </w:tc>
        <w:tc>
          <w:tcPr>
            <w:tcW w:w="1530" w:type="dxa"/>
            <w:tcBorders>
              <w:left w:val="nil"/>
              <w:bottom w:val="single" w:sz="4" w:space="0" w:color="auto"/>
              <w:right w:val="nil"/>
            </w:tcBorders>
            <w:shd w:val="clear" w:color="auto" w:fill="auto"/>
          </w:tcPr>
          <w:p w14:paraId="2C259696" w14:textId="77777777" w:rsidR="00D4179D" w:rsidRPr="00122FED" w:rsidRDefault="00D4179D" w:rsidP="00D4179D">
            <w:pPr>
              <w:pStyle w:val="BodyText"/>
              <w:ind w:left="0"/>
              <w:jc w:val="center"/>
              <w:rPr>
                <w:rFonts w:ascii="Tw Cen MT" w:hAnsi="Tw Cen MT"/>
                <w:b/>
                <w:sz w:val="20"/>
                <w:szCs w:val="20"/>
              </w:rPr>
            </w:pPr>
            <w:r w:rsidRPr="00122FED">
              <w:rPr>
                <w:rFonts w:ascii="Tw Cen MT" w:hAnsi="Tw Cen MT"/>
                <w:b/>
                <w:sz w:val="20"/>
                <w:szCs w:val="20"/>
              </w:rPr>
              <w:t>Kadar Estradiol</w:t>
            </w:r>
          </w:p>
          <w:p w14:paraId="390ED5EE" w14:textId="77777777" w:rsidR="00D4179D" w:rsidRPr="00122FED" w:rsidRDefault="00D4179D" w:rsidP="00D4179D">
            <w:pPr>
              <w:pStyle w:val="BodyText"/>
              <w:ind w:left="0"/>
              <w:jc w:val="center"/>
              <w:rPr>
                <w:rFonts w:ascii="Tw Cen MT" w:hAnsi="Tw Cen MT"/>
                <w:b/>
                <w:sz w:val="20"/>
                <w:szCs w:val="20"/>
              </w:rPr>
            </w:pPr>
            <w:r w:rsidRPr="00122FED">
              <w:rPr>
                <w:rFonts w:ascii="Tw Cen MT" w:hAnsi="Tw Cen MT"/>
                <w:b/>
                <w:sz w:val="20"/>
                <w:szCs w:val="20"/>
              </w:rPr>
              <w:lastRenderedPageBreak/>
              <w:t>rerata±</w:t>
            </w:r>
            <w:r w:rsidRPr="00122FED">
              <w:rPr>
                <w:rFonts w:ascii="Tw Cen MT" w:hAnsi="Tw Cen MT"/>
                <w:b/>
                <w:spacing w:val="-2"/>
                <w:sz w:val="20"/>
                <w:szCs w:val="20"/>
              </w:rPr>
              <w:t xml:space="preserve"> </w:t>
            </w:r>
            <w:r w:rsidRPr="00122FED">
              <w:rPr>
                <w:rFonts w:ascii="Tw Cen MT" w:hAnsi="Tw Cen MT"/>
                <w:b/>
                <w:sz w:val="20"/>
                <w:szCs w:val="20"/>
              </w:rPr>
              <w:t>SD</w:t>
            </w:r>
          </w:p>
        </w:tc>
        <w:tc>
          <w:tcPr>
            <w:tcW w:w="630" w:type="dxa"/>
            <w:tcBorders>
              <w:left w:val="nil"/>
              <w:bottom w:val="single" w:sz="4" w:space="0" w:color="auto"/>
              <w:right w:val="nil"/>
            </w:tcBorders>
            <w:shd w:val="clear" w:color="auto" w:fill="auto"/>
          </w:tcPr>
          <w:p w14:paraId="0931D259" w14:textId="77777777" w:rsidR="00D4179D" w:rsidRPr="00122FED" w:rsidRDefault="00D4179D" w:rsidP="00D4179D">
            <w:pPr>
              <w:pStyle w:val="BodyText"/>
              <w:ind w:left="0"/>
              <w:jc w:val="center"/>
              <w:rPr>
                <w:rFonts w:ascii="Tw Cen MT" w:hAnsi="Tw Cen MT"/>
                <w:b/>
                <w:sz w:val="20"/>
                <w:szCs w:val="20"/>
              </w:rPr>
            </w:pPr>
            <w:r w:rsidRPr="00122FED">
              <w:rPr>
                <w:rFonts w:ascii="Tw Cen MT" w:hAnsi="Tw Cen MT"/>
                <w:b/>
                <w:sz w:val="20"/>
                <w:szCs w:val="20"/>
              </w:rPr>
              <w:lastRenderedPageBreak/>
              <w:t>P</w:t>
            </w:r>
          </w:p>
        </w:tc>
      </w:tr>
      <w:tr w:rsidR="00D4179D" w:rsidRPr="00122FED" w14:paraId="51192A61" w14:textId="77777777" w:rsidTr="002B178A">
        <w:tc>
          <w:tcPr>
            <w:tcW w:w="1548" w:type="dxa"/>
            <w:tcBorders>
              <w:left w:val="nil"/>
              <w:bottom w:val="single" w:sz="4" w:space="0" w:color="auto"/>
              <w:right w:val="nil"/>
            </w:tcBorders>
            <w:shd w:val="clear" w:color="auto" w:fill="auto"/>
          </w:tcPr>
          <w:p w14:paraId="7E27C8FD" w14:textId="77777777" w:rsidR="00D4179D" w:rsidRPr="00122FED" w:rsidRDefault="00D4179D" w:rsidP="00D4179D">
            <w:pPr>
              <w:pStyle w:val="TableParagraph"/>
              <w:spacing w:before="0"/>
              <w:ind w:left="115"/>
              <w:rPr>
                <w:rFonts w:ascii="Tw Cen MT" w:hAnsi="Tw Cen MT"/>
                <w:sz w:val="20"/>
                <w:szCs w:val="20"/>
              </w:rPr>
            </w:pPr>
            <w:r w:rsidRPr="00122FED">
              <w:rPr>
                <w:rFonts w:ascii="Tw Cen MT" w:hAnsi="Tw Cen MT"/>
                <w:sz w:val="20"/>
                <w:szCs w:val="20"/>
              </w:rPr>
              <w:t xml:space="preserve">Normal </w:t>
            </w:r>
          </w:p>
          <w:p w14:paraId="57569ACE" w14:textId="77777777" w:rsidR="00D4179D" w:rsidRPr="00122FED" w:rsidRDefault="00D4179D" w:rsidP="00D4179D">
            <w:pPr>
              <w:pStyle w:val="TableParagraph"/>
              <w:spacing w:before="0"/>
              <w:ind w:left="115"/>
              <w:rPr>
                <w:rFonts w:ascii="Tw Cen MT" w:hAnsi="Tw Cen MT"/>
                <w:sz w:val="20"/>
                <w:szCs w:val="20"/>
              </w:rPr>
            </w:pPr>
            <w:r w:rsidRPr="00122FED">
              <w:rPr>
                <w:rFonts w:ascii="Tw Cen MT" w:hAnsi="Tw Cen MT"/>
                <w:sz w:val="20"/>
                <w:szCs w:val="20"/>
              </w:rPr>
              <w:t>(≥18,5 -&lt; 24,9)</w:t>
            </w:r>
          </w:p>
        </w:tc>
        <w:tc>
          <w:tcPr>
            <w:tcW w:w="450" w:type="dxa"/>
            <w:tcBorders>
              <w:left w:val="nil"/>
              <w:bottom w:val="single" w:sz="4" w:space="0" w:color="auto"/>
              <w:right w:val="nil"/>
            </w:tcBorders>
            <w:shd w:val="clear" w:color="auto" w:fill="auto"/>
          </w:tcPr>
          <w:p w14:paraId="307DA548"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25</w:t>
            </w:r>
          </w:p>
        </w:tc>
        <w:tc>
          <w:tcPr>
            <w:tcW w:w="1530" w:type="dxa"/>
            <w:tcBorders>
              <w:left w:val="nil"/>
              <w:bottom w:val="single" w:sz="4" w:space="0" w:color="auto"/>
              <w:right w:val="nil"/>
            </w:tcBorders>
            <w:shd w:val="clear" w:color="auto" w:fill="auto"/>
          </w:tcPr>
          <w:p w14:paraId="5F3A89D4"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56,4±19,3</w:t>
            </w:r>
          </w:p>
        </w:tc>
        <w:tc>
          <w:tcPr>
            <w:tcW w:w="630" w:type="dxa"/>
            <w:tcBorders>
              <w:left w:val="nil"/>
              <w:bottom w:val="single" w:sz="4" w:space="0" w:color="auto"/>
              <w:right w:val="nil"/>
            </w:tcBorders>
            <w:shd w:val="clear" w:color="auto" w:fill="auto"/>
          </w:tcPr>
          <w:p w14:paraId="63C67F94"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0,1</w:t>
            </w:r>
          </w:p>
        </w:tc>
      </w:tr>
      <w:tr w:rsidR="00D4179D" w:rsidRPr="00122FED" w14:paraId="3F2EE0EB" w14:textId="77777777" w:rsidTr="002B178A">
        <w:tc>
          <w:tcPr>
            <w:tcW w:w="1548" w:type="dxa"/>
            <w:tcBorders>
              <w:left w:val="nil"/>
              <w:right w:val="nil"/>
            </w:tcBorders>
            <w:shd w:val="clear" w:color="auto" w:fill="auto"/>
          </w:tcPr>
          <w:p w14:paraId="4D7BAE5E" w14:textId="77777777" w:rsidR="00D4179D" w:rsidRPr="00122FED" w:rsidRDefault="00D4179D" w:rsidP="00D4179D">
            <w:pPr>
              <w:pStyle w:val="TableParagraph"/>
              <w:spacing w:before="0"/>
              <w:ind w:left="108"/>
              <w:rPr>
                <w:rFonts w:ascii="Tw Cen MT" w:hAnsi="Tw Cen MT"/>
                <w:i/>
                <w:sz w:val="20"/>
                <w:szCs w:val="20"/>
              </w:rPr>
            </w:pPr>
            <w:r w:rsidRPr="00122FED">
              <w:rPr>
                <w:rFonts w:ascii="Tw Cen MT" w:hAnsi="Tw Cen MT"/>
                <w:i/>
                <w:sz w:val="20"/>
                <w:szCs w:val="20"/>
              </w:rPr>
              <w:t xml:space="preserve">Overweight </w:t>
            </w:r>
          </w:p>
          <w:p w14:paraId="1CDD31E7" w14:textId="77777777" w:rsidR="00D4179D" w:rsidRPr="00122FED" w:rsidRDefault="00D4179D" w:rsidP="00D4179D">
            <w:pPr>
              <w:pStyle w:val="TableParagraph"/>
              <w:spacing w:before="0"/>
              <w:ind w:left="108"/>
              <w:rPr>
                <w:rFonts w:ascii="Tw Cen MT" w:hAnsi="Tw Cen MT"/>
                <w:sz w:val="20"/>
                <w:szCs w:val="20"/>
              </w:rPr>
            </w:pPr>
            <w:r w:rsidRPr="00122FED">
              <w:rPr>
                <w:rFonts w:ascii="Tw Cen MT" w:hAnsi="Tw Cen MT"/>
                <w:sz w:val="20"/>
                <w:szCs w:val="20"/>
              </w:rPr>
              <w:t>(≥ 25)</w:t>
            </w:r>
          </w:p>
        </w:tc>
        <w:tc>
          <w:tcPr>
            <w:tcW w:w="450" w:type="dxa"/>
            <w:tcBorders>
              <w:left w:val="nil"/>
              <w:right w:val="nil"/>
            </w:tcBorders>
            <w:shd w:val="clear" w:color="auto" w:fill="auto"/>
          </w:tcPr>
          <w:p w14:paraId="6CD03804"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20</w:t>
            </w:r>
          </w:p>
        </w:tc>
        <w:tc>
          <w:tcPr>
            <w:tcW w:w="1530" w:type="dxa"/>
            <w:tcBorders>
              <w:left w:val="nil"/>
              <w:right w:val="nil"/>
            </w:tcBorders>
            <w:shd w:val="clear" w:color="auto" w:fill="auto"/>
          </w:tcPr>
          <w:p w14:paraId="0B01EE23" w14:textId="77777777" w:rsidR="00D4179D" w:rsidRPr="00122FED" w:rsidRDefault="00D4179D" w:rsidP="00D4179D">
            <w:pPr>
              <w:pStyle w:val="BodyText"/>
              <w:ind w:left="0"/>
              <w:jc w:val="left"/>
              <w:rPr>
                <w:rFonts w:ascii="Tw Cen MT" w:hAnsi="Tw Cen MT"/>
                <w:sz w:val="20"/>
                <w:szCs w:val="20"/>
              </w:rPr>
            </w:pPr>
            <w:r w:rsidRPr="00122FED">
              <w:rPr>
                <w:rFonts w:ascii="Tw Cen MT" w:hAnsi="Tw Cen MT"/>
                <w:sz w:val="20"/>
                <w:szCs w:val="20"/>
              </w:rPr>
              <w:t>73,3±47,8</w:t>
            </w:r>
          </w:p>
        </w:tc>
        <w:tc>
          <w:tcPr>
            <w:tcW w:w="630" w:type="dxa"/>
            <w:tcBorders>
              <w:left w:val="nil"/>
              <w:right w:val="nil"/>
            </w:tcBorders>
            <w:shd w:val="clear" w:color="auto" w:fill="auto"/>
          </w:tcPr>
          <w:p w14:paraId="641971C8" w14:textId="77777777" w:rsidR="00D4179D" w:rsidRPr="00122FED" w:rsidRDefault="00D4179D" w:rsidP="00D4179D">
            <w:pPr>
              <w:pStyle w:val="BodyText"/>
              <w:ind w:left="0"/>
              <w:jc w:val="left"/>
              <w:rPr>
                <w:rFonts w:ascii="Tw Cen MT" w:hAnsi="Tw Cen MT"/>
                <w:sz w:val="20"/>
                <w:szCs w:val="20"/>
              </w:rPr>
            </w:pPr>
          </w:p>
        </w:tc>
      </w:tr>
    </w:tbl>
    <w:p w14:paraId="04777A5B" w14:textId="77777777" w:rsidR="00D4179D" w:rsidRPr="00122FED" w:rsidRDefault="00D4179D" w:rsidP="00D4179D">
      <w:pPr>
        <w:pStyle w:val="BodyText"/>
        <w:ind w:left="0"/>
        <w:jc w:val="left"/>
        <w:rPr>
          <w:rFonts w:ascii="Tw Cen MT" w:hAnsi="Tw Cen MT"/>
          <w:b/>
          <w:sz w:val="24"/>
          <w:szCs w:val="24"/>
        </w:rPr>
      </w:pPr>
    </w:p>
    <w:p w14:paraId="769DA682" w14:textId="77777777" w:rsidR="00D4179D" w:rsidRPr="00122FED" w:rsidRDefault="00D4179D" w:rsidP="00D4179D">
      <w:pPr>
        <w:pStyle w:val="BodyText"/>
        <w:ind w:left="0" w:firstLine="683"/>
        <w:rPr>
          <w:rFonts w:ascii="Tw Cen MT" w:hAnsi="Tw Cen MT"/>
          <w:sz w:val="24"/>
          <w:szCs w:val="24"/>
        </w:rPr>
      </w:pPr>
      <w:r w:rsidRPr="00122FED">
        <w:rPr>
          <w:rFonts w:ascii="Tw Cen MT" w:hAnsi="Tw Cen MT"/>
          <w:sz w:val="24"/>
          <w:szCs w:val="24"/>
        </w:rPr>
        <w:t xml:space="preserve">Tabel 4 menunjukkan, rerata± SD kadar estradiol 56,4±19,3 pg/mL cenderung memiliki nilai IMT normal. Rerata± SD kadar estradiol 73,3±47,8 pg/mL cenderung </w:t>
      </w:r>
      <w:r w:rsidRPr="00122FED">
        <w:rPr>
          <w:rFonts w:ascii="Tw Cen MT" w:hAnsi="Tw Cen MT"/>
          <w:i/>
          <w:sz w:val="24"/>
          <w:szCs w:val="24"/>
        </w:rPr>
        <w:t>overweight</w:t>
      </w:r>
      <w:r w:rsidRPr="00122FED">
        <w:rPr>
          <w:rFonts w:ascii="Tw Cen MT" w:hAnsi="Tw Cen MT"/>
          <w:sz w:val="24"/>
          <w:szCs w:val="24"/>
        </w:rPr>
        <w:t>. Berdasarkan hasil analisis diskriminan, ditemukan bahwa tidak ada hubungan antara kadar estradiol dengan indeks massa tubuh dengan nilai p=</w:t>
      </w:r>
      <w:r w:rsidRPr="00122FED">
        <w:rPr>
          <w:rFonts w:ascii="Tw Cen MT" w:hAnsi="Tw Cen MT"/>
          <w:spacing w:val="-8"/>
          <w:sz w:val="24"/>
          <w:szCs w:val="24"/>
        </w:rPr>
        <w:t xml:space="preserve"> </w:t>
      </w:r>
      <w:r w:rsidRPr="00122FED">
        <w:rPr>
          <w:rFonts w:ascii="Tw Cen MT" w:hAnsi="Tw Cen MT"/>
          <w:sz w:val="24"/>
          <w:szCs w:val="24"/>
        </w:rPr>
        <w:t>0.1</w:t>
      </w:r>
    </w:p>
    <w:p w14:paraId="1909C4F0" w14:textId="77777777" w:rsidR="00525631" w:rsidRPr="00122FED" w:rsidRDefault="00525631" w:rsidP="00525631">
      <w:pPr>
        <w:pStyle w:val="BodyText"/>
        <w:tabs>
          <w:tab w:val="left" w:pos="4567"/>
        </w:tabs>
        <w:ind w:left="0" w:right="-23" w:firstLine="540"/>
        <w:rPr>
          <w:rFonts w:ascii="Tw Cen MT" w:hAnsi="Tw Cen MT"/>
          <w:sz w:val="24"/>
          <w:szCs w:val="24"/>
        </w:rPr>
      </w:pPr>
      <w:r w:rsidRPr="00122FED">
        <w:rPr>
          <w:rFonts w:ascii="Tw Cen MT" w:hAnsi="Tw Cen MT"/>
          <w:sz w:val="24"/>
          <w:szCs w:val="24"/>
        </w:rPr>
        <w:t xml:space="preserve">Pada saat DMPA disuntikkan dan berdifusi ke sel sel target, merupakan sinyal bagi hipothalamus sehingga hipothalamus mengeluarkan FSHRH, yang merangsang hipofisis anterior untuk mensekresi FSH. Adapun LHRH ditekan akibat pemberian DMPA, sehingga LH tidak disekresi oleh hipofisis </w:t>
      </w:r>
    </w:p>
    <w:p w14:paraId="26D4DA78" w14:textId="77777777" w:rsidR="00525631" w:rsidRPr="00122FED" w:rsidRDefault="00525631" w:rsidP="00525631">
      <w:pPr>
        <w:pStyle w:val="BodyText"/>
        <w:tabs>
          <w:tab w:val="left" w:pos="4567"/>
        </w:tabs>
        <w:ind w:left="0" w:right="-23"/>
        <w:rPr>
          <w:rFonts w:ascii="Tw Cen MT" w:hAnsi="Tw Cen MT"/>
          <w:sz w:val="24"/>
          <w:szCs w:val="24"/>
        </w:rPr>
      </w:pPr>
      <w:r w:rsidRPr="00122FED">
        <w:rPr>
          <w:rFonts w:ascii="Tw Cen MT" w:hAnsi="Tw Cen MT"/>
          <w:sz w:val="24"/>
          <w:szCs w:val="24"/>
        </w:rPr>
        <w:t xml:space="preserve">anterior. </w:t>
      </w:r>
      <w:r w:rsidRPr="00122FED">
        <w:rPr>
          <w:rFonts w:ascii="Tw Cen MT" w:hAnsi="Tw Cen MT"/>
          <w:i/>
          <w:sz w:val="24"/>
          <w:szCs w:val="24"/>
        </w:rPr>
        <w:t xml:space="preserve">Follicle stimulating hormone </w:t>
      </w:r>
      <w:r w:rsidRPr="00122FED">
        <w:rPr>
          <w:rFonts w:ascii="Tw Cen MT" w:hAnsi="Tw Cen MT"/>
          <w:sz w:val="24"/>
          <w:szCs w:val="24"/>
        </w:rPr>
        <w:t>merangsang perkembangan folikel di ovarium. Karena  tidak adanya LH yang disekresi oleh LHRH menyebabkan folikel de graf tidak terbentuk sehingga kadar estrogen menurun/ kurang dari normal.</w:t>
      </w:r>
      <w:r w:rsidRPr="00122FED">
        <w:rPr>
          <w:rFonts w:ascii="Tw Cen MT" w:hAnsi="Tw Cen MT"/>
          <w:sz w:val="24"/>
          <w:szCs w:val="24"/>
          <w:vertAlign w:val="superscript"/>
        </w:rPr>
        <w:t>10,</w:t>
      </w:r>
      <w:r w:rsidRPr="00122FED">
        <w:rPr>
          <w:rFonts w:ascii="Tw Cen MT" w:hAnsi="Tw Cen MT"/>
          <w:spacing w:val="-21"/>
          <w:sz w:val="24"/>
          <w:szCs w:val="24"/>
        </w:rPr>
        <w:t xml:space="preserve"> </w:t>
      </w:r>
      <w:r w:rsidRPr="00122FED">
        <w:rPr>
          <w:rFonts w:ascii="Tw Cen MT" w:hAnsi="Tw Cen MT"/>
          <w:sz w:val="24"/>
          <w:szCs w:val="24"/>
          <w:vertAlign w:val="superscript"/>
        </w:rPr>
        <w:t>11</w:t>
      </w:r>
    </w:p>
    <w:p w14:paraId="4ECDF8AC" w14:textId="77777777" w:rsidR="00525631" w:rsidRPr="00122FED" w:rsidRDefault="00525631" w:rsidP="00525631">
      <w:pPr>
        <w:pStyle w:val="BodyText"/>
        <w:tabs>
          <w:tab w:val="left" w:pos="4567"/>
        </w:tabs>
        <w:ind w:left="0" w:right="67" w:firstLine="683"/>
        <w:rPr>
          <w:rFonts w:ascii="Tw Cen MT" w:hAnsi="Tw Cen MT"/>
          <w:sz w:val="24"/>
          <w:szCs w:val="24"/>
        </w:rPr>
      </w:pPr>
      <w:r w:rsidRPr="00122FED">
        <w:rPr>
          <w:rFonts w:ascii="Tw Cen MT" w:hAnsi="Tw Cen MT"/>
          <w:sz w:val="24"/>
          <w:szCs w:val="24"/>
        </w:rPr>
        <w:t>Estrogen juga terlibat dalam homeostasis energi selain berperan dalam</w:t>
      </w:r>
      <w:r w:rsidRPr="00122FED">
        <w:rPr>
          <w:rFonts w:ascii="Tw Cen MT" w:hAnsi="Tw Cen MT"/>
          <w:spacing w:val="22"/>
          <w:sz w:val="24"/>
          <w:szCs w:val="24"/>
        </w:rPr>
        <w:t xml:space="preserve"> </w:t>
      </w:r>
      <w:r w:rsidRPr="00122FED">
        <w:rPr>
          <w:rFonts w:ascii="Tw Cen MT" w:hAnsi="Tw Cen MT"/>
          <w:sz w:val="24"/>
          <w:szCs w:val="24"/>
        </w:rPr>
        <w:t xml:space="preserve">pertumbuhan, perkembangan dan fungsi reproduksi (Weight </w:t>
      </w:r>
      <w:r w:rsidRPr="00122FED">
        <w:rPr>
          <w:rFonts w:ascii="Tw Cen MT" w:hAnsi="Tw Cen MT"/>
          <w:i/>
          <w:sz w:val="24"/>
          <w:szCs w:val="24"/>
        </w:rPr>
        <w:t>et al</w:t>
      </w:r>
      <w:r w:rsidRPr="00122FED">
        <w:rPr>
          <w:rFonts w:ascii="Tw Cen MT" w:hAnsi="Tw Cen MT"/>
          <w:sz w:val="24"/>
          <w:szCs w:val="24"/>
        </w:rPr>
        <w:t>, 2013).</w:t>
      </w:r>
      <w:r w:rsidRPr="00122FED">
        <w:rPr>
          <w:rFonts w:ascii="Tw Cen MT" w:hAnsi="Tw Cen MT"/>
          <w:sz w:val="24"/>
          <w:szCs w:val="24"/>
          <w:vertAlign w:val="superscript"/>
        </w:rPr>
        <w:t>7</w:t>
      </w:r>
      <w:r w:rsidRPr="00122FED">
        <w:rPr>
          <w:rFonts w:ascii="Tw Cen MT" w:hAnsi="Tw Cen MT"/>
          <w:sz w:val="24"/>
          <w:szCs w:val="24"/>
        </w:rPr>
        <w:t xml:space="preserve"> Estrogen bisa secara tidak langsung mengatur keseimbangan antara lipogenesis dan lipolisis pada jaringan adiposit. Estradiol mempengaruhi metabolisme jaringan adiposa secara tidak langsung oleh karena perubahan ketersediaan enzim substrat, yakni </w:t>
      </w:r>
      <w:r w:rsidRPr="00122FED">
        <w:rPr>
          <w:rFonts w:ascii="Tw Cen MT" w:hAnsi="Tw Cen MT"/>
          <w:i/>
          <w:sz w:val="24"/>
          <w:szCs w:val="24"/>
        </w:rPr>
        <w:t xml:space="preserve">Hormone-sensitive lipase </w:t>
      </w:r>
      <w:r w:rsidRPr="00122FED">
        <w:rPr>
          <w:rFonts w:ascii="Tw Cen MT" w:hAnsi="Tw Cen MT"/>
          <w:sz w:val="24"/>
          <w:szCs w:val="24"/>
        </w:rPr>
        <w:t xml:space="preserve">(HSL). Fungsi HSL adalah untuk menghidrolisis lipid, ikatan ester dari trigliserida untuk menghasilkan asam lemak esensial dan gliserol. Penurunan kadar estradiol mengakibatkan penurunan kadar HSL sehingga menyebabkan penurunan aktivitas lipolisis oleh HSL dengan demikian meningkatkan lipogenesis, </w:t>
      </w:r>
      <w:r w:rsidRPr="00122FED">
        <w:rPr>
          <w:rFonts w:ascii="Tw Cen MT" w:hAnsi="Tw Cen MT"/>
          <w:spacing w:val="2"/>
          <w:sz w:val="24"/>
          <w:szCs w:val="24"/>
        </w:rPr>
        <w:t xml:space="preserve">WAT </w:t>
      </w:r>
      <w:r w:rsidRPr="00122FED">
        <w:rPr>
          <w:rFonts w:ascii="Tw Cen MT" w:hAnsi="Tw Cen MT"/>
          <w:sz w:val="24"/>
          <w:szCs w:val="24"/>
        </w:rPr>
        <w:t>menjadi bertambah</w:t>
      </w:r>
      <w:r w:rsidRPr="00122FED">
        <w:rPr>
          <w:rFonts w:ascii="Tw Cen MT" w:hAnsi="Tw Cen MT"/>
          <w:spacing w:val="-3"/>
          <w:sz w:val="24"/>
          <w:szCs w:val="24"/>
        </w:rPr>
        <w:t xml:space="preserve"> </w:t>
      </w:r>
      <w:r w:rsidRPr="00122FED">
        <w:rPr>
          <w:rFonts w:ascii="Tw Cen MT" w:hAnsi="Tw Cen MT"/>
          <w:sz w:val="24"/>
          <w:szCs w:val="24"/>
        </w:rPr>
        <w:t>banyak.</w:t>
      </w:r>
      <w:r w:rsidRPr="00122FED">
        <w:rPr>
          <w:rFonts w:ascii="Tw Cen MT" w:hAnsi="Tw Cen MT"/>
          <w:sz w:val="24"/>
          <w:szCs w:val="24"/>
          <w:vertAlign w:val="superscript"/>
        </w:rPr>
        <w:t>3</w:t>
      </w:r>
    </w:p>
    <w:p w14:paraId="4EC9B879" w14:textId="77777777" w:rsidR="00525631" w:rsidRPr="00122FED" w:rsidRDefault="00525631" w:rsidP="00525631">
      <w:pPr>
        <w:pStyle w:val="BodyText"/>
        <w:ind w:left="0" w:right="38" w:firstLine="540"/>
        <w:rPr>
          <w:rFonts w:ascii="Tw Cen MT" w:hAnsi="Tw Cen MT"/>
          <w:sz w:val="24"/>
          <w:szCs w:val="24"/>
        </w:rPr>
      </w:pPr>
      <w:r w:rsidRPr="00122FED">
        <w:rPr>
          <w:rFonts w:ascii="Tw Cen MT" w:hAnsi="Tw Cen MT"/>
          <w:sz w:val="24"/>
          <w:szCs w:val="24"/>
        </w:rPr>
        <w:t xml:space="preserve">Penelitian oleh MK Clark menyatakan </w:t>
      </w:r>
      <w:r w:rsidRPr="00122FED">
        <w:rPr>
          <w:rFonts w:ascii="Tw Cen MT" w:hAnsi="Tw Cen MT"/>
          <w:sz w:val="24"/>
          <w:szCs w:val="24"/>
        </w:rPr>
        <w:t>bahwa DMPA mengakibatkan hypoestrogenemia yang berhubungan dengan akumulasi lemak viseral dan peningkatan berat badan pada manusia (Clark, 2005).</w:t>
      </w:r>
      <w:r w:rsidRPr="00122FED">
        <w:rPr>
          <w:rFonts w:ascii="Tw Cen MT" w:hAnsi="Tw Cen MT"/>
          <w:sz w:val="24"/>
          <w:szCs w:val="24"/>
          <w:vertAlign w:val="superscript"/>
        </w:rPr>
        <w:t>6</w:t>
      </w:r>
      <w:r w:rsidRPr="00122FED">
        <w:rPr>
          <w:rFonts w:ascii="Tw Cen MT" w:hAnsi="Tw Cen MT"/>
          <w:sz w:val="24"/>
          <w:szCs w:val="24"/>
        </w:rPr>
        <w:t xml:space="preserve"> Penelitian yang dilakukan lima tahun belakangan ini menemukan bahwa estradiol mengatur metabolisme di tingkat hipotalamus. Salah satunya penelitian oleh Lopez and Tena-Sempere (2016) yang menyatakan bahwa estradiol mengatur metabolisme di tingkat sentral dan perifer. Estradiol mengatur asupan melalui neuron POMC di </w:t>
      </w:r>
      <w:r w:rsidRPr="00122FED">
        <w:rPr>
          <w:rFonts w:ascii="Tw Cen MT" w:hAnsi="Tw Cen MT"/>
          <w:i/>
          <w:sz w:val="24"/>
          <w:szCs w:val="24"/>
        </w:rPr>
        <w:t xml:space="preserve">Arcuate of the Hypothalamus </w:t>
      </w:r>
      <w:r w:rsidRPr="00122FED">
        <w:rPr>
          <w:rFonts w:ascii="Tw Cen MT" w:hAnsi="Tw Cen MT"/>
          <w:sz w:val="24"/>
          <w:szCs w:val="24"/>
        </w:rPr>
        <w:t xml:space="preserve">(ARC) dan memodulasi </w:t>
      </w:r>
      <w:r w:rsidRPr="00122FED">
        <w:rPr>
          <w:rFonts w:ascii="Tw Cen MT" w:hAnsi="Tw Cen MT"/>
          <w:i/>
          <w:sz w:val="24"/>
          <w:szCs w:val="24"/>
        </w:rPr>
        <w:t xml:space="preserve">thermogenic programme </w:t>
      </w:r>
      <w:r w:rsidRPr="00122FED">
        <w:rPr>
          <w:rFonts w:ascii="Tw Cen MT" w:hAnsi="Tw Cen MT"/>
          <w:sz w:val="24"/>
          <w:szCs w:val="24"/>
        </w:rPr>
        <w:t>di jaringan adiposit coklat melalui AMP-</w:t>
      </w:r>
      <w:r w:rsidRPr="00122FED">
        <w:rPr>
          <w:rFonts w:ascii="Tw Cen MT" w:hAnsi="Tw Cen MT"/>
          <w:i/>
          <w:sz w:val="24"/>
          <w:szCs w:val="24"/>
        </w:rPr>
        <w:t xml:space="preserve">activated protein kinase </w:t>
      </w:r>
      <w:r w:rsidRPr="00122FED">
        <w:rPr>
          <w:rFonts w:ascii="Tw Cen MT" w:hAnsi="Tw Cen MT"/>
          <w:sz w:val="24"/>
          <w:szCs w:val="24"/>
        </w:rPr>
        <w:t xml:space="preserve">(AMPK) di </w:t>
      </w:r>
      <w:r w:rsidRPr="00122FED">
        <w:rPr>
          <w:rFonts w:ascii="Tw Cen MT" w:hAnsi="Tw Cen MT"/>
          <w:i/>
          <w:sz w:val="24"/>
          <w:szCs w:val="24"/>
        </w:rPr>
        <w:t xml:space="preserve">Ventromedial Nucleus of the Hypothalamus </w:t>
      </w:r>
      <w:r w:rsidRPr="00122FED">
        <w:rPr>
          <w:rFonts w:ascii="Tw Cen MT" w:hAnsi="Tw Cen MT"/>
          <w:sz w:val="24"/>
          <w:szCs w:val="24"/>
        </w:rPr>
        <w:t>(VMH).</w:t>
      </w:r>
      <w:r w:rsidRPr="00122FED">
        <w:rPr>
          <w:rFonts w:ascii="Tw Cen MT" w:hAnsi="Tw Cen MT"/>
          <w:sz w:val="24"/>
          <w:szCs w:val="24"/>
          <w:vertAlign w:val="superscript"/>
        </w:rPr>
        <w:t>16</w:t>
      </w:r>
    </w:p>
    <w:p w14:paraId="2BB6D991" w14:textId="77777777" w:rsidR="00525631" w:rsidRPr="00122FED" w:rsidRDefault="00525631" w:rsidP="00645525">
      <w:pPr>
        <w:pStyle w:val="BodyText"/>
        <w:ind w:left="0" w:right="40" w:firstLine="566"/>
        <w:rPr>
          <w:rFonts w:ascii="Tw Cen MT" w:hAnsi="Tw Cen MT"/>
          <w:sz w:val="24"/>
          <w:szCs w:val="24"/>
        </w:rPr>
      </w:pPr>
      <w:r w:rsidRPr="00122FED">
        <w:rPr>
          <w:rFonts w:ascii="Tw Cen MT" w:hAnsi="Tw Cen MT"/>
          <w:sz w:val="24"/>
          <w:szCs w:val="24"/>
        </w:rPr>
        <w:t>Hasil penelitian ini sejalan dengan penelitian Razali (2008) yang menyatakan bahwa, tidak ada hubungan antara kadar estradiol dengan indeks massa tubuh dengan nilai p= 0,751.</w:t>
      </w:r>
      <w:r w:rsidRPr="00122FED">
        <w:rPr>
          <w:rFonts w:ascii="Tw Cen MT" w:hAnsi="Tw Cen MT"/>
          <w:sz w:val="24"/>
          <w:szCs w:val="24"/>
          <w:vertAlign w:val="superscript"/>
        </w:rPr>
        <w:t>13</w:t>
      </w:r>
      <w:r w:rsidRPr="00122FED">
        <w:rPr>
          <w:rFonts w:ascii="Tw Cen MT" w:hAnsi="Tw Cen MT"/>
          <w:sz w:val="24"/>
          <w:szCs w:val="24"/>
        </w:rPr>
        <w:t xml:space="preserve"> Penelitian oleh MK Clark (2005) juga menyatakan tidak ada hubungan antara kadar estradiol dengan indeks massa tubuh dengan nilai</w:t>
      </w:r>
      <w:r w:rsidRPr="00122FED">
        <w:rPr>
          <w:rFonts w:ascii="Tw Cen MT" w:hAnsi="Tw Cen MT"/>
          <w:spacing w:val="-3"/>
          <w:sz w:val="24"/>
          <w:szCs w:val="24"/>
        </w:rPr>
        <w:t xml:space="preserve"> </w:t>
      </w:r>
      <w:r w:rsidRPr="00122FED">
        <w:rPr>
          <w:rFonts w:ascii="Tw Cen MT" w:hAnsi="Tw Cen MT"/>
          <w:sz w:val="24"/>
          <w:szCs w:val="24"/>
        </w:rPr>
        <w:t>p=0,08.</w:t>
      </w:r>
      <w:r w:rsidRPr="00122FED">
        <w:rPr>
          <w:rFonts w:ascii="Tw Cen MT" w:hAnsi="Tw Cen MT"/>
          <w:sz w:val="24"/>
          <w:szCs w:val="24"/>
          <w:vertAlign w:val="superscript"/>
        </w:rPr>
        <w:t>6</w:t>
      </w:r>
    </w:p>
    <w:p w14:paraId="20C560D3" w14:textId="77777777" w:rsidR="00525631" w:rsidRPr="00122FED" w:rsidRDefault="00525631" w:rsidP="00645525">
      <w:pPr>
        <w:pStyle w:val="BodyText"/>
        <w:tabs>
          <w:tab w:val="left" w:pos="4410"/>
        </w:tabs>
        <w:ind w:left="0"/>
        <w:rPr>
          <w:rFonts w:ascii="Tw Cen MT" w:hAnsi="Tw Cen MT"/>
          <w:sz w:val="24"/>
          <w:szCs w:val="24"/>
        </w:rPr>
      </w:pPr>
      <w:r w:rsidRPr="00122FED">
        <w:rPr>
          <w:rFonts w:ascii="Tw Cen MT" w:hAnsi="Tw Cen MT"/>
          <w:sz w:val="24"/>
          <w:szCs w:val="24"/>
        </w:rPr>
        <w:t xml:space="preserve">Tidak terdapatnya hubungan antara kadar estradiol dan indeks massa tubuh dapat disebabkan oleh beberapa faktor. Pada wanita, kelenjar adrenal juga </w:t>
      </w:r>
    </w:p>
    <w:p w14:paraId="4F204DA0" w14:textId="77777777" w:rsidR="00525631" w:rsidRPr="00122FED" w:rsidRDefault="00525631" w:rsidP="00645525">
      <w:pPr>
        <w:pStyle w:val="BodyText"/>
        <w:tabs>
          <w:tab w:val="left" w:pos="4410"/>
        </w:tabs>
        <w:ind w:left="0" w:right="182"/>
        <w:rPr>
          <w:rFonts w:ascii="Tw Cen MT" w:hAnsi="Tw Cen MT"/>
          <w:sz w:val="24"/>
          <w:szCs w:val="24"/>
        </w:rPr>
      </w:pPr>
      <w:r w:rsidRPr="00122FED">
        <w:rPr>
          <w:rFonts w:ascii="Tw Cen MT" w:hAnsi="Tw Cen MT"/>
          <w:sz w:val="24"/>
          <w:szCs w:val="24"/>
        </w:rPr>
        <w:t xml:space="preserve">dapat mensintesis estrogen. P450 memediasi aromatisasi androgen menjadi estrogen bebas yang bekerja di kulit dan sel- sel lemak, sehingga estrogen tetap ada. Walaupun hanya sedikit estrogen yang diproduksi, tetapi bisa berkontribusi untuk fungsi estradiol di sirkulasi. Sehingga wanita yang gemuk (jaringan adiposit lebih banyak) memiliki kadarestradiol lebih banyak Adanya peran progesteron juga dapat menjadi faktor lain. </w:t>
      </w:r>
      <w:r w:rsidRPr="00122FED">
        <w:rPr>
          <w:rFonts w:ascii="Tw Cen MT" w:hAnsi="Tw Cen MT"/>
          <w:sz w:val="24"/>
          <w:szCs w:val="24"/>
          <w:vertAlign w:val="superscript"/>
        </w:rPr>
        <w:t>17</w:t>
      </w:r>
    </w:p>
    <w:p w14:paraId="254EDE33" w14:textId="77777777" w:rsidR="00525631" w:rsidRPr="00122FED" w:rsidRDefault="00525631" w:rsidP="00645525">
      <w:pPr>
        <w:pStyle w:val="BodyText"/>
        <w:ind w:left="0" w:right="187" w:firstLine="547"/>
        <w:rPr>
          <w:rFonts w:ascii="Tw Cen MT" w:hAnsi="Tw Cen MT"/>
          <w:sz w:val="24"/>
          <w:szCs w:val="24"/>
        </w:rPr>
      </w:pPr>
      <w:r w:rsidRPr="00122FED">
        <w:rPr>
          <w:rFonts w:ascii="Tw Cen MT" w:hAnsi="Tw Cen MT"/>
          <w:sz w:val="24"/>
          <w:szCs w:val="24"/>
        </w:rPr>
        <w:t xml:space="preserve">Kontrasepsi DMPA adalah kontrasepsi yang berisikan hanya progesteron. Pada saat DMPA masuk ke dalam tubuh, disampaikan sinyal ke hypothalamus, hypothalamus mensekresi </w:t>
      </w:r>
      <w:r w:rsidRPr="00122FED">
        <w:rPr>
          <w:rFonts w:ascii="Tw Cen MT" w:hAnsi="Tw Cen MT"/>
          <w:i/>
          <w:sz w:val="24"/>
          <w:szCs w:val="24"/>
        </w:rPr>
        <w:t xml:space="preserve">corticotrophin releasing hormone </w:t>
      </w:r>
      <w:r w:rsidRPr="00122FED">
        <w:rPr>
          <w:rFonts w:ascii="Tw Cen MT" w:hAnsi="Tw Cen MT"/>
          <w:sz w:val="24"/>
          <w:szCs w:val="24"/>
        </w:rPr>
        <w:t xml:space="preserve">(CRH) yang bersama dengan vasopressin bekerja sinergis untuk merangsang sel- sel kortikotropin agar mengeluarkan ACTH. Sebagai respon, sel- sel yang terdapat di </w:t>
      </w:r>
      <w:r w:rsidRPr="00122FED">
        <w:rPr>
          <w:rFonts w:ascii="Tw Cen MT" w:hAnsi="Tw Cen MT"/>
          <w:sz w:val="24"/>
          <w:szCs w:val="24"/>
        </w:rPr>
        <w:lastRenderedPageBreak/>
        <w:t>korteks adrenal mensintesis dan mensekresi glukokortioid. Salah satu biosintesis steroid di korteks adrenal adalah 21 carbon steroid, progesteron sebagai prekursor dari steroid 21 carbon lainnya seperti aldosteron, kortisol dan</w:t>
      </w:r>
      <w:r w:rsidRPr="00122FED">
        <w:rPr>
          <w:rFonts w:ascii="Tw Cen MT" w:hAnsi="Tw Cen MT"/>
        </w:rPr>
        <w:t xml:space="preserve"> </w:t>
      </w:r>
      <w:r w:rsidRPr="00122FED">
        <w:rPr>
          <w:rFonts w:ascii="Tw Cen MT" w:hAnsi="Tw Cen MT"/>
          <w:sz w:val="24"/>
          <w:szCs w:val="24"/>
        </w:rPr>
        <w:t>deoksikortikosteron. Kortisol dihasilkan melalui hidroksilasi pada C-17.</w:t>
      </w:r>
      <w:r w:rsidRPr="00122FED">
        <w:rPr>
          <w:rFonts w:ascii="Tw Cen MT" w:hAnsi="Tw Cen MT"/>
          <w:sz w:val="24"/>
          <w:szCs w:val="24"/>
          <w:vertAlign w:val="superscript"/>
        </w:rPr>
        <w:t>18</w:t>
      </w:r>
      <w:r w:rsidRPr="00122FED">
        <w:rPr>
          <w:rFonts w:ascii="Tw Cen MT" w:hAnsi="Tw Cen MT"/>
          <w:sz w:val="24"/>
          <w:szCs w:val="24"/>
        </w:rPr>
        <w:t xml:space="preserve"> Glukokortikoid mempunyai efek utama, yakni glukoneogenesis (pembentukan glukosa dari protein dan beberapa zat lain oleh hati) meningkatkan konsentrasi glukosa darah. Efek glukoneogenesis ini mengakibatkan peningkatan jumlah penyimpanan glikogen dalam sel hati.Kortisol juga dapat menyebabkan penurunan kecepatan pemakaian glukosa oleh sebagial besar sel tubuh. Dua efek tersebut dapat meningkatkan konsentrasi gula darah.</w:t>
      </w:r>
      <w:r w:rsidRPr="00122FED">
        <w:rPr>
          <w:rFonts w:ascii="Tw Cen MT" w:hAnsi="Tw Cen MT"/>
          <w:sz w:val="24"/>
          <w:szCs w:val="24"/>
          <w:vertAlign w:val="superscript"/>
        </w:rPr>
        <w:t>11</w:t>
      </w:r>
    </w:p>
    <w:p w14:paraId="5DAF13A8" w14:textId="77777777" w:rsidR="00525631" w:rsidRPr="00122FED" w:rsidRDefault="00525631" w:rsidP="00645525">
      <w:pPr>
        <w:pStyle w:val="BodyText"/>
        <w:tabs>
          <w:tab w:val="left" w:pos="4500"/>
        </w:tabs>
        <w:ind w:left="0" w:right="182" w:firstLine="540"/>
        <w:rPr>
          <w:rFonts w:ascii="Tw Cen MT" w:hAnsi="Tw Cen MT"/>
          <w:sz w:val="24"/>
          <w:szCs w:val="24"/>
        </w:rPr>
      </w:pPr>
      <w:r w:rsidRPr="00122FED">
        <w:rPr>
          <w:rFonts w:ascii="Tw Cen MT" w:hAnsi="Tw Cen MT"/>
          <w:sz w:val="24"/>
          <w:szCs w:val="24"/>
        </w:rPr>
        <w:t>Selain hal tersebut, kortisol dapat mengaktivasi ghrelin dengan mempengaruhi nukleus lateral hipotalamus untuk meningkatkan nafsu makan (</w:t>
      </w:r>
      <w:r w:rsidRPr="00122FED">
        <w:rPr>
          <w:rFonts w:ascii="Tw Cen MT" w:hAnsi="Tw Cen MT"/>
          <w:i/>
          <w:sz w:val="24"/>
          <w:szCs w:val="24"/>
        </w:rPr>
        <w:t>appetite</w:t>
      </w:r>
      <w:r w:rsidRPr="00122FED">
        <w:rPr>
          <w:rFonts w:ascii="Tw Cen MT" w:hAnsi="Tw Cen MT"/>
          <w:sz w:val="24"/>
          <w:szCs w:val="24"/>
        </w:rPr>
        <w:t>).</w:t>
      </w:r>
      <w:r w:rsidRPr="00122FED">
        <w:rPr>
          <w:rFonts w:ascii="Tw Cen MT" w:hAnsi="Tw Cen MT"/>
          <w:sz w:val="24"/>
          <w:szCs w:val="24"/>
          <w:vertAlign w:val="superscript"/>
        </w:rPr>
        <w:t>11</w:t>
      </w:r>
      <w:r w:rsidRPr="00122FED">
        <w:rPr>
          <w:rFonts w:ascii="Tw Cen MT" w:hAnsi="Tw Cen MT"/>
          <w:sz w:val="24"/>
          <w:szCs w:val="24"/>
        </w:rPr>
        <w:t xml:space="preserve"> Beberapa peneliti menduga bahwa ada keterkaitan antara kortisol dengan ghrelin dan NPY. Peningkatan kadar ghrelin menstimulasi pelepasan NPY/AgRP yang menyebabkan peningkatan nafsu makan dan menurunkan pemakaian energi. Peningkatan nafsu makan akan meningkatkan asupan makanan, yang akan menyebabkan berat badan meningkat. </w:t>
      </w:r>
      <w:r w:rsidRPr="00122FED">
        <w:rPr>
          <w:rFonts w:ascii="Tw Cen MT" w:hAnsi="Tw Cen MT"/>
          <w:sz w:val="24"/>
          <w:szCs w:val="24"/>
          <w:vertAlign w:val="superscript"/>
        </w:rPr>
        <w:t>19</w:t>
      </w:r>
    </w:p>
    <w:p w14:paraId="2091F8AA" w14:textId="77777777" w:rsidR="00525631" w:rsidRPr="00122FED" w:rsidRDefault="00525631" w:rsidP="00645525">
      <w:pPr>
        <w:pStyle w:val="BodyText"/>
        <w:tabs>
          <w:tab w:val="left" w:pos="4410"/>
        </w:tabs>
        <w:ind w:left="0" w:right="182"/>
        <w:rPr>
          <w:rFonts w:ascii="Tw Cen MT" w:hAnsi="Tw Cen MT"/>
          <w:sz w:val="24"/>
          <w:szCs w:val="24"/>
        </w:rPr>
      </w:pPr>
      <w:r w:rsidRPr="00122FED">
        <w:rPr>
          <w:rFonts w:ascii="Tw Cen MT" w:hAnsi="Tw Cen MT"/>
          <w:sz w:val="24"/>
          <w:szCs w:val="24"/>
        </w:rPr>
        <w:t xml:space="preserve">Selain hal tersebut, responden yang dilibatkan pada penelitian ini memiliki karakteristik yang cukup beragam dari faktor umur responden, lama penggunaan DMPA dan waktu pengambilan sampel </w:t>
      </w:r>
    </w:p>
    <w:p w14:paraId="1AFD4310" w14:textId="77777777" w:rsidR="00525631" w:rsidRPr="00122FED" w:rsidRDefault="00525631" w:rsidP="00645525">
      <w:pPr>
        <w:pStyle w:val="BodyText"/>
        <w:ind w:left="0" w:right="38"/>
        <w:rPr>
          <w:rFonts w:ascii="Tw Cen MT" w:hAnsi="Tw Cen MT"/>
          <w:sz w:val="24"/>
          <w:szCs w:val="24"/>
        </w:rPr>
      </w:pPr>
      <w:r w:rsidRPr="00122FED">
        <w:rPr>
          <w:rFonts w:ascii="Tw Cen MT" w:hAnsi="Tw Cen MT"/>
          <w:sz w:val="24"/>
          <w:szCs w:val="24"/>
        </w:rPr>
        <w:t>darah.Umur minimum responden adalah 22 tahun, sedangkan umur maksimum 48 tahun. Adapun  standar deviasi umur 6,5 tahun. Variasi umur didukung dengan lama penggunaan yang bervariasi pula diperkirakan turut mempengaruhi nilai kadar estradiol. Lama penggunaan minimum adalah 15 bulan</w:t>
      </w:r>
      <w:r w:rsidRPr="00122FED">
        <w:rPr>
          <w:rFonts w:ascii="Tw Cen MT" w:hAnsi="Tw Cen MT"/>
          <w:spacing w:val="1"/>
          <w:sz w:val="24"/>
          <w:szCs w:val="24"/>
        </w:rPr>
        <w:t xml:space="preserve"> </w:t>
      </w:r>
      <w:r w:rsidRPr="00122FED">
        <w:rPr>
          <w:rFonts w:ascii="Tw Cen MT" w:hAnsi="Tw Cen MT"/>
          <w:sz w:val="24"/>
          <w:szCs w:val="24"/>
        </w:rPr>
        <w:t xml:space="preserve">dan lama penggunaan maksimum 192 bulan. Standar deviasi 39,7 bulan, terlihatcukup jauh jaraknya. Waktu </w:t>
      </w:r>
      <w:r w:rsidRPr="00122FED">
        <w:rPr>
          <w:rFonts w:ascii="Tw Cen MT" w:hAnsi="Tw Cen MT"/>
          <w:sz w:val="24"/>
          <w:szCs w:val="24"/>
        </w:rPr>
        <w:t xml:space="preserve">pengambilan sampel darah pun tidak sama, karena keterbatasan waktu yang dimiliki peneliti. Sehingga </w:t>
      </w:r>
      <w:r w:rsidRPr="00122FED">
        <w:rPr>
          <w:rFonts w:ascii="Tw Cen MT" w:hAnsi="Tw Cen MT"/>
          <w:i/>
          <w:sz w:val="24"/>
          <w:szCs w:val="24"/>
        </w:rPr>
        <w:t xml:space="preserve">diurnal circadian </w:t>
      </w:r>
      <w:r w:rsidRPr="00122FED">
        <w:rPr>
          <w:rFonts w:ascii="Tw Cen MT" w:hAnsi="Tw Cen MT"/>
          <w:sz w:val="24"/>
          <w:szCs w:val="24"/>
        </w:rPr>
        <w:t>tidak diminimalisir. Pengambilan sampel darah ada yang dilakukan pada pukul 09.00-</w:t>
      </w:r>
    </w:p>
    <w:p w14:paraId="01028439" w14:textId="77777777" w:rsidR="00525631" w:rsidRPr="00122FED" w:rsidRDefault="00525631" w:rsidP="00645525">
      <w:pPr>
        <w:pStyle w:val="BodyText"/>
        <w:ind w:left="0" w:right="46"/>
        <w:rPr>
          <w:rFonts w:ascii="Tw Cen MT" w:hAnsi="Tw Cen MT"/>
          <w:sz w:val="24"/>
          <w:szCs w:val="24"/>
        </w:rPr>
      </w:pPr>
      <w:r w:rsidRPr="00122FED">
        <w:rPr>
          <w:rFonts w:ascii="Tw Cen MT" w:hAnsi="Tw Cen MT"/>
          <w:sz w:val="24"/>
          <w:szCs w:val="24"/>
        </w:rPr>
        <w:t>11.00 dan ada pula yang dilakukan di siang/ sore hari, yakni sekitar jam 14.00-17.30 WIB.</w:t>
      </w:r>
    </w:p>
    <w:p w14:paraId="58973627" w14:textId="77777777" w:rsidR="00525631" w:rsidRPr="00122FED" w:rsidRDefault="00525631" w:rsidP="00645525">
      <w:pPr>
        <w:pStyle w:val="BodyText"/>
        <w:ind w:left="0" w:right="38" w:firstLine="540"/>
        <w:rPr>
          <w:rFonts w:ascii="Tw Cen MT" w:hAnsi="Tw Cen MT"/>
          <w:sz w:val="24"/>
          <w:szCs w:val="24"/>
        </w:rPr>
      </w:pPr>
      <w:r w:rsidRPr="00122FED">
        <w:rPr>
          <w:rFonts w:ascii="Tw Cen MT" w:hAnsi="Tw Cen MT"/>
          <w:sz w:val="24"/>
          <w:szCs w:val="24"/>
        </w:rPr>
        <w:t xml:space="preserve">Pada penelitian ini dilakukan penilaian asupan makanan responden menggunakan </w:t>
      </w:r>
      <w:r w:rsidRPr="00122FED">
        <w:rPr>
          <w:rFonts w:ascii="Tw Cen MT" w:hAnsi="Tw Cen MT"/>
          <w:i/>
          <w:sz w:val="24"/>
          <w:szCs w:val="24"/>
        </w:rPr>
        <w:t>semi quantitative</w:t>
      </w:r>
      <w:r w:rsidRPr="00122FED">
        <w:rPr>
          <w:rFonts w:ascii="Tw Cen MT" w:hAnsi="Tw Cen MT"/>
          <w:sz w:val="24"/>
          <w:szCs w:val="24"/>
        </w:rPr>
        <w:t xml:space="preserve">- </w:t>
      </w:r>
      <w:r w:rsidRPr="00122FED">
        <w:rPr>
          <w:rFonts w:ascii="Tw Cen MT" w:hAnsi="Tw Cen MT"/>
          <w:i/>
          <w:sz w:val="24"/>
          <w:szCs w:val="24"/>
        </w:rPr>
        <w:t xml:space="preserve">food frequency questioner </w:t>
      </w:r>
      <w:r w:rsidRPr="00122FED">
        <w:rPr>
          <w:rFonts w:ascii="Tw Cen MT" w:hAnsi="Tw Cen MT"/>
          <w:sz w:val="24"/>
          <w:szCs w:val="24"/>
        </w:rPr>
        <w:t>(sq-ffq). Berdasarkan perhitungan, asupan makan responden tergolong normal (sesuai Angka Kecukupan Gizi 2013). Dapat diasumsikan hormon ghrelin dan NPY tidak begitu berperan pada responden.Penilaian stress juga dilakukan pada sampel penelitian ini dengan menggunakan kuesioner DASS. Hasilnya seluruh responden dinyatakan dalam keadaan normal/ tidak stress.</w:t>
      </w:r>
    </w:p>
    <w:p w14:paraId="3C055FE5" w14:textId="77777777" w:rsidR="00525631" w:rsidRPr="00122FED" w:rsidRDefault="00525631" w:rsidP="00D4179D">
      <w:pPr>
        <w:pStyle w:val="BodyText"/>
        <w:ind w:left="0" w:firstLine="683"/>
        <w:rPr>
          <w:rFonts w:ascii="Tw Cen MT" w:hAnsi="Tw Cen MT"/>
          <w:sz w:val="24"/>
          <w:szCs w:val="24"/>
        </w:rPr>
      </w:pPr>
    </w:p>
    <w:p w14:paraId="353C9E72" w14:textId="77777777" w:rsidR="00B45DCC" w:rsidRPr="00122FED" w:rsidRDefault="00B45DCC" w:rsidP="00D4179D">
      <w:pPr>
        <w:pStyle w:val="BodyText"/>
        <w:ind w:left="0" w:firstLine="683"/>
        <w:rPr>
          <w:rFonts w:ascii="Tw Cen MT" w:hAnsi="Tw Cen MT"/>
          <w:sz w:val="24"/>
          <w:szCs w:val="24"/>
        </w:rPr>
      </w:pPr>
    </w:p>
    <w:p w14:paraId="7197557A" w14:textId="77777777" w:rsidR="00736F53" w:rsidRPr="00122FED" w:rsidRDefault="007E2FAB">
      <w:pPr>
        <w:spacing w:after="0" w:line="240" w:lineRule="auto"/>
        <w:jc w:val="both"/>
        <w:rPr>
          <w:rFonts w:ascii="Tw Cen MT" w:eastAsia="Twentieth Century" w:hAnsi="Tw Cen MT" w:cs="Twentieth Century"/>
        </w:rPr>
      </w:pPr>
      <w:r w:rsidRPr="00122FED">
        <w:rPr>
          <w:rFonts w:ascii="Tw Cen MT" w:eastAsia="Twentieth Century" w:hAnsi="Tw Cen MT" w:cs="Twentieth Century"/>
          <w:b/>
          <w:sz w:val="24"/>
          <w:szCs w:val="24"/>
        </w:rPr>
        <w:t>SIMPULAN</w:t>
      </w:r>
    </w:p>
    <w:p w14:paraId="55B70FE5" w14:textId="77777777" w:rsidR="00736F53" w:rsidRPr="00122FED" w:rsidRDefault="00D4179D">
      <w:pPr>
        <w:spacing w:line="240" w:lineRule="auto"/>
        <w:jc w:val="both"/>
        <w:rPr>
          <w:rFonts w:ascii="Tw Cen MT" w:eastAsia="Twentieth Century" w:hAnsi="Tw Cen MT" w:cs="Twentieth Century"/>
          <w:sz w:val="24"/>
          <w:szCs w:val="24"/>
        </w:rPr>
      </w:pPr>
      <w:r w:rsidRPr="00122FED">
        <w:rPr>
          <w:rFonts w:ascii="Tw Cen MT" w:hAnsi="Tw Cen MT"/>
          <w:sz w:val="24"/>
          <w:szCs w:val="24"/>
        </w:rPr>
        <w:t xml:space="preserve">Berdasarkan hasil penelitian, didapatkan bahwa tidak ada hubungan antara kadar estradiol dengan Indeks Massa Tubuh dengan nilai p= 0,1. Rerata± SD kadar estradiol 56,4± 19,3 pg/mL cenderung memiliki nilai IMT normal. Rerata± SD kadar estradiol 73,3± 47,8 pg/mL cenderung </w:t>
      </w:r>
      <w:r w:rsidRPr="00122FED">
        <w:rPr>
          <w:rFonts w:ascii="Tw Cen MT" w:hAnsi="Tw Cen MT"/>
          <w:i/>
          <w:sz w:val="24"/>
          <w:szCs w:val="24"/>
        </w:rPr>
        <w:t>overweight</w:t>
      </w:r>
    </w:p>
    <w:p w14:paraId="6AE9B7A7" w14:textId="77777777" w:rsidR="00736F53" w:rsidRPr="00122FED" w:rsidRDefault="007E2FAB">
      <w:pPr>
        <w:tabs>
          <w:tab w:val="left" w:pos="426"/>
        </w:tabs>
        <w:spacing w:after="0" w:line="240" w:lineRule="auto"/>
        <w:jc w:val="both"/>
        <w:rPr>
          <w:rFonts w:ascii="Tw Cen MT" w:eastAsia="Twentieth Century" w:hAnsi="Tw Cen MT" w:cs="Twentieth Century"/>
          <w:b/>
          <w:sz w:val="24"/>
          <w:szCs w:val="24"/>
        </w:rPr>
      </w:pPr>
      <w:r w:rsidRPr="00122FED">
        <w:rPr>
          <w:rFonts w:ascii="Tw Cen MT" w:eastAsia="Twentieth Century" w:hAnsi="Tw Cen MT" w:cs="Twentieth Century"/>
          <w:b/>
          <w:sz w:val="24"/>
          <w:szCs w:val="24"/>
        </w:rPr>
        <w:t xml:space="preserve">UCAPAN TERIMA KASIH </w:t>
      </w:r>
    </w:p>
    <w:p w14:paraId="23377E5A" w14:textId="77777777" w:rsidR="00736F53" w:rsidRPr="00122FED" w:rsidRDefault="00D4179D">
      <w:pPr>
        <w:spacing w:after="0" w:line="240" w:lineRule="auto"/>
        <w:jc w:val="both"/>
        <w:rPr>
          <w:rFonts w:ascii="Tw Cen MT" w:hAnsi="Tw Cen MT"/>
          <w:sz w:val="24"/>
          <w:szCs w:val="24"/>
        </w:rPr>
      </w:pPr>
      <w:r w:rsidRPr="00122FED">
        <w:rPr>
          <w:rFonts w:ascii="Tw Cen MT" w:hAnsi="Tw Cen MT"/>
          <w:sz w:val="24"/>
          <w:szCs w:val="24"/>
        </w:rPr>
        <w:t>Terima kasih atas kontribusi dari semua pihak sehingga penelitian ini dapat diselesaikan</w:t>
      </w:r>
    </w:p>
    <w:p w14:paraId="22F6FFC4" w14:textId="77777777" w:rsidR="00D4179D" w:rsidRPr="00122FED" w:rsidRDefault="00D4179D">
      <w:pPr>
        <w:spacing w:after="0" w:line="240" w:lineRule="auto"/>
        <w:jc w:val="both"/>
        <w:rPr>
          <w:rFonts w:ascii="Tw Cen MT" w:eastAsia="Twentieth Century" w:hAnsi="Tw Cen MT" w:cs="Twentieth Century"/>
          <w:b/>
          <w:sz w:val="24"/>
          <w:szCs w:val="24"/>
        </w:rPr>
      </w:pPr>
    </w:p>
    <w:p w14:paraId="78BEB719" w14:textId="77777777" w:rsidR="00736F53" w:rsidRPr="00122FED" w:rsidRDefault="007E2FAB">
      <w:pPr>
        <w:tabs>
          <w:tab w:val="left" w:pos="426"/>
        </w:tabs>
        <w:spacing w:after="0" w:line="240" w:lineRule="auto"/>
        <w:jc w:val="both"/>
        <w:rPr>
          <w:rFonts w:ascii="Tw Cen MT" w:eastAsia="Twentieth Century" w:hAnsi="Tw Cen MT" w:cs="Twentieth Century"/>
          <w:b/>
          <w:sz w:val="24"/>
          <w:szCs w:val="24"/>
        </w:rPr>
      </w:pPr>
      <w:r w:rsidRPr="00122FED">
        <w:rPr>
          <w:rFonts w:ascii="Tw Cen MT" w:eastAsia="Twentieth Century" w:hAnsi="Tw Cen MT" w:cs="Twentieth Century"/>
          <w:b/>
          <w:sz w:val="24"/>
          <w:szCs w:val="24"/>
        </w:rPr>
        <w:t>DAFTAR PUSTAKA</w:t>
      </w:r>
    </w:p>
    <w:p w14:paraId="4783436D" w14:textId="38342551"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38" w:hanging="180"/>
        <w:contextualSpacing w:val="0"/>
        <w:jc w:val="both"/>
        <w:rPr>
          <w:rFonts w:ascii="Tw Cen MT" w:hAnsi="Tw Cen MT"/>
          <w:sz w:val="24"/>
          <w:szCs w:val="24"/>
        </w:rPr>
      </w:pPr>
      <w:r w:rsidRPr="00122FED">
        <w:rPr>
          <w:rFonts w:ascii="Tw Cen MT" w:hAnsi="Tw Cen MT"/>
          <w:sz w:val="24"/>
          <w:szCs w:val="24"/>
          <w:shd w:val="clear" w:color="auto" w:fill="F9F9F9"/>
        </w:rPr>
        <w:t>Jacobstein R, Polis CB. Progestin-Only Contraception: Injectables and Implants.</w:t>
      </w:r>
      <w:r w:rsidRPr="00122FED">
        <w:rPr>
          <w:rFonts w:ascii="Tw Cen MT" w:hAnsi="Tw Cen MT"/>
          <w:sz w:val="24"/>
          <w:szCs w:val="24"/>
        </w:rPr>
        <w:t xml:space="preserve"> Best Practice &amp; Research Clinical Obstetrics &amp; Gynaecology. </w:t>
      </w:r>
      <w:r w:rsidRPr="00122FED">
        <w:rPr>
          <w:rFonts w:ascii="Tw Cen MT" w:hAnsi="Tw Cen MT"/>
          <w:sz w:val="24"/>
          <w:szCs w:val="24"/>
          <w:shd w:val="clear" w:color="auto" w:fill="F9F9F9"/>
        </w:rPr>
        <w:t>2014</w:t>
      </w:r>
      <w:r w:rsidR="00FB6355" w:rsidRPr="00122FED">
        <w:rPr>
          <w:rFonts w:ascii="Tw Cen MT" w:hAnsi="Tw Cen MT"/>
          <w:sz w:val="24"/>
          <w:szCs w:val="24"/>
        </w:rPr>
        <w:t xml:space="preserve">; 28(6). </w:t>
      </w:r>
      <w:r w:rsidRPr="00122FED">
        <w:rPr>
          <w:rFonts w:ascii="Tw Cen MT" w:hAnsi="Tw Cen MT"/>
          <w:sz w:val="24"/>
          <w:szCs w:val="24"/>
        </w:rPr>
        <w:t>795-806</w:t>
      </w:r>
    </w:p>
    <w:p w14:paraId="11BE847E" w14:textId="77777777"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42" w:hanging="180"/>
        <w:contextualSpacing w:val="0"/>
        <w:jc w:val="both"/>
        <w:rPr>
          <w:rFonts w:ascii="Tw Cen MT" w:hAnsi="Tw Cen MT"/>
          <w:sz w:val="24"/>
          <w:szCs w:val="24"/>
        </w:rPr>
      </w:pPr>
      <w:r w:rsidRPr="00122FED">
        <w:rPr>
          <w:rFonts w:ascii="Tw Cen MT" w:hAnsi="Tw Cen MT"/>
          <w:w w:val="105"/>
          <w:sz w:val="24"/>
          <w:szCs w:val="24"/>
        </w:rPr>
        <w:t>Hawkesworth, S.</w:t>
      </w:r>
      <w:r w:rsidRPr="00122FED">
        <w:rPr>
          <w:rFonts w:ascii="Tw Cen MT" w:hAnsi="Tw Cen MT"/>
          <w:i/>
          <w:w w:val="105"/>
          <w:sz w:val="24"/>
          <w:szCs w:val="24"/>
        </w:rPr>
        <w:t xml:space="preserve">and </w:t>
      </w:r>
      <w:r w:rsidRPr="00122FED">
        <w:rPr>
          <w:rFonts w:ascii="Tw Cen MT" w:hAnsi="Tw Cen MT"/>
          <w:w w:val="105"/>
          <w:sz w:val="24"/>
          <w:szCs w:val="24"/>
        </w:rPr>
        <w:t>Prentice, A.M. Obesity in the Tropics. Philadelphia: Elsevier.</w:t>
      </w:r>
      <w:r w:rsidRPr="00122FED">
        <w:rPr>
          <w:rFonts w:ascii="Tw Cen MT" w:hAnsi="Tw Cen MT"/>
          <w:spacing w:val="-4"/>
          <w:w w:val="105"/>
          <w:sz w:val="24"/>
          <w:szCs w:val="24"/>
        </w:rPr>
        <w:t xml:space="preserve"> </w:t>
      </w:r>
      <w:r w:rsidRPr="00122FED">
        <w:rPr>
          <w:rFonts w:ascii="Tw Cen MT" w:hAnsi="Tw Cen MT"/>
          <w:w w:val="105"/>
          <w:sz w:val="24"/>
          <w:szCs w:val="24"/>
        </w:rPr>
        <w:t>2014.A</w:t>
      </w:r>
    </w:p>
    <w:p w14:paraId="54ED8BB9" w14:textId="77777777"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308" w:hanging="180"/>
        <w:contextualSpacing w:val="0"/>
        <w:jc w:val="both"/>
        <w:rPr>
          <w:rFonts w:ascii="Tw Cen MT" w:hAnsi="Tw Cen MT"/>
          <w:sz w:val="24"/>
          <w:szCs w:val="24"/>
        </w:rPr>
      </w:pPr>
      <w:r w:rsidRPr="00122FED">
        <w:rPr>
          <w:rFonts w:ascii="Tw Cen MT" w:hAnsi="Tw Cen MT"/>
          <w:sz w:val="24"/>
          <w:szCs w:val="24"/>
        </w:rPr>
        <w:t>Hardman. Dalam Cucu Aisyah dkk. Dasar farmakologi terapan Goodman dan Gillman. Jakarta: EGC.</w:t>
      </w:r>
      <w:r w:rsidRPr="00122FED">
        <w:rPr>
          <w:rFonts w:ascii="Tw Cen MT" w:hAnsi="Tw Cen MT"/>
          <w:spacing w:val="48"/>
          <w:sz w:val="24"/>
          <w:szCs w:val="24"/>
        </w:rPr>
        <w:t xml:space="preserve"> </w:t>
      </w:r>
      <w:r w:rsidRPr="00122FED">
        <w:rPr>
          <w:rFonts w:ascii="Tw Cen MT" w:hAnsi="Tw Cen MT"/>
          <w:sz w:val="24"/>
          <w:szCs w:val="24"/>
        </w:rPr>
        <w:t>2008</w:t>
      </w:r>
    </w:p>
    <w:p w14:paraId="381609A8" w14:textId="27091805"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r w:rsidRPr="00122FED">
        <w:rPr>
          <w:rFonts w:ascii="Tw Cen MT" w:hAnsi="Tw Cen MT"/>
          <w:sz w:val="24"/>
          <w:szCs w:val="24"/>
        </w:rPr>
        <w:t xml:space="preserve">Westhoff C, Jain JK, Milsom I, Ray A. Changes in Weight with Depot Medroxyprogesterone Acetate Sub Cutaneous Injection 104 mg/0,65 mL. </w:t>
      </w:r>
      <w:r w:rsidRPr="00122FED">
        <w:rPr>
          <w:rFonts w:ascii="Tw Cen MT" w:hAnsi="Tw Cen MT"/>
          <w:sz w:val="24"/>
          <w:szCs w:val="24"/>
        </w:rPr>
        <w:lastRenderedPageBreak/>
        <w:t>Cont</w:t>
      </w:r>
      <w:r w:rsidR="00FB6355" w:rsidRPr="00122FED">
        <w:rPr>
          <w:rFonts w:ascii="Tw Cen MT" w:hAnsi="Tw Cen MT"/>
          <w:sz w:val="24"/>
          <w:szCs w:val="24"/>
        </w:rPr>
        <w:t>raception, 2007. Volume 75(4).</w:t>
      </w:r>
      <w:r w:rsidRPr="00122FED">
        <w:rPr>
          <w:rFonts w:ascii="Tw Cen MT" w:hAnsi="Tw Cen MT"/>
          <w:spacing w:val="-11"/>
          <w:sz w:val="24"/>
          <w:szCs w:val="24"/>
        </w:rPr>
        <w:t xml:space="preserve"> </w:t>
      </w:r>
      <w:r w:rsidRPr="00122FED">
        <w:rPr>
          <w:rFonts w:ascii="Tw Cen MT" w:hAnsi="Tw Cen MT"/>
          <w:sz w:val="24"/>
          <w:szCs w:val="24"/>
        </w:rPr>
        <w:t>261-267</w:t>
      </w:r>
    </w:p>
    <w:p w14:paraId="407D3684" w14:textId="22EB2E97" w:rsidR="00D4179D" w:rsidRPr="00122FED" w:rsidRDefault="00D4179D" w:rsidP="007008E8">
      <w:pPr>
        <w:pStyle w:val="ListParagraph"/>
        <w:widowControl w:val="0"/>
        <w:numPr>
          <w:ilvl w:val="0"/>
          <w:numId w:val="1"/>
        </w:numPr>
        <w:tabs>
          <w:tab w:val="left" w:pos="18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Dal’Ava N, Bahamondes L, Bahamondes MV, Bottura, BF, Monteiro. I</w:t>
      </w:r>
      <w:r w:rsidRPr="00122FED">
        <w:rPr>
          <w:rFonts w:ascii="Tw Cen MT" w:hAnsi="Tw Cen MT"/>
          <w:i/>
          <w:sz w:val="24"/>
          <w:szCs w:val="24"/>
        </w:rPr>
        <w:t xml:space="preserve">. </w:t>
      </w:r>
      <w:r w:rsidRPr="00122FED">
        <w:rPr>
          <w:rFonts w:ascii="Tw Cen MT" w:hAnsi="Tw Cen MT"/>
          <w:sz w:val="24"/>
          <w:szCs w:val="24"/>
        </w:rPr>
        <w:t xml:space="preserve">Body weight and Body Composition of Depot Medroxyprogesterone Acetate User. Contraception, 2014. Volume 90(2). </w:t>
      </w:r>
      <w:r w:rsidRPr="00122FED">
        <w:rPr>
          <w:rFonts w:ascii="Tw Cen MT" w:hAnsi="Tw Cen MT"/>
          <w:spacing w:val="-3"/>
          <w:sz w:val="24"/>
          <w:szCs w:val="24"/>
        </w:rPr>
        <w:t xml:space="preserve"> </w:t>
      </w:r>
      <w:r w:rsidRPr="00122FED">
        <w:rPr>
          <w:rFonts w:ascii="Tw Cen MT" w:hAnsi="Tw Cen MT"/>
          <w:sz w:val="24"/>
          <w:szCs w:val="24"/>
        </w:rPr>
        <w:t>182-187</w:t>
      </w:r>
    </w:p>
    <w:p w14:paraId="1EA1408B" w14:textId="7B42D829" w:rsidR="00D4179D" w:rsidRPr="00122FED" w:rsidRDefault="00D4179D" w:rsidP="00D4179D">
      <w:pPr>
        <w:pStyle w:val="ListParagraph"/>
        <w:widowControl w:val="0"/>
        <w:numPr>
          <w:ilvl w:val="0"/>
          <w:numId w:val="1"/>
        </w:numPr>
        <w:tabs>
          <w:tab w:val="left" w:pos="180"/>
        </w:tabs>
        <w:autoSpaceDE w:val="0"/>
        <w:autoSpaceDN w:val="0"/>
        <w:spacing w:after="0" w:line="240" w:lineRule="auto"/>
        <w:ind w:left="180" w:right="309" w:hanging="180"/>
        <w:contextualSpacing w:val="0"/>
        <w:jc w:val="both"/>
        <w:rPr>
          <w:rFonts w:ascii="Tw Cen MT" w:hAnsi="Tw Cen MT"/>
          <w:sz w:val="24"/>
          <w:szCs w:val="24"/>
        </w:rPr>
      </w:pPr>
      <w:r w:rsidRPr="00122FED">
        <w:rPr>
          <w:rFonts w:ascii="Tw Cen MT" w:hAnsi="Tw Cen MT"/>
          <w:sz w:val="24"/>
          <w:szCs w:val="24"/>
        </w:rPr>
        <w:t>Clark M.K, Dillon JS, Sowers M, Nichols S. Weight, Fat Mass, and Central Distribution of Fat Mass Increase when Women Use Depot Medroxyprogesterone Acetate for Contraception. International journal of</w:t>
      </w:r>
      <w:r w:rsidR="00FB6355" w:rsidRPr="00122FED">
        <w:rPr>
          <w:rFonts w:ascii="Tw Cen MT" w:hAnsi="Tw Cen MT"/>
          <w:sz w:val="24"/>
          <w:szCs w:val="24"/>
        </w:rPr>
        <w:t xml:space="preserve"> obesity, 2005. Volume 29(10).</w:t>
      </w:r>
      <w:r w:rsidRPr="00122FED">
        <w:rPr>
          <w:rFonts w:ascii="Tw Cen MT" w:hAnsi="Tw Cen MT"/>
          <w:spacing w:val="-3"/>
          <w:sz w:val="24"/>
          <w:szCs w:val="24"/>
        </w:rPr>
        <w:t xml:space="preserve"> </w:t>
      </w:r>
      <w:r w:rsidRPr="00122FED">
        <w:rPr>
          <w:rFonts w:ascii="Tw Cen MT" w:hAnsi="Tw Cen MT"/>
          <w:sz w:val="24"/>
          <w:szCs w:val="24"/>
        </w:rPr>
        <w:t>1252-1258</w:t>
      </w:r>
    </w:p>
    <w:p w14:paraId="2B35DF20" w14:textId="4F3A2C05" w:rsidR="00D4179D" w:rsidRPr="00122FE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 xml:space="preserve">Weigt, C, Hertrampf T, Kluxen FM, Flenker U, Hulsemann F, Fritzemeier, </w:t>
      </w:r>
      <w:r w:rsidRPr="00122FED">
        <w:rPr>
          <w:rFonts w:ascii="Tw Cen MT" w:hAnsi="Tw Cen MT"/>
          <w:i/>
          <w:sz w:val="24"/>
          <w:szCs w:val="24"/>
        </w:rPr>
        <w:t>et al</w:t>
      </w:r>
      <w:r w:rsidRPr="00122FED">
        <w:rPr>
          <w:rFonts w:ascii="Tw Cen MT" w:hAnsi="Tw Cen MT"/>
          <w:sz w:val="24"/>
          <w:szCs w:val="24"/>
        </w:rPr>
        <w:t>. Molecular Effects of ER Alpha- and Beta-Selective Agonist on Regulation of Energy Homeostasis in Obese Female Wistar Rat. Molecular and cellular endocri</w:t>
      </w:r>
      <w:r w:rsidR="00FB6355" w:rsidRPr="00122FED">
        <w:rPr>
          <w:rFonts w:ascii="Tw Cen MT" w:hAnsi="Tw Cen MT"/>
          <w:sz w:val="24"/>
          <w:szCs w:val="24"/>
        </w:rPr>
        <w:t>nology, 2013. Volume 377(1-2).</w:t>
      </w:r>
      <w:r w:rsidRPr="00122FED">
        <w:rPr>
          <w:rFonts w:ascii="Tw Cen MT" w:hAnsi="Tw Cen MT"/>
          <w:sz w:val="24"/>
          <w:szCs w:val="24"/>
        </w:rPr>
        <w:t xml:space="preserve"> 147- 158</w:t>
      </w:r>
    </w:p>
    <w:p w14:paraId="4CBDA52B" w14:textId="710EA784" w:rsidR="00D4179D" w:rsidRPr="00122FE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 xml:space="preserve">Okorodudu, D.O, Jumean MF, Montori VM, Romero-Corral A, Somers VK, Erwin PJ, </w:t>
      </w:r>
      <w:r w:rsidRPr="00122FED">
        <w:rPr>
          <w:rFonts w:ascii="Tw Cen MT" w:hAnsi="Tw Cen MT"/>
          <w:i/>
          <w:sz w:val="24"/>
          <w:szCs w:val="24"/>
        </w:rPr>
        <w:t>et al</w:t>
      </w:r>
      <w:r w:rsidRPr="00122FED">
        <w:rPr>
          <w:rFonts w:ascii="Tw Cen MT" w:hAnsi="Tw Cen MT"/>
          <w:sz w:val="24"/>
          <w:szCs w:val="24"/>
        </w:rPr>
        <w:t>. Diagnostic Performance of Body Mass Index to Identify Obesity as Defined by Adiposity: a Systematic Review and Meta- Analysis. International journal of Obesity, 2010. Volume 34(5). 791-799</w:t>
      </w:r>
    </w:p>
    <w:p w14:paraId="22763498" w14:textId="3D1BC10B" w:rsidR="00D4179D" w:rsidRPr="00122FED" w:rsidRDefault="00D4179D" w:rsidP="006F54C6">
      <w:pPr>
        <w:pStyle w:val="ListParagraph"/>
        <w:widowControl w:val="0"/>
        <w:numPr>
          <w:ilvl w:val="0"/>
          <w:numId w:val="1"/>
        </w:numPr>
        <w:tabs>
          <w:tab w:val="left" w:pos="180"/>
          <w:tab w:val="left" w:pos="4567"/>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 xml:space="preserve">Gruber, C.J, Tschuggue </w:t>
      </w:r>
      <w:r w:rsidRPr="00122FED">
        <w:rPr>
          <w:rFonts w:ascii="Tw Cen MT" w:hAnsi="Tw Cen MT"/>
          <w:spacing w:val="3"/>
          <w:sz w:val="24"/>
          <w:szCs w:val="24"/>
        </w:rPr>
        <w:t xml:space="preserve">W, </w:t>
      </w:r>
      <w:r w:rsidRPr="00122FED">
        <w:rPr>
          <w:rFonts w:ascii="Tw Cen MT" w:hAnsi="Tw Cen MT"/>
          <w:sz w:val="24"/>
          <w:szCs w:val="24"/>
        </w:rPr>
        <w:t>Schneeberger C, Huber JC. Production and Actions of Estrogens. N Engl J Med, 2002. Volume 346</w:t>
      </w:r>
      <w:r w:rsidR="00FB6355" w:rsidRPr="00122FED">
        <w:rPr>
          <w:rFonts w:ascii="Tw Cen MT" w:hAnsi="Tw Cen MT"/>
          <w:sz w:val="24"/>
          <w:szCs w:val="24"/>
        </w:rPr>
        <w:t>(5).</w:t>
      </w:r>
      <w:r w:rsidRPr="00122FED">
        <w:rPr>
          <w:rFonts w:ascii="Tw Cen MT" w:hAnsi="Tw Cen MT"/>
          <w:spacing w:val="37"/>
          <w:sz w:val="24"/>
          <w:szCs w:val="24"/>
        </w:rPr>
        <w:t xml:space="preserve"> </w:t>
      </w:r>
      <w:r w:rsidRPr="00122FED">
        <w:rPr>
          <w:rFonts w:ascii="Tw Cen MT" w:hAnsi="Tw Cen MT"/>
          <w:sz w:val="24"/>
          <w:szCs w:val="24"/>
        </w:rPr>
        <w:t>340-352</w:t>
      </w:r>
    </w:p>
    <w:p w14:paraId="2BCC7A1F" w14:textId="77777777"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Gardner D.G</w:t>
      </w:r>
      <w:r w:rsidRPr="00122FED">
        <w:rPr>
          <w:rFonts w:ascii="Tw Cen MT" w:hAnsi="Tw Cen MT"/>
          <w:i/>
          <w:sz w:val="24"/>
          <w:szCs w:val="24"/>
        </w:rPr>
        <w:t xml:space="preserve">, </w:t>
      </w:r>
      <w:r w:rsidRPr="00122FED">
        <w:rPr>
          <w:rFonts w:ascii="Tw Cen MT" w:hAnsi="Tw Cen MT"/>
          <w:sz w:val="24"/>
          <w:szCs w:val="24"/>
        </w:rPr>
        <w:t>Shoback D. Greenspan’s and Clinical Endocronology. 8th edn. New York.</w:t>
      </w:r>
      <w:r w:rsidRPr="00122FED">
        <w:rPr>
          <w:rFonts w:ascii="Tw Cen MT" w:hAnsi="Tw Cen MT"/>
          <w:spacing w:val="-14"/>
          <w:sz w:val="24"/>
          <w:szCs w:val="24"/>
        </w:rPr>
        <w:t xml:space="preserve"> </w:t>
      </w:r>
      <w:r w:rsidRPr="00122FED">
        <w:rPr>
          <w:rFonts w:ascii="Tw Cen MT" w:hAnsi="Tw Cen MT"/>
          <w:sz w:val="24"/>
          <w:szCs w:val="24"/>
        </w:rPr>
        <w:t>2011</w:t>
      </w:r>
    </w:p>
    <w:p w14:paraId="5E75B500" w14:textId="77777777"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Guyton A.C</w:t>
      </w:r>
      <w:r w:rsidRPr="00122FED">
        <w:rPr>
          <w:rFonts w:ascii="Tw Cen MT" w:hAnsi="Tw Cen MT"/>
          <w:i/>
          <w:sz w:val="24"/>
          <w:szCs w:val="24"/>
        </w:rPr>
        <w:t xml:space="preserve">, </w:t>
      </w:r>
      <w:r w:rsidRPr="00122FED">
        <w:rPr>
          <w:rFonts w:ascii="Tw Cen MT" w:hAnsi="Tw Cen MT"/>
          <w:sz w:val="24"/>
          <w:szCs w:val="24"/>
        </w:rPr>
        <w:t>Hall J.E. Dalam Irawati dkk. Buku Ajar Fisiologi Kedokteran. Edisi ke 11. Jakarta: EGC.</w:t>
      </w:r>
      <w:r w:rsidRPr="00122FED">
        <w:rPr>
          <w:rFonts w:ascii="Tw Cen MT" w:hAnsi="Tw Cen MT"/>
          <w:spacing w:val="-1"/>
          <w:sz w:val="24"/>
          <w:szCs w:val="24"/>
        </w:rPr>
        <w:t xml:space="preserve"> </w:t>
      </w:r>
      <w:r w:rsidRPr="00122FED">
        <w:rPr>
          <w:rFonts w:ascii="Tw Cen MT" w:hAnsi="Tw Cen MT"/>
          <w:sz w:val="24"/>
          <w:szCs w:val="24"/>
        </w:rPr>
        <w:t>2012</w:t>
      </w:r>
    </w:p>
    <w:p w14:paraId="64ADB49D" w14:textId="0D14151C"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Torgrimson BN, Meendering JR, Kaplan PF, Minson CT. DMPA and Endothelial function prior to and after acute oral, vagina and transdermal estradiol treatment. J. Hypertension, 2011. Volume 57. 819-824</w:t>
      </w:r>
    </w:p>
    <w:p w14:paraId="76F6CF49" w14:textId="77777777"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Razali. R. Kadar Estradiol Serum pada pemakaian KB DMPA 1 tahun dan 3 tahun. Bagian Obstetri dan Ginekologi FK</w:t>
      </w:r>
      <w:r w:rsidRPr="00122FED">
        <w:rPr>
          <w:rFonts w:ascii="Tw Cen MT" w:hAnsi="Tw Cen MT"/>
          <w:spacing w:val="-4"/>
          <w:sz w:val="24"/>
          <w:szCs w:val="24"/>
        </w:rPr>
        <w:t xml:space="preserve"> </w:t>
      </w:r>
      <w:r w:rsidRPr="00122FED">
        <w:rPr>
          <w:rFonts w:ascii="Tw Cen MT" w:hAnsi="Tw Cen MT"/>
          <w:sz w:val="24"/>
          <w:szCs w:val="24"/>
        </w:rPr>
        <w:t xml:space="preserve">USU </w:t>
      </w:r>
    </w:p>
    <w:p w14:paraId="757B2511" w14:textId="27A86FA5"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 xml:space="preserve">Bakry S, Merhi ZO, Scalise TJ, Mahmoud MS, Fadiel, A, Naftolin F. </w:t>
      </w:r>
      <w:r w:rsidRPr="00122FED">
        <w:rPr>
          <w:rFonts w:ascii="Tw Cen MT" w:hAnsi="Tw Cen MT"/>
          <w:i/>
          <w:sz w:val="24"/>
          <w:szCs w:val="24"/>
        </w:rPr>
        <w:t xml:space="preserve">Depot  Medroxyprogesterone Acetate: an Update Archives of gynecology and obstetrics, </w:t>
      </w:r>
      <w:r w:rsidR="00FB6355" w:rsidRPr="00122FED">
        <w:rPr>
          <w:rFonts w:ascii="Tw Cen MT" w:hAnsi="Tw Cen MT"/>
          <w:sz w:val="24"/>
          <w:szCs w:val="24"/>
        </w:rPr>
        <w:t>2009. Volume 278(1).</w:t>
      </w:r>
      <w:r w:rsidRPr="00122FED">
        <w:rPr>
          <w:rFonts w:ascii="Tw Cen MT" w:hAnsi="Tw Cen MT"/>
          <w:spacing w:val="-2"/>
          <w:sz w:val="24"/>
          <w:szCs w:val="24"/>
        </w:rPr>
        <w:t xml:space="preserve"> </w:t>
      </w:r>
      <w:r w:rsidRPr="00122FED">
        <w:rPr>
          <w:rFonts w:ascii="Tw Cen MT" w:hAnsi="Tw Cen MT"/>
          <w:sz w:val="24"/>
          <w:szCs w:val="24"/>
        </w:rPr>
        <w:t>1-12</w:t>
      </w:r>
    </w:p>
    <w:p w14:paraId="1049FFA1" w14:textId="58FAE228"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Vickery. Z, Madden T, Zhao Q, Secura G, Allsworth JE, Peipert JF. Weight Change at 12 Months in User of Three Progestin-Only Oontraceptive Methods. J. Contraception, 2013. Volume 88(4). 503-508</w:t>
      </w:r>
    </w:p>
    <w:p w14:paraId="01E0801C" w14:textId="71B92E18" w:rsidR="00D4179D" w:rsidRPr="00122FED" w:rsidRDefault="00D4179D" w:rsidP="00FF6C31">
      <w:pPr>
        <w:pStyle w:val="ListParagraph"/>
        <w:widowControl w:val="0"/>
        <w:numPr>
          <w:ilvl w:val="0"/>
          <w:numId w:val="1"/>
        </w:numPr>
        <w:tabs>
          <w:tab w:val="left" w:pos="180"/>
          <w:tab w:val="left" w:pos="360"/>
        </w:tabs>
        <w:autoSpaceDE w:val="0"/>
        <w:autoSpaceDN w:val="0"/>
        <w:spacing w:after="0" w:line="240" w:lineRule="auto"/>
        <w:ind w:left="180" w:right="-23" w:hanging="180"/>
        <w:contextualSpacing w:val="0"/>
        <w:jc w:val="both"/>
        <w:rPr>
          <w:rFonts w:ascii="Tw Cen MT" w:hAnsi="Tw Cen MT"/>
          <w:sz w:val="24"/>
          <w:szCs w:val="24"/>
        </w:rPr>
      </w:pPr>
      <w:r w:rsidRPr="00122FED">
        <w:rPr>
          <w:rFonts w:ascii="Tw Cen MT" w:hAnsi="Tw Cen MT"/>
          <w:sz w:val="24"/>
          <w:szCs w:val="24"/>
        </w:rPr>
        <w:t>Lopez M, Tena-Sempere M. Estradiol and Brown Fat. Best Practice and Research Clinical Endocrinology &amp; Metabolism, 2016. Volume 30(4). 527-536</w:t>
      </w:r>
    </w:p>
    <w:p w14:paraId="1C9F63A1" w14:textId="77777777" w:rsidR="00D4179D" w:rsidRPr="00122FE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122FED">
        <w:rPr>
          <w:rFonts w:ascii="Tw Cen MT" w:hAnsi="Tw Cen MT"/>
          <w:sz w:val="24"/>
          <w:szCs w:val="24"/>
        </w:rPr>
        <w:t>Melmed S, Polonsky, Kenneth S, Larsen P, Kronenberg H. Williams Textbook of Endocrinology. Philadelphia: Elsevier.</w:t>
      </w:r>
      <w:r w:rsidRPr="00122FED">
        <w:rPr>
          <w:rFonts w:ascii="Tw Cen MT" w:hAnsi="Tw Cen MT"/>
          <w:spacing w:val="-9"/>
          <w:sz w:val="24"/>
          <w:szCs w:val="24"/>
        </w:rPr>
        <w:t xml:space="preserve"> </w:t>
      </w:r>
      <w:r w:rsidRPr="00122FED">
        <w:rPr>
          <w:rFonts w:ascii="Tw Cen MT" w:hAnsi="Tw Cen MT"/>
          <w:sz w:val="24"/>
          <w:szCs w:val="24"/>
        </w:rPr>
        <w:t>2016</w:t>
      </w:r>
    </w:p>
    <w:p w14:paraId="29BDC679" w14:textId="77777777" w:rsidR="00D4179D" w:rsidRPr="00122FED" w:rsidRDefault="00D4179D" w:rsidP="006F54C6">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122FED">
        <w:rPr>
          <w:rFonts w:ascii="Tw Cen MT" w:hAnsi="Tw Cen MT"/>
          <w:sz w:val="24"/>
          <w:szCs w:val="24"/>
        </w:rPr>
        <w:t>Sherwood L. Dalam : Brahm U. Fisiologi Manusia dari Sel ke Sistem. Jakarta: EGC.</w:t>
      </w:r>
      <w:r w:rsidRPr="00122FED">
        <w:rPr>
          <w:rFonts w:ascii="Tw Cen MT" w:hAnsi="Tw Cen MT"/>
          <w:spacing w:val="-4"/>
          <w:sz w:val="24"/>
          <w:szCs w:val="24"/>
        </w:rPr>
        <w:t xml:space="preserve"> </w:t>
      </w:r>
      <w:r w:rsidRPr="00122FED">
        <w:rPr>
          <w:rFonts w:ascii="Tw Cen MT" w:hAnsi="Tw Cen MT"/>
          <w:sz w:val="24"/>
          <w:szCs w:val="24"/>
        </w:rPr>
        <w:t>2011</w:t>
      </w:r>
    </w:p>
    <w:p w14:paraId="7073D62A" w14:textId="63D4E78C" w:rsidR="00D63C10" w:rsidRPr="00122FED" w:rsidRDefault="00FF6C31" w:rsidP="00D63C10">
      <w:pPr>
        <w:pStyle w:val="ListParagraph"/>
        <w:widowControl w:val="0"/>
        <w:numPr>
          <w:ilvl w:val="0"/>
          <w:numId w:val="1"/>
        </w:numPr>
        <w:tabs>
          <w:tab w:val="left" w:pos="270"/>
          <w:tab w:val="left" w:pos="4567"/>
        </w:tabs>
        <w:autoSpaceDE w:val="0"/>
        <w:autoSpaceDN w:val="0"/>
        <w:spacing w:after="0" w:line="240" w:lineRule="auto"/>
        <w:ind w:left="270" w:right="-23" w:hanging="270"/>
        <w:contextualSpacing w:val="0"/>
        <w:jc w:val="both"/>
        <w:rPr>
          <w:rFonts w:ascii="Tw Cen MT" w:hAnsi="Tw Cen MT"/>
          <w:sz w:val="24"/>
          <w:szCs w:val="24"/>
        </w:rPr>
      </w:pPr>
      <w:r w:rsidRPr="00122FED">
        <w:rPr>
          <w:rFonts w:ascii="Tw Cen MT" w:hAnsi="Tw Cen MT"/>
          <w:sz w:val="24"/>
          <w:szCs w:val="24"/>
        </w:rPr>
        <w:t xml:space="preserve">  </w:t>
      </w:r>
      <w:r w:rsidR="00D4179D" w:rsidRPr="00122FED">
        <w:rPr>
          <w:rFonts w:ascii="Tw Cen MT" w:hAnsi="Tw Cen MT"/>
          <w:sz w:val="24"/>
          <w:szCs w:val="24"/>
        </w:rPr>
        <w:t xml:space="preserve">Cowley MA, Smith RG, Diano S, Tschop M, Pronchuk N, Grove KL. The Distribution and mechanism of action of ghrelin in the CNS Demonstrates a novel hypothalamic circuit regulation energy homeostasis. Neuron, 2003. Vol 37. </w:t>
      </w:r>
      <w:r w:rsidR="00D4179D" w:rsidRPr="00122FED">
        <w:rPr>
          <w:rFonts w:ascii="Tw Cen MT" w:hAnsi="Tw Cen MT"/>
          <w:spacing w:val="-3"/>
          <w:sz w:val="24"/>
          <w:szCs w:val="24"/>
        </w:rPr>
        <w:t xml:space="preserve"> </w:t>
      </w:r>
    </w:p>
    <w:p w14:paraId="7A221775" w14:textId="130D58DC" w:rsidR="00736F53" w:rsidRPr="00122FED" w:rsidRDefault="00D63C10" w:rsidP="004265DF">
      <w:pPr>
        <w:tabs>
          <w:tab w:val="left" w:pos="450"/>
          <w:tab w:val="left" w:pos="8266"/>
        </w:tabs>
        <w:spacing w:after="0" w:line="240" w:lineRule="auto"/>
        <w:ind w:left="360" w:right="-14" w:hanging="360"/>
        <w:jc w:val="both"/>
        <w:rPr>
          <w:rFonts w:ascii="Tw Cen MT" w:hAnsi="Tw Cen MT"/>
        </w:rPr>
        <w:sectPr w:rsidR="00736F53" w:rsidRPr="00122FED" w:rsidSect="004D0AD1">
          <w:pgSz w:w="12240" w:h="15840"/>
          <w:pgMar w:top="1440" w:right="1440" w:bottom="1440" w:left="1440" w:header="720" w:footer="720" w:gutter="0"/>
          <w:cols w:num="2" w:space="357" w:equalWidth="0">
            <w:col w:w="4320" w:space="357"/>
            <w:col w:w="4683" w:space="0"/>
          </w:cols>
        </w:sectPr>
      </w:pPr>
      <w:r w:rsidRPr="00122FED">
        <w:rPr>
          <w:rFonts w:ascii="Tw Cen MT" w:hAnsi="Tw Cen MT"/>
          <w:sz w:val="24"/>
          <w:szCs w:val="24"/>
        </w:rPr>
        <w:t xml:space="preserve">20.Pérez-Pérez, A., Sánchez-Jiménez, F., Maymó, J., Dueñas, J.L., Varone, C. and Sánchez-Margalet, V. (2015) ‘Role of leptin in female reproduction’, </w:t>
      </w:r>
      <w:r w:rsidRPr="00122FED">
        <w:rPr>
          <w:rFonts w:ascii="Tw Cen MT" w:hAnsi="Tw Cen MT"/>
          <w:i/>
          <w:iCs/>
          <w:sz w:val="24"/>
          <w:szCs w:val="24"/>
        </w:rPr>
        <w:t>Clinical Chemistry and Laboratory Medicine (CCLM)</w:t>
      </w:r>
      <w:r w:rsidRPr="00122FED">
        <w:rPr>
          <w:rFonts w:ascii="Tw Cen MT" w:hAnsi="Tw Cen MT"/>
          <w:sz w:val="24"/>
          <w:szCs w:val="24"/>
        </w:rPr>
        <w:t>, 53(1)</w:t>
      </w:r>
    </w:p>
    <w:p w14:paraId="08EAD792" w14:textId="77777777" w:rsidR="00736F53" w:rsidRPr="00122FED" w:rsidRDefault="00736F53">
      <w:pPr>
        <w:rPr>
          <w:rFonts w:ascii="Tw Cen MT" w:hAnsi="Tw Cen MT"/>
        </w:rPr>
      </w:pPr>
    </w:p>
    <w:sectPr w:rsidR="00736F53" w:rsidRPr="00122FED" w:rsidSect="00EE1B38">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932C330" w14:textId="77777777" w:rsidR="004D0AD1" w:rsidRDefault="004D0AD1" w:rsidP="00CB44FA">
      <w:pPr>
        <w:pStyle w:val="CommentText"/>
      </w:pPr>
      <w:r>
        <w:rPr>
          <w:rStyle w:val="CommentReference"/>
        </w:rPr>
        <w:annotationRef/>
      </w:r>
      <w:r>
        <w:t>Silahkan ditambahkan program studi dari penulis</w:t>
      </w:r>
    </w:p>
  </w:comment>
  <w:comment w:id="1" w:author="Author" w:initials="A">
    <w:p w14:paraId="1C480CCF" w14:textId="5A0E9CF3" w:rsidR="004D0AD1" w:rsidRDefault="004D0AD1" w:rsidP="00D16F5E">
      <w:pPr>
        <w:pStyle w:val="CommentText"/>
      </w:pPr>
      <w:r>
        <w:rPr>
          <w:rStyle w:val="CommentReference"/>
        </w:rPr>
        <w:annotationRef/>
      </w:r>
      <w:r>
        <w:t>Penulisan footnote silahkan disesuaikan dengan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32C330" w15:done="0"/>
  <w15:commentEx w15:paraId="1C480C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32C330" w16cid:durableId="28511B17"/>
  <w16cid:commentId w16cid:paraId="1C480CCF" w16cid:durableId="28511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E5232" w14:textId="77777777" w:rsidR="00CF7312" w:rsidRDefault="00CF7312">
      <w:pPr>
        <w:spacing w:after="0" w:line="240" w:lineRule="auto"/>
      </w:pPr>
      <w:r>
        <w:separator/>
      </w:r>
    </w:p>
  </w:endnote>
  <w:endnote w:type="continuationSeparator" w:id="0">
    <w:p w14:paraId="62E60C7D" w14:textId="77777777" w:rsidR="00CF7312" w:rsidRDefault="00CF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wentieth Century">
    <w:altName w:val="Times New Roman"/>
    <w:charset w:val="00"/>
    <w:family w:val="auto"/>
    <w:pitch w:val="default"/>
  </w:font>
  <w:font w:name="Noto Sans">
    <w:panose1 w:val="020B0502040504020204"/>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BC02" w14:textId="4763AE7B" w:rsidR="00736F53" w:rsidRPr="00122FED" w:rsidRDefault="00122FED">
    <w:pPr>
      <w:pBdr>
        <w:top w:val="nil"/>
        <w:left w:val="nil"/>
        <w:bottom w:val="nil"/>
        <w:right w:val="nil"/>
        <w:between w:val="nil"/>
      </w:pBdr>
      <w:tabs>
        <w:tab w:val="center" w:pos="4680"/>
        <w:tab w:val="right" w:pos="9360"/>
      </w:tabs>
      <w:spacing w:after="0" w:line="240" w:lineRule="auto"/>
      <w:rPr>
        <w:rFonts w:ascii="Tw Cen MT" w:eastAsia="Twentieth Century" w:hAnsi="Tw Cen MT" w:cs="Twentieth Century"/>
        <w:color w:val="000000"/>
        <w:sz w:val="20"/>
        <w:szCs w:val="20"/>
      </w:rPr>
    </w:pPr>
    <w:r>
      <w:rPr>
        <w:noProof/>
      </w:rPr>
      <mc:AlternateContent>
        <mc:Choice Requires="wps">
          <w:drawing>
            <wp:anchor distT="0" distB="0" distL="114300" distR="114300" simplePos="0" relativeHeight="251660288" behindDoc="0" locked="0" layoutInCell="1" hidden="0" allowOverlap="1" wp14:anchorId="73D63ACC" wp14:editId="0F5AE51B">
              <wp:simplePos x="0" y="0"/>
              <wp:positionH relativeFrom="column">
                <wp:posOffset>4438650</wp:posOffset>
              </wp:positionH>
              <wp:positionV relativeFrom="paragraph">
                <wp:posOffset>-64770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0" y="0"/>
                        <a:ext cx="1518285" cy="405130"/>
                      </a:xfrm>
                      <a:prstGeom prst="rect">
                        <a:avLst/>
                      </a:prstGeom>
                      <a:noFill/>
                      <a:ln>
                        <a:noFill/>
                      </a:ln>
                    </wps:spPr>
                    <wps:txbx>
                      <w:txbxContent>
                        <w:p w14:paraId="3FA9DFA2" w14:textId="1745F3F3" w:rsidR="00736F53" w:rsidRPr="00122FED" w:rsidRDefault="007E2FAB">
                          <w:pPr>
                            <w:spacing w:after="0" w:line="240" w:lineRule="auto"/>
                            <w:jc w:val="right"/>
                            <w:textDirection w:val="btLr"/>
                            <w:rPr>
                              <w:rFonts w:ascii="Tw Cen MT" w:hAnsi="Tw Cen MT"/>
                            </w:rPr>
                          </w:pPr>
                          <w:r w:rsidRPr="00122FED">
                            <w:rPr>
                              <w:rFonts w:ascii="Tw Cen MT" w:eastAsia="Twentieth Century" w:hAnsi="Tw Cen MT" w:cs="Twentieth Century"/>
                              <w:color w:val="000000"/>
                              <w:sz w:val="20"/>
                            </w:rPr>
                            <w:t xml:space="preserve"> </w:t>
                          </w:r>
                          <w:r w:rsidR="00122FED" w:rsidRPr="00122FED">
                            <w:rPr>
                              <w:rFonts w:ascii="Tw Cen MT" w:eastAsia="Twentieth Century" w:hAnsi="Tw Cen MT" w:cs="Twentieth Century"/>
                              <w:color w:val="000000"/>
                              <w:sz w:val="20"/>
                            </w:rPr>
                            <w:fldChar w:fldCharType="begin"/>
                          </w:r>
                          <w:r w:rsidR="00122FED" w:rsidRPr="00122FED">
                            <w:rPr>
                              <w:rFonts w:ascii="Tw Cen MT" w:eastAsia="Twentieth Century" w:hAnsi="Tw Cen MT" w:cs="Twentieth Century"/>
                              <w:color w:val="000000"/>
                              <w:sz w:val="20"/>
                            </w:rPr>
                            <w:instrText xml:space="preserve"> PAGE   \* MERGEFORMAT </w:instrText>
                          </w:r>
                          <w:r w:rsidR="00122FED" w:rsidRPr="00122FED">
                            <w:rPr>
                              <w:rFonts w:ascii="Tw Cen MT" w:eastAsia="Twentieth Century" w:hAnsi="Tw Cen MT" w:cs="Twentieth Century"/>
                              <w:color w:val="000000"/>
                              <w:sz w:val="20"/>
                            </w:rPr>
                            <w:fldChar w:fldCharType="separate"/>
                          </w:r>
                          <w:r w:rsidR="00122FED" w:rsidRPr="00122FED">
                            <w:rPr>
                              <w:rFonts w:ascii="Tw Cen MT" w:eastAsia="Twentieth Century" w:hAnsi="Tw Cen MT" w:cs="Twentieth Century"/>
                              <w:noProof/>
                              <w:color w:val="000000"/>
                              <w:sz w:val="20"/>
                            </w:rPr>
                            <w:t>1</w:t>
                          </w:r>
                          <w:r w:rsidR="00122FED" w:rsidRPr="00122FED">
                            <w:rPr>
                              <w:rFonts w:ascii="Tw Cen MT" w:eastAsia="Twentieth Century" w:hAnsi="Tw Cen MT" w:cs="Twentieth Century"/>
                              <w:noProof/>
                              <w:color w:val="000000"/>
                              <w:sz w:val="20"/>
                            </w:rPr>
                            <w:fldChar w:fldCharType="end"/>
                          </w:r>
                        </w:p>
                      </w:txbxContent>
                    </wps:txbx>
                    <wps:bodyPr spcFirstLastPara="1" wrap="square" lIns="91425" tIns="45700" rIns="91425" bIns="45700" anchor="t" anchorCtr="0">
                      <a:noAutofit/>
                    </wps:bodyPr>
                  </wps:wsp>
                </a:graphicData>
              </a:graphic>
            </wp:anchor>
          </w:drawing>
        </mc:Choice>
        <mc:Fallback>
          <w:pict>
            <v:rect w14:anchorId="73D63ACC" id="Rectangle 59" o:spid="_x0000_s1027" style="position:absolute;margin-left:349.5pt;margin-top:-5.1pt;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" filled="f" stroked="f">
              <v:textbox inset="2.53958mm,1.2694mm,2.53958mm,1.2694mm">
                <w:txbxContent>
                  <w:p w14:paraId="3FA9DFA2" w14:textId="1745F3F3" w:rsidR="00736F53" w:rsidRPr="00122FED" w:rsidRDefault="007E2FAB">
                    <w:pPr>
                      <w:spacing w:after="0" w:line="240" w:lineRule="auto"/>
                      <w:jc w:val="right"/>
                      <w:textDirection w:val="btLr"/>
                      <w:rPr>
                        <w:rFonts w:ascii="Tw Cen MT" w:hAnsi="Tw Cen MT"/>
                      </w:rPr>
                    </w:pPr>
                    <w:r w:rsidRPr="00122FED">
                      <w:rPr>
                        <w:rFonts w:ascii="Tw Cen MT" w:eastAsia="Twentieth Century" w:hAnsi="Tw Cen MT" w:cs="Twentieth Century"/>
                        <w:color w:val="000000"/>
                        <w:sz w:val="20"/>
                      </w:rPr>
                      <w:t xml:space="preserve"> </w:t>
                    </w:r>
                    <w:r w:rsidR="00122FED" w:rsidRPr="00122FED">
                      <w:rPr>
                        <w:rFonts w:ascii="Tw Cen MT" w:eastAsia="Twentieth Century" w:hAnsi="Tw Cen MT" w:cs="Twentieth Century"/>
                        <w:color w:val="000000"/>
                        <w:sz w:val="20"/>
                      </w:rPr>
                      <w:fldChar w:fldCharType="begin"/>
                    </w:r>
                    <w:r w:rsidR="00122FED" w:rsidRPr="00122FED">
                      <w:rPr>
                        <w:rFonts w:ascii="Tw Cen MT" w:eastAsia="Twentieth Century" w:hAnsi="Tw Cen MT" w:cs="Twentieth Century"/>
                        <w:color w:val="000000"/>
                        <w:sz w:val="20"/>
                      </w:rPr>
                      <w:instrText xml:space="preserve"> PAGE   \* MERGEFORMAT </w:instrText>
                    </w:r>
                    <w:r w:rsidR="00122FED" w:rsidRPr="00122FED">
                      <w:rPr>
                        <w:rFonts w:ascii="Tw Cen MT" w:eastAsia="Twentieth Century" w:hAnsi="Tw Cen MT" w:cs="Twentieth Century"/>
                        <w:color w:val="000000"/>
                        <w:sz w:val="20"/>
                      </w:rPr>
                      <w:fldChar w:fldCharType="separate"/>
                    </w:r>
                    <w:r w:rsidR="00122FED" w:rsidRPr="00122FED">
                      <w:rPr>
                        <w:rFonts w:ascii="Tw Cen MT" w:eastAsia="Twentieth Century" w:hAnsi="Tw Cen MT" w:cs="Twentieth Century"/>
                        <w:noProof/>
                        <w:color w:val="000000"/>
                        <w:sz w:val="20"/>
                      </w:rPr>
                      <w:t>1</w:t>
                    </w:r>
                    <w:r w:rsidR="00122FED" w:rsidRPr="00122FED">
                      <w:rPr>
                        <w:rFonts w:ascii="Tw Cen MT" w:eastAsia="Twentieth Century" w:hAnsi="Tw Cen MT" w:cs="Twentieth Century"/>
                        <w:noProof/>
                        <w:color w:val="000000"/>
                        <w:sz w:val="20"/>
                      </w:rPr>
                      <w:fldChar w:fldCharType="end"/>
                    </w:r>
                  </w:p>
                </w:txbxContent>
              </v:textbox>
            </v:rect>
          </w:pict>
        </mc:Fallback>
      </mc:AlternateContent>
    </w:r>
    <w:r w:rsidRPr="00122FED">
      <w:rPr>
        <w:rFonts w:ascii="Tw Cen MT" w:hAnsi="Tw Cen MT"/>
        <w:noProof/>
        <w:color w:val="000000" w:themeColor="text1"/>
        <w:sz w:val="20"/>
        <w:szCs w:val="24"/>
      </w:rPr>
      <mc:AlternateContent>
        <mc:Choice Requires="wps">
          <w:drawing>
            <wp:anchor distT="0" distB="0" distL="114300" distR="114300" simplePos="0" relativeHeight="251664384" behindDoc="0" locked="0" layoutInCell="1" allowOverlap="1" wp14:anchorId="751C7378" wp14:editId="0DFA6E32">
              <wp:simplePos x="0" y="0"/>
              <wp:positionH relativeFrom="column">
                <wp:posOffset>0</wp:posOffset>
              </wp:positionH>
              <wp:positionV relativeFrom="paragraph">
                <wp:posOffset>-69850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CBCD0"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469.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" strokecolor="black [3213]" strokeweight="2.25pt"/>
          </w:pict>
        </mc:Fallback>
      </mc:AlternateContent>
    </w:r>
    <w:r w:rsidR="007E2FAB" w:rsidRPr="00122FED">
      <w:rPr>
        <w:rFonts w:ascii="Tw Cen MT" w:hAnsi="Tw Cen MT"/>
        <w:noProof/>
      </w:rPr>
      <mc:AlternateContent>
        <mc:Choice Requires="wps">
          <w:drawing>
            <wp:anchor distT="0" distB="0" distL="114300" distR="114300" simplePos="0" relativeHeight="251659264" behindDoc="0" locked="0" layoutInCell="1" hidden="0" allowOverlap="1" wp14:anchorId="55DECDBD" wp14:editId="5F87B276">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3DDCE264"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" strokecolor="black [3200]" strokeweight="2.25pt">
              <v:stroke startarrowwidth="narrow" startarrowlength="short" endarrowwidth="narrow" endarrowlength="short"/>
            </v:shape>
          </w:pict>
        </mc:Fallback>
      </mc:AlternateContent>
    </w:r>
    <w:r>
      <w:rPr>
        <w:rFonts w:ascii="Tw Cen MT" w:eastAsia="Twentieth Century" w:hAnsi="Tw Cen MT" w:cs="Twentieth Century"/>
        <w:color w:val="000000"/>
        <w:sz w:val="20"/>
        <w:szCs w:val="20"/>
      </w:rPr>
      <w:t>Ari Susanti and ari@pkr.ac.id</w:t>
    </w:r>
  </w:p>
  <w:p w14:paraId="76708B37" w14:textId="352AD615" w:rsidR="00736F53" w:rsidRDefault="00736F53">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B9F77" w14:textId="77777777" w:rsidR="00CF7312" w:rsidRDefault="00CF7312">
      <w:pPr>
        <w:spacing w:after="0" w:line="240" w:lineRule="auto"/>
      </w:pPr>
      <w:r>
        <w:separator/>
      </w:r>
    </w:p>
  </w:footnote>
  <w:footnote w:type="continuationSeparator" w:id="0">
    <w:p w14:paraId="1ABABD96" w14:textId="77777777" w:rsidR="00CF7312" w:rsidRDefault="00CF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32BD" w14:textId="74E32981" w:rsidR="00122FED" w:rsidRDefault="00122FED" w:rsidP="00122FED">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sidRPr="00FB50F3">
      <w:rPr>
        <w:rFonts w:ascii="Tw Cen MT" w:hAnsi="Tw Cen MT" w:cstheme="minorBidi"/>
        <w:sz w:val="20"/>
        <w:szCs w:val="20"/>
      </w:rPr>
      <w:t xml:space="preserve">Jurnal Proteksi Kesehatan                                                                                                                                   Vol.12, No.1, Mei 2023, pp. </w:t>
    </w:r>
    <w:r>
      <w:rPr>
        <w:rFonts w:ascii="Tw Cen MT" w:hAnsi="Tw Cen MT" w:cstheme="minorBidi"/>
        <w:sz w:val="20"/>
        <w:szCs w:val="20"/>
      </w:rPr>
      <w:t>48-</w:t>
    </w:r>
    <w:r w:rsidR="004D0AD1">
      <w:rPr>
        <w:rFonts w:ascii="Tw Cen MT" w:hAnsi="Tw Cen MT" w:cstheme="minorBidi"/>
        <w:sz w:val="20"/>
        <w:szCs w:val="20"/>
      </w:rPr>
      <w:t>53</w:t>
    </w:r>
    <w:r w:rsidRPr="00FB50F3">
      <w:rPr>
        <w:rFonts w:ascii="Tw Cen MT" w:hAnsi="Tw Cen MT" w:cstheme="minorBidi"/>
        <w:sz w:val="20"/>
        <w:szCs w:val="20"/>
      </w:rPr>
      <w:tab/>
    </w:r>
    <w:r w:rsidRPr="00FB50F3">
      <w:rPr>
        <w:rFonts w:ascii="Tw Cen MT" w:hAnsi="Tw Cen MT" w:cstheme="minorBidi"/>
        <w:sz w:val="20"/>
        <w:szCs w:val="20"/>
      </w:rPr>
      <w:tab/>
      <w:t xml:space="preserve">                                                                                                        ISSN 2715-1115 (Online), ISSN 2302 – 8610 (Print)</w:t>
    </w:r>
  </w:p>
  <w:p w14:paraId="390C129C" w14:textId="1FEBDE84" w:rsidR="00736F53" w:rsidRPr="00122FED" w:rsidRDefault="00122FED" w:rsidP="00122FED">
    <w:pPr>
      <w:pBdr>
        <w:top w:val="nil"/>
        <w:left w:val="nil"/>
        <w:bottom w:val="nil"/>
        <w:right w:val="nil"/>
        <w:between w:val="nil"/>
      </w:pBdr>
      <w:tabs>
        <w:tab w:val="center" w:pos="4680"/>
        <w:tab w:val="right" w:pos="9360"/>
      </w:tabs>
      <w:spacing w:after="0" w:line="240" w:lineRule="auto"/>
      <w:rPr>
        <w:rFonts w:eastAsia="Calibri"/>
        <w:b/>
        <w:color w:val="1F497D"/>
        <w:sz w:val="28"/>
        <w:szCs w:val="28"/>
      </w:rPr>
    </w:pPr>
    <w:r>
      <w:rPr>
        <w:noProof/>
      </w:rPr>
      <mc:AlternateContent>
        <mc:Choice Requires="wps">
          <w:drawing>
            <wp:anchor distT="0" distB="0" distL="114300" distR="114300" simplePos="0" relativeHeight="251662336" behindDoc="0" locked="0" layoutInCell="1" hidden="0" allowOverlap="1" wp14:anchorId="31BCF25E" wp14:editId="48875C4B">
              <wp:simplePos x="0" y="0"/>
              <wp:positionH relativeFrom="column">
                <wp:posOffset>9525</wp:posOffset>
              </wp:positionH>
              <wp:positionV relativeFrom="paragraph">
                <wp:posOffset>94615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96BE784" id="_x0000_t32" coordsize="21600,21600" o:spt="32" o:oned="t" path="m,l21600,21600e" filled="f">
              <v:path arrowok="t" fillok="f" o:connecttype="none"/>
              <o:lock v:ext="edit" shapetype="t"/>
            </v:shapetype>
            <v:shape id="Straight Arrow Connector 65" o:spid="_x0000_s1026" type="#_x0000_t32" style="position:absolute;margin-left:.75pt;margin-top:7.45pt;width:470.55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" strokecolor="black [3200]" strokeweight="1.5pt">
              <v:stroke startarrowwidth="narrow" startarrowlength="short" endarrowwidth="narrow" endarrowlength="short"/>
            </v:shape>
          </w:pict>
        </mc:Fallback>
      </mc:AlternateContent>
    </w:r>
    <w:r w:rsidR="007E2FAB">
      <w:rPr>
        <w:noProof/>
      </w:rPr>
      <mc:AlternateContent>
        <mc:Choice Requires="wps">
          <w:drawing>
            <wp:anchor distT="0" distB="0" distL="114300" distR="114300" simplePos="0" relativeHeight="251658240" behindDoc="0" locked="0" layoutInCell="1" hidden="0" allowOverlap="1" wp14:anchorId="7679B303" wp14:editId="35D5605E">
              <wp:simplePos x="0" y="0"/>
              <wp:positionH relativeFrom="column">
                <wp:posOffset>1</wp:posOffset>
              </wp:positionH>
              <wp:positionV relativeFrom="paragraph">
                <wp:posOffset>190500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 w14:anchorId="7B22603B" id="Straight Arrow Connector 57" o:spid="_x0000_s1026" type="#_x0000_t32" style="position:absolute;margin-left:0;margin-top:15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&#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B73FB"/>
    <w:multiLevelType w:val="hybridMultilevel"/>
    <w:tmpl w:val="EC620044"/>
    <w:lvl w:ilvl="0" w:tplc="8774D782">
      <w:start w:val="1"/>
      <w:numFmt w:val="decimal"/>
      <w:lvlText w:val="%1."/>
      <w:lvlJc w:val="left"/>
      <w:pPr>
        <w:ind w:left="650" w:hanging="428"/>
      </w:pPr>
      <w:rPr>
        <w:rFonts w:ascii="Tw Cen MT" w:eastAsia="Arial" w:hAnsi="Tw Cen MT" w:cs="Arial" w:hint="default"/>
        <w:spacing w:val="-24"/>
        <w:w w:val="99"/>
        <w:sz w:val="24"/>
        <w:szCs w:val="24"/>
        <w:lang w:val="id" w:eastAsia="en-US" w:bidi="ar-SA"/>
      </w:rPr>
    </w:lvl>
    <w:lvl w:ilvl="1" w:tplc="58402532">
      <w:numFmt w:val="bullet"/>
      <w:lvlText w:val="•"/>
      <w:lvlJc w:val="left"/>
      <w:pPr>
        <w:ind w:left="1058" w:hanging="428"/>
      </w:pPr>
      <w:rPr>
        <w:rFonts w:hint="default"/>
        <w:lang w:val="id" w:eastAsia="en-US" w:bidi="ar-SA"/>
      </w:rPr>
    </w:lvl>
    <w:lvl w:ilvl="2" w:tplc="68760A3A">
      <w:numFmt w:val="bullet"/>
      <w:lvlText w:val="•"/>
      <w:lvlJc w:val="left"/>
      <w:pPr>
        <w:ind w:left="1457" w:hanging="428"/>
      </w:pPr>
      <w:rPr>
        <w:rFonts w:hint="default"/>
        <w:lang w:val="id" w:eastAsia="en-US" w:bidi="ar-SA"/>
      </w:rPr>
    </w:lvl>
    <w:lvl w:ilvl="3" w:tplc="D44AA4C0">
      <w:numFmt w:val="bullet"/>
      <w:lvlText w:val="•"/>
      <w:lvlJc w:val="left"/>
      <w:pPr>
        <w:ind w:left="1856" w:hanging="428"/>
      </w:pPr>
      <w:rPr>
        <w:rFonts w:hint="default"/>
        <w:lang w:val="id" w:eastAsia="en-US" w:bidi="ar-SA"/>
      </w:rPr>
    </w:lvl>
    <w:lvl w:ilvl="4" w:tplc="CBF4E6B4">
      <w:numFmt w:val="bullet"/>
      <w:lvlText w:val="•"/>
      <w:lvlJc w:val="left"/>
      <w:pPr>
        <w:ind w:left="2254" w:hanging="428"/>
      </w:pPr>
      <w:rPr>
        <w:rFonts w:hint="default"/>
        <w:lang w:val="id" w:eastAsia="en-US" w:bidi="ar-SA"/>
      </w:rPr>
    </w:lvl>
    <w:lvl w:ilvl="5" w:tplc="3836C45A">
      <w:numFmt w:val="bullet"/>
      <w:lvlText w:val="•"/>
      <w:lvlJc w:val="left"/>
      <w:pPr>
        <w:ind w:left="2653" w:hanging="428"/>
      </w:pPr>
      <w:rPr>
        <w:rFonts w:hint="default"/>
        <w:lang w:val="id" w:eastAsia="en-US" w:bidi="ar-SA"/>
      </w:rPr>
    </w:lvl>
    <w:lvl w:ilvl="6" w:tplc="32B6E1DC">
      <w:numFmt w:val="bullet"/>
      <w:lvlText w:val="•"/>
      <w:lvlJc w:val="left"/>
      <w:pPr>
        <w:ind w:left="3052" w:hanging="428"/>
      </w:pPr>
      <w:rPr>
        <w:rFonts w:hint="default"/>
        <w:lang w:val="id" w:eastAsia="en-US" w:bidi="ar-SA"/>
      </w:rPr>
    </w:lvl>
    <w:lvl w:ilvl="7" w:tplc="300A7734">
      <w:numFmt w:val="bullet"/>
      <w:lvlText w:val="•"/>
      <w:lvlJc w:val="left"/>
      <w:pPr>
        <w:ind w:left="3451" w:hanging="428"/>
      </w:pPr>
      <w:rPr>
        <w:rFonts w:hint="default"/>
        <w:lang w:val="id" w:eastAsia="en-US" w:bidi="ar-SA"/>
      </w:rPr>
    </w:lvl>
    <w:lvl w:ilvl="8" w:tplc="9902585C">
      <w:numFmt w:val="bullet"/>
      <w:lvlText w:val="•"/>
      <w:lvlJc w:val="left"/>
      <w:pPr>
        <w:ind w:left="3849" w:hanging="428"/>
      </w:pPr>
      <w:rPr>
        <w:rFonts w:hint="default"/>
        <w:lang w:val="id" w:eastAsia="en-US" w:bidi="ar-SA"/>
      </w:rPr>
    </w:lvl>
  </w:abstractNum>
  <w:num w:numId="1" w16cid:durableId="210502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53"/>
    <w:rsid w:val="000420FD"/>
    <w:rsid w:val="000B4FD3"/>
    <w:rsid w:val="00103412"/>
    <w:rsid w:val="00114572"/>
    <w:rsid w:val="00122FED"/>
    <w:rsid w:val="0014693C"/>
    <w:rsid w:val="001819BB"/>
    <w:rsid w:val="00222549"/>
    <w:rsid w:val="002C59F8"/>
    <w:rsid w:val="002D3A02"/>
    <w:rsid w:val="00335A5C"/>
    <w:rsid w:val="0039338B"/>
    <w:rsid w:val="004265DF"/>
    <w:rsid w:val="004670AF"/>
    <w:rsid w:val="004D0AD1"/>
    <w:rsid w:val="00525631"/>
    <w:rsid w:val="00552F53"/>
    <w:rsid w:val="005C1B49"/>
    <w:rsid w:val="00645525"/>
    <w:rsid w:val="006755EB"/>
    <w:rsid w:val="006F483A"/>
    <w:rsid w:val="006F54C6"/>
    <w:rsid w:val="007005C1"/>
    <w:rsid w:val="007008E8"/>
    <w:rsid w:val="00736F53"/>
    <w:rsid w:val="00744F66"/>
    <w:rsid w:val="00753E05"/>
    <w:rsid w:val="007A661E"/>
    <w:rsid w:val="007D7008"/>
    <w:rsid w:val="007E2FAB"/>
    <w:rsid w:val="008A3A1D"/>
    <w:rsid w:val="008F4C59"/>
    <w:rsid w:val="008F5653"/>
    <w:rsid w:val="00996F5C"/>
    <w:rsid w:val="009A23BF"/>
    <w:rsid w:val="00A9411E"/>
    <w:rsid w:val="00B00D27"/>
    <w:rsid w:val="00B45DCC"/>
    <w:rsid w:val="00C8561A"/>
    <w:rsid w:val="00CF7312"/>
    <w:rsid w:val="00D4179D"/>
    <w:rsid w:val="00D63C10"/>
    <w:rsid w:val="00D77097"/>
    <w:rsid w:val="00DE523C"/>
    <w:rsid w:val="00E30C2A"/>
    <w:rsid w:val="00ED2279"/>
    <w:rsid w:val="00EE1B38"/>
    <w:rsid w:val="00FB6355"/>
    <w:rsid w:val="00FF083A"/>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1"/>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0420FD"/>
    <w:pPr>
      <w:widowControl w:val="0"/>
      <w:autoSpaceDE w:val="0"/>
      <w:autoSpaceDN w:val="0"/>
      <w:spacing w:after="0" w:line="240" w:lineRule="auto"/>
      <w:ind w:left="143"/>
      <w:jc w:val="both"/>
    </w:pPr>
    <w:rPr>
      <w:rFonts w:ascii="Arial" w:eastAsia="Arial" w:hAnsi="Arial" w:cs="Arial"/>
      <w:sz w:val="18"/>
      <w:szCs w:val="18"/>
      <w:lang w:val="id"/>
    </w:rPr>
  </w:style>
  <w:style w:type="character" w:customStyle="1" w:styleId="BodyTextChar">
    <w:name w:val="Body Text Char"/>
    <w:basedOn w:val="DefaultParagraphFont"/>
    <w:link w:val="BodyText"/>
    <w:uiPriority w:val="1"/>
    <w:rsid w:val="000420FD"/>
    <w:rPr>
      <w:rFonts w:ascii="Arial" w:eastAsia="Arial" w:hAnsi="Arial" w:cs="Arial"/>
      <w:sz w:val="18"/>
      <w:szCs w:val="18"/>
      <w:lang w:val="id"/>
    </w:rPr>
  </w:style>
  <w:style w:type="paragraph" w:customStyle="1" w:styleId="TableParagraph">
    <w:name w:val="Table Paragraph"/>
    <w:basedOn w:val="Normal"/>
    <w:uiPriority w:val="1"/>
    <w:qFormat/>
    <w:rsid w:val="000420FD"/>
    <w:pPr>
      <w:widowControl w:val="0"/>
      <w:autoSpaceDE w:val="0"/>
      <w:autoSpaceDN w:val="0"/>
      <w:spacing w:before="43" w:after="0" w:line="240" w:lineRule="auto"/>
      <w:jc w:val="center"/>
    </w:pPr>
    <w:rPr>
      <w:rFonts w:ascii="Arial" w:eastAsia="Arial" w:hAnsi="Arial" w:cs="Arial"/>
      <w:sz w:val="22"/>
      <w:szCs w:val="22"/>
      <w:lang w:val="id"/>
    </w:rPr>
  </w:style>
  <w:style w:type="paragraph" w:styleId="HTMLPreformatted">
    <w:name w:val="HTML Preformatted"/>
    <w:basedOn w:val="Normal"/>
    <w:link w:val="HTMLPreformattedChar"/>
    <w:uiPriority w:val="99"/>
    <w:semiHidden/>
    <w:unhideWhenUsed/>
    <w:rsid w:val="00744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4F66"/>
    <w:rPr>
      <w:rFonts w:ascii="Courier New" w:eastAsia="Times New Roman" w:hAnsi="Courier New" w:cs="Courier New"/>
      <w:sz w:val="20"/>
      <w:szCs w:val="20"/>
    </w:rPr>
  </w:style>
  <w:style w:type="character" w:customStyle="1" w:styleId="y2iqfc">
    <w:name w:val="y2iqfc"/>
    <w:basedOn w:val="DefaultParagraphFont"/>
    <w:rsid w:val="00744F66"/>
  </w:style>
  <w:style w:type="character" w:styleId="CommentReference">
    <w:name w:val="annotation reference"/>
    <w:basedOn w:val="DefaultParagraphFont"/>
    <w:uiPriority w:val="99"/>
    <w:semiHidden/>
    <w:unhideWhenUsed/>
    <w:rsid w:val="00A9411E"/>
    <w:rPr>
      <w:sz w:val="16"/>
      <w:szCs w:val="16"/>
    </w:rPr>
  </w:style>
  <w:style w:type="paragraph" w:styleId="CommentText">
    <w:name w:val="annotation text"/>
    <w:basedOn w:val="Normal"/>
    <w:link w:val="CommentTextChar"/>
    <w:uiPriority w:val="99"/>
    <w:unhideWhenUsed/>
    <w:rsid w:val="00A9411E"/>
    <w:pPr>
      <w:spacing w:line="240" w:lineRule="auto"/>
    </w:pPr>
    <w:rPr>
      <w:sz w:val="20"/>
      <w:szCs w:val="20"/>
    </w:rPr>
  </w:style>
  <w:style w:type="character" w:customStyle="1" w:styleId="CommentTextChar">
    <w:name w:val="Comment Text Char"/>
    <w:basedOn w:val="DefaultParagraphFont"/>
    <w:link w:val="CommentText"/>
    <w:uiPriority w:val="99"/>
    <w:rsid w:val="00A941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9411E"/>
    <w:rPr>
      <w:b/>
      <w:bCs/>
    </w:rPr>
  </w:style>
  <w:style w:type="character" w:customStyle="1" w:styleId="CommentSubjectChar">
    <w:name w:val="Comment Subject Char"/>
    <w:basedOn w:val="CommentTextChar"/>
    <w:link w:val="CommentSubject"/>
    <w:uiPriority w:val="99"/>
    <w:semiHidden/>
    <w:rsid w:val="00A9411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68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2812</Words>
  <Characters>16034</Characters>
  <Application>Microsoft Office Word</Application>
  <DocSecurity>0</DocSecurity>
  <Lines>133</Lines>
  <Paragraphs>37</Paragraphs>
  <ScaleCrop>false</ScaleCrop>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2023-07-06T03:51:00Z</dcterms:created>
  <dcterms:modified xsi:type="dcterms:W3CDTF">2023-07-06T03:51:00Z</dcterms:modified>
</cp:coreProperties>
</file>