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7BAE" w14:textId="77777777" w:rsidR="00480970" w:rsidRDefault="00480970" w:rsidP="00480970">
      <w:pPr>
        <w:spacing w:after="0" w:line="240" w:lineRule="auto"/>
        <w:jc w:val="center"/>
        <w:rPr>
          <w:rFonts w:ascii="Tw Cen MT" w:eastAsia="Twentieth Century" w:hAnsi="Tw Cen MT" w:cs="Twentieth Century"/>
          <w:b/>
          <w:sz w:val="32"/>
          <w:szCs w:val="32"/>
          <w:lang w:val="en"/>
        </w:rPr>
      </w:pPr>
      <w:r w:rsidRPr="00C779C8">
        <w:rPr>
          <w:rFonts w:ascii="Tw Cen MT" w:eastAsia="Twentieth Century" w:hAnsi="Tw Cen MT" w:cs="Twentieth Century"/>
          <w:b/>
          <w:sz w:val="32"/>
          <w:szCs w:val="32"/>
          <w:lang w:val="en"/>
        </w:rPr>
        <w:t xml:space="preserve">The Effect of </w:t>
      </w:r>
      <w:r w:rsidRPr="008E41C7">
        <w:rPr>
          <w:rFonts w:ascii="Tw Cen MT" w:eastAsia="Twentieth Century" w:hAnsi="Tw Cen MT" w:cs="Twentieth Century"/>
          <w:b/>
          <w:i/>
          <w:iCs/>
          <w:sz w:val="32"/>
          <w:szCs w:val="32"/>
          <w:lang w:val="en"/>
        </w:rPr>
        <w:t>Phoenix Dactylifera</w:t>
      </w:r>
      <w:r w:rsidRPr="00C779C8">
        <w:rPr>
          <w:rFonts w:ascii="Tw Cen MT" w:eastAsia="Twentieth Century" w:hAnsi="Tw Cen MT" w:cs="Twentieth Century"/>
          <w:b/>
          <w:sz w:val="32"/>
          <w:szCs w:val="32"/>
          <w:lang w:val="en"/>
        </w:rPr>
        <w:t xml:space="preserve"> on Uterine Contraction in </w:t>
      </w:r>
      <w:r>
        <w:rPr>
          <w:rFonts w:ascii="Tw Cen MT" w:eastAsia="Twentieth Century" w:hAnsi="Tw Cen MT" w:cs="Twentieth Century"/>
          <w:b/>
          <w:sz w:val="32"/>
          <w:szCs w:val="32"/>
          <w:lang w:val="en"/>
        </w:rPr>
        <w:t>Labor</w:t>
      </w:r>
    </w:p>
    <w:p w14:paraId="667D36B9" w14:textId="6E6D5DAC" w:rsidR="00480970" w:rsidRDefault="00480970" w:rsidP="00480970">
      <w:pPr>
        <w:spacing w:after="0" w:line="240" w:lineRule="auto"/>
        <w:jc w:val="center"/>
        <w:rPr>
          <w:rFonts w:ascii="Tw Cen MT" w:eastAsia="Twentieth Century" w:hAnsi="Tw Cen MT" w:cs="Twentieth Century"/>
          <w:b/>
          <w:sz w:val="32"/>
          <w:szCs w:val="32"/>
          <w:lang w:val="en"/>
        </w:rPr>
      </w:pPr>
      <w:r w:rsidRPr="00C779C8">
        <w:rPr>
          <w:rFonts w:ascii="Tw Cen MT" w:eastAsia="Twentieth Century" w:hAnsi="Tw Cen MT" w:cs="Twentieth Century"/>
          <w:b/>
          <w:sz w:val="32"/>
          <w:szCs w:val="32"/>
          <w:lang w:val="en"/>
        </w:rPr>
        <w:t xml:space="preserve"> </w:t>
      </w:r>
    </w:p>
    <w:p w14:paraId="071DCDFB" w14:textId="6CA936BD" w:rsidR="000404EE" w:rsidRPr="000404EE" w:rsidRDefault="00480970" w:rsidP="00480970">
      <w:pPr>
        <w:widowControl w:val="0"/>
        <w:spacing w:after="0" w:line="218" w:lineRule="auto"/>
        <w:ind w:left="7" w:right="-20"/>
        <w:jc w:val="center"/>
        <w:rPr>
          <w:rFonts w:ascii="Tw Cen MT" w:hAnsi="Tw Cen MT"/>
          <w:b/>
          <w:bCs/>
          <w:sz w:val="32"/>
          <w:szCs w:val="32"/>
        </w:rPr>
      </w:pPr>
      <w:proofErr w:type="spellStart"/>
      <w:r w:rsidRPr="006D7C15">
        <w:rPr>
          <w:rFonts w:ascii="Tw Cen MT" w:eastAsia="Twentieth Century" w:hAnsi="Tw Cen MT" w:cs="Twentieth Century"/>
          <w:b/>
          <w:sz w:val="32"/>
          <w:szCs w:val="32"/>
          <w:lang w:val="en-ID"/>
        </w:rPr>
        <w:t>Pengaruh</w:t>
      </w:r>
      <w:proofErr w:type="spellEnd"/>
      <w:r w:rsidRPr="006D7C15">
        <w:rPr>
          <w:rFonts w:ascii="Tw Cen MT" w:eastAsia="Twentieth Century" w:hAnsi="Tw Cen MT" w:cs="Twentieth Century"/>
          <w:b/>
          <w:sz w:val="32"/>
          <w:szCs w:val="32"/>
          <w:lang w:val="en-ID"/>
        </w:rPr>
        <w:t xml:space="preserve"> </w:t>
      </w:r>
      <w:r w:rsidRPr="006D7C15">
        <w:rPr>
          <w:rFonts w:ascii="Tw Cen MT" w:eastAsia="Twentieth Century" w:hAnsi="Tw Cen MT" w:cs="Twentieth Century"/>
          <w:b/>
          <w:i/>
          <w:iCs/>
          <w:sz w:val="32"/>
          <w:szCs w:val="32"/>
          <w:lang w:val="en-ID"/>
        </w:rPr>
        <w:t>Phoenix Dactylifera</w:t>
      </w:r>
      <w:r w:rsidRPr="006D7C15">
        <w:rPr>
          <w:rFonts w:ascii="Tw Cen MT" w:eastAsia="Twentieth Century" w:hAnsi="Tw Cen MT" w:cs="Twentieth Century"/>
          <w:b/>
          <w:sz w:val="32"/>
          <w:szCs w:val="32"/>
          <w:lang w:val="en-ID"/>
        </w:rPr>
        <w:t xml:space="preserve"> </w:t>
      </w:r>
      <w:proofErr w:type="spellStart"/>
      <w:r w:rsidRPr="006D7C15">
        <w:rPr>
          <w:rFonts w:ascii="Tw Cen MT" w:eastAsia="Twentieth Century" w:hAnsi="Tw Cen MT" w:cs="Twentieth Century"/>
          <w:b/>
          <w:sz w:val="32"/>
          <w:szCs w:val="32"/>
          <w:lang w:val="en-ID"/>
        </w:rPr>
        <w:t>terhadap</w:t>
      </w:r>
      <w:proofErr w:type="spellEnd"/>
      <w:r w:rsidRPr="006D7C15">
        <w:rPr>
          <w:rFonts w:ascii="Tw Cen MT" w:eastAsia="Twentieth Century" w:hAnsi="Tw Cen MT" w:cs="Twentieth Century"/>
          <w:b/>
          <w:sz w:val="32"/>
          <w:szCs w:val="32"/>
          <w:lang w:val="en-ID"/>
        </w:rPr>
        <w:t xml:space="preserve"> </w:t>
      </w:r>
      <w:proofErr w:type="spellStart"/>
      <w:r w:rsidRPr="006D7C15">
        <w:rPr>
          <w:rFonts w:ascii="Tw Cen MT" w:eastAsia="Twentieth Century" w:hAnsi="Tw Cen MT" w:cs="Twentieth Century"/>
          <w:b/>
          <w:sz w:val="32"/>
          <w:szCs w:val="32"/>
          <w:lang w:val="en-ID"/>
        </w:rPr>
        <w:t>Kontraksi</w:t>
      </w:r>
      <w:proofErr w:type="spellEnd"/>
      <w:r w:rsidRPr="006D7C15">
        <w:rPr>
          <w:rFonts w:ascii="Tw Cen MT" w:eastAsia="Twentieth Century" w:hAnsi="Tw Cen MT" w:cs="Twentieth Century"/>
          <w:b/>
          <w:sz w:val="32"/>
          <w:szCs w:val="32"/>
          <w:lang w:val="en-ID"/>
        </w:rPr>
        <w:t xml:space="preserve"> Uterus pada </w:t>
      </w:r>
      <w:proofErr w:type="spellStart"/>
      <w:r w:rsidRPr="006D7C15">
        <w:rPr>
          <w:rFonts w:ascii="Tw Cen MT" w:eastAsia="Twentieth Century" w:hAnsi="Tw Cen MT" w:cs="Twentieth Century"/>
          <w:b/>
          <w:sz w:val="32"/>
          <w:szCs w:val="32"/>
          <w:lang w:val="en-ID"/>
        </w:rPr>
        <w:t>Persalinan</w:t>
      </w:r>
      <w:proofErr w:type="spellEnd"/>
    </w:p>
    <w:p w14:paraId="4CDDBB3C" w14:textId="77777777" w:rsidR="00B65D2F" w:rsidRDefault="00B65D2F" w:rsidP="00464959">
      <w:pPr>
        <w:widowControl w:val="0"/>
        <w:spacing w:after="0" w:line="240" w:lineRule="auto"/>
        <w:ind w:right="-20"/>
        <w:rPr>
          <w:rFonts w:ascii="Tw Cen MT" w:eastAsia="Twentieth Century" w:hAnsi="Tw Cen MT" w:cs="Twentieth Century"/>
          <w:b/>
          <w:sz w:val="32"/>
          <w:szCs w:val="32"/>
        </w:rPr>
      </w:pPr>
    </w:p>
    <w:p w14:paraId="52328F83" w14:textId="77777777" w:rsidR="006168FA" w:rsidRPr="002E23D7" w:rsidRDefault="006168FA" w:rsidP="006168FA">
      <w:pPr>
        <w:widowControl w:val="0"/>
        <w:spacing w:after="0" w:line="218" w:lineRule="auto"/>
        <w:ind w:left="7" w:right="-20"/>
        <w:jc w:val="center"/>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Dinda</w:t>
      </w:r>
      <w:proofErr w:type="spellEnd"/>
      <w:r>
        <w:rPr>
          <w:rFonts w:ascii="Tw Cen MT" w:eastAsia="Twentieth Century" w:hAnsi="Tw Cen MT" w:cs="Twentieth Century"/>
          <w:sz w:val="24"/>
          <w:szCs w:val="24"/>
        </w:rPr>
        <w:t xml:space="preserve"> Kartika Aprilliana</w:t>
      </w:r>
      <w:r w:rsidRPr="006168FA">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Finta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Isti</w:t>
      </w:r>
      <w:proofErr w:type="spellEnd"/>
      <w:r>
        <w:rPr>
          <w:rFonts w:ascii="Tw Cen MT" w:eastAsia="Twentieth Century" w:hAnsi="Tw Cen MT" w:cs="Twentieth Century"/>
          <w:sz w:val="24"/>
          <w:szCs w:val="24"/>
        </w:rPr>
        <w:t xml:space="preserve"> Kundarti</w:t>
      </w:r>
      <w:r w:rsidRPr="006168FA">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rPr>
        <w:t>, Mika Mediawati</w:t>
      </w:r>
      <w:r w:rsidRPr="006168FA">
        <w:rPr>
          <w:rFonts w:ascii="Tw Cen MT" w:eastAsia="Twentieth Century" w:hAnsi="Tw Cen MT" w:cs="Twentieth Century"/>
          <w:sz w:val="24"/>
          <w:szCs w:val="24"/>
          <w:vertAlign w:val="superscript"/>
        </w:rPr>
        <w:t>3</w:t>
      </w:r>
    </w:p>
    <w:p w14:paraId="78B88847" w14:textId="77777777" w:rsidR="006168FA" w:rsidRPr="00C779C8" w:rsidRDefault="006168FA" w:rsidP="006168FA">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1,2,3</w:t>
      </w:r>
      <w:r w:rsidRPr="00C779C8">
        <w:rPr>
          <w:rFonts w:ascii="Tw Cen MT" w:eastAsia="Twentieth Century" w:hAnsi="Tw Cen MT" w:cs="Twentieth Century"/>
          <w:sz w:val="20"/>
          <w:szCs w:val="20"/>
        </w:rPr>
        <w:t xml:space="preserve"> Midwifery Study Program, Health Polytechnic Ministry of Health Malang</w:t>
      </w:r>
    </w:p>
    <w:p w14:paraId="5A50F704" w14:textId="77777777" w:rsidR="006168FA" w:rsidRPr="00C779C8" w:rsidRDefault="006168FA" w:rsidP="006168FA">
      <w:pPr>
        <w:widowControl w:val="0"/>
        <w:spacing w:after="0" w:line="218" w:lineRule="auto"/>
        <w:ind w:left="7" w:right="-20"/>
        <w:jc w:val="center"/>
        <w:rPr>
          <w:rFonts w:ascii="Tw Cen MT" w:eastAsia="Twentieth Century" w:hAnsi="Tw Cen MT" w:cs="Twentieth Century"/>
          <w:sz w:val="20"/>
          <w:szCs w:val="20"/>
        </w:rPr>
      </w:pPr>
      <w:r w:rsidRPr="00C779C8">
        <w:rPr>
          <w:rFonts w:ascii="Tw Cen MT" w:eastAsia="Twentieth Century" w:hAnsi="Tw Cen MT" w:cs="Twentieth Century"/>
          <w:sz w:val="20"/>
          <w:szCs w:val="20"/>
        </w:rPr>
        <w:t xml:space="preserve">Jalan KH. </w:t>
      </w:r>
      <w:proofErr w:type="spellStart"/>
      <w:r w:rsidRPr="00C779C8">
        <w:rPr>
          <w:rFonts w:ascii="Tw Cen MT" w:eastAsia="Twentieth Century" w:hAnsi="Tw Cen MT" w:cs="Twentieth Century"/>
          <w:sz w:val="20"/>
          <w:szCs w:val="20"/>
        </w:rPr>
        <w:t>Wachid</w:t>
      </w:r>
      <w:proofErr w:type="spellEnd"/>
      <w:r w:rsidRPr="00C779C8">
        <w:rPr>
          <w:rFonts w:ascii="Tw Cen MT" w:eastAsia="Twentieth Century" w:hAnsi="Tw Cen MT" w:cs="Twentieth Century"/>
          <w:sz w:val="20"/>
          <w:szCs w:val="20"/>
        </w:rPr>
        <w:t xml:space="preserve"> Hasyim 64B, Bandar Lor, </w:t>
      </w:r>
      <w:proofErr w:type="spellStart"/>
      <w:r w:rsidRPr="00C779C8">
        <w:rPr>
          <w:rFonts w:ascii="Tw Cen MT" w:eastAsia="Twentieth Century" w:hAnsi="Tw Cen MT" w:cs="Twentieth Century"/>
          <w:sz w:val="20"/>
          <w:szCs w:val="20"/>
        </w:rPr>
        <w:t>Mojoroto</w:t>
      </w:r>
      <w:proofErr w:type="spellEnd"/>
      <w:r w:rsidRPr="00C779C8">
        <w:rPr>
          <w:rFonts w:ascii="Tw Cen MT" w:eastAsia="Twentieth Century" w:hAnsi="Tw Cen MT" w:cs="Twentieth Century"/>
          <w:sz w:val="20"/>
          <w:szCs w:val="20"/>
        </w:rPr>
        <w:t>, Kediri City, East Java, Indonesia</w:t>
      </w:r>
    </w:p>
    <w:p w14:paraId="6082F78C" w14:textId="6F212B98" w:rsidR="0043658E" w:rsidRPr="00480970" w:rsidRDefault="006168FA" w:rsidP="006168FA">
      <w:pPr>
        <w:spacing w:after="0"/>
        <w:jc w:val="center"/>
        <w:rPr>
          <w:rStyle w:val="Hyperlink"/>
          <w:rFonts w:ascii="Tw Cen MT" w:eastAsia="Twentieth Century" w:hAnsi="Tw Cen MT" w:cs="Twentieth Century"/>
          <w:color w:val="FF0000"/>
          <w:sz w:val="20"/>
          <w:szCs w:val="20"/>
        </w:rPr>
      </w:pPr>
      <w:r w:rsidRPr="00C779C8">
        <w:rPr>
          <w:rFonts w:ascii="Tw Cen MT" w:eastAsia="Twentieth Century" w:hAnsi="Tw Cen MT" w:cs="Twentieth Century"/>
          <w:sz w:val="20"/>
          <w:szCs w:val="20"/>
        </w:rPr>
        <w:t>E-mail:</w:t>
      </w:r>
      <w:hyperlink r:id="rId10" w:history="1">
        <w:r w:rsidRPr="00FB2342">
          <w:rPr>
            <w:rStyle w:val="Hyperlink"/>
            <w:rFonts w:ascii="Tw Cen MT" w:eastAsia="Twentieth Century" w:hAnsi="Tw Cen MT" w:cs="Twentieth Century"/>
            <w:sz w:val="20"/>
            <w:szCs w:val="20"/>
          </w:rPr>
          <w:t>fintaistikundarti@gmail.com</w:t>
        </w:r>
      </w:hyperlink>
    </w:p>
    <w:p w14:paraId="1B5FA248" w14:textId="77777777" w:rsidR="00E04883" w:rsidRDefault="00000000" w:rsidP="0043658E">
      <w:pPr>
        <w:spacing w:after="0"/>
        <w:jc w:val="center"/>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385A22DE" wp14:editId="0F5C6D7C">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66F3D95"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549A64FB" w14:textId="77777777" w:rsidR="00E04883" w:rsidRDefault="00E04883">
                            <w:pPr>
                              <w:tabs>
                                <w:tab w:val="left" w:pos="567"/>
                              </w:tabs>
                              <w:spacing w:after="0"/>
                              <w:ind w:left="-85"/>
                              <w:rPr>
                                <w:rFonts w:ascii="Arial" w:hAnsi="Arial" w:cs="Arial"/>
                                <w:b/>
                                <w:bCs/>
                                <w:caps/>
                                <w:sz w:val="20"/>
                                <w:szCs w:val="20"/>
                                <w:lang w:val="id-ID"/>
                              </w:rPr>
                            </w:pPr>
                          </w:p>
                          <w:p w14:paraId="4220D896"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0121BF73" w14:textId="204EAE67"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sidRPr="00692A88">
                              <w:rPr>
                                <w:rFonts w:ascii="Tw Cen MT" w:hAnsi="Tw Cen MT" w:cs="Noto Sans"/>
                                <w:color w:val="000000" w:themeColor="text1"/>
                                <w:sz w:val="20"/>
                                <w:szCs w:val="20"/>
                                <w:shd w:val="clear" w:color="auto" w:fill="FFFFFF"/>
                              </w:rPr>
                              <w:t>2023-</w:t>
                            </w:r>
                            <w:r w:rsidR="00994A9E" w:rsidRPr="00692A88">
                              <w:rPr>
                                <w:rFonts w:ascii="Tw Cen MT" w:hAnsi="Tw Cen MT" w:cs="Noto Sans"/>
                                <w:color w:val="000000" w:themeColor="text1"/>
                                <w:sz w:val="20"/>
                                <w:szCs w:val="20"/>
                                <w:shd w:val="clear" w:color="auto" w:fill="FFFFFF"/>
                              </w:rPr>
                              <w:t>0</w:t>
                            </w:r>
                            <w:r w:rsidR="00692A88">
                              <w:rPr>
                                <w:rFonts w:ascii="Tw Cen MT" w:hAnsi="Tw Cen MT" w:cs="Noto Sans"/>
                                <w:color w:val="000000" w:themeColor="text1"/>
                                <w:sz w:val="20"/>
                                <w:szCs w:val="20"/>
                                <w:shd w:val="clear" w:color="auto" w:fill="FFFFFF"/>
                              </w:rPr>
                              <w:t>8</w:t>
                            </w:r>
                            <w:r w:rsidRPr="00692A88">
                              <w:rPr>
                                <w:rFonts w:ascii="Tw Cen MT" w:hAnsi="Tw Cen MT" w:cs="Noto Sans"/>
                                <w:color w:val="000000" w:themeColor="text1"/>
                                <w:sz w:val="20"/>
                                <w:szCs w:val="20"/>
                                <w:shd w:val="clear" w:color="auto" w:fill="FFFFFF"/>
                              </w:rPr>
                              <w:t>-</w:t>
                            </w:r>
                            <w:r w:rsidR="00692A88">
                              <w:rPr>
                                <w:rFonts w:ascii="Tw Cen MT" w:hAnsi="Tw Cen MT" w:cs="Noto Sans"/>
                                <w:color w:val="000000" w:themeColor="text1"/>
                                <w:sz w:val="20"/>
                                <w:szCs w:val="20"/>
                                <w:shd w:val="clear" w:color="auto" w:fill="FFFFFF"/>
                              </w:rPr>
                              <w:t>10</w:t>
                            </w:r>
                            <w:proofErr w:type="gramEnd"/>
                          </w:p>
                          <w:p w14:paraId="06BA40CC" w14:textId="71CC7038"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sidRPr="00692A88">
                              <w:rPr>
                                <w:rFonts w:ascii="Tw Cen MT" w:hAnsi="Tw Cen MT" w:cs="Noto Sans"/>
                                <w:color w:val="000000" w:themeColor="text1"/>
                                <w:sz w:val="20"/>
                                <w:szCs w:val="20"/>
                                <w:shd w:val="clear" w:color="auto" w:fill="FFFFFF"/>
                              </w:rPr>
                              <w:t>2023-</w:t>
                            </w:r>
                            <w:r w:rsidR="003B51AC" w:rsidRPr="00692A88">
                              <w:rPr>
                                <w:rFonts w:ascii="Tw Cen MT" w:hAnsi="Tw Cen MT" w:cs="Noto Sans"/>
                                <w:color w:val="000000" w:themeColor="text1"/>
                                <w:sz w:val="20"/>
                                <w:szCs w:val="20"/>
                                <w:shd w:val="clear" w:color="auto" w:fill="FFFFFF"/>
                              </w:rPr>
                              <w:t>11</w:t>
                            </w:r>
                            <w:r w:rsidRPr="00692A88">
                              <w:rPr>
                                <w:rFonts w:ascii="Tw Cen MT" w:hAnsi="Tw Cen MT" w:cs="Noto Sans"/>
                                <w:color w:val="000000" w:themeColor="text1"/>
                                <w:sz w:val="20"/>
                                <w:szCs w:val="20"/>
                                <w:shd w:val="clear" w:color="auto" w:fill="FFFFFF"/>
                              </w:rPr>
                              <w:t>-</w:t>
                            </w:r>
                            <w:r w:rsidR="00994A9E" w:rsidRPr="00692A88">
                              <w:rPr>
                                <w:rFonts w:ascii="Tw Cen MT" w:hAnsi="Tw Cen MT" w:cs="Noto Sans"/>
                                <w:color w:val="000000" w:themeColor="text1"/>
                                <w:sz w:val="20"/>
                                <w:szCs w:val="20"/>
                                <w:shd w:val="clear" w:color="auto" w:fill="FFFFFF"/>
                              </w:rPr>
                              <w:t>1</w:t>
                            </w:r>
                            <w:r w:rsidR="00692A88">
                              <w:rPr>
                                <w:rFonts w:ascii="Tw Cen MT" w:hAnsi="Tw Cen MT" w:cs="Noto Sans"/>
                                <w:color w:val="000000" w:themeColor="text1"/>
                                <w:sz w:val="20"/>
                                <w:szCs w:val="20"/>
                                <w:shd w:val="clear" w:color="auto" w:fill="FFFFFF"/>
                              </w:rPr>
                              <w:t>7</w:t>
                            </w:r>
                          </w:p>
                          <w:p w14:paraId="3254976C" w14:textId="738E85FC"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sidRPr="00692A88">
                              <w:rPr>
                                <w:rFonts w:ascii="Tw Cen MT" w:hAnsi="Tw Cen MT" w:cs="Noto Sans"/>
                                <w:color w:val="000000" w:themeColor="text1"/>
                                <w:sz w:val="20"/>
                                <w:szCs w:val="20"/>
                                <w:shd w:val="clear" w:color="auto" w:fill="FFFFFF"/>
                              </w:rPr>
                              <w:t>2023-</w:t>
                            </w:r>
                            <w:r w:rsidR="003B51AC" w:rsidRPr="00692A88">
                              <w:rPr>
                                <w:rFonts w:ascii="Tw Cen MT" w:hAnsi="Tw Cen MT" w:cs="Noto Sans"/>
                                <w:color w:val="000000" w:themeColor="text1"/>
                                <w:sz w:val="20"/>
                                <w:szCs w:val="20"/>
                                <w:shd w:val="clear" w:color="auto" w:fill="FFFFFF"/>
                              </w:rPr>
                              <w:t>11</w:t>
                            </w:r>
                            <w:r w:rsidRPr="00692A88">
                              <w:rPr>
                                <w:rFonts w:ascii="Tw Cen MT" w:hAnsi="Tw Cen MT" w:cs="Noto Sans"/>
                                <w:color w:val="000000" w:themeColor="text1"/>
                                <w:sz w:val="20"/>
                                <w:szCs w:val="20"/>
                                <w:shd w:val="clear" w:color="auto" w:fill="FFFFFF"/>
                              </w:rPr>
                              <w:t>-</w:t>
                            </w:r>
                            <w:r w:rsidR="00692A88">
                              <w:rPr>
                                <w:rFonts w:ascii="Tw Cen MT" w:hAnsi="Tw Cen MT" w:cs="Noto Sans"/>
                                <w:color w:val="000000" w:themeColor="text1"/>
                                <w:sz w:val="20"/>
                                <w:szCs w:val="20"/>
                                <w:shd w:val="clear" w:color="auto" w:fill="FFFFFF"/>
                              </w:rPr>
                              <w:t>20</w:t>
                            </w:r>
                            <w:proofErr w:type="gramEnd"/>
                          </w:p>
                          <w:p w14:paraId="7241C9E2"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60EADBC6" w14:textId="77777777" w:rsidR="00E04883" w:rsidRDefault="00E04883">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5A22DE" id="Rectangle 7" o:spid="_x0000_s1026" style="position:absolute;left:0;text-align:left;margin-left:1.4pt;margin-top:12pt;width:153pt;height:9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" fillcolor="white [3201]" stroked="f" strokeweight="2pt">
                <v:textbox>
                  <w:txbxContent>
                    <w:p w14:paraId="666F3D95"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549A64FB" w14:textId="77777777" w:rsidR="00E04883" w:rsidRDefault="00E04883">
                      <w:pPr>
                        <w:tabs>
                          <w:tab w:val="left" w:pos="567"/>
                        </w:tabs>
                        <w:spacing w:after="0"/>
                        <w:ind w:left="-85"/>
                        <w:rPr>
                          <w:rFonts w:ascii="Arial" w:hAnsi="Arial" w:cs="Arial"/>
                          <w:b/>
                          <w:bCs/>
                          <w:caps/>
                          <w:sz w:val="20"/>
                          <w:szCs w:val="20"/>
                          <w:lang w:val="id-ID"/>
                        </w:rPr>
                      </w:pPr>
                    </w:p>
                    <w:p w14:paraId="4220D896"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0121BF73" w14:textId="204EAE67"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sidRPr="00692A88">
                        <w:rPr>
                          <w:rFonts w:ascii="Tw Cen MT" w:hAnsi="Tw Cen MT" w:cs="Noto Sans"/>
                          <w:color w:val="000000" w:themeColor="text1"/>
                          <w:sz w:val="20"/>
                          <w:szCs w:val="20"/>
                          <w:shd w:val="clear" w:color="auto" w:fill="FFFFFF"/>
                        </w:rPr>
                        <w:t>2023-</w:t>
                      </w:r>
                      <w:r w:rsidR="00994A9E" w:rsidRPr="00692A88">
                        <w:rPr>
                          <w:rFonts w:ascii="Tw Cen MT" w:hAnsi="Tw Cen MT" w:cs="Noto Sans"/>
                          <w:color w:val="000000" w:themeColor="text1"/>
                          <w:sz w:val="20"/>
                          <w:szCs w:val="20"/>
                          <w:shd w:val="clear" w:color="auto" w:fill="FFFFFF"/>
                        </w:rPr>
                        <w:t>0</w:t>
                      </w:r>
                      <w:r w:rsidR="00692A88">
                        <w:rPr>
                          <w:rFonts w:ascii="Tw Cen MT" w:hAnsi="Tw Cen MT" w:cs="Noto Sans"/>
                          <w:color w:val="000000" w:themeColor="text1"/>
                          <w:sz w:val="20"/>
                          <w:szCs w:val="20"/>
                          <w:shd w:val="clear" w:color="auto" w:fill="FFFFFF"/>
                        </w:rPr>
                        <w:t>8</w:t>
                      </w:r>
                      <w:r w:rsidRPr="00692A88">
                        <w:rPr>
                          <w:rFonts w:ascii="Tw Cen MT" w:hAnsi="Tw Cen MT" w:cs="Noto Sans"/>
                          <w:color w:val="000000" w:themeColor="text1"/>
                          <w:sz w:val="20"/>
                          <w:szCs w:val="20"/>
                          <w:shd w:val="clear" w:color="auto" w:fill="FFFFFF"/>
                        </w:rPr>
                        <w:t>-</w:t>
                      </w:r>
                      <w:r w:rsidR="00692A88">
                        <w:rPr>
                          <w:rFonts w:ascii="Tw Cen MT" w:hAnsi="Tw Cen MT" w:cs="Noto Sans"/>
                          <w:color w:val="000000" w:themeColor="text1"/>
                          <w:sz w:val="20"/>
                          <w:szCs w:val="20"/>
                          <w:shd w:val="clear" w:color="auto" w:fill="FFFFFF"/>
                        </w:rPr>
                        <w:t>10</w:t>
                      </w:r>
                      <w:proofErr w:type="gramEnd"/>
                    </w:p>
                    <w:p w14:paraId="06BA40CC" w14:textId="71CC7038"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sidRPr="00692A88">
                        <w:rPr>
                          <w:rFonts w:ascii="Tw Cen MT" w:hAnsi="Tw Cen MT" w:cs="Noto Sans"/>
                          <w:color w:val="000000" w:themeColor="text1"/>
                          <w:sz w:val="20"/>
                          <w:szCs w:val="20"/>
                          <w:shd w:val="clear" w:color="auto" w:fill="FFFFFF"/>
                        </w:rPr>
                        <w:t>2023-</w:t>
                      </w:r>
                      <w:r w:rsidR="003B51AC" w:rsidRPr="00692A88">
                        <w:rPr>
                          <w:rFonts w:ascii="Tw Cen MT" w:hAnsi="Tw Cen MT" w:cs="Noto Sans"/>
                          <w:color w:val="000000" w:themeColor="text1"/>
                          <w:sz w:val="20"/>
                          <w:szCs w:val="20"/>
                          <w:shd w:val="clear" w:color="auto" w:fill="FFFFFF"/>
                        </w:rPr>
                        <w:t>11</w:t>
                      </w:r>
                      <w:r w:rsidRPr="00692A88">
                        <w:rPr>
                          <w:rFonts w:ascii="Tw Cen MT" w:hAnsi="Tw Cen MT" w:cs="Noto Sans"/>
                          <w:color w:val="000000" w:themeColor="text1"/>
                          <w:sz w:val="20"/>
                          <w:szCs w:val="20"/>
                          <w:shd w:val="clear" w:color="auto" w:fill="FFFFFF"/>
                        </w:rPr>
                        <w:t>-</w:t>
                      </w:r>
                      <w:r w:rsidR="00994A9E" w:rsidRPr="00692A88">
                        <w:rPr>
                          <w:rFonts w:ascii="Tw Cen MT" w:hAnsi="Tw Cen MT" w:cs="Noto Sans"/>
                          <w:color w:val="000000" w:themeColor="text1"/>
                          <w:sz w:val="20"/>
                          <w:szCs w:val="20"/>
                          <w:shd w:val="clear" w:color="auto" w:fill="FFFFFF"/>
                        </w:rPr>
                        <w:t>1</w:t>
                      </w:r>
                      <w:r w:rsidR="00692A88">
                        <w:rPr>
                          <w:rFonts w:ascii="Tw Cen MT" w:hAnsi="Tw Cen MT" w:cs="Noto Sans"/>
                          <w:color w:val="000000" w:themeColor="text1"/>
                          <w:sz w:val="20"/>
                          <w:szCs w:val="20"/>
                          <w:shd w:val="clear" w:color="auto" w:fill="FFFFFF"/>
                        </w:rPr>
                        <w:t>7</w:t>
                      </w:r>
                    </w:p>
                    <w:p w14:paraId="3254976C" w14:textId="738E85FC"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sidRPr="00692A88">
                        <w:rPr>
                          <w:rFonts w:ascii="Tw Cen MT" w:hAnsi="Tw Cen MT" w:cs="Noto Sans"/>
                          <w:color w:val="000000" w:themeColor="text1"/>
                          <w:sz w:val="20"/>
                          <w:szCs w:val="20"/>
                          <w:shd w:val="clear" w:color="auto" w:fill="FFFFFF"/>
                        </w:rPr>
                        <w:t>2023-</w:t>
                      </w:r>
                      <w:r w:rsidR="003B51AC" w:rsidRPr="00692A88">
                        <w:rPr>
                          <w:rFonts w:ascii="Tw Cen MT" w:hAnsi="Tw Cen MT" w:cs="Noto Sans"/>
                          <w:color w:val="000000" w:themeColor="text1"/>
                          <w:sz w:val="20"/>
                          <w:szCs w:val="20"/>
                          <w:shd w:val="clear" w:color="auto" w:fill="FFFFFF"/>
                        </w:rPr>
                        <w:t>11</w:t>
                      </w:r>
                      <w:r w:rsidRPr="00692A88">
                        <w:rPr>
                          <w:rFonts w:ascii="Tw Cen MT" w:hAnsi="Tw Cen MT" w:cs="Noto Sans"/>
                          <w:color w:val="000000" w:themeColor="text1"/>
                          <w:sz w:val="20"/>
                          <w:szCs w:val="20"/>
                          <w:shd w:val="clear" w:color="auto" w:fill="FFFFFF"/>
                        </w:rPr>
                        <w:t>-</w:t>
                      </w:r>
                      <w:r w:rsidR="00692A88">
                        <w:rPr>
                          <w:rFonts w:ascii="Tw Cen MT" w:hAnsi="Tw Cen MT" w:cs="Noto Sans"/>
                          <w:color w:val="000000" w:themeColor="text1"/>
                          <w:sz w:val="20"/>
                          <w:szCs w:val="20"/>
                          <w:shd w:val="clear" w:color="auto" w:fill="FFFFFF"/>
                        </w:rPr>
                        <w:t>20</w:t>
                      </w:r>
                      <w:proofErr w:type="gramEnd"/>
                    </w:p>
                    <w:p w14:paraId="7241C9E2"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60EADBC6" w14:textId="77777777" w:rsidR="00E04883" w:rsidRDefault="00E04883">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114300" distR="114300" simplePos="0" relativeHeight="251660288" behindDoc="0" locked="0" layoutInCell="1" allowOverlap="1" wp14:anchorId="74F880E0" wp14:editId="67E0F141">
                <wp:simplePos x="0" y="0"/>
                <wp:positionH relativeFrom="column">
                  <wp:posOffset>9525</wp:posOffset>
                </wp:positionH>
                <wp:positionV relativeFrom="paragraph">
                  <wp:posOffset>124460</wp:posOffset>
                </wp:positionV>
                <wp:extent cx="5966460"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21B367BE" id="_x0000_t32" coordsize="21600,21600" o:spt="32" o:oned="t" path="m,l21600,21600e" filled="f">
                <v:path arrowok="t" fillok="f" o:connecttype="none"/>
                <o:lock v:ext="edit" shapetype="t"/>
              </v:shapetype>
              <v:shape id="Straight Arrow Connector 69" o:spid="_x0000_s1026" type="#_x0000_t32" style="position:absolute;margin-left:.75pt;margin-top:9.8pt;width:469.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Di5IYXfAAAADAEAAA8AAABkcnMv&#13;&#10;ZG93bnJldi54bWxMT01PwzAMvSPxHyIjcWNp0TaxrumEGB8Sh0kULrt5jdd0NEnVpGv59xhxgIut&#13;&#10;52c/v5dvJtuKM/Wh8U5BOktAkKu8blyt4OP96eYORIjoNLbekYIvCrApLi9yzLQf3Rudy1gLFnEh&#13;&#10;QwUmxi6TMlSGLIaZ78gxd/S9xciwr6XucWRx28rbJFlKi43jDwY7ejBUfZaDVfBM23J3fBzrF9oP&#13;&#10;i/np1eNovFLXV9N2zeV+DSLSFP8u4CcD+4eCjR384HQQLeMFL3JbLU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OLkhhd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3EE177A0" w14:textId="77777777" w:rsidR="00E04883" w:rsidRDefault="00000000">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6AB71C4D" w14:textId="60702B70" w:rsidR="00E04883" w:rsidRDefault="00000000">
      <w:pPr>
        <w:widowControl w:val="0"/>
        <w:spacing w:after="0" w:line="240"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251663360" behindDoc="1" locked="0" layoutInCell="1" allowOverlap="1" wp14:anchorId="7C751698" wp14:editId="3B944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RA\JURNAL PROTEKSI OJS\ccbys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16000" cy="358140"/>
                    </a:xfrm>
                    <a:prstGeom prst="rect">
                      <a:avLst/>
                    </a:prstGeom>
                    <a:noFill/>
                    <a:ln>
                      <a:noFill/>
                    </a:ln>
                  </pic:spPr>
                </pic:pic>
              </a:graphicData>
            </a:graphic>
          </wp:anchor>
        </w:drawing>
      </w:r>
      <w:r w:rsidR="00480970" w:rsidRPr="00001375">
        <w:rPr>
          <w:rFonts w:ascii="Tw Cen MT" w:eastAsia="Twentieth Century" w:hAnsi="Tw Cen MT" w:cs="Twentieth Century"/>
          <w:i/>
          <w:noProof/>
          <w:color w:val="000000"/>
          <w:sz w:val="20"/>
          <w:szCs w:val="20"/>
          <w:lang w:val="en-ID" w:eastAsia="en-ID"/>
        </w:rPr>
        <w:t xml:space="preserve">Cases of prolonged labor in women </w:t>
      </w:r>
      <w:r w:rsidR="00480970">
        <w:rPr>
          <w:rFonts w:ascii="Tw Cen MT" w:eastAsia="Twentieth Century" w:hAnsi="Tw Cen MT" w:cs="Twentieth Century"/>
          <w:i/>
          <w:noProof/>
          <w:color w:val="000000"/>
          <w:sz w:val="20"/>
          <w:szCs w:val="20"/>
          <w:lang w:val="en-ID" w:eastAsia="en-ID"/>
        </w:rPr>
        <w:t>labor</w:t>
      </w:r>
      <w:r w:rsidR="00480970" w:rsidRPr="00001375">
        <w:rPr>
          <w:rFonts w:ascii="Tw Cen MT" w:eastAsia="Twentieth Century" w:hAnsi="Tw Cen MT" w:cs="Twentieth Century"/>
          <w:i/>
          <w:noProof/>
          <w:color w:val="000000"/>
          <w:sz w:val="20"/>
          <w:szCs w:val="20"/>
          <w:lang w:val="en-ID" w:eastAsia="en-ID"/>
        </w:rPr>
        <w:t xml:space="preserve"> in the world are still relatively high. Inadequate uterine contractions are the leading cause of complications of maternal death worldwide. This study aimed to analyze the Effect </w:t>
      </w:r>
      <w:r w:rsidR="00480970">
        <w:rPr>
          <w:rFonts w:ascii="Tw Cen MT" w:eastAsia="Twentieth Century" w:hAnsi="Tw Cen MT" w:cs="Twentieth Century"/>
          <w:i/>
          <w:noProof/>
          <w:color w:val="000000"/>
          <w:sz w:val="20"/>
          <w:szCs w:val="20"/>
          <w:lang w:val="en-ID" w:eastAsia="en-ID"/>
        </w:rPr>
        <w:t>of Phoenix Dactylifera</w:t>
      </w:r>
      <w:r w:rsidR="00480970" w:rsidRPr="00001375">
        <w:rPr>
          <w:rFonts w:ascii="Tw Cen MT" w:eastAsia="Twentieth Century" w:hAnsi="Tw Cen MT" w:cs="Twentieth Century"/>
          <w:i/>
          <w:noProof/>
          <w:color w:val="000000"/>
          <w:sz w:val="20"/>
          <w:szCs w:val="20"/>
          <w:lang w:val="en-ID" w:eastAsia="en-ID"/>
        </w:rPr>
        <w:t xml:space="preserve"> on uterine contractions in birthing mothers. The method </w:t>
      </w:r>
      <w:r w:rsidR="00480970">
        <w:rPr>
          <w:rFonts w:ascii="Tw Cen MT" w:eastAsia="Twentieth Century" w:hAnsi="Tw Cen MT" w:cs="Twentieth Century"/>
          <w:i/>
          <w:noProof/>
          <w:color w:val="000000"/>
          <w:sz w:val="20"/>
          <w:szCs w:val="20"/>
          <w:lang w:val="en-ID" w:eastAsia="en-ID"/>
        </w:rPr>
        <w:t xml:space="preserve">applied </w:t>
      </w:r>
      <w:r w:rsidR="00480970" w:rsidRPr="00001375">
        <w:rPr>
          <w:rFonts w:ascii="Tw Cen MT" w:eastAsia="Twentieth Century" w:hAnsi="Tw Cen MT" w:cs="Twentieth Century"/>
          <w:i/>
          <w:noProof/>
          <w:color w:val="000000"/>
          <w:sz w:val="20"/>
          <w:szCs w:val="20"/>
          <w:lang w:val="en-ID" w:eastAsia="en-ID"/>
        </w:rPr>
        <w:t xml:space="preserve">in this research </w:t>
      </w:r>
      <w:r w:rsidR="00480970">
        <w:rPr>
          <w:rFonts w:ascii="Tw Cen MT" w:eastAsia="Twentieth Century" w:hAnsi="Tw Cen MT" w:cs="Twentieth Century"/>
          <w:i/>
          <w:noProof/>
          <w:color w:val="000000"/>
          <w:sz w:val="20"/>
          <w:szCs w:val="20"/>
          <w:lang w:val="en-ID" w:eastAsia="en-ID"/>
        </w:rPr>
        <w:t>wa</w:t>
      </w:r>
      <w:r w:rsidR="00480970" w:rsidRPr="00001375">
        <w:rPr>
          <w:rFonts w:ascii="Tw Cen MT" w:eastAsia="Twentieth Century" w:hAnsi="Tw Cen MT" w:cs="Twentieth Century"/>
          <w:i/>
          <w:noProof/>
          <w:color w:val="000000"/>
          <w:sz w:val="20"/>
          <w:szCs w:val="20"/>
          <w:lang w:val="en-ID" w:eastAsia="en-ID"/>
        </w:rPr>
        <w:t>s an experimental Pretest posttest control group design. In this study</w:t>
      </w:r>
      <w:r w:rsidR="00480970">
        <w:rPr>
          <w:rFonts w:ascii="Tw Cen MT" w:eastAsia="Twentieth Century" w:hAnsi="Tw Cen MT" w:cs="Twentieth Century"/>
          <w:i/>
          <w:noProof/>
          <w:color w:val="000000"/>
          <w:sz w:val="20"/>
          <w:szCs w:val="20"/>
          <w:lang w:val="en-ID" w:eastAsia="en-ID"/>
        </w:rPr>
        <w:t>,</w:t>
      </w:r>
      <w:r w:rsidR="00480970" w:rsidRPr="00001375">
        <w:rPr>
          <w:rFonts w:ascii="Tw Cen MT" w:eastAsia="Twentieth Century" w:hAnsi="Tw Cen MT" w:cs="Twentieth Century"/>
          <w:i/>
          <w:noProof/>
          <w:color w:val="000000"/>
          <w:sz w:val="20"/>
          <w:szCs w:val="20"/>
          <w:lang w:val="en-ID" w:eastAsia="en-ID"/>
        </w:rPr>
        <w:t xml:space="preserve"> there were 60 samples, which were divided into two groups. The Paired t-test results on uterine contractions during the pretest-posttest in the intervention group showed significant results, namely a value of 0.000. In the control group, uterine contractions during the pretest-posttest showed an AP value of 0.090. Uterine contractions increased (adequate) </w:t>
      </w:r>
      <w:r w:rsidR="00480970" w:rsidRPr="001175D5">
        <w:rPr>
          <w:rFonts w:ascii="Tw Cen MT" w:eastAsia="Twentieth Century" w:hAnsi="Tw Cen MT" w:cs="Twentieth Century"/>
          <w:i/>
          <w:noProof/>
          <w:color w:val="000000"/>
          <w:sz w:val="20"/>
          <w:szCs w:val="20"/>
          <w:lang w:val="en-ID" w:eastAsia="en-ID"/>
        </w:rPr>
        <w:t>after the mother</w:t>
      </w:r>
      <w:r w:rsidR="00480970">
        <w:rPr>
          <w:rFonts w:ascii="Tw Cen MT" w:eastAsia="Twentieth Century" w:hAnsi="Tw Cen MT" w:cs="Twentieth Century"/>
          <w:i/>
          <w:noProof/>
          <w:color w:val="000000"/>
          <w:sz w:val="20"/>
          <w:szCs w:val="20"/>
          <w:lang w:val="en-ID" w:eastAsia="en-ID"/>
        </w:rPr>
        <w:t>s</w:t>
      </w:r>
      <w:r w:rsidR="00480970" w:rsidRPr="001175D5">
        <w:rPr>
          <w:rFonts w:ascii="Tw Cen MT" w:eastAsia="Twentieth Century" w:hAnsi="Tw Cen MT" w:cs="Twentieth Century"/>
          <w:i/>
          <w:noProof/>
          <w:color w:val="000000"/>
          <w:sz w:val="20"/>
          <w:szCs w:val="20"/>
          <w:lang w:val="en-ID" w:eastAsia="en-ID"/>
        </w:rPr>
        <w:t xml:space="preserve"> w</w:t>
      </w:r>
      <w:r w:rsidR="00480970">
        <w:rPr>
          <w:rFonts w:ascii="Tw Cen MT" w:eastAsia="Twentieth Century" w:hAnsi="Tw Cen MT" w:cs="Twentieth Century"/>
          <w:i/>
          <w:noProof/>
          <w:color w:val="000000"/>
          <w:sz w:val="20"/>
          <w:szCs w:val="20"/>
          <w:lang w:val="en-ID" w:eastAsia="en-ID"/>
        </w:rPr>
        <w:t>ere</w:t>
      </w:r>
      <w:r w:rsidR="00480970" w:rsidRPr="001175D5">
        <w:rPr>
          <w:rFonts w:ascii="Tw Cen MT" w:eastAsia="Twentieth Century" w:hAnsi="Tw Cen MT" w:cs="Twentieth Century"/>
          <w:i/>
          <w:noProof/>
          <w:color w:val="000000"/>
          <w:sz w:val="20"/>
          <w:szCs w:val="20"/>
          <w:lang w:val="en-ID" w:eastAsia="en-ID"/>
        </w:rPr>
        <w:t xml:space="preserve"> given dates</w:t>
      </w:r>
      <w:r w:rsidR="00480970">
        <w:rPr>
          <w:rFonts w:ascii="Tw Cen MT" w:eastAsia="Twentieth Century" w:hAnsi="Tw Cen MT" w:cs="Twentieth Century"/>
          <w:i/>
          <w:noProof/>
          <w:color w:val="000000"/>
          <w:sz w:val="20"/>
          <w:szCs w:val="20"/>
          <w:lang w:val="en-ID" w:eastAsia="en-ID"/>
        </w:rPr>
        <w:t>.</w:t>
      </w:r>
    </w:p>
    <w:p w14:paraId="0DC59463" w14:textId="77777777" w:rsidR="0022440B" w:rsidRDefault="00000000" w:rsidP="0022440B">
      <w:pPr>
        <w:widowControl w:val="0"/>
        <w:spacing w:after="0" w:line="240" w:lineRule="auto"/>
        <w:ind w:left="3150" w:right="-19"/>
        <w:jc w:val="both"/>
        <w:rPr>
          <w:rFonts w:ascii="Tw Cen MT" w:hAnsi="Tw Cen MT" w:cs="Arial"/>
          <w:i/>
          <w:iCs/>
        </w:rPr>
      </w:pPr>
      <w:r>
        <w:rPr>
          <w:rFonts w:ascii="Tw Cen MT" w:eastAsia="Twentieth Century" w:hAnsi="Tw Cen MT" w:cs="Twentieth Century"/>
          <w:b/>
          <w:i/>
          <w:sz w:val="20"/>
          <w:szCs w:val="20"/>
        </w:rPr>
        <w:t>Keywords:</w:t>
      </w:r>
      <w:r w:rsidR="0022440B" w:rsidRPr="0022440B">
        <w:rPr>
          <w:rFonts w:ascii="Tw Cen MT" w:hAnsi="Tw Cen MT" w:cs="Arial"/>
          <w:i/>
          <w:iCs/>
        </w:rPr>
        <w:t xml:space="preserve"> </w:t>
      </w:r>
    </w:p>
    <w:p w14:paraId="6FDA4858" w14:textId="21493CD3" w:rsidR="00B65D2F" w:rsidRDefault="00480970" w:rsidP="0022440B">
      <w:pPr>
        <w:widowControl w:val="0"/>
        <w:spacing w:after="0" w:line="240" w:lineRule="auto"/>
        <w:ind w:left="3150" w:right="-19"/>
        <w:jc w:val="both"/>
        <w:rPr>
          <w:rFonts w:ascii="Tw Cen MT" w:hAnsi="Tw Cen MT" w:cs="Arial"/>
          <w:i/>
          <w:iCs/>
        </w:rPr>
      </w:pPr>
      <w:r>
        <w:rPr>
          <w:rFonts w:ascii="Tw Cen MT" w:eastAsia="Twentieth Century" w:hAnsi="Tw Cen MT" w:cs="Twentieth Century"/>
          <w:i/>
          <w:sz w:val="20"/>
          <w:szCs w:val="20"/>
        </w:rPr>
        <w:t>Phoenix Dactylifera;</w:t>
      </w:r>
      <w:r w:rsidRPr="00C779C8">
        <w:rPr>
          <w:rFonts w:ascii="Tw Cen MT" w:eastAsia="Twentieth Century" w:hAnsi="Tw Cen MT" w:cs="Twentieth Century"/>
          <w:i/>
          <w:sz w:val="20"/>
          <w:szCs w:val="20"/>
        </w:rPr>
        <w:t xml:space="preserve"> </w:t>
      </w:r>
      <w:r w:rsidR="00692A88">
        <w:rPr>
          <w:rFonts w:ascii="Tw Cen MT" w:eastAsia="Twentieth Century" w:hAnsi="Tw Cen MT" w:cs="Twentieth Century"/>
          <w:i/>
          <w:sz w:val="20"/>
          <w:szCs w:val="20"/>
        </w:rPr>
        <w:t>U</w:t>
      </w:r>
      <w:r w:rsidRPr="00C779C8">
        <w:rPr>
          <w:rFonts w:ascii="Tw Cen MT" w:eastAsia="Twentieth Century" w:hAnsi="Tw Cen MT" w:cs="Twentieth Century"/>
          <w:i/>
          <w:sz w:val="20"/>
          <w:szCs w:val="20"/>
        </w:rPr>
        <w:t xml:space="preserve">terine </w:t>
      </w:r>
      <w:r w:rsidR="00692A88">
        <w:rPr>
          <w:rFonts w:ascii="Tw Cen MT" w:eastAsia="Twentieth Century" w:hAnsi="Tw Cen MT" w:cs="Twentieth Century"/>
          <w:i/>
          <w:sz w:val="20"/>
          <w:szCs w:val="20"/>
        </w:rPr>
        <w:t>C</w:t>
      </w:r>
      <w:r w:rsidRPr="00C779C8">
        <w:rPr>
          <w:rFonts w:ascii="Tw Cen MT" w:eastAsia="Twentieth Century" w:hAnsi="Tw Cen MT" w:cs="Twentieth Century"/>
          <w:i/>
          <w:sz w:val="20"/>
          <w:szCs w:val="20"/>
        </w:rPr>
        <w:t>ontractions</w:t>
      </w:r>
      <w:r>
        <w:rPr>
          <w:rFonts w:ascii="Tw Cen MT" w:eastAsia="Twentieth Century" w:hAnsi="Tw Cen MT" w:cs="Twentieth Century"/>
          <w:i/>
          <w:sz w:val="20"/>
          <w:szCs w:val="20"/>
        </w:rPr>
        <w:t>;</w:t>
      </w:r>
      <w:r w:rsidRPr="00C779C8">
        <w:rPr>
          <w:rFonts w:ascii="Tw Cen MT" w:eastAsia="Twentieth Century" w:hAnsi="Tw Cen MT" w:cs="Twentieth Century"/>
          <w:i/>
          <w:sz w:val="20"/>
          <w:szCs w:val="20"/>
        </w:rPr>
        <w:t xml:space="preserve"> </w:t>
      </w:r>
      <w:r w:rsidR="00692A88">
        <w:rPr>
          <w:rFonts w:ascii="Tw Cen MT" w:eastAsia="Twentieth Century" w:hAnsi="Tw Cen MT" w:cs="Twentieth Century"/>
          <w:i/>
          <w:sz w:val="20"/>
          <w:szCs w:val="20"/>
        </w:rPr>
        <w:t>L</w:t>
      </w:r>
      <w:r w:rsidRPr="00C779C8">
        <w:rPr>
          <w:rFonts w:ascii="Tw Cen MT" w:eastAsia="Twentieth Century" w:hAnsi="Tw Cen MT" w:cs="Twentieth Century"/>
          <w:i/>
          <w:sz w:val="20"/>
          <w:szCs w:val="20"/>
        </w:rPr>
        <w:t xml:space="preserve">abor </w:t>
      </w:r>
      <w:r w:rsidR="00692A88">
        <w:rPr>
          <w:rFonts w:ascii="Tw Cen MT" w:eastAsia="Twentieth Century" w:hAnsi="Tw Cen MT" w:cs="Twentieth Century"/>
          <w:i/>
          <w:sz w:val="20"/>
          <w:szCs w:val="20"/>
        </w:rPr>
        <w:t>M</w:t>
      </w:r>
      <w:r w:rsidRPr="00C779C8">
        <w:rPr>
          <w:rFonts w:ascii="Tw Cen MT" w:eastAsia="Twentieth Century" w:hAnsi="Tw Cen MT" w:cs="Twentieth Century"/>
          <w:i/>
          <w:sz w:val="20"/>
          <w:szCs w:val="20"/>
        </w:rPr>
        <w:t>other</w:t>
      </w:r>
    </w:p>
    <w:p w14:paraId="24164285" w14:textId="77777777" w:rsidR="0022440B" w:rsidRDefault="0022440B" w:rsidP="0022440B">
      <w:pPr>
        <w:widowControl w:val="0"/>
        <w:spacing w:after="0" w:line="240" w:lineRule="auto"/>
        <w:ind w:left="3150" w:right="-19"/>
        <w:jc w:val="both"/>
        <w:rPr>
          <w:rFonts w:ascii="Tw Cen MT" w:eastAsia="Twentieth Century" w:hAnsi="Tw Cen MT" w:cs="Twentieth Century"/>
          <w:b/>
          <w:sz w:val="20"/>
          <w:szCs w:val="20"/>
        </w:rPr>
      </w:pPr>
    </w:p>
    <w:p w14:paraId="0502A72F" w14:textId="77777777" w:rsidR="00E04883" w:rsidRDefault="00000000">
      <w:pPr>
        <w:tabs>
          <w:tab w:val="left" w:pos="426"/>
        </w:tabs>
        <w:spacing w:after="0"/>
        <w:ind w:left="3150"/>
        <w:jc w:val="both"/>
        <w:rPr>
          <w:rFonts w:ascii="Tw Cen MT" w:eastAsia="Twentieth Century" w:hAnsi="Tw Cen MT" w:cs="Twentieth Century"/>
          <w:b/>
          <w:sz w:val="20"/>
          <w:szCs w:val="20"/>
        </w:rPr>
      </w:pPr>
      <w:proofErr w:type="spellStart"/>
      <w:r>
        <w:rPr>
          <w:rFonts w:ascii="Tw Cen MT" w:eastAsia="Twentieth Century" w:hAnsi="Tw Cen MT" w:cs="Twentieth Century"/>
          <w:b/>
          <w:sz w:val="20"/>
          <w:szCs w:val="20"/>
        </w:rPr>
        <w:t>Abstrak</w:t>
      </w:r>
      <w:proofErr w:type="spellEnd"/>
    </w:p>
    <w:p w14:paraId="51D478C2" w14:textId="64D7F093" w:rsidR="00E04883" w:rsidRDefault="00480970">
      <w:pPr>
        <w:tabs>
          <w:tab w:val="left" w:pos="426"/>
        </w:tabs>
        <w:spacing w:after="0" w:line="240" w:lineRule="auto"/>
        <w:ind w:left="3150"/>
        <w:jc w:val="both"/>
        <w:rPr>
          <w:rFonts w:ascii="Tw Cen MT" w:eastAsia="Twentieth Century" w:hAnsi="Tw Cen MT" w:cs="Twentieth Century"/>
          <w:iCs/>
          <w:sz w:val="20"/>
          <w:szCs w:val="20"/>
        </w:rPr>
      </w:pPr>
      <w:proofErr w:type="spellStart"/>
      <w:r w:rsidRPr="00480970">
        <w:rPr>
          <w:rFonts w:ascii="Tw Cen MT" w:eastAsia="Twentieth Century" w:hAnsi="Tw Cen MT" w:cs="Twentieth Century"/>
          <w:iCs/>
          <w:sz w:val="20"/>
          <w:szCs w:val="20"/>
        </w:rPr>
        <w:t>Kasus</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persalinan</w:t>
      </w:r>
      <w:proofErr w:type="spellEnd"/>
      <w:r w:rsidRPr="00480970">
        <w:rPr>
          <w:rFonts w:ascii="Tw Cen MT" w:eastAsia="Twentieth Century" w:hAnsi="Tw Cen MT" w:cs="Twentieth Century"/>
          <w:iCs/>
          <w:sz w:val="20"/>
          <w:szCs w:val="20"/>
        </w:rPr>
        <w:t xml:space="preserve"> lama pada </w:t>
      </w:r>
      <w:proofErr w:type="spellStart"/>
      <w:r w:rsidRPr="00480970">
        <w:rPr>
          <w:rFonts w:ascii="Tw Cen MT" w:eastAsia="Twentieth Century" w:hAnsi="Tw Cen MT" w:cs="Twentieth Century"/>
          <w:iCs/>
          <w:sz w:val="20"/>
          <w:szCs w:val="20"/>
        </w:rPr>
        <w:t>pekerja</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perempuan</w:t>
      </w:r>
      <w:proofErr w:type="spellEnd"/>
      <w:r w:rsidRPr="00480970">
        <w:rPr>
          <w:rFonts w:ascii="Tw Cen MT" w:eastAsia="Twentieth Century" w:hAnsi="Tw Cen MT" w:cs="Twentieth Century"/>
          <w:iCs/>
          <w:sz w:val="20"/>
          <w:szCs w:val="20"/>
        </w:rPr>
        <w:t xml:space="preserve"> di dunia </w:t>
      </w:r>
      <w:proofErr w:type="spellStart"/>
      <w:r w:rsidRPr="00480970">
        <w:rPr>
          <w:rFonts w:ascii="Tw Cen MT" w:eastAsia="Twentieth Century" w:hAnsi="Tw Cen MT" w:cs="Twentieth Century"/>
          <w:iCs/>
          <w:sz w:val="20"/>
          <w:szCs w:val="20"/>
        </w:rPr>
        <w:t>masih</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cukup</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tinggi</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Kontraksi</w:t>
      </w:r>
      <w:proofErr w:type="spellEnd"/>
      <w:r w:rsidRPr="00480970">
        <w:rPr>
          <w:rFonts w:ascii="Tw Cen MT" w:eastAsia="Twentieth Century" w:hAnsi="Tw Cen MT" w:cs="Twentieth Century"/>
          <w:iCs/>
          <w:sz w:val="20"/>
          <w:szCs w:val="20"/>
        </w:rPr>
        <w:t xml:space="preserve"> uterus yang </w:t>
      </w:r>
      <w:proofErr w:type="spellStart"/>
      <w:r w:rsidRPr="00480970">
        <w:rPr>
          <w:rFonts w:ascii="Tw Cen MT" w:eastAsia="Twentieth Century" w:hAnsi="Tw Cen MT" w:cs="Twentieth Century"/>
          <w:iCs/>
          <w:sz w:val="20"/>
          <w:szCs w:val="20"/>
        </w:rPr>
        <w:t>tidak</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adekuat</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merupakan</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penyebab</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utama</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komplikasi</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kematian</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ibu</w:t>
      </w:r>
      <w:proofErr w:type="spellEnd"/>
      <w:r w:rsidRPr="00480970">
        <w:rPr>
          <w:rFonts w:ascii="Tw Cen MT" w:eastAsia="Twentieth Century" w:hAnsi="Tw Cen MT" w:cs="Twentieth Century"/>
          <w:iCs/>
          <w:sz w:val="20"/>
          <w:szCs w:val="20"/>
        </w:rPr>
        <w:t xml:space="preserve"> di </w:t>
      </w:r>
      <w:proofErr w:type="spellStart"/>
      <w:r w:rsidRPr="00480970">
        <w:rPr>
          <w:rFonts w:ascii="Tw Cen MT" w:eastAsia="Twentieth Century" w:hAnsi="Tw Cen MT" w:cs="Twentieth Century"/>
          <w:iCs/>
          <w:sz w:val="20"/>
          <w:szCs w:val="20"/>
        </w:rPr>
        <w:t>seluruh</w:t>
      </w:r>
      <w:proofErr w:type="spellEnd"/>
      <w:r w:rsidRPr="00480970">
        <w:rPr>
          <w:rFonts w:ascii="Tw Cen MT" w:eastAsia="Twentieth Century" w:hAnsi="Tw Cen MT" w:cs="Twentieth Century"/>
          <w:iCs/>
          <w:sz w:val="20"/>
          <w:szCs w:val="20"/>
        </w:rPr>
        <w:t xml:space="preserve"> dunia. </w:t>
      </w:r>
      <w:proofErr w:type="spellStart"/>
      <w:r w:rsidRPr="00480970">
        <w:rPr>
          <w:rFonts w:ascii="Tw Cen MT" w:eastAsia="Twentieth Century" w:hAnsi="Tw Cen MT" w:cs="Twentieth Century"/>
          <w:iCs/>
          <w:sz w:val="20"/>
          <w:szCs w:val="20"/>
        </w:rPr>
        <w:t>Tujuan</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penelitian</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ini</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adalah</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menganalisis</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pengaruh</w:t>
      </w:r>
      <w:proofErr w:type="spellEnd"/>
      <w:r w:rsidRPr="00480970">
        <w:rPr>
          <w:rFonts w:ascii="Tw Cen MT" w:eastAsia="Twentieth Century" w:hAnsi="Tw Cen MT" w:cs="Twentieth Century"/>
          <w:iCs/>
          <w:sz w:val="20"/>
          <w:szCs w:val="20"/>
        </w:rPr>
        <w:t xml:space="preserve"> Phoenix Dactylifera </w:t>
      </w:r>
      <w:proofErr w:type="spellStart"/>
      <w:r w:rsidRPr="00480970">
        <w:rPr>
          <w:rFonts w:ascii="Tw Cen MT" w:eastAsia="Twentieth Century" w:hAnsi="Tw Cen MT" w:cs="Twentieth Century"/>
          <w:iCs/>
          <w:sz w:val="20"/>
          <w:szCs w:val="20"/>
        </w:rPr>
        <w:t>terhadap</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kontraksi</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rahim</w:t>
      </w:r>
      <w:proofErr w:type="spellEnd"/>
      <w:r w:rsidRPr="00480970">
        <w:rPr>
          <w:rFonts w:ascii="Tw Cen MT" w:eastAsia="Twentieth Century" w:hAnsi="Tw Cen MT" w:cs="Twentieth Century"/>
          <w:iCs/>
          <w:sz w:val="20"/>
          <w:szCs w:val="20"/>
        </w:rPr>
        <w:t xml:space="preserve"> pada </w:t>
      </w:r>
      <w:proofErr w:type="spellStart"/>
      <w:r w:rsidRPr="00480970">
        <w:rPr>
          <w:rFonts w:ascii="Tw Cen MT" w:eastAsia="Twentieth Century" w:hAnsi="Tw Cen MT" w:cs="Twentieth Century"/>
          <w:iCs/>
          <w:sz w:val="20"/>
          <w:szCs w:val="20"/>
        </w:rPr>
        <w:t>ibu</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bersalin</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Metode</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dalam</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penelitian</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ini</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adalah</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Quasy</w:t>
      </w:r>
      <w:proofErr w:type="spellEnd"/>
      <w:r w:rsidRPr="00480970">
        <w:rPr>
          <w:rFonts w:ascii="Tw Cen MT" w:eastAsia="Twentieth Century" w:hAnsi="Tw Cen MT" w:cs="Twentieth Century"/>
          <w:iCs/>
          <w:sz w:val="20"/>
          <w:szCs w:val="20"/>
        </w:rPr>
        <w:t xml:space="preserve"> Experimental Pretest posttest control group design. Pada </w:t>
      </w:r>
      <w:proofErr w:type="spellStart"/>
      <w:r w:rsidRPr="00480970">
        <w:rPr>
          <w:rFonts w:ascii="Tw Cen MT" w:eastAsia="Twentieth Century" w:hAnsi="Tw Cen MT" w:cs="Twentieth Century"/>
          <w:iCs/>
          <w:sz w:val="20"/>
          <w:szCs w:val="20"/>
        </w:rPr>
        <w:t>penelitian</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ini</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terdapat</w:t>
      </w:r>
      <w:proofErr w:type="spellEnd"/>
      <w:r w:rsidRPr="00480970">
        <w:rPr>
          <w:rFonts w:ascii="Tw Cen MT" w:eastAsia="Twentieth Century" w:hAnsi="Tw Cen MT" w:cs="Twentieth Century"/>
          <w:iCs/>
          <w:sz w:val="20"/>
          <w:szCs w:val="20"/>
        </w:rPr>
        <w:t xml:space="preserve"> 60 </w:t>
      </w:r>
      <w:proofErr w:type="spellStart"/>
      <w:r w:rsidRPr="00480970">
        <w:rPr>
          <w:rFonts w:ascii="Tw Cen MT" w:eastAsia="Twentieth Century" w:hAnsi="Tw Cen MT" w:cs="Twentieth Century"/>
          <w:iCs/>
          <w:sz w:val="20"/>
          <w:szCs w:val="20"/>
        </w:rPr>
        <w:t>sampel</w:t>
      </w:r>
      <w:proofErr w:type="spellEnd"/>
      <w:r w:rsidRPr="00480970">
        <w:rPr>
          <w:rFonts w:ascii="Tw Cen MT" w:eastAsia="Twentieth Century" w:hAnsi="Tw Cen MT" w:cs="Twentieth Century"/>
          <w:iCs/>
          <w:sz w:val="20"/>
          <w:szCs w:val="20"/>
        </w:rPr>
        <w:t xml:space="preserve"> yang </w:t>
      </w:r>
      <w:proofErr w:type="spellStart"/>
      <w:r w:rsidRPr="00480970">
        <w:rPr>
          <w:rFonts w:ascii="Tw Cen MT" w:eastAsia="Twentieth Century" w:hAnsi="Tw Cen MT" w:cs="Twentieth Century"/>
          <w:iCs/>
          <w:sz w:val="20"/>
          <w:szCs w:val="20"/>
        </w:rPr>
        <w:t>dibagi</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menjadi</w:t>
      </w:r>
      <w:proofErr w:type="spellEnd"/>
      <w:r w:rsidRPr="00480970">
        <w:rPr>
          <w:rFonts w:ascii="Tw Cen MT" w:eastAsia="Twentieth Century" w:hAnsi="Tw Cen MT" w:cs="Twentieth Century"/>
          <w:iCs/>
          <w:sz w:val="20"/>
          <w:szCs w:val="20"/>
        </w:rPr>
        <w:t xml:space="preserve"> 2 </w:t>
      </w:r>
      <w:proofErr w:type="spellStart"/>
      <w:r w:rsidRPr="00480970">
        <w:rPr>
          <w:rFonts w:ascii="Tw Cen MT" w:eastAsia="Twentieth Century" w:hAnsi="Tw Cen MT" w:cs="Twentieth Century"/>
          <w:iCs/>
          <w:sz w:val="20"/>
          <w:szCs w:val="20"/>
        </w:rPr>
        <w:t>kelompok</w:t>
      </w:r>
      <w:proofErr w:type="spellEnd"/>
      <w:r w:rsidRPr="00480970">
        <w:rPr>
          <w:rFonts w:ascii="Tw Cen MT" w:eastAsia="Twentieth Century" w:hAnsi="Tw Cen MT" w:cs="Twentieth Century"/>
          <w:iCs/>
          <w:sz w:val="20"/>
          <w:szCs w:val="20"/>
        </w:rPr>
        <w:t xml:space="preserve">. Hasil uji Paired t-test </w:t>
      </w:r>
      <w:proofErr w:type="spellStart"/>
      <w:r w:rsidRPr="00480970">
        <w:rPr>
          <w:rFonts w:ascii="Tw Cen MT" w:eastAsia="Twentieth Century" w:hAnsi="Tw Cen MT" w:cs="Twentieth Century"/>
          <w:iCs/>
          <w:sz w:val="20"/>
          <w:szCs w:val="20"/>
        </w:rPr>
        <w:t>terhadap</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kontraksi</w:t>
      </w:r>
      <w:proofErr w:type="spellEnd"/>
      <w:r w:rsidRPr="00480970">
        <w:rPr>
          <w:rFonts w:ascii="Tw Cen MT" w:eastAsia="Twentieth Century" w:hAnsi="Tw Cen MT" w:cs="Twentieth Century"/>
          <w:iCs/>
          <w:sz w:val="20"/>
          <w:szCs w:val="20"/>
        </w:rPr>
        <w:t xml:space="preserve"> uterus pada </w:t>
      </w:r>
      <w:proofErr w:type="spellStart"/>
      <w:r w:rsidRPr="00480970">
        <w:rPr>
          <w:rFonts w:ascii="Tw Cen MT" w:eastAsia="Twentieth Century" w:hAnsi="Tw Cen MT" w:cs="Twentieth Century"/>
          <w:iCs/>
          <w:sz w:val="20"/>
          <w:szCs w:val="20"/>
        </w:rPr>
        <w:t>saat</w:t>
      </w:r>
      <w:proofErr w:type="spellEnd"/>
      <w:r w:rsidRPr="00480970">
        <w:rPr>
          <w:rFonts w:ascii="Tw Cen MT" w:eastAsia="Twentieth Century" w:hAnsi="Tw Cen MT" w:cs="Twentieth Century"/>
          <w:iCs/>
          <w:sz w:val="20"/>
          <w:szCs w:val="20"/>
        </w:rPr>
        <w:t xml:space="preserve"> pretest-posttest pada </w:t>
      </w:r>
      <w:proofErr w:type="spellStart"/>
      <w:r w:rsidRPr="00480970">
        <w:rPr>
          <w:rFonts w:ascii="Tw Cen MT" w:eastAsia="Twentieth Century" w:hAnsi="Tw Cen MT" w:cs="Twentieth Century"/>
          <w:iCs/>
          <w:sz w:val="20"/>
          <w:szCs w:val="20"/>
        </w:rPr>
        <w:t>kelompok</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intervensi</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menunjukkan</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hasil</w:t>
      </w:r>
      <w:proofErr w:type="spellEnd"/>
      <w:r w:rsidRPr="00480970">
        <w:rPr>
          <w:rFonts w:ascii="Tw Cen MT" w:eastAsia="Twentieth Century" w:hAnsi="Tw Cen MT" w:cs="Twentieth Century"/>
          <w:iCs/>
          <w:sz w:val="20"/>
          <w:szCs w:val="20"/>
        </w:rPr>
        <w:t xml:space="preserve"> yang </w:t>
      </w:r>
      <w:proofErr w:type="spellStart"/>
      <w:r w:rsidRPr="00480970">
        <w:rPr>
          <w:rFonts w:ascii="Tw Cen MT" w:eastAsia="Twentieth Century" w:hAnsi="Tw Cen MT" w:cs="Twentieth Century"/>
          <w:iCs/>
          <w:sz w:val="20"/>
          <w:szCs w:val="20"/>
        </w:rPr>
        <w:t>signifikan</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yaitu</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bernilai</w:t>
      </w:r>
      <w:proofErr w:type="spellEnd"/>
      <w:r w:rsidRPr="00480970">
        <w:rPr>
          <w:rFonts w:ascii="Tw Cen MT" w:eastAsia="Twentieth Century" w:hAnsi="Tw Cen MT" w:cs="Twentieth Century"/>
          <w:iCs/>
          <w:sz w:val="20"/>
          <w:szCs w:val="20"/>
        </w:rPr>
        <w:t xml:space="preserve"> 0,000. Pada </w:t>
      </w:r>
      <w:proofErr w:type="spellStart"/>
      <w:r w:rsidRPr="00480970">
        <w:rPr>
          <w:rFonts w:ascii="Tw Cen MT" w:eastAsia="Twentieth Century" w:hAnsi="Tw Cen MT" w:cs="Twentieth Century"/>
          <w:iCs/>
          <w:sz w:val="20"/>
          <w:szCs w:val="20"/>
        </w:rPr>
        <w:t>kelompok</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kontrol</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kontraksi</w:t>
      </w:r>
      <w:proofErr w:type="spellEnd"/>
      <w:r w:rsidRPr="00480970">
        <w:rPr>
          <w:rFonts w:ascii="Tw Cen MT" w:eastAsia="Twentieth Century" w:hAnsi="Tw Cen MT" w:cs="Twentieth Century"/>
          <w:iCs/>
          <w:sz w:val="20"/>
          <w:szCs w:val="20"/>
        </w:rPr>
        <w:t xml:space="preserve"> uterus </w:t>
      </w:r>
      <w:proofErr w:type="spellStart"/>
      <w:r w:rsidRPr="00480970">
        <w:rPr>
          <w:rFonts w:ascii="Tw Cen MT" w:eastAsia="Twentieth Century" w:hAnsi="Tw Cen MT" w:cs="Twentieth Century"/>
          <w:iCs/>
          <w:sz w:val="20"/>
          <w:szCs w:val="20"/>
        </w:rPr>
        <w:t>saat</w:t>
      </w:r>
      <w:proofErr w:type="spellEnd"/>
      <w:r w:rsidRPr="00480970">
        <w:rPr>
          <w:rFonts w:ascii="Tw Cen MT" w:eastAsia="Twentieth Century" w:hAnsi="Tw Cen MT" w:cs="Twentieth Century"/>
          <w:iCs/>
          <w:sz w:val="20"/>
          <w:szCs w:val="20"/>
        </w:rPr>
        <w:t xml:space="preserve"> pretest-posttest </w:t>
      </w:r>
      <w:proofErr w:type="spellStart"/>
      <w:r w:rsidRPr="00480970">
        <w:rPr>
          <w:rFonts w:ascii="Tw Cen MT" w:eastAsia="Twentieth Century" w:hAnsi="Tw Cen MT" w:cs="Twentieth Century"/>
          <w:iCs/>
          <w:sz w:val="20"/>
          <w:szCs w:val="20"/>
        </w:rPr>
        <w:t>menunjukkan</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nilai</w:t>
      </w:r>
      <w:proofErr w:type="spellEnd"/>
      <w:r w:rsidRPr="00480970">
        <w:rPr>
          <w:rFonts w:ascii="Tw Cen MT" w:eastAsia="Twentieth Century" w:hAnsi="Tw Cen MT" w:cs="Twentieth Century"/>
          <w:iCs/>
          <w:sz w:val="20"/>
          <w:szCs w:val="20"/>
        </w:rPr>
        <w:t xml:space="preserve"> p </w:t>
      </w:r>
      <w:proofErr w:type="spellStart"/>
      <w:r w:rsidRPr="00480970">
        <w:rPr>
          <w:rFonts w:ascii="Tw Cen MT" w:eastAsia="Twentieth Century" w:hAnsi="Tw Cen MT" w:cs="Twentieth Century"/>
          <w:iCs/>
          <w:sz w:val="20"/>
          <w:szCs w:val="20"/>
        </w:rPr>
        <w:t>sebesar</w:t>
      </w:r>
      <w:proofErr w:type="spellEnd"/>
      <w:r w:rsidRPr="00480970">
        <w:rPr>
          <w:rFonts w:ascii="Tw Cen MT" w:eastAsia="Twentieth Century" w:hAnsi="Tw Cen MT" w:cs="Twentieth Century"/>
          <w:iCs/>
          <w:sz w:val="20"/>
          <w:szCs w:val="20"/>
        </w:rPr>
        <w:t xml:space="preserve"> 0,090</w:t>
      </w:r>
      <w:r w:rsidRPr="00480970">
        <w:rPr>
          <w:rFonts w:ascii="Tw Cen MT" w:eastAsia="Twentieth Century" w:hAnsi="Tw Cen MT" w:cs="Twentieth Century"/>
          <w:b/>
          <w:bCs/>
          <w:iCs/>
          <w:sz w:val="20"/>
          <w:szCs w:val="20"/>
        </w:rPr>
        <w:t xml:space="preserve">. </w:t>
      </w:r>
      <w:proofErr w:type="spellStart"/>
      <w:r w:rsidRPr="00480970">
        <w:rPr>
          <w:rFonts w:ascii="Tw Cen MT" w:eastAsia="Twentieth Century" w:hAnsi="Tw Cen MT" w:cs="Twentieth Century"/>
          <w:iCs/>
          <w:sz w:val="20"/>
          <w:szCs w:val="20"/>
        </w:rPr>
        <w:t>Kontraksi</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rahim</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meningkat</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memadai</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setelah</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ibu</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diberikan</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kurma</w:t>
      </w:r>
      <w:proofErr w:type="spellEnd"/>
      <w:r w:rsidR="00B65D2F" w:rsidRPr="006E33E4">
        <w:rPr>
          <w:rFonts w:ascii="Tw Cen MT" w:hAnsi="Tw Cen MT" w:cs="Times New Roman"/>
          <w:sz w:val="20"/>
          <w:szCs w:val="20"/>
        </w:rPr>
        <w:t>.</w:t>
      </w:r>
    </w:p>
    <w:p w14:paraId="5F299DA4" w14:textId="77777777" w:rsidR="00E04883" w:rsidRDefault="00000000">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 xml:space="preserve">Kata </w:t>
      </w:r>
      <w:proofErr w:type="spellStart"/>
      <w:r>
        <w:rPr>
          <w:rFonts w:ascii="Tw Cen MT" w:eastAsia="Twentieth Century" w:hAnsi="Tw Cen MT" w:cs="Twentieth Century"/>
          <w:b/>
          <w:sz w:val="20"/>
          <w:szCs w:val="20"/>
        </w:rPr>
        <w:t>Kunci</w:t>
      </w:r>
      <w:proofErr w:type="spellEnd"/>
      <w:r>
        <w:rPr>
          <w:rFonts w:ascii="Tw Cen MT" w:eastAsia="Twentieth Century" w:hAnsi="Tw Cen MT" w:cs="Twentieth Century"/>
          <w:b/>
          <w:sz w:val="20"/>
          <w:szCs w:val="20"/>
        </w:rPr>
        <w:t>:</w:t>
      </w:r>
    </w:p>
    <w:p w14:paraId="5CDF9C74" w14:textId="71DEFB2C" w:rsidR="000404EE" w:rsidRPr="00480970" w:rsidRDefault="00480970">
      <w:pPr>
        <w:tabs>
          <w:tab w:val="left" w:pos="426"/>
        </w:tabs>
        <w:spacing w:after="0" w:line="240" w:lineRule="auto"/>
        <w:ind w:left="3150"/>
        <w:jc w:val="both"/>
        <w:rPr>
          <w:rFonts w:ascii="Tw Cen MT" w:eastAsia="Twentieth Century" w:hAnsi="Tw Cen MT" w:cs="Twentieth Century"/>
          <w:b/>
          <w:iCs/>
          <w:sz w:val="20"/>
          <w:szCs w:val="20"/>
        </w:rPr>
      </w:pPr>
      <w:r w:rsidRPr="00480970">
        <w:rPr>
          <w:rFonts w:ascii="Tw Cen MT" w:eastAsia="Twentieth Century" w:hAnsi="Tw Cen MT" w:cs="Twentieth Century"/>
          <w:iCs/>
          <w:sz w:val="20"/>
          <w:szCs w:val="20"/>
        </w:rPr>
        <w:t>Phoenix Dactylifera</w:t>
      </w:r>
      <w:r>
        <w:rPr>
          <w:rFonts w:ascii="Tw Cen MT" w:eastAsia="Twentieth Century" w:hAnsi="Tw Cen MT" w:cs="Twentieth Century"/>
          <w:iCs/>
          <w:sz w:val="20"/>
          <w:szCs w:val="20"/>
        </w:rPr>
        <w:t>;</w:t>
      </w:r>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kontraksi</w:t>
      </w:r>
      <w:proofErr w:type="spellEnd"/>
      <w:r w:rsidRPr="00480970">
        <w:rPr>
          <w:rFonts w:ascii="Tw Cen MT" w:eastAsia="Twentieth Century" w:hAnsi="Tw Cen MT" w:cs="Twentieth Century"/>
          <w:iCs/>
          <w:sz w:val="20"/>
          <w:szCs w:val="20"/>
        </w:rPr>
        <w:t xml:space="preserve"> uterus</w:t>
      </w:r>
      <w:r>
        <w:rPr>
          <w:rFonts w:ascii="Tw Cen MT" w:eastAsia="Twentieth Century" w:hAnsi="Tw Cen MT" w:cs="Twentieth Century"/>
          <w:iCs/>
          <w:sz w:val="20"/>
          <w:szCs w:val="20"/>
        </w:rPr>
        <w:t>;</w:t>
      </w:r>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ibu</w:t>
      </w:r>
      <w:proofErr w:type="spellEnd"/>
      <w:r w:rsidRPr="00480970">
        <w:rPr>
          <w:rFonts w:ascii="Tw Cen MT" w:eastAsia="Twentieth Century" w:hAnsi="Tw Cen MT" w:cs="Twentieth Century"/>
          <w:iCs/>
          <w:sz w:val="20"/>
          <w:szCs w:val="20"/>
        </w:rPr>
        <w:t xml:space="preserve"> </w:t>
      </w:r>
      <w:proofErr w:type="spellStart"/>
      <w:r w:rsidRPr="00480970">
        <w:rPr>
          <w:rFonts w:ascii="Tw Cen MT" w:eastAsia="Twentieth Century" w:hAnsi="Tw Cen MT" w:cs="Twentieth Century"/>
          <w:iCs/>
          <w:sz w:val="20"/>
          <w:szCs w:val="20"/>
        </w:rPr>
        <w:t>melahirkan</w:t>
      </w:r>
      <w:proofErr w:type="spellEnd"/>
    </w:p>
    <w:p w14:paraId="5A917D62" w14:textId="6E1D9B5F" w:rsidR="00B65D2F" w:rsidRPr="0022440B" w:rsidRDefault="0022440B" w:rsidP="000404EE">
      <w:pPr>
        <w:rPr>
          <w:rFonts w:ascii="Tw Cen MT" w:hAnsi="Tw Cen MT" w:cs="Times New Roman"/>
          <w:i/>
          <w:sz w:val="20"/>
          <w:szCs w:val="20"/>
        </w:rPr>
        <w:sectPr w:rsidR="00B65D2F" w:rsidRPr="0022440B" w:rsidSect="00A630E3">
          <w:headerReference w:type="default" r:id="rId12"/>
          <w:footerReference w:type="default" r:id="rId13"/>
          <w:pgSz w:w="12240" w:h="15840"/>
          <w:pgMar w:top="1440" w:right="1440" w:bottom="1440" w:left="1440" w:header="720" w:footer="720" w:gutter="0"/>
          <w:pgNumType w:start="137"/>
          <w:cols w:space="720"/>
        </w:sectPr>
      </w:pPr>
      <w:r w:rsidRPr="00006CEA">
        <w:rPr>
          <w:rFonts w:ascii="Tw Cen MT" w:hAnsi="Tw Cen MT"/>
          <w:i/>
          <w:iCs/>
          <w:noProof/>
        </w:rPr>
        <mc:AlternateContent>
          <mc:Choice Requires="wps">
            <w:drawing>
              <wp:anchor distT="0" distB="0" distL="114300" distR="114300" simplePos="0" relativeHeight="251665408" behindDoc="0" locked="0" layoutInCell="1" hidden="0" allowOverlap="1" wp14:anchorId="32F0C3EC" wp14:editId="246711C9">
                <wp:simplePos x="0" y="0"/>
                <wp:positionH relativeFrom="column">
                  <wp:posOffset>0</wp:posOffset>
                </wp:positionH>
                <wp:positionV relativeFrom="paragraph">
                  <wp:posOffset>233078</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3E28BC93" id="Straight Arrow Connector 65" o:spid="_x0000_s1026" type="#_x0000_t32" style="position:absolute;margin-left:0;margin-top:18.35pt;width:470.55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AT3LyDgAAAACwEAAA8AAABkcnMv&#13;&#10;ZG93bnJldi54bWxMj0FPwzAMhe9I/IfISNxYWhgbdE0nxIBJHJDouHDLGq8pNE7VpGv59xhxgIsl&#13;&#10;++k9vy9fT64VR+xD40lBOktAIFXeNFQreNs9XtyACFGT0a0nVPCFAdbF6UmuM+NHesVjGWvBIRQy&#13;&#10;rcDG2GVShsqi02HmOyTWDr53OvLa19L0euRw18rLJFlIpxviD1Z3eG+x+iwHp+AJN+XL4WGst/g+&#13;&#10;XM8/nr0erVfq/GzarHjcrUBEnOKfA34YuD8UXGzvBzJBtAqYJiq4WixBsHo7T1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AT3LyD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1A840C85" w14:textId="276C4070" w:rsidR="00E04883" w:rsidRDefault="0022440B">
      <w:pPr>
        <w:tabs>
          <w:tab w:val="left" w:pos="426"/>
        </w:tabs>
        <w:spacing w:after="0" w:line="240" w:lineRule="auto"/>
        <w:jc w:val="both"/>
        <w:rPr>
          <w:rFonts w:ascii="Tw Cen MT" w:eastAsia="Twentieth Century" w:hAnsi="Tw Cen MT" w:cs="Twentieth Century"/>
          <w:b/>
          <w:sz w:val="24"/>
          <w:szCs w:val="24"/>
        </w:rPr>
      </w:pPr>
      <w:r w:rsidRPr="001732DC">
        <w:rPr>
          <w:rFonts w:ascii="Tw Cen MT" w:eastAsia="Twentieth Century" w:hAnsi="Tw Cen MT" w:cs="Twentieth Century"/>
          <w:b/>
          <w:sz w:val="24"/>
          <w:szCs w:val="24"/>
        </w:rPr>
        <w:t>INTRODUCTION</w:t>
      </w:r>
    </w:p>
    <w:p w14:paraId="0DE6024B" w14:textId="77777777" w:rsidR="00480970" w:rsidRDefault="00480970" w:rsidP="00480970">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 xml:space="preserve">Cases of prolonged labor in women </w:t>
      </w:r>
      <w:r>
        <w:rPr>
          <w:rFonts w:ascii="Tw Cen MT" w:eastAsia="Twentieth Century" w:hAnsi="Tw Cen MT" w:cs="Twentieth Century"/>
          <w:sz w:val="24"/>
          <w:szCs w:val="24"/>
        </w:rPr>
        <w:t>labor</w:t>
      </w:r>
      <w:r w:rsidRPr="008F6464">
        <w:rPr>
          <w:rFonts w:ascii="Tw Cen MT" w:eastAsia="Twentieth Century" w:hAnsi="Tw Cen MT" w:cs="Twentieth Century"/>
          <w:sz w:val="24"/>
          <w:szCs w:val="24"/>
        </w:rPr>
        <w:t xml:space="preserve"> in the world are still relatively high. The average birthing mother in the world experiences delays in labor progress; the duration of labor in the 1st stage of the active phase is around 6.1 – 7.4 hours, and the average duration of the active phase of labor is around 15. 5-18.1 hours. According to the World Health Organization (WHO), in 2020, prolonged </w:t>
      </w:r>
      <w:r w:rsidRPr="008F6464">
        <w:rPr>
          <w:rFonts w:ascii="Tw Cen MT" w:eastAsia="Twentieth Century" w:hAnsi="Tw Cen MT" w:cs="Twentieth Century"/>
          <w:sz w:val="24"/>
          <w:szCs w:val="24"/>
        </w:rPr>
        <w:t xml:space="preserve">labor </w:t>
      </w:r>
      <w:r>
        <w:rPr>
          <w:rFonts w:ascii="Tw Cen MT" w:eastAsia="Twentieth Century" w:hAnsi="Tw Cen MT" w:cs="Twentieth Century"/>
          <w:sz w:val="24"/>
          <w:szCs w:val="24"/>
        </w:rPr>
        <w:t>was</w:t>
      </w:r>
      <w:r w:rsidRPr="008F6464">
        <w:rPr>
          <w:rFonts w:ascii="Tw Cen MT" w:eastAsia="Twentieth Century" w:hAnsi="Tw Cen MT" w:cs="Twentieth Century"/>
          <w:sz w:val="24"/>
          <w:szCs w:val="24"/>
        </w:rPr>
        <w:t xml:space="preserve"> the </w:t>
      </w:r>
      <w:r>
        <w:rPr>
          <w:rFonts w:ascii="Tw Cen MT" w:eastAsia="Twentieth Century" w:hAnsi="Tw Cen MT" w:cs="Twentieth Century"/>
          <w:sz w:val="24"/>
          <w:szCs w:val="24"/>
        </w:rPr>
        <w:t>leading</w:t>
      </w:r>
      <w:r w:rsidRPr="008F6464">
        <w:rPr>
          <w:rFonts w:ascii="Tw Cen MT" w:eastAsia="Twentieth Century" w:hAnsi="Tw Cen MT" w:cs="Twentieth Century"/>
          <w:sz w:val="24"/>
          <w:szCs w:val="24"/>
        </w:rPr>
        <w:t xml:space="preserve"> cause of obstetric complications, with an incidence of 69,000 or 2.8% of all maternal deaths worldwide. The incidence of prolonged labor </w:t>
      </w:r>
      <w:r>
        <w:rPr>
          <w:rFonts w:ascii="Tw Cen MT" w:eastAsia="Twentieth Century" w:hAnsi="Tw Cen MT" w:cs="Twentieth Century"/>
          <w:sz w:val="24"/>
          <w:szCs w:val="24"/>
        </w:rPr>
        <w:t>wa</w:t>
      </w:r>
      <w:r w:rsidRPr="008F6464">
        <w:rPr>
          <w:rFonts w:ascii="Tw Cen MT" w:eastAsia="Twentieth Century" w:hAnsi="Tw Cen MT" w:cs="Twentieth Century"/>
          <w:sz w:val="24"/>
          <w:szCs w:val="24"/>
        </w:rPr>
        <w:t xml:space="preserve">s currently estimated at 17% of all births, and nearly 70% </w:t>
      </w:r>
      <w:r>
        <w:rPr>
          <w:rFonts w:ascii="Tw Cen MT" w:eastAsia="Twentieth Century" w:hAnsi="Tw Cen MT" w:cs="Twentieth Century"/>
          <w:sz w:val="24"/>
          <w:szCs w:val="24"/>
        </w:rPr>
        <w:t>we</w:t>
      </w:r>
      <w:r w:rsidRPr="008F6464">
        <w:rPr>
          <w:rFonts w:ascii="Tw Cen MT" w:eastAsia="Twentieth Century" w:hAnsi="Tw Cen MT" w:cs="Twentieth Century"/>
          <w:sz w:val="24"/>
          <w:szCs w:val="24"/>
        </w:rPr>
        <w:t>re terminated by medical interven</w:t>
      </w:r>
      <w:r>
        <w:rPr>
          <w:rFonts w:ascii="Tw Cen MT" w:eastAsia="Twentieth Century" w:hAnsi="Tw Cen MT" w:cs="Twentieth Century"/>
          <w:sz w:val="24"/>
          <w:szCs w:val="24"/>
        </w:rPr>
        <w:t xml:space="preserve">tions such as cesarean section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{"citationItems":[{"id":"ITEM-1","itemData":{"author":[{"dropping-particle":"","family":"WHO","given":"","non-dropping-particle":"","parse-names":false,"suffix":""}],"id":"ITEM-1","issued":{"date-parts":[["2020"]]},"title":"Word Health Organisation","type":"article-journal"},"uris":["http://www.mendeley.com/documents/?uuid=4993a26e-27dd-4c53-bbe0-19d936fae2b8"]}],"mendeley":{"formattedCitation":"[1]","plainTextFormattedCitation":"[1]","previouslyFormattedCitation":"[1]"},"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[1]</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4BF2B74F" w14:textId="77777777" w:rsidR="00480970" w:rsidRDefault="00480970" w:rsidP="00480970">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The Republic of Indonesia's Ministry of Health's 2021 profile stated that prolonged labor was a complication of labor with 1309 cases</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{"citationItems":[{"id":"ITEM-1","itemData":{"ISBN":"9786022351061","author":[{"dropping-particle":"","family":"Kemenkes RI.","given":"","non-dropping-particle":"","parse-names":false,"suffix":""}],"id":"ITEM-1","issued":{"date-parts":[["2021"]]},"title":"Profil Kesehatan Indo-nesia","type":"book"},"uris":["http://www.mendeley.com/documents/?uuid=8daaf2b4-61ca-4eff-a39a-4c8bdcb3f57c"]}],"mendeley":{"formattedCitation":"[2]","plainTextFormattedCitation":"[2]","previouslyFormattedCitation":"[2]"},"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lastRenderedPageBreak/>
        <w:t>Meanwhile, the East Java Health Profile (2021) stated that prolonged labor was one of the complications of childbirth, with 291 cases</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eastAsia="Twentieth Century" w:hAnsi="Arial" w:cs="Arial"/>
          <w:sz w:val="24"/>
          <w:szCs w:val="24"/>
        </w:rPr>
        <w:instrText>−</w:instrText>
      </w:r>
      <w:r>
        <w:rPr>
          <w:rFonts w:ascii="Tw Cen MT" w:eastAsia="Twentieth Century" w:hAnsi="Tw Cen MT" w:cs="Twentieth Century"/>
          <w:sz w:val="24"/>
          <w:szCs w:val="24"/>
        </w:rPr>
        <w:instrText>protein docking tools. Here, we test the small molecule flexible ligand docking program Glide on a set of 19 non-</w:instrText>
      </w:r>
      <w:r>
        <w:rPr>
          <w:rFonts w:eastAsia="Twentieth Century"/>
          <w:sz w:val="24"/>
          <w:szCs w:val="24"/>
        </w:rPr>
        <w:instrText>α</w:instrText>
      </w:r>
      <w:r>
        <w:rPr>
          <w:rFonts w:ascii="Tw Cen MT" w:eastAsia="Twentieth Century" w:hAnsi="Tw Cen MT" w:cs="Twentieth Century"/>
          <w:sz w:val="24"/>
          <w:szCs w:val="24"/>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 Jawa Timur","given":"","non-dropping-particle":"","parse-names":false,"suffix":""}],"container-title":"Journal of Chemical Information and Modeling","id":"ITEM-1","issue":"9","issued":{"date-parts":[["2021"]]},"page":"6","title":"Profil Kesehatan 2021","type":"article-journal","volume":"53"},"uris":["http://www.mendeley.com/documents/?uuid=7da17a15-934f-459b-9ff6-cbacdbe75f53"]}],"mendeley":{"formattedCitation":"[3]","plainTextFormattedCitation":"[3]","previouslyFormattedCitation":"[3]"},"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[3]</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A468BB">
        <w:rPr>
          <w:rFonts w:ascii="Tw Cen MT" w:eastAsia="Twentieth Century" w:hAnsi="Tw Cen MT" w:cs="Twentieth Century"/>
          <w:sz w:val="24"/>
          <w:szCs w:val="24"/>
        </w:rPr>
        <w:t>The profile of the Kediri City Health Office in 2021</w:t>
      </w:r>
      <w:r>
        <w:rPr>
          <w:rFonts w:ascii="Tw Cen MT" w:eastAsia="Twentieth Century" w:hAnsi="Tw Cen MT" w:cs="Twentieth Century"/>
          <w:sz w:val="24"/>
          <w:szCs w:val="24"/>
        </w:rPr>
        <w:t xml:space="preserve"> stated that long labor was one of the complications of childbirth, with a total of 107 cases</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{"citationItems":[{"id":"ITEM-1","itemData":{"author":[{"dropping-particle":"","family":"Dinkes Kota Kediri","given":"","non-dropping-particle":"","parse-names":false,"suffix":""}],"id":"ITEM-1","issued":{"date-parts":[["2021"]]},"title":"Profil Kesehatan Kota Kediri","type":"book"},"uris":["http://www.mendeley.com/documents/?uuid=8ac9b9c2-1ab6-474a-9d77-990348d7905c"]}],"mendeley":{"formattedCitation":"[4]","plainTextFormattedCitation":"[4]","previouslyFormattedCitation":"[4]"},"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A468BB">
        <w:rPr>
          <w:rFonts w:ascii="Tw Cen MT" w:eastAsia="Twentieth Century" w:hAnsi="Tw Cen MT" w:cs="Twentieth Century"/>
          <w:sz w:val="24"/>
          <w:szCs w:val="24"/>
        </w:rPr>
        <w:t>The profile of the Kediri Regency Health Office for 2021</w:t>
      </w:r>
      <w:r>
        <w:rPr>
          <w:rFonts w:ascii="Tw Cen MT" w:eastAsia="Twentieth Century" w:hAnsi="Tw Cen MT" w:cs="Twentieth Century"/>
          <w:sz w:val="24"/>
          <w:szCs w:val="24"/>
        </w:rPr>
        <w:t xml:space="preserve"> stated that prolonged labor was one of the complications of childbirth, with a total of 345 cases. In 2021, the most significant prolonged deliveries in Kediri Regency were at the Mojo Health Center with 35 cases, followed by the </w:t>
      </w:r>
      <w:proofErr w:type="spellStart"/>
      <w:r>
        <w:rPr>
          <w:rFonts w:ascii="Tw Cen MT" w:eastAsia="Twentieth Century" w:hAnsi="Tw Cen MT" w:cs="Twentieth Century"/>
          <w:sz w:val="24"/>
          <w:szCs w:val="24"/>
        </w:rPr>
        <w:t>Gurah</w:t>
      </w:r>
      <w:proofErr w:type="spellEnd"/>
      <w:r>
        <w:rPr>
          <w:rFonts w:ascii="Tw Cen MT" w:eastAsia="Twentieth Century" w:hAnsi="Tw Cen MT" w:cs="Twentieth Century"/>
          <w:sz w:val="24"/>
          <w:szCs w:val="24"/>
        </w:rPr>
        <w:t xml:space="preserve"> Health Center with 34 cases, the </w:t>
      </w:r>
      <w:proofErr w:type="spellStart"/>
      <w:r>
        <w:rPr>
          <w:rFonts w:ascii="Tw Cen MT" w:eastAsia="Twentieth Century" w:hAnsi="Tw Cen MT" w:cs="Twentieth Century"/>
          <w:sz w:val="24"/>
          <w:szCs w:val="24"/>
        </w:rPr>
        <w:t>Sambi</w:t>
      </w:r>
      <w:proofErr w:type="spellEnd"/>
      <w:r>
        <w:rPr>
          <w:rFonts w:ascii="Tw Cen MT" w:eastAsia="Twentieth Century" w:hAnsi="Tw Cen MT" w:cs="Twentieth Century"/>
          <w:sz w:val="24"/>
          <w:szCs w:val="24"/>
        </w:rPr>
        <w:t xml:space="preserve"> Health Center with 26 cases, the </w:t>
      </w:r>
      <w:proofErr w:type="spellStart"/>
      <w:r>
        <w:rPr>
          <w:rFonts w:ascii="Tw Cen MT" w:eastAsia="Twentieth Century" w:hAnsi="Tw Cen MT" w:cs="Twentieth Century"/>
          <w:sz w:val="24"/>
          <w:szCs w:val="24"/>
        </w:rPr>
        <w:t>Puhjarak</w:t>
      </w:r>
      <w:proofErr w:type="spellEnd"/>
      <w:r>
        <w:rPr>
          <w:rFonts w:ascii="Tw Cen MT" w:eastAsia="Twentieth Century" w:hAnsi="Tw Cen MT" w:cs="Twentieth Century"/>
          <w:sz w:val="24"/>
          <w:szCs w:val="24"/>
        </w:rPr>
        <w:t xml:space="preserve"> Health Center with 25 cases, the </w:t>
      </w:r>
      <w:proofErr w:type="spellStart"/>
      <w:r>
        <w:rPr>
          <w:rFonts w:ascii="Tw Cen MT" w:eastAsia="Twentieth Century" w:hAnsi="Tw Cen MT" w:cs="Twentieth Century"/>
          <w:sz w:val="24"/>
          <w:szCs w:val="24"/>
        </w:rPr>
        <w:t>Plosoklaten</w:t>
      </w:r>
      <w:proofErr w:type="spellEnd"/>
      <w:r>
        <w:rPr>
          <w:rFonts w:ascii="Tw Cen MT" w:eastAsia="Twentieth Century" w:hAnsi="Tw Cen MT" w:cs="Twentieth Century"/>
          <w:sz w:val="24"/>
          <w:szCs w:val="24"/>
        </w:rPr>
        <w:t xml:space="preserve"> Health Center with 24 cases, the </w:t>
      </w:r>
      <w:proofErr w:type="spellStart"/>
      <w:r>
        <w:rPr>
          <w:rFonts w:ascii="Tw Cen MT" w:eastAsia="Twentieth Century" w:hAnsi="Tw Cen MT" w:cs="Twentieth Century"/>
          <w:sz w:val="24"/>
          <w:szCs w:val="24"/>
        </w:rPr>
        <w:t>Pelas</w:t>
      </w:r>
      <w:proofErr w:type="spellEnd"/>
      <w:r>
        <w:rPr>
          <w:rFonts w:ascii="Tw Cen MT" w:eastAsia="Twentieth Century" w:hAnsi="Tw Cen MT" w:cs="Twentieth Century"/>
          <w:sz w:val="24"/>
          <w:szCs w:val="24"/>
        </w:rPr>
        <w:t xml:space="preserve"> Health Center with a total of 22 cases, and </w:t>
      </w:r>
      <w:proofErr w:type="spellStart"/>
      <w:r>
        <w:rPr>
          <w:rFonts w:ascii="Tw Cen MT" w:eastAsia="Twentieth Century" w:hAnsi="Tw Cen MT" w:cs="Twentieth Century"/>
          <w:sz w:val="24"/>
          <w:szCs w:val="24"/>
        </w:rPr>
        <w:t>Purwoasri</w:t>
      </w:r>
      <w:proofErr w:type="spellEnd"/>
      <w:r>
        <w:rPr>
          <w:rFonts w:ascii="Tw Cen MT" w:eastAsia="Twentieth Century" w:hAnsi="Tw Cen MT" w:cs="Twentieth Century"/>
          <w:sz w:val="24"/>
          <w:szCs w:val="24"/>
        </w:rPr>
        <w:t xml:space="preserve"> Health Center with a total of 18 cases of childbirth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{"citationItems":[{"id":"ITEM-1","itemData":{"author":[{"dropping-particle":"","family":"Dinkes Kabupaten Kediri","given":"","non-dropping-particle":"","parse-names":false,"suffix":""}],"id":"ITEM-1","issued":{"date-parts":[["2021"]]},"title":"Profil Kesehatan Kabupaten Kediri","type":"article-journal"},"uris":["http://www.mendeley.com/documents/?uuid=52f2b070-e2d0-45ff-bb08-06485bf84217"]}],"mendeley":{"formattedCitation":"[5]","plainTextFormattedCitation":"[5]","previouslyFormattedCitation":"[5]"},"properties":{"noteIndex":0},"schema":"https://github.com/citation-style-language/schema/raw/master/csl-citation.json"}</w:instrText>
      </w:r>
      <w:r>
        <w:rPr>
          <w:rFonts w:ascii="Tw Cen MT" w:eastAsia="Twentieth Century" w:hAnsi="Tw Cen MT" w:cs="Twentieth Century"/>
          <w:sz w:val="24"/>
          <w:szCs w:val="24"/>
        </w:rPr>
        <w:fldChar w:fldCharType="separate"/>
      </w:r>
      <w:r w:rsidRPr="008F6464">
        <w:rPr>
          <w:rFonts w:ascii="Tw Cen MT" w:eastAsia="Twentieth Century" w:hAnsi="Tw Cen MT" w:cs="Twentieth Century"/>
          <w:noProof/>
          <w:sz w:val="24"/>
          <w:szCs w:val="24"/>
        </w:rPr>
        <w:t>[5]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396F3727" w14:textId="77777777" w:rsidR="00480970" w:rsidRDefault="00480970" w:rsidP="00480970">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Inadequate uterine contractions are the most common cause of prolonged labor</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{"citationItems":[{"id":"ITEM-1","itemData":{"DOI":"10.4103/ijnmr.IJNMR_213_15","ISSN":"22285504","abstract":"Background: Long-Term delivery is an important significant issue which is associated with mortality and fetal and maternal disorders. Based on the previous studies, consumption of dates affects uterine contractions and duration of delivery processes. This study aimed to study the effect of date consumption in late pregnancy on the duration of delivery processes in nulliparous women in 2013. Materials and Methods: This randomized clinical trial was conducted among 182 nulliparous women 18-35 years who presented to OmAlBanin Hospital in Mashhad in 2013. The comparison has been made between 91 pregnant women who consumed 70-76 g dates daily from the 37th week of pregnancy and 91 pregnant women who did not consume dates. Data collection tool was a questionnaire and a checklist of daily dates' intake. Data were analyzed using the Statistical Package for the Social Sciences software and statistical tests-chi-square and Mann-Whitney test, and P value &lt;0.05 was considered significant. Results: The average length of active phase (P = 0.0001), length of second phase (P = 0.0001), and third phase (P = 0.004) in two groups had statistically significant difference. The average length of the second phase (P = 0.03) and the third phase (P = 0.02) in case of spontaneous start of delivery in the intervention group was significantly lower than the control group. Use of oxytocin to accelerate delivery had a significant difference between the two groups (P &lt; 0.001). Conclusion: According to the results of this study, consuming dates in late pregnancy was effective in decreasing length of labor processes and reduced the need of oxytocin for labor acceleration. Thus, it is recommended to consume dates in women without contraindications.","author":[{"dropping-particle":"","family":"Kordi","given":"Masoumeh","non-dropping-particle":"","parse-names":false,"suffix":""},{"dropping-particle":"","family":"Meybodi","given":"Fatemeh Aghaei","non-dropping-particle":"","parse-names":false,"suffix":""},{"dropping-particle":"","family":"Tara","given":"Fatemeh Rashidi","non-dropping-particle":"","parse-names":false,"suffix":""},{"dropping-particle":"","family":"Fakari","given":"Farzaneh","non-dropping-particle":"","parse-names":false,"suffix":""},{"dropping-particle":"","family":"Nemati","given":"Mohsen","non-dropping-particle":"","parse-names":false,"suffix":""},{"dropping-particle":"","family":"Shakeri","given":"Mohammadtaghi","non-dropping-particle":"","parse-names":false,"suffix":""}],"container-title":"Iranian Journal of Nursing and Midwifery Research","id":"ITEM-1","issue":"5","issued":{"date-parts":[["2017"]]},"page":"383-387","title":"Effect of dates in late pregnancy on the duration of labor in nulliparous women","type":"article-journal","volume":"22"},"uris":["http://www.mendeley.com/documents/?uuid=4fb78c59-029a-4bfd-949d-cc2bc870e8b6"]}],"mendeley":{"formattedCitation":"[6]","plainTextFormattedCitation":"[6]","previouslyFormattedCitation":"[6]"},"properties":{"noteIndex":0},"schema":"https://github.com/citation-style-language/schema/raw/master/csl-citation.json"}</w:instrText>
      </w:r>
      <w:r>
        <w:rPr>
          <w:rFonts w:ascii="Tw Cen MT" w:eastAsia="Twentieth Century" w:hAnsi="Tw Cen MT" w:cs="Twentieth Century"/>
          <w:sz w:val="24"/>
          <w:szCs w:val="24"/>
        </w:rPr>
        <w:fldChar w:fldCharType="separate"/>
      </w:r>
      <w:r w:rsidRPr="00E337B1">
        <w:rPr>
          <w:rFonts w:ascii="Tw Cen MT" w:eastAsia="Twentieth Century" w:hAnsi="Tw Cen MT" w:cs="Twentieth Century"/>
          <w:noProof/>
          <w:sz w:val="24"/>
          <w:szCs w:val="24"/>
        </w:rPr>
        <w:t>[6]</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The condition of inadequate uterine contractions can slow down the progress of labor, which will increase maternal mortality and morbidity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{"citationItems":[{"id":"ITEM-1","itemData":{"DOI":"10.29313/gmhc.v7i1.2908","ISSN":"2301-9123","abstract":"Energy imbalance in delivery can inhibit the action of glycolytic enzymes and interfere with chemical reactions in muscle cells. These nuisances may interfere with uterine contractions that obstruct cervical dilatation. Therefore, mothers require a nutritional alternative which is practical, generates energy quickly and supplies glucose needed for uterine contractions. These can be fulfilled with a mixed-fruit juice beverage. Mixed-fruit juice consists of fruits, Tunisian dates, honey, and red beans. This study aims to analyze the effect of the mixed-fruit extract on uterine contraction and cervical dilatation during the first stage of delivery. This study used a randomized controlled trial design. The target population was all the mothers who would give birth in Bandung city in March</w:instrText>
      </w:r>
      <w:r>
        <w:rPr>
          <w:rFonts w:ascii="Arial" w:eastAsia="Twentieth Century" w:hAnsi="Arial" w:cs="Arial"/>
          <w:sz w:val="24"/>
          <w:szCs w:val="24"/>
        </w:rPr>
        <w:instrText>−</w:instrText>
      </w:r>
      <w:r>
        <w:rPr>
          <w:rFonts w:ascii="Tw Cen MT" w:eastAsia="Twentieth Century" w:hAnsi="Tw Cen MT" w:cs="Twentieth Century"/>
          <w:sz w:val="24"/>
          <w:szCs w:val="24"/>
        </w:rPr>
        <w:instrText>April 2017. The samples of this study were the gravida &lt;4 who would give birth at the Pelayanan Obstetri Neonatal Emergensi Dasar/PONED (Basic Emergency Obstetric and Neonatal Care/BEONC) Puskesmas (Public Health Center) Ibrahim Ajie, Puter, Garuda, Pagarsih, and Padasuka, consisting of 30 subjects as the treatment group and other 30 subjects as the control group. Uterine contractions and cervical dilatation were measured clinically and recorded on partograph. The analysis of data was done using the chi-square test, independent t test, and Mann-Whitney test. The results showed that there was the effect of mix-juice on the frequency, the duration and the intensity of uterine contractions and cervical dilatation with p value&lt;0.05 and relative risk (RR) values respectively of 1.3, 3.3, 2.6, 1.7. In conclusion, consuming mixed-fruit juice during the first stage of delivery give a significant impact on the progress of uterine contractions and cervical dilatation.","author":[{"dropping-particle":"","family":"Bellia Loranthifolia","given":"Martasari","non-dropping-particle":"","parse-names":false,"suffix":""},{"dropping-particle":"","family":"Cahyadi","given":"Wisnu","non-dropping-particle":"","parse-names":false,"suffix":""},{"dropping-particle":"","family":"Nugraha","given":"Gaga Irawan","non-dropping-particle":"","parse-names":false,"suffix":""},{"dropping-particle":"","family":"Husin","given":"Farid","non-dropping-particle":"","parse-names":false,"suffix":""},{"dropping-particle":"","family":"Susiarno","given":"Hadi","non-dropping-particle":"","parse-names":false,"suffix":""},{"dropping-particle":"","family":"Hidayat","given":"Yudi Mulyana","non-dropping-particle":"","parse-names":false,"suffix":""},{"dropping-particle":"","family":"Satari","given":"Mieke Hemiawati","non-dropping-particle":"","parse-names":false,"suffix":""}],"container-title":"Global Medical &amp; Health Communication (GMHC)","id":"ITEM-1","issue":"1","issued":{"date-parts":[["2019"]]},"page":"7-14","title":"The Effect of Mixed-Fruit Juice on Uterine Contractions and Cervical Dilatation During the First Stage of Delivery","type":"article-journal","volume":"7"},"uris":["http://www.mendeley.com/documents/?uuid=c3125f4f-6f0a-4449-bff7-d6fa22094736"]}],"mendeley":{"formattedCitation":"[7]","plainTextFormattedCitation":"[7]","previouslyFormattedCitation":"[7]"},"properties":{"noteIndex":0},"schema":"https://github.com/citation-style-language/schema/raw/master/csl-citation.json"}</w:instrText>
      </w:r>
      <w:r>
        <w:rPr>
          <w:rFonts w:ascii="Tw Cen MT" w:eastAsia="Twentieth Century" w:hAnsi="Tw Cen MT" w:cs="Twentieth Century"/>
          <w:sz w:val="24"/>
          <w:szCs w:val="24"/>
        </w:rPr>
        <w:fldChar w:fldCharType="separate"/>
      </w:r>
      <w:r w:rsidRPr="00E337B1">
        <w:rPr>
          <w:rFonts w:ascii="Tw Cen MT" w:eastAsia="Twentieth Century" w:hAnsi="Tw Cen MT" w:cs="Twentieth Century"/>
          <w:noProof/>
          <w:sz w:val="24"/>
          <w:szCs w:val="24"/>
        </w:rPr>
        <w:t>[7]</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7AA3AAC2" w14:textId="77777777" w:rsidR="00480970" w:rsidRDefault="00480970" w:rsidP="00480970">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Long labor can be caused by a history of cesarean delivery in previous deliveries</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{"citationItems":[{"id":"ITEM-1","itemData":{"DOI":"10.1111/aogs.13795","ISSN":"16000412","PMID":"31883372","abstract":"Introduction: Obese primiparous women with induction of labor are at high risk for a cesarean section. There are contradictory results regarding time in induced labor in relation to maternal body mass index (BMI). It is important to characterize the course of induced labor to prevent unnecessary cesarean section. We aimed to evaluate whether the duration of labor was associated with maternal BMI in primiparous women with induction of labor. Material and methods: A national retrospective cohort study, including 15 259 primiparae with a single term pregnancy, admitted for induction of labor from January 2014 to August 2017. Data were obtained from the Swedish Pregnancy Registry. Cox regression analyses were used to illustrate the association between BMI and active labor and between BMI and time from admission until start of active labor. Results: Duration of active labor was shorter in underweight women and prolonged in women with BMI ≥40 kg/m2 compared with women in other BMI classes, illustrated by Cox regression graphs (P &lt;.001). The median durations of active labor in underweight women were 6.1 and 7.4 hours in women with BMI ≥40 kg/m2. The time from admission until start of active labor increased with maternal BMI, illustrated by Cox regression graphs (P &lt;.001) and the median duration increased from 12.9 hours in underweight women to 22.6 hours in women with BMI ≥40 kg/m2. The cesarean section rate in active labor increased significantly with BMI (P &lt;.001) from 7.4% in underweight women to 22.0% in women with BMI ≥40 kg/m2. Obese and normal weight women had similar rates of spontaneous vaginal delivery (69.9% in the total study population). Conclusions: The duration of active labor was associated with maternal BMI for underweight women and women with BMI ≥40 kg/m2. Although women with BMI ≥40 kg/m2 who reached the active phase of labor had the same chance for a spontaneous vaginal delivery as normal weight women, the duration of active labor and the cesarean section rate were increased. The time from admission until start of active labor increased successively with maternal BMI.","author":[{"dropping-particle":"","family":"Carlhäll","given":"Sara","non-dropping-particle":"","parse-names":false,"suffix":""},{"dropping-particle":"","family":"Källén","given":"Karin","non-dropping-particle":"","parse-names":false,"suffix":""},{"dropping-particle":"","family":"Blomberg","given":"Marie","non-dropping-particle":"","parse-names":false,"suffix":""}],"container-title":"Acta Obstetricia et Gynecologica Scandinavica","id":"ITEM-1","issue":"5","issued":{"date-parts":[["2020"]]},"page":"669-678","title":"The effect of maternal body mass index on duration of induced labor","type":"article-journal","volume":"99"},"uris":["http://www.mendeley.com/documents/?uuid=a41db600-2343-4924-996d-2ec100b04327"]}],"mendeley":{"formattedCitation":"[8]","plainTextFormattedCitation":"[8]","previouslyFormattedCitation":"[8]"},"properties":{"noteIndex":0},"schema":"https://github.com/citation-style-language/schema/raw/master/csl-citation.json"}</w:instrText>
      </w:r>
      <w:r>
        <w:rPr>
          <w:rFonts w:ascii="Tw Cen MT" w:eastAsia="Twentieth Century" w:hAnsi="Tw Cen MT" w:cs="Twentieth Century"/>
          <w:sz w:val="24"/>
          <w:szCs w:val="24"/>
        </w:rPr>
        <w:fldChar w:fldCharType="separate"/>
      </w:r>
      <w:r w:rsidRPr="00E337B1">
        <w:rPr>
          <w:rFonts w:ascii="Tw Cen MT" w:eastAsia="Twentieth Century" w:hAnsi="Tw Cen MT" w:cs="Twentieth Century"/>
          <w:noProof/>
          <w:sz w:val="24"/>
          <w:szCs w:val="24"/>
        </w:rPr>
        <w:t>[8]</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body mass index of pregnant women, abnormalities (uterine inertia)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{"citationItems":[{"id":"ITEM-1","itemData":{"abstract":"Sampai saat ini, partus lama merupakan salah satu dari beberapa penyebab kematian ibu dan bayi baru lahir. Partus lama rata-rata di dunia menyebabkan kematian ibu sebesar 8%. Hasil pra survey yang dilakukan di RSB Pertama Hati Metro diketahui bahwa pada tahun 2017 angka kejadian partus lama mencapai 114 orang (14,33%) dari 795 persalinan pervaginam, sedangkan pada tahun 2019 angka kejadian partus lama cenderung mengalami peningkatan yaitu mencapai 143 orang (16,12%) dari 887 persalinan pervaginam. Banyak faktor yang menjadi penyebab terjadinya partus lama, di antaranya karena letak janin, kelainan panggul, kelainan his, pimpinan partus yang salah, janin besar, kelainan kongenital, primitua perut gantung, grande multipara, umur dan ketuban pecah dini. Akibat dari partus lama yaitu infeksi, ruptur perineum, cincin retraksi patologis, pembentukan fistula, cidera otot-otot panggul, pada janinnya yaitu kaput suksedaneum dan molase kepala janin. Tujuan dari penelitian ini adalah untuk mengetahui hubungan umur dan paritas dengan kejadian partus lama di RSB Permata Hati Metro tahun 2019. Jenis penelitian ini adalah analitik, variabel independen nya yaitu umur dan paritas dan variabel dependen nya yaitu partus lama. Populasi pada penelitian ini yaitu seluruh ibu bersalin pervaginam yang berjumlah 887 orang, sedangkan sampel yang diambil adalah 276 orang dengan teknik pengambilan sampel nya yaitu simple random sampling. Alat pengumpulan data yang digunakan dalam penelitian ini berupa ceklist, dengan analisa univariat dan bivariat. Hasil penelitian menunjukkan bahwa distribusi proporsi umur ibu bersalin di RSB Permata Hati Metro dari 276 responden terdapat 86 responden (31,16%) yang memiliki usia beresiko (&lt;20 tahun/&gt;35 tahun), proporsi paritas ibu bersalin sebagian besar paritas beresiko yaitu terdapat 73 responden (26,45%). Pada hasil uji statistik menggunakan uji chi Square menunjukkan adanya hubungan antara umur (X2 hitung= 7,927 &gt;?2 tabel = 3,841) dengan OR (3,097), dan paritas (X2 hitung= 9,957 &gt;?2 tabel = 3,841), OR (3,518) dengan kejadian partus lama. Bagi ibu bersalin yang mempunyai resiko terjadinya partus lama yaitu umur dan paritas yang beresiko hendaknya rutin melakukan pemeriksaan kehamilan yaitu minimal 4 kali selama kehamilan sehingga keadaan kesehatan ibu dan janin dapat terus terpantau.","author":[{"dropping-particle":"","family":"Lubis","given":"Efrilayani","non-dropping-particle":"","parse-names":false,"suffix":""},{"dropping-particle":"","family":"Sugiarti","given":"Wahidiyah","non-dropping-particle":"","parse-names":false,"suffix":""},{"dropping-particle":"","family":"Patriot","given":"","non-dropping-particle":"","parse-names":false,"suffix":""}],"container-title":"Bemj, Bunda Edu-midwifery Journal","id":"ITEM-1","issue":"1","issued":{"date-parts":[["2021"]]},"page":"18-30","title":"Hubungan Umur Dan Paritas Dengan Kejadian Partus Lama Di Rsb Permata Hati Metro Tahun 2019","type":"article-journal","volume":"4"},"uris":["http://www.mendeley.com/documents/?uuid=c57eefb3-e646-444c-b824-c7e6807a665d"]}],"mendeley":{"formattedCitation":"[9]","plainTextFormattedCitation":"[9]","previouslyFormattedCitation":"[9]"},"properties":{"noteIndex":0},"schema":"https://github.com/citation-style-language/schema/raw/master/csl-citation.json"}</w:instrText>
      </w:r>
      <w:r>
        <w:rPr>
          <w:rFonts w:ascii="Tw Cen MT" w:eastAsia="Twentieth Century" w:hAnsi="Tw Cen MT" w:cs="Twentieth Century"/>
          <w:sz w:val="24"/>
          <w:szCs w:val="24"/>
        </w:rPr>
        <w:fldChar w:fldCharType="separate"/>
      </w:r>
      <w:r w:rsidRPr="00E337B1">
        <w:rPr>
          <w:rFonts w:ascii="Tw Cen MT" w:eastAsia="Twentieth Century" w:hAnsi="Tw Cen MT" w:cs="Twentieth Century"/>
          <w:noProof/>
          <w:sz w:val="24"/>
          <w:szCs w:val="24"/>
        </w:rPr>
        <w:t>[9]</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fetal abnormalities, and maternal pelvic abnormalities. Energy abnormalities also cause long labor. There is no cervix opening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CSL_CITATION {"citationItems":[{"id":"ITEM-1","itemData":{"DOI":"10.1016/j.ctcp.2020.101251","ISSN":"17443881","PMID":"33130423","abstract":"Background: It is well documented that prolonged labor is associated with complications. This systematic review aimed to study the effect of Anethum Graveolens Linn (Dill) on the duration of labor. Methods: We conducted a search on PubMed, Scopus, Cochrane central, Web of Science, and MEDLINE. All randomized controlled trials and observational studies evaluating the effect of Dill seeds on labor were recruited. The mean differences (MD) with 95% CI were calculated. Results: Two RCTs showed that using Dill seeds could significantly reduce duration of the first stage (MD =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43.66, 95% CI [-52.99, - 34.33]), second stage (MD =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15.76, 95% CI [-20.06,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11.47]) and third stage of labor (MD =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1.79, 95% CI [-2.62, </w:instrText>
      </w:r>
      <w:r>
        <w:rPr>
          <w:rFonts w:ascii="Arial" w:eastAsia="Twentieth Century" w:hAnsi="Arial" w:cs="Arial"/>
          <w:sz w:val="24"/>
          <w:szCs w:val="24"/>
        </w:rPr>
        <w:instrText>−</w:instrText>
      </w:r>
      <w:r>
        <w:rPr>
          <w:rFonts w:ascii="Tw Cen MT" w:eastAsia="Twentieth Century" w:hAnsi="Tw Cen MT" w:cs="Twentieth Century"/>
          <w:sz w:val="24"/>
          <w:szCs w:val="24"/>
        </w:rPr>
        <w:instrText>0.95]). Two retrospective cohort studies showed a significant reduction in the first, and second stages of labor. Conclusion: Using Dill seeds could reduce the duration of labor. Using this herb in low-risk pregnant women is recommended. Systematic review registration number: CRD42020145225.","author":[{"dropping-particle":"","family":"Talebi","given":"Forough","non-dropping-particle":"","parse-names":false,"suffix":""},{"dropping-particle":"","family":"Malchi","given":"Fatemeh","non-dropping-particle":"","parse-names":false,"suffix":""},{"dropping-particle":"","family":"Abedi","given":"Parvin","non-dropping-particle":"","parse-names":false,"suffix":""},{"dropping-particle":"","family":"Jahanfar","given":"Shayesteh","non-dropping-particle":"","parse-names":false,"suffix":""}],"container-title":"Complementary Therapies in Clinical Practice","id":"ITEM-1","issue":"September","issued":{"date-parts":[["2020"]]},"page":"101251","publisher":"Elsevier Ltd","title":"Effect of dill (Anethum Graveolens Linn) seed on the duration of labor: A systematic review","type":"article-journal","volume":"41"},"uris":["http://www.mendeley.com/documents/?uuid=abac68ec-01f8-47c8-947a-26e10e2124a8"]}],"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sz w:val="24"/>
          <w:szCs w:val="24"/>
        </w:rPr>
        <w:fldChar w:fldCharType="separate"/>
      </w:r>
      <w:r w:rsidRPr="00E35423">
        <w:rPr>
          <w:rFonts w:ascii="Tw Cen MT" w:eastAsia="Twentieth Century" w:hAnsi="Tw Cen MT" w:cs="Twentieth Century"/>
          <w:noProof/>
          <w:sz w:val="24"/>
          <w:szCs w:val="24"/>
        </w:rPr>
        <w:t>[10]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wrong parturition, large fetus, primitive and </w:t>
      </w:r>
      <w:proofErr w:type="spellStart"/>
      <w:r>
        <w:rPr>
          <w:rFonts w:ascii="Tw Cen MT" w:eastAsia="Twentieth Century" w:hAnsi="Tw Cen MT" w:cs="Twentieth Century"/>
          <w:sz w:val="24"/>
          <w:szCs w:val="24"/>
        </w:rPr>
        <w:t>grande</w:t>
      </w:r>
      <w:proofErr w:type="spellEnd"/>
      <w:r>
        <w:rPr>
          <w:rFonts w:ascii="Tw Cen MT" w:eastAsia="Twentieth Century" w:hAnsi="Tw Cen MT" w:cs="Twentieth Century"/>
          <w:sz w:val="24"/>
          <w:szCs w:val="24"/>
        </w:rPr>
        <w:t xml:space="preserve"> multipara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{"citationItems":[{"id":"ITEM-1","itemData":{"DOI":"10.25077/jom.4.1.85-91.2019","abstract":"Dates are a good source of nutrition for the body if consumed regularly both in the form of dried fruit, wet, as well as in the form of palm juice extracts, especially for pregnant and maternal mothers. Pregnant women who are going to give birth are in desperate need of drinks and foods that are rich in sugar, this is because of the many contractions of the uterine muscles when it comes to removing the baby, especially if it takes a long time. Dates contain potuchin hormone which functions to bind the uterus and muscles of the uterus so that it can help reduce postpartum bleeding. Besides, there is the hormone oxytocin which can help stimulate contractions in the muscles of the uterus so as to facilitate labor. The purpose of this study was to determine the effect of consumption of dates on bleeding, length of labor and type of labor. This type of research is a Pre experiment with a post-test Only Control Group Design research design. The population in this study were all pregnant women in the working area of South Klaten Public Health Center with estimated deliveries from July to September 2018. While the sample size was 60 samples consisting of 30 treatment group respondents and 30 control group respondents. The sampling technique used in this study was Quota sampling. Data analysis using Fisher Exact test and Mann-Whitney U test with p-value considered significant is p = 0.05. The results of the study of bleeding showed that there were no significant differences in the estimation of blood loss and during labor and type of delivery between the treatment group and the control group (p-value = 0.5). The results of the study about the length of labor showed that there was an effect of date consumption on the length of labor, with a value of p = 0,000","author":[{"dropping-particle":"","family":"Kuswati","given":"Kuswati","non-dropping-particle":"","parse-names":false,"suffix":""},{"dropping-particle":"","family":"Handayani","given":"Rohmi","non-dropping-particle":"","parse-names":false,"suffix":""}],"container-title":"Journal of Midwifery","id":"ITEM-1","issue":"1","issued":{"date-parts":[["2020"]]},"page":"85","title":"Effect of Dates Consumption On Bleeding, Duration, And Types of Labor","type":"article-journal","volume":"4"},"uris":["http://www.mendeley.com/documents/?uuid=b6599651-d0fd-4d6d-acbb-b97e1c4fc8d8"]}],"mendeley":{"formattedCitation":"[11]","plainTextFormattedCitation":"[11]","previouslyFormattedCitation":"[11]"},"properties":{"noteIndex":0},"schema":"https://github.com/citation-style-language/schema/raw/master/csl-citation.json"}</w:instrText>
      </w:r>
      <w:r>
        <w:rPr>
          <w:rFonts w:ascii="Tw Cen MT" w:eastAsia="Twentieth Century" w:hAnsi="Tw Cen MT" w:cs="Twentieth Century"/>
          <w:sz w:val="24"/>
          <w:szCs w:val="24"/>
        </w:rPr>
        <w:fldChar w:fldCharType="separate"/>
      </w:r>
      <w:r w:rsidRPr="00E35423">
        <w:rPr>
          <w:rFonts w:ascii="Tw Cen MT" w:eastAsia="Twentieth Century" w:hAnsi="Tw Cen MT" w:cs="Twentieth Century"/>
          <w:noProof/>
          <w:sz w:val="24"/>
          <w:szCs w:val="24"/>
        </w:rPr>
        <w:t>[11]</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73DABB46" w14:textId="77777777" w:rsidR="00480970" w:rsidRDefault="00480970" w:rsidP="00480970">
      <w:pPr>
        <w:spacing w:after="0" w:line="240" w:lineRule="auto"/>
        <w:jc w:val="both"/>
        <w:rPr>
          <w:rFonts w:ascii="Tw Cen MT" w:eastAsia="Twentieth Century" w:hAnsi="Tw Cen MT" w:cs="Twentieth Century"/>
          <w:sz w:val="24"/>
          <w:szCs w:val="24"/>
        </w:rPr>
      </w:pPr>
      <w:r w:rsidRPr="008F6464">
        <w:rPr>
          <w:rFonts w:ascii="Tw Cen MT" w:eastAsia="Twentieth Century" w:hAnsi="Tw Cen MT" w:cs="Twentieth Century"/>
          <w:sz w:val="24"/>
          <w:szCs w:val="24"/>
        </w:rPr>
        <w:t>Prolonged labor can cause complications to the fetus/neonate or the mother</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CSL_CITATION {"citationItems":[{"id":"ITEM-1","itemData":{"DOI":"10.1016/j.ctim.2019.05.017","ISSN":"18736963","PMID":"31331586","abstract":"Background: Recent studies have shown that consumption of date fruits during pregnancy and also postpartum period might affect some pregnancy outcomes. We performed an updated systematic review and meta-analysis about the effects of consuming date fruits on gestation, labor, and delivery. Methods: Two researchers independently searched the online databases of PubMed, Scopus, Web of Science, Embase, Google Scholar, and EBSCO up to January 2019 for clinical trials examining the effects of date fruits consumption on any types of gestation, labor, and delivery outcomes. A fixed-effects model or random-effects models were applied to pool data, where appropriate. Quality assessment was done by Jadad scale. Results: In total, 11 and 8 studies were included in the systematic review and meta-analysis. Meta-analysis revealed that date fruit consumption significantly reduced gestation duration (pooled effect size: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0.30, 95% CI: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0.45,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0.15; P &lt; 0.001), increased cervical dilation on admission (pooled effect size: 0.94, 95% CI: 0.88, 1.00; P &lt; 0.001), and shorten duration of first stage of labor (pooled effect size: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50.09, 95% CI: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72.25,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27.93; P &lt; 0.001). Also, it was revealed that date fruit consumption significantly reduced duration of second stage of labor in fixed-effects model (pooled effect size: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9.85, 95% CI: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14.00,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5.70; P &lt; 0.001); however, this effect was not significant in random-effects analysis (pooled effect size: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11.27, 95% CI: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28.23, </w:instrText>
      </w:r>
      <w:r>
        <w:rPr>
          <w:rFonts w:ascii="Arial" w:eastAsia="Twentieth Century" w:hAnsi="Arial" w:cs="Arial"/>
          <w:sz w:val="24"/>
          <w:szCs w:val="24"/>
        </w:rPr>
        <w:instrText>−</w:instrText>
      </w:r>
      <w:r>
        <w:rPr>
          <w:rFonts w:ascii="Tw Cen MT" w:eastAsia="Twentieth Century" w:hAnsi="Tw Cen MT" w:cs="Twentieth Century"/>
          <w:sz w:val="24"/>
          <w:szCs w:val="24"/>
        </w:rPr>
        <w:instrText>5.68; P = 0.193). Conclusions: Date fruits intake seems to reduce gestation duration and duration of the first stage of labor, and also increase cervical dilation on admission.","author":[{"dropping-particle":"","family":"Morteza","given":"","non-dropping-particle":"","parse-names":false,"suffix":""},{"dropping-particle":"","family":"Gheibi","given":"Zeinab","non-dropping-particle":"","parse-names":false,"suffix":""},{"dropping-particle":"","family":"Miri","given":"Ali","non-dropping-particle":"","parse-names":false,"suffix":""},{"dropping-particle":"","family":"Rahmani, Nasiri","given":"Jamal","non-dropping-particle":"","parse-names":false,"suffix":""},{"dropping-particle":"","family":"Asadi","given":"Masoumeh","non-dropping-particle":"","parse-names":false,"suffix":""},{"dropping-particle":"","family":"Sadeghi","given":"Omid","non-dropping-particle":"","parse-names":false,"suffix":""},{"dropping-particle":"","family":"Maleki","given":"Vahid","non-dropping-particle":"","parse-names":false,"suffix":""},{"dropping-particle":"","family":"Khodadost","given":"Mahmoud","non-dropping-particle":"","parse-names":false,"suffix":""}],"container-title":"Complementary Therapies in Medicine","id":"ITEM-1","issue":"March","issued":{"date-parts":[["0"]]},"page":"71-84","publisher":"Elsevier","title":"Effects of consuming date fruits (Phoenix dactylifera Linn) on gestation, labor, and delivery: An updated systematic review and meta-analysis of clinical trials","type":"article-journal","volume":"45"},"uris":["http://www.mendeley.com/documents/?uuid=6d9d0c0e-7240-49a2-ba1b-78fe74bdaa93"]}],"mendeley":{"formattedCitation":"[12]","plainTextFormattedCitation":"[12]","previouslyFormattedCitation":"[12]"},"properties":{"noteIndex":0},"schema":"https://github.com/citation-style-language/schema/raw/master/csl-citation.json"}</w:instrText>
      </w:r>
      <w:r>
        <w:rPr>
          <w:rFonts w:ascii="Tw Cen MT" w:eastAsia="Twentieth Century" w:hAnsi="Tw Cen MT" w:cs="Twentieth Century"/>
          <w:sz w:val="24"/>
          <w:szCs w:val="24"/>
        </w:rPr>
        <w:fldChar w:fldCharType="separate"/>
      </w:r>
      <w:r w:rsidRPr="00E35423">
        <w:rPr>
          <w:rFonts w:ascii="Tw Cen MT" w:eastAsia="Twentieth Century" w:hAnsi="Tw Cen MT" w:cs="Twentieth Century"/>
          <w:noProof/>
          <w:sz w:val="24"/>
          <w:szCs w:val="24"/>
        </w:rPr>
        <w:t>[12]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sidRPr="008F6464">
        <w:rPr>
          <w:rFonts w:ascii="Tw Cen MT" w:eastAsia="Twentieth Century" w:hAnsi="Tw Cen MT" w:cs="Twentieth Century"/>
          <w:sz w:val="24"/>
          <w:szCs w:val="24"/>
        </w:rPr>
        <w:t xml:space="preserve"> Complications that arise in the fetus</w:t>
      </w:r>
      <w:r>
        <w:rPr>
          <w:rFonts w:ascii="Tw Cen MT" w:eastAsia="Twentieth Century" w:hAnsi="Tw Cen MT" w:cs="Twentieth Century"/>
          <w:sz w:val="24"/>
          <w:szCs w:val="24"/>
        </w:rPr>
        <w:t xml:space="preserve"> are</w:t>
      </w:r>
      <w:r w:rsidRPr="008F6464">
        <w:rPr>
          <w:rFonts w:ascii="Tw Cen MT" w:eastAsia="Twentieth Century" w:hAnsi="Tw Cen MT" w:cs="Twentieth Century"/>
          <w:sz w:val="24"/>
          <w:szCs w:val="24"/>
        </w:rPr>
        <w:t xml:space="preserve"> the occurrence of head compression, impaired oxygen supply, low APGAR scores, and fetal/neonatal death</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{"citationItems":[{"id":"ITEM-1","itemData":{"DOI":"10.1080/01443615.2017.1283304","ISSN":"13646893","PMID":"28286995","abstract":"Labour induction and augmentation with Prostaglandin and Oxytocin are well established as standard practice worldwide. They are safe when used judiciously, but may be associated with maternal and neonatal morbidities. Other safer alternatives have been studied including dates consumption during late pregnancy with various outcomes. The aim of this randomised controlled trial was to investigate the effect of date fruit consumption during late pregnancy on the onset of labour and need for induction or augmentation of labour. A total of 154 nulliparous women with an uncomplicated singleton pregnancy were randomly allocated to either dates-consumer (77) or control group (77). The women in the dates-consumer group had significantly less need for augmentation of labour and longer intervention to delivery interval. There was no significant difference in the onset of spontaneous labour. Dates consumption reduces the need for labour augmentation but does not expedite the onset of labour.Impact statement • Dates fruit consumption during late pregnancy has been shown to positively affect the outcome of labour and delivery. In this study, date consumption reduced the need for labour augmentation with oxytocin but did not expedite the onset of labour. Therefore, dates consumption in late pregnancy is a safe supplement to be considered as it reduced the need for labour intervention without any adverse effect on the mother and child. This further supports the finding of earlier studies.","author":[{"dropping-particle":"","family":"Razali","given":"Nuguelis","non-dropping-particle":"","parse-names":false,"suffix":""},{"dropping-particle":"","family":"Mohd Nahwari","given":"Siti Hayati","non-dropping-particle":"","parse-names":false,"suffix":""},{"dropping-particle":"","family":"Sulaiman","given":"Sofiah","non-dropping-particle":"","parse-names":false,"suffix":""},{"dropping-particle":"","family":"Hassan","given":"Jamiyah","non-dropping-particle":"","parse-names":false,"suffix":""}],"container-title":"Journal of Obstetrics and Gynaecology","id":"ITEM-1","issue":"5","issued":{"date-parts":[["2017"]]},"page":"595-600","title":"Date fruit consumption at term: Effect on length of gestation, labour and delivery","type":"article-journal","volume":"37"},"uris":["http://www.mendeley.com/documents/?uuid=4b7a2051-c6cc-4816-854d-1bedd4747f53"]}],"mendeley":{"formattedCitation":"[13]","plainTextFormattedCitation":"[13]","previouslyFormattedCitation":"[13]"},"properties":{"noteIndex":0},"schema":"https://github.com/citation-style-language/schema/raw/master/csl-citation.json"}</w:instrText>
      </w:r>
      <w:r>
        <w:rPr>
          <w:rFonts w:ascii="Tw Cen MT" w:eastAsia="Twentieth Century" w:hAnsi="Tw Cen MT" w:cs="Twentieth Century"/>
          <w:sz w:val="24"/>
          <w:szCs w:val="24"/>
        </w:rPr>
        <w:fldChar w:fldCharType="separate"/>
      </w:r>
      <w:r w:rsidRPr="00E35423">
        <w:rPr>
          <w:rFonts w:ascii="Tw Cen MT" w:eastAsia="Twentieth Century" w:hAnsi="Tw Cen MT" w:cs="Twentieth Century"/>
          <w:noProof/>
          <w:sz w:val="24"/>
          <w:szCs w:val="24"/>
        </w:rPr>
        <w:t>[13]</w:t>
      </w:r>
      <w:r>
        <w:rPr>
          <w:rFonts w:ascii="Tw Cen MT" w:eastAsia="Twentieth Century" w:hAnsi="Tw Cen MT" w:cs="Twentieth Century"/>
          <w:sz w:val="24"/>
          <w:szCs w:val="24"/>
        </w:rPr>
        <w:fldChar w:fldCharType="end"/>
      </w:r>
      <w:r w:rsidRPr="008F6464">
        <w:rPr>
          <w:rFonts w:ascii="Tw Cen MT" w:eastAsia="Twentieth Century" w:hAnsi="Tw Cen MT" w:cs="Twentieth Century"/>
          <w:sz w:val="24"/>
          <w:szCs w:val="24"/>
        </w:rPr>
        <w:t xml:space="preserve">. Meanwhile, complications that arise in the </w:t>
      </w:r>
      <w:r w:rsidRPr="00480970">
        <w:rPr>
          <w:rFonts w:ascii="Tw Cen MT" w:eastAsia="Twentieth Century" w:hAnsi="Tw Cen MT" w:cs="Twentieth Century"/>
          <w:sz w:val="24"/>
          <w:szCs w:val="24"/>
        </w:rPr>
        <w:t>mothers</w:t>
      </w:r>
      <w:r>
        <w:rPr>
          <w:rFonts w:ascii="Tw Cen MT" w:eastAsia="Twentieth Century" w:hAnsi="Tw Cen MT" w:cs="Twentieth Century"/>
          <w:sz w:val="24"/>
          <w:szCs w:val="24"/>
        </w:rPr>
        <w:t xml:space="preserve"> include</w:t>
      </w:r>
      <w:r w:rsidRPr="008F6464">
        <w:rPr>
          <w:rFonts w:ascii="Tw Cen MT" w:eastAsia="Twentieth Century" w:hAnsi="Tw Cen MT" w:cs="Twentieth Century"/>
          <w:sz w:val="24"/>
          <w:szCs w:val="24"/>
        </w:rPr>
        <w:t xml:space="preserve"> perineal trauma and postpartum bleeding</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Pr>
          <w:rFonts w:ascii="Tw Cen MT" w:eastAsia="Twentieth Century" w:hAnsi="Tw Cen MT" w:cs="Twentieth Century"/>
          <w:sz w:val="24"/>
          <w:szCs w:val="24"/>
        </w:rPr>
        <w:fldChar w:fldCharType="separate"/>
      </w:r>
      <w:r w:rsidRPr="00E35423">
        <w:rPr>
          <w:rFonts w:ascii="Tw Cen MT" w:eastAsia="Twentieth Century" w:hAnsi="Tw Cen MT" w:cs="Twentieth Century"/>
          <w:noProof/>
          <w:sz w:val="24"/>
          <w:szCs w:val="24"/>
        </w:rPr>
        <w:t>[14]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294F74BA" w14:textId="77777777" w:rsidR="00480970" w:rsidRDefault="00480970" w:rsidP="00480970">
      <w:pPr>
        <w:spacing w:after="0" w:line="240" w:lineRule="auto"/>
        <w:jc w:val="both"/>
        <w:rPr>
          <w:rFonts w:ascii="Tw Cen MT" w:eastAsia="Twentieth Century" w:hAnsi="Tw Cen MT" w:cs="Twentieth Century"/>
          <w:sz w:val="24"/>
          <w:szCs w:val="24"/>
        </w:rPr>
      </w:pPr>
      <w:r w:rsidRPr="004D074B">
        <w:rPr>
          <w:rFonts w:ascii="Tw Cen MT" w:eastAsia="Twentieth Century" w:hAnsi="Tw Cen MT" w:cs="Twentieth Century"/>
          <w:sz w:val="24"/>
          <w:szCs w:val="24"/>
        </w:rPr>
        <w:t>Pregnant women about to give birth need much nutrition due to many contractions of the uterine muscles when the baby is born</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10.30604/well.159322021","author":[{"dropping-particle":"","family":"Firdausi","given":"Nadya","non-dropping-particle":"","parse-names":false,"suffix":""},{"dropping-particle":"","family":"Mukhlis","given":"","non-dropping-particle":"","parse-names":false,"suffix":""},{"dropping-particle":"","family":"Mukhlis","given":"Hamid","non-dropping-particle":"","parse-names":false,"suffix":""}],"id":"ITEM-1","issue":"August","issued":{"date-parts":[["2021"]]},"page":"119-127","title":"Duration Labor Dates Sukkari","type":"article-journal","volume":"3"},"uris":["http://www.mendeley.com/documents/?uuid=f27ad83c-b082-4eb5-a26d-33b1b972c398"]}],"mendeley":{"formattedCitation":"[15]","plainTextFormattedCitation":"[15]","previouslyFormattedCitation":"[15]"},"properties":{"noteIndex":0},"schema":"https://github.com/citation-style-language/schema/raw/master/csl-citation.json"}</w:instrText>
      </w:r>
      <w:r>
        <w:rPr>
          <w:rFonts w:ascii="Tw Cen MT" w:eastAsia="Twentieth Century" w:hAnsi="Tw Cen MT" w:cs="Twentieth Century"/>
          <w:sz w:val="24"/>
          <w:szCs w:val="24"/>
        </w:rPr>
        <w:fldChar w:fldCharType="separate"/>
      </w:r>
      <w:r w:rsidRPr="00E35423">
        <w:rPr>
          <w:rFonts w:ascii="Tw Cen MT" w:eastAsia="Twentieth Century" w:hAnsi="Tw Cen MT" w:cs="Twentieth Century"/>
          <w:noProof/>
          <w:sz w:val="24"/>
          <w:szCs w:val="24"/>
        </w:rPr>
        <w:t>[15]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There are many ways to increase uterine contractions in pregnant women, such as </w:t>
      </w:r>
      <w:r w:rsidRPr="00A468BB">
        <w:rPr>
          <w:rFonts w:ascii="Tw Cen MT" w:eastAsia="Twentieth Century" w:hAnsi="Tw Cen MT" w:cs="Twentieth Century"/>
          <w:i/>
          <w:iCs/>
          <w:sz w:val="24"/>
          <w:szCs w:val="24"/>
        </w:rPr>
        <w:t>Phoenix dactylifera</w:t>
      </w:r>
      <w:r>
        <w:rPr>
          <w:rFonts w:ascii="Tw Cen MT" w:eastAsia="Twentieth Century" w:hAnsi="Tw Cen MT" w:cs="Twentieth Century"/>
          <w:sz w:val="24"/>
          <w:szCs w:val="24"/>
        </w:rPr>
        <w:t xml:space="preserve"> at </w:t>
      </w:r>
      <w:r>
        <w:rPr>
          <w:rFonts w:ascii="Tw Cen MT" w:eastAsia="Twentieth Century" w:hAnsi="Tw Cen MT" w:cs="Twentieth Century"/>
          <w:sz w:val="24"/>
          <w:szCs w:val="24"/>
        </w:rPr>
        <w:t>the end of pregnancy</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Pr>
          <w:rFonts w:ascii="Tw Cen MT" w:eastAsia="Twentieth Century" w:hAnsi="Tw Cen MT" w:cs="Twentieth Century"/>
          <w:sz w:val="24"/>
          <w:szCs w:val="24"/>
        </w:rPr>
        <w:fldChar w:fldCharType="separate"/>
      </w:r>
      <w:r w:rsidRPr="00E35423">
        <w:rPr>
          <w:rFonts w:ascii="Tw Cen MT" w:eastAsia="Twentieth Century" w:hAnsi="Tw Cen MT" w:cs="Twentieth Century"/>
          <w:noProof/>
          <w:sz w:val="24"/>
          <w:szCs w:val="24"/>
        </w:rPr>
        <w:t>[14]</w:t>
      </w:r>
      <w:r>
        <w:rPr>
          <w:rFonts w:ascii="Tw Cen MT" w:eastAsia="Twentieth Century" w:hAnsi="Tw Cen MT" w:cs="Twentieth Century"/>
          <w:sz w:val="24"/>
          <w:szCs w:val="24"/>
        </w:rPr>
        <w:fldChar w:fldCharType="end"/>
      </w:r>
      <w:r w:rsidRPr="00501629">
        <w:rPr>
          <w:rFonts w:ascii="Tw Cen MT" w:eastAsia="Twentieth Century" w:hAnsi="Tw Cen MT" w:cs="Twentieth Century"/>
          <w:sz w:val="24"/>
          <w:szCs w:val="24"/>
        </w:rPr>
        <w:t xml:space="preserve">. </w:t>
      </w:r>
      <w:r w:rsidRPr="004D074B">
        <w:rPr>
          <w:rFonts w:ascii="Tw Cen MT" w:eastAsia="Twentieth Century" w:hAnsi="Tw Cen MT" w:cs="Twentieth Century"/>
          <w:sz w:val="24"/>
          <w:szCs w:val="24"/>
        </w:rPr>
        <w:t>The date palm</w:t>
      </w:r>
      <w:r>
        <w:rPr>
          <w:rFonts w:ascii="Tw Cen MT" w:eastAsia="Twentieth Century" w:hAnsi="Tw Cen MT" w:cs="Twentieth Century"/>
          <w:sz w:val="24"/>
          <w:szCs w:val="24"/>
        </w:rPr>
        <w:t xml:space="preserve"> </w:t>
      </w:r>
      <w:r w:rsidRPr="004D074B">
        <w:rPr>
          <w:rFonts w:ascii="Tw Cen MT" w:eastAsia="Twentieth Century" w:hAnsi="Tw Cen MT" w:cs="Twentieth Century"/>
          <w:sz w:val="24"/>
          <w:szCs w:val="24"/>
        </w:rPr>
        <w:t>fruit (</w:t>
      </w:r>
      <w:r w:rsidRPr="00A468BB">
        <w:rPr>
          <w:rFonts w:ascii="Tw Cen MT" w:eastAsia="Twentieth Century" w:hAnsi="Tw Cen MT" w:cs="Twentieth Century"/>
          <w:i/>
          <w:iCs/>
          <w:sz w:val="24"/>
          <w:szCs w:val="24"/>
        </w:rPr>
        <w:t>Phoenix Dactylifera</w:t>
      </w:r>
      <w:r w:rsidRPr="004D074B">
        <w:rPr>
          <w:rFonts w:ascii="Tw Cen MT" w:eastAsia="Twentieth Century" w:hAnsi="Tw Cen MT" w:cs="Twentieth Century"/>
          <w:sz w:val="24"/>
          <w:szCs w:val="24"/>
        </w:rPr>
        <w:t>) contains much perfect nutrition</w:t>
      </w:r>
      <w:r w:rsidRPr="00501629">
        <w:rPr>
          <w:rFonts w:ascii="Tw Cen MT" w:eastAsia="Twentieth Century" w:hAnsi="Tw Cen MT" w:cs="Twentieth Century"/>
          <w:sz w:val="24"/>
          <w:szCs w:val="24"/>
        </w:rPr>
        <w:t xml:space="preserve">. </w:t>
      </w:r>
      <w:r w:rsidRPr="004D074B">
        <w:rPr>
          <w:rFonts w:ascii="Tw Cen MT" w:eastAsia="Twentieth Century" w:hAnsi="Tw Cen MT" w:cs="Twentieth Century"/>
          <w:sz w:val="24"/>
          <w:szCs w:val="24"/>
        </w:rPr>
        <w:t xml:space="preserve">The </w:t>
      </w:r>
      <w:r w:rsidRPr="00501629">
        <w:rPr>
          <w:rFonts w:ascii="Tw Cen MT" w:eastAsia="Twentieth Century" w:hAnsi="Tw Cen MT" w:cs="Twentieth Century"/>
          <w:sz w:val="24"/>
          <w:szCs w:val="24"/>
        </w:rPr>
        <w:t xml:space="preserve">date palm </w:t>
      </w:r>
      <w:r w:rsidRPr="004D074B">
        <w:rPr>
          <w:rFonts w:ascii="Tw Cen MT" w:eastAsia="Twentieth Century" w:hAnsi="Tw Cen MT" w:cs="Twentieth Century"/>
          <w:sz w:val="24"/>
          <w:szCs w:val="24"/>
        </w:rPr>
        <w:t xml:space="preserve">fruit </w:t>
      </w:r>
      <w:r w:rsidRPr="00501629">
        <w:rPr>
          <w:rFonts w:ascii="Tw Cen MT" w:eastAsia="Twentieth Century" w:hAnsi="Tw Cen MT" w:cs="Twentieth Century"/>
          <w:sz w:val="24"/>
          <w:szCs w:val="24"/>
        </w:rPr>
        <w:t>contains a high percentage of carbohydrates (58%), fat (1%), water (20.35%), protein (3%) and vitamins such as riboflavin (4.5%), thiamine (4%), folate and folic acid (4%), calcium (6.5%), magnesium (13%), and phytochemicals such as carotenoids, polyphenols, tannins and sterols</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{"citationItems":[{"id":"ITEM-1","itemData":{"DOI":"10.1016/j.explore.2020.05.014","ISSN":"18787541","PMID":"32563673","abstract":"Objective: To summarize the available evidence exploring the influence of date fruit consumption on delivery outcomes. Methods: A search was conducted for relevant articles in three databases for manuscripts in English, with no time restrictions. Results: Four articles were eligible for inclusion. Women consuming date fruit were admitted with higher cervical dilatation (mean difference (MD) 1.1 cm [95% confidence interval (CI) 0.2-1.99 cm) and yielded a lower need for labor induction/augmentation (relative risk (RR) 0.6, 95% CI 0.43-0.83). Date fruit consumption was associated with shorter latent phase (MD -4.6 hours, 95% CI -7.77 to -1.4) and second stage duration (MD -7.7 minutes, 95% CI -12.0 to -3.4). Conclusions: Although the overall quality of the included studies was weak due to high risk of bias, the results of our meta-analysis point to beneficial effects of date fruit consumption on labor process. fruit","author":[{"dropping-particle":"","family":"Sagi-Dain","given":"Lena","non-dropping-particle":"","parse-names":false,"suffix":""},{"dropping-particle":"","family":"Sagi","given":"Shlomi","non-dropping-particle":"","parse-names":false,"suffix":""}],"container-title":"Explore","id":"ITEM-1","issue":"6","issued":{"date-parts":[["2021"]]},"page":"569-573","publisher":"Elsevier Inc.","title":"The effect of late pregnancy date fruit consumption on delivery progress – A meta-analysis","type":"article-journal","volume":"17"},"uris":["http://www.mendeley.com/documents/?uuid=1d2ee700-1f62-49c2-a196-a6310109ba63"]}],"mendeley":{"formattedCitation":"[16]","plainTextFormattedCitation":"[16]","previouslyFormattedCitation":"[16]"},"properties":{"noteIndex":0},"schema":"https://github.com/citation-style-language/schema/raw/master/csl-citation.json"}</w:instrText>
      </w:r>
      <w:r>
        <w:rPr>
          <w:rFonts w:ascii="Tw Cen MT" w:eastAsia="Twentieth Century" w:hAnsi="Tw Cen MT" w:cs="Twentieth Century"/>
          <w:sz w:val="24"/>
          <w:szCs w:val="24"/>
        </w:rPr>
        <w:fldChar w:fldCharType="separate"/>
      </w:r>
      <w:r w:rsidRPr="00E35423">
        <w:rPr>
          <w:rFonts w:ascii="Tw Cen MT" w:eastAsia="Twentieth Century" w:hAnsi="Tw Cen MT" w:cs="Twentieth Century"/>
          <w:noProof/>
          <w:sz w:val="24"/>
          <w:szCs w:val="24"/>
        </w:rPr>
        <w:t>[16]</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p>
    <w:p w14:paraId="683DC6A1" w14:textId="77777777" w:rsidR="00480970" w:rsidRDefault="00480970" w:rsidP="00480970">
      <w:pPr>
        <w:spacing w:after="0" w:line="240" w:lineRule="auto"/>
        <w:jc w:val="both"/>
        <w:rPr>
          <w:rFonts w:ascii="Tw Cen MT" w:eastAsia="Twentieth Century" w:hAnsi="Tw Cen MT" w:cs="Twentieth Century"/>
          <w:sz w:val="24"/>
          <w:szCs w:val="24"/>
        </w:rPr>
      </w:pPr>
      <w:r w:rsidRPr="00501629">
        <w:rPr>
          <w:rFonts w:ascii="Tw Cen MT" w:eastAsia="Twentieth Century" w:hAnsi="Tw Cen MT" w:cs="Twentieth Century"/>
          <w:sz w:val="24"/>
          <w:szCs w:val="24"/>
        </w:rPr>
        <w:t xml:space="preserve">There are types of dates, such as </w:t>
      </w:r>
      <w:proofErr w:type="spellStart"/>
      <w:r w:rsidRPr="00501629">
        <w:rPr>
          <w:rFonts w:ascii="Tw Cen MT" w:eastAsia="Twentieth Century" w:hAnsi="Tw Cen MT" w:cs="Twentieth Century"/>
          <w:sz w:val="24"/>
          <w:szCs w:val="24"/>
        </w:rPr>
        <w:t>ajwa</w:t>
      </w:r>
      <w:proofErr w:type="spellEnd"/>
      <w:r w:rsidRPr="00501629">
        <w:rPr>
          <w:rFonts w:ascii="Tw Cen MT" w:eastAsia="Twentieth Century" w:hAnsi="Tw Cen MT" w:cs="Twentieth Century"/>
          <w:sz w:val="24"/>
          <w:szCs w:val="24"/>
        </w:rPr>
        <w:t xml:space="preserve"> dates, safari dates, </w:t>
      </w:r>
      <w:proofErr w:type="spellStart"/>
      <w:r w:rsidRPr="00501629">
        <w:rPr>
          <w:rFonts w:ascii="Tw Cen MT" w:eastAsia="Twentieth Century" w:hAnsi="Tw Cen MT" w:cs="Twentieth Century"/>
          <w:sz w:val="24"/>
          <w:szCs w:val="24"/>
        </w:rPr>
        <w:t>Khalas</w:t>
      </w:r>
      <w:proofErr w:type="spellEnd"/>
      <w:r w:rsidRPr="00501629">
        <w:rPr>
          <w:rFonts w:ascii="Tw Cen MT" w:eastAsia="Twentieth Century" w:hAnsi="Tw Cen MT" w:cs="Twentieth Century"/>
          <w:sz w:val="24"/>
          <w:szCs w:val="24"/>
        </w:rPr>
        <w:t xml:space="preserve"> dates, </w:t>
      </w:r>
      <w:proofErr w:type="spellStart"/>
      <w:r w:rsidRPr="00501629">
        <w:rPr>
          <w:rFonts w:ascii="Tw Cen MT" w:eastAsia="Twentieth Century" w:hAnsi="Tw Cen MT" w:cs="Twentieth Century"/>
          <w:sz w:val="24"/>
          <w:szCs w:val="24"/>
        </w:rPr>
        <w:t>degl</w:t>
      </w:r>
      <w:r>
        <w:rPr>
          <w:rFonts w:ascii="Tw Cen MT" w:eastAsia="Twentieth Century" w:hAnsi="Tw Cen MT" w:cs="Twentieth Century"/>
          <w:sz w:val="24"/>
          <w:szCs w:val="24"/>
        </w:rPr>
        <w:t>et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nour</w:t>
      </w:r>
      <w:proofErr w:type="spellEnd"/>
      <w:r>
        <w:rPr>
          <w:rFonts w:ascii="Tw Cen MT" w:eastAsia="Twentieth Century" w:hAnsi="Tw Cen MT" w:cs="Twentieth Century"/>
          <w:sz w:val="24"/>
          <w:szCs w:val="24"/>
        </w:rPr>
        <w:t xml:space="preserve"> dates, and </w:t>
      </w:r>
      <w:proofErr w:type="spellStart"/>
      <w:r>
        <w:rPr>
          <w:rFonts w:ascii="Tw Cen MT" w:eastAsia="Twentieth Century" w:hAnsi="Tw Cen MT" w:cs="Twentieth Century"/>
          <w:sz w:val="24"/>
          <w:szCs w:val="24"/>
        </w:rPr>
        <w:t>sukkari</w:t>
      </w:r>
      <w:proofErr w:type="spellEnd"/>
      <w:r>
        <w:rPr>
          <w:rFonts w:ascii="Tw Cen MT" w:eastAsia="Twentieth Century" w:hAnsi="Tw Cen MT" w:cs="Twentieth Century"/>
          <w:sz w:val="24"/>
          <w:szCs w:val="24"/>
        </w:rPr>
        <w:t xml:space="preserve"> dates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Pr>
          <w:rFonts w:ascii="Tw Cen MT" w:eastAsia="Twentieth Century" w:hAnsi="Tw Cen MT" w:cs="Twentieth Century"/>
          <w:sz w:val="24"/>
          <w:szCs w:val="24"/>
        </w:rPr>
        <w:fldChar w:fldCharType="separate"/>
      </w:r>
      <w:r w:rsidRPr="00E35423">
        <w:rPr>
          <w:rFonts w:ascii="Tw Cen MT" w:eastAsia="Twentieth Century" w:hAnsi="Tw Cen MT" w:cs="Twentieth Century"/>
          <w:noProof/>
          <w:sz w:val="24"/>
          <w:szCs w:val="24"/>
        </w:rPr>
        <w:t>[14]</w:t>
      </w:r>
      <w:r>
        <w:rPr>
          <w:rFonts w:ascii="Tw Cen MT" w:eastAsia="Twentieth Century" w:hAnsi="Tw Cen MT" w:cs="Twentieth Century"/>
          <w:sz w:val="24"/>
          <w:szCs w:val="24"/>
        </w:rPr>
        <w:fldChar w:fldCharType="end"/>
      </w:r>
      <w:r w:rsidRPr="00501629">
        <w:rPr>
          <w:rFonts w:ascii="Tw Cen MT" w:eastAsia="Twentieth Century" w:hAnsi="Tw Cen MT" w:cs="Twentieth Century"/>
          <w:sz w:val="24"/>
          <w:szCs w:val="24"/>
        </w:rPr>
        <w:t xml:space="preserve">. Researchers chose </w:t>
      </w:r>
      <w:proofErr w:type="spellStart"/>
      <w:r w:rsidRPr="00501629">
        <w:rPr>
          <w:rFonts w:ascii="Tw Cen MT" w:eastAsia="Twentieth Century" w:hAnsi="Tw Cen MT" w:cs="Twentieth Century"/>
          <w:sz w:val="24"/>
          <w:szCs w:val="24"/>
        </w:rPr>
        <w:t>Sukkari</w:t>
      </w:r>
      <w:proofErr w:type="spellEnd"/>
      <w:r w:rsidRPr="00501629">
        <w:rPr>
          <w:rFonts w:ascii="Tw Cen MT" w:eastAsia="Twentieth Century" w:hAnsi="Tw Cen MT" w:cs="Twentieth Century"/>
          <w:sz w:val="24"/>
          <w:szCs w:val="24"/>
        </w:rPr>
        <w:t xml:space="preserve"> dates because </w:t>
      </w:r>
      <w:proofErr w:type="spellStart"/>
      <w:r w:rsidRPr="00501629">
        <w:rPr>
          <w:rFonts w:ascii="Tw Cen MT" w:eastAsia="Twentieth Century" w:hAnsi="Tw Cen MT" w:cs="Twentieth Century"/>
          <w:sz w:val="24"/>
          <w:szCs w:val="24"/>
        </w:rPr>
        <w:t>Sukkari</w:t>
      </w:r>
      <w:proofErr w:type="spellEnd"/>
      <w:r w:rsidRPr="00501629">
        <w:rPr>
          <w:rFonts w:ascii="Tw Cen MT" w:eastAsia="Twentieth Century" w:hAnsi="Tw Cen MT" w:cs="Twentieth Century"/>
          <w:sz w:val="24"/>
          <w:szCs w:val="24"/>
        </w:rPr>
        <w:t xml:space="preserve"> dates have a very high fatty acid content (0.5%)</w:t>
      </w:r>
      <w:r>
        <w:rPr>
          <w:rFonts w:ascii="Tw Cen MT" w:eastAsia="Twentieth Century" w:hAnsi="Tw Cen MT" w:cs="Twentieth Century"/>
          <w:sz w:val="24"/>
          <w:szCs w:val="24"/>
        </w:rPr>
        <w:t xml:space="preserve">. Meanwhile, </w:t>
      </w:r>
      <w:proofErr w:type="spellStart"/>
      <w:r w:rsidRPr="00501629">
        <w:rPr>
          <w:rFonts w:ascii="Tw Cen MT" w:eastAsia="Twentieth Century" w:hAnsi="Tw Cen MT" w:cs="Twentieth Century"/>
          <w:sz w:val="24"/>
          <w:szCs w:val="24"/>
        </w:rPr>
        <w:t>ajwa</w:t>
      </w:r>
      <w:proofErr w:type="spellEnd"/>
      <w:r w:rsidRPr="00501629">
        <w:rPr>
          <w:rFonts w:ascii="Tw Cen MT" w:eastAsia="Twentieth Century" w:hAnsi="Tw Cen MT" w:cs="Twentieth Century"/>
          <w:sz w:val="24"/>
          <w:szCs w:val="24"/>
        </w:rPr>
        <w:t xml:space="preserve"> dates contain fatty acids (0.2%), safari dates contain fatty acids (0.1%), </w:t>
      </w:r>
      <w:proofErr w:type="spellStart"/>
      <w:r w:rsidRPr="00501629">
        <w:rPr>
          <w:rFonts w:ascii="Tw Cen MT" w:eastAsia="Twentieth Century" w:hAnsi="Tw Cen MT" w:cs="Twentieth Century"/>
          <w:sz w:val="24"/>
          <w:szCs w:val="24"/>
        </w:rPr>
        <w:t>khalas</w:t>
      </w:r>
      <w:proofErr w:type="spellEnd"/>
      <w:r w:rsidRPr="00501629">
        <w:rPr>
          <w:rFonts w:ascii="Tw Cen MT" w:eastAsia="Twentieth Century" w:hAnsi="Tw Cen MT" w:cs="Twentieth Century"/>
          <w:sz w:val="24"/>
          <w:szCs w:val="24"/>
        </w:rPr>
        <w:t xml:space="preserve"> dates contain fatty acids (0.2%), and </w:t>
      </w:r>
      <w:proofErr w:type="spellStart"/>
      <w:r w:rsidRPr="00501629">
        <w:rPr>
          <w:rFonts w:ascii="Tw Cen MT" w:eastAsia="Twentieth Century" w:hAnsi="Tw Cen MT" w:cs="Twentieth Century"/>
          <w:sz w:val="24"/>
          <w:szCs w:val="24"/>
        </w:rPr>
        <w:t>deglet</w:t>
      </w:r>
      <w:proofErr w:type="spellEnd"/>
      <w:r w:rsidRPr="00501629">
        <w:rPr>
          <w:rFonts w:ascii="Tw Cen MT" w:eastAsia="Twentieth Century" w:hAnsi="Tw Cen MT" w:cs="Twentieth Century"/>
          <w:sz w:val="24"/>
          <w:szCs w:val="24"/>
        </w:rPr>
        <w:t xml:space="preserve"> </w:t>
      </w:r>
      <w:proofErr w:type="spellStart"/>
      <w:r w:rsidRPr="00501629">
        <w:rPr>
          <w:rFonts w:ascii="Tw Cen MT" w:eastAsia="Twentieth Century" w:hAnsi="Tw Cen MT" w:cs="Twentieth Century"/>
          <w:sz w:val="24"/>
          <w:szCs w:val="24"/>
        </w:rPr>
        <w:t>nour</w:t>
      </w:r>
      <w:proofErr w:type="spellEnd"/>
      <w:r w:rsidRPr="00501629">
        <w:rPr>
          <w:rFonts w:ascii="Tw Cen MT" w:eastAsia="Twentieth Century" w:hAnsi="Tw Cen MT" w:cs="Twentieth Century"/>
          <w:sz w:val="24"/>
          <w:szCs w:val="24"/>
        </w:rPr>
        <w:t xml:space="preserve"> dates contain fatty acids (0.2%). </w:t>
      </w:r>
      <w:proofErr w:type="spellStart"/>
      <w:r w:rsidRPr="00501629">
        <w:rPr>
          <w:rFonts w:ascii="Tw Cen MT" w:eastAsia="Twentieth Century" w:hAnsi="Tw Cen MT" w:cs="Twentieth Century"/>
          <w:sz w:val="24"/>
          <w:szCs w:val="24"/>
        </w:rPr>
        <w:t>Sukkari</w:t>
      </w:r>
      <w:proofErr w:type="spellEnd"/>
      <w:r w:rsidRPr="00501629">
        <w:rPr>
          <w:rFonts w:ascii="Tw Cen MT" w:eastAsia="Twentieth Century" w:hAnsi="Tw Cen MT" w:cs="Twentieth Century"/>
          <w:sz w:val="24"/>
          <w:szCs w:val="24"/>
        </w:rPr>
        <w:t xml:space="preserve"> dates have a dark brown color and soft flesh</w:t>
      </w:r>
      <w:r>
        <w:rPr>
          <w:rFonts w:ascii="Tw Cen MT" w:eastAsia="Twentieth Century" w:hAnsi="Tw Cen MT" w:cs="Twentieth Century"/>
          <w:sz w:val="24"/>
          <w:szCs w:val="24"/>
        </w:rPr>
        <w:t xml:space="preserve"> texture</w:t>
      </w:r>
      <w:r w:rsidRPr="00501629">
        <w:rPr>
          <w:rFonts w:ascii="Tw Cen MT" w:eastAsia="Twentieth Century" w:hAnsi="Tw Cen MT" w:cs="Twentieth Century"/>
          <w:sz w:val="24"/>
          <w:szCs w:val="24"/>
        </w:rPr>
        <w:t xml:space="preserve">. These dates are round </w:t>
      </w:r>
      <w:r>
        <w:rPr>
          <w:rFonts w:ascii="Tw Cen MT" w:eastAsia="Twentieth Century" w:hAnsi="Tw Cen MT" w:cs="Twentieth Century"/>
          <w:sz w:val="24"/>
          <w:szCs w:val="24"/>
        </w:rPr>
        <w:t xml:space="preserve">and </w:t>
      </w:r>
      <w:r w:rsidRPr="00501629">
        <w:rPr>
          <w:rFonts w:ascii="Tw Cen MT" w:eastAsia="Twentieth Century" w:hAnsi="Tw Cen MT" w:cs="Twentieth Century"/>
          <w:sz w:val="24"/>
          <w:szCs w:val="24"/>
        </w:rPr>
        <w:t>have a distinctive sweet taste. The sugar content in dates differs from the sugar in other fruits, such as cane or granulated sugar, which usually contain high sucrose</w:t>
      </w:r>
      <w:r>
        <w:rPr>
          <w:rFonts w:ascii="Tw Cen MT" w:eastAsia="Twentieth Century" w:hAnsi="Tw Cen MT" w:cs="Twentieth Century"/>
          <w:sz w:val="24"/>
          <w:szCs w:val="24"/>
        </w:rPr>
        <w:t>. T</w:t>
      </w:r>
      <w:r w:rsidRPr="00501629">
        <w:rPr>
          <w:rFonts w:ascii="Tw Cen MT" w:eastAsia="Twentieth Century" w:hAnsi="Tw Cen MT" w:cs="Twentieth Century"/>
          <w:sz w:val="24"/>
          <w:szCs w:val="24"/>
        </w:rPr>
        <w:t>he sugar in dates does not require such a long process to be</w:t>
      </w:r>
      <w:r>
        <w:rPr>
          <w:rFonts w:ascii="Tw Cen MT" w:eastAsia="Twentieth Century" w:hAnsi="Tw Cen MT" w:cs="Twentieth Century"/>
          <w:sz w:val="24"/>
          <w:szCs w:val="24"/>
        </w:rPr>
        <w:t xml:space="preserve"> directly</w:t>
      </w:r>
      <w:r w:rsidRPr="00501629">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absorbed into the body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Pr>
          <w:rFonts w:ascii="Tw Cen MT" w:eastAsia="Twentieth Century" w:hAnsi="Tw Cen MT" w:cs="Twentieth Century"/>
          <w:sz w:val="24"/>
          <w:szCs w:val="24"/>
        </w:rPr>
        <w:fldChar w:fldCharType="separate"/>
      </w:r>
      <w:r w:rsidRPr="00E35423">
        <w:rPr>
          <w:rFonts w:ascii="Tw Cen MT" w:eastAsia="Twentieth Century" w:hAnsi="Tw Cen MT" w:cs="Twentieth Century"/>
          <w:noProof/>
          <w:sz w:val="24"/>
          <w:szCs w:val="24"/>
        </w:rPr>
        <w:t>[14]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24F9FE22" w14:textId="77777777" w:rsidR="00480970" w:rsidRPr="00480970" w:rsidRDefault="00480970" w:rsidP="00480970">
      <w:pPr>
        <w:spacing w:after="0" w:line="240" w:lineRule="auto"/>
        <w:jc w:val="both"/>
        <w:rPr>
          <w:rFonts w:ascii="Tw Cen MT" w:eastAsia="Twentieth Century" w:hAnsi="Tw Cen MT" w:cs="Twentieth Century"/>
          <w:sz w:val="24"/>
          <w:szCs w:val="24"/>
          <w:lang w:val="en"/>
        </w:rPr>
      </w:pPr>
      <w:r w:rsidRPr="00480970">
        <w:rPr>
          <w:rFonts w:ascii="Tw Cen MT" w:eastAsia="Twentieth Century" w:hAnsi="Tw Cen MT" w:cs="Twentieth Century"/>
          <w:sz w:val="24"/>
          <w:szCs w:val="24"/>
          <w:lang w:val="en"/>
        </w:rPr>
        <w:t xml:space="preserve">The results of previous research, women who consumed 6 dates every day at a gestational age of over 37 weeks until delivery had an average of faster cervical dilatation in hospitalized patients than those who did not consume dates and a higher proportion of intact membranes. Childbirth occurred spontaneously in 96% of mothers who ate dates compared to 79% of mothers who did not eat dates. </w:t>
      </w:r>
      <w:proofErr w:type="spellStart"/>
      <w:r w:rsidRPr="00480970">
        <w:rPr>
          <w:rFonts w:ascii="Tw Cen MT" w:eastAsia="Twentieth Century" w:hAnsi="Tw Cen MT" w:cs="Twentieth Century"/>
          <w:sz w:val="24"/>
          <w:szCs w:val="24"/>
          <w:lang w:val="en"/>
        </w:rPr>
        <w:t>Prostin</w:t>
      </w:r>
      <w:proofErr w:type="spellEnd"/>
      <w:r w:rsidRPr="00480970">
        <w:rPr>
          <w:rFonts w:ascii="Tw Cen MT" w:eastAsia="Twentieth Century" w:hAnsi="Tw Cen MT" w:cs="Twentieth Century"/>
          <w:sz w:val="24"/>
          <w:szCs w:val="24"/>
          <w:lang w:val="en"/>
        </w:rPr>
        <w:t xml:space="preserve">/oxytocin use was significantly lower in women who consumed dates (28%) compared to those who did not consume dates (47%). And the average latent phase period during the first phase of labor was shorter, namely 510 minutes, for women who consumed dates compared to 906 minutes for those who did not. </w:t>
      </w:r>
    </w:p>
    <w:p w14:paraId="25972A8E" w14:textId="77777777" w:rsidR="00480970" w:rsidRPr="009C14CD" w:rsidRDefault="00480970" w:rsidP="00480970">
      <w:pPr>
        <w:spacing w:after="0" w:line="240" w:lineRule="auto"/>
        <w:jc w:val="both"/>
        <w:rPr>
          <w:rFonts w:ascii="Tw Cen MT" w:eastAsia="Twentieth Century" w:hAnsi="Tw Cen MT" w:cs="Twentieth Century"/>
          <w:sz w:val="24"/>
          <w:szCs w:val="24"/>
          <w:lang w:val="en-ID"/>
        </w:rPr>
      </w:pPr>
      <w:r w:rsidRPr="00480970">
        <w:rPr>
          <w:rFonts w:ascii="Tw Cen MT" w:eastAsia="Twentieth Century" w:hAnsi="Tw Cen MT" w:cs="Twentieth Century"/>
          <w:sz w:val="24"/>
          <w:szCs w:val="24"/>
          <w:lang w:val="en"/>
        </w:rPr>
        <w:t>This shows that there is an effect of giving dates on the progress of the first stage of labor in the latent phase in women giving birth.</w:t>
      </w:r>
    </w:p>
    <w:p w14:paraId="267C63B4" w14:textId="33485903" w:rsidR="00E04883" w:rsidRPr="000404EE" w:rsidRDefault="00480970" w:rsidP="00480970">
      <w:pPr>
        <w:pStyle w:val="DaftarParagraf"/>
        <w:spacing w:line="240" w:lineRule="auto"/>
        <w:ind w:left="0"/>
        <w:jc w:val="both"/>
        <w:rPr>
          <w:rFonts w:ascii="Tw Cen MT" w:hAnsi="Tw Cen MT"/>
          <w:sz w:val="24"/>
          <w:szCs w:val="24"/>
        </w:rPr>
      </w:pPr>
      <w:r w:rsidRPr="00501629">
        <w:rPr>
          <w:rFonts w:ascii="Tw Cen MT" w:eastAsia="Twentieth Century" w:hAnsi="Tw Cen MT" w:cs="Twentieth Century"/>
          <w:sz w:val="24"/>
          <w:szCs w:val="24"/>
        </w:rPr>
        <w:lastRenderedPageBreak/>
        <w:t xml:space="preserve">Based on the </w:t>
      </w:r>
      <w:proofErr w:type="gramStart"/>
      <w:r w:rsidRPr="00501629">
        <w:rPr>
          <w:rFonts w:ascii="Tw Cen MT" w:eastAsia="Twentieth Century" w:hAnsi="Tw Cen MT" w:cs="Twentieth Century"/>
          <w:sz w:val="24"/>
          <w:szCs w:val="24"/>
        </w:rPr>
        <w:t>a</w:t>
      </w:r>
      <w:r>
        <w:rPr>
          <w:rFonts w:ascii="Tw Cen MT" w:eastAsia="Twentieth Century" w:hAnsi="Tw Cen MT" w:cs="Twentieth Century"/>
          <w:sz w:val="24"/>
          <w:szCs w:val="24"/>
        </w:rPr>
        <w:t>forementioned</w:t>
      </w:r>
      <w:r w:rsidRPr="00501629">
        <w:rPr>
          <w:rFonts w:ascii="Tw Cen MT" w:eastAsia="Twentieth Century" w:hAnsi="Tw Cen MT" w:cs="Twentieth Century"/>
          <w:sz w:val="24"/>
          <w:szCs w:val="24"/>
        </w:rPr>
        <w:t xml:space="preserve"> background</w:t>
      </w:r>
      <w:proofErr w:type="gramEnd"/>
      <w:r w:rsidRPr="00501629">
        <w:rPr>
          <w:rFonts w:ascii="Tw Cen MT" w:eastAsia="Twentieth Century" w:hAnsi="Tw Cen MT" w:cs="Twentieth Century"/>
          <w:sz w:val="24"/>
          <w:szCs w:val="24"/>
        </w:rPr>
        <w:t xml:space="preserve">, </w:t>
      </w:r>
      <w:r w:rsidRPr="004A0F0F">
        <w:rPr>
          <w:rFonts w:ascii="Tw Cen MT" w:eastAsia="Twentieth Century" w:hAnsi="Tw Cen MT" w:cs="Twentieth Century"/>
          <w:i/>
          <w:iCs/>
          <w:sz w:val="24"/>
          <w:szCs w:val="24"/>
        </w:rPr>
        <w:t>Phoenix Dactylifera</w:t>
      </w:r>
      <w:r w:rsidRPr="00501629">
        <w:rPr>
          <w:rFonts w:ascii="Tw Cen MT" w:eastAsia="Twentieth Century" w:hAnsi="Tw Cen MT" w:cs="Twentieth Century"/>
          <w:sz w:val="24"/>
          <w:szCs w:val="24"/>
        </w:rPr>
        <w:t xml:space="preserve"> at the end of pregnancy can cause uter</w:t>
      </w:r>
      <w:r>
        <w:rPr>
          <w:rFonts w:ascii="Tw Cen MT" w:eastAsia="Twentieth Century" w:hAnsi="Tw Cen MT" w:cs="Twentieth Century"/>
          <w:sz w:val="24"/>
          <w:szCs w:val="24"/>
        </w:rPr>
        <w:t xml:space="preserve">ine contractions to improve. </w:t>
      </w:r>
      <w:r w:rsidRPr="00501629">
        <w:rPr>
          <w:rFonts w:ascii="Tw Cen MT" w:eastAsia="Twentieth Century" w:hAnsi="Tw Cen MT" w:cs="Twentieth Century"/>
          <w:sz w:val="24"/>
          <w:szCs w:val="24"/>
        </w:rPr>
        <w:t>Therefore</w:t>
      </w:r>
      <w:r>
        <w:rPr>
          <w:rFonts w:ascii="Tw Cen MT" w:eastAsia="Twentieth Century" w:hAnsi="Tw Cen MT" w:cs="Twentieth Century"/>
          <w:sz w:val="24"/>
          <w:szCs w:val="24"/>
        </w:rPr>
        <w:t xml:space="preserve">, </w:t>
      </w:r>
      <w:r w:rsidRPr="00501629">
        <w:rPr>
          <w:rFonts w:ascii="Tw Cen MT" w:eastAsia="Twentieth Century" w:hAnsi="Tw Cen MT" w:cs="Twentieth Century"/>
          <w:sz w:val="24"/>
          <w:szCs w:val="24"/>
        </w:rPr>
        <w:t xml:space="preserve">the researchers </w:t>
      </w:r>
      <w:r>
        <w:rPr>
          <w:rFonts w:ascii="Tw Cen MT" w:eastAsia="Twentieth Century" w:hAnsi="Tw Cen MT" w:cs="Twentieth Century"/>
          <w:sz w:val="24"/>
          <w:szCs w:val="24"/>
        </w:rPr>
        <w:t>attempted to investigate</w:t>
      </w:r>
      <w:r w:rsidRPr="00501629">
        <w:rPr>
          <w:rFonts w:ascii="Tw Cen MT" w:eastAsia="Twentieth Century" w:hAnsi="Tw Cen MT" w:cs="Twentieth Century"/>
          <w:sz w:val="24"/>
          <w:szCs w:val="24"/>
        </w:rPr>
        <w:t xml:space="preserve"> whether there was an effect of </w:t>
      </w:r>
      <w:r w:rsidRPr="001D02D2">
        <w:rPr>
          <w:rFonts w:ascii="Tw Cen MT" w:eastAsia="Twentieth Century" w:hAnsi="Tw Cen MT" w:cs="Twentieth Century"/>
          <w:i/>
          <w:iCs/>
          <w:sz w:val="24"/>
          <w:szCs w:val="24"/>
        </w:rPr>
        <w:t>Phoenix Dactylifera</w:t>
      </w:r>
      <w:r w:rsidRPr="00501629">
        <w:rPr>
          <w:rFonts w:ascii="Tw Cen MT" w:eastAsia="Twentieth Century" w:hAnsi="Tw Cen MT" w:cs="Twentieth Century"/>
          <w:sz w:val="24"/>
          <w:szCs w:val="24"/>
        </w:rPr>
        <w:t xml:space="preserve"> on contractions in birthing mothers</w:t>
      </w:r>
      <w:r w:rsidR="00B94AE5">
        <w:rPr>
          <w:rFonts w:ascii="Tw Cen MT" w:hAnsi="Tw Cen MT"/>
          <w:sz w:val="24"/>
          <w:szCs w:val="24"/>
        </w:rPr>
        <w:t>.</w:t>
      </w:r>
    </w:p>
    <w:p w14:paraId="46F440E8" w14:textId="28EB0240" w:rsidR="0022440B" w:rsidRDefault="00000000" w:rsidP="0022440B">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w:t>
      </w:r>
      <w:r w:rsidR="0022440B">
        <w:rPr>
          <w:rFonts w:ascii="Tw Cen MT" w:eastAsia="Twentieth Century" w:hAnsi="Tw Cen MT" w:cs="Twentieth Century"/>
          <w:b/>
          <w:sz w:val="24"/>
          <w:szCs w:val="24"/>
        </w:rPr>
        <w:t>HOD</w:t>
      </w:r>
      <w:r w:rsidR="000404EE">
        <w:rPr>
          <w:rFonts w:ascii="Tw Cen MT" w:eastAsia="Twentieth Century" w:hAnsi="Tw Cen MT" w:cs="Twentieth Century"/>
          <w:b/>
          <w:sz w:val="24"/>
          <w:szCs w:val="24"/>
        </w:rPr>
        <w:t>S</w:t>
      </w:r>
      <w:r>
        <w:rPr>
          <w:rFonts w:ascii="Tw Cen MT" w:eastAsia="Twentieth Century" w:hAnsi="Tw Cen MT" w:cs="Twentieth Century"/>
          <w:b/>
          <w:sz w:val="24"/>
          <w:szCs w:val="24"/>
        </w:rPr>
        <w:t xml:space="preserve"> </w:t>
      </w:r>
    </w:p>
    <w:p w14:paraId="24CA30C7" w14:textId="77777777" w:rsidR="00A047FD" w:rsidRDefault="00A047FD" w:rsidP="00A047FD">
      <w:pPr>
        <w:tabs>
          <w:tab w:val="left" w:pos="426"/>
        </w:tabs>
        <w:spacing w:after="0" w:line="240" w:lineRule="auto"/>
        <w:jc w:val="both"/>
        <w:rPr>
          <w:rFonts w:ascii="Tw Cen MT" w:eastAsia="Twentieth Century" w:hAnsi="Tw Cen MT" w:cs="Twentieth Century"/>
          <w:sz w:val="24"/>
          <w:szCs w:val="24"/>
        </w:rPr>
      </w:pPr>
      <w:r w:rsidRPr="00501629">
        <w:rPr>
          <w:rFonts w:ascii="Tw Cen MT" w:eastAsia="Twentieth Century" w:hAnsi="Tw Cen MT" w:cs="Twentieth Century"/>
          <w:sz w:val="24"/>
          <w:szCs w:val="24"/>
        </w:rPr>
        <w:t xml:space="preserve">The method used in this research </w:t>
      </w:r>
      <w:r>
        <w:rPr>
          <w:rFonts w:ascii="Tw Cen MT" w:eastAsia="Twentieth Century" w:hAnsi="Tw Cen MT" w:cs="Twentieth Century"/>
          <w:sz w:val="24"/>
          <w:szCs w:val="24"/>
        </w:rPr>
        <w:t>wa</w:t>
      </w:r>
      <w:r w:rsidRPr="00501629">
        <w:rPr>
          <w:rFonts w:ascii="Tw Cen MT" w:eastAsia="Twentieth Century" w:hAnsi="Tw Cen MT" w:cs="Twentieth Century"/>
          <w:sz w:val="24"/>
          <w:szCs w:val="24"/>
        </w:rPr>
        <w:t>s a quasi-experimental design. The research design used was a pretest-posttest control group design. In this design</w:t>
      </w:r>
      <w:r>
        <w:rPr>
          <w:rFonts w:ascii="Tw Cen MT" w:eastAsia="Twentieth Century" w:hAnsi="Tw Cen MT" w:cs="Twentieth Century"/>
          <w:sz w:val="24"/>
          <w:szCs w:val="24"/>
        </w:rPr>
        <w:t>,</w:t>
      </w:r>
      <w:r w:rsidRPr="00501629">
        <w:rPr>
          <w:rFonts w:ascii="Tw Cen MT" w:eastAsia="Twentieth Century" w:hAnsi="Tw Cen MT" w:cs="Twentieth Century"/>
          <w:sz w:val="24"/>
          <w:szCs w:val="24"/>
        </w:rPr>
        <w:t xml:space="preserve"> the experimental group and the control group </w:t>
      </w:r>
      <w:r>
        <w:rPr>
          <w:rFonts w:ascii="Tw Cen MT" w:eastAsia="Twentieth Century" w:hAnsi="Tw Cen MT" w:cs="Twentieth Century"/>
          <w:sz w:val="24"/>
          <w:szCs w:val="24"/>
        </w:rPr>
        <w:t>we</w:t>
      </w:r>
      <w:r w:rsidRPr="00501629">
        <w:rPr>
          <w:rFonts w:ascii="Tw Cen MT" w:eastAsia="Twentieth Century" w:hAnsi="Tw Cen MT" w:cs="Twentieth Century"/>
          <w:sz w:val="24"/>
          <w:szCs w:val="24"/>
        </w:rPr>
        <w:t xml:space="preserve">re compared. The experimental group received treatment, </w:t>
      </w:r>
      <w:r w:rsidRPr="007B18D9">
        <w:rPr>
          <w:rFonts w:ascii="Tw Cen MT" w:eastAsia="Twentieth Century" w:hAnsi="Tw Cen MT" w:cs="Twentieth Century"/>
          <w:sz w:val="24"/>
          <w:szCs w:val="24"/>
        </w:rPr>
        <w:t>namely in the form of giving dates</w:t>
      </w:r>
      <w:r w:rsidRPr="00501629">
        <w:rPr>
          <w:rFonts w:ascii="Tw Cen MT" w:eastAsia="Twentieth Century" w:hAnsi="Tw Cen MT" w:cs="Twentieth Century"/>
          <w:sz w:val="24"/>
          <w:szCs w:val="24"/>
        </w:rPr>
        <w:t xml:space="preserve">, while the control group did not receive treatment, </w:t>
      </w:r>
      <w:r>
        <w:rPr>
          <w:rFonts w:ascii="Tw Cen MT" w:eastAsia="Twentieth Century" w:hAnsi="Tw Cen MT" w:cs="Twentieth Century"/>
          <w:sz w:val="24"/>
          <w:szCs w:val="24"/>
        </w:rPr>
        <w:t>meaning there w</w:t>
      </w:r>
      <w:r w:rsidRPr="00501629">
        <w:rPr>
          <w:rFonts w:ascii="Tw Cen MT" w:eastAsia="Twentieth Century" w:hAnsi="Tw Cen MT" w:cs="Twentieth Century"/>
          <w:sz w:val="24"/>
          <w:szCs w:val="24"/>
        </w:rPr>
        <w:t>ere no dates</w:t>
      </w:r>
      <w:r>
        <w:rPr>
          <w:rFonts w:ascii="Tw Cen MT" w:eastAsia="Twentieth Century" w:hAnsi="Tw Cen MT" w:cs="Twentieth Century"/>
          <w:sz w:val="24"/>
          <w:szCs w:val="24"/>
        </w:rPr>
        <w:t xml:space="preserve"> given</w:t>
      </w:r>
      <w:r w:rsidRPr="00501629">
        <w:rPr>
          <w:rFonts w:ascii="Tw Cen MT" w:eastAsia="Twentieth Century" w:hAnsi="Tw Cen MT" w:cs="Twentieth Century"/>
          <w:sz w:val="24"/>
          <w:szCs w:val="24"/>
        </w:rPr>
        <w:t>.</w:t>
      </w:r>
    </w:p>
    <w:p w14:paraId="015793F4" w14:textId="701148D6" w:rsidR="007D62B8" w:rsidRDefault="00A047FD" w:rsidP="006168FA">
      <w:pPr>
        <w:spacing w:after="0" w:line="240" w:lineRule="auto"/>
        <w:jc w:val="both"/>
        <w:rPr>
          <w:rFonts w:ascii="Tw Cen MT" w:eastAsia="Twentieth Century" w:hAnsi="Tw Cen MT" w:cs="Twentieth Century"/>
          <w:b/>
          <w:sz w:val="24"/>
          <w:szCs w:val="24"/>
        </w:rPr>
      </w:pPr>
      <w:r w:rsidRPr="00501629">
        <w:rPr>
          <w:rFonts w:ascii="Tw Cen MT" w:eastAsia="Twentieth Century" w:hAnsi="Tw Cen MT" w:cs="Twentieth Century"/>
          <w:sz w:val="24"/>
          <w:szCs w:val="24"/>
        </w:rPr>
        <w:t>The population of this study w</w:t>
      </w:r>
      <w:r>
        <w:rPr>
          <w:rFonts w:ascii="Tw Cen MT" w:eastAsia="Twentieth Century" w:hAnsi="Tw Cen MT" w:cs="Twentieth Century"/>
          <w:sz w:val="24"/>
          <w:szCs w:val="24"/>
        </w:rPr>
        <w:t>as</w:t>
      </w:r>
      <w:r w:rsidRPr="00501629">
        <w:rPr>
          <w:rFonts w:ascii="Tw Cen MT" w:eastAsia="Twentieth Century" w:hAnsi="Tw Cen MT" w:cs="Twentieth Century"/>
          <w:sz w:val="24"/>
          <w:szCs w:val="24"/>
        </w:rPr>
        <w:t xml:space="preserve"> all pregnant women </w:t>
      </w:r>
      <w:r>
        <w:rPr>
          <w:rFonts w:ascii="Tw Cen MT" w:eastAsia="Twentieth Century" w:hAnsi="Tw Cen MT" w:cs="Twentieth Century"/>
          <w:sz w:val="24"/>
          <w:szCs w:val="24"/>
        </w:rPr>
        <w:t>(</w:t>
      </w:r>
      <w:r w:rsidRPr="00501629">
        <w:rPr>
          <w:rFonts w:ascii="Tw Cen MT" w:eastAsia="Twentieth Century" w:hAnsi="Tw Cen MT" w:cs="Twentieth Century"/>
          <w:sz w:val="24"/>
          <w:szCs w:val="24"/>
        </w:rPr>
        <w:t>totaling 70 pregnant women)</w:t>
      </w:r>
      <w:r>
        <w:rPr>
          <w:rFonts w:ascii="Tw Cen MT" w:eastAsia="Twentieth Century" w:hAnsi="Tw Cen MT" w:cs="Twentieth Century"/>
          <w:sz w:val="24"/>
          <w:szCs w:val="24"/>
        </w:rPr>
        <w:t xml:space="preserve"> </w:t>
      </w:r>
      <w:r w:rsidRPr="00501629">
        <w:rPr>
          <w:rFonts w:ascii="Tw Cen MT" w:eastAsia="Twentieth Century" w:hAnsi="Tw Cen MT" w:cs="Twentieth Century"/>
          <w:sz w:val="24"/>
          <w:szCs w:val="24"/>
        </w:rPr>
        <w:t xml:space="preserve">whose gestational age was 37 weeks at the Mojo Health Center, Grogol Health Center, </w:t>
      </w:r>
      <w:proofErr w:type="spellStart"/>
      <w:r w:rsidRPr="00501629">
        <w:rPr>
          <w:rFonts w:ascii="Tw Cen MT" w:eastAsia="Twentieth Century" w:hAnsi="Tw Cen MT" w:cs="Twentieth Century"/>
          <w:sz w:val="24"/>
          <w:szCs w:val="24"/>
        </w:rPr>
        <w:t>Wonorejo</w:t>
      </w:r>
      <w:proofErr w:type="spellEnd"/>
      <w:r w:rsidRPr="00501629">
        <w:rPr>
          <w:rFonts w:ascii="Tw Cen MT" w:eastAsia="Twentieth Century" w:hAnsi="Tw Cen MT" w:cs="Twentieth Century"/>
          <w:sz w:val="24"/>
          <w:szCs w:val="24"/>
        </w:rPr>
        <w:t xml:space="preserve"> Health Center, and </w:t>
      </w:r>
      <w:proofErr w:type="spellStart"/>
      <w:r w:rsidRPr="00501629">
        <w:rPr>
          <w:rFonts w:ascii="Tw Cen MT" w:eastAsia="Twentieth Century" w:hAnsi="Tw Cen MT" w:cs="Twentieth Century"/>
          <w:sz w:val="24"/>
          <w:szCs w:val="24"/>
        </w:rPr>
        <w:t>Gampeng</w:t>
      </w:r>
      <w:proofErr w:type="spellEnd"/>
      <w:r w:rsidRPr="00501629">
        <w:rPr>
          <w:rFonts w:ascii="Tw Cen MT" w:eastAsia="Twentieth Century" w:hAnsi="Tw Cen MT" w:cs="Twentieth Century"/>
          <w:sz w:val="24"/>
          <w:szCs w:val="24"/>
        </w:rPr>
        <w:t xml:space="preserve"> Health Center. Th</w:t>
      </w:r>
      <w:r>
        <w:rPr>
          <w:rFonts w:ascii="Tw Cen MT" w:eastAsia="Twentieth Century" w:hAnsi="Tw Cen MT" w:cs="Twentieth Century"/>
          <w:sz w:val="24"/>
          <w:szCs w:val="24"/>
        </w:rPr>
        <w:t>us, th</w:t>
      </w:r>
      <w:r w:rsidRPr="00501629">
        <w:rPr>
          <w:rFonts w:ascii="Tw Cen MT" w:eastAsia="Twentieth Century" w:hAnsi="Tw Cen MT" w:cs="Twentieth Century"/>
          <w:sz w:val="24"/>
          <w:szCs w:val="24"/>
        </w:rPr>
        <w:t xml:space="preserve">e sample size used in this study was 60 pregnant women. The sampling technique used </w:t>
      </w:r>
      <w:r>
        <w:rPr>
          <w:rFonts w:ascii="Tw Cen MT" w:eastAsia="Twentieth Century" w:hAnsi="Tw Cen MT" w:cs="Twentieth Century"/>
          <w:sz w:val="24"/>
          <w:szCs w:val="24"/>
        </w:rPr>
        <w:t>wa</w:t>
      </w:r>
      <w:r w:rsidRPr="00501629">
        <w:rPr>
          <w:rFonts w:ascii="Tw Cen MT" w:eastAsia="Twentieth Century" w:hAnsi="Tw Cen MT" w:cs="Twentieth Century"/>
          <w:sz w:val="24"/>
          <w:szCs w:val="24"/>
        </w:rPr>
        <w:t xml:space="preserve">s simple random sampling. The instruments used in this study were partograph sheets, observation sheets, and daily intake sheets. </w:t>
      </w:r>
      <w:r w:rsidRPr="00DA0EE3">
        <w:rPr>
          <w:rFonts w:ascii="Tw Cen MT" w:eastAsia="Twentieth Century" w:hAnsi="Tw Cen MT" w:cs="Twentieth Century"/>
          <w:sz w:val="24"/>
          <w:szCs w:val="24"/>
        </w:rPr>
        <w:t>The data collection process was divided into two stages, namely the pretest-posttest stage</w:t>
      </w:r>
      <w:r w:rsidRPr="00501629">
        <w:rPr>
          <w:rFonts w:ascii="Tw Cen MT" w:eastAsia="Twentieth Century" w:hAnsi="Tw Cen MT" w:cs="Twentieth Century"/>
          <w:sz w:val="24"/>
          <w:szCs w:val="24"/>
        </w:rPr>
        <w:t>. Data processing was carried out in this study using computerized programs and data analysis with the Paired t-test and the independent t-test.</w:t>
      </w:r>
    </w:p>
    <w:p w14:paraId="7F2420FC" w14:textId="77777777" w:rsidR="007D62B8" w:rsidRDefault="007D62B8" w:rsidP="00B20BB1">
      <w:pPr>
        <w:tabs>
          <w:tab w:val="left" w:pos="426"/>
        </w:tabs>
        <w:spacing w:after="0" w:line="240" w:lineRule="auto"/>
        <w:jc w:val="both"/>
        <w:rPr>
          <w:rFonts w:ascii="Tw Cen MT" w:eastAsia="Twentieth Century" w:hAnsi="Tw Cen MT" w:cs="Twentieth Century"/>
          <w:b/>
          <w:sz w:val="24"/>
          <w:szCs w:val="24"/>
        </w:rPr>
      </w:pPr>
    </w:p>
    <w:p w14:paraId="0384B6D2" w14:textId="77777777" w:rsidR="006168FA" w:rsidRDefault="006168FA" w:rsidP="00B20BB1">
      <w:pPr>
        <w:tabs>
          <w:tab w:val="left" w:pos="426"/>
        </w:tabs>
        <w:spacing w:after="0" w:line="240" w:lineRule="auto"/>
        <w:jc w:val="both"/>
        <w:rPr>
          <w:rFonts w:ascii="Tw Cen MT" w:eastAsia="Twentieth Century" w:hAnsi="Tw Cen MT" w:cs="Twentieth Century"/>
          <w:b/>
          <w:sz w:val="24"/>
          <w:szCs w:val="24"/>
        </w:rPr>
      </w:pPr>
    </w:p>
    <w:p w14:paraId="0E068E73" w14:textId="77777777" w:rsidR="006168FA" w:rsidRDefault="006168FA" w:rsidP="00B20BB1">
      <w:pPr>
        <w:tabs>
          <w:tab w:val="left" w:pos="426"/>
        </w:tabs>
        <w:spacing w:after="0" w:line="240" w:lineRule="auto"/>
        <w:jc w:val="both"/>
        <w:rPr>
          <w:rFonts w:ascii="Tw Cen MT" w:eastAsia="Twentieth Century" w:hAnsi="Tw Cen MT" w:cs="Twentieth Century"/>
          <w:b/>
          <w:sz w:val="24"/>
          <w:szCs w:val="24"/>
        </w:rPr>
      </w:pPr>
    </w:p>
    <w:p w14:paraId="34B645E7" w14:textId="77777777" w:rsidR="006168FA" w:rsidRDefault="006168FA" w:rsidP="00B20BB1">
      <w:pPr>
        <w:tabs>
          <w:tab w:val="left" w:pos="426"/>
        </w:tabs>
        <w:spacing w:after="0" w:line="240" w:lineRule="auto"/>
        <w:jc w:val="both"/>
        <w:rPr>
          <w:rFonts w:ascii="Tw Cen MT" w:eastAsia="Twentieth Century" w:hAnsi="Tw Cen MT" w:cs="Twentieth Century"/>
          <w:b/>
          <w:sz w:val="24"/>
          <w:szCs w:val="24"/>
        </w:rPr>
      </w:pPr>
    </w:p>
    <w:p w14:paraId="768C873B" w14:textId="77777777" w:rsidR="006168FA" w:rsidRDefault="006168FA" w:rsidP="00B20BB1">
      <w:pPr>
        <w:tabs>
          <w:tab w:val="left" w:pos="426"/>
        </w:tabs>
        <w:spacing w:after="0" w:line="240" w:lineRule="auto"/>
        <w:jc w:val="both"/>
        <w:rPr>
          <w:rFonts w:ascii="Tw Cen MT" w:eastAsia="Twentieth Century" w:hAnsi="Tw Cen MT" w:cs="Twentieth Century"/>
          <w:b/>
          <w:sz w:val="24"/>
          <w:szCs w:val="24"/>
        </w:rPr>
      </w:pPr>
    </w:p>
    <w:p w14:paraId="3C755F2B" w14:textId="77777777" w:rsidR="006168FA" w:rsidRDefault="006168FA" w:rsidP="00B20BB1">
      <w:pPr>
        <w:tabs>
          <w:tab w:val="left" w:pos="426"/>
        </w:tabs>
        <w:spacing w:after="0" w:line="240" w:lineRule="auto"/>
        <w:jc w:val="both"/>
        <w:rPr>
          <w:rFonts w:ascii="Tw Cen MT" w:eastAsia="Twentieth Century" w:hAnsi="Tw Cen MT" w:cs="Twentieth Century"/>
          <w:b/>
          <w:sz w:val="24"/>
          <w:szCs w:val="24"/>
        </w:rPr>
      </w:pPr>
    </w:p>
    <w:p w14:paraId="506D60F1" w14:textId="77777777" w:rsidR="006168FA" w:rsidRDefault="006168FA" w:rsidP="00B20BB1">
      <w:pPr>
        <w:tabs>
          <w:tab w:val="left" w:pos="426"/>
        </w:tabs>
        <w:spacing w:after="0" w:line="240" w:lineRule="auto"/>
        <w:jc w:val="both"/>
        <w:rPr>
          <w:rFonts w:ascii="Tw Cen MT" w:eastAsia="Twentieth Century" w:hAnsi="Tw Cen MT" w:cs="Twentieth Century"/>
          <w:b/>
          <w:sz w:val="24"/>
          <w:szCs w:val="24"/>
        </w:rPr>
      </w:pPr>
    </w:p>
    <w:p w14:paraId="469AA5A3" w14:textId="77777777" w:rsidR="006168FA" w:rsidRDefault="006168FA" w:rsidP="00B20BB1">
      <w:pPr>
        <w:tabs>
          <w:tab w:val="left" w:pos="426"/>
        </w:tabs>
        <w:spacing w:after="0" w:line="240" w:lineRule="auto"/>
        <w:jc w:val="both"/>
        <w:rPr>
          <w:rFonts w:ascii="Tw Cen MT" w:eastAsia="Twentieth Century" w:hAnsi="Tw Cen MT" w:cs="Twentieth Century"/>
          <w:b/>
          <w:sz w:val="24"/>
          <w:szCs w:val="24"/>
        </w:rPr>
      </w:pPr>
    </w:p>
    <w:p w14:paraId="377FB5D3" w14:textId="77777777" w:rsidR="006168FA" w:rsidRDefault="006168FA" w:rsidP="00B20BB1">
      <w:pPr>
        <w:tabs>
          <w:tab w:val="left" w:pos="426"/>
        </w:tabs>
        <w:spacing w:after="0" w:line="240" w:lineRule="auto"/>
        <w:jc w:val="both"/>
        <w:rPr>
          <w:rFonts w:ascii="Tw Cen MT" w:eastAsia="Twentieth Century" w:hAnsi="Tw Cen MT" w:cs="Twentieth Century"/>
          <w:b/>
          <w:sz w:val="24"/>
          <w:szCs w:val="24"/>
        </w:rPr>
      </w:pPr>
    </w:p>
    <w:p w14:paraId="7C679826" w14:textId="77777777" w:rsidR="006168FA" w:rsidRDefault="006168FA" w:rsidP="00B20BB1">
      <w:pPr>
        <w:tabs>
          <w:tab w:val="left" w:pos="426"/>
        </w:tabs>
        <w:spacing w:after="0" w:line="240" w:lineRule="auto"/>
        <w:jc w:val="both"/>
        <w:rPr>
          <w:rFonts w:ascii="Tw Cen MT" w:eastAsia="Twentieth Century" w:hAnsi="Tw Cen MT" w:cs="Twentieth Century"/>
          <w:b/>
          <w:sz w:val="24"/>
          <w:szCs w:val="24"/>
        </w:rPr>
      </w:pPr>
    </w:p>
    <w:p w14:paraId="44AD44AF" w14:textId="77777777" w:rsidR="006168FA" w:rsidRDefault="006168FA" w:rsidP="00B20BB1">
      <w:pPr>
        <w:tabs>
          <w:tab w:val="left" w:pos="426"/>
        </w:tabs>
        <w:spacing w:after="0" w:line="240" w:lineRule="auto"/>
        <w:jc w:val="both"/>
        <w:rPr>
          <w:rFonts w:ascii="Tw Cen MT" w:eastAsia="Twentieth Century" w:hAnsi="Tw Cen MT" w:cs="Twentieth Century"/>
          <w:b/>
          <w:sz w:val="24"/>
          <w:szCs w:val="24"/>
        </w:rPr>
      </w:pPr>
    </w:p>
    <w:p w14:paraId="59CC0EC1" w14:textId="77777777" w:rsidR="006168FA" w:rsidRDefault="006168FA" w:rsidP="00B20BB1">
      <w:pPr>
        <w:tabs>
          <w:tab w:val="left" w:pos="426"/>
        </w:tabs>
        <w:spacing w:after="0" w:line="240" w:lineRule="auto"/>
        <w:jc w:val="both"/>
        <w:rPr>
          <w:rFonts w:ascii="Tw Cen MT" w:eastAsia="Twentieth Century" w:hAnsi="Tw Cen MT" w:cs="Twentieth Century"/>
          <w:b/>
          <w:sz w:val="24"/>
          <w:szCs w:val="24"/>
        </w:rPr>
      </w:pPr>
    </w:p>
    <w:p w14:paraId="6982A8F9" w14:textId="15808968" w:rsidR="00B20BB1" w:rsidRDefault="0022440B" w:rsidP="00B20BB1">
      <w:pPr>
        <w:tabs>
          <w:tab w:val="left" w:pos="426"/>
        </w:tabs>
        <w:spacing w:after="0" w:line="240" w:lineRule="auto"/>
        <w:jc w:val="both"/>
        <w:rPr>
          <w:rFonts w:ascii="Tw Cen MT" w:eastAsia="Twentieth Century" w:hAnsi="Tw Cen MT" w:cs="Twentieth Century"/>
          <w:b/>
          <w:sz w:val="24"/>
          <w:szCs w:val="24"/>
        </w:rPr>
      </w:pPr>
      <w:r w:rsidRPr="001732DC">
        <w:rPr>
          <w:rFonts w:ascii="Tw Cen MT" w:eastAsia="Twentieth Century" w:hAnsi="Tw Cen MT" w:cs="Twentieth Century"/>
          <w:b/>
          <w:sz w:val="24"/>
          <w:szCs w:val="24"/>
        </w:rPr>
        <w:t>RESULTS AND DISCUSSION</w:t>
      </w:r>
    </w:p>
    <w:p w14:paraId="07079CA7" w14:textId="77777777" w:rsidR="007D62B8" w:rsidRDefault="007D62B8" w:rsidP="007D62B8">
      <w:pPr>
        <w:tabs>
          <w:tab w:val="left" w:pos="426"/>
        </w:tabs>
        <w:spacing w:after="0"/>
        <w:jc w:val="center"/>
        <w:rPr>
          <w:rFonts w:ascii="Tw Cen MT" w:eastAsia="Twentieth Century" w:hAnsi="Tw Cen MT" w:cs="Twentieth Century"/>
          <w:b/>
          <w:sz w:val="24"/>
          <w:szCs w:val="24"/>
        </w:rPr>
      </w:pPr>
      <w:r w:rsidRPr="006D7C15">
        <w:rPr>
          <w:rFonts w:ascii="Tw Cen MT" w:eastAsia="Twentieth Century" w:hAnsi="Tw Cen MT" w:cs="Twentieth Century"/>
          <w:sz w:val="20"/>
          <w:szCs w:val="20"/>
        </w:rPr>
        <w:t>Table 1. Distribution of Respondent Characteristics</w:t>
      </w:r>
    </w:p>
    <w:tbl>
      <w:tblPr>
        <w:tblStyle w:val="TableGrid1"/>
        <w:tblpPr w:leftFromText="180" w:rightFromText="180" w:vertAnchor="text" w:horzAnchor="margin" w:tblpXSpec="right" w:tblpY="149"/>
        <w:tblW w:w="4500" w:type="dxa"/>
        <w:tblBorders>
          <w:left w:val="none" w:sz="0" w:space="0" w:color="auto"/>
          <w:right w:val="none" w:sz="0" w:space="0" w:color="auto"/>
        </w:tblBorders>
        <w:tblLayout w:type="fixed"/>
        <w:tblLook w:val="04A0" w:firstRow="1" w:lastRow="0" w:firstColumn="1" w:lastColumn="0" w:noHBand="0" w:noVBand="1"/>
      </w:tblPr>
      <w:tblGrid>
        <w:gridCol w:w="1375"/>
        <w:gridCol w:w="624"/>
        <w:gridCol w:w="625"/>
        <w:gridCol w:w="625"/>
        <w:gridCol w:w="625"/>
        <w:gridCol w:w="626"/>
      </w:tblGrid>
      <w:tr w:rsidR="007D62B8" w14:paraId="18886B1E" w14:textId="77777777" w:rsidTr="006F24BD">
        <w:trPr>
          <w:trHeight w:val="168"/>
        </w:trPr>
        <w:tc>
          <w:tcPr>
            <w:tcW w:w="4500" w:type="dxa"/>
            <w:gridSpan w:val="6"/>
            <w:tcBorders>
              <w:bottom w:val="single" w:sz="4" w:space="0" w:color="auto"/>
            </w:tcBorders>
          </w:tcPr>
          <w:p w14:paraId="4A116625"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Group</w:t>
            </w:r>
          </w:p>
        </w:tc>
      </w:tr>
      <w:tr w:rsidR="007D62B8" w14:paraId="2F0839B2" w14:textId="77777777" w:rsidTr="006F24BD">
        <w:trPr>
          <w:trHeight w:val="505"/>
        </w:trPr>
        <w:tc>
          <w:tcPr>
            <w:tcW w:w="1375" w:type="dxa"/>
            <w:tcBorders>
              <w:top w:val="single" w:sz="4" w:space="0" w:color="auto"/>
              <w:bottom w:val="nil"/>
              <w:right w:val="nil"/>
            </w:tcBorders>
          </w:tcPr>
          <w:p w14:paraId="448210ED" w14:textId="77777777" w:rsidR="007D62B8" w:rsidRPr="006D7C15" w:rsidRDefault="007D62B8" w:rsidP="007D62B8">
            <w:pPr>
              <w:spacing w:after="0" w:line="240" w:lineRule="auto"/>
              <w:jc w:val="center"/>
              <w:rPr>
                <w:rFonts w:ascii="Tw Cen MT" w:eastAsia="Times New Roman" w:hAnsi="Tw Cen MT"/>
                <w:sz w:val="16"/>
                <w:szCs w:val="16"/>
                <w:lang w:val="id"/>
              </w:rPr>
            </w:pPr>
            <w:proofErr w:type="spellStart"/>
            <w:r w:rsidRPr="006D7C15">
              <w:rPr>
                <w:rFonts w:ascii="Tw Cen MT" w:eastAsia="Times New Roman" w:hAnsi="Tw Cen MT"/>
                <w:sz w:val="16"/>
                <w:szCs w:val="16"/>
                <w:lang w:val="id"/>
              </w:rPr>
              <w:t>Characteristics</w:t>
            </w:r>
            <w:proofErr w:type="spellEnd"/>
          </w:p>
        </w:tc>
        <w:tc>
          <w:tcPr>
            <w:tcW w:w="1249" w:type="dxa"/>
            <w:gridSpan w:val="2"/>
            <w:tcBorders>
              <w:top w:val="single" w:sz="4" w:space="0" w:color="auto"/>
              <w:left w:val="nil"/>
              <w:right w:val="nil"/>
            </w:tcBorders>
          </w:tcPr>
          <w:p w14:paraId="4CD02253"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(n=30)</w:t>
            </w:r>
          </w:p>
          <w:p w14:paraId="67C195E7" w14:textId="77777777" w:rsidR="007D62B8" w:rsidRPr="006D7C15" w:rsidRDefault="007D62B8" w:rsidP="007D62B8">
            <w:pPr>
              <w:spacing w:after="0" w:line="240" w:lineRule="auto"/>
              <w:jc w:val="center"/>
              <w:rPr>
                <w:rFonts w:ascii="Tw Cen MT" w:eastAsia="Times New Roman" w:hAnsi="Tw Cen MT"/>
                <w:sz w:val="16"/>
                <w:szCs w:val="16"/>
                <w:lang w:val="id"/>
              </w:rPr>
            </w:pPr>
            <w:proofErr w:type="spellStart"/>
            <w:r w:rsidRPr="006D7C15">
              <w:rPr>
                <w:rFonts w:ascii="Tw Cen MT" w:eastAsia="Times New Roman" w:hAnsi="Tw Cen MT"/>
                <w:sz w:val="16"/>
                <w:szCs w:val="16"/>
                <w:lang w:val="id"/>
              </w:rPr>
              <w:t>Intervention</w:t>
            </w:r>
            <w:proofErr w:type="spellEnd"/>
            <w:r w:rsidRPr="006D7C15">
              <w:rPr>
                <w:rFonts w:ascii="Tw Cen MT" w:eastAsia="Times New Roman" w:hAnsi="Tw Cen MT"/>
                <w:sz w:val="16"/>
                <w:szCs w:val="16"/>
                <w:lang w:val="id"/>
              </w:rPr>
              <w:t xml:space="preserve"> Group</w:t>
            </w:r>
          </w:p>
        </w:tc>
        <w:tc>
          <w:tcPr>
            <w:tcW w:w="1250" w:type="dxa"/>
            <w:gridSpan w:val="2"/>
            <w:tcBorders>
              <w:top w:val="single" w:sz="4" w:space="0" w:color="auto"/>
              <w:left w:val="nil"/>
              <w:right w:val="nil"/>
            </w:tcBorders>
          </w:tcPr>
          <w:p w14:paraId="08A0B143"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(n=30)</w:t>
            </w:r>
          </w:p>
          <w:p w14:paraId="17BD11DD" w14:textId="77777777" w:rsidR="007D62B8" w:rsidRPr="006D7C15" w:rsidRDefault="007D62B8" w:rsidP="007D62B8">
            <w:pPr>
              <w:spacing w:after="0" w:line="240" w:lineRule="auto"/>
              <w:jc w:val="center"/>
              <w:rPr>
                <w:rFonts w:ascii="Tw Cen MT" w:eastAsia="Times New Roman" w:hAnsi="Tw Cen MT"/>
                <w:sz w:val="16"/>
                <w:szCs w:val="16"/>
                <w:lang w:val="id"/>
              </w:rPr>
            </w:pPr>
            <w:proofErr w:type="spellStart"/>
            <w:r w:rsidRPr="006D7C15">
              <w:rPr>
                <w:rFonts w:ascii="Tw Cen MT" w:eastAsia="Times New Roman" w:hAnsi="Tw Cen MT"/>
                <w:sz w:val="16"/>
                <w:szCs w:val="16"/>
                <w:lang w:val="id"/>
              </w:rPr>
              <w:t>Control</w:t>
            </w:r>
            <w:proofErr w:type="spellEnd"/>
            <w:r w:rsidRPr="006D7C15">
              <w:rPr>
                <w:rFonts w:ascii="Tw Cen MT" w:eastAsia="Times New Roman" w:hAnsi="Tw Cen MT"/>
                <w:sz w:val="16"/>
                <w:szCs w:val="16"/>
                <w:lang w:val="id"/>
              </w:rPr>
              <w:t xml:space="preserve"> Group</w:t>
            </w:r>
          </w:p>
        </w:tc>
        <w:tc>
          <w:tcPr>
            <w:tcW w:w="626" w:type="dxa"/>
            <w:tcBorders>
              <w:top w:val="single" w:sz="4" w:space="0" w:color="auto"/>
              <w:left w:val="nil"/>
            </w:tcBorders>
          </w:tcPr>
          <w:p w14:paraId="4B62F971" w14:textId="77777777" w:rsidR="007D62B8" w:rsidRPr="006D7C15" w:rsidRDefault="007D62B8" w:rsidP="007D62B8">
            <w:pPr>
              <w:spacing w:after="0" w:line="240" w:lineRule="auto"/>
              <w:ind w:right="-141"/>
              <w:jc w:val="center"/>
              <w:rPr>
                <w:rFonts w:ascii="Tw Cen MT" w:eastAsia="Times New Roman" w:hAnsi="Tw Cen MT"/>
                <w:i/>
                <w:sz w:val="16"/>
                <w:szCs w:val="16"/>
                <w:lang w:val="id"/>
              </w:rPr>
            </w:pPr>
            <w:r w:rsidRPr="006D7C15">
              <w:rPr>
                <w:rFonts w:ascii="Tw Cen MT" w:eastAsia="Times New Roman" w:hAnsi="Tw Cen MT"/>
                <w:i/>
                <w:sz w:val="16"/>
                <w:szCs w:val="16"/>
              </w:rPr>
              <w:t>P-v</w:t>
            </w:r>
            <w:r w:rsidRPr="006D7C15">
              <w:rPr>
                <w:rFonts w:ascii="Tw Cen MT" w:eastAsia="Times New Roman" w:hAnsi="Tw Cen MT"/>
                <w:i/>
                <w:sz w:val="16"/>
                <w:szCs w:val="16"/>
                <w:lang w:val="id"/>
              </w:rPr>
              <w:t>alue</w:t>
            </w:r>
          </w:p>
        </w:tc>
      </w:tr>
      <w:tr w:rsidR="007D62B8" w14:paraId="4B4E8928" w14:textId="77777777" w:rsidTr="006F24BD">
        <w:trPr>
          <w:trHeight w:val="168"/>
        </w:trPr>
        <w:tc>
          <w:tcPr>
            <w:tcW w:w="1375" w:type="dxa"/>
            <w:tcBorders>
              <w:top w:val="nil"/>
              <w:right w:val="nil"/>
            </w:tcBorders>
          </w:tcPr>
          <w:p w14:paraId="699A2CBD" w14:textId="77777777" w:rsidR="007D62B8" w:rsidRPr="006D7C15" w:rsidRDefault="007D62B8" w:rsidP="007D62B8">
            <w:pPr>
              <w:spacing w:after="0" w:line="240" w:lineRule="auto"/>
              <w:jc w:val="center"/>
              <w:rPr>
                <w:rFonts w:ascii="Tw Cen MT" w:eastAsia="Times New Roman" w:hAnsi="Tw Cen MT"/>
                <w:sz w:val="16"/>
                <w:szCs w:val="16"/>
                <w:lang w:val="id"/>
              </w:rPr>
            </w:pPr>
          </w:p>
        </w:tc>
        <w:tc>
          <w:tcPr>
            <w:tcW w:w="624" w:type="dxa"/>
            <w:tcBorders>
              <w:left w:val="nil"/>
              <w:right w:val="nil"/>
            </w:tcBorders>
          </w:tcPr>
          <w:p w14:paraId="5AB34F03"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F/M</w:t>
            </w:r>
          </w:p>
        </w:tc>
        <w:tc>
          <w:tcPr>
            <w:tcW w:w="625" w:type="dxa"/>
            <w:tcBorders>
              <w:left w:val="nil"/>
              <w:right w:val="nil"/>
            </w:tcBorders>
          </w:tcPr>
          <w:p w14:paraId="2BEB05B3"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%/SD</w:t>
            </w:r>
          </w:p>
        </w:tc>
        <w:tc>
          <w:tcPr>
            <w:tcW w:w="625" w:type="dxa"/>
            <w:tcBorders>
              <w:left w:val="nil"/>
              <w:right w:val="nil"/>
            </w:tcBorders>
          </w:tcPr>
          <w:p w14:paraId="7246752C"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F/M</w:t>
            </w:r>
          </w:p>
        </w:tc>
        <w:tc>
          <w:tcPr>
            <w:tcW w:w="625" w:type="dxa"/>
            <w:tcBorders>
              <w:left w:val="nil"/>
              <w:right w:val="nil"/>
            </w:tcBorders>
          </w:tcPr>
          <w:p w14:paraId="140A0E53"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%/SD</w:t>
            </w:r>
          </w:p>
        </w:tc>
        <w:tc>
          <w:tcPr>
            <w:tcW w:w="626" w:type="dxa"/>
            <w:tcBorders>
              <w:left w:val="nil"/>
            </w:tcBorders>
          </w:tcPr>
          <w:p w14:paraId="60D44B03" w14:textId="77777777" w:rsidR="007D62B8" w:rsidRPr="006D7C15" w:rsidRDefault="007D62B8" w:rsidP="007D62B8">
            <w:pPr>
              <w:spacing w:after="0" w:line="240" w:lineRule="auto"/>
              <w:jc w:val="center"/>
              <w:rPr>
                <w:rFonts w:ascii="Tw Cen MT" w:eastAsia="Times New Roman" w:hAnsi="Tw Cen MT"/>
                <w:i/>
                <w:sz w:val="16"/>
                <w:szCs w:val="16"/>
                <w:lang w:val="id"/>
              </w:rPr>
            </w:pPr>
          </w:p>
        </w:tc>
      </w:tr>
      <w:tr w:rsidR="007D62B8" w14:paraId="03164A2B" w14:textId="77777777" w:rsidTr="006F24BD">
        <w:trPr>
          <w:trHeight w:val="350"/>
        </w:trPr>
        <w:tc>
          <w:tcPr>
            <w:tcW w:w="1375" w:type="dxa"/>
            <w:tcBorders>
              <w:right w:val="nil"/>
            </w:tcBorders>
          </w:tcPr>
          <w:p w14:paraId="1EF09FEC" w14:textId="77777777" w:rsidR="007D62B8" w:rsidRPr="006D7C15" w:rsidRDefault="007D62B8" w:rsidP="007D62B8">
            <w:pPr>
              <w:spacing w:after="0" w:line="240" w:lineRule="auto"/>
              <w:rPr>
                <w:rFonts w:ascii="Tw Cen MT" w:eastAsia="Times New Roman" w:hAnsi="Tw Cen MT"/>
                <w:sz w:val="16"/>
                <w:szCs w:val="16"/>
                <w:lang w:val="id"/>
              </w:rPr>
            </w:pPr>
            <w:r w:rsidRPr="006D7C15">
              <w:rPr>
                <w:rFonts w:ascii="Tw Cen MT" w:eastAsia="Times New Roman" w:hAnsi="Tw Cen MT"/>
                <w:sz w:val="16"/>
                <w:szCs w:val="16"/>
                <w:lang w:val="id"/>
              </w:rPr>
              <w:t>Age</w:t>
            </w:r>
          </w:p>
          <w:p w14:paraId="1033D2CA" w14:textId="77777777" w:rsidR="007D62B8" w:rsidRPr="006D7C15" w:rsidRDefault="007D62B8" w:rsidP="007D62B8">
            <w:pPr>
              <w:spacing w:after="0" w:line="240" w:lineRule="auto"/>
              <w:jc w:val="both"/>
              <w:rPr>
                <w:rFonts w:ascii="Tw Cen MT" w:eastAsia="Times New Roman" w:hAnsi="Tw Cen MT"/>
                <w:sz w:val="16"/>
                <w:szCs w:val="16"/>
                <w:lang w:val="id"/>
              </w:rPr>
            </w:pPr>
          </w:p>
        </w:tc>
        <w:tc>
          <w:tcPr>
            <w:tcW w:w="624" w:type="dxa"/>
            <w:tcBorders>
              <w:left w:val="nil"/>
              <w:right w:val="nil"/>
            </w:tcBorders>
          </w:tcPr>
          <w:p w14:paraId="2F2A4FBF" w14:textId="77777777" w:rsidR="007D62B8" w:rsidRPr="006D7C15" w:rsidRDefault="007D62B8" w:rsidP="007D62B8">
            <w:pPr>
              <w:spacing w:after="0" w:line="240" w:lineRule="auto"/>
              <w:rPr>
                <w:rFonts w:ascii="Tw Cen MT" w:eastAsia="Times New Roman" w:hAnsi="Tw Cen MT"/>
                <w:sz w:val="16"/>
                <w:szCs w:val="16"/>
                <w:lang w:val="id"/>
              </w:rPr>
            </w:pPr>
            <w:r w:rsidRPr="006D7C15">
              <w:rPr>
                <w:rFonts w:ascii="Tw Cen MT" w:eastAsia="Times New Roman" w:hAnsi="Tw Cen MT"/>
                <w:sz w:val="16"/>
                <w:szCs w:val="16"/>
                <w:lang w:val="id"/>
              </w:rPr>
              <w:t>26</w:t>
            </w:r>
            <w:r w:rsidRPr="006D7C15">
              <w:rPr>
                <w:rFonts w:ascii="Tw Cen MT" w:eastAsia="Times New Roman" w:hAnsi="Tw Cen MT"/>
                <w:sz w:val="16"/>
                <w:szCs w:val="16"/>
              </w:rPr>
              <w:t>.</w:t>
            </w:r>
            <w:r w:rsidRPr="006D7C15">
              <w:rPr>
                <w:rFonts w:ascii="Tw Cen MT" w:eastAsia="Times New Roman" w:hAnsi="Tw Cen MT"/>
                <w:sz w:val="16"/>
                <w:szCs w:val="16"/>
                <w:lang w:val="id"/>
              </w:rPr>
              <w:t>36</w:t>
            </w:r>
          </w:p>
        </w:tc>
        <w:tc>
          <w:tcPr>
            <w:tcW w:w="625" w:type="dxa"/>
            <w:tcBorders>
              <w:left w:val="nil"/>
              <w:right w:val="nil"/>
            </w:tcBorders>
          </w:tcPr>
          <w:p w14:paraId="05422D5B"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6</w:t>
            </w:r>
            <w:r w:rsidRPr="006D7C15">
              <w:rPr>
                <w:rFonts w:ascii="Tw Cen MT" w:eastAsia="Times New Roman" w:hAnsi="Tw Cen MT"/>
                <w:sz w:val="16"/>
                <w:szCs w:val="16"/>
              </w:rPr>
              <w:t>.</w:t>
            </w:r>
            <w:r w:rsidRPr="006D7C15">
              <w:rPr>
                <w:rFonts w:ascii="Tw Cen MT" w:eastAsia="Times New Roman" w:hAnsi="Tw Cen MT"/>
                <w:sz w:val="16"/>
                <w:szCs w:val="16"/>
                <w:lang w:val="id"/>
              </w:rPr>
              <w:t>019</w:t>
            </w:r>
          </w:p>
          <w:p w14:paraId="56D29CCD" w14:textId="77777777" w:rsidR="007D62B8" w:rsidRPr="006D7C15" w:rsidRDefault="007D62B8" w:rsidP="007D62B8">
            <w:pPr>
              <w:spacing w:after="0" w:line="240" w:lineRule="auto"/>
              <w:jc w:val="center"/>
              <w:rPr>
                <w:rFonts w:ascii="Tw Cen MT" w:eastAsia="Times New Roman" w:hAnsi="Tw Cen MT"/>
                <w:sz w:val="16"/>
                <w:szCs w:val="16"/>
                <w:lang w:val="id"/>
              </w:rPr>
            </w:pPr>
          </w:p>
        </w:tc>
        <w:tc>
          <w:tcPr>
            <w:tcW w:w="625" w:type="dxa"/>
            <w:tcBorders>
              <w:left w:val="nil"/>
              <w:right w:val="nil"/>
            </w:tcBorders>
          </w:tcPr>
          <w:p w14:paraId="68D64CC5"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24</w:t>
            </w:r>
            <w:r w:rsidRPr="006D7C15">
              <w:rPr>
                <w:rFonts w:ascii="Tw Cen MT" w:eastAsia="Times New Roman" w:hAnsi="Tw Cen MT"/>
                <w:sz w:val="16"/>
                <w:szCs w:val="16"/>
              </w:rPr>
              <w:t>.</w:t>
            </w:r>
            <w:r w:rsidRPr="006D7C15">
              <w:rPr>
                <w:rFonts w:ascii="Tw Cen MT" w:eastAsia="Times New Roman" w:hAnsi="Tw Cen MT"/>
                <w:sz w:val="16"/>
                <w:szCs w:val="16"/>
                <w:lang w:val="id"/>
              </w:rPr>
              <w:t>33</w:t>
            </w:r>
          </w:p>
          <w:p w14:paraId="004C1BC7"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 xml:space="preserve"> </w:t>
            </w:r>
          </w:p>
        </w:tc>
        <w:tc>
          <w:tcPr>
            <w:tcW w:w="625" w:type="dxa"/>
            <w:tcBorders>
              <w:left w:val="nil"/>
              <w:right w:val="nil"/>
            </w:tcBorders>
          </w:tcPr>
          <w:p w14:paraId="02D25E97" w14:textId="77777777" w:rsidR="007D62B8" w:rsidRPr="006D7C15" w:rsidRDefault="007D62B8" w:rsidP="007D62B8">
            <w:pPr>
              <w:spacing w:after="0" w:line="240" w:lineRule="auto"/>
              <w:rPr>
                <w:rFonts w:ascii="Tw Cen MT" w:eastAsia="Times New Roman" w:hAnsi="Tw Cen MT"/>
                <w:sz w:val="16"/>
                <w:szCs w:val="16"/>
                <w:lang w:val="id"/>
              </w:rPr>
            </w:pPr>
            <w:r w:rsidRPr="006D7C15">
              <w:rPr>
                <w:rFonts w:ascii="Tw Cen MT" w:eastAsia="Times New Roman" w:hAnsi="Tw Cen MT"/>
                <w:sz w:val="16"/>
                <w:szCs w:val="16"/>
                <w:lang w:val="id"/>
              </w:rPr>
              <w:t>5</w:t>
            </w:r>
            <w:r w:rsidRPr="006D7C15">
              <w:rPr>
                <w:rFonts w:ascii="Tw Cen MT" w:eastAsia="Times New Roman" w:hAnsi="Tw Cen MT"/>
                <w:sz w:val="16"/>
                <w:szCs w:val="16"/>
              </w:rPr>
              <w:t>.</w:t>
            </w:r>
            <w:r w:rsidRPr="006D7C15">
              <w:rPr>
                <w:rFonts w:ascii="Tw Cen MT" w:eastAsia="Times New Roman" w:hAnsi="Tw Cen MT"/>
                <w:sz w:val="16"/>
                <w:szCs w:val="16"/>
                <w:lang w:val="id"/>
              </w:rPr>
              <w:t>245</w:t>
            </w:r>
          </w:p>
        </w:tc>
        <w:tc>
          <w:tcPr>
            <w:tcW w:w="626" w:type="dxa"/>
            <w:tcBorders>
              <w:left w:val="nil"/>
            </w:tcBorders>
          </w:tcPr>
          <w:p w14:paraId="5B836A4C" w14:textId="77777777" w:rsidR="007D62B8" w:rsidRPr="006D7C15" w:rsidRDefault="007D62B8" w:rsidP="007D62B8">
            <w:pPr>
              <w:spacing w:after="0" w:line="240" w:lineRule="auto"/>
              <w:ind w:left="-154"/>
              <w:jc w:val="center"/>
              <w:rPr>
                <w:rFonts w:ascii="Tw Cen MT" w:eastAsia="Times New Roman" w:hAnsi="Tw Cen MT"/>
                <w:sz w:val="16"/>
                <w:szCs w:val="16"/>
                <w:vertAlign w:val="superscript"/>
              </w:rPr>
            </w:pPr>
            <w:r w:rsidRPr="006D7C15">
              <w:rPr>
                <w:rFonts w:ascii="Tw Cen MT" w:eastAsia="Times New Roman" w:hAnsi="Tw Cen MT"/>
                <w:sz w:val="16"/>
                <w:szCs w:val="16"/>
                <w:lang w:val="id"/>
              </w:rPr>
              <w:t>0.169</w:t>
            </w:r>
            <w:r w:rsidRPr="006D7C15">
              <w:rPr>
                <w:rFonts w:ascii="Tw Cen MT" w:eastAsia="Times New Roman" w:hAnsi="Tw Cen MT"/>
                <w:sz w:val="16"/>
                <w:szCs w:val="16"/>
                <w:vertAlign w:val="superscript"/>
              </w:rPr>
              <w:t>a</w:t>
            </w:r>
          </w:p>
          <w:p w14:paraId="5B91CA9A" w14:textId="77777777" w:rsidR="007D62B8" w:rsidRPr="006D7C15" w:rsidRDefault="007D62B8" w:rsidP="007D62B8">
            <w:pPr>
              <w:spacing w:after="0" w:line="240" w:lineRule="auto"/>
              <w:ind w:left="-154"/>
              <w:jc w:val="center"/>
              <w:rPr>
                <w:rFonts w:ascii="Tw Cen MT" w:eastAsia="Times New Roman" w:hAnsi="Tw Cen MT"/>
                <w:sz w:val="16"/>
                <w:szCs w:val="16"/>
                <w:vertAlign w:val="superscript"/>
                <w:lang w:val="id"/>
              </w:rPr>
            </w:pPr>
          </w:p>
        </w:tc>
      </w:tr>
      <w:tr w:rsidR="007D62B8" w14:paraId="6CA4836E" w14:textId="77777777" w:rsidTr="006F24BD">
        <w:trPr>
          <w:trHeight w:val="855"/>
        </w:trPr>
        <w:tc>
          <w:tcPr>
            <w:tcW w:w="1375" w:type="dxa"/>
            <w:tcBorders>
              <w:right w:val="nil"/>
            </w:tcBorders>
          </w:tcPr>
          <w:p w14:paraId="09280D65" w14:textId="77777777" w:rsidR="007D62B8" w:rsidRPr="006D7C15" w:rsidRDefault="007D62B8" w:rsidP="007D62B8">
            <w:pPr>
              <w:spacing w:after="0" w:line="240" w:lineRule="auto"/>
              <w:rPr>
                <w:rFonts w:ascii="Tw Cen MT" w:eastAsia="Times New Roman" w:hAnsi="Tw Cen MT"/>
                <w:sz w:val="16"/>
                <w:szCs w:val="16"/>
                <w:lang w:val="id"/>
              </w:rPr>
            </w:pPr>
            <w:proofErr w:type="spellStart"/>
            <w:r w:rsidRPr="006D7C15">
              <w:rPr>
                <w:rFonts w:ascii="Tw Cen MT" w:eastAsia="Times New Roman" w:hAnsi="Tw Cen MT"/>
                <w:sz w:val="16"/>
                <w:szCs w:val="16"/>
                <w:lang w:val="id"/>
              </w:rPr>
              <w:t>Education</w:t>
            </w:r>
            <w:proofErr w:type="spellEnd"/>
          </w:p>
          <w:p w14:paraId="609690E4" w14:textId="77777777" w:rsidR="007D62B8" w:rsidRPr="006D7C15" w:rsidRDefault="007D62B8" w:rsidP="007D62B8">
            <w:pPr>
              <w:numPr>
                <w:ilvl w:val="0"/>
                <w:numId w:val="6"/>
              </w:numPr>
              <w:spacing w:after="0" w:line="240" w:lineRule="auto"/>
              <w:ind w:left="176" w:hanging="176"/>
              <w:jc w:val="both"/>
              <w:rPr>
                <w:rFonts w:ascii="Tw Cen MT" w:eastAsia="Times New Roman" w:hAnsi="Tw Cen MT"/>
                <w:sz w:val="16"/>
                <w:szCs w:val="16"/>
                <w:lang w:val="id"/>
              </w:rPr>
            </w:pPr>
            <w:proofErr w:type="spellStart"/>
            <w:r w:rsidRPr="006D7C15">
              <w:rPr>
                <w:rFonts w:ascii="Tw Cen MT" w:eastAsia="Times New Roman" w:hAnsi="Tw Cen MT"/>
                <w:sz w:val="16"/>
                <w:szCs w:val="16"/>
                <w:lang w:val="id"/>
              </w:rPr>
              <w:t>Elementary</w:t>
            </w:r>
            <w:proofErr w:type="spellEnd"/>
            <w:r w:rsidRPr="006D7C15">
              <w:rPr>
                <w:rFonts w:ascii="Tw Cen MT" w:eastAsia="Times New Roman" w:hAnsi="Tw Cen MT"/>
                <w:sz w:val="16"/>
                <w:szCs w:val="16"/>
                <w:lang w:val="id"/>
              </w:rPr>
              <w:t xml:space="preserve"> </w:t>
            </w:r>
            <w:proofErr w:type="spellStart"/>
            <w:r w:rsidRPr="006D7C15">
              <w:rPr>
                <w:rFonts w:ascii="Tw Cen MT" w:eastAsia="Times New Roman" w:hAnsi="Tw Cen MT"/>
                <w:sz w:val="16"/>
                <w:szCs w:val="16"/>
                <w:lang w:val="id"/>
              </w:rPr>
              <w:t>school</w:t>
            </w:r>
            <w:proofErr w:type="spellEnd"/>
          </w:p>
          <w:p w14:paraId="0B416A51" w14:textId="77777777" w:rsidR="007D62B8" w:rsidRPr="006D7C15" w:rsidRDefault="007D62B8" w:rsidP="007D62B8">
            <w:pPr>
              <w:numPr>
                <w:ilvl w:val="0"/>
                <w:numId w:val="6"/>
              </w:numPr>
              <w:spacing w:after="0" w:line="240" w:lineRule="auto"/>
              <w:ind w:left="176" w:hanging="176"/>
              <w:jc w:val="both"/>
              <w:rPr>
                <w:rFonts w:ascii="Tw Cen MT" w:eastAsia="Times New Roman" w:hAnsi="Tw Cen MT"/>
                <w:sz w:val="16"/>
                <w:szCs w:val="16"/>
                <w:lang w:val="id"/>
              </w:rPr>
            </w:pPr>
            <w:proofErr w:type="spellStart"/>
            <w:r w:rsidRPr="006D7C15">
              <w:rPr>
                <w:rFonts w:ascii="Tw Cen MT" w:eastAsia="Times New Roman" w:hAnsi="Tw Cen MT"/>
                <w:sz w:val="16"/>
                <w:szCs w:val="16"/>
                <w:lang w:val="id"/>
              </w:rPr>
              <w:t>Secondary</w:t>
            </w:r>
            <w:proofErr w:type="spellEnd"/>
            <w:r w:rsidRPr="006D7C15">
              <w:rPr>
                <w:rFonts w:ascii="Tw Cen MT" w:eastAsia="Times New Roman" w:hAnsi="Tw Cen MT"/>
                <w:sz w:val="16"/>
                <w:szCs w:val="16"/>
                <w:lang w:val="id"/>
              </w:rPr>
              <w:t xml:space="preserve"> </w:t>
            </w:r>
            <w:proofErr w:type="spellStart"/>
            <w:r w:rsidRPr="006D7C15">
              <w:rPr>
                <w:rFonts w:ascii="Tw Cen MT" w:eastAsia="Times New Roman" w:hAnsi="Tw Cen MT"/>
                <w:sz w:val="16"/>
                <w:szCs w:val="16"/>
                <w:lang w:val="id"/>
              </w:rPr>
              <w:t>school</w:t>
            </w:r>
            <w:proofErr w:type="spellEnd"/>
          </w:p>
          <w:p w14:paraId="67985467" w14:textId="77777777" w:rsidR="007D62B8" w:rsidRPr="006D7C15" w:rsidRDefault="007D62B8" w:rsidP="007D62B8">
            <w:pPr>
              <w:numPr>
                <w:ilvl w:val="0"/>
                <w:numId w:val="6"/>
              </w:numPr>
              <w:spacing w:after="0" w:line="240" w:lineRule="auto"/>
              <w:ind w:left="176" w:hanging="176"/>
              <w:jc w:val="both"/>
              <w:rPr>
                <w:rFonts w:ascii="Tw Cen MT" w:eastAsia="Times New Roman" w:hAnsi="Tw Cen MT"/>
                <w:sz w:val="16"/>
                <w:szCs w:val="16"/>
                <w:lang w:val="id"/>
              </w:rPr>
            </w:pPr>
            <w:proofErr w:type="spellStart"/>
            <w:r w:rsidRPr="006D7C15">
              <w:rPr>
                <w:rFonts w:ascii="Tw Cen MT" w:eastAsia="Times New Roman" w:hAnsi="Tw Cen MT"/>
                <w:sz w:val="16"/>
                <w:szCs w:val="16"/>
                <w:lang w:val="id"/>
              </w:rPr>
              <w:t>High</w:t>
            </w:r>
            <w:proofErr w:type="spellEnd"/>
            <w:r w:rsidRPr="006D7C15">
              <w:rPr>
                <w:rFonts w:ascii="Tw Cen MT" w:eastAsia="Times New Roman" w:hAnsi="Tw Cen MT"/>
                <w:sz w:val="16"/>
                <w:szCs w:val="16"/>
                <w:lang w:val="id"/>
              </w:rPr>
              <w:t xml:space="preserve"> </w:t>
            </w:r>
            <w:proofErr w:type="spellStart"/>
            <w:r w:rsidRPr="006D7C15">
              <w:rPr>
                <w:rFonts w:ascii="Tw Cen MT" w:eastAsia="Times New Roman" w:hAnsi="Tw Cen MT"/>
                <w:sz w:val="16"/>
                <w:szCs w:val="16"/>
                <w:lang w:val="id"/>
              </w:rPr>
              <w:t>school</w:t>
            </w:r>
            <w:proofErr w:type="spellEnd"/>
          </w:p>
        </w:tc>
        <w:tc>
          <w:tcPr>
            <w:tcW w:w="624" w:type="dxa"/>
            <w:tcBorders>
              <w:left w:val="nil"/>
              <w:right w:val="nil"/>
            </w:tcBorders>
          </w:tcPr>
          <w:p w14:paraId="59EAEF59"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24ED13CF"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16</w:t>
            </w:r>
          </w:p>
          <w:p w14:paraId="361DA3F2"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2A275A26"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12</w:t>
            </w:r>
          </w:p>
          <w:p w14:paraId="42BA3879"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7D155D89"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2</w:t>
            </w:r>
          </w:p>
        </w:tc>
        <w:tc>
          <w:tcPr>
            <w:tcW w:w="625" w:type="dxa"/>
            <w:tcBorders>
              <w:left w:val="nil"/>
              <w:right w:val="nil"/>
            </w:tcBorders>
          </w:tcPr>
          <w:p w14:paraId="37B239F8"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4B66B9D5"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53</w:t>
            </w:r>
          </w:p>
          <w:p w14:paraId="3EF3F8F2"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30A22A37"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40</w:t>
            </w:r>
          </w:p>
          <w:p w14:paraId="583A52B3"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50838B3F"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7</w:t>
            </w:r>
          </w:p>
        </w:tc>
        <w:tc>
          <w:tcPr>
            <w:tcW w:w="625" w:type="dxa"/>
            <w:tcBorders>
              <w:left w:val="nil"/>
              <w:right w:val="nil"/>
            </w:tcBorders>
          </w:tcPr>
          <w:p w14:paraId="6181D124"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4C414970"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16</w:t>
            </w:r>
          </w:p>
          <w:p w14:paraId="7FAB3516"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6620804E"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8</w:t>
            </w:r>
          </w:p>
          <w:p w14:paraId="07E71F29"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48A30DCF"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6</w:t>
            </w:r>
          </w:p>
          <w:p w14:paraId="32559498" w14:textId="77777777" w:rsidR="007D62B8" w:rsidRPr="006D7C15" w:rsidRDefault="007D62B8" w:rsidP="007D62B8">
            <w:pPr>
              <w:spacing w:after="0" w:line="240" w:lineRule="auto"/>
              <w:jc w:val="center"/>
              <w:rPr>
                <w:rFonts w:ascii="Tw Cen MT" w:eastAsia="Times New Roman" w:hAnsi="Tw Cen MT"/>
                <w:sz w:val="16"/>
                <w:szCs w:val="16"/>
                <w:lang w:val="id"/>
              </w:rPr>
            </w:pPr>
          </w:p>
        </w:tc>
        <w:tc>
          <w:tcPr>
            <w:tcW w:w="625" w:type="dxa"/>
            <w:tcBorders>
              <w:left w:val="nil"/>
              <w:right w:val="nil"/>
            </w:tcBorders>
          </w:tcPr>
          <w:p w14:paraId="18324F42"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5D1747C1"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53</w:t>
            </w:r>
          </w:p>
          <w:p w14:paraId="61289A77"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6DBAC1E3"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27</w:t>
            </w:r>
          </w:p>
          <w:p w14:paraId="30AD0891"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792E7A1D"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20</w:t>
            </w:r>
          </w:p>
        </w:tc>
        <w:tc>
          <w:tcPr>
            <w:tcW w:w="626" w:type="dxa"/>
            <w:tcBorders>
              <w:left w:val="nil"/>
            </w:tcBorders>
          </w:tcPr>
          <w:p w14:paraId="070FA9C4" w14:textId="77777777" w:rsidR="007D62B8" w:rsidRPr="006D7C15" w:rsidRDefault="007D62B8" w:rsidP="007D62B8">
            <w:pPr>
              <w:spacing w:after="0" w:line="240" w:lineRule="auto"/>
              <w:ind w:left="-154"/>
              <w:jc w:val="center"/>
              <w:rPr>
                <w:rFonts w:ascii="Tw Cen MT" w:eastAsia="Times New Roman" w:hAnsi="Tw Cen MT"/>
                <w:sz w:val="16"/>
                <w:szCs w:val="16"/>
                <w:vertAlign w:val="superscript"/>
              </w:rPr>
            </w:pPr>
            <w:r w:rsidRPr="006D7C15">
              <w:rPr>
                <w:rFonts w:ascii="Tw Cen MT" w:eastAsia="Times New Roman" w:hAnsi="Tw Cen MT"/>
                <w:sz w:val="16"/>
                <w:szCs w:val="16"/>
                <w:lang w:val="id"/>
              </w:rPr>
              <w:t>0.061</w:t>
            </w:r>
            <w:r w:rsidRPr="006D7C15">
              <w:rPr>
                <w:rFonts w:ascii="Tw Cen MT" w:eastAsia="Times New Roman" w:hAnsi="Tw Cen MT"/>
                <w:sz w:val="16"/>
                <w:szCs w:val="16"/>
                <w:vertAlign w:val="superscript"/>
              </w:rPr>
              <w:t>b</w:t>
            </w:r>
          </w:p>
          <w:p w14:paraId="7EF08829" w14:textId="77777777" w:rsidR="007D62B8" w:rsidRPr="006D7C15" w:rsidRDefault="007D62B8" w:rsidP="007D62B8">
            <w:pPr>
              <w:spacing w:after="0" w:line="240" w:lineRule="auto"/>
              <w:ind w:left="-154"/>
              <w:jc w:val="center"/>
              <w:rPr>
                <w:rFonts w:ascii="Tw Cen MT" w:eastAsia="Times New Roman" w:hAnsi="Tw Cen MT"/>
                <w:sz w:val="16"/>
                <w:szCs w:val="16"/>
                <w:lang w:val="id"/>
              </w:rPr>
            </w:pPr>
          </w:p>
        </w:tc>
      </w:tr>
      <w:tr w:rsidR="007D62B8" w14:paraId="15E03551" w14:textId="77777777" w:rsidTr="006F24BD">
        <w:trPr>
          <w:trHeight w:val="501"/>
        </w:trPr>
        <w:tc>
          <w:tcPr>
            <w:tcW w:w="1375" w:type="dxa"/>
            <w:tcBorders>
              <w:right w:val="nil"/>
            </w:tcBorders>
          </w:tcPr>
          <w:p w14:paraId="7E52FA95" w14:textId="77777777" w:rsidR="007D62B8" w:rsidRPr="006D7C15" w:rsidRDefault="007D62B8" w:rsidP="007D62B8">
            <w:pPr>
              <w:spacing w:after="0" w:line="240" w:lineRule="auto"/>
              <w:rPr>
                <w:rFonts w:ascii="Tw Cen MT" w:eastAsia="Times New Roman" w:hAnsi="Tw Cen MT"/>
                <w:sz w:val="16"/>
                <w:szCs w:val="16"/>
              </w:rPr>
            </w:pPr>
            <w:r w:rsidRPr="006D7C15">
              <w:rPr>
                <w:rFonts w:ascii="Tw Cen MT" w:eastAsia="Times New Roman" w:hAnsi="Tw Cen MT"/>
                <w:sz w:val="16"/>
                <w:szCs w:val="16"/>
              </w:rPr>
              <w:t>Occupation</w:t>
            </w:r>
          </w:p>
          <w:p w14:paraId="50642E6C" w14:textId="77777777" w:rsidR="007D62B8" w:rsidRPr="006D7C15" w:rsidRDefault="007D62B8" w:rsidP="007D62B8">
            <w:pPr>
              <w:numPr>
                <w:ilvl w:val="0"/>
                <w:numId w:val="7"/>
              </w:numPr>
              <w:spacing w:after="0" w:line="240" w:lineRule="auto"/>
              <w:ind w:left="176" w:hanging="142"/>
              <w:jc w:val="both"/>
              <w:rPr>
                <w:rFonts w:ascii="Tw Cen MT" w:eastAsia="Times New Roman" w:hAnsi="Tw Cen MT"/>
                <w:sz w:val="16"/>
                <w:szCs w:val="16"/>
                <w:lang w:val="id"/>
              </w:rPr>
            </w:pPr>
            <w:r w:rsidRPr="006D7C15">
              <w:rPr>
                <w:rFonts w:ascii="Tw Cen MT" w:eastAsia="Times New Roman" w:hAnsi="Tw Cen MT"/>
                <w:sz w:val="16"/>
                <w:szCs w:val="16"/>
              </w:rPr>
              <w:t>Employment</w:t>
            </w:r>
          </w:p>
          <w:p w14:paraId="2E55CEA9" w14:textId="77777777" w:rsidR="007D62B8" w:rsidRPr="006D7C15" w:rsidRDefault="007D62B8" w:rsidP="007D62B8">
            <w:pPr>
              <w:numPr>
                <w:ilvl w:val="0"/>
                <w:numId w:val="7"/>
              </w:numPr>
              <w:spacing w:after="0" w:line="240" w:lineRule="auto"/>
              <w:ind w:left="176" w:hanging="142"/>
              <w:jc w:val="both"/>
              <w:rPr>
                <w:rFonts w:ascii="Tw Cen MT" w:eastAsia="Times New Roman" w:hAnsi="Tw Cen MT"/>
                <w:sz w:val="16"/>
                <w:szCs w:val="16"/>
                <w:lang w:val="id"/>
              </w:rPr>
            </w:pPr>
            <w:r w:rsidRPr="006D7C15">
              <w:rPr>
                <w:rFonts w:ascii="Tw Cen MT" w:eastAsia="Times New Roman" w:hAnsi="Tw Cen MT"/>
                <w:sz w:val="16"/>
                <w:szCs w:val="16"/>
              </w:rPr>
              <w:t>Unemployment</w:t>
            </w:r>
          </w:p>
        </w:tc>
        <w:tc>
          <w:tcPr>
            <w:tcW w:w="624" w:type="dxa"/>
            <w:tcBorders>
              <w:left w:val="nil"/>
              <w:right w:val="nil"/>
            </w:tcBorders>
          </w:tcPr>
          <w:p w14:paraId="2CE5F2AD"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0C9BA30E"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30</w:t>
            </w:r>
          </w:p>
          <w:p w14:paraId="49CAF925"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0</w:t>
            </w:r>
          </w:p>
        </w:tc>
        <w:tc>
          <w:tcPr>
            <w:tcW w:w="625" w:type="dxa"/>
            <w:tcBorders>
              <w:left w:val="nil"/>
              <w:right w:val="nil"/>
            </w:tcBorders>
          </w:tcPr>
          <w:p w14:paraId="0AC4EEF7"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40102A22"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100</w:t>
            </w:r>
          </w:p>
          <w:p w14:paraId="472D413A"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0</w:t>
            </w:r>
          </w:p>
          <w:p w14:paraId="2E2C36F9" w14:textId="77777777" w:rsidR="007D62B8" w:rsidRPr="006D7C15" w:rsidRDefault="007D62B8" w:rsidP="007D62B8">
            <w:pPr>
              <w:spacing w:after="0" w:line="240" w:lineRule="auto"/>
              <w:rPr>
                <w:rFonts w:ascii="Tw Cen MT" w:eastAsia="Times New Roman" w:hAnsi="Tw Cen MT"/>
                <w:sz w:val="16"/>
                <w:szCs w:val="16"/>
                <w:lang w:val="id"/>
              </w:rPr>
            </w:pPr>
          </w:p>
        </w:tc>
        <w:tc>
          <w:tcPr>
            <w:tcW w:w="625" w:type="dxa"/>
            <w:tcBorders>
              <w:left w:val="nil"/>
              <w:right w:val="nil"/>
            </w:tcBorders>
          </w:tcPr>
          <w:p w14:paraId="7145AD52" w14:textId="77777777" w:rsidR="007D62B8" w:rsidRPr="006D7C15" w:rsidRDefault="007D62B8" w:rsidP="007D62B8">
            <w:pPr>
              <w:spacing w:after="0" w:line="240" w:lineRule="auto"/>
              <w:rPr>
                <w:rFonts w:ascii="Tw Cen MT" w:eastAsia="Times New Roman" w:hAnsi="Tw Cen MT"/>
                <w:sz w:val="16"/>
                <w:szCs w:val="16"/>
                <w:lang w:val="id"/>
              </w:rPr>
            </w:pPr>
          </w:p>
          <w:p w14:paraId="19170BD7"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30</w:t>
            </w:r>
          </w:p>
          <w:p w14:paraId="242E040F"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0</w:t>
            </w:r>
          </w:p>
        </w:tc>
        <w:tc>
          <w:tcPr>
            <w:tcW w:w="625" w:type="dxa"/>
            <w:tcBorders>
              <w:left w:val="nil"/>
              <w:right w:val="nil"/>
            </w:tcBorders>
          </w:tcPr>
          <w:p w14:paraId="145E7BD5"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07C15FB1"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100</w:t>
            </w:r>
          </w:p>
          <w:p w14:paraId="2080BD74"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0</w:t>
            </w:r>
          </w:p>
        </w:tc>
        <w:tc>
          <w:tcPr>
            <w:tcW w:w="626" w:type="dxa"/>
            <w:tcBorders>
              <w:left w:val="nil"/>
            </w:tcBorders>
          </w:tcPr>
          <w:p w14:paraId="05F0CECE" w14:textId="77777777" w:rsidR="007D62B8" w:rsidRPr="006D7C15" w:rsidRDefault="007D62B8" w:rsidP="007D62B8">
            <w:pPr>
              <w:spacing w:after="0" w:line="240" w:lineRule="auto"/>
              <w:ind w:left="-154"/>
              <w:jc w:val="center"/>
              <w:rPr>
                <w:rFonts w:ascii="Tw Cen MT" w:eastAsia="Times New Roman" w:hAnsi="Tw Cen MT"/>
                <w:sz w:val="16"/>
                <w:szCs w:val="16"/>
                <w:vertAlign w:val="superscript"/>
              </w:rPr>
            </w:pPr>
            <w:r w:rsidRPr="006D7C15">
              <w:rPr>
                <w:rFonts w:ascii="Tw Cen MT" w:eastAsia="Times New Roman" w:hAnsi="Tw Cen MT"/>
                <w:sz w:val="16"/>
                <w:szCs w:val="16"/>
                <w:lang w:val="id"/>
              </w:rPr>
              <w:t>0.652</w:t>
            </w:r>
            <w:r w:rsidRPr="006D7C15">
              <w:rPr>
                <w:rFonts w:ascii="Tw Cen MT" w:eastAsia="Times New Roman" w:hAnsi="Tw Cen MT"/>
                <w:sz w:val="16"/>
                <w:szCs w:val="16"/>
                <w:vertAlign w:val="superscript"/>
              </w:rPr>
              <w:t>c</w:t>
            </w:r>
          </w:p>
          <w:p w14:paraId="023A6924" w14:textId="77777777" w:rsidR="007D62B8" w:rsidRPr="006D7C15" w:rsidRDefault="007D62B8" w:rsidP="007D62B8">
            <w:pPr>
              <w:spacing w:after="0" w:line="240" w:lineRule="auto"/>
              <w:ind w:left="-154"/>
              <w:jc w:val="center"/>
              <w:rPr>
                <w:rFonts w:ascii="Tw Cen MT" w:eastAsia="Times New Roman" w:hAnsi="Tw Cen MT"/>
                <w:sz w:val="16"/>
                <w:szCs w:val="16"/>
                <w:lang w:val="id"/>
              </w:rPr>
            </w:pPr>
          </w:p>
        </w:tc>
      </w:tr>
      <w:tr w:rsidR="007D62B8" w14:paraId="1F002422" w14:textId="77777777" w:rsidTr="006F24BD">
        <w:trPr>
          <w:trHeight w:val="519"/>
        </w:trPr>
        <w:tc>
          <w:tcPr>
            <w:tcW w:w="1375" w:type="dxa"/>
            <w:tcBorders>
              <w:right w:val="nil"/>
            </w:tcBorders>
          </w:tcPr>
          <w:p w14:paraId="556A107C" w14:textId="77777777" w:rsidR="007D62B8" w:rsidRPr="006D7C15" w:rsidRDefault="007D62B8" w:rsidP="007D62B8">
            <w:pPr>
              <w:spacing w:after="0" w:line="240" w:lineRule="auto"/>
              <w:rPr>
                <w:rFonts w:ascii="Tw Cen MT" w:eastAsia="Times New Roman" w:hAnsi="Tw Cen MT"/>
                <w:sz w:val="16"/>
                <w:szCs w:val="16"/>
                <w:lang w:val="id"/>
              </w:rPr>
            </w:pPr>
            <w:proofErr w:type="spellStart"/>
            <w:r w:rsidRPr="006D7C15">
              <w:rPr>
                <w:rFonts w:ascii="Tw Cen MT" w:eastAsia="Times New Roman" w:hAnsi="Tw Cen MT"/>
                <w:sz w:val="16"/>
                <w:szCs w:val="16"/>
                <w:lang w:val="id"/>
              </w:rPr>
              <w:t>Parity</w:t>
            </w:r>
            <w:proofErr w:type="spellEnd"/>
          </w:p>
          <w:p w14:paraId="61074E65" w14:textId="77777777" w:rsidR="007D62B8" w:rsidRPr="006D7C15" w:rsidRDefault="007D62B8" w:rsidP="007D62B8">
            <w:pPr>
              <w:numPr>
                <w:ilvl w:val="0"/>
                <w:numId w:val="8"/>
              </w:numPr>
              <w:spacing w:after="0" w:line="240" w:lineRule="auto"/>
              <w:ind w:left="176" w:hanging="142"/>
              <w:jc w:val="both"/>
              <w:rPr>
                <w:rFonts w:ascii="Tw Cen MT" w:eastAsia="Times New Roman" w:hAnsi="Tw Cen MT"/>
                <w:sz w:val="16"/>
                <w:szCs w:val="16"/>
                <w:lang w:val="id"/>
              </w:rPr>
            </w:pPr>
            <w:proofErr w:type="spellStart"/>
            <w:r w:rsidRPr="006D7C15">
              <w:rPr>
                <w:rFonts w:ascii="Tw Cen MT" w:eastAsia="Times New Roman" w:hAnsi="Tw Cen MT"/>
                <w:sz w:val="16"/>
                <w:szCs w:val="16"/>
                <w:lang w:val="id"/>
              </w:rPr>
              <w:t>Primigravida</w:t>
            </w:r>
            <w:proofErr w:type="spellEnd"/>
          </w:p>
          <w:p w14:paraId="7057615D" w14:textId="77777777" w:rsidR="007D62B8" w:rsidRPr="006D7C15" w:rsidRDefault="007D62B8" w:rsidP="007D62B8">
            <w:pPr>
              <w:numPr>
                <w:ilvl w:val="0"/>
                <w:numId w:val="8"/>
              </w:numPr>
              <w:spacing w:after="0" w:line="240" w:lineRule="auto"/>
              <w:ind w:left="176" w:hanging="142"/>
              <w:jc w:val="both"/>
              <w:rPr>
                <w:rFonts w:ascii="Tw Cen MT" w:eastAsia="Times New Roman" w:hAnsi="Tw Cen MT"/>
                <w:sz w:val="16"/>
                <w:szCs w:val="16"/>
                <w:lang w:val="id"/>
              </w:rPr>
            </w:pPr>
            <w:r w:rsidRPr="006D7C15">
              <w:rPr>
                <w:rFonts w:ascii="Tw Cen MT" w:eastAsia="Times New Roman" w:hAnsi="Tw Cen MT"/>
                <w:sz w:val="16"/>
                <w:szCs w:val="16"/>
                <w:lang w:val="id"/>
              </w:rPr>
              <w:t>Multigravida</w:t>
            </w:r>
          </w:p>
        </w:tc>
        <w:tc>
          <w:tcPr>
            <w:tcW w:w="624" w:type="dxa"/>
            <w:tcBorders>
              <w:left w:val="nil"/>
              <w:right w:val="nil"/>
            </w:tcBorders>
          </w:tcPr>
          <w:p w14:paraId="633F2378"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0840A803"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13</w:t>
            </w:r>
          </w:p>
          <w:p w14:paraId="337A2068"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17</w:t>
            </w:r>
          </w:p>
        </w:tc>
        <w:tc>
          <w:tcPr>
            <w:tcW w:w="625" w:type="dxa"/>
            <w:tcBorders>
              <w:left w:val="nil"/>
              <w:right w:val="nil"/>
            </w:tcBorders>
          </w:tcPr>
          <w:p w14:paraId="6F39FACA"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1E56FC63"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43</w:t>
            </w:r>
          </w:p>
          <w:p w14:paraId="0A1D361D"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57</w:t>
            </w:r>
          </w:p>
        </w:tc>
        <w:tc>
          <w:tcPr>
            <w:tcW w:w="625" w:type="dxa"/>
            <w:tcBorders>
              <w:left w:val="nil"/>
              <w:right w:val="nil"/>
            </w:tcBorders>
          </w:tcPr>
          <w:p w14:paraId="1DB1A957"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43BA27ED"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19</w:t>
            </w:r>
          </w:p>
          <w:p w14:paraId="579A8736"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11</w:t>
            </w:r>
          </w:p>
        </w:tc>
        <w:tc>
          <w:tcPr>
            <w:tcW w:w="625" w:type="dxa"/>
            <w:tcBorders>
              <w:left w:val="nil"/>
              <w:right w:val="nil"/>
            </w:tcBorders>
          </w:tcPr>
          <w:p w14:paraId="5E4213D5" w14:textId="77777777" w:rsidR="007D62B8" w:rsidRPr="006D7C15" w:rsidRDefault="007D62B8" w:rsidP="007D62B8">
            <w:pPr>
              <w:spacing w:after="0" w:line="240" w:lineRule="auto"/>
              <w:jc w:val="center"/>
              <w:rPr>
                <w:rFonts w:ascii="Tw Cen MT" w:eastAsia="Times New Roman" w:hAnsi="Tw Cen MT"/>
                <w:sz w:val="16"/>
                <w:szCs w:val="16"/>
                <w:lang w:val="id"/>
              </w:rPr>
            </w:pPr>
          </w:p>
          <w:p w14:paraId="27FFBDD4"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63</w:t>
            </w:r>
          </w:p>
          <w:p w14:paraId="192233A0"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37</w:t>
            </w:r>
          </w:p>
        </w:tc>
        <w:tc>
          <w:tcPr>
            <w:tcW w:w="626" w:type="dxa"/>
            <w:tcBorders>
              <w:left w:val="nil"/>
            </w:tcBorders>
          </w:tcPr>
          <w:p w14:paraId="50235126" w14:textId="77777777" w:rsidR="007D62B8" w:rsidRPr="006D7C15" w:rsidRDefault="007D62B8" w:rsidP="007D62B8">
            <w:pPr>
              <w:spacing w:after="0" w:line="240" w:lineRule="auto"/>
              <w:ind w:left="-154"/>
              <w:jc w:val="center"/>
              <w:rPr>
                <w:rFonts w:ascii="Tw Cen MT" w:eastAsia="Times New Roman" w:hAnsi="Tw Cen MT"/>
                <w:sz w:val="16"/>
                <w:szCs w:val="16"/>
                <w:vertAlign w:val="superscript"/>
                <w:lang w:val="id"/>
              </w:rPr>
            </w:pPr>
            <w:r w:rsidRPr="006D7C15">
              <w:rPr>
                <w:rFonts w:ascii="Tw Cen MT" w:eastAsia="Times New Roman" w:hAnsi="Tw Cen MT"/>
                <w:sz w:val="16"/>
                <w:szCs w:val="16"/>
                <w:lang w:val="id"/>
              </w:rPr>
              <w:t>0.324</w:t>
            </w:r>
            <w:r w:rsidRPr="006D7C15">
              <w:rPr>
                <w:rFonts w:ascii="Tw Cen MT" w:eastAsia="Times New Roman" w:hAnsi="Tw Cen MT"/>
                <w:sz w:val="16"/>
                <w:szCs w:val="16"/>
                <w:vertAlign w:val="superscript"/>
                <w:lang w:val="id"/>
              </w:rPr>
              <w:t>a</w:t>
            </w:r>
          </w:p>
          <w:p w14:paraId="75ECF857" w14:textId="77777777" w:rsidR="007D62B8" w:rsidRPr="006D7C15" w:rsidRDefault="007D62B8" w:rsidP="007D62B8">
            <w:pPr>
              <w:spacing w:after="0" w:line="240" w:lineRule="auto"/>
              <w:ind w:left="-154"/>
              <w:jc w:val="center"/>
              <w:rPr>
                <w:rFonts w:ascii="Tw Cen MT" w:eastAsia="Times New Roman" w:hAnsi="Tw Cen MT"/>
                <w:sz w:val="16"/>
                <w:szCs w:val="16"/>
                <w:lang w:val="id"/>
              </w:rPr>
            </w:pPr>
          </w:p>
        </w:tc>
      </w:tr>
      <w:tr w:rsidR="007D62B8" w14:paraId="64FCDD2F" w14:textId="77777777" w:rsidTr="006F24BD">
        <w:trPr>
          <w:trHeight w:val="336"/>
        </w:trPr>
        <w:tc>
          <w:tcPr>
            <w:tcW w:w="1375" w:type="dxa"/>
            <w:tcBorders>
              <w:right w:val="nil"/>
            </w:tcBorders>
          </w:tcPr>
          <w:p w14:paraId="6376F003" w14:textId="77777777" w:rsidR="007D62B8" w:rsidRPr="006D7C15" w:rsidRDefault="007D62B8" w:rsidP="007D62B8">
            <w:pPr>
              <w:spacing w:after="0" w:line="240" w:lineRule="auto"/>
              <w:rPr>
                <w:rFonts w:ascii="Tw Cen MT" w:eastAsia="Times New Roman" w:hAnsi="Tw Cen MT"/>
                <w:sz w:val="16"/>
                <w:szCs w:val="16"/>
                <w:lang w:val="id"/>
              </w:rPr>
            </w:pPr>
            <w:proofErr w:type="spellStart"/>
            <w:r w:rsidRPr="006D7C15">
              <w:rPr>
                <w:rFonts w:ascii="Tw Cen MT" w:eastAsia="Times New Roman" w:hAnsi="Tw Cen MT"/>
                <w:sz w:val="16"/>
                <w:szCs w:val="16"/>
                <w:lang w:val="id"/>
              </w:rPr>
              <w:t>Uterine</w:t>
            </w:r>
            <w:proofErr w:type="spellEnd"/>
            <w:r w:rsidRPr="006D7C15">
              <w:rPr>
                <w:rFonts w:ascii="Tw Cen MT" w:eastAsia="Times New Roman" w:hAnsi="Tw Cen MT"/>
                <w:sz w:val="16"/>
                <w:szCs w:val="16"/>
                <w:lang w:val="id"/>
              </w:rPr>
              <w:t xml:space="preserve"> </w:t>
            </w:r>
            <w:proofErr w:type="spellStart"/>
            <w:r w:rsidRPr="006D7C15">
              <w:rPr>
                <w:rFonts w:ascii="Tw Cen MT" w:eastAsia="Times New Roman" w:hAnsi="Tw Cen MT"/>
                <w:sz w:val="16"/>
                <w:szCs w:val="16"/>
                <w:lang w:val="id"/>
              </w:rPr>
              <w:t>Contraction</w:t>
            </w:r>
            <w:proofErr w:type="spellEnd"/>
          </w:p>
        </w:tc>
        <w:tc>
          <w:tcPr>
            <w:tcW w:w="624" w:type="dxa"/>
            <w:tcBorders>
              <w:left w:val="nil"/>
              <w:right w:val="nil"/>
            </w:tcBorders>
          </w:tcPr>
          <w:p w14:paraId="64E27DC0"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2</w:t>
            </w:r>
            <w:r w:rsidRPr="006D7C15">
              <w:rPr>
                <w:rFonts w:ascii="Tw Cen MT" w:eastAsia="Times New Roman" w:hAnsi="Tw Cen MT"/>
                <w:sz w:val="16"/>
                <w:szCs w:val="16"/>
              </w:rPr>
              <w:t>.</w:t>
            </w:r>
            <w:r w:rsidRPr="006D7C15">
              <w:rPr>
                <w:rFonts w:ascii="Tw Cen MT" w:eastAsia="Times New Roman" w:hAnsi="Tw Cen MT"/>
                <w:sz w:val="16"/>
                <w:szCs w:val="16"/>
                <w:lang w:val="id"/>
              </w:rPr>
              <w:t>33</w:t>
            </w:r>
          </w:p>
        </w:tc>
        <w:tc>
          <w:tcPr>
            <w:tcW w:w="625" w:type="dxa"/>
            <w:tcBorders>
              <w:left w:val="nil"/>
              <w:right w:val="nil"/>
            </w:tcBorders>
          </w:tcPr>
          <w:p w14:paraId="5FFF26B5"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0.479</w:t>
            </w:r>
          </w:p>
        </w:tc>
        <w:tc>
          <w:tcPr>
            <w:tcW w:w="625" w:type="dxa"/>
            <w:tcBorders>
              <w:left w:val="nil"/>
              <w:right w:val="nil"/>
            </w:tcBorders>
          </w:tcPr>
          <w:p w14:paraId="5A7CE689"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2</w:t>
            </w:r>
            <w:r w:rsidRPr="006D7C15">
              <w:rPr>
                <w:rFonts w:ascii="Tw Cen MT" w:eastAsia="Times New Roman" w:hAnsi="Tw Cen MT"/>
                <w:sz w:val="16"/>
                <w:szCs w:val="16"/>
              </w:rPr>
              <w:t>.</w:t>
            </w:r>
            <w:r w:rsidRPr="006D7C15">
              <w:rPr>
                <w:rFonts w:ascii="Tw Cen MT" w:eastAsia="Times New Roman" w:hAnsi="Tw Cen MT"/>
                <w:sz w:val="16"/>
                <w:szCs w:val="16"/>
                <w:lang w:val="id"/>
              </w:rPr>
              <w:t>10</w:t>
            </w:r>
          </w:p>
        </w:tc>
        <w:tc>
          <w:tcPr>
            <w:tcW w:w="625" w:type="dxa"/>
            <w:tcBorders>
              <w:left w:val="nil"/>
              <w:right w:val="nil"/>
            </w:tcBorders>
          </w:tcPr>
          <w:p w14:paraId="04A50E7C"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0.662</w:t>
            </w:r>
          </w:p>
        </w:tc>
        <w:tc>
          <w:tcPr>
            <w:tcW w:w="626" w:type="dxa"/>
            <w:tcBorders>
              <w:left w:val="nil"/>
            </w:tcBorders>
          </w:tcPr>
          <w:p w14:paraId="4B295010" w14:textId="77777777" w:rsidR="007D62B8" w:rsidRPr="006D7C15" w:rsidRDefault="007D62B8" w:rsidP="007D62B8">
            <w:pPr>
              <w:spacing w:after="0" w:line="240" w:lineRule="auto"/>
              <w:ind w:left="-154"/>
              <w:jc w:val="center"/>
              <w:rPr>
                <w:rFonts w:ascii="Tw Cen MT" w:eastAsia="Times New Roman" w:hAnsi="Tw Cen MT"/>
                <w:sz w:val="16"/>
                <w:szCs w:val="16"/>
                <w:vertAlign w:val="superscript"/>
              </w:rPr>
            </w:pPr>
            <w:r w:rsidRPr="006D7C15">
              <w:rPr>
                <w:rFonts w:ascii="Tw Cen MT" w:eastAsia="Times New Roman" w:hAnsi="Tw Cen MT"/>
                <w:sz w:val="16"/>
                <w:szCs w:val="16"/>
                <w:lang w:val="id"/>
              </w:rPr>
              <w:t>0.123</w:t>
            </w:r>
            <w:r w:rsidRPr="006D7C15">
              <w:rPr>
                <w:rFonts w:ascii="Tw Cen MT" w:eastAsia="Times New Roman" w:hAnsi="Tw Cen MT"/>
                <w:sz w:val="16"/>
                <w:szCs w:val="16"/>
                <w:vertAlign w:val="superscript"/>
              </w:rPr>
              <w:t>a</w:t>
            </w:r>
          </w:p>
          <w:p w14:paraId="0AF14551" w14:textId="77777777" w:rsidR="007D62B8" w:rsidRPr="006D7C15" w:rsidRDefault="007D62B8" w:rsidP="007D62B8">
            <w:pPr>
              <w:spacing w:after="0" w:line="240" w:lineRule="auto"/>
              <w:ind w:left="-154"/>
              <w:jc w:val="center"/>
              <w:rPr>
                <w:rFonts w:ascii="Tw Cen MT" w:eastAsia="Times New Roman" w:hAnsi="Tw Cen MT"/>
                <w:sz w:val="16"/>
                <w:szCs w:val="16"/>
                <w:lang w:val="id"/>
              </w:rPr>
            </w:pPr>
          </w:p>
        </w:tc>
      </w:tr>
    </w:tbl>
    <w:p w14:paraId="53BE4D15" w14:textId="77777777" w:rsidR="007D62B8" w:rsidRPr="00DC5031" w:rsidRDefault="007D62B8" w:rsidP="007D62B8">
      <w:pPr>
        <w:tabs>
          <w:tab w:val="left" w:pos="426"/>
        </w:tabs>
        <w:spacing w:after="0" w:line="240" w:lineRule="auto"/>
        <w:jc w:val="both"/>
        <w:rPr>
          <w:rFonts w:ascii="Tw Cen MT" w:eastAsia="Twentieth Century" w:hAnsi="Tw Cen MT" w:cs="Twentieth Century"/>
          <w:i/>
          <w:sz w:val="20"/>
          <w:szCs w:val="24"/>
        </w:rPr>
      </w:pPr>
      <w:r w:rsidRPr="006D7C15">
        <w:rPr>
          <w:rFonts w:ascii="Tw Cen MT" w:eastAsia="Twentieth Century" w:hAnsi="Tw Cen MT" w:cs="Twentieth Century"/>
          <w:sz w:val="18"/>
          <w:szCs w:val="24"/>
        </w:rPr>
        <w:t xml:space="preserve">Description: </w:t>
      </w:r>
      <w:r w:rsidRPr="006D7C15">
        <w:rPr>
          <w:rFonts w:ascii="Tw Cen MT" w:eastAsia="Twentieth Century" w:hAnsi="Tw Cen MT" w:cs="Twentieth Century"/>
          <w:i/>
          <w:iCs/>
          <w:sz w:val="18"/>
          <w:szCs w:val="24"/>
        </w:rPr>
        <w:t xml:space="preserve">a: Independent test, b: </w:t>
      </w:r>
      <w:proofErr w:type="spellStart"/>
      <w:r w:rsidRPr="006D7C15">
        <w:rPr>
          <w:rFonts w:ascii="Tw Cen MT" w:eastAsia="Twentieth Century" w:hAnsi="Tw Cen MT" w:cs="Twentieth Century"/>
          <w:i/>
          <w:iCs/>
          <w:sz w:val="18"/>
          <w:szCs w:val="24"/>
        </w:rPr>
        <w:t>Wilxocon</w:t>
      </w:r>
      <w:proofErr w:type="spellEnd"/>
      <w:r w:rsidRPr="006D7C15">
        <w:rPr>
          <w:rFonts w:ascii="Tw Cen MT" w:eastAsia="Twentieth Century" w:hAnsi="Tw Cen MT" w:cs="Twentieth Century"/>
          <w:i/>
          <w:iCs/>
          <w:sz w:val="18"/>
          <w:szCs w:val="24"/>
        </w:rPr>
        <w:t xml:space="preserve"> test, c: Chi quadrat test</w:t>
      </w:r>
    </w:p>
    <w:p w14:paraId="46A005E1"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p>
    <w:p w14:paraId="040E6E1F"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DA0EE3">
        <w:rPr>
          <w:rFonts w:ascii="Tw Cen MT" w:eastAsia="Twentieth Century" w:hAnsi="Tw Cen MT" w:cs="Twentieth Century"/>
          <w:sz w:val="24"/>
          <w:szCs w:val="24"/>
        </w:rPr>
        <w:t>Table 1 sho</w:t>
      </w:r>
      <w:r>
        <w:rPr>
          <w:rFonts w:ascii="Tw Cen MT" w:eastAsia="Twentieth Century" w:hAnsi="Tw Cen MT" w:cs="Twentieth Century"/>
          <w:sz w:val="24"/>
          <w:szCs w:val="24"/>
        </w:rPr>
        <w:t>w</w:t>
      </w:r>
      <w:r w:rsidRPr="00DA0EE3">
        <w:rPr>
          <w:rFonts w:ascii="Tw Cen MT" w:eastAsia="Twentieth Century" w:hAnsi="Tw Cen MT" w:cs="Twentieth Century"/>
          <w:sz w:val="24"/>
          <w:szCs w:val="24"/>
        </w:rPr>
        <w:t xml:space="preserve">s that </w:t>
      </w:r>
      <w:r>
        <w:rPr>
          <w:rFonts w:ascii="Tw Cen MT" w:eastAsia="Twentieth Century" w:hAnsi="Tw Cen MT" w:cs="Twentieth Century"/>
          <w:sz w:val="24"/>
          <w:szCs w:val="24"/>
        </w:rPr>
        <w:t>the average age of the respondents in the intervention group was (</w:t>
      </w:r>
      <w:r w:rsidRPr="00DA0EE3">
        <w:rPr>
          <w:rFonts w:ascii="Tw Cen MT" w:eastAsia="Twentieth Century" w:hAnsi="Tw Cen MT" w:cs="Twentieth Century"/>
          <w:sz w:val="24"/>
          <w:szCs w:val="24"/>
        </w:rPr>
        <w:t>26.36 ± 6.019</w:t>
      </w:r>
      <w:r>
        <w:rPr>
          <w:rFonts w:ascii="Tw Cen MT" w:eastAsia="Twentieth Century" w:hAnsi="Tw Cen MT" w:cs="Twentieth Century"/>
          <w:sz w:val="24"/>
          <w:szCs w:val="24"/>
        </w:rPr>
        <w:t>) years old</w:t>
      </w:r>
      <w:r w:rsidRPr="00DA0EE3">
        <w:rPr>
          <w:rFonts w:ascii="Tw Cen MT" w:eastAsia="Twentieth Century" w:hAnsi="Tw Cen MT" w:cs="Twentieth Century"/>
          <w:sz w:val="24"/>
          <w:szCs w:val="24"/>
        </w:rPr>
        <w:t xml:space="preserve"> and </w:t>
      </w:r>
      <w:r>
        <w:rPr>
          <w:rFonts w:ascii="Tw Cen MT" w:eastAsia="Twentieth Century" w:hAnsi="Tw Cen MT" w:cs="Twentieth Century"/>
          <w:sz w:val="24"/>
          <w:szCs w:val="24"/>
        </w:rPr>
        <w:t>was</w:t>
      </w:r>
      <w:r w:rsidRPr="00DA0EE3">
        <w:rPr>
          <w:rFonts w:ascii="Tw Cen MT" w:eastAsia="Twentieth Century" w:hAnsi="Tw Cen MT" w:cs="Twentieth Century"/>
          <w:sz w:val="24"/>
          <w:szCs w:val="24"/>
        </w:rPr>
        <w:t xml:space="preserve"> (24.33 ± 5.245) years</w:t>
      </w:r>
      <w:r>
        <w:rPr>
          <w:rFonts w:ascii="Tw Cen MT" w:eastAsia="Twentieth Century" w:hAnsi="Tw Cen MT" w:cs="Twentieth Century"/>
          <w:sz w:val="24"/>
          <w:szCs w:val="24"/>
        </w:rPr>
        <w:t xml:space="preserve"> old</w:t>
      </w:r>
      <w:r w:rsidRPr="00DA0EE3">
        <w:rPr>
          <w:rFonts w:ascii="Tw Cen MT" w:eastAsia="Twentieth Century" w:hAnsi="Tw Cen MT" w:cs="Twentieth Century"/>
          <w:sz w:val="24"/>
          <w:szCs w:val="24"/>
        </w:rPr>
        <w:t>, with a p-value of 0.169</w:t>
      </w:r>
      <w:r>
        <w:rPr>
          <w:rFonts w:ascii="Tw Cen MT" w:eastAsia="Twentieth Century" w:hAnsi="Tw Cen MT" w:cs="Twentieth Century"/>
          <w:sz w:val="24"/>
          <w:szCs w:val="24"/>
        </w:rPr>
        <w:t xml:space="preserve"> </w:t>
      </w:r>
      <w:r w:rsidRPr="00DA0EE3">
        <w:rPr>
          <w:rFonts w:ascii="Tw Cen MT" w:eastAsia="Twentieth Century" w:hAnsi="Tw Cen MT" w:cs="Twentieth Century"/>
          <w:sz w:val="24"/>
          <w:szCs w:val="24"/>
        </w:rPr>
        <w:t>in the control</w:t>
      </w:r>
      <w:r>
        <w:rPr>
          <w:rFonts w:ascii="Tw Cen MT" w:eastAsia="Twentieth Century" w:hAnsi="Tw Cen MT" w:cs="Twentieth Century"/>
          <w:sz w:val="24"/>
          <w:szCs w:val="24"/>
        </w:rPr>
        <w:t xml:space="preserve"> </w:t>
      </w:r>
      <w:r w:rsidRPr="00DA0EE3">
        <w:rPr>
          <w:rFonts w:ascii="Tw Cen MT" w:eastAsia="Twentieth Century" w:hAnsi="Tw Cen MT" w:cs="Twentieth Century"/>
          <w:sz w:val="24"/>
          <w:szCs w:val="24"/>
        </w:rPr>
        <w:t>group</w:t>
      </w:r>
      <w:r w:rsidRPr="00FC0E0A">
        <w:rPr>
          <w:rFonts w:ascii="Tw Cen MT" w:eastAsia="Twentieth Century" w:hAnsi="Tw Cen MT" w:cs="Twentieth Century"/>
          <w:sz w:val="24"/>
          <w:szCs w:val="24"/>
        </w:rPr>
        <w:t>. Based on education</w:t>
      </w:r>
      <w:r>
        <w:rPr>
          <w:rFonts w:ascii="Tw Cen MT" w:eastAsia="Twentieth Century" w:hAnsi="Tw Cen MT" w:cs="Twentieth Century"/>
          <w:sz w:val="24"/>
          <w:szCs w:val="24"/>
        </w:rPr>
        <w:t>al characteristics</w:t>
      </w:r>
      <w:r w:rsidRPr="00FC0E0A">
        <w:rPr>
          <w:rFonts w:ascii="Tw Cen MT" w:eastAsia="Twentieth Century" w:hAnsi="Tw Cen MT" w:cs="Twentieth Century"/>
          <w:sz w:val="24"/>
          <w:szCs w:val="24"/>
        </w:rPr>
        <w:t>, most of the respondents from the intervention and control group</w:t>
      </w:r>
      <w:r>
        <w:rPr>
          <w:rFonts w:ascii="Tw Cen MT" w:eastAsia="Twentieth Century" w:hAnsi="Tw Cen MT" w:cs="Twentieth Century"/>
          <w:sz w:val="24"/>
          <w:szCs w:val="24"/>
        </w:rPr>
        <w:t xml:space="preserve">s were at the </w:t>
      </w:r>
      <w:r w:rsidRPr="00FC0E0A">
        <w:rPr>
          <w:rFonts w:ascii="Tw Cen MT" w:eastAsia="Twentieth Century" w:hAnsi="Tw Cen MT" w:cs="Twentieth Century"/>
          <w:sz w:val="24"/>
          <w:szCs w:val="24"/>
        </w:rPr>
        <w:t xml:space="preserve">elementary </w:t>
      </w:r>
      <w:r>
        <w:rPr>
          <w:rFonts w:ascii="Tw Cen MT" w:eastAsia="Twentieth Century" w:hAnsi="Tw Cen MT" w:cs="Twentieth Century"/>
          <w:sz w:val="24"/>
          <w:szCs w:val="24"/>
        </w:rPr>
        <w:t>school level</w:t>
      </w:r>
      <w:r w:rsidRPr="00FC0E0A">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namely </w:t>
      </w:r>
      <w:r w:rsidRPr="00FC0E0A">
        <w:rPr>
          <w:rFonts w:ascii="Tw Cen MT" w:eastAsia="Twentieth Century" w:hAnsi="Tw Cen MT" w:cs="Twentieth Century"/>
          <w:sz w:val="24"/>
          <w:szCs w:val="24"/>
        </w:rPr>
        <w:t>32 respondents (53%) with a p-value of 0.06</w:t>
      </w:r>
      <w:r>
        <w:rPr>
          <w:rFonts w:ascii="Tw Cen MT" w:eastAsia="Twentieth Century" w:hAnsi="Tw Cen MT" w:cs="Twentieth Century"/>
          <w:sz w:val="24"/>
          <w:szCs w:val="24"/>
        </w:rPr>
        <w:t>1.</w:t>
      </w:r>
      <w:r w:rsidRPr="00FC0E0A">
        <w:rPr>
          <w:rFonts w:ascii="Tw Cen MT" w:eastAsia="Twentieth Century" w:hAnsi="Tw Cen MT" w:cs="Twentieth Century"/>
          <w:sz w:val="24"/>
          <w:szCs w:val="24"/>
        </w:rPr>
        <w:t xml:space="preserve"> </w:t>
      </w:r>
      <w:r>
        <w:rPr>
          <w:rFonts w:ascii="Tw Cen MT" w:eastAsia="Twentieth Century" w:hAnsi="Tw Cen MT" w:cs="Twentieth Century"/>
          <w:sz w:val="24"/>
          <w:szCs w:val="24"/>
        </w:rPr>
        <w:t>In terms of occupation</w:t>
      </w:r>
      <w:r w:rsidRPr="00FC0E0A">
        <w:rPr>
          <w:rFonts w:ascii="Tw Cen MT" w:eastAsia="Twentieth Century" w:hAnsi="Tw Cen MT" w:cs="Twentieth Century"/>
          <w:sz w:val="24"/>
          <w:szCs w:val="24"/>
        </w:rPr>
        <w:t xml:space="preserve">, </w:t>
      </w:r>
      <w:r>
        <w:rPr>
          <w:rFonts w:ascii="Tw Cen MT" w:eastAsia="Twentieth Century" w:hAnsi="Tw Cen MT" w:cs="Twentieth Century"/>
          <w:sz w:val="24"/>
          <w:szCs w:val="24"/>
        </w:rPr>
        <w:t>all</w:t>
      </w:r>
      <w:r w:rsidRPr="00FC0E0A">
        <w:rPr>
          <w:rFonts w:ascii="Tw Cen MT" w:eastAsia="Twentieth Century" w:hAnsi="Tw Cen MT" w:cs="Twentieth Century"/>
          <w:sz w:val="24"/>
          <w:szCs w:val="24"/>
        </w:rPr>
        <w:t xml:space="preserve"> the respondents from the intervention group and the control group worked (100%) with a p-value of 0.652</w:t>
      </w:r>
      <w:r>
        <w:rPr>
          <w:rFonts w:ascii="Tw Cen MT" w:eastAsia="Twentieth Century" w:hAnsi="Tw Cen MT" w:cs="Twentieth Century"/>
          <w:sz w:val="24"/>
          <w:szCs w:val="24"/>
        </w:rPr>
        <w:t>. Concerning</w:t>
      </w:r>
      <w:r w:rsidRPr="00FC0E0A">
        <w:rPr>
          <w:rFonts w:ascii="Tw Cen MT" w:eastAsia="Twentieth Century" w:hAnsi="Tw Cen MT" w:cs="Twentieth Century"/>
          <w:sz w:val="24"/>
          <w:szCs w:val="24"/>
        </w:rPr>
        <w:t xml:space="preserve"> gravida status</w:t>
      </w:r>
      <w:r>
        <w:rPr>
          <w:rFonts w:ascii="Tw Cen MT" w:eastAsia="Twentieth Century" w:hAnsi="Tw Cen MT" w:cs="Twentieth Century"/>
          <w:sz w:val="24"/>
          <w:szCs w:val="24"/>
        </w:rPr>
        <w:t>,</w:t>
      </w:r>
      <w:r w:rsidRPr="00FC0E0A">
        <w:rPr>
          <w:rFonts w:ascii="Tw Cen MT" w:eastAsia="Twentieth Century" w:hAnsi="Tw Cen MT" w:cs="Twentieth Century"/>
          <w:sz w:val="24"/>
          <w:szCs w:val="24"/>
        </w:rPr>
        <w:t xml:space="preserve"> most of the respondents from </w:t>
      </w:r>
      <w:r>
        <w:rPr>
          <w:rFonts w:ascii="Tw Cen MT" w:eastAsia="Twentieth Century" w:hAnsi="Tw Cen MT" w:cs="Twentieth Century"/>
          <w:sz w:val="24"/>
          <w:szCs w:val="24"/>
        </w:rPr>
        <w:t xml:space="preserve">both </w:t>
      </w:r>
      <w:r w:rsidRPr="00FC0E0A">
        <w:rPr>
          <w:rFonts w:ascii="Tw Cen MT" w:eastAsia="Twentieth Century" w:hAnsi="Tw Cen MT" w:cs="Twentieth Century"/>
          <w:sz w:val="24"/>
          <w:szCs w:val="24"/>
        </w:rPr>
        <w:t xml:space="preserve">groups were </w:t>
      </w:r>
      <w:proofErr w:type="spellStart"/>
      <w:r w:rsidRPr="00FC0E0A">
        <w:rPr>
          <w:rFonts w:ascii="Tw Cen MT" w:eastAsia="Twentieth Century" w:hAnsi="Tw Cen MT" w:cs="Twentieth Century"/>
          <w:sz w:val="24"/>
          <w:szCs w:val="24"/>
        </w:rPr>
        <w:t>primigravidas</w:t>
      </w:r>
      <w:proofErr w:type="spellEnd"/>
      <w:r w:rsidRPr="00FC0E0A">
        <w:rPr>
          <w:rFonts w:ascii="Tw Cen MT" w:eastAsia="Twentieth Century" w:hAnsi="Tw Cen MT" w:cs="Twentieth Century"/>
          <w:sz w:val="24"/>
          <w:szCs w:val="24"/>
        </w:rPr>
        <w:t xml:space="preserve"> with 32 respondents (53%). </w:t>
      </w:r>
      <w:r>
        <w:rPr>
          <w:rFonts w:ascii="Tw Cen MT" w:eastAsia="Twentieth Century" w:hAnsi="Tw Cen MT" w:cs="Twentieth Century"/>
          <w:sz w:val="24"/>
          <w:szCs w:val="24"/>
        </w:rPr>
        <w:t>Based on</w:t>
      </w:r>
      <w:r w:rsidRPr="00FC0E0A">
        <w:rPr>
          <w:rFonts w:ascii="Tw Cen MT" w:eastAsia="Twentieth Century" w:hAnsi="Tw Cen MT" w:cs="Twentieth Century"/>
          <w:sz w:val="24"/>
          <w:szCs w:val="24"/>
        </w:rPr>
        <w:t xml:space="preserve"> the uterine contractions</w:t>
      </w:r>
      <w:r>
        <w:rPr>
          <w:rFonts w:ascii="Tw Cen MT" w:eastAsia="Twentieth Century" w:hAnsi="Tw Cen MT" w:cs="Twentieth Century"/>
          <w:sz w:val="24"/>
          <w:szCs w:val="24"/>
        </w:rPr>
        <w:t>,</w:t>
      </w:r>
      <w:r w:rsidRPr="00FC0E0A">
        <w:rPr>
          <w:rFonts w:ascii="Tw Cen MT" w:eastAsia="Twentieth Century" w:hAnsi="Tw Cen MT" w:cs="Twentieth Century"/>
          <w:sz w:val="24"/>
          <w:szCs w:val="24"/>
        </w:rPr>
        <w:t xml:space="preserve"> the average number</w:t>
      </w:r>
      <w:r>
        <w:rPr>
          <w:rFonts w:ascii="Tw Cen MT" w:eastAsia="Twentieth Century" w:hAnsi="Tw Cen MT" w:cs="Twentieth Century"/>
          <w:sz w:val="24"/>
          <w:szCs w:val="24"/>
        </w:rPr>
        <w:t xml:space="preserve"> of</w:t>
      </w:r>
      <w:r w:rsidRPr="00FC0E0A">
        <w:rPr>
          <w:rFonts w:ascii="Tw Cen MT" w:eastAsia="Twentieth Century" w:hAnsi="Tw Cen MT" w:cs="Twentieth Century"/>
          <w:sz w:val="24"/>
          <w:szCs w:val="24"/>
        </w:rPr>
        <w:t xml:space="preserve"> the intervention group was (2.33 ± 0.479) with a p value of 0.123. This shows that there was no significant difference between the intervention group and the control group</w:t>
      </w:r>
      <w:r>
        <w:rPr>
          <w:rFonts w:ascii="Tw Cen MT" w:eastAsia="Twentieth Century" w:hAnsi="Tw Cen MT" w:cs="Twentieth Century"/>
          <w:sz w:val="24"/>
          <w:szCs w:val="24"/>
        </w:rPr>
        <w:t>,</w:t>
      </w:r>
      <w:r w:rsidRPr="00FC0E0A">
        <w:rPr>
          <w:rFonts w:ascii="Tw Cen MT" w:eastAsia="Twentieth Century" w:hAnsi="Tw Cen MT" w:cs="Twentieth Century"/>
          <w:sz w:val="24"/>
          <w:szCs w:val="24"/>
        </w:rPr>
        <w:t xml:space="preserve"> so the two groups had </w:t>
      </w:r>
      <w:r>
        <w:rPr>
          <w:rFonts w:ascii="Tw Cen MT" w:eastAsia="Twentieth Century" w:hAnsi="Tw Cen MT" w:cs="Twentieth Century"/>
          <w:sz w:val="24"/>
          <w:szCs w:val="24"/>
        </w:rPr>
        <w:t>identical</w:t>
      </w:r>
      <w:r w:rsidRPr="00FC0E0A">
        <w:rPr>
          <w:rFonts w:ascii="Tw Cen MT" w:eastAsia="Twentieth Century" w:hAnsi="Tw Cen MT" w:cs="Twentieth Century"/>
          <w:sz w:val="24"/>
          <w:szCs w:val="24"/>
        </w:rPr>
        <w:t xml:space="preserve"> or homogeneous variations</w:t>
      </w:r>
      <w:r>
        <w:rPr>
          <w:rFonts w:ascii="Tw Cen MT" w:eastAsia="Twentieth Century" w:hAnsi="Tw Cen MT" w:cs="Twentieth Century"/>
          <w:sz w:val="24"/>
          <w:szCs w:val="24"/>
        </w:rPr>
        <w:t>.</w:t>
      </w:r>
    </w:p>
    <w:p w14:paraId="38A34586" w14:textId="77777777" w:rsidR="007D62B8" w:rsidRPr="00F24854" w:rsidRDefault="007D62B8" w:rsidP="007D62B8">
      <w:pPr>
        <w:tabs>
          <w:tab w:val="left" w:pos="426"/>
        </w:tabs>
        <w:spacing w:after="0" w:line="240" w:lineRule="auto"/>
        <w:jc w:val="both"/>
        <w:rPr>
          <w:rFonts w:ascii="Tw Cen MT" w:eastAsia="Twentieth Century" w:hAnsi="Tw Cen MT" w:cs="Twentieth Century"/>
          <w:sz w:val="24"/>
          <w:szCs w:val="24"/>
        </w:rPr>
      </w:pPr>
    </w:p>
    <w:p w14:paraId="6AAEEA3D" w14:textId="77777777" w:rsidR="007D62B8" w:rsidRDefault="007D62B8" w:rsidP="007D62B8">
      <w:pPr>
        <w:pStyle w:val="DaftarParagraf"/>
        <w:tabs>
          <w:tab w:val="left" w:pos="426"/>
        </w:tabs>
        <w:spacing w:after="0" w:line="240" w:lineRule="auto"/>
        <w:ind w:left="0"/>
        <w:jc w:val="center"/>
        <w:rPr>
          <w:rFonts w:ascii="Tw Cen MT" w:eastAsia="Twentieth Century" w:hAnsi="Tw Cen MT" w:cs="Twentieth Century"/>
          <w:sz w:val="20"/>
          <w:szCs w:val="20"/>
        </w:rPr>
      </w:pPr>
    </w:p>
    <w:p w14:paraId="535D07B7" w14:textId="77777777" w:rsidR="007D62B8" w:rsidRDefault="007D62B8" w:rsidP="007D62B8">
      <w:pPr>
        <w:pStyle w:val="DaftarParagraf"/>
        <w:tabs>
          <w:tab w:val="left" w:pos="426"/>
        </w:tabs>
        <w:spacing w:after="0" w:line="240" w:lineRule="auto"/>
        <w:ind w:left="0"/>
        <w:jc w:val="center"/>
        <w:rPr>
          <w:rFonts w:ascii="Tw Cen MT" w:eastAsia="Twentieth Century" w:hAnsi="Tw Cen MT" w:cs="Twentieth Century"/>
          <w:sz w:val="20"/>
          <w:szCs w:val="20"/>
        </w:rPr>
      </w:pPr>
    </w:p>
    <w:p w14:paraId="32FDE45A" w14:textId="77777777" w:rsidR="007D62B8" w:rsidRDefault="007D62B8" w:rsidP="007D62B8">
      <w:pPr>
        <w:pStyle w:val="DaftarParagraf"/>
        <w:tabs>
          <w:tab w:val="left" w:pos="426"/>
        </w:tabs>
        <w:spacing w:after="0" w:line="240" w:lineRule="auto"/>
        <w:ind w:left="0"/>
        <w:jc w:val="center"/>
        <w:rPr>
          <w:rFonts w:ascii="Tw Cen MT" w:eastAsia="Twentieth Century" w:hAnsi="Tw Cen MT" w:cs="Twentieth Century"/>
          <w:sz w:val="20"/>
          <w:szCs w:val="20"/>
        </w:rPr>
      </w:pPr>
    </w:p>
    <w:p w14:paraId="72B2807B" w14:textId="003E9BBF" w:rsidR="007D62B8" w:rsidRPr="007D62B8" w:rsidRDefault="007D62B8" w:rsidP="007D62B8">
      <w:pPr>
        <w:pStyle w:val="DaftarParagraf"/>
        <w:tabs>
          <w:tab w:val="left" w:pos="426"/>
        </w:tabs>
        <w:spacing w:after="0" w:line="240" w:lineRule="auto"/>
        <w:ind w:left="0"/>
        <w:jc w:val="center"/>
        <w:rPr>
          <w:rFonts w:ascii="Tw Cen MT" w:eastAsia="Twentieth Century" w:hAnsi="Tw Cen MT" w:cs="Twentieth Century"/>
          <w:sz w:val="20"/>
          <w:szCs w:val="20"/>
        </w:rPr>
      </w:pPr>
      <w:r w:rsidRPr="006D7C15">
        <w:rPr>
          <w:rFonts w:ascii="Tw Cen MT" w:eastAsia="Twentieth Century" w:hAnsi="Tw Cen MT" w:cs="Twentieth Century"/>
          <w:sz w:val="20"/>
          <w:szCs w:val="20"/>
        </w:rPr>
        <w:lastRenderedPageBreak/>
        <w:t>Table 2. Uterine Contractions in the Intervention Group</w:t>
      </w:r>
    </w:p>
    <w:tbl>
      <w:tblPr>
        <w:tblpPr w:leftFromText="180" w:rightFromText="180" w:vertAnchor="text" w:horzAnchor="margin" w:tblpY="84"/>
        <w:tblW w:w="435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048"/>
        <w:gridCol w:w="1068"/>
        <w:gridCol w:w="1172"/>
      </w:tblGrid>
      <w:tr w:rsidR="007D62B8" w14:paraId="736C946A" w14:textId="77777777" w:rsidTr="006F24BD">
        <w:trPr>
          <w:trHeight w:val="319"/>
        </w:trPr>
        <w:tc>
          <w:tcPr>
            <w:tcW w:w="1062" w:type="dxa"/>
            <w:tcBorders>
              <w:top w:val="single" w:sz="4" w:space="0" w:color="auto"/>
              <w:bottom w:val="nil"/>
              <w:right w:val="nil"/>
            </w:tcBorders>
            <w:vAlign w:val="center"/>
          </w:tcPr>
          <w:p w14:paraId="44F7F5B4"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lang w:val="id"/>
              </w:rPr>
            </w:pPr>
            <w:bookmarkStart w:id="0" w:name="_Toc139619525"/>
            <w:bookmarkStart w:id="1" w:name="_Toc139820408"/>
            <w:proofErr w:type="spellStart"/>
            <w:r w:rsidRPr="006D7C15">
              <w:rPr>
                <w:rFonts w:ascii="Tw Cen MT" w:eastAsia="Times New Roman" w:hAnsi="Tw Cen MT" w:cs="Times New Roman"/>
                <w:bCs/>
                <w:sz w:val="16"/>
                <w:szCs w:val="16"/>
                <w:lang w:val="id"/>
              </w:rPr>
              <w:t>Variable</w:t>
            </w:r>
            <w:bookmarkEnd w:id="0"/>
            <w:bookmarkEnd w:id="1"/>
            <w:proofErr w:type="spellEnd"/>
          </w:p>
        </w:tc>
        <w:tc>
          <w:tcPr>
            <w:tcW w:w="2116" w:type="dxa"/>
            <w:gridSpan w:val="2"/>
            <w:tcBorders>
              <w:left w:val="nil"/>
              <w:right w:val="nil"/>
            </w:tcBorders>
            <w:vAlign w:val="center"/>
          </w:tcPr>
          <w:p w14:paraId="7799E084"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lang w:val="id"/>
              </w:rPr>
            </w:pPr>
            <w:bookmarkStart w:id="2" w:name="_Toc139619526"/>
            <w:bookmarkStart w:id="3" w:name="_Toc139820410"/>
            <w:proofErr w:type="spellStart"/>
            <w:r w:rsidRPr="006D7C15">
              <w:rPr>
                <w:rFonts w:ascii="Tw Cen MT" w:eastAsia="Times New Roman" w:hAnsi="Tw Cen MT" w:cs="Times New Roman"/>
                <w:bCs/>
                <w:sz w:val="16"/>
                <w:szCs w:val="16"/>
                <w:lang w:val="id"/>
              </w:rPr>
              <w:t>Intervention</w:t>
            </w:r>
            <w:proofErr w:type="spellEnd"/>
            <w:r w:rsidRPr="006D7C15">
              <w:rPr>
                <w:rFonts w:ascii="Tw Cen MT" w:eastAsia="Times New Roman" w:hAnsi="Tw Cen MT" w:cs="Times New Roman"/>
                <w:bCs/>
                <w:sz w:val="16"/>
                <w:szCs w:val="16"/>
                <w:lang w:val="id"/>
              </w:rPr>
              <w:t xml:space="preserve"> Group (n=30)</w:t>
            </w:r>
            <w:bookmarkStart w:id="4" w:name="_Toc139820409"/>
            <w:bookmarkEnd w:id="2"/>
            <w:bookmarkEnd w:id="3"/>
          </w:p>
        </w:tc>
        <w:tc>
          <w:tcPr>
            <w:tcW w:w="1172" w:type="dxa"/>
            <w:vMerge w:val="restart"/>
            <w:tcBorders>
              <w:left w:val="nil"/>
              <w:bottom w:val="nil"/>
            </w:tcBorders>
            <w:vAlign w:val="center"/>
          </w:tcPr>
          <w:p w14:paraId="654717E5"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i/>
                <w:sz w:val="16"/>
                <w:szCs w:val="16"/>
                <w:lang w:val="id"/>
              </w:rPr>
            </w:pPr>
            <w:bookmarkStart w:id="5" w:name="_Toc139619530"/>
            <w:bookmarkStart w:id="6" w:name="_Toc139820414"/>
            <w:bookmarkEnd w:id="4"/>
            <w:r w:rsidRPr="006D7C15">
              <w:rPr>
                <w:rFonts w:ascii="Tw Cen MT" w:eastAsia="Times New Roman" w:hAnsi="Tw Cen MT" w:cs="Times New Roman"/>
                <w:bCs/>
                <w:i/>
                <w:sz w:val="16"/>
                <w:szCs w:val="16"/>
                <w:lang w:val="id"/>
              </w:rPr>
              <w:t>P-</w:t>
            </w:r>
            <w:proofErr w:type="spellStart"/>
            <w:r w:rsidRPr="006D7C15">
              <w:rPr>
                <w:rFonts w:ascii="Tw Cen MT" w:eastAsia="Times New Roman" w:hAnsi="Tw Cen MT" w:cs="Times New Roman"/>
                <w:bCs/>
                <w:i/>
                <w:sz w:val="16"/>
                <w:szCs w:val="16"/>
                <w:lang w:val="id"/>
              </w:rPr>
              <w:t>Value</w:t>
            </w:r>
            <w:bookmarkEnd w:id="5"/>
            <w:bookmarkEnd w:id="6"/>
            <w:proofErr w:type="spellEnd"/>
          </w:p>
        </w:tc>
      </w:tr>
      <w:tr w:rsidR="007D62B8" w14:paraId="60027898" w14:textId="77777777" w:rsidTr="006F24BD">
        <w:trPr>
          <w:trHeight w:val="135"/>
        </w:trPr>
        <w:tc>
          <w:tcPr>
            <w:tcW w:w="1062" w:type="dxa"/>
            <w:tcBorders>
              <w:top w:val="nil"/>
              <w:bottom w:val="nil"/>
              <w:right w:val="nil"/>
            </w:tcBorders>
            <w:vAlign w:val="center"/>
          </w:tcPr>
          <w:p w14:paraId="278699C0"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lang w:val="id"/>
              </w:rPr>
            </w:pPr>
          </w:p>
        </w:tc>
        <w:tc>
          <w:tcPr>
            <w:tcW w:w="1048" w:type="dxa"/>
            <w:tcBorders>
              <w:top w:val="nil"/>
              <w:left w:val="nil"/>
              <w:right w:val="nil"/>
            </w:tcBorders>
            <w:vAlign w:val="center"/>
          </w:tcPr>
          <w:p w14:paraId="71C51C4F"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i/>
                <w:sz w:val="16"/>
                <w:szCs w:val="16"/>
                <w:lang w:val="id"/>
              </w:rPr>
            </w:pPr>
            <w:proofErr w:type="spellStart"/>
            <w:r w:rsidRPr="006D7C15">
              <w:rPr>
                <w:rFonts w:ascii="Tw Cen MT" w:eastAsia="Times New Roman" w:hAnsi="Tw Cen MT" w:cs="Times New Roman"/>
                <w:bCs/>
                <w:i/>
                <w:sz w:val="16"/>
                <w:szCs w:val="16"/>
                <w:lang w:val="id"/>
              </w:rPr>
              <w:t>Pretest</w:t>
            </w:r>
            <w:proofErr w:type="spellEnd"/>
          </w:p>
        </w:tc>
        <w:tc>
          <w:tcPr>
            <w:tcW w:w="1068" w:type="dxa"/>
            <w:tcBorders>
              <w:top w:val="nil"/>
              <w:left w:val="nil"/>
              <w:right w:val="nil"/>
            </w:tcBorders>
            <w:vAlign w:val="center"/>
          </w:tcPr>
          <w:p w14:paraId="31DC006E"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i/>
                <w:sz w:val="16"/>
                <w:szCs w:val="16"/>
                <w:lang w:val="id"/>
              </w:rPr>
            </w:pPr>
            <w:proofErr w:type="spellStart"/>
            <w:r w:rsidRPr="006D7C15">
              <w:rPr>
                <w:rFonts w:ascii="Tw Cen MT" w:eastAsia="Times New Roman" w:hAnsi="Tw Cen MT" w:cs="Times New Roman"/>
                <w:bCs/>
                <w:i/>
                <w:sz w:val="16"/>
                <w:szCs w:val="16"/>
                <w:lang w:val="id"/>
              </w:rPr>
              <w:t>Posttest</w:t>
            </w:r>
            <w:proofErr w:type="spellEnd"/>
          </w:p>
        </w:tc>
        <w:tc>
          <w:tcPr>
            <w:tcW w:w="1172" w:type="dxa"/>
            <w:vMerge/>
            <w:tcBorders>
              <w:top w:val="nil"/>
              <w:left w:val="nil"/>
              <w:bottom w:val="nil"/>
            </w:tcBorders>
            <w:vAlign w:val="center"/>
          </w:tcPr>
          <w:p w14:paraId="60094E01"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lang w:val="id"/>
              </w:rPr>
            </w:pPr>
          </w:p>
        </w:tc>
      </w:tr>
      <w:tr w:rsidR="007D62B8" w14:paraId="1188C926" w14:textId="77777777" w:rsidTr="006F24BD">
        <w:trPr>
          <w:trHeight w:val="135"/>
        </w:trPr>
        <w:tc>
          <w:tcPr>
            <w:tcW w:w="1062" w:type="dxa"/>
            <w:tcBorders>
              <w:top w:val="nil"/>
              <w:bottom w:val="single" w:sz="4" w:space="0" w:color="auto"/>
              <w:right w:val="nil"/>
            </w:tcBorders>
            <w:vAlign w:val="center"/>
          </w:tcPr>
          <w:p w14:paraId="59D93F33" w14:textId="77777777" w:rsidR="007D62B8" w:rsidRPr="006D7C15" w:rsidRDefault="007D62B8" w:rsidP="007D62B8">
            <w:pPr>
              <w:widowControl w:val="0"/>
              <w:tabs>
                <w:tab w:val="left" w:pos="2109"/>
              </w:tabs>
              <w:autoSpaceDE w:val="0"/>
              <w:autoSpaceDN w:val="0"/>
              <w:spacing w:after="0" w:line="240" w:lineRule="auto"/>
              <w:ind w:right="3"/>
              <w:jc w:val="both"/>
              <w:outlineLvl w:val="2"/>
              <w:rPr>
                <w:rFonts w:ascii="Tw Cen MT" w:eastAsia="Times New Roman" w:hAnsi="Tw Cen MT" w:cs="Times New Roman"/>
                <w:bCs/>
                <w:sz w:val="16"/>
                <w:szCs w:val="16"/>
                <w:lang w:val="id"/>
              </w:rPr>
            </w:pPr>
          </w:p>
        </w:tc>
        <w:tc>
          <w:tcPr>
            <w:tcW w:w="1048" w:type="dxa"/>
            <w:tcBorders>
              <w:left w:val="nil"/>
              <w:right w:val="nil"/>
            </w:tcBorders>
            <w:vAlign w:val="center"/>
          </w:tcPr>
          <w:p w14:paraId="7E5A7B83"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rPr>
            </w:pPr>
            <w:bookmarkStart w:id="7" w:name="_Toc139619528"/>
            <w:bookmarkStart w:id="8" w:name="_Toc139820412"/>
            <w:proofErr w:type="spellStart"/>
            <w:r w:rsidRPr="006D7C15">
              <w:rPr>
                <w:rFonts w:ascii="Tw Cen MT" w:eastAsia="Times New Roman" w:hAnsi="Tw Cen MT" w:cs="Times New Roman"/>
                <w:bCs/>
                <w:sz w:val="16"/>
                <w:szCs w:val="16"/>
                <w:lang w:val="id"/>
              </w:rPr>
              <w:t>Mean</w:t>
            </w:r>
            <w:proofErr w:type="spellEnd"/>
            <w:r w:rsidRPr="006D7C15">
              <w:rPr>
                <w:rFonts w:ascii="Tw Cen MT" w:eastAsia="Times New Roman" w:hAnsi="Tw Cen MT" w:cs="Times New Roman"/>
                <w:bCs/>
                <w:sz w:val="16"/>
                <w:szCs w:val="16"/>
              </w:rPr>
              <w:t>(</w:t>
            </w:r>
            <w:r w:rsidRPr="006D7C15">
              <w:rPr>
                <w:rFonts w:ascii="Tw Cen MT" w:eastAsia="Times New Roman" w:hAnsi="Tw Cen MT" w:cs="Times New Roman"/>
                <w:bCs/>
                <w:sz w:val="16"/>
                <w:szCs w:val="16"/>
                <w:lang w:val="id"/>
              </w:rPr>
              <w:t>SD</w:t>
            </w:r>
            <w:bookmarkEnd w:id="7"/>
            <w:bookmarkEnd w:id="8"/>
            <w:r w:rsidRPr="006D7C15">
              <w:rPr>
                <w:rFonts w:ascii="Tw Cen MT" w:eastAsia="Times New Roman" w:hAnsi="Tw Cen MT" w:cs="Times New Roman"/>
                <w:bCs/>
                <w:sz w:val="16"/>
                <w:szCs w:val="16"/>
              </w:rPr>
              <w:t>)</w:t>
            </w:r>
          </w:p>
        </w:tc>
        <w:tc>
          <w:tcPr>
            <w:tcW w:w="1068" w:type="dxa"/>
            <w:tcBorders>
              <w:left w:val="nil"/>
              <w:right w:val="nil"/>
            </w:tcBorders>
            <w:vAlign w:val="center"/>
          </w:tcPr>
          <w:p w14:paraId="704157AF"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rPr>
            </w:pPr>
            <w:bookmarkStart w:id="9" w:name="_Toc139619529"/>
            <w:bookmarkStart w:id="10" w:name="_Toc139820413"/>
            <w:proofErr w:type="spellStart"/>
            <w:r w:rsidRPr="006D7C15">
              <w:rPr>
                <w:rFonts w:ascii="Tw Cen MT" w:eastAsia="Times New Roman" w:hAnsi="Tw Cen MT" w:cs="Times New Roman"/>
                <w:bCs/>
                <w:sz w:val="16"/>
                <w:szCs w:val="16"/>
                <w:lang w:val="id"/>
              </w:rPr>
              <w:t>Mean</w:t>
            </w:r>
            <w:proofErr w:type="spellEnd"/>
            <w:r w:rsidRPr="006D7C15">
              <w:rPr>
                <w:rFonts w:ascii="Tw Cen MT" w:eastAsia="Times New Roman" w:hAnsi="Tw Cen MT" w:cs="Times New Roman"/>
                <w:bCs/>
                <w:sz w:val="16"/>
                <w:szCs w:val="16"/>
                <w:lang w:val="id"/>
              </w:rPr>
              <w:t xml:space="preserve"> </w:t>
            </w:r>
            <w:r w:rsidRPr="006D7C15">
              <w:rPr>
                <w:rFonts w:ascii="Tw Cen MT" w:eastAsia="Times New Roman" w:hAnsi="Tw Cen MT" w:cs="Times New Roman"/>
                <w:bCs/>
                <w:sz w:val="16"/>
                <w:szCs w:val="16"/>
              </w:rPr>
              <w:t>(</w:t>
            </w:r>
            <w:r w:rsidRPr="006D7C15">
              <w:rPr>
                <w:rFonts w:ascii="Tw Cen MT" w:eastAsia="Times New Roman" w:hAnsi="Tw Cen MT" w:cs="Times New Roman"/>
                <w:bCs/>
                <w:sz w:val="16"/>
                <w:szCs w:val="16"/>
                <w:lang w:val="id"/>
              </w:rPr>
              <w:t>SD</w:t>
            </w:r>
            <w:bookmarkEnd w:id="9"/>
            <w:bookmarkEnd w:id="10"/>
            <w:r w:rsidRPr="006D7C15">
              <w:rPr>
                <w:rFonts w:ascii="Tw Cen MT" w:eastAsia="Times New Roman" w:hAnsi="Tw Cen MT" w:cs="Times New Roman"/>
                <w:bCs/>
                <w:sz w:val="16"/>
                <w:szCs w:val="16"/>
              </w:rPr>
              <w:t>)</w:t>
            </w:r>
          </w:p>
        </w:tc>
        <w:tc>
          <w:tcPr>
            <w:tcW w:w="1172" w:type="dxa"/>
            <w:tcBorders>
              <w:top w:val="nil"/>
              <w:left w:val="nil"/>
              <w:bottom w:val="single" w:sz="4" w:space="0" w:color="auto"/>
            </w:tcBorders>
            <w:vAlign w:val="center"/>
          </w:tcPr>
          <w:p w14:paraId="15CDC199"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lang w:val="id"/>
              </w:rPr>
            </w:pPr>
          </w:p>
        </w:tc>
      </w:tr>
      <w:tr w:rsidR="007D62B8" w14:paraId="5CD79B0B" w14:textId="77777777" w:rsidTr="006F24BD">
        <w:trPr>
          <w:trHeight w:val="477"/>
        </w:trPr>
        <w:tc>
          <w:tcPr>
            <w:tcW w:w="1062" w:type="dxa"/>
            <w:tcBorders>
              <w:top w:val="single" w:sz="4" w:space="0" w:color="auto"/>
              <w:bottom w:val="single" w:sz="4" w:space="0" w:color="auto"/>
              <w:right w:val="nil"/>
            </w:tcBorders>
            <w:vAlign w:val="center"/>
          </w:tcPr>
          <w:p w14:paraId="479983FB" w14:textId="77777777" w:rsidR="007D62B8" w:rsidRPr="006D7C15" w:rsidRDefault="007D62B8" w:rsidP="007D62B8">
            <w:pPr>
              <w:widowControl w:val="0"/>
              <w:tabs>
                <w:tab w:val="left" w:pos="2109"/>
              </w:tabs>
              <w:autoSpaceDE w:val="0"/>
              <w:autoSpaceDN w:val="0"/>
              <w:spacing w:after="0" w:line="240" w:lineRule="auto"/>
              <w:ind w:right="-39"/>
              <w:jc w:val="center"/>
              <w:outlineLvl w:val="2"/>
              <w:rPr>
                <w:rFonts w:ascii="Tw Cen MT" w:eastAsia="Times New Roman" w:hAnsi="Tw Cen MT" w:cs="Times New Roman"/>
                <w:bCs/>
                <w:sz w:val="16"/>
                <w:szCs w:val="16"/>
                <w:lang w:val="id"/>
              </w:rPr>
            </w:pPr>
            <w:proofErr w:type="spellStart"/>
            <w:r w:rsidRPr="006D7C15">
              <w:rPr>
                <w:rFonts w:ascii="Tw Cen MT" w:eastAsia="Times New Roman" w:hAnsi="Tw Cen MT" w:cs="Times New Roman"/>
                <w:bCs/>
                <w:sz w:val="16"/>
                <w:szCs w:val="16"/>
                <w:lang w:val="id"/>
              </w:rPr>
              <w:t>Uterine</w:t>
            </w:r>
            <w:proofErr w:type="spellEnd"/>
            <w:r w:rsidRPr="006D7C15">
              <w:rPr>
                <w:rFonts w:ascii="Tw Cen MT" w:eastAsia="Times New Roman" w:hAnsi="Tw Cen MT" w:cs="Times New Roman"/>
                <w:bCs/>
                <w:sz w:val="16"/>
                <w:szCs w:val="16"/>
                <w:lang w:val="id"/>
              </w:rPr>
              <w:t xml:space="preserve"> </w:t>
            </w:r>
            <w:proofErr w:type="spellStart"/>
            <w:r w:rsidRPr="006D7C15">
              <w:rPr>
                <w:rFonts w:ascii="Tw Cen MT" w:eastAsia="Times New Roman" w:hAnsi="Tw Cen MT" w:cs="Times New Roman"/>
                <w:bCs/>
                <w:sz w:val="16"/>
                <w:szCs w:val="16"/>
                <w:lang w:val="id"/>
              </w:rPr>
              <w:t>Contraction</w:t>
            </w:r>
            <w:proofErr w:type="spellEnd"/>
          </w:p>
        </w:tc>
        <w:tc>
          <w:tcPr>
            <w:tcW w:w="1048" w:type="dxa"/>
            <w:tcBorders>
              <w:left w:val="nil"/>
              <w:bottom w:val="single" w:sz="4" w:space="0" w:color="auto"/>
              <w:right w:val="nil"/>
            </w:tcBorders>
            <w:vAlign w:val="center"/>
          </w:tcPr>
          <w:p w14:paraId="67691178" w14:textId="77777777" w:rsidR="007D62B8" w:rsidRPr="006D7C15" w:rsidRDefault="007D62B8" w:rsidP="007D62B8">
            <w:pPr>
              <w:widowControl w:val="0"/>
              <w:autoSpaceDE w:val="0"/>
              <w:autoSpaceDN w:val="0"/>
              <w:spacing w:after="0" w:line="240" w:lineRule="auto"/>
              <w:ind w:right="-132"/>
              <w:jc w:val="center"/>
              <w:outlineLvl w:val="2"/>
              <w:rPr>
                <w:rFonts w:ascii="Tw Cen MT" w:eastAsia="Times New Roman" w:hAnsi="Tw Cen MT" w:cs="Times New Roman"/>
                <w:bCs/>
                <w:sz w:val="16"/>
                <w:szCs w:val="16"/>
              </w:rPr>
            </w:pPr>
            <w:bookmarkStart w:id="11" w:name="_Toc139619532"/>
            <w:bookmarkStart w:id="12" w:name="_Toc139820416"/>
            <w:r w:rsidRPr="006D7C15">
              <w:rPr>
                <w:rFonts w:ascii="Tw Cen MT" w:eastAsia="Times New Roman" w:hAnsi="Tw Cen MT" w:cs="Times New Roman"/>
                <w:bCs/>
                <w:sz w:val="16"/>
                <w:szCs w:val="16"/>
                <w:lang w:val="id"/>
              </w:rPr>
              <w:t>2.33</w:t>
            </w:r>
            <w:r w:rsidRPr="006D7C15">
              <w:rPr>
                <w:rFonts w:ascii="Tw Cen MT" w:eastAsia="Times New Roman" w:hAnsi="Tw Cen MT" w:cs="Times New Roman"/>
                <w:bCs/>
                <w:sz w:val="16"/>
                <w:szCs w:val="16"/>
              </w:rPr>
              <w:t>(</w:t>
            </w:r>
            <w:r w:rsidRPr="006D7C15">
              <w:rPr>
                <w:rFonts w:ascii="Tw Cen MT" w:eastAsia="Times New Roman" w:hAnsi="Tw Cen MT" w:cs="Times New Roman"/>
                <w:bCs/>
                <w:sz w:val="16"/>
                <w:szCs w:val="16"/>
                <w:lang w:val="id"/>
              </w:rPr>
              <w:t>0.479</w:t>
            </w:r>
            <w:bookmarkStart w:id="13" w:name="_Toc139619533"/>
            <w:bookmarkStart w:id="14" w:name="_Toc139820417"/>
            <w:bookmarkEnd w:id="11"/>
            <w:bookmarkEnd w:id="12"/>
            <w:bookmarkEnd w:id="13"/>
            <w:bookmarkEnd w:id="14"/>
            <w:r w:rsidRPr="006D7C15">
              <w:rPr>
                <w:rFonts w:ascii="Tw Cen MT" w:eastAsia="Times New Roman" w:hAnsi="Tw Cen MT" w:cs="Times New Roman"/>
                <w:bCs/>
                <w:sz w:val="16"/>
                <w:szCs w:val="16"/>
              </w:rPr>
              <w:t>)</w:t>
            </w:r>
          </w:p>
        </w:tc>
        <w:tc>
          <w:tcPr>
            <w:tcW w:w="1068" w:type="dxa"/>
            <w:tcBorders>
              <w:left w:val="nil"/>
              <w:bottom w:val="single" w:sz="4" w:space="0" w:color="auto"/>
              <w:right w:val="nil"/>
            </w:tcBorders>
            <w:vAlign w:val="center"/>
          </w:tcPr>
          <w:p w14:paraId="44D007E7"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rPr>
            </w:pPr>
            <w:bookmarkStart w:id="15" w:name="_Toc139619536"/>
            <w:bookmarkStart w:id="16" w:name="_Toc139820420"/>
            <w:r w:rsidRPr="006D7C15">
              <w:rPr>
                <w:rFonts w:ascii="Tw Cen MT" w:eastAsia="Times New Roman" w:hAnsi="Tw Cen MT" w:cs="Times New Roman"/>
                <w:bCs/>
                <w:sz w:val="16"/>
                <w:szCs w:val="16"/>
                <w:lang w:val="id"/>
              </w:rPr>
              <w:t>3.60</w:t>
            </w:r>
            <w:r w:rsidRPr="006D7C15">
              <w:rPr>
                <w:rFonts w:ascii="Tw Cen MT" w:eastAsia="Times New Roman" w:hAnsi="Tw Cen MT" w:cs="Times New Roman"/>
                <w:bCs/>
                <w:sz w:val="16"/>
                <w:szCs w:val="16"/>
              </w:rPr>
              <w:t>(</w:t>
            </w:r>
            <w:r w:rsidRPr="006D7C15">
              <w:rPr>
                <w:rFonts w:ascii="Tw Cen MT" w:eastAsia="Times New Roman" w:hAnsi="Tw Cen MT" w:cs="Times New Roman"/>
                <w:bCs/>
                <w:sz w:val="16"/>
                <w:szCs w:val="16"/>
                <w:lang w:val="id"/>
              </w:rPr>
              <w:t>0.498</w:t>
            </w:r>
            <w:bookmarkStart w:id="17" w:name="_Toc139619537"/>
            <w:bookmarkStart w:id="18" w:name="_Toc139820421"/>
            <w:bookmarkEnd w:id="15"/>
            <w:bookmarkEnd w:id="16"/>
            <w:bookmarkEnd w:id="17"/>
            <w:bookmarkEnd w:id="18"/>
            <w:r w:rsidRPr="006D7C15">
              <w:rPr>
                <w:rFonts w:ascii="Tw Cen MT" w:eastAsia="Times New Roman" w:hAnsi="Tw Cen MT" w:cs="Times New Roman"/>
                <w:bCs/>
                <w:sz w:val="16"/>
                <w:szCs w:val="16"/>
              </w:rPr>
              <w:t>)</w:t>
            </w:r>
          </w:p>
        </w:tc>
        <w:tc>
          <w:tcPr>
            <w:tcW w:w="1172" w:type="dxa"/>
            <w:tcBorders>
              <w:top w:val="single" w:sz="4" w:space="0" w:color="auto"/>
              <w:left w:val="nil"/>
              <w:bottom w:val="single" w:sz="4" w:space="0" w:color="auto"/>
            </w:tcBorders>
            <w:vAlign w:val="center"/>
          </w:tcPr>
          <w:p w14:paraId="7BCC048D"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vertAlign w:val="superscript"/>
                <w:lang w:val="id"/>
              </w:rPr>
            </w:pPr>
            <w:bookmarkStart w:id="19" w:name="_Toc139619534"/>
            <w:bookmarkStart w:id="20" w:name="_Toc139820418"/>
            <w:r w:rsidRPr="006D7C15">
              <w:rPr>
                <w:rFonts w:ascii="Tw Cen MT" w:eastAsia="Times New Roman" w:hAnsi="Tw Cen MT" w:cs="Times New Roman"/>
                <w:bCs/>
                <w:sz w:val="16"/>
                <w:szCs w:val="16"/>
                <w:lang w:val="id"/>
              </w:rPr>
              <w:t>0.000</w:t>
            </w:r>
            <w:bookmarkEnd w:id="19"/>
            <w:bookmarkEnd w:id="20"/>
          </w:p>
        </w:tc>
      </w:tr>
    </w:tbl>
    <w:p w14:paraId="5663DEB8" w14:textId="77777777" w:rsidR="007D62B8" w:rsidRDefault="007D62B8" w:rsidP="007D62B8">
      <w:pPr>
        <w:tabs>
          <w:tab w:val="left" w:pos="426"/>
        </w:tabs>
        <w:spacing w:after="0" w:line="240" w:lineRule="auto"/>
        <w:jc w:val="both"/>
        <w:rPr>
          <w:rFonts w:ascii="Tw Cen MT" w:eastAsia="Twentieth Century" w:hAnsi="Tw Cen MT" w:cs="Twentieth Century"/>
          <w:sz w:val="20"/>
          <w:szCs w:val="24"/>
        </w:rPr>
      </w:pPr>
      <w:r w:rsidRPr="00DC5031">
        <w:rPr>
          <w:rFonts w:ascii="Tw Cen MT" w:eastAsia="Twentieth Century" w:hAnsi="Tw Cen MT" w:cs="Twentieth Century"/>
          <w:sz w:val="20"/>
          <w:szCs w:val="24"/>
        </w:rPr>
        <w:t>Description: Paired t-test</w:t>
      </w:r>
    </w:p>
    <w:p w14:paraId="50641DFF" w14:textId="77777777" w:rsidR="007D62B8" w:rsidRPr="00E12D8F" w:rsidRDefault="007D62B8" w:rsidP="007D62B8">
      <w:pPr>
        <w:tabs>
          <w:tab w:val="left" w:pos="426"/>
        </w:tabs>
        <w:spacing w:after="0" w:line="240" w:lineRule="auto"/>
        <w:jc w:val="both"/>
        <w:rPr>
          <w:rFonts w:ascii="Tw Cen MT" w:eastAsia="Twentieth Century" w:hAnsi="Tw Cen MT" w:cs="Twentieth Century"/>
          <w:sz w:val="20"/>
          <w:szCs w:val="24"/>
        </w:rPr>
      </w:pPr>
    </w:p>
    <w:p w14:paraId="2BDFA1B8"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Table 2 shows the results of the average uterine contractions during the pretest in the intervention group, namely </w:t>
      </w:r>
      <w:r w:rsidRPr="00461B3B">
        <w:rPr>
          <w:rFonts w:ascii="Tw Cen MT" w:eastAsia="Twentieth Century" w:hAnsi="Tw Cen MT" w:cs="Twentieth Century"/>
          <w:sz w:val="24"/>
          <w:szCs w:val="24"/>
        </w:rPr>
        <w:t>2.33 times in 10 minutes, and the average uterine contractions during the posttest in the intervention group</w:t>
      </w:r>
      <w:r>
        <w:rPr>
          <w:rFonts w:ascii="Tw Cen MT" w:eastAsia="Twentieth Century" w:hAnsi="Tw Cen MT" w:cs="Twentieth Century"/>
          <w:sz w:val="24"/>
          <w:szCs w:val="24"/>
        </w:rPr>
        <w:t xml:space="preserve"> was</w:t>
      </w:r>
      <w:r w:rsidRPr="00461B3B">
        <w:rPr>
          <w:rFonts w:ascii="Tw Cen MT" w:eastAsia="Twentieth Century" w:hAnsi="Tw Cen MT" w:cs="Twentieth Century"/>
          <w:sz w:val="24"/>
          <w:szCs w:val="24"/>
        </w:rPr>
        <w:t xml:space="preserve"> 3.60 times in 10 minutes</w:t>
      </w:r>
      <w:r>
        <w:rPr>
          <w:rFonts w:ascii="Tw Cen MT" w:eastAsia="Twentieth Century" w:hAnsi="Tw Cen MT" w:cs="Twentieth Century"/>
          <w:sz w:val="24"/>
          <w:szCs w:val="24"/>
        </w:rPr>
        <w:t xml:space="preserve">. </w:t>
      </w:r>
      <w:proofErr w:type="gramStart"/>
      <w:r>
        <w:rPr>
          <w:rFonts w:ascii="Tw Cen MT" w:eastAsia="Twentieth Century" w:hAnsi="Tw Cen MT" w:cs="Twentieth Century"/>
          <w:sz w:val="24"/>
          <w:szCs w:val="24"/>
        </w:rPr>
        <w:t>Concerning the mean of pretest and posttest, it</w:t>
      </w:r>
      <w:proofErr w:type="gramEnd"/>
      <w:r>
        <w:rPr>
          <w:rFonts w:ascii="Tw Cen MT" w:eastAsia="Twentieth Century" w:hAnsi="Tw Cen MT" w:cs="Twentieth Century"/>
          <w:sz w:val="24"/>
          <w:szCs w:val="24"/>
        </w:rPr>
        <w:t xml:space="preserve"> shows that uterine contractions increase in the intervention group. </w:t>
      </w:r>
      <w:r w:rsidRPr="00461B3B">
        <w:rPr>
          <w:rFonts w:ascii="Tw Cen MT" w:eastAsia="Twentieth Century" w:hAnsi="Tw Cen MT" w:cs="Twentieth Century"/>
          <w:sz w:val="24"/>
          <w:szCs w:val="24"/>
        </w:rPr>
        <w:t>The paired t-test results o</w:t>
      </w:r>
      <w:r>
        <w:rPr>
          <w:rFonts w:ascii="Tw Cen MT" w:eastAsia="Twentieth Century" w:hAnsi="Tw Cen MT" w:cs="Twentieth Century"/>
          <w:sz w:val="24"/>
          <w:szCs w:val="24"/>
        </w:rPr>
        <w:t>f</w:t>
      </w:r>
      <w:r w:rsidRPr="00461B3B">
        <w:rPr>
          <w:rFonts w:ascii="Tw Cen MT" w:eastAsia="Twentieth Century" w:hAnsi="Tw Cen MT" w:cs="Twentieth Century"/>
          <w:sz w:val="24"/>
          <w:szCs w:val="24"/>
        </w:rPr>
        <w:t xml:space="preserve"> uterine contractions for the intervention group showed significant results, namely a p-value of 0.090 (p-value&gt; 0.05)</w:t>
      </w:r>
      <w:r>
        <w:rPr>
          <w:rFonts w:ascii="Tw Cen MT" w:eastAsia="Twentieth Century" w:hAnsi="Tw Cen MT" w:cs="Twentieth Century"/>
          <w:sz w:val="24"/>
          <w:szCs w:val="24"/>
        </w:rPr>
        <w:t>. It can be concluded that uterine contractions have increased the contractions that were initially inadequate became adequate after the respondents in the intervention group were given dates.</w:t>
      </w:r>
    </w:p>
    <w:p w14:paraId="3D4BE0C4" w14:textId="77777777" w:rsidR="007D62B8" w:rsidRPr="00DC5031" w:rsidRDefault="007D62B8" w:rsidP="007D62B8">
      <w:pPr>
        <w:tabs>
          <w:tab w:val="left" w:pos="426"/>
        </w:tabs>
        <w:spacing w:after="0" w:line="240" w:lineRule="auto"/>
        <w:jc w:val="both"/>
        <w:rPr>
          <w:rFonts w:ascii="Tw Cen MT" w:eastAsia="Twentieth Century" w:hAnsi="Tw Cen MT" w:cs="Twentieth Century"/>
          <w:sz w:val="24"/>
          <w:szCs w:val="24"/>
        </w:rPr>
      </w:pPr>
    </w:p>
    <w:p w14:paraId="22FA9FA3" w14:textId="77777777" w:rsidR="007D62B8" w:rsidRPr="00E12D8F" w:rsidRDefault="007D62B8" w:rsidP="007D62B8">
      <w:pPr>
        <w:tabs>
          <w:tab w:val="left" w:pos="426"/>
        </w:tabs>
        <w:spacing w:after="0" w:line="240" w:lineRule="auto"/>
        <w:jc w:val="center"/>
        <w:rPr>
          <w:rFonts w:ascii="Tw Cen MT" w:eastAsia="Twentieth Century" w:hAnsi="Tw Cen MT" w:cs="Twentieth Century"/>
          <w:sz w:val="20"/>
          <w:szCs w:val="20"/>
        </w:rPr>
      </w:pPr>
      <w:r w:rsidRPr="006D7C15">
        <w:rPr>
          <w:rFonts w:ascii="Tw Cen MT" w:eastAsia="Twentieth Century" w:hAnsi="Tw Cen MT" w:cs="Twentieth Century"/>
          <w:sz w:val="20"/>
          <w:szCs w:val="20"/>
        </w:rPr>
        <w:t>Table 3. Uterine Contractions in the Control Group</w:t>
      </w:r>
    </w:p>
    <w:tbl>
      <w:tblPr>
        <w:tblpPr w:leftFromText="180" w:rightFromText="180" w:vertAnchor="text" w:horzAnchor="margin" w:tblpY="127"/>
        <w:tblW w:w="433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1045"/>
        <w:gridCol w:w="1064"/>
        <w:gridCol w:w="1170"/>
      </w:tblGrid>
      <w:tr w:rsidR="007D62B8" w14:paraId="78A8B626" w14:textId="77777777" w:rsidTr="006F24BD">
        <w:trPr>
          <w:trHeight w:val="297"/>
        </w:trPr>
        <w:tc>
          <w:tcPr>
            <w:tcW w:w="1060" w:type="dxa"/>
            <w:tcBorders>
              <w:top w:val="single" w:sz="4" w:space="0" w:color="auto"/>
              <w:bottom w:val="nil"/>
              <w:right w:val="nil"/>
            </w:tcBorders>
            <w:vAlign w:val="center"/>
          </w:tcPr>
          <w:p w14:paraId="03CB014B"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lang w:val="id"/>
              </w:rPr>
            </w:pPr>
            <w:proofErr w:type="spellStart"/>
            <w:r w:rsidRPr="006D7C15">
              <w:rPr>
                <w:rFonts w:ascii="Tw Cen MT" w:eastAsia="Times New Roman" w:hAnsi="Tw Cen MT" w:cs="Times New Roman"/>
                <w:bCs/>
                <w:sz w:val="16"/>
                <w:szCs w:val="16"/>
                <w:lang w:val="id"/>
              </w:rPr>
              <w:t>Variable</w:t>
            </w:r>
            <w:proofErr w:type="spellEnd"/>
          </w:p>
        </w:tc>
        <w:tc>
          <w:tcPr>
            <w:tcW w:w="2109" w:type="dxa"/>
            <w:gridSpan w:val="2"/>
            <w:tcBorders>
              <w:left w:val="nil"/>
              <w:right w:val="nil"/>
            </w:tcBorders>
            <w:vAlign w:val="center"/>
          </w:tcPr>
          <w:p w14:paraId="1DFD3BE4"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lang w:val="id"/>
              </w:rPr>
            </w:pPr>
            <w:proofErr w:type="spellStart"/>
            <w:r w:rsidRPr="006D7C15">
              <w:rPr>
                <w:rFonts w:ascii="Tw Cen MT" w:eastAsia="Times New Roman" w:hAnsi="Tw Cen MT" w:cs="Times New Roman"/>
                <w:bCs/>
                <w:sz w:val="16"/>
                <w:szCs w:val="16"/>
                <w:lang w:val="id"/>
              </w:rPr>
              <w:t>Control</w:t>
            </w:r>
            <w:proofErr w:type="spellEnd"/>
            <w:r w:rsidRPr="006D7C15">
              <w:rPr>
                <w:rFonts w:ascii="Tw Cen MT" w:eastAsia="Times New Roman" w:hAnsi="Tw Cen MT" w:cs="Times New Roman"/>
                <w:bCs/>
                <w:sz w:val="16"/>
                <w:szCs w:val="16"/>
                <w:lang w:val="id"/>
              </w:rPr>
              <w:t xml:space="preserve"> Group (n=30)</w:t>
            </w:r>
          </w:p>
        </w:tc>
        <w:tc>
          <w:tcPr>
            <w:tcW w:w="1170" w:type="dxa"/>
            <w:vMerge w:val="restart"/>
            <w:tcBorders>
              <w:left w:val="nil"/>
              <w:bottom w:val="nil"/>
            </w:tcBorders>
            <w:vAlign w:val="center"/>
          </w:tcPr>
          <w:p w14:paraId="16EF62A9"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i/>
                <w:sz w:val="16"/>
                <w:szCs w:val="16"/>
                <w:lang w:val="id"/>
              </w:rPr>
            </w:pPr>
            <w:r w:rsidRPr="006D7C15">
              <w:rPr>
                <w:rFonts w:ascii="Tw Cen MT" w:eastAsia="Times New Roman" w:hAnsi="Tw Cen MT" w:cs="Times New Roman"/>
                <w:bCs/>
                <w:i/>
                <w:sz w:val="16"/>
                <w:szCs w:val="16"/>
                <w:lang w:val="id"/>
              </w:rPr>
              <w:t>P-</w:t>
            </w:r>
            <w:proofErr w:type="spellStart"/>
            <w:r w:rsidRPr="006D7C15">
              <w:rPr>
                <w:rFonts w:ascii="Tw Cen MT" w:eastAsia="Times New Roman" w:hAnsi="Tw Cen MT" w:cs="Times New Roman"/>
                <w:bCs/>
                <w:i/>
                <w:sz w:val="16"/>
                <w:szCs w:val="16"/>
                <w:lang w:val="id"/>
              </w:rPr>
              <w:t>Value</w:t>
            </w:r>
            <w:proofErr w:type="spellEnd"/>
          </w:p>
        </w:tc>
      </w:tr>
      <w:tr w:rsidR="007D62B8" w14:paraId="247FEB2E" w14:textId="77777777" w:rsidTr="006F24BD">
        <w:trPr>
          <w:trHeight w:val="135"/>
        </w:trPr>
        <w:tc>
          <w:tcPr>
            <w:tcW w:w="1060" w:type="dxa"/>
            <w:tcBorders>
              <w:top w:val="nil"/>
              <w:bottom w:val="nil"/>
              <w:right w:val="nil"/>
            </w:tcBorders>
            <w:vAlign w:val="center"/>
          </w:tcPr>
          <w:p w14:paraId="7B60B7F4"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lang w:val="id"/>
              </w:rPr>
            </w:pPr>
          </w:p>
        </w:tc>
        <w:tc>
          <w:tcPr>
            <w:tcW w:w="1045" w:type="dxa"/>
            <w:tcBorders>
              <w:top w:val="nil"/>
              <w:left w:val="nil"/>
              <w:right w:val="nil"/>
            </w:tcBorders>
            <w:vAlign w:val="center"/>
          </w:tcPr>
          <w:p w14:paraId="487DF810"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i/>
                <w:sz w:val="16"/>
                <w:szCs w:val="16"/>
                <w:lang w:val="id"/>
              </w:rPr>
            </w:pPr>
            <w:proofErr w:type="spellStart"/>
            <w:r w:rsidRPr="006D7C15">
              <w:rPr>
                <w:rFonts w:ascii="Tw Cen MT" w:eastAsia="Times New Roman" w:hAnsi="Tw Cen MT" w:cs="Times New Roman"/>
                <w:bCs/>
                <w:i/>
                <w:sz w:val="16"/>
                <w:szCs w:val="16"/>
                <w:lang w:val="id"/>
              </w:rPr>
              <w:t>Pretest</w:t>
            </w:r>
            <w:proofErr w:type="spellEnd"/>
          </w:p>
        </w:tc>
        <w:tc>
          <w:tcPr>
            <w:tcW w:w="1064" w:type="dxa"/>
            <w:tcBorders>
              <w:top w:val="nil"/>
              <w:left w:val="nil"/>
              <w:right w:val="nil"/>
            </w:tcBorders>
            <w:vAlign w:val="center"/>
          </w:tcPr>
          <w:p w14:paraId="23A2515C"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i/>
                <w:sz w:val="16"/>
                <w:szCs w:val="16"/>
                <w:lang w:val="id"/>
              </w:rPr>
            </w:pPr>
            <w:proofErr w:type="spellStart"/>
            <w:r w:rsidRPr="006D7C15">
              <w:rPr>
                <w:rFonts w:ascii="Tw Cen MT" w:eastAsia="Times New Roman" w:hAnsi="Tw Cen MT" w:cs="Times New Roman"/>
                <w:bCs/>
                <w:i/>
                <w:sz w:val="16"/>
                <w:szCs w:val="16"/>
                <w:lang w:val="id"/>
              </w:rPr>
              <w:t>Posttest</w:t>
            </w:r>
            <w:proofErr w:type="spellEnd"/>
          </w:p>
        </w:tc>
        <w:tc>
          <w:tcPr>
            <w:tcW w:w="1170" w:type="dxa"/>
            <w:vMerge/>
            <w:tcBorders>
              <w:top w:val="nil"/>
              <w:left w:val="nil"/>
              <w:bottom w:val="nil"/>
            </w:tcBorders>
            <w:vAlign w:val="center"/>
          </w:tcPr>
          <w:p w14:paraId="2517FE35"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lang w:val="id"/>
              </w:rPr>
            </w:pPr>
          </w:p>
        </w:tc>
      </w:tr>
      <w:tr w:rsidR="007D62B8" w14:paraId="50A92990" w14:textId="77777777" w:rsidTr="006F24BD">
        <w:trPr>
          <w:trHeight w:val="126"/>
        </w:trPr>
        <w:tc>
          <w:tcPr>
            <w:tcW w:w="1060" w:type="dxa"/>
            <w:tcBorders>
              <w:top w:val="nil"/>
              <w:bottom w:val="single" w:sz="4" w:space="0" w:color="auto"/>
              <w:right w:val="nil"/>
            </w:tcBorders>
            <w:vAlign w:val="center"/>
          </w:tcPr>
          <w:p w14:paraId="5A6E18D4" w14:textId="77777777" w:rsidR="007D62B8" w:rsidRPr="006D7C15" w:rsidRDefault="007D62B8" w:rsidP="007D62B8">
            <w:pPr>
              <w:widowControl w:val="0"/>
              <w:tabs>
                <w:tab w:val="left" w:pos="2109"/>
              </w:tabs>
              <w:autoSpaceDE w:val="0"/>
              <w:autoSpaceDN w:val="0"/>
              <w:spacing w:after="0" w:line="240" w:lineRule="auto"/>
              <w:ind w:right="3"/>
              <w:jc w:val="both"/>
              <w:outlineLvl w:val="2"/>
              <w:rPr>
                <w:rFonts w:ascii="Tw Cen MT" w:eastAsia="Times New Roman" w:hAnsi="Tw Cen MT" w:cs="Times New Roman"/>
                <w:bCs/>
                <w:sz w:val="16"/>
                <w:szCs w:val="16"/>
                <w:lang w:val="id"/>
              </w:rPr>
            </w:pPr>
          </w:p>
        </w:tc>
        <w:tc>
          <w:tcPr>
            <w:tcW w:w="1045" w:type="dxa"/>
            <w:tcBorders>
              <w:left w:val="nil"/>
              <w:right w:val="nil"/>
            </w:tcBorders>
            <w:vAlign w:val="center"/>
          </w:tcPr>
          <w:p w14:paraId="4CBB640B"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rPr>
            </w:pPr>
            <w:proofErr w:type="spellStart"/>
            <w:r w:rsidRPr="006D7C15">
              <w:rPr>
                <w:rFonts w:ascii="Tw Cen MT" w:eastAsia="Times New Roman" w:hAnsi="Tw Cen MT" w:cs="Times New Roman"/>
                <w:bCs/>
                <w:sz w:val="16"/>
                <w:szCs w:val="16"/>
                <w:lang w:val="id"/>
              </w:rPr>
              <w:t>Mean</w:t>
            </w:r>
            <w:proofErr w:type="spellEnd"/>
            <w:r w:rsidRPr="006D7C15">
              <w:rPr>
                <w:rFonts w:ascii="Tw Cen MT" w:eastAsia="Times New Roman" w:hAnsi="Tw Cen MT" w:cs="Times New Roman"/>
                <w:bCs/>
                <w:sz w:val="16"/>
                <w:szCs w:val="16"/>
              </w:rPr>
              <w:t>(</w:t>
            </w:r>
            <w:r w:rsidRPr="006D7C15">
              <w:rPr>
                <w:rFonts w:ascii="Tw Cen MT" w:eastAsia="Times New Roman" w:hAnsi="Tw Cen MT" w:cs="Times New Roman"/>
                <w:bCs/>
                <w:sz w:val="16"/>
                <w:szCs w:val="16"/>
                <w:lang w:val="id"/>
              </w:rPr>
              <w:t>SD</w:t>
            </w:r>
            <w:r w:rsidRPr="006D7C15">
              <w:rPr>
                <w:rFonts w:ascii="Tw Cen MT" w:eastAsia="Times New Roman" w:hAnsi="Tw Cen MT" w:cs="Times New Roman"/>
                <w:bCs/>
                <w:sz w:val="16"/>
                <w:szCs w:val="16"/>
              </w:rPr>
              <w:t>)</w:t>
            </w:r>
          </w:p>
        </w:tc>
        <w:tc>
          <w:tcPr>
            <w:tcW w:w="1064" w:type="dxa"/>
            <w:tcBorders>
              <w:left w:val="nil"/>
              <w:right w:val="nil"/>
            </w:tcBorders>
            <w:vAlign w:val="center"/>
          </w:tcPr>
          <w:p w14:paraId="4BF9CA78"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rPr>
            </w:pPr>
            <w:proofErr w:type="spellStart"/>
            <w:r w:rsidRPr="006D7C15">
              <w:rPr>
                <w:rFonts w:ascii="Tw Cen MT" w:eastAsia="Times New Roman" w:hAnsi="Tw Cen MT" w:cs="Times New Roman"/>
                <w:bCs/>
                <w:sz w:val="16"/>
                <w:szCs w:val="16"/>
                <w:lang w:val="id"/>
              </w:rPr>
              <w:t>Mean</w:t>
            </w:r>
            <w:proofErr w:type="spellEnd"/>
            <w:r w:rsidRPr="006D7C15">
              <w:rPr>
                <w:rFonts w:ascii="Tw Cen MT" w:eastAsia="Times New Roman" w:hAnsi="Tw Cen MT" w:cs="Times New Roman"/>
                <w:bCs/>
                <w:sz w:val="16"/>
                <w:szCs w:val="16"/>
                <w:lang w:val="id"/>
              </w:rPr>
              <w:t xml:space="preserve"> </w:t>
            </w:r>
            <w:r w:rsidRPr="006D7C15">
              <w:rPr>
                <w:rFonts w:ascii="Tw Cen MT" w:eastAsia="Times New Roman" w:hAnsi="Tw Cen MT" w:cs="Times New Roman"/>
                <w:bCs/>
                <w:sz w:val="16"/>
                <w:szCs w:val="16"/>
              </w:rPr>
              <w:t>(</w:t>
            </w:r>
            <w:r w:rsidRPr="006D7C15">
              <w:rPr>
                <w:rFonts w:ascii="Tw Cen MT" w:eastAsia="Times New Roman" w:hAnsi="Tw Cen MT" w:cs="Times New Roman"/>
                <w:bCs/>
                <w:sz w:val="16"/>
                <w:szCs w:val="16"/>
                <w:lang w:val="id"/>
              </w:rPr>
              <w:t>SD</w:t>
            </w:r>
            <w:r w:rsidRPr="006D7C15">
              <w:rPr>
                <w:rFonts w:ascii="Tw Cen MT" w:eastAsia="Times New Roman" w:hAnsi="Tw Cen MT" w:cs="Times New Roman"/>
                <w:bCs/>
                <w:sz w:val="16"/>
                <w:szCs w:val="16"/>
              </w:rPr>
              <w:t>)</w:t>
            </w:r>
          </w:p>
        </w:tc>
        <w:tc>
          <w:tcPr>
            <w:tcW w:w="1170" w:type="dxa"/>
            <w:tcBorders>
              <w:top w:val="nil"/>
              <w:left w:val="nil"/>
              <w:bottom w:val="single" w:sz="4" w:space="0" w:color="auto"/>
            </w:tcBorders>
            <w:vAlign w:val="center"/>
          </w:tcPr>
          <w:p w14:paraId="48D93A94"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lang w:val="id"/>
              </w:rPr>
            </w:pPr>
          </w:p>
        </w:tc>
      </w:tr>
      <w:tr w:rsidR="007D62B8" w14:paraId="38262893" w14:textId="77777777" w:rsidTr="006F24BD">
        <w:trPr>
          <w:trHeight w:val="444"/>
        </w:trPr>
        <w:tc>
          <w:tcPr>
            <w:tcW w:w="1060" w:type="dxa"/>
            <w:tcBorders>
              <w:top w:val="single" w:sz="4" w:space="0" w:color="auto"/>
              <w:bottom w:val="single" w:sz="4" w:space="0" w:color="auto"/>
              <w:right w:val="nil"/>
            </w:tcBorders>
            <w:vAlign w:val="center"/>
          </w:tcPr>
          <w:p w14:paraId="04AC6570" w14:textId="77777777" w:rsidR="007D62B8" w:rsidRPr="006D7C15" w:rsidRDefault="007D62B8" w:rsidP="007D62B8">
            <w:pPr>
              <w:widowControl w:val="0"/>
              <w:tabs>
                <w:tab w:val="left" w:pos="2109"/>
              </w:tabs>
              <w:autoSpaceDE w:val="0"/>
              <w:autoSpaceDN w:val="0"/>
              <w:spacing w:after="0" w:line="240" w:lineRule="auto"/>
              <w:ind w:right="-41"/>
              <w:jc w:val="center"/>
              <w:outlineLvl w:val="2"/>
              <w:rPr>
                <w:rFonts w:ascii="Tw Cen MT" w:eastAsia="Times New Roman" w:hAnsi="Tw Cen MT" w:cs="Times New Roman"/>
                <w:bCs/>
                <w:sz w:val="16"/>
                <w:szCs w:val="16"/>
                <w:lang w:val="id"/>
              </w:rPr>
            </w:pPr>
            <w:proofErr w:type="spellStart"/>
            <w:r w:rsidRPr="006D7C15">
              <w:rPr>
                <w:rFonts w:ascii="Tw Cen MT" w:eastAsia="Times New Roman" w:hAnsi="Tw Cen MT" w:cs="Times New Roman"/>
                <w:bCs/>
                <w:sz w:val="16"/>
                <w:szCs w:val="16"/>
                <w:lang w:val="id"/>
              </w:rPr>
              <w:t>Uterine</w:t>
            </w:r>
            <w:proofErr w:type="spellEnd"/>
            <w:r w:rsidRPr="006D7C15">
              <w:rPr>
                <w:rFonts w:ascii="Tw Cen MT" w:eastAsia="Times New Roman" w:hAnsi="Tw Cen MT" w:cs="Times New Roman"/>
                <w:bCs/>
                <w:sz w:val="16"/>
                <w:szCs w:val="16"/>
                <w:lang w:val="id"/>
              </w:rPr>
              <w:t xml:space="preserve"> </w:t>
            </w:r>
            <w:proofErr w:type="spellStart"/>
            <w:r w:rsidRPr="006D7C15">
              <w:rPr>
                <w:rFonts w:ascii="Tw Cen MT" w:eastAsia="Times New Roman" w:hAnsi="Tw Cen MT" w:cs="Times New Roman"/>
                <w:bCs/>
                <w:sz w:val="16"/>
                <w:szCs w:val="16"/>
                <w:lang w:val="id"/>
              </w:rPr>
              <w:t>Contraction</w:t>
            </w:r>
            <w:proofErr w:type="spellEnd"/>
          </w:p>
        </w:tc>
        <w:tc>
          <w:tcPr>
            <w:tcW w:w="1045" w:type="dxa"/>
            <w:tcBorders>
              <w:left w:val="nil"/>
              <w:bottom w:val="single" w:sz="4" w:space="0" w:color="auto"/>
              <w:right w:val="nil"/>
            </w:tcBorders>
            <w:vAlign w:val="center"/>
          </w:tcPr>
          <w:p w14:paraId="64BC3148" w14:textId="77777777" w:rsidR="007D62B8" w:rsidRPr="006D7C15" w:rsidRDefault="007D62B8" w:rsidP="007D62B8">
            <w:pPr>
              <w:widowControl w:val="0"/>
              <w:autoSpaceDE w:val="0"/>
              <w:autoSpaceDN w:val="0"/>
              <w:spacing w:after="0" w:line="240" w:lineRule="auto"/>
              <w:ind w:right="-132"/>
              <w:jc w:val="center"/>
              <w:outlineLvl w:val="2"/>
              <w:rPr>
                <w:rFonts w:ascii="Tw Cen MT" w:eastAsia="Times New Roman" w:hAnsi="Tw Cen MT" w:cs="Times New Roman"/>
                <w:bCs/>
                <w:sz w:val="16"/>
                <w:szCs w:val="16"/>
              </w:rPr>
            </w:pPr>
            <w:r w:rsidRPr="006D7C15">
              <w:rPr>
                <w:rFonts w:ascii="Tw Cen MT" w:eastAsia="Times New Roman" w:hAnsi="Tw Cen MT" w:cs="Times New Roman"/>
                <w:bCs/>
                <w:sz w:val="16"/>
                <w:szCs w:val="16"/>
                <w:lang w:val="id"/>
              </w:rPr>
              <w:t>2.10</w:t>
            </w:r>
            <w:r w:rsidRPr="006D7C15">
              <w:rPr>
                <w:rFonts w:ascii="Tw Cen MT" w:eastAsia="Times New Roman" w:hAnsi="Tw Cen MT" w:cs="Times New Roman"/>
                <w:bCs/>
                <w:sz w:val="16"/>
                <w:szCs w:val="16"/>
              </w:rPr>
              <w:t>(</w:t>
            </w:r>
            <w:r w:rsidRPr="006D7C15">
              <w:rPr>
                <w:rFonts w:ascii="Tw Cen MT" w:eastAsia="Times New Roman" w:hAnsi="Tw Cen MT" w:cs="Times New Roman"/>
                <w:bCs/>
                <w:sz w:val="16"/>
                <w:szCs w:val="16"/>
                <w:lang w:val="id"/>
              </w:rPr>
              <w:t>0.662</w:t>
            </w:r>
            <w:r w:rsidRPr="006D7C15">
              <w:rPr>
                <w:rFonts w:ascii="Tw Cen MT" w:eastAsia="Times New Roman" w:hAnsi="Tw Cen MT" w:cs="Times New Roman"/>
                <w:bCs/>
                <w:sz w:val="16"/>
                <w:szCs w:val="16"/>
              </w:rPr>
              <w:t>)</w:t>
            </w:r>
          </w:p>
        </w:tc>
        <w:tc>
          <w:tcPr>
            <w:tcW w:w="1064" w:type="dxa"/>
            <w:tcBorders>
              <w:left w:val="nil"/>
              <w:bottom w:val="single" w:sz="4" w:space="0" w:color="auto"/>
              <w:right w:val="nil"/>
            </w:tcBorders>
            <w:vAlign w:val="center"/>
          </w:tcPr>
          <w:p w14:paraId="22BB8ED2"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rPr>
            </w:pPr>
            <w:r w:rsidRPr="006D7C15">
              <w:rPr>
                <w:rFonts w:ascii="Tw Cen MT" w:eastAsia="Times New Roman" w:hAnsi="Tw Cen MT" w:cs="Times New Roman"/>
                <w:bCs/>
                <w:sz w:val="16"/>
                <w:szCs w:val="16"/>
                <w:lang w:val="id"/>
              </w:rPr>
              <w:t>2.33</w:t>
            </w:r>
            <w:r w:rsidRPr="006D7C15">
              <w:rPr>
                <w:rFonts w:ascii="Tw Cen MT" w:eastAsia="Times New Roman" w:hAnsi="Tw Cen MT" w:cs="Times New Roman"/>
                <w:bCs/>
                <w:sz w:val="16"/>
                <w:szCs w:val="16"/>
              </w:rPr>
              <w:t>(</w:t>
            </w:r>
            <w:r w:rsidRPr="006D7C15">
              <w:rPr>
                <w:rFonts w:ascii="Tw Cen MT" w:eastAsia="Times New Roman" w:hAnsi="Tw Cen MT" w:cs="Times New Roman"/>
                <w:bCs/>
                <w:sz w:val="16"/>
                <w:szCs w:val="16"/>
                <w:lang w:val="id"/>
              </w:rPr>
              <w:t>0.479</w:t>
            </w:r>
            <w:r w:rsidRPr="006D7C15">
              <w:rPr>
                <w:rFonts w:ascii="Tw Cen MT" w:eastAsia="Times New Roman" w:hAnsi="Tw Cen MT" w:cs="Times New Roman"/>
                <w:bCs/>
                <w:sz w:val="16"/>
                <w:szCs w:val="16"/>
              </w:rPr>
              <w:t>)</w:t>
            </w:r>
          </w:p>
        </w:tc>
        <w:tc>
          <w:tcPr>
            <w:tcW w:w="1170" w:type="dxa"/>
            <w:tcBorders>
              <w:top w:val="single" w:sz="4" w:space="0" w:color="auto"/>
              <w:left w:val="nil"/>
              <w:bottom w:val="single" w:sz="4" w:space="0" w:color="auto"/>
            </w:tcBorders>
            <w:vAlign w:val="center"/>
          </w:tcPr>
          <w:p w14:paraId="1062C4D7" w14:textId="77777777" w:rsidR="007D62B8" w:rsidRPr="006D7C15" w:rsidRDefault="007D62B8" w:rsidP="007D62B8">
            <w:pPr>
              <w:widowControl w:val="0"/>
              <w:autoSpaceDE w:val="0"/>
              <w:autoSpaceDN w:val="0"/>
              <w:spacing w:after="0" w:line="240" w:lineRule="auto"/>
              <w:ind w:right="3"/>
              <w:jc w:val="center"/>
              <w:outlineLvl w:val="2"/>
              <w:rPr>
                <w:rFonts w:ascii="Tw Cen MT" w:eastAsia="Times New Roman" w:hAnsi="Tw Cen MT" w:cs="Times New Roman"/>
                <w:bCs/>
                <w:sz w:val="16"/>
                <w:szCs w:val="16"/>
                <w:vertAlign w:val="superscript"/>
                <w:lang w:val="id"/>
              </w:rPr>
            </w:pPr>
            <w:r w:rsidRPr="006D7C15">
              <w:rPr>
                <w:rFonts w:ascii="Tw Cen MT" w:eastAsia="Times New Roman" w:hAnsi="Tw Cen MT" w:cs="Times New Roman"/>
                <w:bCs/>
                <w:sz w:val="16"/>
                <w:szCs w:val="16"/>
                <w:lang w:val="id"/>
              </w:rPr>
              <w:t>0.090</w:t>
            </w:r>
          </w:p>
        </w:tc>
      </w:tr>
    </w:tbl>
    <w:p w14:paraId="2AEF5949"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6D7C15">
        <w:rPr>
          <w:rFonts w:ascii="Tw Cen MT" w:eastAsia="Twentieth Century" w:hAnsi="Tw Cen MT" w:cs="Twentieth Century"/>
          <w:sz w:val="20"/>
          <w:szCs w:val="24"/>
        </w:rPr>
        <w:t>Description: Paired t-test</w:t>
      </w:r>
    </w:p>
    <w:p w14:paraId="3B40FCBE"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p>
    <w:p w14:paraId="1EADFEA0" w14:textId="3E660E8A" w:rsidR="007D62B8" w:rsidRPr="00DC5031" w:rsidRDefault="007D62B8" w:rsidP="007D62B8">
      <w:pPr>
        <w:tabs>
          <w:tab w:val="left" w:pos="426"/>
        </w:tabs>
        <w:spacing w:after="0" w:line="240" w:lineRule="auto"/>
        <w:jc w:val="both"/>
        <w:rPr>
          <w:rFonts w:ascii="Tw Cen MT" w:eastAsia="Twentieth Century" w:hAnsi="Tw Cen MT" w:cs="Twentieth Century"/>
          <w:sz w:val="24"/>
          <w:szCs w:val="24"/>
        </w:rPr>
      </w:pPr>
      <w:r w:rsidRPr="00DC5031">
        <w:rPr>
          <w:rFonts w:ascii="Tw Cen MT" w:eastAsia="Twentieth Century" w:hAnsi="Tw Cen MT" w:cs="Twentieth Century"/>
          <w:sz w:val="24"/>
          <w:szCs w:val="24"/>
        </w:rPr>
        <w:t xml:space="preserve">Table </w:t>
      </w:r>
      <w:r>
        <w:rPr>
          <w:rFonts w:ascii="Tw Cen MT" w:eastAsia="Twentieth Century" w:hAnsi="Tw Cen MT" w:cs="Twentieth Century"/>
          <w:sz w:val="24"/>
          <w:szCs w:val="24"/>
        </w:rPr>
        <w:t>3</w:t>
      </w:r>
      <w:r w:rsidRPr="00DC5031">
        <w:rPr>
          <w:rFonts w:ascii="Tw Cen MT" w:eastAsia="Twentieth Century" w:hAnsi="Tw Cen MT" w:cs="Twentieth Century"/>
          <w:sz w:val="24"/>
          <w:szCs w:val="24"/>
        </w:rPr>
        <w:t xml:space="preserve"> shows the results of the average uterine contractions during the pretest in the </w:t>
      </w:r>
      <w:r>
        <w:rPr>
          <w:rFonts w:ascii="Tw Cen MT" w:eastAsia="Twentieth Century" w:hAnsi="Tw Cen MT" w:cs="Twentieth Century"/>
          <w:sz w:val="24"/>
          <w:szCs w:val="24"/>
        </w:rPr>
        <w:t>control</w:t>
      </w:r>
      <w:r w:rsidRPr="00DC5031">
        <w:rPr>
          <w:rFonts w:ascii="Tw Cen MT" w:eastAsia="Twentieth Century" w:hAnsi="Tw Cen MT" w:cs="Twentieth Century"/>
          <w:sz w:val="24"/>
          <w:szCs w:val="24"/>
        </w:rPr>
        <w:t xml:space="preserve"> group</w:t>
      </w:r>
      <w:r>
        <w:rPr>
          <w:rFonts w:ascii="Tw Cen MT" w:eastAsia="Twentieth Century" w:hAnsi="Tw Cen MT" w:cs="Twentieth Century"/>
          <w:sz w:val="24"/>
          <w:szCs w:val="24"/>
        </w:rPr>
        <w:t xml:space="preserve"> was</w:t>
      </w:r>
      <w:r w:rsidRPr="00DC5031">
        <w:rPr>
          <w:rFonts w:ascii="Tw Cen MT" w:eastAsia="Twentieth Century" w:hAnsi="Tw Cen MT" w:cs="Twentieth Century"/>
          <w:sz w:val="24"/>
          <w:szCs w:val="24"/>
        </w:rPr>
        <w:t xml:space="preserve"> 2.10 times in 10 minutes and the average uterine contractions during the posttest in the </w:t>
      </w:r>
      <w:r>
        <w:rPr>
          <w:rFonts w:ascii="Tw Cen MT" w:eastAsia="Twentieth Century" w:hAnsi="Tw Cen MT" w:cs="Twentieth Century"/>
          <w:sz w:val="24"/>
          <w:szCs w:val="24"/>
        </w:rPr>
        <w:t>control</w:t>
      </w:r>
      <w:r w:rsidRPr="00DC5031">
        <w:rPr>
          <w:rFonts w:ascii="Tw Cen MT" w:eastAsia="Twentieth Century" w:hAnsi="Tw Cen MT" w:cs="Twentieth Century"/>
          <w:sz w:val="24"/>
          <w:szCs w:val="24"/>
        </w:rPr>
        <w:t xml:space="preserve"> group</w:t>
      </w:r>
      <w:r>
        <w:rPr>
          <w:rFonts w:ascii="Tw Cen MT" w:eastAsia="Twentieth Century" w:hAnsi="Tw Cen MT" w:cs="Twentieth Century"/>
          <w:sz w:val="24"/>
          <w:szCs w:val="24"/>
        </w:rPr>
        <w:t xml:space="preserve"> was </w:t>
      </w:r>
      <w:r w:rsidRPr="00DC5031">
        <w:rPr>
          <w:rFonts w:ascii="Tw Cen MT" w:eastAsia="Twentieth Century" w:hAnsi="Tw Cen MT" w:cs="Twentieth Century"/>
          <w:sz w:val="24"/>
          <w:szCs w:val="24"/>
        </w:rPr>
        <w:t xml:space="preserve">2.33 times in 10 minutes. Looking at the pretest and posttest means, it showed that there was an increase in uterine contractions, </w:t>
      </w:r>
      <w:r>
        <w:rPr>
          <w:rFonts w:ascii="Tw Cen MT" w:eastAsia="Twentieth Century" w:hAnsi="Tw Cen MT" w:cs="Twentieth Century"/>
          <w:sz w:val="24"/>
          <w:szCs w:val="24"/>
        </w:rPr>
        <w:t>yet</w:t>
      </w:r>
      <w:r w:rsidRPr="00DC5031">
        <w:rPr>
          <w:rFonts w:ascii="Tw Cen MT" w:eastAsia="Twentieth Century" w:hAnsi="Tw Cen MT" w:cs="Twentieth Century"/>
          <w:sz w:val="24"/>
          <w:szCs w:val="24"/>
        </w:rPr>
        <w:t xml:space="preserve"> not significantly in the intervention group. The results of the paired t-test on uterine contractions for the </w:t>
      </w:r>
      <w:r>
        <w:rPr>
          <w:rFonts w:ascii="Tw Cen MT" w:eastAsia="Twentieth Century" w:hAnsi="Tw Cen MT" w:cs="Twentieth Century"/>
          <w:sz w:val="24"/>
          <w:szCs w:val="24"/>
        </w:rPr>
        <w:t>control</w:t>
      </w:r>
      <w:r w:rsidRPr="00DC5031">
        <w:rPr>
          <w:rFonts w:ascii="Tw Cen MT" w:eastAsia="Twentieth Century" w:hAnsi="Tw Cen MT" w:cs="Twentieth Century"/>
          <w:sz w:val="24"/>
          <w:szCs w:val="24"/>
        </w:rPr>
        <w:t xml:space="preserve"> group showed significant results, namely a p-value of 0.090 (p-value&gt; 0.05). It can be concluded that uterine contractions have increased but not significantly in the control group</w:t>
      </w:r>
      <w:r>
        <w:rPr>
          <w:rFonts w:ascii="Tw Cen MT" w:eastAsia="Twentieth Century" w:hAnsi="Tw Cen MT" w:cs="Twentieth Century"/>
          <w:sz w:val="24"/>
          <w:szCs w:val="24"/>
        </w:rPr>
        <w:t>.</w:t>
      </w:r>
    </w:p>
    <w:p w14:paraId="77584054" w14:textId="5F56343F" w:rsidR="007D62B8" w:rsidRDefault="007D62B8" w:rsidP="007D62B8">
      <w:pPr>
        <w:tabs>
          <w:tab w:val="left" w:pos="426"/>
        </w:tabs>
        <w:spacing w:after="0" w:line="240" w:lineRule="auto"/>
        <w:jc w:val="center"/>
        <w:rPr>
          <w:rFonts w:ascii="Tw Cen MT" w:eastAsia="Twentieth Century" w:hAnsi="Tw Cen MT" w:cs="Twentieth Century"/>
          <w:sz w:val="20"/>
          <w:szCs w:val="20"/>
        </w:rPr>
      </w:pPr>
      <w:r w:rsidRPr="006D7C15">
        <w:rPr>
          <w:rFonts w:ascii="Tw Cen MT" w:eastAsia="Twentieth Century" w:hAnsi="Tw Cen MT" w:cs="Twentieth Century"/>
          <w:sz w:val="20"/>
          <w:szCs w:val="20"/>
        </w:rPr>
        <w:t xml:space="preserve"> Table 4. Differences of Uterine Contractions in Both Groups After Consuming Dates (</w:t>
      </w:r>
      <w:r w:rsidRPr="006D7C15">
        <w:rPr>
          <w:rFonts w:ascii="Tw Cen MT" w:eastAsia="Twentieth Century" w:hAnsi="Tw Cen MT" w:cs="Twentieth Century"/>
          <w:i/>
          <w:iCs/>
          <w:sz w:val="20"/>
          <w:szCs w:val="20"/>
        </w:rPr>
        <w:t>Phoenix Dactylifera</w:t>
      </w:r>
      <w:r w:rsidRPr="006D7C15">
        <w:rPr>
          <w:rFonts w:ascii="Tw Cen MT" w:eastAsia="Twentieth Century" w:hAnsi="Tw Cen MT" w:cs="Twentieth Century"/>
          <w:sz w:val="20"/>
          <w:szCs w:val="20"/>
        </w:rPr>
        <w:t>)</w:t>
      </w:r>
    </w:p>
    <w:tbl>
      <w:tblPr>
        <w:tblStyle w:val="TableGrid2"/>
        <w:tblpPr w:leftFromText="180" w:rightFromText="180" w:vertAnchor="page" w:horzAnchor="margin" w:tblpXSpec="right" w:tblpY="2941"/>
        <w:tblW w:w="4292" w:type="dxa"/>
        <w:tblLook w:val="04A0" w:firstRow="1" w:lastRow="0" w:firstColumn="1" w:lastColumn="0" w:noHBand="0" w:noVBand="1"/>
      </w:tblPr>
      <w:tblGrid>
        <w:gridCol w:w="938"/>
        <w:gridCol w:w="631"/>
        <w:gridCol w:w="605"/>
        <w:gridCol w:w="277"/>
        <w:gridCol w:w="631"/>
        <w:gridCol w:w="605"/>
        <w:gridCol w:w="605"/>
      </w:tblGrid>
      <w:tr w:rsidR="007D62B8" w14:paraId="07E63DB4" w14:textId="77777777" w:rsidTr="007D62B8">
        <w:trPr>
          <w:trHeight w:val="210"/>
        </w:trPr>
        <w:tc>
          <w:tcPr>
            <w:tcW w:w="938" w:type="dxa"/>
            <w:tcBorders>
              <w:left w:val="nil"/>
              <w:bottom w:val="nil"/>
              <w:right w:val="nil"/>
            </w:tcBorders>
          </w:tcPr>
          <w:p w14:paraId="66386AB6" w14:textId="77777777" w:rsidR="007D62B8" w:rsidRPr="00887570" w:rsidRDefault="007D62B8" w:rsidP="007D62B8">
            <w:pPr>
              <w:spacing w:after="0" w:line="240" w:lineRule="auto"/>
              <w:jc w:val="center"/>
              <w:rPr>
                <w:rFonts w:ascii="Tw Cen MT" w:eastAsia="Times New Roman" w:hAnsi="Tw Cen MT"/>
                <w:sz w:val="16"/>
                <w:szCs w:val="16"/>
                <w:lang w:val="id"/>
              </w:rPr>
            </w:pPr>
          </w:p>
        </w:tc>
        <w:tc>
          <w:tcPr>
            <w:tcW w:w="1236" w:type="dxa"/>
            <w:gridSpan w:val="2"/>
            <w:tcBorders>
              <w:left w:val="nil"/>
              <w:bottom w:val="single" w:sz="4" w:space="0" w:color="auto"/>
              <w:right w:val="nil"/>
            </w:tcBorders>
          </w:tcPr>
          <w:p w14:paraId="1D62A40E"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(n=30)</w:t>
            </w:r>
          </w:p>
          <w:p w14:paraId="6C3C820D" w14:textId="77777777" w:rsidR="007D62B8" w:rsidRPr="006D7C15" w:rsidRDefault="007D62B8" w:rsidP="007D62B8">
            <w:pPr>
              <w:spacing w:after="0" w:line="240" w:lineRule="auto"/>
              <w:jc w:val="center"/>
              <w:rPr>
                <w:rFonts w:ascii="Tw Cen MT" w:eastAsia="Times New Roman" w:hAnsi="Tw Cen MT"/>
                <w:sz w:val="16"/>
                <w:szCs w:val="16"/>
                <w:lang w:val="id"/>
              </w:rPr>
            </w:pPr>
            <w:proofErr w:type="spellStart"/>
            <w:r w:rsidRPr="006D7C15">
              <w:rPr>
                <w:rFonts w:ascii="Tw Cen MT" w:eastAsia="Times New Roman" w:hAnsi="Tw Cen MT"/>
                <w:sz w:val="16"/>
                <w:szCs w:val="16"/>
                <w:lang w:val="id"/>
              </w:rPr>
              <w:t>Intervention</w:t>
            </w:r>
            <w:proofErr w:type="spellEnd"/>
            <w:r w:rsidRPr="006D7C15">
              <w:rPr>
                <w:rFonts w:ascii="Tw Cen MT" w:eastAsia="Times New Roman" w:hAnsi="Tw Cen MT"/>
                <w:sz w:val="16"/>
                <w:szCs w:val="16"/>
                <w:lang w:val="id"/>
              </w:rPr>
              <w:t xml:space="preserve"> Group</w:t>
            </w:r>
          </w:p>
        </w:tc>
        <w:tc>
          <w:tcPr>
            <w:tcW w:w="277" w:type="dxa"/>
            <w:vMerge w:val="restart"/>
            <w:tcBorders>
              <w:left w:val="nil"/>
              <w:right w:val="nil"/>
            </w:tcBorders>
          </w:tcPr>
          <w:p w14:paraId="68562C2C" w14:textId="77777777" w:rsidR="007D62B8" w:rsidRPr="006D7C15" w:rsidRDefault="007D62B8" w:rsidP="007D62B8">
            <w:pPr>
              <w:spacing w:after="0" w:line="240" w:lineRule="auto"/>
              <w:jc w:val="center"/>
              <w:rPr>
                <w:rFonts w:ascii="Tw Cen MT" w:eastAsia="Times New Roman" w:hAnsi="Tw Cen MT"/>
                <w:sz w:val="16"/>
                <w:szCs w:val="16"/>
                <w:lang w:val="id"/>
              </w:rPr>
            </w:pPr>
          </w:p>
        </w:tc>
        <w:tc>
          <w:tcPr>
            <w:tcW w:w="1236" w:type="dxa"/>
            <w:gridSpan w:val="2"/>
            <w:tcBorders>
              <w:left w:val="nil"/>
              <w:bottom w:val="single" w:sz="4" w:space="0" w:color="auto"/>
              <w:right w:val="nil"/>
            </w:tcBorders>
          </w:tcPr>
          <w:p w14:paraId="4CE99323"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(n=30)</w:t>
            </w:r>
          </w:p>
          <w:p w14:paraId="37BE88EC" w14:textId="77777777" w:rsidR="007D62B8" w:rsidRPr="006D7C15" w:rsidRDefault="007D62B8" w:rsidP="007D62B8">
            <w:pPr>
              <w:spacing w:after="0" w:line="240" w:lineRule="auto"/>
              <w:jc w:val="center"/>
              <w:rPr>
                <w:rFonts w:ascii="Tw Cen MT" w:eastAsia="Times New Roman" w:hAnsi="Tw Cen MT"/>
                <w:sz w:val="16"/>
                <w:szCs w:val="16"/>
                <w:lang w:val="id"/>
              </w:rPr>
            </w:pPr>
            <w:proofErr w:type="spellStart"/>
            <w:r w:rsidRPr="006D7C15">
              <w:rPr>
                <w:rFonts w:ascii="Tw Cen MT" w:eastAsia="Times New Roman" w:hAnsi="Tw Cen MT"/>
                <w:sz w:val="16"/>
                <w:szCs w:val="16"/>
                <w:lang w:val="id"/>
              </w:rPr>
              <w:t>Control</w:t>
            </w:r>
            <w:proofErr w:type="spellEnd"/>
            <w:r w:rsidRPr="006D7C15">
              <w:rPr>
                <w:rFonts w:ascii="Tw Cen MT" w:eastAsia="Times New Roman" w:hAnsi="Tw Cen MT"/>
                <w:sz w:val="16"/>
                <w:szCs w:val="16"/>
                <w:lang w:val="id"/>
              </w:rPr>
              <w:t xml:space="preserve"> Group</w:t>
            </w:r>
          </w:p>
        </w:tc>
        <w:tc>
          <w:tcPr>
            <w:tcW w:w="605" w:type="dxa"/>
            <w:tcBorders>
              <w:left w:val="nil"/>
              <w:bottom w:val="nil"/>
              <w:right w:val="nil"/>
            </w:tcBorders>
          </w:tcPr>
          <w:p w14:paraId="23978C18" w14:textId="77777777" w:rsidR="007D62B8" w:rsidRPr="006D7C15" w:rsidRDefault="007D62B8" w:rsidP="007D62B8">
            <w:pPr>
              <w:spacing w:after="0" w:line="240" w:lineRule="auto"/>
              <w:rPr>
                <w:rFonts w:ascii="Tw Cen MT" w:eastAsia="Times New Roman" w:hAnsi="Tw Cen MT"/>
                <w:i/>
                <w:sz w:val="16"/>
                <w:szCs w:val="16"/>
                <w:lang w:val="id"/>
              </w:rPr>
            </w:pPr>
          </w:p>
        </w:tc>
      </w:tr>
      <w:tr w:rsidR="007D62B8" w14:paraId="641AE624" w14:textId="77777777" w:rsidTr="007D62B8">
        <w:trPr>
          <w:trHeight w:val="107"/>
        </w:trPr>
        <w:tc>
          <w:tcPr>
            <w:tcW w:w="938" w:type="dxa"/>
            <w:tcBorders>
              <w:top w:val="nil"/>
              <w:left w:val="nil"/>
              <w:right w:val="nil"/>
            </w:tcBorders>
          </w:tcPr>
          <w:p w14:paraId="26D9D2B9" w14:textId="77777777" w:rsidR="007D62B8" w:rsidRPr="006D7C15" w:rsidRDefault="007D62B8" w:rsidP="007D62B8">
            <w:pPr>
              <w:spacing w:after="0" w:line="240" w:lineRule="auto"/>
              <w:jc w:val="center"/>
              <w:rPr>
                <w:rFonts w:ascii="Tw Cen MT" w:eastAsia="Times New Roman" w:hAnsi="Tw Cen MT"/>
                <w:sz w:val="16"/>
                <w:szCs w:val="16"/>
                <w:lang w:val="id"/>
              </w:rPr>
            </w:pPr>
            <w:proofErr w:type="spellStart"/>
            <w:r w:rsidRPr="006D7C15">
              <w:rPr>
                <w:rFonts w:ascii="Tw Cen MT" w:eastAsia="Times New Roman" w:hAnsi="Tw Cen MT"/>
                <w:sz w:val="16"/>
                <w:szCs w:val="16"/>
                <w:lang w:val="id"/>
              </w:rPr>
              <w:t>Variable</w:t>
            </w:r>
            <w:proofErr w:type="spellEnd"/>
          </w:p>
        </w:tc>
        <w:tc>
          <w:tcPr>
            <w:tcW w:w="631" w:type="dxa"/>
            <w:tcBorders>
              <w:top w:val="single" w:sz="4" w:space="0" w:color="auto"/>
              <w:left w:val="nil"/>
              <w:bottom w:val="single" w:sz="4" w:space="0" w:color="auto"/>
              <w:right w:val="nil"/>
            </w:tcBorders>
          </w:tcPr>
          <w:p w14:paraId="0D75BCC1" w14:textId="77777777" w:rsidR="007D62B8" w:rsidRPr="006D7C15" w:rsidRDefault="007D62B8" w:rsidP="007D62B8">
            <w:pPr>
              <w:spacing w:after="0" w:line="240" w:lineRule="auto"/>
              <w:jc w:val="center"/>
              <w:rPr>
                <w:rFonts w:ascii="Tw Cen MT" w:eastAsia="Times New Roman" w:hAnsi="Tw Cen MT"/>
                <w:sz w:val="16"/>
                <w:szCs w:val="16"/>
                <w:lang w:val="id"/>
              </w:rPr>
            </w:pPr>
            <w:proofErr w:type="spellStart"/>
            <w:r w:rsidRPr="006D7C15">
              <w:rPr>
                <w:rFonts w:ascii="Tw Cen MT" w:eastAsia="Times New Roman" w:hAnsi="Tw Cen MT"/>
                <w:sz w:val="16"/>
                <w:szCs w:val="16"/>
                <w:lang w:val="id"/>
              </w:rPr>
              <w:t>Mean</w:t>
            </w:r>
            <w:proofErr w:type="spellEnd"/>
          </w:p>
        </w:tc>
        <w:tc>
          <w:tcPr>
            <w:tcW w:w="605" w:type="dxa"/>
            <w:tcBorders>
              <w:top w:val="single" w:sz="4" w:space="0" w:color="auto"/>
              <w:left w:val="nil"/>
              <w:bottom w:val="single" w:sz="4" w:space="0" w:color="auto"/>
              <w:right w:val="nil"/>
            </w:tcBorders>
          </w:tcPr>
          <w:p w14:paraId="78D6FEC4"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SD</w:t>
            </w:r>
          </w:p>
        </w:tc>
        <w:tc>
          <w:tcPr>
            <w:tcW w:w="277" w:type="dxa"/>
            <w:vMerge/>
            <w:tcBorders>
              <w:left w:val="nil"/>
              <w:bottom w:val="single" w:sz="4" w:space="0" w:color="auto"/>
              <w:right w:val="nil"/>
            </w:tcBorders>
          </w:tcPr>
          <w:p w14:paraId="6AF8B06B" w14:textId="77777777" w:rsidR="007D62B8" w:rsidRPr="006D7C15" w:rsidRDefault="007D62B8" w:rsidP="007D62B8">
            <w:pPr>
              <w:spacing w:after="0" w:line="240" w:lineRule="auto"/>
              <w:jc w:val="center"/>
              <w:rPr>
                <w:rFonts w:ascii="Tw Cen MT" w:eastAsia="Times New Roman" w:hAnsi="Tw Cen MT"/>
                <w:sz w:val="16"/>
                <w:szCs w:val="16"/>
                <w:lang w:val="id"/>
              </w:rPr>
            </w:pPr>
          </w:p>
        </w:tc>
        <w:tc>
          <w:tcPr>
            <w:tcW w:w="631" w:type="dxa"/>
            <w:tcBorders>
              <w:top w:val="single" w:sz="4" w:space="0" w:color="auto"/>
              <w:left w:val="nil"/>
              <w:bottom w:val="single" w:sz="4" w:space="0" w:color="auto"/>
              <w:right w:val="nil"/>
            </w:tcBorders>
          </w:tcPr>
          <w:p w14:paraId="6194E597" w14:textId="77777777" w:rsidR="007D62B8" w:rsidRPr="006D7C15" w:rsidRDefault="007D62B8" w:rsidP="007D62B8">
            <w:pPr>
              <w:spacing w:after="0" w:line="240" w:lineRule="auto"/>
              <w:jc w:val="center"/>
              <w:rPr>
                <w:rFonts w:ascii="Tw Cen MT" w:eastAsia="Times New Roman" w:hAnsi="Tw Cen MT"/>
                <w:sz w:val="16"/>
                <w:szCs w:val="16"/>
                <w:lang w:val="id"/>
              </w:rPr>
            </w:pPr>
            <w:proofErr w:type="spellStart"/>
            <w:r w:rsidRPr="006D7C15">
              <w:rPr>
                <w:rFonts w:ascii="Tw Cen MT" w:eastAsia="Times New Roman" w:hAnsi="Tw Cen MT"/>
                <w:sz w:val="16"/>
                <w:szCs w:val="16"/>
                <w:lang w:val="id"/>
              </w:rPr>
              <w:t>Mean</w:t>
            </w:r>
            <w:proofErr w:type="spellEnd"/>
          </w:p>
        </w:tc>
        <w:tc>
          <w:tcPr>
            <w:tcW w:w="605" w:type="dxa"/>
            <w:tcBorders>
              <w:top w:val="single" w:sz="4" w:space="0" w:color="auto"/>
              <w:left w:val="nil"/>
              <w:bottom w:val="single" w:sz="4" w:space="0" w:color="auto"/>
              <w:right w:val="nil"/>
            </w:tcBorders>
          </w:tcPr>
          <w:p w14:paraId="2838C147"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SD</w:t>
            </w:r>
          </w:p>
        </w:tc>
        <w:tc>
          <w:tcPr>
            <w:tcW w:w="605" w:type="dxa"/>
            <w:tcBorders>
              <w:top w:val="nil"/>
              <w:left w:val="nil"/>
              <w:bottom w:val="single" w:sz="4" w:space="0" w:color="auto"/>
              <w:right w:val="nil"/>
            </w:tcBorders>
          </w:tcPr>
          <w:p w14:paraId="245B7818" w14:textId="77777777" w:rsidR="007D62B8" w:rsidRPr="006D7C15" w:rsidRDefault="007D62B8" w:rsidP="007D62B8">
            <w:pPr>
              <w:spacing w:after="0" w:line="240" w:lineRule="auto"/>
              <w:ind w:right="-298"/>
              <w:rPr>
                <w:rFonts w:ascii="Tw Cen MT" w:eastAsia="Times New Roman" w:hAnsi="Tw Cen MT"/>
                <w:sz w:val="16"/>
                <w:szCs w:val="16"/>
                <w:lang w:val="id"/>
              </w:rPr>
            </w:pPr>
            <w:r w:rsidRPr="006D7C15">
              <w:rPr>
                <w:rFonts w:ascii="Tw Cen MT" w:eastAsia="Times New Roman" w:hAnsi="Tw Cen MT"/>
                <w:i/>
                <w:sz w:val="16"/>
                <w:szCs w:val="16"/>
                <w:lang w:val="id"/>
              </w:rPr>
              <w:t>P</w:t>
            </w:r>
            <w:r w:rsidRPr="006D7C15">
              <w:rPr>
                <w:rFonts w:ascii="Tw Cen MT" w:eastAsia="Times New Roman" w:hAnsi="Tw Cen MT"/>
                <w:i/>
                <w:sz w:val="16"/>
                <w:szCs w:val="16"/>
              </w:rPr>
              <w:t>-</w:t>
            </w:r>
            <w:proofErr w:type="spellStart"/>
            <w:r w:rsidRPr="006D7C15">
              <w:rPr>
                <w:rFonts w:ascii="Tw Cen MT" w:eastAsia="Times New Roman" w:hAnsi="Tw Cen MT"/>
                <w:i/>
                <w:sz w:val="16"/>
                <w:szCs w:val="16"/>
                <w:lang w:val="id"/>
              </w:rPr>
              <w:t>value</w:t>
            </w:r>
            <w:proofErr w:type="spellEnd"/>
          </w:p>
        </w:tc>
      </w:tr>
      <w:tr w:rsidR="007D62B8" w14:paraId="38B61185" w14:textId="77777777" w:rsidTr="007D62B8">
        <w:trPr>
          <w:trHeight w:val="103"/>
        </w:trPr>
        <w:tc>
          <w:tcPr>
            <w:tcW w:w="938" w:type="dxa"/>
            <w:vMerge w:val="restart"/>
            <w:tcBorders>
              <w:left w:val="nil"/>
              <w:right w:val="nil"/>
            </w:tcBorders>
          </w:tcPr>
          <w:p w14:paraId="76FBE078" w14:textId="77777777" w:rsidR="007D62B8" w:rsidRPr="006D7C15" w:rsidRDefault="007D62B8" w:rsidP="007D62B8">
            <w:pPr>
              <w:spacing w:after="0" w:line="240" w:lineRule="auto"/>
              <w:ind w:right="-49"/>
              <w:jc w:val="center"/>
              <w:rPr>
                <w:rFonts w:ascii="Tw Cen MT" w:eastAsia="Times New Roman" w:hAnsi="Tw Cen MT"/>
                <w:sz w:val="16"/>
                <w:szCs w:val="16"/>
                <w:lang w:val="id"/>
              </w:rPr>
            </w:pPr>
            <w:proofErr w:type="spellStart"/>
            <w:r w:rsidRPr="006D7C15">
              <w:rPr>
                <w:rFonts w:ascii="Tw Cen MT" w:eastAsia="Times New Roman" w:hAnsi="Tw Cen MT"/>
                <w:sz w:val="16"/>
                <w:szCs w:val="16"/>
                <w:lang w:val="id"/>
              </w:rPr>
              <w:t>Uterine</w:t>
            </w:r>
            <w:proofErr w:type="spellEnd"/>
            <w:r w:rsidRPr="006D7C15">
              <w:rPr>
                <w:rFonts w:ascii="Tw Cen MT" w:eastAsia="Times New Roman" w:hAnsi="Tw Cen MT"/>
                <w:sz w:val="16"/>
                <w:szCs w:val="16"/>
                <w:lang w:val="id"/>
              </w:rPr>
              <w:t xml:space="preserve"> </w:t>
            </w:r>
            <w:proofErr w:type="spellStart"/>
            <w:r w:rsidRPr="006D7C15">
              <w:rPr>
                <w:rFonts w:ascii="Tw Cen MT" w:eastAsia="Times New Roman" w:hAnsi="Tw Cen MT"/>
                <w:sz w:val="16"/>
                <w:szCs w:val="16"/>
                <w:lang w:val="id"/>
              </w:rPr>
              <w:t>Contraction</w:t>
            </w:r>
            <w:proofErr w:type="spellEnd"/>
          </w:p>
        </w:tc>
        <w:tc>
          <w:tcPr>
            <w:tcW w:w="631" w:type="dxa"/>
            <w:tcBorders>
              <w:top w:val="single" w:sz="4" w:space="0" w:color="auto"/>
              <w:left w:val="nil"/>
              <w:bottom w:val="nil"/>
              <w:right w:val="nil"/>
            </w:tcBorders>
          </w:tcPr>
          <w:p w14:paraId="37DF634A"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3.60</w:t>
            </w:r>
          </w:p>
        </w:tc>
        <w:tc>
          <w:tcPr>
            <w:tcW w:w="605" w:type="dxa"/>
            <w:tcBorders>
              <w:top w:val="single" w:sz="4" w:space="0" w:color="auto"/>
              <w:left w:val="nil"/>
              <w:bottom w:val="nil"/>
              <w:right w:val="nil"/>
            </w:tcBorders>
          </w:tcPr>
          <w:p w14:paraId="0FF0E5ED" w14:textId="77777777" w:rsidR="007D62B8" w:rsidRPr="006D7C15" w:rsidRDefault="007D62B8" w:rsidP="007D62B8">
            <w:pPr>
              <w:spacing w:after="0" w:line="240" w:lineRule="auto"/>
              <w:ind w:right="-160"/>
              <w:jc w:val="center"/>
              <w:rPr>
                <w:rFonts w:ascii="Tw Cen MT" w:eastAsia="Times New Roman" w:hAnsi="Tw Cen MT"/>
                <w:sz w:val="16"/>
                <w:szCs w:val="16"/>
                <w:lang w:val="id"/>
              </w:rPr>
            </w:pPr>
            <w:r w:rsidRPr="006D7C15">
              <w:rPr>
                <w:rFonts w:ascii="Tw Cen MT" w:eastAsia="Times New Roman" w:hAnsi="Tw Cen MT"/>
                <w:sz w:val="16"/>
                <w:szCs w:val="16"/>
                <w:lang w:val="id"/>
              </w:rPr>
              <w:t>0.498</w:t>
            </w:r>
          </w:p>
        </w:tc>
        <w:tc>
          <w:tcPr>
            <w:tcW w:w="277" w:type="dxa"/>
            <w:tcBorders>
              <w:top w:val="single" w:sz="4" w:space="0" w:color="auto"/>
              <w:left w:val="nil"/>
              <w:bottom w:val="nil"/>
              <w:right w:val="nil"/>
            </w:tcBorders>
          </w:tcPr>
          <w:p w14:paraId="27B178FC" w14:textId="77777777" w:rsidR="007D62B8" w:rsidRPr="006D7C15" w:rsidRDefault="007D62B8" w:rsidP="007D62B8">
            <w:pPr>
              <w:spacing w:after="0" w:line="240" w:lineRule="auto"/>
              <w:jc w:val="center"/>
              <w:rPr>
                <w:rFonts w:ascii="Tw Cen MT" w:eastAsia="Times New Roman" w:hAnsi="Tw Cen MT"/>
                <w:sz w:val="16"/>
                <w:szCs w:val="16"/>
                <w:lang w:val="id"/>
              </w:rPr>
            </w:pPr>
          </w:p>
        </w:tc>
        <w:tc>
          <w:tcPr>
            <w:tcW w:w="631" w:type="dxa"/>
            <w:tcBorders>
              <w:top w:val="single" w:sz="4" w:space="0" w:color="auto"/>
              <w:left w:val="nil"/>
              <w:bottom w:val="nil"/>
              <w:right w:val="nil"/>
            </w:tcBorders>
          </w:tcPr>
          <w:p w14:paraId="5E7B24C0" w14:textId="77777777" w:rsidR="007D62B8" w:rsidRPr="006D7C15" w:rsidRDefault="007D62B8" w:rsidP="007D62B8">
            <w:pPr>
              <w:spacing w:after="0" w:line="240" w:lineRule="auto"/>
              <w:jc w:val="center"/>
              <w:rPr>
                <w:rFonts w:ascii="Tw Cen MT" w:eastAsia="Times New Roman" w:hAnsi="Tw Cen MT"/>
                <w:sz w:val="16"/>
                <w:szCs w:val="16"/>
                <w:lang w:val="id"/>
              </w:rPr>
            </w:pPr>
            <w:r w:rsidRPr="006D7C15">
              <w:rPr>
                <w:rFonts w:ascii="Tw Cen MT" w:eastAsia="Times New Roman" w:hAnsi="Tw Cen MT"/>
                <w:sz w:val="16"/>
                <w:szCs w:val="16"/>
                <w:lang w:val="id"/>
              </w:rPr>
              <w:t>2</w:t>
            </w:r>
            <w:r w:rsidRPr="006D7C15">
              <w:rPr>
                <w:rFonts w:ascii="Tw Cen MT" w:eastAsia="Times New Roman" w:hAnsi="Tw Cen MT"/>
                <w:sz w:val="16"/>
                <w:szCs w:val="16"/>
              </w:rPr>
              <w:t>.</w:t>
            </w:r>
            <w:r w:rsidRPr="006D7C15">
              <w:rPr>
                <w:rFonts w:ascii="Tw Cen MT" w:eastAsia="Times New Roman" w:hAnsi="Tw Cen MT"/>
                <w:sz w:val="16"/>
                <w:szCs w:val="16"/>
                <w:lang w:val="id"/>
              </w:rPr>
              <w:t>33</w:t>
            </w:r>
          </w:p>
        </w:tc>
        <w:tc>
          <w:tcPr>
            <w:tcW w:w="605" w:type="dxa"/>
            <w:tcBorders>
              <w:top w:val="single" w:sz="4" w:space="0" w:color="auto"/>
              <w:left w:val="nil"/>
              <w:bottom w:val="nil"/>
              <w:right w:val="nil"/>
            </w:tcBorders>
          </w:tcPr>
          <w:p w14:paraId="353DC559" w14:textId="77777777" w:rsidR="007D62B8" w:rsidRPr="006D7C15" w:rsidRDefault="007D62B8" w:rsidP="007D62B8">
            <w:pPr>
              <w:spacing w:after="0" w:line="240" w:lineRule="auto"/>
              <w:ind w:right="-63"/>
              <w:jc w:val="center"/>
              <w:rPr>
                <w:rFonts w:ascii="Tw Cen MT" w:eastAsia="Times New Roman" w:hAnsi="Tw Cen MT"/>
                <w:sz w:val="16"/>
                <w:szCs w:val="16"/>
                <w:lang w:val="id"/>
              </w:rPr>
            </w:pPr>
            <w:r w:rsidRPr="006D7C15">
              <w:rPr>
                <w:rFonts w:ascii="Tw Cen MT" w:eastAsia="Times New Roman" w:hAnsi="Tw Cen MT"/>
                <w:sz w:val="16"/>
                <w:szCs w:val="16"/>
                <w:lang w:val="id"/>
              </w:rPr>
              <w:t>0.479</w:t>
            </w:r>
          </w:p>
        </w:tc>
        <w:tc>
          <w:tcPr>
            <w:tcW w:w="605" w:type="dxa"/>
            <w:tcBorders>
              <w:top w:val="single" w:sz="4" w:space="0" w:color="auto"/>
              <w:left w:val="nil"/>
              <w:bottom w:val="nil"/>
              <w:right w:val="nil"/>
            </w:tcBorders>
          </w:tcPr>
          <w:p w14:paraId="1DC8BAE1" w14:textId="77777777" w:rsidR="007D62B8" w:rsidRPr="006D7C15" w:rsidRDefault="007D62B8" w:rsidP="007D62B8">
            <w:pPr>
              <w:spacing w:after="0" w:line="240" w:lineRule="auto"/>
              <w:ind w:right="-15"/>
              <w:jc w:val="center"/>
              <w:rPr>
                <w:rFonts w:ascii="Tw Cen MT" w:eastAsia="Times New Roman" w:hAnsi="Tw Cen MT"/>
                <w:sz w:val="16"/>
                <w:szCs w:val="16"/>
                <w:vertAlign w:val="superscript"/>
                <w:lang w:val="id"/>
              </w:rPr>
            </w:pPr>
            <w:r w:rsidRPr="006D7C15">
              <w:rPr>
                <w:rFonts w:ascii="Tw Cen MT" w:eastAsia="Times New Roman" w:hAnsi="Tw Cen MT"/>
                <w:sz w:val="16"/>
                <w:szCs w:val="16"/>
                <w:lang w:val="id"/>
              </w:rPr>
              <w:t>0.000</w:t>
            </w:r>
          </w:p>
        </w:tc>
      </w:tr>
      <w:tr w:rsidR="007D62B8" w14:paraId="283C8699" w14:textId="77777777" w:rsidTr="007D62B8">
        <w:trPr>
          <w:trHeight w:val="103"/>
        </w:trPr>
        <w:tc>
          <w:tcPr>
            <w:tcW w:w="938" w:type="dxa"/>
            <w:vMerge/>
            <w:tcBorders>
              <w:left w:val="nil"/>
              <w:right w:val="nil"/>
            </w:tcBorders>
          </w:tcPr>
          <w:p w14:paraId="3BCAF59B" w14:textId="77777777" w:rsidR="007D62B8" w:rsidRPr="00887570" w:rsidRDefault="007D62B8" w:rsidP="007D62B8">
            <w:pPr>
              <w:spacing w:after="0" w:line="240" w:lineRule="auto"/>
              <w:rPr>
                <w:rFonts w:ascii="Tw Cen MT" w:eastAsia="Times New Roman" w:hAnsi="Tw Cen MT"/>
                <w:sz w:val="16"/>
                <w:szCs w:val="16"/>
                <w:lang w:val="id"/>
              </w:rPr>
            </w:pPr>
          </w:p>
        </w:tc>
        <w:tc>
          <w:tcPr>
            <w:tcW w:w="631" w:type="dxa"/>
            <w:tcBorders>
              <w:top w:val="nil"/>
              <w:left w:val="nil"/>
              <w:right w:val="nil"/>
            </w:tcBorders>
          </w:tcPr>
          <w:p w14:paraId="743D106D" w14:textId="77777777" w:rsidR="007D62B8" w:rsidRPr="006D7C15" w:rsidRDefault="007D62B8" w:rsidP="007D62B8">
            <w:pPr>
              <w:spacing w:after="0" w:line="240" w:lineRule="auto"/>
              <w:jc w:val="center"/>
              <w:rPr>
                <w:rFonts w:ascii="Tw Cen MT" w:eastAsia="Times New Roman" w:hAnsi="Tw Cen MT"/>
                <w:sz w:val="16"/>
                <w:szCs w:val="16"/>
                <w:lang w:val="id"/>
              </w:rPr>
            </w:pPr>
          </w:p>
        </w:tc>
        <w:tc>
          <w:tcPr>
            <w:tcW w:w="605" w:type="dxa"/>
            <w:tcBorders>
              <w:top w:val="nil"/>
              <w:left w:val="nil"/>
              <w:right w:val="nil"/>
            </w:tcBorders>
          </w:tcPr>
          <w:p w14:paraId="65AC0C9F" w14:textId="77777777" w:rsidR="007D62B8" w:rsidRPr="006D7C15" w:rsidRDefault="007D62B8" w:rsidP="007D62B8">
            <w:pPr>
              <w:spacing w:after="0" w:line="240" w:lineRule="auto"/>
              <w:jc w:val="center"/>
              <w:rPr>
                <w:rFonts w:ascii="Tw Cen MT" w:eastAsia="Times New Roman" w:hAnsi="Tw Cen MT"/>
                <w:sz w:val="16"/>
                <w:szCs w:val="16"/>
                <w:lang w:val="id"/>
              </w:rPr>
            </w:pPr>
          </w:p>
        </w:tc>
        <w:tc>
          <w:tcPr>
            <w:tcW w:w="277" w:type="dxa"/>
            <w:tcBorders>
              <w:top w:val="nil"/>
              <w:left w:val="nil"/>
              <w:right w:val="nil"/>
            </w:tcBorders>
          </w:tcPr>
          <w:p w14:paraId="146D26AD" w14:textId="77777777" w:rsidR="007D62B8" w:rsidRPr="006D7C15" w:rsidRDefault="007D62B8" w:rsidP="007D62B8">
            <w:pPr>
              <w:spacing w:after="0" w:line="240" w:lineRule="auto"/>
              <w:jc w:val="center"/>
              <w:rPr>
                <w:rFonts w:ascii="Tw Cen MT" w:eastAsia="Times New Roman" w:hAnsi="Tw Cen MT"/>
                <w:sz w:val="16"/>
                <w:szCs w:val="16"/>
                <w:lang w:val="id"/>
              </w:rPr>
            </w:pPr>
          </w:p>
        </w:tc>
        <w:tc>
          <w:tcPr>
            <w:tcW w:w="631" w:type="dxa"/>
            <w:tcBorders>
              <w:top w:val="nil"/>
              <w:left w:val="nil"/>
              <w:right w:val="nil"/>
            </w:tcBorders>
          </w:tcPr>
          <w:p w14:paraId="3A717870" w14:textId="77777777" w:rsidR="007D62B8" w:rsidRPr="006D7C15" w:rsidRDefault="007D62B8" w:rsidP="007D62B8">
            <w:pPr>
              <w:spacing w:after="0" w:line="240" w:lineRule="auto"/>
              <w:jc w:val="center"/>
              <w:rPr>
                <w:rFonts w:ascii="Tw Cen MT" w:eastAsia="Times New Roman" w:hAnsi="Tw Cen MT"/>
                <w:sz w:val="16"/>
                <w:szCs w:val="16"/>
                <w:lang w:val="id"/>
              </w:rPr>
            </w:pPr>
          </w:p>
        </w:tc>
        <w:tc>
          <w:tcPr>
            <w:tcW w:w="605" w:type="dxa"/>
            <w:tcBorders>
              <w:top w:val="nil"/>
              <w:left w:val="nil"/>
              <w:right w:val="nil"/>
            </w:tcBorders>
          </w:tcPr>
          <w:p w14:paraId="2E26465E" w14:textId="77777777" w:rsidR="007D62B8" w:rsidRPr="006D7C15" w:rsidRDefault="007D62B8" w:rsidP="007D62B8">
            <w:pPr>
              <w:spacing w:after="0" w:line="240" w:lineRule="auto"/>
              <w:jc w:val="center"/>
              <w:rPr>
                <w:rFonts w:ascii="Tw Cen MT" w:eastAsia="Times New Roman" w:hAnsi="Tw Cen MT"/>
                <w:sz w:val="16"/>
                <w:szCs w:val="16"/>
                <w:lang w:val="id"/>
              </w:rPr>
            </w:pPr>
          </w:p>
        </w:tc>
        <w:tc>
          <w:tcPr>
            <w:tcW w:w="605" w:type="dxa"/>
            <w:tcBorders>
              <w:top w:val="nil"/>
              <w:left w:val="nil"/>
              <w:right w:val="nil"/>
            </w:tcBorders>
          </w:tcPr>
          <w:p w14:paraId="0D664A49" w14:textId="77777777" w:rsidR="007D62B8" w:rsidRPr="006D7C15" w:rsidRDefault="007D62B8" w:rsidP="007D62B8">
            <w:pPr>
              <w:spacing w:after="0" w:line="240" w:lineRule="auto"/>
              <w:jc w:val="center"/>
              <w:rPr>
                <w:rFonts w:ascii="Tw Cen MT" w:eastAsia="Times New Roman" w:hAnsi="Tw Cen MT"/>
                <w:sz w:val="16"/>
                <w:szCs w:val="16"/>
                <w:lang w:val="id"/>
              </w:rPr>
            </w:pPr>
          </w:p>
        </w:tc>
      </w:tr>
    </w:tbl>
    <w:p w14:paraId="0FA8CE67" w14:textId="77777777" w:rsidR="007D62B8" w:rsidRPr="00DC5031" w:rsidRDefault="007D62B8" w:rsidP="007D62B8">
      <w:pPr>
        <w:tabs>
          <w:tab w:val="left" w:pos="426"/>
        </w:tabs>
        <w:spacing w:after="0" w:line="240" w:lineRule="auto"/>
        <w:jc w:val="both"/>
        <w:rPr>
          <w:rFonts w:ascii="Tw Cen MT" w:eastAsia="Twentieth Century" w:hAnsi="Tw Cen MT" w:cs="Twentieth Century"/>
          <w:sz w:val="20"/>
          <w:szCs w:val="24"/>
        </w:rPr>
      </w:pPr>
      <w:r>
        <w:rPr>
          <w:rFonts w:ascii="Tw Cen MT" w:eastAsia="Twentieth Century" w:hAnsi="Tw Cen MT" w:cs="Twentieth Century"/>
          <w:sz w:val="20"/>
          <w:szCs w:val="24"/>
        </w:rPr>
        <w:t>Description</w:t>
      </w:r>
      <w:r w:rsidRPr="00DC5031">
        <w:rPr>
          <w:rFonts w:ascii="Tw Cen MT" w:eastAsia="Twentieth Century" w:hAnsi="Tw Cen MT" w:cs="Twentieth Century"/>
          <w:sz w:val="20"/>
          <w:szCs w:val="24"/>
        </w:rPr>
        <w:t>: Independent t-test</w:t>
      </w:r>
      <w:r>
        <w:rPr>
          <w:rFonts w:ascii="Tw Cen MT" w:eastAsia="Twentieth Century" w:hAnsi="Tw Cen MT" w:cs="Twentieth Century"/>
          <w:sz w:val="20"/>
          <w:szCs w:val="24"/>
        </w:rPr>
        <w:t xml:space="preserve"> </w:t>
      </w:r>
    </w:p>
    <w:p w14:paraId="5C9287A6"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p>
    <w:p w14:paraId="4BA81CC6"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461B3B">
        <w:rPr>
          <w:rFonts w:ascii="Tw Cen MT" w:eastAsia="Twentieth Century" w:hAnsi="Tw Cen MT" w:cs="Twentieth Century"/>
          <w:sz w:val="24"/>
          <w:szCs w:val="24"/>
        </w:rPr>
        <w:t>Based on Table 4,</w:t>
      </w:r>
      <w:r>
        <w:rPr>
          <w:rFonts w:ascii="Tw Cen MT" w:eastAsia="Twentieth Century" w:hAnsi="Tw Cen MT" w:cs="Twentieth Century"/>
          <w:sz w:val="24"/>
          <w:szCs w:val="24"/>
        </w:rPr>
        <w:t xml:space="preserve"> </w:t>
      </w:r>
      <w:r w:rsidRPr="00461B3B">
        <w:rPr>
          <w:rFonts w:ascii="Tw Cen MT" w:eastAsia="Twentieth Century" w:hAnsi="Tw Cen MT" w:cs="Twentieth Century"/>
          <w:sz w:val="24"/>
          <w:szCs w:val="24"/>
        </w:rPr>
        <w:t xml:space="preserve">an independent t-test was carried out to find out the differences in uterine contractions in the two groups, namely the intervention group and the control group, after </w:t>
      </w:r>
      <w:r>
        <w:rPr>
          <w:rFonts w:ascii="Tw Cen MT" w:eastAsia="Twentieth Century" w:hAnsi="Tw Cen MT" w:cs="Twentieth Century"/>
          <w:sz w:val="24"/>
          <w:szCs w:val="24"/>
        </w:rPr>
        <w:t>consuming</w:t>
      </w:r>
      <w:r w:rsidRPr="00461B3B">
        <w:rPr>
          <w:rFonts w:ascii="Tw Cen MT" w:eastAsia="Twentieth Century" w:hAnsi="Tw Cen MT" w:cs="Twentieth Century"/>
          <w:sz w:val="24"/>
          <w:szCs w:val="24"/>
        </w:rPr>
        <w:t xml:space="preserve"> dates</w:t>
      </w:r>
      <w:r>
        <w:rPr>
          <w:rFonts w:ascii="Tw Cen MT" w:eastAsia="Twentieth Century" w:hAnsi="Tw Cen MT" w:cs="Twentieth Century"/>
          <w:sz w:val="24"/>
          <w:szCs w:val="24"/>
        </w:rPr>
        <w:t xml:space="preserve"> fruit.</w:t>
      </w:r>
      <w:r w:rsidRPr="00461B3B">
        <w:rPr>
          <w:rFonts w:ascii="Tw Cen MT" w:eastAsia="Twentieth Century" w:hAnsi="Tw Cen MT" w:cs="Twentieth Century"/>
          <w:sz w:val="24"/>
          <w:szCs w:val="24"/>
        </w:rPr>
        <w:t xml:space="preserve"> </w:t>
      </w:r>
      <w:r>
        <w:rPr>
          <w:rFonts w:ascii="Tw Cen MT" w:eastAsia="Twentieth Century" w:hAnsi="Tw Cen MT" w:cs="Twentieth Century"/>
          <w:sz w:val="24"/>
          <w:szCs w:val="24"/>
        </w:rPr>
        <w:t>T</w:t>
      </w:r>
      <w:r w:rsidRPr="00461B3B">
        <w:rPr>
          <w:rFonts w:ascii="Tw Cen MT" w:eastAsia="Twentieth Century" w:hAnsi="Tw Cen MT" w:cs="Twentieth Century"/>
          <w:sz w:val="24"/>
          <w:szCs w:val="24"/>
        </w:rPr>
        <w:t>he results of the analysis showed that the average posttest uterine contractions in the intervention group were 3.60 times in 10 minutes. Moreover, the average posttest uterine contractions in the control group were 2.33 times in 10 minutes. The difference in the posttest mean of uterine contractions in the two groups was 1.27 times in 10 minutes. Th</w:t>
      </w:r>
      <w:r>
        <w:rPr>
          <w:rFonts w:ascii="Tw Cen MT" w:eastAsia="Twentieth Century" w:hAnsi="Tw Cen MT" w:cs="Twentieth Century"/>
          <w:sz w:val="24"/>
          <w:szCs w:val="24"/>
        </w:rPr>
        <w:t>us, the</w:t>
      </w:r>
      <w:r w:rsidRPr="00461B3B">
        <w:rPr>
          <w:rFonts w:ascii="Tw Cen MT" w:eastAsia="Twentieth Century" w:hAnsi="Tw Cen MT" w:cs="Twentieth Century"/>
          <w:sz w:val="24"/>
          <w:szCs w:val="24"/>
        </w:rPr>
        <w:t xml:space="preserve"> independent t-test results on the two groups' uterine contractions showed significant results, namely a p-value of 0.000 (p-value &lt;0.05). This </w:t>
      </w:r>
      <w:r>
        <w:rPr>
          <w:rFonts w:ascii="Tw Cen MT" w:eastAsia="Twentieth Century" w:hAnsi="Tw Cen MT" w:cs="Twentieth Century"/>
          <w:sz w:val="24"/>
          <w:szCs w:val="24"/>
        </w:rPr>
        <w:t>indicates</w:t>
      </w:r>
      <w:r w:rsidRPr="00461B3B">
        <w:rPr>
          <w:rFonts w:ascii="Tw Cen MT" w:eastAsia="Twentieth Century" w:hAnsi="Tw Cen MT" w:cs="Twentieth Century"/>
          <w:sz w:val="24"/>
          <w:szCs w:val="24"/>
        </w:rPr>
        <w:t xml:space="preserve"> differences in uterine contractions in the two groups after labor mothers</w:t>
      </w:r>
      <w:r>
        <w:rPr>
          <w:rFonts w:ascii="Tw Cen MT" w:eastAsia="Twentieth Century" w:hAnsi="Tw Cen MT" w:cs="Twentieth Century"/>
          <w:sz w:val="24"/>
          <w:szCs w:val="24"/>
        </w:rPr>
        <w:t xml:space="preserve"> are consum</w:t>
      </w:r>
      <w:r w:rsidRPr="00461B3B">
        <w:rPr>
          <w:rFonts w:ascii="Tw Cen MT" w:eastAsia="Twentieth Century" w:hAnsi="Tw Cen MT" w:cs="Twentieth Century"/>
          <w:sz w:val="24"/>
          <w:szCs w:val="24"/>
        </w:rPr>
        <w:t>ing dates</w:t>
      </w:r>
      <w:r>
        <w:rPr>
          <w:rFonts w:ascii="Tw Cen MT" w:eastAsia="Twentieth Century" w:hAnsi="Tw Cen MT" w:cs="Twentieth Century"/>
          <w:sz w:val="24"/>
          <w:szCs w:val="24"/>
        </w:rPr>
        <w:t>.</w:t>
      </w:r>
    </w:p>
    <w:p w14:paraId="69AA84EA" w14:textId="110D70AB"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2F6E2E">
        <w:rPr>
          <w:rFonts w:ascii="Tw Cen MT" w:eastAsia="Twentieth Century" w:hAnsi="Tw Cen MT" w:cs="Twentieth Century"/>
          <w:sz w:val="24"/>
          <w:szCs w:val="24"/>
        </w:rPr>
        <w:t xml:space="preserve">Based on table 2, it shows that the results of uterine contractions have increased from 2 times to 3 times in 10 minutes. It can be concluded that uterine contractions have increased after </w:t>
      </w:r>
      <w:r w:rsidRPr="00FC240D">
        <w:rPr>
          <w:rFonts w:ascii="Tw Cen MT" w:eastAsia="Twentieth Century" w:hAnsi="Tw Cen MT" w:cs="Twentieth Century"/>
          <w:i/>
          <w:iCs/>
          <w:sz w:val="24"/>
          <w:szCs w:val="24"/>
        </w:rPr>
        <w:t>Phoenix Dactylifera</w:t>
      </w:r>
      <w:r>
        <w:rPr>
          <w:rFonts w:ascii="Tw Cen MT" w:eastAsia="Twentieth Century" w:hAnsi="Tw Cen MT" w:cs="Twentieth Century"/>
          <w:i/>
          <w:iCs/>
          <w:sz w:val="24"/>
          <w:szCs w:val="24"/>
        </w:rPr>
        <w:t xml:space="preserve"> </w:t>
      </w:r>
      <w:r w:rsidRPr="002F6E2E">
        <w:rPr>
          <w:rFonts w:ascii="Tw Cen MT" w:eastAsia="Twentieth Century" w:hAnsi="Tw Cen MT" w:cs="Twentieth Century"/>
          <w:sz w:val="24"/>
          <w:szCs w:val="24"/>
        </w:rPr>
        <w:t>intervention, to birthing mothers</w:t>
      </w:r>
      <w:r w:rsidRPr="0017286A">
        <w:rPr>
          <w:rFonts w:ascii="Tw Cen MT" w:eastAsia="Twentieth Century" w:hAnsi="Tw Cen MT" w:cs="Twentieth Century"/>
          <w:sz w:val="24"/>
          <w:szCs w:val="24"/>
        </w:rPr>
        <w:t>.</w:t>
      </w:r>
    </w:p>
    <w:p w14:paraId="4DB9FCF8"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The results of the above study </w:t>
      </w:r>
      <w:r>
        <w:rPr>
          <w:rFonts w:ascii="Tw Cen MT" w:eastAsia="Twentieth Century" w:hAnsi="Tw Cen MT" w:cs="Twentieth Century"/>
          <w:sz w:val="24"/>
          <w:szCs w:val="24"/>
        </w:rPr>
        <w:t>align</w:t>
      </w:r>
      <w:r w:rsidRPr="0017286A">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with </w:t>
      </w:r>
      <w:r w:rsidRPr="0017286A">
        <w:rPr>
          <w:rFonts w:ascii="Tw Cen MT" w:eastAsia="Twentieth Century" w:hAnsi="Tw Cen MT" w:cs="Twentieth Century"/>
          <w:sz w:val="24"/>
          <w:szCs w:val="24"/>
        </w:rPr>
        <w:t>other studies which state</w:t>
      </w:r>
      <w:r>
        <w:rPr>
          <w:rFonts w:ascii="Tw Cen MT" w:eastAsia="Twentieth Century" w:hAnsi="Tw Cen MT" w:cs="Twentieth Century"/>
          <w:sz w:val="24"/>
          <w:szCs w:val="24"/>
        </w:rPr>
        <w:t>d</w:t>
      </w:r>
      <w:r w:rsidRPr="0017286A">
        <w:rPr>
          <w:rFonts w:ascii="Tw Cen MT" w:eastAsia="Twentieth Century" w:hAnsi="Tw Cen MT" w:cs="Twentieth Century"/>
          <w:sz w:val="24"/>
          <w:szCs w:val="24"/>
        </w:rPr>
        <w:t xml:space="preserve"> that there </w:t>
      </w:r>
      <w:r>
        <w:rPr>
          <w:rFonts w:ascii="Tw Cen MT" w:eastAsia="Twentieth Century" w:hAnsi="Tw Cen MT" w:cs="Twentieth Century"/>
          <w:sz w:val="24"/>
          <w:szCs w:val="24"/>
        </w:rPr>
        <w:t>wa</w:t>
      </w:r>
      <w:r w:rsidRPr="0017286A">
        <w:rPr>
          <w:rFonts w:ascii="Tw Cen MT" w:eastAsia="Twentieth Century" w:hAnsi="Tw Cen MT" w:cs="Twentieth Century"/>
          <w:sz w:val="24"/>
          <w:szCs w:val="24"/>
        </w:rPr>
        <w:t xml:space="preserve">s an effect of </w:t>
      </w:r>
      <w:r w:rsidRPr="00184A45">
        <w:rPr>
          <w:rFonts w:ascii="Tw Cen MT" w:eastAsia="Twentieth Century" w:hAnsi="Tw Cen MT" w:cs="Twentieth Century"/>
          <w:i/>
          <w:iCs/>
          <w:sz w:val="24"/>
          <w:szCs w:val="24"/>
        </w:rPr>
        <w:t>Phoenix dactylifera</w:t>
      </w:r>
      <w:r w:rsidRPr="0017286A">
        <w:rPr>
          <w:rFonts w:ascii="Tw Cen MT" w:eastAsia="Twentieth Century" w:hAnsi="Tw Cen MT" w:cs="Twentieth Century"/>
          <w:sz w:val="24"/>
          <w:szCs w:val="24"/>
        </w:rPr>
        <w:t xml:space="preserve"> since the end of pregnancy on uterine contractions in birthing mothers</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{"citationItems":[{"id":"ITEM-1","itemData":{"DOI":"10.1016/j.explore.2020.05.014","ISSN":"18787541","PMID":"32563673","abstract":"Objective: To summarize the available evidence exploring the influence of date fruit consumption on delivery outcomes. Methods: A search was conducted for relevant articles in three databases for manuscripts in English, with no time restrictions. Results: Four articles were eligible for inclusion. Women consuming date fruit were admitted with higher cervical dilatation (mean difference (MD) 1.1 cm [95% confidence interval (CI) 0.2-1.99 cm) and yielded a lower need for labor induction/augmentation (relative risk (RR) 0.6, 95% CI 0.43-0.83). Date fruit consumption was associated with shorter latent phase (MD -4.6 hours, 95% CI -7.77 to -1.4) and second stage duration (MD -7.7 minutes, 95% CI -12.0 to -3.4). Conclusions: Although the overall quality of the included studies was weak due to high risk of bias, the results of our meta-analysis point to beneficial effects of date fruit consumption on labor process. fruit","author":[{"dropping-particle":"","family":"Sagi-Dain","given":"Lena","non-dropping-particle":"","parse-names":false,"suffix":""},{"dropping-particle":"","family":"Sagi","given":"Shlomi","non-dropping-particle":"","parse-names":false,"suffix":""}],"container-title":"Explore","id":"ITEM-1","issue":"6","issued":{"date-parts":[["2021"]]},"page":"569-573","publisher":"Elsevier Inc.","title":"The effect of late pregnancy date fruit consumption on delivery progress – A meta-analysis","type":"article-journal","volume":"17"},"uris":["http://www.mendeley.com/documents/?uuid=1d2ee700-1f62-49c2-a196-a6310109ba63"]}],"mendeley":{"formattedCitation":"[16]","plainTextFormattedCitation":"[16]","previouslyFormattedCitation":"[16]"},"properties":{"noteIndex":0},"schema":"https://github.com/citation-style-language/schema/raw/master/csl-citation.json"}</w:instrText>
      </w:r>
      <w:r>
        <w:rPr>
          <w:rFonts w:ascii="Tw Cen MT" w:eastAsia="Twentieth Century" w:hAnsi="Tw Cen MT" w:cs="Twentieth Century"/>
          <w:sz w:val="24"/>
          <w:szCs w:val="24"/>
        </w:rPr>
        <w:fldChar w:fldCharType="separate"/>
      </w:r>
      <w:r w:rsidRPr="00F96897">
        <w:rPr>
          <w:rFonts w:ascii="Tw Cen MT" w:eastAsia="Twentieth Century" w:hAnsi="Tw Cen MT" w:cs="Twentieth Century"/>
          <w:noProof/>
          <w:sz w:val="24"/>
          <w:szCs w:val="24"/>
        </w:rPr>
        <w:t>[16]</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Dates are enriched with saturated and unsaturated fatty acids, including oleic, linoleic and linolenic acids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{"citationItems":[{"id":"ITEM-1","itemData":{"DOI":"10.1016/j.explore.2020.05.014","ISSN":"18787541","PMID":"32563673","abstract":"Objective: To summarize the available evidence exploring the influence of date fruit consumption on delivery outcomes. Methods: A search was conducted for relevant articles in three databases for manuscripts in English, with no time restrictions. Results: Four articles were eligible for inclusion. Women consuming date fruit were admitted with higher cervical dilatation (mean difference (MD) 1.1 cm [95% confidence interval (CI) 0.2-1.99 cm) and yielded a lower need for labor induction/augmentation (relative risk (RR) 0.6, 95% CI 0.43-0.83). Date fruit consumption was associated with shorter latent phase (MD -4.6 hours, 95% CI -7.77 to -1.4) and second stage duration (MD -7.7 minutes, 95% CI -12.0 to -3.4). Conclusions: Although the overall quality of the included studies was weak due to high risk of bias, the results of our meta-analysis point to beneficial effects of date fruit consumption on labor process. fruit","author":[{"dropping-particle":"","family":"Sagi-Dain","given":"Lena","non-dropping-particle":"","parse-names":false,"suffix":""},{"dropping-particle":"","family":"Sagi","given":"Shlomi","non-dropping-particle":"","parse-names":false,"suffix":""}],"container-title":"Explore","id":"ITEM-1","issue":"6","issued":{"date-parts":[["2021"]]},"page":"569-573","publisher":"Elsevier Inc.","title":"The effect of late pregnancy date fruit consumption on delivery progress – A meta-analysis","type":"article-journal","volume":"17"},"uris":["http://www.mendeley.com/documents/?uuid=1d2ee700-1f62-49c2-a196-a6310109ba63"]}],"mendeley":{"formattedCitation":"[16]","plainTextFormattedCitation":"[16]","previouslyFormattedCitation":"[16]"},"properties":{"noteIndex":0},"schema":"https://github.com/citation-style-language/schema/raw/master/csl-citation.json"}</w:instrText>
      </w:r>
      <w:r>
        <w:rPr>
          <w:rFonts w:ascii="Tw Cen MT" w:eastAsia="Twentieth Century" w:hAnsi="Tw Cen MT" w:cs="Twentieth Century"/>
          <w:sz w:val="24"/>
          <w:szCs w:val="24"/>
        </w:rPr>
        <w:fldChar w:fldCharType="separate"/>
      </w:r>
      <w:r w:rsidRPr="00F96897">
        <w:rPr>
          <w:rFonts w:ascii="Tw Cen MT" w:eastAsia="Twentieth Century" w:hAnsi="Tw Cen MT" w:cs="Twentieth Century"/>
          <w:noProof/>
          <w:sz w:val="24"/>
          <w:szCs w:val="24"/>
        </w:rPr>
        <w:t>[16]</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Linoleic acid is the precursor of Arachidonate, which can be converted into </w:t>
      </w:r>
      <w:proofErr w:type="spellStart"/>
      <w:r>
        <w:rPr>
          <w:rFonts w:ascii="Tw Cen MT" w:eastAsia="Twentieth Century" w:hAnsi="Tw Cen MT" w:cs="Twentieth Century"/>
          <w:sz w:val="24"/>
          <w:szCs w:val="24"/>
        </w:rPr>
        <w:t>Icosanoids</w:t>
      </w:r>
      <w:proofErr w:type="spellEnd"/>
      <w:r>
        <w:rPr>
          <w:rFonts w:ascii="Tw Cen MT" w:eastAsia="Twentieth Century" w:hAnsi="Tw Cen MT" w:cs="Twentieth Century"/>
          <w:sz w:val="24"/>
          <w:szCs w:val="24"/>
        </w:rPr>
        <w:t xml:space="preserve">, and thus into prostaglandins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{"citationItems":[{"id":"ITEM-1","itemData":{"DOI":"10.1016/j.ajog.2022.09.003","ISSN":"10976868","PMID":"37164494","abstract":"Normal labor and delivery are dependent on the presence of regular and effective contractions of the uterine myometrium. The mechanisms responsible for the initiation and maintenance of adequate and synchronized uterine activity that are necessary for labor and delivery result from a complex interplay of hormonal, mechanical, and electrical factors that have not yet been fully elucidated. Monitoring uterine activity during term labor and in suspected preterm labor is an important component of obstetrical care because cases of inadequate and excessive uterine activity can be associated with substantial maternal and neonatal morbidity and mortality. Inadequate labor progress is a common challenge encountered in intrapartum care, with labor dystocia being the most common indication for cesarean deliveries performed during labor. Hereafter, an accurate assessment of uterine activity during labor can assist in the management of protracted labor by diagnosing inadequate uterine activity and facilitating the titration of uterotonic medications before a trial of labor is prematurely terminated. Conversely, the ability to diagnose unwanted or excessive uterine activity is also critical in cases of threatened preterm labor, tachysystole, or patients undergoing a trial of labor after cesarean delivery. Knowledge of uterine activity in these cases may guide the use of tocolytic medications or raise suspicion of uterine rupture. Current diagnostic capabilities are less than optimal, hindering the medical management of term and preterm labor. Currently, different methods exist for evaluating uterine activity during labor, including manual palpation, external tocodynamometry, intrauterine pressure monitoring, and electrical uterine myometrial activity tracing. Legacy uterine monitoring techniques have advantages and limitations. External tocodynamometry is the most widespread tool in clinical use owing to its noninvasive nature and its ability to time contractions against the fetal heart rate monitor. However, it does not provide information regarding the strength of uterine contractions and is limited by signal loss with maternal movements. Conversely, the intrauterine pressure catheter quantifies the strength of uterine contractions; however, its use is limited by its invasiveness, risk for complications, and limited additive value in all but few clinical scenarios. New monitoring methods are being used, such as electrical uterine monitoring, which is noninvasive an…","author":[{"dropping-particle":"","family":"Rosen","given":"Hadar","non-dropping-particle":"","parse-names":false,"suffix":""},{"dropping-particle":"","family":"Yogev","given":"Yariv","non-dropping-particle":"","parse-names":false,"suffix":""}],"container-title":"American Journal of Obstetrics and Gynecology","id":"ITEM-1","issue":"5","issued":{"date-parts":[["2023"]]},"page":"S1209-S1221","publisher":"Elsevier Inc.","title":"Assessment of uterine contractions in labor and delivery","type":"article-journal","volume":"228"},"uris":["http://www.mendeley.com/documents/?uuid=2b86ae70-5cc7-4493-956e-0492e2fde4f6"]}],"mendeley":{"formattedCitation":"[17]","plainTextFormattedCitation":"[17]","previouslyFormattedCitation":"[17]"},"properties":{"noteIndex":0},"schema":"https://github.com/citation-style-language/schema/raw/master/csl-citation.json"}</w:instrText>
      </w:r>
      <w:r>
        <w:rPr>
          <w:rFonts w:ascii="Tw Cen MT" w:eastAsia="Twentieth Century" w:hAnsi="Tw Cen MT" w:cs="Twentieth Century"/>
          <w:sz w:val="24"/>
          <w:szCs w:val="24"/>
        </w:rPr>
        <w:fldChar w:fldCharType="separate"/>
      </w:r>
      <w:r w:rsidRPr="00F96897">
        <w:rPr>
          <w:rFonts w:ascii="Tw Cen MT" w:eastAsia="Twentieth Century" w:hAnsi="Tw Cen MT" w:cs="Twentieth Century"/>
          <w:noProof/>
          <w:sz w:val="24"/>
          <w:szCs w:val="24"/>
        </w:rPr>
        <w:t>[17]</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The prostaglandin hormone plays a role in stimulating the performance of uterine contractions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{"citationItems":[{"id":"ITEM-1","itemData":{"DOI":"10.1001/jamanetworkopen.2022.14707","ISSN":"25743805","PMID":"35653158","author":[{"dropping-particle":"","family":"Cahill","given":"Alison G.","non-dropping-particle":"","parse-names":false,"suffix":""},{"dropping-particle":"","family":"Wen","given":"Zichao","non-dropping-particle":"","parse-names":false,"suffix":""},{"dropping-particle":"","family":"Wang","given":"Hui","non-dropping-particle":"","parse-names":false,"suffix":""},{"dropping-particle":"","family":"Zhao","given":"Peinan","non-dropping-particle":"","parse-names":false,"suffix":""},{"dropping-particle":"","family":"Sun","given":"Zhexian","non-dropping-particle":"","parse-names":false,"suffix":""},{"dropping-particle":"","family":"Schwartz","given":"Alan L.","non-dropping-particle":"","parse-names":false,"suffix":""},{"dropping-particle":"","family":"Wang","given":"Yong","non-dropping-particle":"","parse-names":false,"suffix":""}],"container-title":"JAMA Network Open","id":"ITEM-1","issue":"6","issued":{"date-parts":[["2022"]]},"page":"8-11","title":"Analysis of Electrophysiological Activation of the Uterus during Human Labor Contractions","type":"article-journal","volume":"5"},"uris":["http://www.mendeley.com/documents/?uuid=196bb2e8-46e4-47cd-b2f7-5471234107ae"]}],"mendeley":{"formattedCitation":"[18]","plainTextFormattedCitation":"[18]","previouslyFormattedCitation":"[18]"},"properties":{"noteIndex":0},"schema":"https://github.com/citation-style-language/schema/raw/master/csl-citation.json"}</w:instrText>
      </w:r>
      <w:r>
        <w:rPr>
          <w:rFonts w:ascii="Tw Cen MT" w:eastAsia="Twentieth Century" w:hAnsi="Tw Cen MT" w:cs="Twentieth Century"/>
          <w:sz w:val="24"/>
          <w:szCs w:val="24"/>
        </w:rPr>
        <w:fldChar w:fldCharType="separate"/>
      </w:r>
      <w:r w:rsidRPr="00556E74">
        <w:rPr>
          <w:rFonts w:ascii="Tw Cen MT" w:eastAsia="Twentieth Century" w:hAnsi="Tw Cen MT" w:cs="Twentieth Century"/>
          <w:noProof/>
          <w:sz w:val="24"/>
          <w:szCs w:val="24"/>
        </w:rPr>
        <w:t>[18]</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732A8883"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lastRenderedPageBreak/>
        <w:t>Another study also describe</w:t>
      </w:r>
      <w:r>
        <w:rPr>
          <w:rFonts w:ascii="Tw Cen MT" w:eastAsia="Twentieth Century" w:hAnsi="Tw Cen MT" w:cs="Twentieth Century"/>
          <w:sz w:val="24"/>
          <w:szCs w:val="24"/>
        </w:rPr>
        <w:t>s</w:t>
      </w:r>
      <w:r w:rsidRPr="0017286A">
        <w:rPr>
          <w:rFonts w:ascii="Tw Cen MT" w:eastAsia="Twentieth Century" w:hAnsi="Tw Cen MT" w:cs="Twentieth Century"/>
          <w:sz w:val="24"/>
          <w:szCs w:val="24"/>
        </w:rPr>
        <w:t xml:space="preserve"> 189 pregnant women in Mashhad, Iran. </w:t>
      </w:r>
      <w:r>
        <w:rPr>
          <w:rFonts w:ascii="Tw Cen MT" w:eastAsia="Twentieth Century" w:hAnsi="Tw Cen MT" w:cs="Twentieth Century"/>
          <w:sz w:val="24"/>
          <w:szCs w:val="24"/>
        </w:rPr>
        <w:t>Ninety-two</w:t>
      </w:r>
      <w:r w:rsidRPr="0017286A">
        <w:rPr>
          <w:rFonts w:ascii="Tw Cen MT" w:eastAsia="Twentieth Century" w:hAnsi="Tw Cen MT" w:cs="Twentieth Century"/>
          <w:sz w:val="24"/>
          <w:szCs w:val="24"/>
        </w:rPr>
        <w:t xml:space="preserve"> pregnant women were used as the intervention group who consumed 100 grams of dates every day from 37 weeks of gestation, and 91 pregnant women were used as the control group who only received routine antenatal care. There was a statistically significant difference between the two groups in mean uterine contractions (3.24 in the intervention group and 2.54 in the control group). This suggests that consumption of dates is an efficient way to prevent prolonged pregnancies and reduce the need for induction</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Hiba","given":"Nafeesa","non-dropping-particle":"","parse-names":false,"suffix":""},{"dropping-particle":"","family":"Nisar","given":"Salma","non-dropping-particle":"","parse-names":false,"suffix":""},{"dropping-particle":"","family":"Mirza","given":"Zainab Abbas","non-dropping-particle":"","parse-names":false,"suffix":""},{"dropping-particle":"","family":"Nisar","given":"Sarah","non-dropping-particle":"","parse-names":false,"suffix":""}],"id":"ITEM-1","issue":"6","issued":{"date-parts":[["2022"]]},"page":"2082-2086","title":"Effect of Date Fruit Consumption in Later Pregnancy on Length of Gestation, Labour and Delivery of Nulliparous Women","type":"article-journal","volume":"72"},"uris":["http://www.mendeley.com/documents/?uuid=8d462843-07fd-46d4-b722-d808fc5a6dfc"]}],"mendeley":{"formattedCitation":"[19]","plainTextFormattedCitation":"[19]","previouslyFormattedCitation":"[19]"},"properties":{"noteIndex":0},"schema":"https://github.com/citation-style-language/schema/raw/master/csl-citation.json"}</w:instrText>
      </w:r>
      <w:r>
        <w:rPr>
          <w:rFonts w:ascii="Tw Cen MT" w:eastAsia="Twentieth Century" w:hAnsi="Tw Cen MT" w:cs="Twentieth Century"/>
          <w:sz w:val="24"/>
          <w:szCs w:val="24"/>
        </w:rPr>
        <w:fldChar w:fldCharType="separate"/>
      </w:r>
      <w:r w:rsidRPr="00556E74">
        <w:rPr>
          <w:rFonts w:ascii="Tw Cen MT" w:eastAsia="Twentieth Century" w:hAnsi="Tw Cen MT" w:cs="Twentieth Century"/>
          <w:noProof/>
          <w:sz w:val="24"/>
          <w:szCs w:val="24"/>
        </w:rPr>
        <w:t>[19]</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41C4024D"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This is supported </w:t>
      </w:r>
      <w:r>
        <w:rPr>
          <w:rFonts w:ascii="Tw Cen MT" w:eastAsia="Twentieth Century" w:hAnsi="Tw Cen MT" w:cs="Twentieth Century"/>
          <w:sz w:val="24"/>
          <w:szCs w:val="24"/>
        </w:rPr>
        <w:t>as</w:t>
      </w:r>
      <w:r w:rsidRPr="0017286A">
        <w:rPr>
          <w:rFonts w:ascii="Tw Cen MT" w:eastAsia="Twentieth Century" w:hAnsi="Tw Cen MT" w:cs="Twentieth Century"/>
          <w:sz w:val="24"/>
          <w:szCs w:val="24"/>
        </w:rPr>
        <w:t xml:space="preserve"> </w:t>
      </w:r>
      <w:r w:rsidRPr="00184A45">
        <w:rPr>
          <w:rFonts w:ascii="Tw Cen MT" w:eastAsia="Twentieth Century" w:hAnsi="Tw Cen MT" w:cs="Twentieth Century"/>
          <w:i/>
          <w:iCs/>
          <w:sz w:val="24"/>
          <w:szCs w:val="24"/>
        </w:rPr>
        <w:t>phoenix dactylifera</w:t>
      </w:r>
      <w:r w:rsidRPr="0017286A">
        <w:rPr>
          <w:rFonts w:ascii="Tw Cen MT" w:eastAsia="Twentieth Century" w:hAnsi="Tw Cen MT" w:cs="Twentieth Century"/>
          <w:sz w:val="24"/>
          <w:szCs w:val="24"/>
        </w:rPr>
        <w:t xml:space="preserve"> during childbirth is very good for the delivery. Dates are one of the fruits that contain vitamins and calories</w:t>
      </w:r>
      <w:r>
        <w:rPr>
          <w:rFonts w:ascii="Tw Cen MT" w:eastAsia="Twentieth Century" w:hAnsi="Tw Cen MT" w:cs="Twentieth Century"/>
          <w:sz w:val="24"/>
          <w:szCs w:val="24"/>
        </w:rPr>
        <w:t>,</w:t>
      </w:r>
      <w:r w:rsidRPr="0017286A">
        <w:rPr>
          <w:rFonts w:ascii="Tw Cen MT" w:eastAsia="Twentieth Century" w:hAnsi="Tw Cen MT" w:cs="Twentieth Century"/>
          <w:sz w:val="24"/>
          <w:szCs w:val="24"/>
        </w:rPr>
        <w:t xml:space="preserve"> which are high</w:t>
      </w:r>
      <w:r>
        <w:rPr>
          <w:rFonts w:ascii="Tw Cen MT" w:eastAsia="Twentieth Century" w:hAnsi="Tw Cen MT" w:cs="Twentieth Century"/>
          <w:sz w:val="24"/>
          <w:szCs w:val="24"/>
        </w:rPr>
        <w:t xml:space="preserve">er than other </w:t>
      </w:r>
      <w:r w:rsidRPr="0017286A">
        <w:rPr>
          <w:rFonts w:ascii="Tw Cen MT" w:eastAsia="Twentieth Century" w:hAnsi="Tw Cen MT" w:cs="Twentieth Century"/>
          <w:sz w:val="24"/>
          <w:szCs w:val="24"/>
        </w:rPr>
        <w:t>fruits</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{"citationItems":[{"id":"ITEM-1","itemData":{"abstract":"Although age-specific improvements in reproductive performance are common in iteroparous organisms, they are by no means universal. Reproductive tradeoffs are integral features of the life-histories of animal populations and may lead to complex breeding strategies among birds of different age. In particular, asymmetries in the costs and benefits of different components of reproduction for males and females may result in contrasting patterns of age-related parental investment between the sexes. We examined age-specific patterns of parental care in an eastern North American population of house finches (Carpodacus mexicanus) over a three-year period and found pronounced differences in the degree to which males and females provisioned young as they aged. Younger male house finches provided more care to offspring than did older males, yet in females it was the middle-aged mothers that provisioned young most often. This pattern of paternal care is inconsistent with condition-and experience-dependent investment, and instead may reflect male compensation for decreased maternal performance or an attempt by males to secure future breeding attempts with their mate. In contrast, the pattern of maternal provisioning mimics age-related trends in other female breeding efforts (e.g. clutch size, fledging success) for short-lived passerines, which may be governed by condition, experience, and the onset of senescence. These data emphasize the variability in parental tactics that characterizes birds of different sex and age, and the importance of considering the allocation of reproductive effort to competitions for mates, egg-production, and parental care in relation to age so that we may better understand the evolution of male and female breeding strategies in birds. Resumen. Diferencias intersexuales en el esfuerzo parental específico de la edad en el camachuelo mexica-no (Carpodacus mexicanus). Aunque las mejoras relacionadas con la edad en el éxito en la reproducción son comunes en los organismos iteróparos, no son completamente universa-les. Los compromisos reproductores son hechos integrales de las estrategias vitales de las poblaciones animales y pueden determinar estrategias reproductoras complejas entre aves de edades diferentes. En particular, las asimetrías en los costes y beneficios de los diferentes componentes de la reproducción para machos y hembras, pueden producir pautas contrastantes entre los sexos en la inversión parental relacionada con la edad. Nosot…","author":[{"dropping-particle":"","family":"Sandhi","given":"Shinta Ika","non-dropping-particle":"","parse-names":false,"suffix":""}],"id":"ITEM-1","issue":"2","issued":{"date-parts":[["2021"]]},"page":"39-62","title":"Pengaruh Konsumsi Kurma Ajwa Terhadap Kontraksi Uterus Dilihat Dari Lama Persalinan","type":"article-journal","volume":"48"},"uris":["http://www.mendeley.com/documents/?uuid=98352934-6ff4-4c1d-835e-26b51e89433d"]}],"mendeley":{"formattedCitation":"[20]","plainTextFormattedCitation":"[20]","previouslyFormattedCitation":"[20]"},"properties":{"noteIndex":0},"schema":"https://github.com/citation-style-language/schema/raw/master/csl-citation.json"}</w:instrText>
      </w:r>
      <w:r>
        <w:rPr>
          <w:rFonts w:ascii="Tw Cen MT" w:eastAsia="Twentieth Century" w:hAnsi="Tw Cen MT" w:cs="Twentieth Century"/>
          <w:sz w:val="24"/>
          <w:szCs w:val="24"/>
        </w:rPr>
        <w:fldChar w:fldCharType="separate"/>
      </w:r>
      <w:r w:rsidRPr="00556E74">
        <w:rPr>
          <w:rFonts w:ascii="Tw Cen MT" w:eastAsia="Twentieth Century" w:hAnsi="Tw Cen MT" w:cs="Twentieth Century"/>
          <w:noProof/>
          <w:sz w:val="24"/>
          <w:szCs w:val="24"/>
        </w:rPr>
        <w:t>[20]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Dates contain substances that make stimulants to strengthen the uterine muscles in the final months of pregnancy, help dilate the uterus during labor, and reduce bleeding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{"citationItems":[{"id":"ITEM-1","itemData":{"abstract":"Although age-specific improvements in reproductive performance are common in iteroparous organisms, they are by no means universal. Reproductive tradeoffs are integral features of the life-histories of animal populations and may lead to complex breeding strategies among birds of different age. In particular, asymmetries in the costs and benefits of different components of reproduction for males and females may result in contrasting patterns of age-related parental investment between the sexes. We examined age-specific patterns of parental care in an eastern North American population of house finches (Carpodacus mexicanus) over a three-year period and found pronounced differences in the degree to which males and females provisioned young as they aged. Younger male house finches provided more care to offspring than did older males, yet in females it was the middle-aged mothers that provisioned young most often. This pattern of paternal care is inconsistent with condition-and experience-dependent investment, and instead may reflect male compensation for decreased maternal performance or an attempt by males to secure future breeding attempts with their mate. In contrast, the pattern of maternal provisioning mimics age-related trends in other female breeding efforts (e.g. clutch size, fledging success) for short-lived passerines, which may be governed by condition, experience, and the onset of senescence. These data emphasize the variability in parental tactics that characterizes birds of different sex and age, and the importance of considering the allocation of reproductive effort to competitions for mates, egg-production, and parental care in relation to age so that we may better understand the evolution of male and female breeding strategies in birds. Resumen. Diferencias intersexuales en el esfuerzo parental específico de la edad en el camachuelo mexica-no (Carpodacus mexicanus). Aunque las mejoras relacionadas con la edad en el éxito en la reproducción son comunes en los organismos iteróparos, no son completamente universa-les. Los compromisos reproductores son hechos integrales de las estrategias vitales de las poblaciones animales y pueden determinar estrategias reproductoras complejas entre aves de edades diferentes. En particular, las asimetrías en los costes y beneficios de los diferentes componentes de la reproducción para machos y hembras, pueden producir pautas contrastantes entre los sexos en la inversión parental relacionada con la edad. Nosot…","author":[{"dropping-particle":"","family":"Sandhi","given":"Shinta Ika","non-dropping-particle":"","parse-names":false,"suffix":""}],"id":"ITEM-1","issue":"2","issued":{"date-parts":[["2021"]]},"page":"39-62","title":"Pengaruh Konsumsi Kurma Ajwa Terhadap Kontraksi Uterus Dilihat Dari Lama Persalinan","type":"article-journal","volume":"48"},"uris":["http://www.mendeley.com/documents/?uuid=98352934-6ff4-4c1d-835e-26b51e89433d"]}],"mendeley":{"formattedCitation":"[20]","plainTextFormattedCitation":"[20]","previouslyFormattedCitation":"[20]"},"properties":{"noteIndex":0},"schema":"https://github.com/citation-style-language/schema/raw/master/csl-citation.json"}</w:instrText>
      </w:r>
      <w:r>
        <w:rPr>
          <w:rFonts w:ascii="Tw Cen MT" w:eastAsia="Twentieth Century" w:hAnsi="Tw Cen MT" w:cs="Twentieth Century"/>
          <w:sz w:val="24"/>
          <w:szCs w:val="24"/>
        </w:rPr>
        <w:fldChar w:fldCharType="separate"/>
      </w:r>
      <w:r w:rsidRPr="00556E74">
        <w:rPr>
          <w:rFonts w:ascii="Tw Cen MT" w:eastAsia="Twentieth Century" w:hAnsi="Tw Cen MT" w:cs="Twentieth Century"/>
          <w:noProof/>
          <w:sz w:val="24"/>
          <w:szCs w:val="24"/>
        </w:rPr>
        <w:t>[20]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17990F6E"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The nutritional content of dates has good benefits for mothers </w:t>
      </w:r>
      <w:r>
        <w:rPr>
          <w:rFonts w:ascii="Tw Cen MT" w:eastAsia="Twentieth Century" w:hAnsi="Tw Cen MT" w:cs="Twentieth Century"/>
          <w:sz w:val="24"/>
          <w:szCs w:val="24"/>
        </w:rPr>
        <w:t>facing</w:t>
      </w:r>
      <w:r w:rsidRPr="0017286A">
        <w:rPr>
          <w:rFonts w:ascii="Tw Cen MT" w:eastAsia="Twentieth Century" w:hAnsi="Tw Cen MT" w:cs="Twentieth Century"/>
          <w:sz w:val="24"/>
          <w:szCs w:val="24"/>
        </w:rPr>
        <w:t xml:space="preserve"> childbirth</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CSL_CITATION {"citationItems":[{"id":"ITEM-1","itemData":{"DOI":"10.1016/j.ctim.2019.05.017","ISSN":"18736963","PMID":"31331586","abstract":"Background: Recent studies have shown that consumption of date fruits during pregnancy and also postpartum period might affect some pregnancy outcomes. We performed an updated systematic review and meta-analysis about the effects of consuming date fruits on gestation, labor, and delivery. Methods: Two researchers independently searched the online databases of PubMed, Scopus, Web of Science, Embase, Google Scholar, and EBSCO up to January 2019 for clinical trials examining the effects of date fruits consumption on any types of gestation, labor, and delivery outcomes. A fixed-effects model or random-effects models were applied to pool data, where appropriate. Quality assessment was done by Jadad scale. Results: In total, 11 and 8 studies were included in the systematic review and meta-analysis. Meta-analysis revealed that date fruit consumption significantly reduced gestation duration (pooled effect size: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0.30, 95% CI: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0.45,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0.15; P &lt; 0.001), increased cervical dilation on admission (pooled effect size: 0.94, 95% CI: 0.88, 1.00; P &lt; 0.001), and shorten duration of first stage of labor (pooled effect size: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50.09, 95% CI: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72.25,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27.93; P &lt; 0.001). Also, it was revealed that date fruit consumption significantly reduced duration of second stage of labor in fixed-effects model (pooled effect size: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9.85, 95% CI: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14.00,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5.70; P &lt; 0.001); however, this effect was not significant in random-effects analysis (pooled effect size: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11.27, 95% CI: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28.23, </w:instrText>
      </w:r>
      <w:r>
        <w:rPr>
          <w:rFonts w:ascii="Arial" w:eastAsia="Twentieth Century" w:hAnsi="Arial" w:cs="Arial"/>
          <w:sz w:val="24"/>
          <w:szCs w:val="24"/>
        </w:rPr>
        <w:instrText>−</w:instrText>
      </w:r>
      <w:r>
        <w:rPr>
          <w:rFonts w:ascii="Tw Cen MT" w:eastAsia="Twentieth Century" w:hAnsi="Tw Cen MT" w:cs="Twentieth Century"/>
          <w:sz w:val="24"/>
          <w:szCs w:val="24"/>
        </w:rPr>
        <w:instrText>5.68; P = 0.193). Conclusions: Date fruits intake seems to reduce gestation duration and duration of the first stage of labor, and also increase cervical dilation on admission.","author":[{"dropping-particle":"","family":"Morteza","given":"","non-dropping-particle":"","parse-names":false,"suffix":""},{"dropping-particle":"","family":"Gheibi","given":"Zeinab","non-dropping-particle":"","parse-names":false,"suffix":""},{"dropping-particle":"","family":"Miri","given":"Ali","non-dropping-particle":"","parse-names":false,"suffix":""},{"dropping-particle":"","family":"Rahmani, Nasiri","given":"Jamal","non-dropping-particle":"","parse-names":false,"suffix":""},{"dropping-particle":"","family":"Asadi","given":"Masoumeh","non-dropping-particle":"","parse-names":false,"suffix":""},{"dropping-particle":"","family":"Sadeghi","given":"Omid","non-dropping-particle":"","parse-names":false,"suffix":""},{"dropping-particle":"","family":"Maleki","given":"Vahid","non-dropping-particle":"","parse-names":false,"suffix":""},{"dropping-particle":"","family":"Khodadost","given":"Mahmoud","non-dropping-particle":"","parse-names":false,"suffix":""}],"container-title":"Complementary Therapies in Medicine","id":"ITEM-1","issue":"March","issued":{"date-parts":[["0"]]},"page":"71-84","publisher":"Elsevier","title":"Effects of consuming date fruits (Phoenix dactylifera Linn) on gestation, labor, and delivery: An updated systematic review and meta-analysis of clinical trials","type":"article-journal","volume":"45"},"uris":["http://www.mendeley.com/documents/?uuid=6d9d0c0e-7240-49a2-ba1b-78fe74bdaa93"]}],"mendeley":{"formattedCitation":"[12]","plainTextFormattedCitation":"[12]","previouslyFormattedCitation":"[12]"},"properties":{"noteIndex":0},"schema":"https://github.com/citation-style-language/schema/raw/master/csl-citation.json"}</w:instrText>
      </w:r>
      <w:r>
        <w:rPr>
          <w:rFonts w:ascii="Tw Cen MT" w:eastAsia="Twentieth Century" w:hAnsi="Tw Cen MT" w:cs="Twentieth Century"/>
          <w:sz w:val="24"/>
          <w:szCs w:val="24"/>
        </w:rPr>
        <w:fldChar w:fldCharType="separate"/>
      </w:r>
      <w:r w:rsidRPr="00556E74">
        <w:rPr>
          <w:rFonts w:ascii="Tw Cen MT" w:eastAsia="Twentieth Century" w:hAnsi="Tw Cen MT" w:cs="Twentieth Century"/>
          <w:noProof/>
          <w:sz w:val="24"/>
          <w:szCs w:val="24"/>
        </w:rPr>
        <w:t>[12]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Dates also produce the hormone oxytocin, which stimulates uterine contractions and facilitates delivery</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CSL_CITATION {"citationItems":[{"id":"ITEM-1","itemData":{"DOI":"10.1016/j.ctim.2019.05.017","ISSN":"18736963","PMID":"31331586","abstract":"Background: Recent studies have shown that consumption of date fruits during pregnancy and also postpartum period might affect some pregnancy outcomes. We performed an updated systematic review and meta-analysis about the effects of consuming date fruits on gestation, labor, and delivery. Methods: Two researchers independently searched the online databases of PubMed, Scopus, Web of Science, Embase, Google Scholar, and EBSCO up to January 2019 for clinical trials examining the effects of date fruits consumption on any types of gestation, labor, and delivery outcomes. A fixed-effects model or random-effects models were applied to pool data, where appropriate. Quality assessment was done by Jadad scale. Results: In total, 11 and 8 studies were included in the systematic review and meta-analysis. Meta-analysis revealed that date fruit consumption significantly reduced gestation duration (pooled effect size: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0.30, 95% CI: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0.45,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0.15; P &lt; 0.001), increased cervical dilation on admission (pooled effect size: 0.94, 95% CI: 0.88, 1.00; P &lt; 0.001), and shorten duration of first stage of labor (pooled effect size: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50.09, 95% CI: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72.25,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27.93; P &lt; 0.001). Also, it was revealed that date fruit consumption significantly reduced duration of second stage of labor in fixed-effects model (pooled effect size: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9.85, 95% CI: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14.00,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5.70; P &lt; 0.001); however, this effect was not significant in random-effects analysis (pooled effect size: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11.27, 95% CI: </w:instrText>
      </w:r>
      <w:r>
        <w:rPr>
          <w:rFonts w:ascii="Arial" w:eastAsia="Twentieth Century" w:hAnsi="Arial" w:cs="Arial"/>
          <w:sz w:val="24"/>
          <w:szCs w:val="24"/>
        </w:rPr>
        <w:instrText>−</w:instrText>
      </w:r>
      <w:r>
        <w:rPr>
          <w:rFonts w:ascii="Tw Cen MT" w:eastAsia="Twentieth Century" w:hAnsi="Tw Cen MT" w:cs="Twentieth Century"/>
          <w:sz w:val="24"/>
          <w:szCs w:val="24"/>
        </w:rPr>
        <w:instrText xml:space="preserve">28.23, </w:instrText>
      </w:r>
      <w:r>
        <w:rPr>
          <w:rFonts w:ascii="Arial" w:eastAsia="Twentieth Century" w:hAnsi="Arial" w:cs="Arial"/>
          <w:sz w:val="24"/>
          <w:szCs w:val="24"/>
        </w:rPr>
        <w:instrText>−</w:instrText>
      </w:r>
      <w:r>
        <w:rPr>
          <w:rFonts w:ascii="Tw Cen MT" w:eastAsia="Twentieth Century" w:hAnsi="Tw Cen MT" w:cs="Twentieth Century"/>
          <w:sz w:val="24"/>
          <w:szCs w:val="24"/>
        </w:rPr>
        <w:instrText>5.68; P = 0.193). Conclusions: Date fruits intake seems to reduce gestation duration and duration of the first stage of labor, and also increase cervical dilation on admission.","author":[{"dropping-particle":"","family":"Morteza","given":"","non-dropping-particle":"","parse-names":false,"suffix":""},{"dropping-particle":"","family":"Gheibi","given":"Zeinab","non-dropping-particle":"","parse-names":false,"suffix":""},{"dropping-particle":"","family":"Miri","given":"Ali","non-dropping-particle":"","parse-names":false,"suffix":""},{"dropping-particle":"","family":"Rahmani, Nasiri","given":"Jamal","non-dropping-particle":"","parse-names":false,"suffix":""},{"dropping-particle":"","family":"Asadi","given":"Masoumeh","non-dropping-particle":"","parse-names":false,"suffix":""},{"dropping-particle":"","family":"Sadeghi","given":"Omid","non-dropping-particle":"","parse-names":false,"suffix":""},{"dropping-particle":"","family":"Maleki","given":"Vahid","non-dropping-particle":"","parse-names":false,"suffix":""},{"dropping-particle":"","family":"Khodadost","given":"Mahmoud","non-dropping-particle":"","parse-names":false,"suffix":""}],"container-title":"Complementary Therapies in Medicine","id":"ITEM-1","issue":"March","issued":{"date-parts":[["0"]]},"page":"71-84","publisher":"Elsevier","title":"Effects of consuming date fruits (Phoenix dactylifera Linn) on gestation, labor, and delivery: An updated systematic review and meta-analysis of clinical trials","type":"article-journal","volume":"45"},"uris":["http://www.mendeley.com/documents/?uuid=6d9d0c0e-7240-49a2-ba1b-78fe74bdaa93"]}],"mendeley":{"formattedCitation":"[12]","plainTextFormattedCitation":"[12]","previouslyFormattedCitation":"[12]"},"properties":{"noteIndex":0},"schema":"https://github.com/citation-style-language/schema/raw/master/csl-citation.json"}</w:instrText>
      </w:r>
      <w:r>
        <w:rPr>
          <w:rFonts w:ascii="Tw Cen MT" w:eastAsia="Twentieth Century" w:hAnsi="Tw Cen MT" w:cs="Twentieth Century"/>
          <w:sz w:val="24"/>
          <w:szCs w:val="24"/>
        </w:rPr>
        <w:fldChar w:fldCharType="separate"/>
      </w:r>
      <w:r w:rsidRPr="00556E74">
        <w:rPr>
          <w:rFonts w:ascii="Tw Cen MT" w:eastAsia="Twentieth Century" w:hAnsi="Tw Cen MT" w:cs="Twentieth Century"/>
          <w:noProof/>
          <w:sz w:val="24"/>
          <w:szCs w:val="24"/>
        </w:rPr>
        <w:t>[12]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65F19F10"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According to the theories described above, there are differences </w:t>
      </w:r>
      <w:r>
        <w:rPr>
          <w:rFonts w:ascii="Tw Cen MT" w:eastAsia="Twentieth Century" w:hAnsi="Tw Cen MT" w:cs="Twentieth Century"/>
          <w:sz w:val="24"/>
          <w:szCs w:val="24"/>
        </w:rPr>
        <w:t>between</w:t>
      </w:r>
      <w:r w:rsidRPr="0017286A">
        <w:rPr>
          <w:rFonts w:ascii="Tw Cen MT" w:eastAsia="Twentieth Century" w:hAnsi="Tw Cen MT" w:cs="Twentieth Century"/>
          <w:sz w:val="24"/>
          <w:szCs w:val="24"/>
        </w:rPr>
        <w:t xml:space="preserve"> this </w:t>
      </w:r>
      <w:r>
        <w:rPr>
          <w:rFonts w:ascii="Tw Cen MT" w:eastAsia="Twentieth Century" w:hAnsi="Tw Cen MT" w:cs="Twentieth Century"/>
          <w:sz w:val="24"/>
          <w:szCs w:val="24"/>
        </w:rPr>
        <w:t>present study</w:t>
      </w:r>
      <w:r w:rsidRPr="0017286A">
        <w:rPr>
          <w:rFonts w:ascii="Tw Cen MT" w:eastAsia="Twentieth Century" w:hAnsi="Tw Cen MT" w:cs="Twentieth Century"/>
          <w:sz w:val="24"/>
          <w:szCs w:val="24"/>
        </w:rPr>
        <w:t xml:space="preserve"> and previous studies. Researchers assessed by looking at the mean and results of analysis of uterine contractions in the intervention group</w:t>
      </w:r>
      <w:r>
        <w:rPr>
          <w:rFonts w:ascii="Tw Cen MT" w:eastAsia="Twentieth Century" w:hAnsi="Tw Cen MT" w:cs="Twentieth Century"/>
          <w:sz w:val="24"/>
          <w:szCs w:val="24"/>
        </w:rPr>
        <w:t>. I</w:t>
      </w:r>
      <w:r w:rsidRPr="0017286A">
        <w:rPr>
          <w:rFonts w:ascii="Tw Cen MT" w:eastAsia="Twentieth Century" w:hAnsi="Tw Cen MT" w:cs="Twentieth Century"/>
          <w:sz w:val="24"/>
          <w:szCs w:val="24"/>
        </w:rPr>
        <w:t xml:space="preserve">t can be concluded that uterine contractions after </w:t>
      </w:r>
      <w:r>
        <w:rPr>
          <w:rFonts w:ascii="Tw Cen MT" w:eastAsia="Twentieth Century" w:hAnsi="Tw Cen MT" w:cs="Twentieth Century"/>
          <w:sz w:val="24"/>
          <w:szCs w:val="24"/>
        </w:rPr>
        <w:t>consuming</w:t>
      </w:r>
      <w:r w:rsidRPr="0017286A">
        <w:rPr>
          <w:rFonts w:ascii="Tw Cen MT" w:eastAsia="Twentieth Century" w:hAnsi="Tw Cen MT" w:cs="Twentieth Century"/>
          <w:sz w:val="24"/>
          <w:szCs w:val="24"/>
        </w:rPr>
        <w:t xml:space="preserve"> dates (</w:t>
      </w:r>
      <w:r w:rsidRPr="004845D1">
        <w:rPr>
          <w:rFonts w:ascii="Tw Cen MT" w:eastAsia="Twentieth Century" w:hAnsi="Tw Cen MT" w:cs="Twentieth Century"/>
          <w:i/>
          <w:iCs/>
          <w:sz w:val="24"/>
          <w:szCs w:val="24"/>
        </w:rPr>
        <w:t>Phoenix Dactylifera</w:t>
      </w:r>
      <w:r w:rsidRPr="0017286A">
        <w:rPr>
          <w:rFonts w:ascii="Tw Cen MT" w:eastAsia="Twentieth Century" w:hAnsi="Tw Cen MT" w:cs="Twentieth Century"/>
          <w:sz w:val="24"/>
          <w:szCs w:val="24"/>
        </w:rPr>
        <w:t xml:space="preserve">) experienced an increase </w:t>
      </w:r>
      <w:r>
        <w:rPr>
          <w:rFonts w:ascii="Tw Cen MT" w:eastAsia="Twentieth Century" w:hAnsi="Tw Cen MT" w:cs="Twentieth Century"/>
          <w:sz w:val="24"/>
          <w:szCs w:val="24"/>
        </w:rPr>
        <w:t xml:space="preserve">compared to </w:t>
      </w:r>
      <w:r w:rsidRPr="0017286A">
        <w:rPr>
          <w:rFonts w:ascii="Tw Cen MT" w:eastAsia="Twentieth Century" w:hAnsi="Tw Cen MT" w:cs="Twentieth Century"/>
          <w:sz w:val="24"/>
          <w:szCs w:val="24"/>
        </w:rPr>
        <w:t xml:space="preserve">uterine contractions before </w:t>
      </w:r>
      <w:r>
        <w:rPr>
          <w:rFonts w:ascii="Tw Cen MT" w:eastAsia="Twentieth Century" w:hAnsi="Tw Cen MT" w:cs="Twentieth Century"/>
          <w:sz w:val="24"/>
          <w:szCs w:val="24"/>
        </w:rPr>
        <w:t>consuming</w:t>
      </w:r>
      <w:r w:rsidRPr="0017286A">
        <w:rPr>
          <w:rFonts w:ascii="Tw Cen MT" w:eastAsia="Twentieth Century" w:hAnsi="Tw Cen MT" w:cs="Twentieth Century"/>
          <w:sz w:val="24"/>
          <w:szCs w:val="24"/>
        </w:rPr>
        <w:t xml:space="preserve"> dates (</w:t>
      </w:r>
      <w:r w:rsidRPr="004845D1">
        <w:rPr>
          <w:rFonts w:ascii="Tw Cen MT" w:eastAsia="Twentieth Century" w:hAnsi="Tw Cen MT" w:cs="Twentieth Century"/>
          <w:i/>
          <w:iCs/>
          <w:sz w:val="24"/>
          <w:szCs w:val="24"/>
        </w:rPr>
        <w:t>Phoenix Dactylifera</w:t>
      </w:r>
      <w:r w:rsidRPr="0017286A">
        <w:rPr>
          <w:rFonts w:ascii="Tw Cen MT" w:eastAsia="Twentieth Century" w:hAnsi="Tw Cen MT" w:cs="Twentieth Century"/>
          <w:sz w:val="24"/>
          <w:szCs w:val="24"/>
        </w:rPr>
        <w:t xml:space="preserve">) in the intervention group in women </w:t>
      </w:r>
      <w:r>
        <w:rPr>
          <w:rFonts w:ascii="Tw Cen MT" w:eastAsia="Twentieth Century" w:hAnsi="Tw Cen MT" w:cs="Twentieth Century"/>
          <w:sz w:val="24"/>
          <w:szCs w:val="24"/>
        </w:rPr>
        <w:t>labor</w:t>
      </w:r>
      <w:r w:rsidRPr="0017286A">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
    <w:p w14:paraId="01701A2F"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w:t>
      </w:r>
      <w:r w:rsidRPr="0017286A">
        <w:rPr>
          <w:rFonts w:ascii="Tw Cen MT" w:eastAsia="Twentieth Century" w:hAnsi="Tw Cen MT" w:cs="Twentieth Century"/>
          <w:sz w:val="24"/>
          <w:szCs w:val="24"/>
        </w:rPr>
        <w:t>able 3</w:t>
      </w:r>
      <w:r>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 xml:space="preserve">shows that the </w:t>
      </w:r>
      <w:r>
        <w:rPr>
          <w:rFonts w:ascii="Tw Cen MT" w:eastAsia="Twentieth Century" w:hAnsi="Tw Cen MT" w:cs="Twentieth Century"/>
          <w:sz w:val="24"/>
          <w:szCs w:val="24"/>
        </w:rPr>
        <w:t xml:space="preserve">average </w:t>
      </w:r>
      <w:r w:rsidRPr="0017286A">
        <w:rPr>
          <w:rFonts w:ascii="Tw Cen MT" w:eastAsia="Twentieth Century" w:hAnsi="Tw Cen MT" w:cs="Twentieth Century"/>
          <w:sz w:val="24"/>
          <w:szCs w:val="24"/>
        </w:rPr>
        <w:t>results of uterine contractions have increased from 2.10 times to 2.33 times in 10 minutes. It can be concluded that uterine contractions have increased but not significantly in pregnant women.</w:t>
      </w:r>
    </w:p>
    <w:p w14:paraId="44A929BB"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7777B9">
        <w:rPr>
          <w:rFonts w:ascii="Tw Cen MT" w:eastAsia="Twentieth Century" w:hAnsi="Tw Cen MT" w:cs="Twentieth Century"/>
          <w:sz w:val="24"/>
          <w:szCs w:val="24"/>
        </w:rPr>
        <w:t xml:space="preserve">Besides </w:t>
      </w:r>
      <w:r w:rsidRPr="00F72ADF">
        <w:rPr>
          <w:rFonts w:ascii="Tw Cen MT" w:eastAsia="Twentieth Century" w:hAnsi="Tw Cen MT" w:cs="Twentieth Century"/>
          <w:i/>
          <w:iCs/>
          <w:sz w:val="24"/>
          <w:szCs w:val="24"/>
        </w:rPr>
        <w:t>phoenix dactylifera</w:t>
      </w:r>
      <w:r w:rsidRPr="007777B9">
        <w:rPr>
          <w:rFonts w:ascii="Tw Cen MT" w:eastAsia="Twentieth Century" w:hAnsi="Tw Cen MT" w:cs="Twentieth Century"/>
          <w:sz w:val="24"/>
          <w:szCs w:val="24"/>
        </w:rPr>
        <w:t xml:space="preserve">, one way can be to deal with inadequate uterine contractions by </w:t>
      </w:r>
      <w:r w:rsidRPr="007777B9">
        <w:rPr>
          <w:rFonts w:ascii="Tw Cen MT" w:eastAsia="Twentieth Century" w:hAnsi="Tw Cen MT" w:cs="Twentieth Century"/>
          <w:sz w:val="24"/>
          <w:szCs w:val="24"/>
        </w:rPr>
        <w:t>doing pregnancy exercises before delivery</w:t>
      </w:r>
      <w:r w:rsidRPr="0017286A">
        <w:rPr>
          <w:rFonts w:ascii="Tw Cen MT" w:eastAsia="Twentieth Century" w:hAnsi="Tw Cen MT" w:cs="Twentieth Century"/>
          <w:sz w:val="24"/>
          <w:szCs w:val="24"/>
        </w:rPr>
        <w:t>. In line with other studies explaining that 32 respondents were divided into the intervention group and the control group, 16 people were given pregnancy exercise at the end of the month before delivery</w:t>
      </w:r>
      <w:r>
        <w:rPr>
          <w:rFonts w:ascii="Tw Cen MT" w:eastAsia="Twentieth Century" w:hAnsi="Tw Cen MT" w:cs="Twentieth Century"/>
          <w:sz w:val="24"/>
          <w:szCs w:val="24"/>
        </w:rPr>
        <w:t>. T</w:t>
      </w:r>
      <w:r w:rsidRPr="0017286A">
        <w:rPr>
          <w:rFonts w:ascii="Tw Cen MT" w:eastAsia="Twentieth Century" w:hAnsi="Tw Cen MT" w:cs="Twentieth Century"/>
          <w:sz w:val="24"/>
          <w:szCs w:val="24"/>
        </w:rPr>
        <w:t xml:space="preserve">he result was that 16 pregnant women (50%) had smooth deliveries, while </w:t>
      </w:r>
      <w:r>
        <w:rPr>
          <w:rFonts w:ascii="Tw Cen MT" w:eastAsia="Twentieth Century" w:hAnsi="Tw Cen MT" w:cs="Twentieth Century"/>
          <w:sz w:val="24"/>
          <w:szCs w:val="24"/>
        </w:rPr>
        <w:t xml:space="preserve">from </w:t>
      </w:r>
      <w:r w:rsidRPr="0017286A">
        <w:rPr>
          <w:rFonts w:ascii="Tw Cen MT" w:eastAsia="Twentieth Century" w:hAnsi="Tw Cen MT" w:cs="Twentieth Century"/>
          <w:sz w:val="24"/>
          <w:szCs w:val="24"/>
        </w:rPr>
        <w:t xml:space="preserve">16 people who were not </w:t>
      </w:r>
      <w:r>
        <w:rPr>
          <w:rFonts w:ascii="Tw Cen MT" w:eastAsia="Twentieth Century" w:hAnsi="Tw Cen MT" w:cs="Twentieth Century"/>
          <w:sz w:val="24"/>
          <w:szCs w:val="24"/>
        </w:rPr>
        <w:t>doing</w:t>
      </w:r>
      <w:r w:rsidRPr="0017286A">
        <w:rPr>
          <w:rFonts w:ascii="Tw Cen MT" w:eastAsia="Twentieth Century" w:hAnsi="Tw Cen MT" w:cs="Twentieth Century"/>
          <w:sz w:val="24"/>
          <w:szCs w:val="24"/>
        </w:rPr>
        <w:t xml:space="preserve"> pregnancy exercise,</w:t>
      </w:r>
      <w:r>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7 pregnant women (22%) had smooth deliveries and 9 other pregnant women (28%) had non-smooth deliveries. The analysis results in th</w:t>
      </w:r>
      <w:r>
        <w:rPr>
          <w:rFonts w:ascii="Tw Cen MT" w:eastAsia="Twentieth Century" w:hAnsi="Tw Cen MT" w:cs="Twentieth Century"/>
          <w:sz w:val="24"/>
          <w:szCs w:val="24"/>
        </w:rPr>
        <w:t>e</w:t>
      </w:r>
      <w:r w:rsidRPr="0017286A">
        <w:rPr>
          <w:rFonts w:ascii="Tw Cen MT" w:eastAsia="Twentieth Century" w:hAnsi="Tw Cen MT" w:cs="Twentieth Century"/>
          <w:sz w:val="24"/>
          <w:szCs w:val="24"/>
        </w:rPr>
        <w:t xml:space="preserve"> study obtained a p value = 0.000, </w:t>
      </w:r>
      <w:r>
        <w:rPr>
          <w:rFonts w:ascii="Tw Cen MT" w:eastAsia="Twentieth Century" w:hAnsi="Tw Cen MT" w:cs="Twentieth Century"/>
          <w:sz w:val="24"/>
          <w:szCs w:val="24"/>
        </w:rPr>
        <w:t>which was considered</w:t>
      </w:r>
      <w:r w:rsidRPr="0017286A">
        <w:rPr>
          <w:rFonts w:ascii="Tw Cen MT" w:eastAsia="Twentieth Century" w:hAnsi="Tw Cen MT" w:cs="Twentieth Century"/>
          <w:sz w:val="24"/>
          <w:szCs w:val="24"/>
        </w:rPr>
        <w:t xml:space="preserve"> the p value &lt;0.05, so there </w:t>
      </w:r>
      <w:r>
        <w:rPr>
          <w:rFonts w:ascii="Tw Cen MT" w:eastAsia="Twentieth Century" w:hAnsi="Tw Cen MT" w:cs="Twentieth Century"/>
          <w:sz w:val="24"/>
          <w:szCs w:val="24"/>
        </w:rPr>
        <w:t>wa</w:t>
      </w:r>
      <w:r w:rsidRPr="0017286A">
        <w:rPr>
          <w:rFonts w:ascii="Tw Cen MT" w:eastAsia="Twentieth Century" w:hAnsi="Tw Cen MT" w:cs="Twentieth Century"/>
          <w:sz w:val="24"/>
          <w:szCs w:val="24"/>
        </w:rPr>
        <w:t>s an effect of giving pregnancy exercise on uterine contractions in birthing mothers</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CSL_CITATION {"citationItems":[{"id":"ITEM-1","itemData":{"ISSN":"2460-819X","abstract":"Senam hamil merupakan latihan melatih otot-otot sehingga berfungsi secara optimal dalam persalinan normal. Faktor-faktor yang mempengaruhi persalinan antara lain: power, passage, passenger, psikis, dan penolong. Penelitian ini bertujuan untuk mengetahui hubungan senam hamil dengan kelancaran proses persalinan normal di Pusekesmas Wara. Penelitian ini merupakan penelitian observasional analitik dengan pendekatan Cross Sectional. Sampel pada penelitian adalah ibu hamil dengan usia kehamilan ≥ 28 minggu sebanyak 39 orang. Kriteria inklusi yaitu: usia kehamilan ≥ 28 minggu, melaksanakan Antenatal Care (ANC), secara teratur, ibu hamil yang bersedia menjadi responden, dan koperatif dalam penelitian. Kriteria eksklusi yaitu: kehamilan dengan resiko tinggi, seperti kelainan jantung, sesak nafas, dan tekanan darah tinggi, perokok berat dan mengkomsumsi alkohol, dan responden tidak berada di lokasi penelitian. Penelitian dilakukan di Puskesmas Wara pada bulan Juni-Agustus 2019. Berdasarkan uji chi-square diperoleh nilai </w:instrText>
      </w:r>
      <w:r>
        <w:rPr>
          <w:rFonts w:eastAsia="Twentieth Century"/>
          <w:sz w:val="24"/>
          <w:szCs w:val="24"/>
        </w:rPr>
        <w:instrText>ρ</w:instrText>
      </w:r>
      <w:r>
        <w:rPr>
          <w:rFonts w:ascii="Tw Cen MT" w:eastAsia="Twentieth Century" w:hAnsi="Tw Cen MT" w:cs="Twentieth Century"/>
          <w:sz w:val="24"/>
          <w:szCs w:val="24"/>
        </w:rPr>
        <w:instrText xml:space="preserve"> value = 0,000 (&lt;0,05). Simpulan ada hubungan antara senam hamil dengan kelancaran proses persalinan normal di Puskesmas Wara. Bagi ibu disarankan untuk mengikuti senam hamil secara teratur apabila tidak ditemukan masalah atau komplikasi pada kehamilannya. Kata Kunci : Persalinan Normal, Senam Hamil","author":[{"dropping-particle":"","family":"Semmagga","given":"Nuraefile:///C:/Users/user/Downloads/504-982-1-SM.pdfni","non-dropping-particle":"","parse-names":false,"suffix":""},{"dropping-particle":"","family":"Fausyah","given":"Aryani Nur","non-dropping-particle":"","parse-names":false,"suffix":""}],"container-title":"Jurnal sistem kesehatan","id":"ITEM-1","issue":"1","issued":{"date-parts":[["2021"]]},"page":"7-13","title":"Hubungan senam hamil dengan kelancaran proses persalinan normal di Puskesmas Wara","type":"article-journal","volume":"6"},"uris":["http://www.mendeley.com/documents/?uuid=42ac7e2f-5198-4d40-b30c-187093275cea"]}],"mendeley":{"formattedCitation":"[21]","plainTextFormattedCitation":"[21]","previouslyFormattedCitation":"[21]"},"properties":{"noteIndex":0},"schema":"https://github.com/citation-style-language/schema/raw/master/csl-citation.json"}</w:instrText>
      </w:r>
      <w:r>
        <w:rPr>
          <w:rFonts w:ascii="Tw Cen MT" w:eastAsia="Twentieth Century" w:hAnsi="Tw Cen MT" w:cs="Twentieth Century"/>
          <w:sz w:val="24"/>
          <w:szCs w:val="24"/>
        </w:rPr>
        <w:fldChar w:fldCharType="separate"/>
      </w:r>
      <w:r w:rsidRPr="00556E74">
        <w:rPr>
          <w:rFonts w:ascii="Tw Cen MT" w:eastAsia="Twentieth Century" w:hAnsi="Tw Cen MT" w:cs="Twentieth Century"/>
          <w:noProof/>
          <w:sz w:val="24"/>
          <w:szCs w:val="24"/>
        </w:rPr>
        <w:t>[21]</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28B2CEAB"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Uterine contractions are a force on the mother that causes the cervix to open and pushes the fetus down</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{"citationItems":[{"id":"ITEM-1","itemData":{"DOI":"10.1186/s12884-019-2365-9","ISSN":"14712393","PMID":"31399062","abstract":"Background: Oxytocin is a key hormone in childbirth, and synthetic oxytocin is widely administered to induce or speed labour. Due to lack of synthetized knowledge, we conducted a systematic review of maternal plasma levels of oxytocin during physiological childbirth, and in response to infusions of synthetic oxytocin, if reported in the included studies. Methods: An a priori protocol was designed and a systematic search was conducted in PubMed, CINAHL, and PsycINFO in October 2015. Search hits were screened on title and abstract after duplicates were removed (n = 4039), 69 articles were examined in full-text and 20 papers met inclusion criteria. As the articles differed in design and methodology used for analysis of oxytocin levels, a narrative synthesis was created and the material was categorised according to effects. Results: Basal levels of oxytocin increased 3-4-fold during pregnancy. Pulses of oxytocin occurred with increasing frequency, duration, and amplitude, from late pregnancy through labour, reaching a maximum of 3 pulses/10 min towards the end of labour. There was a maximal 3- to 4-fold rise in oxytocin at birth. Oxytocin pulses also occurred in the third stage of labour associated with placental expulsion. Oxytocin peaks during labour did not correlate in time with individual uterine contractions, suggesting additional mechanisms in the control of contractions. Oxytocin levels were also raised in the cerebrospinal fluid during labour, indicating that oxytocin is released into the brain, as well as into the circulation. Oxytocin released into the brain induces beneficial adaptive effects during birth and postpartum. Oxytocin levels following infusion of synthetic oxytocin up to 10 mU/min were similar to oxytocin levels in physiological labour. Oxytocin levels doubled in response to doubling of the rate of infusion of synthetic oxytocin. Conclusions: Plasma oxytocin levels increase gradually during pregnancy, and during the first and second stages of labour, with increasing size and frequency of pulses of oxytocin. A large pulse of oxytocin occurs with birth. Oxytocin in the circulation stimulates uterine contractions and oxytocin released within the brain influences maternal physiology and behaviour during birth. Oxytocin given as an infusion does not cross into the mother's brain because of the blood brain barrier and does not influence brain function in the same way as oxytocin during normal labour does.","author":[{"dropping-particle":"","family":"Uvnäs-Moberg","given":"Kerstin","non-dropping-particle":"","parse-names":false,"suffix":""},{"dropping-particle":"","family":"Ekström-Bergström","given":"Anette","non-dropping-particle":"","parse-names":false,"suffix":""},{"dropping-particle":"","family":"Berg","given":"Marie","non-dropping-particle":"","parse-names":false,"suffix":""},{"dropping-particle":"","family":"Buckley","given":"Sarah","non-dropping-particle":"","parse-names":false,"suffix":""},{"dropping-particle":"","family":"Pajalic","given":"Zada","non-dropping-particle":"","parse-names":false,"suffix":""},{"dropping-particle":"","family":"Hadjigeorgiou","given":"Eleni","non-dropping-particle":"","parse-names":false,"suffix":""},{"dropping-particle":"","family":"Kotłowska","given":"Alicja","non-dropping-particle":"","parse-names":false,"suffix":""},{"dropping-particle":"","family":"Lengler","given":"Luise","non-dropping-particle":"","parse-names":false,"suffix":""},{"dropping-particle":"","family":"Kielbratowska","given":"Bogumila","non-dropping-particle":"","parse-names":false,"suffix":""},{"dropping-particle":"","family":"Leon-Larios","given":"Fatima","non-dropping-particle":"","parse-names":false,"suffix":""},{"dropping-particle":"","family":"Magistretti","given":"Claudia Meier","non-dropping-particle":"","parse-names":false,"suffix":""},{"dropping-particle":"","family":"Downe","given":"Soo","non-dropping-particle":"","parse-names":false,"suffix":""},{"dropping-particle":"","family":"Lindström","given":"Bengt","non-dropping-particle":"","parse-names":false,"suffix":""},{"dropping-particle":"","family":"Dencker","given":"Anna","non-dropping-particle":"","parse-names":false,"suffix":""}],"container-title":"BMC Pregnancy and Childbirth","id":"ITEM-1","issue":"1","issued":{"date-parts":[["2019"]]},"page":"1-17","title":"Maternal plasma levels of oxytocin during physiological childbirth - A systematic review with implications for uterine contractions and central actions of oxytocin","type":"article-journal","volume":"19"},"uris":["http://www.mendeley.com/documents/?uuid=0103891d-0b45-4364-86b0-5428fb8722bd"]}],"mendeley":{"formattedCitation":"[22]","plainTextFormattedCitation":"[22]","previouslyFormattedCitation":"[22]"},"properties":{"noteIndex":0},"schema":"https://github.com/citation-style-language/schema/raw/master/csl-citation.json"}</w:instrText>
      </w:r>
      <w:r>
        <w:rPr>
          <w:rFonts w:ascii="Tw Cen MT" w:eastAsia="Twentieth Century" w:hAnsi="Tw Cen MT" w:cs="Twentieth Century"/>
          <w:sz w:val="24"/>
          <w:szCs w:val="24"/>
        </w:rPr>
        <w:fldChar w:fldCharType="separate"/>
      </w:r>
      <w:r w:rsidRPr="00556E74">
        <w:rPr>
          <w:rFonts w:ascii="Tw Cen MT" w:eastAsia="Twentieth Century" w:hAnsi="Tw Cen MT" w:cs="Twentieth Century"/>
          <w:noProof/>
          <w:sz w:val="24"/>
          <w:szCs w:val="24"/>
        </w:rPr>
        <w:t>[22]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In the head presentation, when the head is strong enough, the head will descend and begin to enter the pelvic cavity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{"citationItems":[{"id":"ITEM-1","itemData":{"DOI":"10.1016/j.placenta.2020.02.005","ISSN":"15323102","PMID":"32056784","abstract":"Term labour is a state of physiological inflammation orchestrated by multiple uterine tissues (both fetal and maternal). This physiological inflammation preceding and accompanying labour onset is characterized by an increase in cytokine and chemokine secretion by the fetal membranes, as well as uterine tissues (i.e., decidua and myometrium). Pro-inflammatory cytokines and chemokines activate circulating maternal peripheral leukocytes as well as the uterine vascular endothelium to permit leukocyte infiltration into the uterus. This inflammatory milieu, in the absence of infection, is required for the initiation of labour as the uterine-infiltrated leukocytes secrete matrix metalloproteinases to induce fetal membrane rupture and cervical ripening as well as various labour mediators, which promote contractions of the myometrium. Myometrial activation at term and the onset of labour contractions are directly related to the changes in the ovarian/placental hormone progesterone and its downstream mediators (i.e., the progesterone receptors, PRA/B), which are also critical for maintenance of pregnancy. Our recent data provides direct evidence in support of local and functional P4 withdrawal in the uterine muscle (myometrium) via the activator protein-1 (AP-1) mediated pathway. This review outlines known mechanisms regulating activation of human labour, including progesterone and cytokine signaling. Understanding of the molecular mechanism of myometrial activation and labour onset could facilitate the development of new therapeutics for high-risk pregnant women to prevent premature uterine activation and preterm birth.","author":[{"dropping-particle":"","family":"Shynlova","given":"Oksana","non-dropping-particle":"","parse-names":false,"suffix":""},{"dropping-particle":"","family":"Nadeem","given":"Lubna","non-dropping-particle":"","parse-names":false,"suffix":""},{"dropping-particle":"","family":"Zhang","given":"Jianhong","non-dropping-particle":"","parse-names":false,"suffix":""},{"dropping-particle":"","family":"Dunk","given":"Caroline","non-dropping-particle":"","parse-names":false,"suffix":""},{"dropping-particle":"","family":"Lye","given":"Stephen","non-dropping-particle":"","parse-names":false,"suffix":""}],"container-title":"Placenta","id":"ITEM-1","issue":"January","issued":{"date-parts":[["2020"]]},"page":"28-36","publisher":"Elsevier Ltd","title":"Myometrial activation: Novel concepts underlying labor","type":"article-journal","volume":"92"},"uris":["http://www.mendeley.com/documents/?uuid=4df585ad-4e57-4150-ab16-3241d7c8354c"]}],"mendeley":{"formattedCitation":"[23]","plainTextFormattedCitation":"[23]","previouslyFormattedCitation":"[23]"},"properties":{"noteIndex":0},"schema":"https://github.com/citation-style-language/schema/raw/master/csl-citation.json"}</w:instrText>
      </w:r>
      <w:r>
        <w:rPr>
          <w:rFonts w:ascii="Tw Cen MT" w:eastAsia="Twentieth Century" w:hAnsi="Tw Cen MT" w:cs="Twentieth Century"/>
          <w:sz w:val="24"/>
          <w:szCs w:val="24"/>
        </w:rPr>
        <w:fldChar w:fldCharType="separate"/>
      </w:r>
      <w:r w:rsidRPr="00556E74">
        <w:rPr>
          <w:rFonts w:ascii="Tw Cen MT" w:eastAsia="Twentieth Century" w:hAnsi="Tw Cen MT" w:cs="Twentieth Century"/>
          <w:noProof/>
          <w:sz w:val="24"/>
          <w:szCs w:val="24"/>
        </w:rPr>
        <w:t>[23]</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6EAF2BFE"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7777B9">
        <w:rPr>
          <w:rFonts w:ascii="Tw Cen MT" w:eastAsia="Twentieth Century" w:hAnsi="Tw Cen MT" w:cs="Twentieth Century"/>
          <w:sz w:val="24"/>
          <w:szCs w:val="24"/>
        </w:rPr>
        <w:t>Age can affect uterine contractions because a degenerative process will occur in women over 35 years old</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{"citationItems":[{"id":"ITEM-1","itemData":{"DOI":"10.1002/9781119235064.ch1","abstract":"Fourth edition. Labour and normal birth / Cathy Charles -- Vaginal examinations and amniotomy / Vicky Chapman -- Fetal heart rate monitoring in labour / Bryony Read -- Perineal trauma and suturing / Vicky Chapman -- Examination of the newborn baby at birth / Caroline Rutter -- Home birth / Cathy Charles -- Water for labour and birth / Cathy Charles -- Malpositions and malpresentations in labour / Vicky Chapman -- Slow progress in labour / Vicky Chapman -- Assisted birth: ventouse and forceps / Cathy Charles -- Caesarean section / Cathy Charles -- Vaginal birth after caesarean section / Vicky Chapman -- Preterm birth / Charlise Adams -- Breech birth / Lesley Shuttler -- Twins and higher-order births / Jo Coggins -- Obstetric haemorrhage / Hannah Bailey -- Emergencies in labour and birth / Hannah Bailey -- Neonatal and maternal resuscitation / Nick Castle -- Induction of labour / Cathy Charles -- Pre-eclampsia and diabetes / Annette Briley -- Stillbirth and neonatal death / Cathy Charles -- Risk management, litigation and complaints / Cathy Charles -- Intrapartum blood tests / Vicky Chapman -- Medicines and the midwife / Vicky Chapman.","author":[{"dropping-particle":"","family":"Charles","given":"Cathy","non-dropping-particle":"","parse-names":false,"suffix":""}],"container-title":"The Midwife's Labour and Birth Handbook","id":"ITEM-1","issued":{"date-parts":[["2017"]]},"page":"1-48","title":"Labour and normal birth","type":"article-journal"},"uris":["http://www.mendeley.com/documents/?uuid=20a7e478-ea70-4b65-b1fe-041b676877f9"]}],"mendeley":{"formattedCitation":"[24]","plainTextFormattedCitation":"[24]","previouslyFormattedCitation":"[24]"},"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[24]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7777B9">
        <w:rPr>
          <w:rFonts w:ascii="Tw Cen MT" w:eastAsia="Twentieth Century" w:hAnsi="Tw Cen MT" w:cs="Twentieth Century"/>
          <w:sz w:val="24"/>
          <w:szCs w:val="24"/>
        </w:rPr>
        <w:t xml:space="preserve">weakening the functional strength of the uterine muscles and pelvic muscles significantly affecting the delivery process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{"citationItems":[{"id":"ITEM-1","itemData":{"DOI":"10.1111/jpi.12566","ISSN":"1600079X","PMID":"30739346","abstract":"In humans, circulating levels of the hormone melatonin and the initiation of spontaneous labor are both higher at night than during the day. Since activation of uterine melatonin receptors can stimulate human in vitro uterine contractions and these receptors are only expressed on the uterine tissue of women in labor, we hypothesized that circulating melatonin concentrations would affect uterine contractions in vivo. We evaluated the impact of light-induced modulation of melatonin secretion on uterine contractions in women during late third trimester (~36-39 weeks) of pregnancy in two inpatient protocols. We found a significant (P &lt; 0.05) positive linear association between circulating melatonin concentrations and the number of uterine contractions under both protocols. On average, uterine contractions increased between 1.4 and 2.1 contractions per 30 minutes for every 10 pg/mL*h increase in melatonin concentration. These findings have both basic science and clinical implications for pregnant women, since endogenous melatonin levels and melatonin receptor activity can be altered by light and/or pharmaceutical agents.","author":[{"dropping-particle":"","family":"Rahman","given":"Shadab A.","non-dropping-particle":"","parse-names":false,"suffix":""},{"dropping-particle":"","family":"Bibbo","given":"Carolina","non-dropping-particle":"","parse-names":false,"suffix":""},{"dropping-particle":"","family":"Olcese","given":"James","non-dropping-particle":"","parse-names":false,"suffix":""},{"dropping-particle":"","family":"Czeisler","given":"Charles A.","non-dropping-particle":"","parse-names":false,"suffix":""},{"dropping-particle":"","family":"Robinson","given":"Julian N.","non-dropping-particle":"","parse-names":false,"suffix":""},{"dropping-particle":"","family":"Klerman","given":"Elizabeth B.","non-dropping-particle":"","parse-names":false,"suffix":""}],"container-title":"Journal of Pineal Research","id":"ITEM-1","issue":"4","issued":{"date-parts":[["2019"]]},"page":"1-7","title":"Relationship between endogenous melatonin concentrations and uterine contractions in late third trimester of human pregnancy","type":"article-journal","volume":"66"},"uris":["http://www.mendeley.com/documents/?uuid=5091075d-c11d-41aa-a99a-c309782517c4"]}],"mendeley":{"formattedCitation":"[25]","plainTextFormattedCitation":"[25]","previouslyFormattedCitation":"[25]"},"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[25]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This can result in weakened uterine contractions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{"citationItems":[{"id":"ITEM-1","itemData":{"DOI":"10.1002/9781119235064.ch1","abstract":"Fourth edition. Labour and normal birth / Cathy Charles -- Vaginal examinations and amniotomy / Vicky Chapman -- Fetal heart rate monitoring in labour / Bryony Read -- Perineal trauma and suturing / Vicky Chapman -- Examination of the newborn baby at birth / Caroline Rutter -- Home birth / Cathy Charles -- Water for labour and birth / Cathy Charles -- Malpositions and malpresentations in labour / Vicky Chapman -- Slow progress in labour / Vicky Chapman -- Assisted birth: ventouse and forceps / Cathy Charles -- Caesarean section / Cathy Charles -- Vaginal birth after caesarean section / Vicky Chapman -- Preterm birth / Charlise Adams -- Breech birth / Lesley Shuttler -- Twins and higher-order births / Jo Coggins -- Obstetric haemorrhage / Hannah Bailey -- Emergencies in labour and birth / Hannah Bailey -- Neonatal and maternal resuscitation / Nick Castle -- Induction of labour / Cathy Charles -- Pre-eclampsia and diabetes / Annette Briley -- Stillbirth and neonatal death / Cathy Charles -- Risk management, litigation and complaints / Cathy Charles -- Intrapartum blood tests / Vicky Chapman -- Medicines and the midwife / Vicky Chapman.","author":[{"dropping-particle":"","family":"Charles","given":"Cathy","non-dropping-particle":"","parse-names":false,"suffix":""}],"container-title":"The Midwife's Labour and Birth Handbook","id":"ITEM-1","issued":{"date-parts":[["2017"]]},"page":"1-48","title":"Labour and normal birth","type":"article-journal"},"uris":["http://www.mendeley.com/documents/?uuid=20a7e478-ea70-4b65-b1fe-041b676877f9"]}],"mendeley":{"formattedCitation":"[24]","plainTextFormattedCitation":"[24]","previouslyFormattedCitation":"[24]"},"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[24]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{"citationItems":[{"id":"ITEM-1","itemData":{"DOI":"10.1016/j.semperi.2019.151218","ISSN":"1558075X","PMID":"31843206","abstract":"Contractions are produced through a complex interplay of hormonal, mechanical, and electrical factors. In labor, contractions are measured using the Montevideo unit. Clinical considerations in labor wherein contraction assessment becomes paramount include the care of women whose labor is complicated by abnormal progress or tachysystole. In an era of obstetrics in which the high cesarean rate is a major issue of concern, there remain many questions as to how to best incorporate contraction monitoring into practice in order to optimize care. Technological advancement has led to the development on new modalities that can be used to study contraction physiology, and there may be an opportunity in the future to apply these methods for use in the clinical setting. This article also makes a case for the need to reevaluate the current measures of uterine contractile activity and the definition of contraction adequacy using updated definitions of normal labor progress.","author":[{"dropping-particle":"","family":"Gee","given":"Stephen E.","non-dropping-particle":"","parse-names":false,"suffix":""},{"dropping-particle":"","family":"Frey","given":"Heather A.","non-dropping-particle":"","parse-names":false,"suffix":""}],"container-title":"Seminars in Perinatology","id":"ITEM-1","issue":"2","issued":{"date-parts":[["2020"]]},"page":"151218","publisher":"Elsevier Inc.","title":"Contractions: Traditional concepts and their role in modern obstetrics","type":"article-journal","volume":"44"},"uris":["http://www.mendeley.com/documents/?uuid=98f333fc-b6cf-42da-b73c-2f74e6f53f5b"]}],"mendeley":{"formattedCitation":"[26]","plainTextFormattedCitation":"[26]","previouslyFormattedCitation":"[26]"},"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[26]</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p>
    <w:p w14:paraId="5137A01D"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This was supported by other results</w:t>
      </w:r>
      <w:r>
        <w:rPr>
          <w:rFonts w:ascii="Tw Cen MT" w:eastAsia="Twentieth Century" w:hAnsi="Tw Cen MT" w:cs="Twentieth Century"/>
          <w:sz w:val="24"/>
          <w:szCs w:val="24"/>
        </w:rPr>
        <w:t>,</w:t>
      </w:r>
      <w:r w:rsidRPr="0017286A">
        <w:rPr>
          <w:rFonts w:ascii="Tw Cen MT" w:eastAsia="Twentieth Century" w:hAnsi="Tw Cen MT" w:cs="Twentieth Century"/>
          <w:sz w:val="24"/>
          <w:szCs w:val="24"/>
        </w:rPr>
        <w:t xml:space="preserve"> </w:t>
      </w:r>
      <w:r>
        <w:rPr>
          <w:rFonts w:ascii="Tw Cen MT" w:eastAsia="Twentieth Century" w:hAnsi="Tw Cen MT" w:cs="Twentieth Century"/>
          <w:sz w:val="24"/>
          <w:szCs w:val="24"/>
        </w:rPr>
        <w:t>showing</w:t>
      </w:r>
      <w:r w:rsidRPr="0017286A">
        <w:rPr>
          <w:rFonts w:ascii="Tw Cen MT" w:eastAsia="Twentieth Century" w:hAnsi="Tw Cen MT" w:cs="Twentieth Century"/>
          <w:sz w:val="24"/>
          <w:szCs w:val="24"/>
        </w:rPr>
        <w:t xml:space="preserve"> significant differences in the two groups, and labor induction was significantly higher in the control group compared to the intervention group (p&lt;0.001). The mean cervical dilatation at admission was significantly higher in the experimental group than in the control group (p&lt;0.001). However, the type of delivery did not differ significantly between the two groups (p&lt;0.2). </w:t>
      </w:r>
      <w:r>
        <w:rPr>
          <w:rFonts w:ascii="Tw Cen MT" w:eastAsia="Twentieth Century" w:hAnsi="Tw Cen MT" w:cs="Twentieth Century"/>
          <w:sz w:val="24"/>
          <w:szCs w:val="24"/>
        </w:rPr>
        <w:t>Therefore,</w:t>
      </w:r>
      <w:r w:rsidRPr="0017286A">
        <w:rPr>
          <w:rFonts w:ascii="Tw Cen MT" w:eastAsia="Twentieth Century" w:hAnsi="Tw Cen MT" w:cs="Twentieth Century"/>
          <w:sz w:val="24"/>
          <w:szCs w:val="24"/>
        </w:rPr>
        <w:t xml:space="preserve"> it can be concluded that consumption of dates at the end of pregnancy increases spontaneous labor</w:t>
      </w:r>
      <w:r>
        <w:rPr>
          <w:rFonts w:ascii="Tw Cen MT" w:eastAsia="Twentieth Century" w:hAnsi="Tw Cen MT" w:cs="Twentieth Century"/>
          <w:sz w:val="24"/>
          <w:szCs w:val="24"/>
        </w:rPr>
        <w:t>. B</w:t>
      </w:r>
      <w:r w:rsidRPr="0017286A">
        <w:rPr>
          <w:rFonts w:ascii="Tw Cen MT" w:eastAsia="Twentieth Century" w:hAnsi="Tw Cen MT" w:cs="Twentieth Century"/>
          <w:sz w:val="24"/>
          <w:szCs w:val="24"/>
        </w:rPr>
        <w:t>ecause dates do not have side effects in pregnancy, it is recommended to consume them in pregnant women at the end of pregnancy</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{"citationItems":[{"id":"ITEM-1","itemData":{"abstract":"Although age-specific improvements in reproductive performance are common in iteroparous organisms, they are by no means universal. Reproductive tradeoffs are integral features of the life-histories of animal populations and may lead to complex breeding strategies among birds of different age. In particular, asymmetries in the costs and benefits of different components of reproduction for males and females may result in contrasting patterns of age-related parental investment between the sexes. We examined age-specific patterns of parental care in an eastern North American population of house finches (Carpodacus mexicanus) over a three-year period and found pronounced differences in the degree to which males and females provisioned young as they aged. Younger male house finches provided more care to offspring than did older males, yet in females it was the middle-aged mothers that provisioned young most often. This pattern of paternal care is inconsistent with condition-and experience-dependent investment, and instead may reflect male compensation for decreased maternal performance or an attempt by males to secure future breeding attempts with their mate. In contrast, the pattern of maternal provisioning mimics age-related trends in other female breeding efforts (e.g. clutch size, fledging success) for short-lived passerines, which may be governed by condition, experience, and the onset of senescence. These data emphasize the variability in parental tactics that characterizes birds of different sex and age, and the importance of considering the allocation of reproductive effort to competitions for mates, egg-production, and parental care in relation to age so that we may better understand the evolution of male and female breeding strategies in birds. Resumen. Diferencias intersexuales en el esfuerzo parental específico de la edad en el camachuelo mexica-no (Carpodacus mexicanus). Aunque las mejoras relacionadas con la edad en el éxito en la reproducción son comunes en los organismos iteróparos, no son completamente universa-les. Los compromisos reproductores son hechos integrales de las estrategias vitales de las poblaciones animales y pueden determinar estrategias reproductoras complejas entre aves de edades diferentes. En particular, las asimetrías en los costes y beneficios de los diferentes componentes de la reproducción para machos y hembras, pueden producir pautas contrastantes entre los sexos en la inversión parental relacionada con la edad. Nosot…","author":[{"dropping-particle":"","family":"Sandhi","given":"Shinta Ika","non-dropping-particle":"","parse-names":false,"suffix":""}],"id":"ITEM-1","issue":"2","issued":{"date-parts":[["2021"]]},"page":"39-62","title":"Pengaruh Konsumsi Kurma Ajwa Terhadap Kontraksi Uterus Dilihat Dari Lama Persalinan","type":"article-journal","volume":"48"},"uris":["http://www.mendeley.com/documents/?uuid=98352934-6ff4-4c1d-835e-26b51e89433d"]}],"mendeley":{"formattedCitation":"[20]","plainTextFormattedCitation":"[20]","previouslyFormattedCitation":"[20]"},"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[20]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5E0667A7"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According to the theories described above and the results </w:t>
      </w:r>
      <w:r>
        <w:rPr>
          <w:rFonts w:ascii="Tw Cen MT" w:eastAsia="Twentieth Century" w:hAnsi="Tw Cen MT" w:cs="Twentieth Century"/>
          <w:sz w:val="24"/>
          <w:szCs w:val="24"/>
        </w:rPr>
        <w:t>(</w:t>
      </w:r>
      <w:r w:rsidRPr="0017286A">
        <w:rPr>
          <w:rFonts w:ascii="Tw Cen MT" w:eastAsia="Twentieth Century" w:hAnsi="Tw Cen MT" w:cs="Twentieth Century"/>
          <w:sz w:val="24"/>
          <w:szCs w:val="24"/>
        </w:rPr>
        <w:t xml:space="preserve">the average and results of analysis </w:t>
      </w:r>
      <w:r w:rsidRPr="0017286A">
        <w:rPr>
          <w:rFonts w:ascii="Tw Cen MT" w:eastAsia="Twentieth Century" w:hAnsi="Tw Cen MT" w:cs="Twentieth Century"/>
          <w:sz w:val="24"/>
          <w:szCs w:val="24"/>
        </w:rPr>
        <w:lastRenderedPageBreak/>
        <w:t>of uterine contractions in the control group</w:t>
      </w:r>
      <w:r>
        <w:rPr>
          <w:rFonts w:ascii="Tw Cen MT" w:eastAsia="Twentieth Century" w:hAnsi="Tw Cen MT" w:cs="Twentieth Century"/>
          <w:sz w:val="24"/>
          <w:szCs w:val="24"/>
        </w:rPr>
        <w:t>)</w:t>
      </w:r>
      <w:r w:rsidRPr="0017286A">
        <w:rPr>
          <w:rFonts w:ascii="Tw Cen MT" w:eastAsia="Twentieth Century" w:hAnsi="Tw Cen MT" w:cs="Twentieth Century"/>
          <w:sz w:val="24"/>
          <w:szCs w:val="24"/>
        </w:rPr>
        <w:t xml:space="preserve"> of research in the working area of ​​the Kediri district health center, the researcher</w:t>
      </w:r>
      <w:r>
        <w:rPr>
          <w:rFonts w:ascii="Tw Cen MT" w:eastAsia="Twentieth Century" w:hAnsi="Tw Cen MT" w:cs="Twentieth Century"/>
          <w:sz w:val="24"/>
          <w:szCs w:val="24"/>
        </w:rPr>
        <w:t>s</w:t>
      </w:r>
      <w:r w:rsidRPr="0017286A">
        <w:rPr>
          <w:rFonts w:ascii="Tw Cen MT" w:eastAsia="Twentieth Century" w:hAnsi="Tw Cen MT" w:cs="Twentieth Century"/>
          <w:sz w:val="24"/>
          <w:szCs w:val="24"/>
        </w:rPr>
        <w:t xml:space="preserve"> conclude</w:t>
      </w:r>
      <w:r>
        <w:rPr>
          <w:rFonts w:ascii="Tw Cen MT" w:eastAsia="Twentieth Century" w:hAnsi="Tw Cen MT" w:cs="Twentieth Century"/>
          <w:sz w:val="24"/>
          <w:szCs w:val="24"/>
        </w:rPr>
        <w:t>s</w:t>
      </w:r>
      <w:r w:rsidRPr="0017286A">
        <w:rPr>
          <w:rFonts w:ascii="Tw Cen MT" w:eastAsia="Twentieth Century" w:hAnsi="Tw Cen MT" w:cs="Twentieth Century"/>
          <w:sz w:val="24"/>
          <w:szCs w:val="24"/>
        </w:rPr>
        <w:t xml:space="preserve"> that uterine contractions after receiving standard care had increased compared to before </w:t>
      </w:r>
      <w:r>
        <w:rPr>
          <w:rFonts w:ascii="Tw Cen MT" w:eastAsia="Twentieth Century" w:hAnsi="Tw Cen MT" w:cs="Twentieth Century"/>
          <w:sz w:val="24"/>
          <w:szCs w:val="24"/>
        </w:rPr>
        <w:t xml:space="preserve">receiving </w:t>
      </w:r>
      <w:r w:rsidRPr="0017286A">
        <w:rPr>
          <w:rFonts w:ascii="Tw Cen MT" w:eastAsia="Twentieth Century" w:hAnsi="Tw Cen MT" w:cs="Twentieth Century"/>
          <w:sz w:val="24"/>
          <w:szCs w:val="24"/>
        </w:rPr>
        <w:t>standard care to the control group, although the value is not significant.</w:t>
      </w:r>
    </w:p>
    <w:p w14:paraId="36C359D2" w14:textId="77777777" w:rsidR="007D62B8" w:rsidRPr="0017286A" w:rsidRDefault="007D62B8" w:rsidP="007D62B8">
      <w:pPr>
        <w:tabs>
          <w:tab w:val="left" w:pos="426"/>
        </w:tabs>
        <w:spacing w:after="0" w:line="240" w:lineRule="auto"/>
        <w:jc w:val="both"/>
        <w:rPr>
          <w:rFonts w:ascii="Tw Cen MT" w:eastAsia="Twentieth Century" w:hAnsi="Tw Cen MT" w:cs="Twentieth Century"/>
          <w:sz w:val="24"/>
          <w:szCs w:val="24"/>
        </w:rPr>
      </w:pPr>
      <w:r w:rsidRPr="0017286A">
        <w:rPr>
          <w:rFonts w:ascii="Tw Cen MT" w:eastAsia="Twentieth Century" w:hAnsi="Tw Cen MT" w:cs="Twentieth Century"/>
          <w:sz w:val="24"/>
          <w:szCs w:val="24"/>
        </w:rPr>
        <w:t xml:space="preserve">Table 4 shows that the average uterine contractions in the intervention group were 3.60 times in 10 minutes, while the average uterine contractions in the control group were 2.33 times in 10 minutes. It can be concluded that there are differences in uterine contractions in the two groups after </w:t>
      </w:r>
      <w:r>
        <w:rPr>
          <w:rFonts w:ascii="Tw Cen MT" w:eastAsia="Twentieth Century" w:hAnsi="Tw Cen MT" w:cs="Twentieth Century"/>
          <w:sz w:val="24"/>
          <w:szCs w:val="24"/>
        </w:rPr>
        <w:t>labor women are consuming</w:t>
      </w:r>
      <w:r w:rsidRPr="0017286A">
        <w:rPr>
          <w:rFonts w:ascii="Tw Cen MT" w:eastAsia="Twentieth Century" w:hAnsi="Tw Cen MT" w:cs="Twentieth Century"/>
          <w:sz w:val="24"/>
          <w:szCs w:val="24"/>
        </w:rPr>
        <w:t xml:space="preserve"> dates.</w:t>
      </w:r>
    </w:p>
    <w:p w14:paraId="7F599332" w14:textId="77777777" w:rsidR="007D62B8" w:rsidRPr="00CC4677" w:rsidRDefault="007D62B8" w:rsidP="007D62B8">
      <w:pPr>
        <w:tabs>
          <w:tab w:val="left" w:pos="426"/>
        </w:tabs>
        <w:spacing w:after="0" w:line="240" w:lineRule="auto"/>
        <w:jc w:val="both"/>
        <w:rPr>
          <w:rFonts w:ascii="Tw Cen MT" w:eastAsia="Twentieth Century" w:hAnsi="Tw Cen MT" w:cs="Twentieth Century"/>
          <w:sz w:val="24"/>
          <w:szCs w:val="24"/>
        </w:rPr>
      </w:pPr>
      <w:r w:rsidRPr="00336560">
        <w:rPr>
          <w:rFonts w:ascii="Tw Cen MT" w:eastAsia="Twentieth Century" w:hAnsi="Tw Cen MT" w:cs="Twentieth Century"/>
          <w:sz w:val="24"/>
          <w:szCs w:val="24"/>
        </w:rPr>
        <w:t>This study's results</w:t>
      </w:r>
      <w:r>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a</w:t>
      </w:r>
      <w:r>
        <w:rPr>
          <w:rFonts w:ascii="Tw Cen MT" w:eastAsia="Twentieth Century" w:hAnsi="Tw Cen MT" w:cs="Twentieth Century"/>
          <w:sz w:val="24"/>
          <w:szCs w:val="24"/>
        </w:rPr>
        <w:t>lign</w:t>
      </w:r>
      <w:r w:rsidRPr="0017286A">
        <w:rPr>
          <w:rFonts w:ascii="Tw Cen MT" w:eastAsia="Twentieth Century" w:hAnsi="Tw Cen MT" w:cs="Twentieth Century"/>
          <w:sz w:val="24"/>
          <w:szCs w:val="24"/>
        </w:rPr>
        <w:t xml:space="preserve"> with other studies explaining that </w:t>
      </w:r>
      <w:r w:rsidRPr="00C40A0A">
        <w:rPr>
          <w:rFonts w:ascii="Tw Cen MT" w:eastAsia="Twentieth Century" w:hAnsi="Tw Cen MT" w:cs="Twentieth Century"/>
          <w:i/>
          <w:iCs/>
          <w:sz w:val="24"/>
          <w:szCs w:val="24"/>
        </w:rPr>
        <w:t>phoenix dactylifera</w:t>
      </w:r>
      <w:r w:rsidRPr="0017286A">
        <w:rPr>
          <w:rFonts w:ascii="Tw Cen MT" w:eastAsia="Twentieth Century" w:hAnsi="Tw Cen MT" w:cs="Twentieth Century"/>
          <w:sz w:val="24"/>
          <w:szCs w:val="24"/>
        </w:rPr>
        <w:t xml:space="preserve"> </w:t>
      </w:r>
      <w:r>
        <w:rPr>
          <w:rFonts w:ascii="Tw Cen MT" w:eastAsia="Twentieth Century" w:hAnsi="Tw Cen MT" w:cs="Twentieth Century"/>
          <w:sz w:val="24"/>
          <w:szCs w:val="24"/>
        </w:rPr>
        <w:t>wa</w:t>
      </w:r>
      <w:r w:rsidRPr="0017286A">
        <w:rPr>
          <w:rFonts w:ascii="Tw Cen MT" w:eastAsia="Twentieth Century" w:hAnsi="Tw Cen MT" w:cs="Twentieth Century"/>
          <w:sz w:val="24"/>
          <w:szCs w:val="24"/>
        </w:rPr>
        <w:t>s effective for uterine contractions, in mothers in the group that consume</w:t>
      </w:r>
      <w:r>
        <w:rPr>
          <w:rFonts w:ascii="Tw Cen MT" w:eastAsia="Twentieth Century" w:hAnsi="Tw Cen MT" w:cs="Twentieth Century"/>
          <w:sz w:val="24"/>
          <w:szCs w:val="24"/>
        </w:rPr>
        <w:t>d dates</w:t>
      </w:r>
      <w:r w:rsidRPr="0017286A">
        <w:rPr>
          <w:rFonts w:ascii="Tw Cen MT" w:eastAsia="Twentieth Century" w:hAnsi="Tw Cen MT" w:cs="Twentieth Century"/>
          <w:sz w:val="24"/>
          <w:szCs w:val="24"/>
        </w:rPr>
        <w:t xml:space="preserve"> compared to </w:t>
      </w:r>
      <w:r>
        <w:rPr>
          <w:rFonts w:ascii="Tw Cen MT" w:eastAsia="Twentieth Century" w:hAnsi="Tw Cen MT" w:cs="Twentieth Century"/>
          <w:sz w:val="24"/>
          <w:szCs w:val="24"/>
        </w:rPr>
        <w:t xml:space="preserve">the group </w:t>
      </w:r>
      <w:r w:rsidRPr="0017286A">
        <w:rPr>
          <w:rFonts w:ascii="Tw Cen MT" w:eastAsia="Twentieth Century" w:hAnsi="Tw Cen MT" w:cs="Twentieth Century"/>
          <w:sz w:val="24"/>
          <w:szCs w:val="24"/>
        </w:rPr>
        <w:t>wh</w:t>
      </w:r>
      <w:r>
        <w:rPr>
          <w:rFonts w:ascii="Tw Cen MT" w:eastAsia="Twentieth Century" w:hAnsi="Tw Cen MT" w:cs="Twentieth Century"/>
          <w:sz w:val="24"/>
          <w:szCs w:val="24"/>
        </w:rPr>
        <w:t>ich its respondents</w:t>
      </w:r>
      <w:r w:rsidRPr="0017286A">
        <w:rPr>
          <w:rFonts w:ascii="Tw Cen MT" w:eastAsia="Twentieth Century" w:hAnsi="Tw Cen MT" w:cs="Twentieth Century"/>
          <w:sz w:val="24"/>
          <w:szCs w:val="24"/>
        </w:rPr>
        <w:t xml:space="preserve"> d</w:t>
      </w:r>
      <w:r>
        <w:rPr>
          <w:rFonts w:ascii="Tw Cen MT" w:eastAsia="Twentieth Century" w:hAnsi="Tw Cen MT" w:cs="Twentieth Century"/>
          <w:sz w:val="24"/>
          <w:szCs w:val="24"/>
        </w:rPr>
        <w:t>id</w:t>
      </w:r>
      <w:r w:rsidRPr="0017286A">
        <w:rPr>
          <w:rFonts w:ascii="Tw Cen MT" w:eastAsia="Twentieth Century" w:hAnsi="Tw Cen MT" w:cs="Twentieth Century"/>
          <w:sz w:val="24"/>
          <w:szCs w:val="24"/>
        </w:rPr>
        <w:t xml:space="preserve"> not consume dates (p = 0.001). </w:t>
      </w:r>
      <w:r w:rsidRPr="00CC4677">
        <w:rPr>
          <w:rFonts w:ascii="Tw Cen MT" w:eastAsia="Twentieth Century" w:hAnsi="Tw Cen MT" w:cs="Twentieth Century"/>
          <w:sz w:val="24"/>
          <w:szCs w:val="24"/>
        </w:rPr>
        <w:t xml:space="preserve">In addition, the results of the study were in line with the study which reported that the group consuming dates experienced more significant cervical dilatation, namely 96%, compared to those who did not consume dates, namely 79%. The incidence of using oxytocin for labor induction was less among those who consumed dates (28%), compared to those who did not consume dates (47%), and the active period was shorter in pregnant women who consumed dates and making it easier for the baby to come out during childbirth </w:t>
      </w:r>
      <w:r w:rsidRPr="00CC4677">
        <w:rPr>
          <w:rFonts w:ascii="Tw Cen MT" w:eastAsia="Twentieth Century" w:hAnsi="Tw Cen MT" w:cs="Twentieth Century"/>
          <w:sz w:val="24"/>
          <w:szCs w:val="24"/>
        </w:rPr>
        <w:fldChar w:fldCharType="begin" w:fldLock="1"/>
      </w:r>
      <w:r w:rsidRPr="00CC4677">
        <w:rPr>
          <w:rFonts w:ascii="Tw Cen MT" w:eastAsia="Twentieth Century" w:hAnsi="Tw Cen MT" w:cs="Twentieth Century"/>
          <w:sz w:val="24"/>
          <w:szCs w:val="24"/>
        </w:rPr>
        <w:instrText>ADDIN CSL_CITATION {"citationItems":[{"id":"ITEM-1","itemData":{"abstract":"Kala I merupakan permulaan persalinan yang dimulai dari kontraksi uterus atau dikenal dengan istilah his yang teratur dan kontraksi rahim atau dikenal sebagai \"his\" yang teratur dan terus meningkat (baik dalam frekuensi dan kekuatan) sampai terus meningkat (baik dalam frekuensi dan kekuatan) sampai serviks melebar hingga 10 cm (dilatasi lengkap). Panjangnya serviks melebar hingga 10 cm (dilatasi lengkap). Panjangnya kala I persalinan primigravida adalah 12 jam sedangkan untuk tahap pertama persalinan untuk primigravida adalah 12 jam multigravida adalah 8 jam. Penelitian ini bertujuan untuk mengetahui multigravida adalah 8 jam. Ini penelitian bertujuan untuk menentukan efektivitas konsumsi kurma di akhir kehamilan efektivitas konsumsi kurma di akhir kehamilan pada percepatan periode waktu tahap pertama persalinan. NS pada percepatan periode waktu tahap pertama persalinan. Jenis penelitian yang digunakan adalah kuasi eksperimen dengan eksperimental dengan grup statis pendekatan perbandingan. Teknik pengambilan sampel menggunakan purposive pendekatan perbandingan. Teknik pengambilan sampel menggunakan purposive pendekatan pengambilan sampel. Sampel dalam penelitian ini adalah 30 orang hamil pendekatan pengambilan sampel. Sampel dalam penelitian ini adalah 30 ibu hamil dengan usia kehamilan 37-38 minggu yang ditempatkan di usia kehamilan 38 minggu yang ditugaskan di kelompok kontrol dan kelompok eksperimen (mengkonsumsi kurma) kelompok kontrol dan kelompok eksperimen (mengkonsumsi data dengan 15 responden, masing-masing). Penelitian dilakukan di dengan 15 responden, masing-masing). Penelitian dilakukan di Puskesmas Sumber Jaya Kabupaten Majalengka Puskesmas Sumber Jaya Kabupaten Majalengka mulai 1 April hingga 10 Juni 2019. Analisis data univariat adalah dari 1 April hingga 10 Juni 2019. Analisis data univariat adalah dilakukan dengan dilakukan dengan pusat pusat distribusi kecenderungan distribusi kecenderungan dan bivariat dan bivariat analisis dilakukan dengan uji t berpasangan. Hasilnya menunjukkan bahwa s dilakukan dengan uji t berpasangan. Hasil penelitian menunjukkan bahwa kemajuan persalinan kala I yang paling cepat dilihat dari Kemajuan tercepat kala I persalinan dilihat dari durasi sampai dilatasi lengkap (10 cm) durasi sampai dilatasi lengkap (10 cm) di grup 1 di grup 1(perlakuan) adalah 0 jam dan pada kelompok 2 (kontrol) adalah 1 jam, sedangkan (perlakuan) adalah 0 jam dan pada kelompok 2 (kontrol) adalah 1 jam, sedangkan kemajuan paling lambat…","author":[{"dropping-particle":"","family":"Astari","given":"Ruri Yuni","non-dropping-particle":"","parse-names":false,"suffix":""},{"dropping-particle":"","family":"Dewi","given":"Yuspita Dewi","non-dropping-particle":"","parse-names":false,"suffix":""}],"container-title":"Wellness and Healthy Magazine","id":"ITEM-1","issue":"February","issued":{"date-parts":[["2019"]]},"page":"1-9","title":"Konsumsi Kurma Pada Akhir Kehamilan Terhadap Percepatan Kala 1 Persalinana","type":"article-journal","volume":"2"},"uris":["http://www.mendeley.com/documents/?uuid=b7e3beee-904a-4109-9671-bf4d96d5bc00"]}],"mendeley":{"formattedCitation":"[14]","plainTextFormattedCitation":"[14]","previouslyFormattedCitation":"[14]"},"properties":{"noteIndex":0},"schema":"https://github.com/citation-style-language/schema/raw/master/csl-citation.json"}</w:instrText>
      </w:r>
      <w:r w:rsidRPr="00CC4677">
        <w:rPr>
          <w:rFonts w:ascii="Tw Cen MT" w:eastAsia="Twentieth Century" w:hAnsi="Tw Cen MT" w:cs="Twentieth Century"/>
          <w:sz w:val="24"/>
          <w:szCs w:val="24"/>
        </w:rPr>
        <w:fldChar w:fldCharType="separate"/>
      </w:r>
      <w:r w:rsidRPr="00CC4677">
        <w:rPr>
          <w:rFonts w:ascii="Tw Cen MT" w:eastAsia="Twentieth Century" w:hAnsi="Tw Cen MT" w:cs="Twentieth Century"/>
          <w:noProof/>
          <w:sz w:val="24"/>
          <w:szCs w:val="24"/>
        </w:rPr>
        <w:t>[14]</w:t>
      </w:r>
      <w:r w:rsidRPr="00CC4677">
        <w:rPr>
          <w:rFonts w:ascii="Tw Cen MT" w:eastAsia="Twentieth Century" w:hAnsi="Tw Cen MT" w:cs="Twentieth Century"/>
          <w:sz w:val="24"/>
          <w:szCs w:val="24"/>
        </w:rPr>
        <w:fldChar w:fldCharType="end"/>
      </w:r>
      <w:r w:rsidRPr="00CC4677">
        <w:rPr>
          <w:rFonts w:ascii="Tw Cen MT" w:eastAsia="Twentieth Century" w:hAnsi="Tw Cen MT" w:cs="Twentieth Century"/>
          <w:sz w:val="24"/>
          <w:szCs w:val="24"/>
        </w:rPr>
        <w:t>.</w:t>
      </w:r>
    </w:p>
    <w:p w14:paraId="2A70D110" w14:textId="77777777" w:rsidR="007D62B8" w:rsidRDefault="007D62B8" w:rsidP="007D62B8">
      <w:pPr>
        <w:tabs>
          <w:tab w:val="left" w:pos="426"/>
        </w:tabs>
        <w:spacing w:after="0" w:line="240" w:lineRule="auto"/>
        <w:jc w:val="both"/>
        <w:rPr>
          <w:rFonts w:ascii="Tw Cen MT" w:eastAsia="Twentieth Century" w:hAnsi="Tw Cen MT" w:cs="Twentieth Century"/>
          <w:sz w:val="24"/>
          <w:szCs w:val="24"/>
        </w:rPr>
      </w:pPr>
      <w:r w:rsidRPr="00CE1A2A">
        <w:rPr>
          <w:rFonts w:ascii="Tw Cen MT" w:eastAsia="Twentieth Century" w:hAnsi="Tw Cen MT" w:cs="Twentieth Century"/>
          <w:sz w:val="24"/>
          <w:szCs w:val="24"/>
        </w:rPr>
        <w:t xml:space="preserve">The hormone oxytocin, as the name implies, is very powerful in stimulating the pregnant uterus, especially in late pregnancy </w:t>
      </w:r>
      <w:r w:rsidRPr="00CE1A2A">
        <w:rPr>
          <w:rFonts w:ascii="Tw Cen MT" w:eastAsia="Twentieth Century" w:hAnsi="Tw Cen MT" w:cs="Twentieth Century"/>
          <w:sz w:val="24"/>
          <w:szCs w:val="24"/>
        </w:rPr>
        <w:fldChar w:fldCharType="begin" w:fldLock="1"/>
      </w:r>
      <w:r w:rsidRPr="00CE1A2A">
        <w:rPr>
          <w:rFonts w:ascii="Tw Cen MT" w:eastAsia="Twentieth Century" w:hAnsi="Tw Cen MT" w:cs="Twentieth Century"/>
          <w:sz w:val="24"/>
          <w:szCs w:val="24"/>
        </w:rPr>
        <w:instrText>ADDIN CSL_CITATION {"citationItems":[{"id":"ITEM-1","itemData":{"DOI":"10.1016/j.cophys.2019.10.006","ISSN":"24688673","abstract":"Oxytocin and vasopressin are potent stimulants of uterine contractions. The importance of these hormones, particularly oxytocin, in pregnancy and labour, has been extensively studied and has paved the way for many important discoveries focused on the management of uterine contractions in labour. This includes development of therapies modelled on their structure or drug-delivery strategies targeting their receptors. This review will summarise our current knowledge of oxytocin and vasopressin signalling in myometrium and describe recent advances which have shed light on their roles in parturition, including novel roles for oxytocin as an inflammatory mediator and a regulator of gene transcription. How this information may impact the development and delivery of new oxytocin receptor-focussed therapies for preterm birth and dysfunctional labour will be discussed. Issues that warrant further investigation and which are necessary for expanding the therapeutic potential of these important signalling molecules are also highlighted.","author":[{"dropping-particle":"","family":"Arrowsmith","given":"Sarah","non-dropping-particle":"","parse-names":false,"suffix":""}],"container-title":"Current Opinion in Physiology","id":"ITEM-1","issued":{"date-parts":[["2020"]]},"page":"62-70","publisher":"Elsevier Ltd","title":"Oxytocin and vasopressin signalling and myometrial contraction","type":"article-journal","volume":"13"},"uris":["http://www.mendeley.com/documents/?uuid=dab24800-336a-402f-aa0a-ce5b9913f8c4"]}],"mendeley":{"formattedCitation":"[27]","plainTextFormattedCitation":"[27]","previouslyFormattedCitation":"[27]"},"properties":{"noteIndex":0},"schema":"https://github.com/citation-style-language/schema/raw/master/csl-citation.json"}</w:instrText>
      </w:r>
      <w:r w:rsidRPr="00CE1A2A">
        <w:rPr>
          <w:rFonts w:ascii="Tw Cen MT" w:eastAsia="Twentieth Century" w:hAnsi="Tw Cen MT" w:cs="Twentieth Century"/>
          <w:sz w:val="24"/>
          <w:szCs w:val="24"/>
        </w:rPr>
        <w:fldChar w:fldCharType="separate"/>
      </w:r>
      <w:r w:rsidRPr="00CE1A2A">
        <w:rPr>
          <w:rFonts w:ascii="Tw Cen MT" w:eastAsia="Twentieth Century" w:hAnsi="Tw Cen MT" w:cs="Twentieth Century"/>
          <w:noProof/>
          <w:sz w:val="24"/>
          <w:szCs w:val="24"/>
        </w:rPr>
        <w:t>[27]</w:t>
      </w:r>
      <w:r w:rsidRPr="00CE1A2A">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 xml:space="preserve">Therefore, many obstetricians believe that this hormone plays a role in the </w:t>
      </w:r>
      <w:r w:rsidRPr="00336560">
        <w:rPr>
          <w:rFonts w:ascii="Tw Cen MT" w:eastAsia="Twentieth Century" w:hAnsi="Tw Cen MT" w:cs="Twentieth Century"/>
          <w:sz w:val="24"/>
          <w:szCs w:val="24"/>
        </w:rPr>
        <w:t>baby's delivery</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{"citationItems":[{"id":"ITEM-1","itemData":{"DOI":"10.3390/diagnostics10100840","ISSN":"20754418","abstract":"Magnetic resonance imaging (MRI) is a promising non-invasive imaging technique that can be safely used to study placental development and function. However, studies of the human placenta performed by MRI are limited by uterine motion and motion in the uterus during MRI remains one of the major limiting factors. Here, we aimed to investigate the characterization of uterine activity during MRI in the second trimester of pregnancy using MRI-based motion tracking. In total, 46 pregnant women were scanned twice (first scan between 14 and 18 weeks and second scan between 19 and 24 weeks), and 20 pregnant subjects underwent a single MRI between 14 and 18 weeks GA, resulting in 112 MRI scans. An MRI-based algorithm was used to track uterine motion in the superior-inferior and left-right directions. Uterine contraction and maternal motion cases were separated by the experts, and unpaired Wilcoxon tests were performed within the groups of gestational age (GA), fetal sex, and placental location in terms of the overall intensity measures of the uterine activity. In total, 22.3% of cases had uterine contraction during MRI, which increased from 18.6% at 14–18 weeks to 26.4% at 19–24 weeks GA. The dominant direction of the uterine contraction and maternal motion was the superior to the inferior direction during early gestation.","author":[{"dropping-particle":"","family":"Martin","given":"Thomas","non-dropping-particle":"","parse-names":false,"suffix":""},{"dropping-particle":"","family":"Janzen","given":"Carla","non-dropping-particle":"","parse-names":false,"suffix":""},{"dropping-particle":"","family":"Li","given":"Xinzhou","non-dropping-particle":"","parse-names":false,"suffix":""},{"dropping-particle":"Del","family":"Rosario","given":"Irish","non-dropping-particle":"","parse-names":false,"suffix":""},{"dropping-particle":"","family":"Chanlaw","given":"Teresa","non-dropping-particle":"","parse-names":false,"suffix":""},{"dropping-particle":"","family":"Choi","given":"Sarah","non-dropping-particle":"","parse-names":false,"suffix":""},{"dropping-particle":"","family":"Armstrong","given":"Tess","non-dropping-particle":"","parse-names":false,"suffix":""},{"dropping-particle":"","family":"Masamed","given":"Rinat","non-dropping-particle":"","parse-names":false,"suffix":""},{"dropping-particle":"","family":"Wu","given":"Holden H.","non-dropping-particle":"","parse-names":false,"suffix":""},{"dropping-particle":"","family":"Devaskar","given":"Sherin U.","non-dropping-particle":"","parse-names":false,"suffix":""},{"dropping-particle":"","family":"Sung","given":"Kyunghyun","non-dropping-particle":"","parse-names":false,"suffix":""}],"container-title":"Diagnostics","id":"ITEM-1","issue":"10","issued":{"date-parts":[["2020"]]},"page":"1-10","title":"Characterization of uterine motion in early gestation using MRI-based motion tracking","type":"article-journal","volume":"10"},"uris":["http://www.mendeley.com/documents/?uuid=52db54de-d667-4678-acb9-24bf77ad8dc1"]}],"mendeley":{"formattedCitation":"[28]","plainTextFormattedCitation":"[28]","previouslyFormattedCitation":"[28]"},"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[28]</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The factors that determine the Effect of oxytocin on uterine contractions are receptor levels, receptor desensitization, and oxytocin production</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{"citationItems":[{"id":"ITEM-1","itemData":{"DOI":"10.1016/j.ijoa.2021.102961","ISSN":"15323374","PMID":"33631681","abstract":"Background: Postpartum uterine contraction pain has not been studied sufficiently. We aimed to assess the incidence, intensity, and risk factors for postpartum uterine contraction pain. Methods: Women with singleton pregnancies who delivered vaginally were enrolled in this prospective, observational, single-institution study. We determined the numerical rating scale (NRS) score (0 to 10-point) for uterine contraction pain at 6 h, 12 h, 24 h, and 48 h after delivery. Generalized mixed modeling was used to identify the risk factors for significant postpartum uterine contraction pain (NRS score ≥3). We compared the incidence and severity of postpartum uterine contraction pain between nulliparous and multiparous women. Results: Two hundred and sixty-five nulliparous and 139 multiparous women were included. Forty-seven percent (188/404; 95% confidence interval [CI] 41.7% to 51.4%) of women presented with significant uterine contraction pain within 48 h of delivery. The generalized mixed model showed that nulliparous women had a lower risk of significant postpartum uterine contraction pain compared with multiparous women (odds ratio [OR] 0.33, 95% CI 0.17 to 0.61; P&lt;0.001). Women with a history of dysmenorrhea had higher risk of significant postpartum uterine contraction pain (OR 1.77, 95% CI 1.12 to 2.79; P=0.014). Both nulliparous and multiparous women reported more intense uterine contraction pain while breastfeeding (P&lt;0.001). Conclusions: Postpartum uterine contraction pain is common and severe in some women. Parity and history of dysmenorrhea are significant risk factors for significant postpartum uterine contraction pain.","author":[{"dropping-particle":"","family":"Fang","given":"X.","non-dropping-particle":"","parse-names":false,"suffix":""},{"dropping-particle":"","family":"Huan","given":"Y.","non-dropping-particle":"","parse-names":false,"suffix":""},{"dropping-particle":"","family":"Tao","given":"Y.","non-dropping-particle":"","parse-names":false,"suffix":""},{"dropping-particle":"","family":"Song","given":"Y.","non-dropping-particle":"","parse-names":false,"suffix":""},{"dropping-particle":"","family":"Du","given":"W.","non-dropping-particle":"","parse-names":false,"suffix":""},{"dropping-particle":"","family":"Liu","given":"Z.","non-dropping-particle":"","parse-names":false,"suffix":""},{"dropping-particle":"","family":"Xu","given":"Z.","non-dropping-particle":"","parse-names":false,"suffix":""}],"container-title":"International Journal of Obstetric Anesthesia","id":"ITEM-1","issue":"October 2018","issued":{"date-parts":[["2021"]]},"title":"Incidence, severity, and determinants of uterine contraction pain after vaginal delivery: a prospective observational study","type":"article-journal","volume":"46"},"uris":["http://www.mendeley.com/documents/?uuid=e5daf4cd-c6ed-4f8c-995f-99ad1b8f0db3"]}],"mendeley":{"formattedCitation":"[29]","plainTextFormattedCitation":"[29]","previouslyFormattedCitation":"[29]"},"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[29]</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{"citationItems":[{"id":"ITEM-1","itemData":{"DOI":"10.1111/apha.13607","ISSN":"17481716","PMID":"33337577","abstract":"Aberrant uterine contractions can lead to preterm birth and other labour complications and are a significant cause of maternal morbidity and mortality. To investigate the mechanisms underlying dysfunctional uterine contractions, researchers have used experimentally tractable small animal models. However, biological differences between humans and rodents change how researchers select their animal model and interpret their results. Here, we provide a general review of studies of uterine excitation and contractions in mice, rats, guinea pigs, and humans, in an effort to introduce new researchers to the field and help in the design and interpretation of experiments in rodent models.","author":[{"dropping-particle":"","family":"Malik","given":"Manasi","non-dropping-particle":"","parse-names":false,"suffix":""},{"dropping-particle":"","family":"Roh","given":"Michelle","non-dropping-particle":"","parse-names":false,"suffix":""},{"dropping-particle":"","family":"England","given":"Sarah K.","non-dropping-particle":"","parse-names":false,"suffix":""}],"container-title":"Acta Physiologica","id":"ITEM-1","issue":"4","issued":{"date-parts":[["2021"]]},"page":"1-17","title":"Uterine contractions in rodent models and humans","type":"article-journal","volume":"231"},"uris":["http://www.mendeley.com/documents/?uuid=9c7f47b4-81f7-49c6-a67d-355d7c9ab4bd"]}],"mendeley":{"formattedCitation":"[30]","plainTextFormattedCitation":"[30]","previouslyFormattedCitation":"[30]"},"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[30]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17286A">
        <w:rPr>
          <w:rFonts w:ascii="Tw Cen MT" w:eastAsia="Twentieth Century" w:hAnsi="Tw Cen MT" w:cs="Twentieth Century"/>
          <w:sz w:val="24"/>
          <w:szCs w:val="24"/>
        </w:rPr>
        <w:t>The main physiological force during labor is uterine contraction</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{"citationItems":[{"id":"ITEM-1","itemData":{"DOI":"10.1016/j.placenta.2020.04.008","ISSN":"15323102","PMID":"32452404","abstract":"Introduction: Before using blood-oxygen-level-dependent magnetic resonance imaging (BOLD MRI) during maternal hyperoxia as a method to detect individual placental dysfunction, it is necessary to understand spatiotemporal variations that represent normal placental function. We investigated the effect of maternal position and Braxton-Hicks contractions on estimates obtained from BOLD MRI of the placenta during maternal hyperoxia. Methods: For 24 uncomplicated singleton pregnancies (gestational age 27–36 weeks), two separate BOLD MRI datasets were acquired, one in the supine and one in the left lateral maternal position. The maternal oxygenation was adjusted as 5 min of room air (21% O2), followed by 5 min of 100% FiO2. After datasets were corrected for signal non-uniformities and motion, global and regional BOLD signal changes in R2* and voxel-wise Time-To-Plateau (TTP) in the placenta were measured. The overall placental and uterine volume changes were determined across time to detect contractions. Results: In mothers without contractions, increases in global placental R2* in the supine position were larger compared to the left lateral position with maternal hyperoxia. Maternal position did not alter global TTP but did result in regional changes in TTP. 57% of the subjects had Braxton-Hicks contractions and 58% of these had global placental R2* decreases during the contraction. Conclusion: Both maternal position and Braxton-Hicks contractions significantly affect global and regional changes in placental R2* and regional TTP. This suggests that both factors must be taken into account in analyses when comparing placental BOLD signals over time within and between individuals.","author":[{"dropping-particle":"","family":"Abaci Turk","given":"Esra","non-dropping-particle":"","parse-names":false,"suffix":""},{"dropping-particle":"","family":"Abulnaga","given":"S. Mazdak","non-dropping-particle":"","parse-names":false,"suffix":""},{"dropping-particle":"","family":"Luo","given":"Jie","non-dropping-particle":"","parse-names":false,"suffix":""},{"dropping-particle":"","family":"Stout","given":"Jeffrey N.","non-dropping-particle":"","parse-names":false,"suffix":""},{"dropping-particle":"","family":"Feldman","given":"Henry A.","non-dropping-particle":"","parse-names":false,"suffix":""},{"dropping-particle":"","family":"Turk","given":"Ata","non-dropping-particle":"","parse-names":false,"suffix":""},{"dropping-particle":"","family":"Gagoski","given":"Borjan","non-dropping-particle":"","parse-names":false,"suffix":""},{"dropping-particle":"","family":"Wald","given":"Lawrence L.","non-dropping-particle":"","parse-names":false,"suffix":""},{"dropping-particle":"","family":"Adalsteinsson","given":"Elfar","non-dropping-particle":"","parse-names":false,"suffix":""},{"dropping-particle":"","family":"Roberts","given":"Drucilla J.","non-dropping-particle":"","parse-names":false,"suffix":""},{"dropping-particle":"","family":"Bibbo","given":"Carolina","non-dropping-particle":"","parse-names":false,"suffix":""},{"dropping-particle":"","family":"Robinson","given":"Julian N.","non-dropping-particle":"","parse-names":false,"suffix":""},{"dropping-particle":"","family":"Golland","given":"Polina","non-dropping-particle":"","parse-names":false,"suffix":""},{"dropping-particle":"","family":"Grant","given":"P. Ellen","non-dropping-particle":"","parse-names":false,"suffix":""},{"dropping-particle":"","family":"Barth","given":"William H.","non-dropping-particle":"","parse-names":false,"suffix":""}],"container-title":"Placenta","id":"ITEM-1","issue":"April","issued":{"date-parts":[["2020"]]},"page":"69-77","publisher":"Elsevier Ltd","title":"Placental MRI: Effect of maternal position and uterine contractions on placental BOLD MRI measurements","type":"article-journal","volume":"95"},"uris":["http://www.mendeley.com/documents/?uuid=c5743688-8fd8-45c9-8821-474772412440"]}],"mendeley":{"formattedCitation":"[31]","plainTextFormattedCitation":"[31]","previouslyFormattedCitation":"[31]"},"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[31]</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There</w:t>
      </w:r>
      <w:r w:rsidRPr="0017286A">
        <w:rPr>
          <w:rFonts w:ascii="Tw Cen MT" w:eastAsia="Twentieth Century" w:hAnsi="Tw Cen MT" w:cs="Twentieth Century"/>
          <w:sz w:val="24"/>
          <w:szCs w:val="24"/>
        </w:rPr>
        <w:t xml:space="preserve"> are waves of rhythmic contractions of the smooth muscle of the uterine wall that begin in the uterine fundus</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{"citationItems":[{"id":"ITEM-1","itemData":{"DOI":"10.1055/s-0040-1715170","ISSN":"21577005","abstract":"Objective The main aim of this study was to characterize the duration of the third stage of labor and estimated blood loss in twin vaginal deliveries. Study Design This was a retrospective case-control study. The data was collected from deliveries at the University of Arkansas for Medical Sciences in Little Rock, Arkansas, from January 2013 to June 2017. Women were identified who had twin gestation, were delivered vaginally, and whose maternal age was greater than 18 years old. Women were excluded if they had an intrauterine fetal demise, delivered either/both fetuses via cesarean, history of a previous cesarean or a fetus with a congenital anomaly. If a subject met criteria to be included in the study, the next normal singleton vaginal delivery was used as the control subject. Results There were 132 singleton vaginal deliveries and 133 twin vaginal deliveries analyzed. There was no significant difference in the length of the third stage of labor between twin and singleton vaginal deliveries except in the 95th percentile of the distribution. Mothers delivering twins had an increase in third-stage duration by 7.618 minutes (95% confidence interval [CI]: 0.73, 14.50; p = 0.03) compared with those who delivered singletons. The twin group had a higher estimated blood loss than singleton deliveries. The increase in blood loss in the twin group was 149.02 mL (95% CI: 100.2, 197.8), 257.01 mL (95% CI: 117.9, 396.1), and 381.53 mL (95% CI: 201.1, 562.1) at the 50th, 90th, and 95th percentiles, respectively. When the third stage of labor was at the 90th percentile or less in twin pregnancy (14 minutes), estimated blood loss was less than 1000 mL. Conclusion Twin pregnancy is a known risk factor for postpartum hemorrhage. As the duration of the third stage prolongs, the risk for hemorrhage also increases. We recommend delivery of the placenta in twin pregnancies by 15 minutes to reduce this risk. Key Points The third stage is longer in twin pregnancy at extremes. Twin placentas should be delivered by 15 minutes. Manually extract the placenta when third stage is prolonged.","author":[{"dropping-particle":"","family":"Whittington","given":"Julie R.","non-dropping-particle":"","parse-names":false,"suffix":""},{"dropping-particle":"","family":"Pagan","given":"Megan","non-dropping-particle":"","parse-names":false,"suffix":""},{"dropping-particle":"","family":"Daugherty","given":"Kristen","non-dropping-particle":"","parse-names":false,"suffix":""},{"dropping-particle":"","family":"Cummings","given":"Kelly","non-dropping-particle":"","parse-names":false,"suffix":""},{"dropping-particle":"","family":"Ounpraseuth","given":"Songthip T.","non-dropping-particle":"","parse-names":false,"suffix":""},{"dropping-particle":"","family":"Eads","given":"Lauren","non-dropping-particle":"","parse-names":false,"suffix":""},{"dropping-particle":"","family":"Magann","given":"Everett F.","non-dropping-particle":"","parse-names":false,"suffix":""}],"container-title":"AJP Reports","id":"ITEM-1","issue":"3","issued":{"date-parts":[["2020"]]},"page":"E330-E334","title":"Duration of the Third Stage of Labor and Estimated Blood Loss in Twin Vaginal Deliveries","type":"article-journal","volume":"10"},"uris":["http://www.mendeley.com/documents/?uuid=121dfd7d-bb47-409a-b153-bdd09294556d"]}],"mendeley":{"formattedCitation":"[32]","plainTextFormattedCitation":"[32]","previouslyFormattedCitation":"[32]"},"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[32]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T</w:t>
      </w:r>
      <w:r w:rsidRPr="0017286A">
        <w:rPr>
          <w:rFonts w:ascii="Tw Cen MT" w:eastAsia="Twentieth Century" w:hAnsi="Tw Cen MT" w:cs="Twentieth Century"/>
          <w:sz w:val="24"/>
          <w:szCs w:val="24"/>
        </w:rPr>
        <w:t xml:space="preserve">he initial wave is </w:t>
      </w:r>
      <w:r w:rsidRPr="0017286A">
        <w:rPr>
          <w:rFonts w:ascii="Tw Cen MT" w:eastAsia="Twentieth Century" w:hAnsi="Tw Cen MT" w:cs="Twentieth Century"/>
          <w:sz w:val="24"/>
          <w:szCs w:val="24"/>
        </w:rPr>
        <w:t xml:space="preserve">obtained from the pacemaker in the uterine wall, which </w:t>
      </w:r>
      <w:r>
        <w:rPr>
          <w:rFonts w:ascii="Tw Cen MT" w:eastAsia="Twentieth Century" w:hAnsi="Tw Cen MT" w:cs="Twentieth Century"/>
          <w:sz w:val="24"/>
          <w:szCs w:val="24"/>
        </w:rPr>
        <w:t>usually</w:t>
      </w:r>
      <w:r w:rsidRPr="0017286A">
        <w:rPr>
          <w:rFonts w:ascii="Tw Cen MT" w:eastAsia="Twentieth Century" w:hAnsi="Tw Cen MT" w:cs="Twentieth Century"/>
          <w:sz w:val="24"/>
          <w:szCs w:val="24"/>
        </w:rPr>
        <w:t xml:space="preserve"> leads to the cervical canal area (birth canal), which opens to push the contents of the uterus out</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{"citationItems":[{"id":"ITEM-1","itemData":{"abstract":"Kesehatan ibu dan anak merupakan sebuah indikator penting yang digunakan untuk pengukir derajat kesehatan pada suatu negara","author":[{"dropping-particle":"","family":"Anggraini","given":"Dina Dewi","non-dropping-particle":"","parse-names":false,"suffix":""}],"edition":"Cetakan Pe","editor":[{"dropping-particle":"","family":"Sulung","given":"Dr Neila","non-dropping-particle":"","parse-names":false,"suffix":""}],"id":"ITEM-1","issued":{"date-parts":[["2022"]]},"publisher-place":"Padang, Sumatera Barat","title":"Asuhan Kegawatdaruratan Maternal Neonatal","type":"book"},"uris":["http://www.mendeley.com/documents/?uuid=126f6d4f-902a-496e-8769-1a965592e11c"]}],"mendeley":{"formattedCitation":"[33]","plainTextFormattedCitation":"[33]","previouslyFormattedCitation":"[33]"},"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[33]</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{"citationItems":[{"id":"ITEM-1","itemData":{"DOI":"10.1080/14767058.2020.1730797","ISSN":"14764954","PMID":"32089031","abstract":"Background: Pregnancies conceived by in vitro fertilization (IVF) are associated with a higher prevalence of perinatal complications than pregnancies conceived spontaneously, even after correction of confounding factors. Little is known about the prevalence of complications of the third stage of labor in IVF pregnancies. Objective: To compare the prevalence and types of complications of the third stage of labor following vaginal delivery of singleton infants born to matched groups of women who conceived through IVF or spontaneously. Study design: A retrospective case-control study design was used. The electronic delivery files of a tertiary medical center were reviewed for all women with a singleton IVF pregnancy who gave birth by vaginal delivery from August 2011 to March 2014. The women were matched 1:2 for age, gravidity, parity, and week of delivery to women with a singleton spontaneously conceived pregnancy who gave birth by vaginal delivery during the same period at the same hospital. The impact of mode of conception on the length and complications of the third stage of labor was evaluated. Results: The study group consisted of 242 women with IVF pregnancies (cases), and 484 matched controls with spontaneously conceived pregnancies (controls). The length of the third stage was similar in the cases and controls (14.23 ± 8.89 and 13.69 ± 9.19 min, respectively). IVF pregnancy was associated with a significantly higher rate of postpartum hemorrhage (PPH) (5.79 versus 1.45%, p =.001), manual removal of retained placenta (11.98 versus 7.02%, p =.025), and blood transfusion (2.07 versus 0.41%, p =.032). On multivariate analysis, pregnancy conceived by IVF was an independent risk factor for an adverse outcome of the third stage of labor (OR 2.86, 95% CI 1.53–5.33). Conclusion: After correction for confounders, IVF conception proved to be a significant independent risk factor for PPH, manual removal of the placenta, and blood transfusion in the third stage of labor. Therefore, the management of women who give birth vaginally following IVF pregnancy should be designed to anticipate complications in the third stage even in the absence of other risk factors.","author":[{"dropping-particle":"","family":"Wertheimer","given":"Avital","non-dropping-particle":"","parse-names":false,"suffix":""},{"dropping-particle":"","family":"Melamed","given":"Sharon","non-dropping-particle":"","parse-names":false,"suffix":""},{"dropping-particle":"","family":"Ashwal","given":"Eran","non-dropping-particle":"","parse-names":false,"suffix":""},{"dropping-particle":"","family":"Sapir","given":"Onit","non-dropping-particle":"","parse-names":false,"suffix":""},{"dropping-particle":"","family":"Oron","given":"Galia","non-dropping-particle":"","parse-names":false,"suffix":""},{"dropping-particle":"","family":"Ben-Haroush","given":"Avi","non-dropping-particle":"","parse-names":false,"suffix":""},{"dropping-particle":"","family":"Shochat","given":"Tzippy","non-dropping-particle":"","parse-names":false,"suffix":""},{"dropping-particle":"","family":"Wiznitzer","given":"Arnon","non-dropping-particle":"","parse-names":false,"suffix":""},{"dropping-particle":"","family":"Shufaro","given":"Yoel","non-dropping-particle":"","parse-names":false,"suffix":""}],"container-title":"Journal of Maternal-Fetal and Neonatal Medicine","id":"ITEM-1","issue":"4","issued":{"date-parts":[["2022"]]},"page":"663-667","publisher":"Taylor &amp; Francis","title":"Complications of the third stage of labor are more prevalent in IVF pregnancies","type":"article-journal","volume":"35"},"uris":["http://www.mendeley.com/documents/?uuid=af3d8445-c19d-44eb-ad31-b220d2b2d9be"]}],"mendeley":{"formattedCitation":"[34]","plainTextFormattedCitation":"[34]","previouslyFormattedCitation":"[34]"},"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[34]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Pr>
          <w:rFonts w:ascii="Tw Cen MT" w:eastAsia="Twentieth Century" w:hAnsi="Tw Cen MT" w:cs="Twentieth Century"/>
          <w:sz w:val="24"/>
          <w:szCs w:val="24"/>
          <w:lang w:val="id-ID"/>
        </w:rPr>
        <w:t xml:space="preserve"> O</w:t>
      </w:r>
      <w:proofErr w:type="spellStart"/>
      <w:r w:rsidRPr="00225AC3">
        <w:rPr>
          <w:rFonts w:ascii="Tw Cen MT" w:eastAsia="Twentieth Century" w:hAnsi="Tw Cen MT" w:cs="Twentieth Century"/>
          <w:sz w:val="24"/>
          <w:szCs w:val="24"/>
        </w:rPr>
        <w:t>ccurs</w:t>
      </w:r>
      <w:proofErr w:type="spellEnd"/>
      <w:r w:rsidRPr="00225AC3">
        <w:rPr>
          <w:rFonts w:ascii="Tw Cen MT" w:eastAsia="Twentieth Century" w:hAnsi="Tw Cen MT" w:cs="Twentieth Century"/>
          <w:sz w:val="24"/>
          <w:szCs w:val="24"/>
        </w:rPr>
        <w:t xml:space="preserve"> in respondents aged 21-35</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{"citationItems":[{"id":"ITEM-1","itemData":{"DOI":"10.4274/tjod.39049","ISSN":"21499330","abstract":"Postpartum hemorrhage is a potentially life-threatening, albeit preventable, condition that persists as a leading cause of maternal death. It occurs mostly during the third stage of labor, and active management of the third stage of labor (AMTSL) can prevent its occurrence. AMTSL is a recommended series of steps, including the provision of uterotonic drugs immediately upon fetal delivery, controlled cord traction, and massage of the uterine fundus, as developed by the World Health Organization. Here, we present current opinion and protocols for AMTSL.","author":[{"dropping-particle":"","family":"Güngördük","given":"Kemal","non-dropping-particle":"","parse-names":false,"suffix":""},{"dropping-particle":"","family":"Olgaç","given":"Yusuf","non-dropping-particle":"","parse-names":false,"suffix":""},{"dropping-particle":"","family":"Gülseren","given":"Varol","non-dropping-particle":"","parse-names":false,"suffix":""},{"dropping-particle":"","family":"Kocaer","given":"Mustafa","non-dropping-particle":"","parse-names":false,"suffix":""}],"container-title":"Turkish Journal of Obstetrics and Gynecology","id":"ITEM-1","issue":"3","issued":{"date-parts":[["2018"]]},"page":"188-192","title":"Active management of the third stage of labor: A brief overview of key issues","type":"article-journal","volume":"15"},"uris":["http://www.mendeley.com/documents/?uuid=eebd6cc2-40c0-439c-a5d1-ccd2651d4827"]}],"mendeley":{"formattedCitation":"[35]","plainTextFormattedCitation":"[35]","previouslyFormattedCitation":"[35]"},"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[35]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This is a productive age where the mother is ready to get pregnant and give birth physically and psychologically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{"citationItems":[{"id":"ITEM-1","itemData":{"abstract":"Dates are grown in over 30 countries around the world; in recent years, date fruit has gained significant importance in global commerce. During the last two decades, global production of dates has more than doubled. The majority of date palm-growing areas are located in developing or underdeveloped countries where date fruit is considered a primary food crop, thus playing a major role in the nutritional status of these communities. Marketing of dates involves various operations through the value-chain, e.g., harvesting, cleaning, grading, packaging, processing, and transportation/shipment to local or export markets. Some of the major challenges confronting date fruit production and commerce are issues related to postharvest handling technologies, use of appropriate processing and packaging technologies, food safety aspects, and quality assurance. This chapter provides an overview of production; harvesting and GAPs/GMPs, postharvest handling and storage, processing, processed products/by-products, nutritional profile, bioactive compounds, and health benefits of dates.","author":[{"dropping-particle":"","family":"Siddiq","given":"Muhammad","non-dropping-particle":"","parse-names":false,"suffix":""},{"dropping-particle":"","family":"Greiby","given":"Ibrahim","non-dropping-particle":"","parse-names":false,"suffix":""}],"container-title":"Dates: Postharvest Science, Processing Technology and Health Benefits","id":"ITEM-1","issued":{"date-parts":[["2014"]]},"page":"1-28","title":"Overview of Date Fruit and Nutrition","type":"article-journal"},"uris":["http://www.mendeley.com/documents/?uuid=763c17ac-f453-4e6e-9df3-324f4c12e330"]}],"mendeley":{"formattedCitation":"[36]","plainTextFormattedCitation":"[36]","previouslyFormattedCitation":"[36]"},"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[36]</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So, it is expected that pregnancy and childbirth will occur physiologically. If the mother is &lt;20 years old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{"citationItems":[{"id":"ITEM-1","itemData":{"DOI":"10.5812/SEMJ.69207","ISSN":"17351391","abstract":"Background: Labor is painful phenomenon and management of labor pain has particular importance. For labor pain management pharmacological and non-pharmacological methods are used, but today there is a tendency for using alternative and complementary medicine. Consumption of nutrients and hydration is also one of the ways of pain management during labor. Objectives: This study aimed to investigate the effect of oral administration of palm syrup on the labor pain of nulliparous women. Methods: This study was a randomized clinical trial. In this study, 80 healthy nulliparous women were enrolled and randomly divided into two groups of the control group and palm syrup. The intervention group received palm syrup while the control group received only water routinely. Interventions in both groups continued during the active phase until the transitional phase. Data were collected by four main parts of the demographic questionnaire, controls carried out in labor, recording the fluid intake rate, and recording the pain using a ruler as 10-0 cm. Results: The mean pain intensity was significantly lower in intervention group of the palm syrup than the control group. Conclusions: The use of palm syrup had a significant impact on labor pain. Given the importance of evidence-based research and its usage in practice, conducting more studies are necessary in these areas.","author":[{"dropping-particle":"","family":"Taavoni","given":"Simin","non-dropping-particle":"","parse-names":false,"suffix":""},{"dropping-particle":"","family":"Fathi","given":"Leila","non-dropping-particle":"","parse-names":false,"suffix":""},{"dropping-particle":"","family":"Ekbatani","given":"Neda Nazem","non-dropping-particle":"","parse-names":false,"suffix":""},{"dropping-particle":"","family":"Haghani","given":"Hamid","non-dropping-particle":"","parse-names":false,"suffix":""}],"container-title":"Shiraz E Medical Journal","id":"ITEM-1","issue":"1","issued":{"date-parts":[["2019"]]},"title":"The Effect of Oral Date Syrup on Severity of Labor Pain in Nulliparous","type":"article-journal","volume":"20"},"uris":["http://www.mendeley.com/documents/?uuid=b9787674-7dcd-4cd7-8ea1-48f3ec184c4f"]}],"mendeley":{"formattedCitation":"[37]","plainTextFormattedCitation":"[37]","previouslyFormattedCitation":"[37]"},"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[37]</w:t>
      </w:r>
      <w:r>
        <w:rPr>
          <w:rFonts w:ascii="Tw Cen MT" w:eastAsia="Twentieth Century" w:hAnsi="Tw Cen MT" w:cs="Twentieth Century"/>
          <w:sz w:val="24"/>
          <w:szCs w:val="24"/>
        </w:rPr>
        <w:fldChar w:fldCharType="end"/>
      </w:r>
      <w:r w:rsidRPr="00225AC3">
        <w:rPr>
          <w:rFonts w:ascii="Tw Cen MT" w:eastAsia="Twentieth Century" w:hAnsi="Tw Cen MT" w:cs="Twentieth Century"/>
          <w:sz w:val="24"/>
          <w:szCs w:val="24"/>
        </w:rPr>
        <w:t xml:space="preserve">, the reproductive organs are not functioning </w:t>
      </w:r>
      <w:r>
        <w:rPr>
          <w:rFonts w:ascii="Tw Cen MT" w:eastAsia="Twentieth Century" w:hAnsi="Tw Cen MT" w:cs="Twentieth Century"/>
          <w:sz w:val="24"/>
          <w:szCs w:val="24"/>
        </w:rPr>
        <w:t>correctly</w:t>
      </w:r>
      <w:r w:rsidRPr="00225AC3">
        <w:rPr>
          <w:rFonts w:ascii="Tw Cen MT" w:eastAsia="Twentieth Century" w:hAnsi="Tw Cen MT" w:cs="Twentieth Century"/>
          <w:sz w:val="24"/>
          <w:szCs w:val="24"/>
        </w:rPr>
        <w:t xml:space="preserve"> and the function of hormones in the body is still </w:t>
      </w:r>
      <w:r>
        <w:rPr>
          <w:rFonts w:ascii="Tw Cen MT" w:eastAsia="Twentieth Century" w:hAnsi="Tw Cen MT" w:cs="Twentieth Century"/>
          <w:sz w:val="24"/>
          <w:szCs w:val="24"/>
        </w:rPr>
        <w:t>imperfect</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{"citationItems":[{"id":"ITEM-1","itemData":{"author":[{"dropping-particle":"","family":"Silverthorn","given":"Dee Unglaub","non-dropping-particle":"","parse-names":false,"suffix":""}],"id":"ITEM-1","issued":{"date-parts":[["2014"]]},"publisher":"Departemen Fisiologi Kedokteran FKUI : EGC","publisher-place":"Jakarta","title":"Human Physiology An Integrated Approach","type":"book"},"uris":["http://www.mendeley.com/documents/?uuid=250337b7-9b8e-4e11-b472-ccbdb0b7945b"]}],"mendeley":{"formattedCitation":"[38]","plainTextFormattedCitation":"[38]","previouslyFormattedCitation":"[38]"},"properties":{"noteIndex":0},"schema":"https://github.com/citation-style-language/schema/raw/master/csl-citation.json"}</w:instrText>
      </w:r>
      <w:r>
        <w:rPr>
          <w:rFonts w:ascii="Tw Cen MT" w:eastAsia="Twentieth Century" w:hAnsi="Tw Cen MT" w:cs="Twentieth Century"/>
          <w:sz w:val="24"/>
          <w:szCs w:val="24"/>
        </w:rPr>
        <w:fldChar w:fldCharType="separate"/>
      </w:r>
      <w:r w:rsidRPr="003F448E">
        <w:rPr>
          <w:rFonts w:ascii="Tw Cen MT" w:eastAsia="Twentieth Century" w:hAnsi="Tw Cen MT" w:cs="Twentieth Century"/>
          <w:noProof/>
          <w:sz w:val="24"/>
          <w:szCs w:val="24"/>
        </w:rPr>
        <w:t>[38]</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Conversely, if the mother is &gt; 35 years old, her reproductive organs cannot work optimally and hormone function in the body has begun to decline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{"citationItems":[{"id":"ITEM-1","itemData":{"author":[{"dropping-particle":"","family":"Nisa","given":"Fauziyatun","non-dropping-particle":"","parse-names":false,"suffix":""}],"container-title":"Jurnal Ilmiah Kesehatan","id":"ITEM-1","issued":{"date-parts":[["2019"]]},"page":"168-177","title":"168 PENGARUH KARAKTERISTIK HIS DENGAN LAMA PERSALINAN KALA II DI BPS SAHABAT PEREMPUAN GUNUNG ANYAR SURABAYA","type":"article-journal"},"uris":["http://www.mendeley.com/documents/?uuid=d8cbd4fc-0c2f-4783-a2a9-fe10eed83084"]}],"mendeley":{"formattedCitation":"[39]","plainTextFormattedCitation":"[39]","previouslyFormattedCitation":"[39]"},"properties":{"noteIndex":0},"schema":"https://github.com/citation-style-language/schema/raw/master/csl-citation.json"}</w:instrText>
      </w:r>
      <w:r>
        <w:rPr>
          <w:rFonts w:ascii="Tw Cen MT" w:eastAsia="Twentieth Century" w:hAnsi="Tw Cen MT" w:cs="Twentieth Century"/>
          <w:sz w:val="24"/>
          <w:szCs w:val="24"/>
        </w:rPr>
        <w:fldChar w:fldCharType="separate"/>
      </w:r>
      <w:r w:rsidRPr="003C5B7D">
        <w:rPr>
          <w:rFonts w:ascii="Tw Cen MT" w:eastAsia="Twentieth Century" w:hAnsi="Tw Cen MT" w:cs="Twentieth Century"/>
          <w:noProof/>
          <w:sz w:val="24"/>
          <w:szCs w:val="24"/>
        </w:rPr>
        <w:t>[39]</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{"citationItems":[{"id":"ITEM-1","itemData":{"DOI":"10.1016/j.ogc.2005.01.001","ISSN":"08898545","PMID":"15899352","abstract":"Labor is a physiologic and continuous process. The factors responsible for the onset and maintenance of normal labor at term are poorly understood and continue to be under active investigation. Although data exist to describe the average duration of labor, there is also a great deal of biologic variability. An improved understanding of the causes and mechanisms of labor will improve the ability of clinicians to distinguish normal from abnormal labor and to intervene in a timely and effective fashion to ensure a favorable outcome while moving toward a more individualized approach to each woman's labor. © 2005 Elsevier Inc. All rights reserved.","author":[{"dropping-particle":"","family":"Liao","given":"John B.","non-dropping-particle":"","parse-names":false,"suffix":""},{"dropping-particle":"","family":"Buhimschi","given":"Catalin S.","non-dropping-particle":"","parse-names":false,"suffix":""},{"dropping-particle":"","family":"Norwitz","given":"Errol R.","non-dropping-particle":"","parse-names":false,"suffix":""}],"container-title":"Obstetrics and Gynecology Clinics of North America","id":"ITEM-1","issue":"2","issued":{"date-parts":[["2005"]]},"page":"145-164","title":"Normal labor: Mechanism and duration","type":"article-journal","volume":"32"},"uris":["http://www.mendeley.com/documents/?uuid=54467458-dc85-4075-a7ed-d3e350a441fa"]}],"mendeley":{"formattedCitation":"[40]","plainTextFormattedCitation":"[40]"},"properties":{"noteIndex":0},"schema":"https://github.com/citation-style-language/schema/raw/master/csl-citation.json"}</w:instrText>
      </w:r>
      <w:r>
        <w:rPr>
          <w:rFonts w:ascii="Tw Cen MT" w:eastAsia="Twentieth Century" w:hAnsi="Tw Cen MT" w:cs="Twentieth Century"/>
          <w:sz w:val="24"/>
          <w:szCs w:val="24"/>
        </w:rPr>
        <w:fldChar w:fldCharType="separate"/>
      </w:r>
      <w:r w:rsidRPr="003C5B7D">
        <w:rPr>
          <w:rFonts w:ascii="Tw Cen MT" w:eastAsia="Twentieth Century" w:hAnsi="Tw Cen MT" w:cs="Twentieth Century"/>
          <w:noProof/>
          <w:sz w:val="24"/>
          <w:szCs w:val="24"/>
        </w:rPr>
        <w:t>[40]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7B0D433D" w14:textId="087371F1" w:rsidR="00363E9C" w:rsidRDefault="007D62B8" w:rsidP="007D62B8">
      <w:pPr>
        <w:spacing w:after="0" w:line="240" w:lineRule="auto"/>
        <w:jc w:val="both"/>
        <w:rPr>
          <w:rFonts w:ascii="Tw Cen MT" w:eastAsia="Twentieth Century" w:hAnsi="Tw Cen MT" w:cs="Twentieth Century"/>
          <w:b/>
          <w:sz w:val="24"/>
          <w:szCs w:val="24"/>
        </w:rPr>
      </w:pPr>
      <w:r w:rsidRPr="00225AC3">
        <w:rPr>
          <w:rFonts w:ascii="Tw Cen MT" w:eastAsia="Twentieth Century" w:hAnsi="Tw Cen MT" w:cs="Twentieth Century"/>
          <w:sz w:val="24"/>
          <w:szCs w:val="24"/>
        </w:rPr>
        <w:t>According to the theories described above and the results of research</w:t>
      </w:r>
      <w:r>
        <w:rPr>
          <w:rFonts w:ascii="Tw Cen MT" w:eastAsia="Twentieth Century" w:hAnsi="Tw Cen MT" w:cs="Twentieth Century"/>
          <w:sz w:val="24"/>
          <w:szCs w:val="24"/>
        </w:rPr>
        <w:t xml:space="preserve"> specifically </w:t>
      </w:r>
      <w:r w:rsidRPr="00225AC3">
        <w:rPr>
          <w:rFonts w:ascii="Tw Cen MT" w:eastAsia="Twentieth Century" w:hAnsi="Tw Cen MT" w:cs="Twentieth Century"/>
          <w:sz w:val="24"/>
          <w:szCs w:val="24"/>
        </w:rPr>
        <w:t>the average and results of analysis of uterine contractions in the two groups, namely the intervention group and the control group in the working area of ​​the Kediri district health center, the researcher</w:t>
      </w:r>
      <w:r>
        <w:rPr>
          <w:rFonts w:ascii="Tw Cen MT" w:eastAsia="Twentieth Century" w:hAnsi="Tw Cen MT" w:cs="Twentieth Century"/>
          <w:sz w:val="24"/>
          <w:szCs w:val="24"/>
        </w:rPr>
        <w:t>s</w:t>
      </w:r>
      <w:r w:rsidRPr="00225AC3">
        <w:rPr>
          <w:rFonts w:ascii="Tw Cen MT" w:eastAsia="Twentieth Century" w:hAnsi="Tw Cen MT" w:cs="Twentieth Century"/>
          <w:sz w:val="24"/>
          <w:szCs w:val="24"/>
        </w:rPr>
        <w:t xml:space="preserve"> concluded that there are significant differences in uterine contractions in the two groups after getting dates (</w:t>
      </w:r>
      <w:r w:rsidRPr="00B465EC">
        <w:rPr>
          <w:rFonts w:ascii="Tw Cen MT" w:eastAsia="Twentieth Century" w:hAnsi="Tw Cen MT" w:cs="Twentieth Century"/>
          <w:i/>
          <w:iCs/>
          <w:sz w:val="24"/>
          <w:szCs w:val="24"/>
        </w:rPr>
        <w:t xml:space="preserve">Phoenix </w:t>
      </w:r>
      <w:proofErr w:type="spellStart"/>
      <w:r w:rsidRPr="00B465EC">
        <w:rPr>
          <w:rFonts w:ascii="Tw Cen MT" w:eastAsia="Twentieth Century" w:hAnsi="Tw Cen MT" w:cs="Twentieth Century"/>
          <w:i/>
          <w:iCs/>
          <w:sz w:val="24"/>
          <w:szCs w:val="24"/>
        </w:rPr>
        <w:t>Dactylefera</w:t>
      </w:r>
      <w:proofErr w:type="spellEnd"/>
      <w:r w:rsidRPr="00225AC3">
        <w:rPr>
          <w:rFonts w:ascii="Tw Cen MT" w:eastAsia="Twentieth Century" w:hAnsi="Tw Cen MT" w:cs="Twentieth Century"/>
          <w:sz w:val="24"/>
          <w:szCs w:val="24"/>
        </w:rPr>
        <w:t xml:space="preserve">) in </w:t>
      </w:r>
      <w:r>
        <w:rPr>
          <w:rFonts w:ascii="Tw Cen MT" w:eastAsia="Twentieth Century" w:hAnsi="Tw Cen MT" w:cs="Twentieth Century"/>
          <w:sz w:val="24"/>
          <w:szCs w:val="24"/>
        </w:rPr>
        <w:t xml:space="preserve">labor. </w:t>
      </w:r>
      <w:r w:rsidRPr="007D62B8">
        <w:rPr>
          <w:rFonts w:ascii="Tw Cen MT" w:eastAsia="Twentieth Century" w:hAnsi="Tw Cen MT" w:cs="Twentieth Century"/>
          <w:sz w:val="24"/>
          <w:szCs w:val="24"/>
          <w:lang w:val="en"/>
        </w:rPr>
        <w:t>The researcher's way to overcome bias is the sampling technique, namely simple random sampling, so that the data collection process in this research is carried out as well as possible. The obstacle in this research is that respondents are difficult to find</w:t>
      </w:r>
      <w:r w:rsidRPr="007D62B8">
        <w:rPr>
          <w:rFonts w:ascii="Tw Cen MT" w:eastAsia="Twentieth Century" w:hAnsi="Tw Cen MT" w:cs="Twentieth Century"/>
          <w:sz w:val="24"/>
          <w:szCs w:val="24"/>
          <w:lang w:val="en-ID"/>
        </w:rPr>
        <w:t>.</w:t>
      </w:r>
    </w:p>
    <w:p w14:paraId="46D96735" w14:textId="77777777" w:rsidR="008A2F7F" w:rsidRDefault="008A2F7F">
      <w:pPr>
        <w:spacing w:after="0" w:line="240" w:lineRule="auto"/>
        <w:jc w:val="both"/>
        <w:rPr>
          <w:rFonts w:ascii="Tw Cen MT" w:eastAsia="Twentieth Century" w:hAnsi="Tw Cen MT" w:cs="Twentieth Century"/>
          <w:b/>
          <w:sz w:val="24"/>
          <w:szCs w:val="24"/>
        </w:rPr>
      </w:pPr>
    </w:p>
    <w:p w14:paraId="1D593366" w14:textId="77777777" w:rsidR="00E04883" w:rsidRDefault="008A2F7F">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CONCLUSION</w:t>
      </w:r>
    </w:p>
    <w:p w14:paraId="02158D0D" w14:textId="3DCB783D" w:rsidR="00363E9C" w:rsidRPr="008A2F7F" w:rsidRDefault="007D62B8">
      <w:pPr>
        <w:spacing w:line="240" w:lineRule="auto"/>
        <w:jc w:val="both"/>
        <w:rPr>
          <w:rFonts w:ascii="Tw Cen MT" w:hAnsi="Tw Cen MT"/>
          <w:sz w:val="24"/>
          <w:szCs w:val="24"/>
        </w:rPr>
      </w:pPr>
      <w:r>
        <w:rPr>
          <w:rFonts w:ascii="Tw Cen MT" w:eastAsia="Twentieth Century" w:hAnsi="Tw Cen MT" w:cs="Twentieth Century"/>
          <w:sz w:val="24"/>
        </w:rPr>
        <w:t>It turns out that g</w:t>
      </w:r>
      <w:r w:rsidRPr="00847AAE">
        <w:rPr>
          <w:rFonts w:ascii="Tw Cen MT" w:eastAsia="Twentieth Century" w:hAnsi="Tw Cen MT" w:cs="Twentieth Century"/>
          <w:sz w:val="24"/>
        </w:rPr>
        <w:t xml:space="preserve">iving as much as 70 grams of dates </w:t>
      </w:r>
      <w:r>
        <w:rPr>
          <w:rFonts w:ascii="Tw Cen MT" w:eastAsia="Twentieth Century" w:hAnsi="Tw Cen MT" w:cs="Twentieth Century"/>
          <w:sz w:val="24"/>
        </w:rPr>
        <w:t>to</w:t>
      </w:r>
      <w:r w:rsidRPr="00847AAE">
        <w:rPr>
          <w:rFonts w:ascii="Tw Cen MT" w:eastAsia="Twentieth Century" w:hAnsi="Tw Cen MT" w:cs="Twentieth Century"/>
          <w:sz w:val="24"/>
        </w:rPr>
        <w:t xml:space="preserve"> pregnant women who are 37 weeks old until delivery can increase uterine contractions in laboring mothers. The control group experienced an increase in contractions, </w:t>
      </w:r>
      <w:r>
        <w:rPr>
          <w:rFonts w:ascii="Tw Cen MT" w:eastAsia="Twentieth Century" w:hAnsi="Tw Cen MT" w:cs="Twentieth Century"/>
          <w:sz w:val="24"/>
        </w:rPr>
        <w:t>though</w:t>
      </w:r>
      <w:r w:rsidRPr="00847AAE">
        <w:rPr>
          <w:rFonts w:ascii="Tw Cen MT" w:eastAsia="Twentieth Century" w:hAnsi="Tw Cen MT" w:cs="Twentieth Century"/>
          <w:sz w:val="24"/>
        </w:rPr>
        <w:t xml:space="preserve"> the increase </w:t>
      </w:r>
      <w:r>
        <w:rPr>
          <w:rFonts w:ascii="Tw Cen MT" w:eastAsia="Twentieth Century" w:hAnsi="Tw Cen MT" w:cs="Twentieth Century"/>
          <w:sz w:val="24"/>
        </w:rPr>
        <w:t>i</w:t>
      </w:r>
      <w:r w:rsidRPr="00847AAE">
        <w:rPr>
          <w:rFonts w:ascii="Tw Cen MT" w:eastAsia="Twentieth Century" w:hAnsi="Tw Cen MT" w:cs="Twentieth Century"/>
          <w:sz w:val="24"/>
        </w:rPr>
        <w:t xml:space="preserve">s </w:t>
      </w:r>
      <w:r>
        <w:rPr>
          <w:rFonts w:ascii="Tw Cen MT" w:eastAsia="Twentieth Century" w:hAnsi="Tw Cen MT" w:cs="Twentieth Century"/>
          <w:sz w:val="24"/>
        </w:rPr>
        <w:t>in</w:t>
      </w:r>
      <w:r w:rsidRPr="00847AAE">
        <w:rPr>
          <w:rFonts w:ascii="Tw Cen MT" w:eastAsia="Twentieth Century" w:hAnsi="Tw Cen MT" w:cs="Twentieth Century"/>
          <w:sz w:val="24"/>
        </w:rPr>
        <w:t xml:space="preserve">significant. There </w:t>
      </w:r>
      <w:r>
        <w:rPr>
          <w:rFonts w:ascii="Tw Cen MT" w:eastAsia="Twentieth Century" w:hAnsi="Tw Cen MT" w:cs="Twentieth Century"/>
          <w:sz w:val="24"/>
        </w:rPr>
        <w:t>i</w:t>
      </w:r>
      <w:r w:rsidRPr="00847AAE">
        <w:rPr>
          <w:rFonts w:ascii="Tw Cen MT" w:eastAsia="Twentieth Century" w:hAnsi="Tw Cen MT" w:cs="Twentieth Century"/>
          <w:sz w:val="24"/>
        </w:rPr>
        <w:t xml:space="preserve">s a significant difference in uterine contractions between the two groups, so it can be concluded that there </w:t>
      </w:r>
      <w:r>
        <w:rPr>
          <w:rFonts w:ascii="Tw Cen MT" w:eastAsia="Twentieth Century" w:hAnsi="Tw Cen MT" w:cs="Twentieth Century"/>
          <w:sz w:val="24"/>
        </w:rPr>
        <w:t>i</w:t>
      </w:r>
      <w:r w:rsidRPr="00847AAE">
        <w:rPr>
          <w:rFonts w:ascii="Tw Cen MT" w:eastAsia="Twentieth Century" w:hAnsi="Tw Cen MT" w:cs="Twentieth Century"/>
          <w:sz w:val="24"/>
        </w:rPr>
        <w:t xml:space="preserve">s an effect of </w:t>
      </w:r>
      <w:r w:rsidRPr="00CC7B9B">
        <w:rPr>
          <w:rFonts w:ascii="Tw Cen MT" w:eastAsia="Twentieth Century" w:hAnsi="Tw Cen MT" w:cs="Twentieth Century"/>
          <w:i/>
          <w:iCs/>
          <w:sz w:val="24"/>
        </w:rPr>
        <w:t>Phoenix Dactylifera</w:t>
      </w:r>
      <w:r w:rsidRPr="00847AAE">
        <w:rPr>
          <w:rFonts w:ascii="Tw Cen MT" w:eastAsia="Twentieth Century" w:hAnsi="Tw Cen MT" w:cs="Twentieth Century"/>
          <w:sz w:val="24"/>
        </w:rPr>
        <w:t xml:space="preserve"> on uterine contractions in laboring mothers. Seeing the benefits of dates, pregnant women can use dates as a non-pharmacological alternative </w:t>
      </w:r>
      <w:r w:rsidRPr="00847AAE">
        <w:rPr>
          <w:rFonts w:ascii="Tw Cen MT" w:eastAsia="Twentieth Century" w:hAnsi="Tw Cen MT" w:cs="Twentieth Century"/>
          <w:sz w:val="24"/>
        </w:rPr>
        <w:lastRenderedPageBreak/>
        <w:t xml:space="preserve">option </w:t>
      </w:r>
      <w:r>
        <w:rPr>
          <w:rFonts w:ascii="Tw Cen MT" w:eastAsia="Twentieth Century" w:hAnsi="Tw Cen MT" w:cs="Twentieth Century"/>
          <w:sz w:val="24"/>
        </w:rPr>
        <w:t>for</w:t>
      </w:r>
      <w:r w:rsidRPr="00847AAE">
        <w:rPr>
          <w:rFonts w:ascii="Tw Cen MT" w:eastAsia="Twentieth Century" w:hAnsi="Tw Cen MT" w:cs="Twentieth Century"/>
          <w:sz w:val="24"/>
        </w:rPr>
        <w:t xml:space="preserve"> increasing uterine contractions during childbirth.</w:t>
      </w:r>
      <w:r>
        <w:rPr>
          <w:rFonts w:ascii="Tw Cen MT" w:eastAsia="Twentieth Century" w:hAnsi="Tw Cen MT" w:cs="Twentieth Century"/>
          <w:sz w:val="24"/>
        </w:rPr>
        <w:t xml:space="preserve"> </w:t>
      </w:r>
      <w:r>
        <w:rPr>
          <w:rFonts w:ascii="Tw Cen MT" w:eastAsia="Twentieth Century" w:hAnsi="Tw Cen MT" w:cs="Twentieth Century"/>
          <w:sz w:val="24"/>
          <w:lang w:val="en"/>
        </w:rPr>
        <w:t>A</w:t>
      </w:r>
      <w:r w:rsidRPr="007D62B8">
        <w:rPr>
          <w:rFonts w:ascii="Tw Cen MT" w:eastAsia="Twentieth Century" w:hAnsi="Tw Cen MT" w:cs="Twentieth Century"/>
          <w:sz w:val="24"/>
          <w:lang w:val="en"/>
        </w:rPr>
        <w:t>s mentioned in this study, this research has received approval from the ethics review board</w:t>
      </w:r>
      <w:r w:rsidR="00363E9C">
        <w:rPr>
          <w:rFonts w:ascii="Tw Cen MT" w:hAnsi="Tw Cen MT"/>
          <w:sz w:val="24"/>
          <w:szCs w:val="24"/>
        </w:rPr>
        <w:t>.</w:t>
      </w:r>
    </w:p>
    <w:p w14:paraId="0FD0D9A8" w14:textId="77777777" w:rsidR="008A2F7F" w:rsidRPr="008A2F7F" w:rsidRDefault="008A2F7F" w:rsidP="008A2F7F">
      <w:pPr>
        <w:spacing w:after="0" w:line="240" w:lineRule="auto"/>
        <w:jc w:val="both"/>
        <w:rPr>
          <w:rFonts w:ascii="Tw Cen MT" w:eastAsia="Twentieth Century" w:hAnsi="Tw Cen MT" w:cs="Twentieth Century"/>
          <w:b/>
          <w:sz w:val="24"/>
          <w:szCs w:val="24"/>
        </w:rPr>
      </w:pPr>
      <w:r w:rsidRPr="008A2F7F">
        <w:rPr>
          <w:rFonts w:ascii="Tw Cen MT" w:eastAsia="Twentieth Century" w:hAnsi="Tw Cen MT" w:cs="Twentieth Century"/>
          <w:b/>
          <w:sz w:val="24"/>
          <w:szCs w:val="24"/>
        </w:rPr>
        <w:t>ACKNOWLEDGEMENT</w:t>
      </w:r>
    </w:p>
    <w:p w14:paraId="5A3AC2C5" w14:textId="4E969FF6" w:rsidR="00E04883" w:rsidRDefault="007D62B8">
      <w:pPr>
        <w:spacing w:line="240" w:lineRule="auto"/>
        <w:jc w:val="both"/>
        <w:rPr>
          <w:rFonts w:ascii="Tw Cen MT" w:eastAsia="Twentieth Century" w:hAnsi="Tw Cen MT" w:cs="Twentieth Century"/>
          <w:sz w:val="24"/>
          <w:szCs w:val="24"/>
          <w:lang w:val="id-ID"/>
        </w:rPr>
      </w:pPr>
      <w:r w:rsidRPr="00847AAE">
        <w:rPr>
          <w:rFonts w:ascii="Tw Cen MT" w:eastAsia="Twentieth Century" w:hAnsi="Tw Cen MT" w:cs="Twentieth Century"/>
          <w:sz w:val="24"/>
          <w:szCs w:val="24"/>
        </w:rPr>
        <w:t>The author</w:t>
      </w:r>
      <w:r>
        <w:rPr>
          <w:rFonts w:ascii="Tw Cen MT" w:eastAsia="Twentieth Century" w:hAnsi="Tw Cen MT" w:cs="Twentieth Century"/>
          <w:sz w:val="24"/>
          <w:szCs w:val="24"/>
        </w:rPr>
        <w:t>s</w:t>
      </w:r>
      <w:r w:rsidRPr="00847AAE">
        <w:rPr>
          <w:rFonts w:ascii="Tw Cen MT" w:eastAsia="Twentieth Century" w:hAnsi="Tw Cen MT" w:cs="Twentieth Century"/>
          <w:sz w:val="24"/>
          <w:szCs w:val="24"/>
        </w:rPr>
        <w:t xml:space="preserve"> would like to thank </w:t>
      </w:r>
      <w:proofErr w:type="spellStart"/>
      <w:r w:rsidRPr="00847AAE">
        <w:rPr>
          <w:rFonts w:ascii="Tw Cen MT" w:eastAsia="Twentieth Century" w:hAnsi="Tw Cen MT" w:cs="Twentieth Century"/>
          <w:sz w:val="24"/>
          <w:szCs w:val="24"/>
        </w:rPr>
        <w:t>Poltekkes</w:t>
      </w:r>
      <w:proofErr w:type="spellEnd"/>
      <w:r w:rsidRPr="00847AAE">
        <w:rPr>
          <w:rFonts w:ascii="Tw Cen MT" w:eastAsia="Twentieth Century" w:hAnsi="Tw Cen MT" w:cs="Twentieth Century"/>
          <w:sz w:val="24"/>
          <w:szCs w:val="24"/>
        </w:rPr>
        <w:t xml:space="preserve"> </w:t>
      </w:r>
      <w:proofErr w:type="spellStart"/>
      <w:r w:rsidRPr="00847AAE">
        <w:rPr>
          <w:rFonts w:ascii="Tw Cen MT" w:eastAsia="Twentieth Century" w:hAnsi="Tw Cen MT" w:cs="Twentieth Century"/>
          <w:sz w:val="24"/>
          <w:szCs w:val="24"/>
        </w:rPr>
        <w:t>Kemenkes</w:t>
      </w:r>
      <w:proofErr w:type="spellEnd"/>
      <w:r w:rsidRPr="00847AAE">
        <w:rPr>
          <w:rFonts w:ascii="Tw Cen MT" w:eastAsia="Twentieth Century" w:hAnsi="Tw Cen MT" w:cs="Twentieth Century"/>
          <w:sz w:val="24"/>
          <w:szCs w:val="24"/>
        </w:rPr>
        <w:t xml:space="preserve"> Malang for providing the opportunity to complete this research. The authors </w:t>
      </w:r>
      <w:r>
        <w:rPr>
          <w:rFonts w:ascii="Tw Cen MT" w:eastAsia="Twentieth Century" w:hAnsi="Tw Cen MT" w:cs="Twentieth Century"/>
          <w:sz w:val="24"/>
          <w:szCs w:val="24"/>
        </w:rPr>
        <w:t xml:space="preserve">also </w:t>
      </w:r>
      <w:r w:rsidRPr="00847AAE">
        <w:rPr>
          <w:rFonts w:ascii="Tw Cen MT" w:eastAsia="Twentieth Century" w:hAnsi="Tw Cen MT" w:cs="Twentieth Century"/>
          <w:sz w:val="24"/>
          <w:szCs w:val="24"/>
        </w:rPr>
        <w:t>thank all pregnant women who are willing to be respondents in this study</w:t>
      </w:r>
      <w:r w:rsidR="00780842" w:rsidRPr="00B65D2F">
        <w:rPr>
          <w:rFonts w:ascii="Tw Cen MT" w:eastAsia="Twentieth Century" w:hAnsi="Tw Cen MT" w:cs="Twentieth Century"/>
          <w:sz w:val="24"/>
          <w:szCs w:val="24"/>
          <w:lang w:val="id-ID"/>
        </w:rPr>
        <w:t>.</w:t>
      </w:r>
    </w:p>
    <w:p w14:paraId="1B4EEE03" w14:textId="77777777" w:rsidR="00E04883" w:rsidRDefault="008A2F7F">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REFERENCES</w:t>
      </w:r>
    </w:p>
    <w:sdt>
      <w:sdtPr>
        <w:id w:val="1509491808"/>
      </w:sdtPr>
      <w:sdtContent>
        <w:p w14:paraId="2EF05E24" w14:textId="77777777" w:rsidR="006168FA" w:rsidRDefault="00363E9C"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w:t>
          </w:r>
          <w:r>
            <w:rPr>
              <w:rFonts w:ascii="Tw Cen MT" w:hAnsi="Tw Cen MT" w:cs="Times New Roman"/>
              <w:noProof/>
              <w:sz w:val="24"/>
              <w:szCs w:val="24"/>
            </w:rPr>
            <w:tab/>
          </w:r>
          <w:r w:rsidR="006168FA">
            <w:rPr>
              <w:rFonts w:ascii="Tw Cen MT" w:hAnsi="Tw Cen MT" w:cs="Times New Roman"/>
              <w:noProof/>
              <w:sz w:val="24"/>
              <w:szCs w:val="24"/>
            </w:rPr>
            <w:t>WHO, “Word Health Organization,” 2020.</w:t>
          </w:r>
        </w:p>
        <w:p w14:paraId="56585ACD"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[2]</w:t>
          </w:r>
          <w:r>
            <w:rPr>
              <w:rFonts w:ascii="Tw Cen MT" w:hAnsi="Tw Cen MT" w:cs="Times New Roman"/>
              <w:noProof/>
              <w:sz w:val="24"/>
              <w:szCs w:val="24"/>
            </w:rPr>
            <w:tab/>
            <w:t>Republic of Indonesia Ministry of Health.</w:t>
          </w:r>
          <w:r>
            <w:rPr>
              <w:rFonts w:ascii="Tw Cen MT" w:hAnsi="Tw Cen MT" w:cs="Times New Roman"/>
              <w:i/>
              <w:iCs/>
              <w:noProof/>
              <w:sz w:val="24"/>
              <w:szCs w:val="24"/>
            </w:rPr>
            <w:t>Indonesia Health Profile</w:t>
          </w:r>
          <w:r>
            <w:rPr>
              <w:rFonts w:ascii="Tw Cen MT" w:hAnsi="Tw Cen MT" w:cs="Times New Roman"/>
              <w:noProof/>
              <w:sz w:val="24"/>
              <w:szCs w:val="24"/>
            </w:rPr>
            <w:t>. 2021.</w:t>
          </w:r>
        </w:p>
        <w:p w14:paraId="16A04E81"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[3]</w:t>
          </w:r>
          <w:r>
            <w:rPr>
              <w:rFonts w:ascii="Tw Cen MT" w:hAnsi="Tw Cen MT" w:cs="Times New Roman"/>
              <w:noProof/>
              <w:sz w:val="24"/>
              <w:szCs w:val="24"/>
            </w:rPr>
            <w:tab/>
            <w:t>East Java Health Office, "Health Profile 2021,"</w:t>
          </w:r>
          <w:r>
            <w:rPr>
              <w:rFonts w:ascii="Tw Cen MT" w:hAnsi="Tw Cen MT" w:cs="Times New Roman"/>
              <w:i/>
              <w:iCs/>
              <w:noProof/>
              <w:sz w:val="24"/>
              <w:szCs w:val="24"/>
            </w:rPr>
            <w:t>J. Chem. inf. Model.</w:t>
          </w:r>
          <w:r>
            <w:rPr>
              <w:rFonts w:ascii="Tw Cen MT" w:hAnsi="Tw Cen MT" w:cs="Times New Roman"/>
              <w:noProof/>
              <w:sz w:val="24"/>
              <w:szCs w:val="24"/>
            </w:rPr>
            <w:t>, vol. 53, no. 9, p. 6, 2021, [Online]. Available at: http://dspace.ucuenca.edu.ec/bitstream/123456789/35612/1/Trabajo de Titulacion.pdf%0Ahttps://educacion.gob.ec/wp-content/uploads/downloads/2019/01 /GUIA-METODOLOGICA-EF.pdf%0A???%0Ahttps://ejournal.unsrat.ac.id/index.php/JAP/article/viewFile/19239/18790%0A.</w:t>
          </w:r>
        </w:p>
        <w:p w14:paraId="1EF07126"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[4]</w:t>
          </w:r>
          <w:r>
            <w:rPr>
              <w:rFonts w:ascii="Tw Cen MT" w:hAnsi="Tw Cen MT" w:cs="Times New Roman"/>
              <w:noProof/>
              <w:sz w:val="24"/>
              <w:szCs w:val="24"/>
            </w:rPr>
            <w:tab/>
            <w:t>Kediri City Health Office,</w:t>
          </w:r>
          <w:r>
            <w:rPr>
              <w:rFonts w:ascii="Tw Cen MT" w:hAnsi="Tw Cen MT" w:cs="Times New Roman"/>
              <w:i/>
              <w:iCs/>
              <w:noProof/>
              <w:sz w:val="24"/>
              <w:szCs w:val="24"/>
            </w:rPr>
            <w:t>Kediri City Health Profile</w:t>
          </w:r>
          <w:r>
            <w:rPr>
              <w:rFonts w:ascii="Tw Cen MT" w:hAnsi="Tw Cen MT" w:cs="Times New Roman"/>
              <w:noProof/>
              <w:sz w:val="24"/>
              <w:szCs w:val="24"/>
            </w:rPr>
            <w:t>. 2021.</w:t>
          </w:r>
        </w:p>
        <w:p w14:paraId="093180D2"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[5]</w:t>
          </w:r>
          <w:r>
            <w:rPr>
              <w:rFonts w:ascii="Tw Cen MT" w:hAnsi="Tw Cen MT" w:cs="Times New Roman"/>
              <w:noProof/>
              <w:sz w:val="24"/>
              <w:szCs w:val="24"/>
            </w:rPr>
            <w:tab/>
            <w:t>Kediri District Health Office, “Kediri District Health Profile,” 2021.</w:t>
          </w:r>
        </w:p>
        <w:p w14:paraId="4B27ACBD"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[6]</w:t>
          </w:r>
          <w:r>
            <w:rPr>
              <w:rFonts w:ascii="Tw Cen MT" w:hAnsi="Tw Cen MT" w:cs="Times New Roman"/>
              <w:noProof/>
              <w:sz w:val="24"/>
              <w:szCs w:val="24"/>
            </w:rPr>
            <w:tab/>
            <w:t>M. Kordi, FA Meybodi, FR Tara, F. Fakari, M. Nemati, and M. Shakeri, "Effect of dates in late pregnancy on the duration of labor in nulliparous women,"</w:t>
          </w:r>
          <w:r>
            <w:rPr>
              <w:rFonts w:ascii="Tw Cen MT" w:hAnsi="Tw Cen MT" w:cs="Times New Roman"/>
              <w:i/>
              <w:iCs/>
              <w:noProof/>
              <w:sz w:val="24"/>
              <w:szCs w:val="24"/>
            </w:rPr>
            <w:t>Iran. J. Nurs. Midwifery Res.</w:t>
          </w:r>
          <w:r>
            <w:rPr>
              <w:rFonts w:ascii="Tw Cen MT" w:hAnsi="Tw Cen MT" w:cs="Times New Roman"/>
              <w:noProof/>
              <w:sz w:val="24"/>
              <w:szCs w:val="24"/>
            </w:rPr>
            <w:t>, vol. 22, no. 5, p. 383–387, 2017, doi: 10.4103/ijnmr.IJNMR_213_15.</w:t>
          </w:r>
        </w:p>
        <w:p w14:paraId="4C1AAE31"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[7]</w:t>
          </w:r>
          <w:r>
            <w:rPr>
              <w:rFonts w:ascii="Tw Cen MT" w:hAnsi="Tw Cen MT" w:cs="Times New Roman"/>
              <w:noProof/>
              <w:sz w:val="24"/>
              <w:szCs w:val="24"/>
            </w:rPr>
            <w:tab/>
            <w:t>M. Bellia Loranthifolia</w:t>
          </w:r>
          <w:r>
            <w:rPr>
              <w:rFonts w:ascii="Tw Cen MT" w:hAnsi="Tw Cen MT" w:cs="Times New Roman"/>
              <w:i/>
              <w:iCs/>
              <w:noProof/>
              <w:sz w:val="24"/>
              <w:szCs w:val="24"/>
            </w:rPr>
            <w:t>et al.</w:t>
          </w:r>
          <w:r>
            <w:rPr>
              <w:rFonts w:ascii="Tw Cen MT" w:hAnsi="Tw Cen MT" w:cs="Times New Roman"/>
              <w:noProof/>
              <w:sz w:val="24"/>
              <w:szCs w:val="24"/>
            </w:rPr>
            <w:t xml:space="preserve">, “The Effect of Mixed-Fruit Juice on Uterine Contractions and Cervical Dilatation During the First Stage of Delivery,” Glob. med. Heal. Commun., vol. 7, no. 1, p. 7–14, 2019, doi: </w:t>
          </w:r>
          <w:r>
            <w:rPr>
              <w:rFonts w:ascii="Tw Cen MT" w:hAnsi="Tw Cen MT" w:cs="Times New Roman"/>
              <w:noProof/>
              <w:sz w:val="24"/>
              <w:szCs w:val="24"/>
            </w:rPr>
            <w:t>10.29313/gmhc.v7i1.2908.</w:t>
          </w:r>
        </w:p>
        <w:p w14:paraId="36997E58"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[8]</w:t>
          </w:r>
          <w:r>
            <w:rPr>
              <w:rFonts w:ascii="Tw Cen MT" w:hAnsi="Tw Cen MT" w:cs="Times New Roman"/>
              <w:noProof/>
              <w:sz w:val="24"/>
              <w:szCs w:val="24"/>
            </w:rPr>
            <w:tab/>
            <w:t>S. Carlhäll, K. Källén, and M. Blomberg, "The Effect of maternal body mass index on duration of induced labor,"</w:t>
          </w:r>
          <w:r>
            <w:rPr>
              <w:rFonts w:ascii="Tw Cen MT" w:hAnsi="Tw Cen MT" w:cs="Times New Roman"/>
              <w:i/>
              <w:iCs/>
              <w:noProof/>
              <w:sz w:val="24"/>
              <w:szCs w:val="24"/>
            </w:rPr>
            <w:t>Acta Obstet. Gynecol. scand.</w:t>
          </w:r>
          <w:r>
            <w:rPr>
              <w:rFonts w:ascii="Tw Cen MT" w:hAnsi="Tw Cen MT" w:cs="Times New Roman"/>
              <w:noProof/>
              <w:sz w:val="24"/>
              <w:szCs w:val="24"/>
            </w:rPr>
            <w:t>, vol. 99, no. 5, p. 669–678, 2020, doi: 10.1111/aogs.13795.</w:t>
          </w:r>
        </w:p>
        <w:p w14:paraId="3990C911"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[9]</w:t>
          </w:r>
          <w:r>
            <w:rPr>
              <w:rFonts w:ascii="Tw Cen MT" w:hAnsi="Tw Cen MT" w:cs="Times New Roman"/>
              <w:noProof/>
              <w:sz w:val="24"/>
              <w:szCs w:val="24"/>
            </w:rPr>
            <w:tab/>
            <w:t>E. Lubis, W. Sugiarti, and Patriot, "Relationship between Age and Parity with Old Partition Events at Rsb Permata Hati Metro in 2019,"</w:t>
          </w:r>
          <w:r>
            <w:rPr>
              <w:rFonts w:ascii="Tw Cen MT" w:hAnsi="Tw Cen MT" w:cs="Times New Roman"/>
              <w:i/>
              <w:iCs/>
              <w:noProof/>
              <w:sz w:val="24"/>
              <w:szCs w:val="24"/>
            </w:rPr>
            <w:t>Bemj, Mother Edu-midwifery J.</w:t>
          </w:r>
          <w:r>
            <w:rPr>
              <w:rFonts w:ascii="Tw Cen MT" w:hAnsi="Tw Cen MT" w:cs="Times New Roman"/>
              <w:noProof/>
              <w:sz w:val="24"/>
              <w:szCs w:val="24"/>
            </w:rPr>
            <w:t>, vol. 4, no. 1, p. 18–30, 2021.</w:t>
          </w:r>
        </w:p>
        <w:p w14:paraId="027E5584"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[10]</w:t>
          </w:r>
          <w:r>
            <w:rPr>
              <w:rFonts w:ascii="Tw Cen MT" w:hAnsi="Tw Cen MT" w:cs="Times New Roman"/>
              <w:noProof/>
              <w:sz w:val="24"/>
              <w:szCs w:val="24"/>
            </w:rPr>
            <w:tab/>
            <w:t>F. Talebi, F. Malchi, P. Abedi, and S. Jahanfar, “Effect of dill (Anethum Graveolens Linn) seed on the duration of labor: A systematic review,”</w:t>
          </w:r>
          <w:r>
            <w:rPr>
              <w:rFonts w:ascii="Tw Cen MT" w:hAnsi="Tw Cen MT" w:cs="Times New Roman"/>
              <w:i/>
              <w:iCs/>
              <w:noProof/>
              <w:sz w:val="24"/>
              <w:szCs w:val="24"/>
            </w:rPr>
            <w:t>Complements. Ther. Clin. Pract.</w:t>
          </w:r>
          <w:r>
            <w:rPr>
              <w:rFonts w:ascii="Tw Cen MT" w:hAnsi="Tw Cen MT" w:cs="Times New Roman"/>
              <w:noProof/>
              <w:sz w:val="24"/>
              <w:szCs w:val="24"/>
            </w:rPr>
            <w:t>, vol. 41, no. september, p. 101251, 2020, doi: 10.1016/j.ctcp.2020.101251.</w:t>
          </w:r>
        </w:p>
        <w:p w14:paraId="43A34F3E"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[11]</w:t>
          </w:r>
          <w:r>
            <w:rPr>
              <w:rFonts w:ascii="Tw Cen MT" w:hAnsi="Tw Cen MT" w:cs="Times New Roman"/>
              <w:noProof/>
              <w:sz w:val="24"/>
              <w:szCs w:val="24"/>
            </w:rPr>
            <w:tab/>
            <w:t>K. Kuswati and R. Handayani, “Effect of Dates Consumption On Bleeding, Duration, And Types of Labor,”</w:t>
          </w:r>
          <w:r>
            <w:rPr>
              <w:rFonts w:ascii="Tw Cen MT" w:hAnsi="Tw Cen MT" w:cs="Times New Roman"/>
              <w:i/>
              <w:iCs/>
              <w:noProof/>
              <w:sz w:val="24"/>
              <w:szCs w:val="24"/>
            </w:rPr>
            <w:t>J. Midwifery</w:t>
          </w:r>
          <w:r>
            <w:rPr>
              <w:rFonts w:ascii="Tw Cen MT" w:hAnsi="Tw Cen MT" w:cs="Times New Roman"/>
              <w:noProof/>
              <w:sz w:val="24"/>
              <w:szCs w:val="24"/>
            </w:rPr>
            <w:t>, vol. 4, no. 1, p. 85, 2020, doi: 10.25077/jom.4.1.85-91.2019.</w:t>
          </w:r>
        </w:p>
        <w:p w14:paraId="6B23D065"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[12]</w:t>
          </w:r>
          <w:r>
            <w:rPr>
              <w:rFonts w:ascii="Tw Cen MT" w:hAnsi="Tw Cen MT" w:cs="Times New Roman"/>
              <w:noProof/>
              <w:sz w:val="24"/>
              <w:szCs w:val="24"/>
            </w:rPr>
            <w:tab/>
            <w:t>Morteza</w:t>
          </w:r>
          <w:r>
            <w:rPr>
              <w:rFonts w:ascii="Tw Cen MT" w:hAnsi="Tw Cen MT" w:cs="Times New Roman"/>
              <w:i/>
              <w:iCs/>
              <w:noProof/>
              <w:sz w:val="24"/>
              <w:szCs w:val="24"/>
            </w:rPr>
            <w:t>et al.</w:t>
          </w:r>
          <w:r>
            <w:rPr>
              <w:rFonts w:ascii="Tw Cen MT" w:hAnsi="Tw Cen MT" w:cs="Times New Roman"/>
              <w:noProof/>
              <w:sz w:val="24"/>
              <w:szCs w:val="24"/>
            </w:rPr>
            <w:t>, “Effects of consuming date fruits (Phoenix dactylifera Linn) on gestation, labor, and delivery: An updated systematic review and meta-analysis of clinical trials,” Complement. Ther. Med., vol. 45, no. March, p. 71–84, doi: 10.1016/j.ctim.2019.05.017.</w:t>
          </w:r>
        </w:p>
        <w:p w14:paraId="57FE9F7C"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[13]</w:t>
          </w:r>
          <w:r>
            <w:rPr>
              <w:rFonts w:ascii="Tw Cen MT" w:hAnsi="Tw Cen MT" w:cs="Times New Roman"/>
              <w:noProof/>
              <w:sz w:val="24"/>
              <w:szCs w:val="24"/>
            </w:rPr>
            <w:tab/>
            <w:t>N. Razali, SH Mohd Nahwari, S. Sulaiman, and J. Hassan, “Date fruit consumption at term: Effect on length of gestation, labor and delivery,”</w:t>
          </w:r>
          <w:r>
            <w:rPr>
              <w:rFonts w:ascii="Tw Cen MT" w:hAnsi="Tw Cen MT" w:cs="Times New Roman"/>
              <w:i/>
              <w:iCs/>
              <w:noProof/>
              <w:sz w:val="24"/>
              <w:szCs w:val="24"/>
            </w:rPr>
            <w:t>J. Obstetrics. Gynaecol. (Lahore).</w:t>
          </w:r>
          <w:r>
            <w:rPr>
              <w:rFonts w:ascii="Tw Cen MT" w:hAnsi="Tw Cen MT" w:cs="Times New Roman"/>
              <w:noProof/>
              <w:sz w:val="24"/>
              <w:szCs w:val="24"/>
            </w:rPr>
            <w:t>, vol. 37, no. 5, p. 595–600, 2017, doi: 10.1080/01443615.2017.1283304.</w:t>
          </w:r>
        </w:p>
        <w:p w14:paraId="5E394E5B"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[14]</w:t>
          </w:r>
          <w:r>
            <w:rPr>
              <w:rFonts w:ascii="Tw Cen MT" w:hAnsi="Tw Cen MT" w:cs="Times New Roman"/>
              <w:noProof/>
              <w:sz w:val="24"/>
              <w:szCs w:val="24"/>
            </w:rPr>
            <w:tab/>
            <w:t>RY Astari and YD Dewi, "Date Consumption at the End of Pregnancy on the Acceleration of the 1st Stage of Childbirth,"</w:t>
          </w:r>
          <w:r>
            <w:rPr>
              <w:rFonts w:ascii="Tw Cen MT" w:hAnsi="Tw Cen MT" w:cs="Times New Roman"/>
              <w:i/>
              <w:iCs/>
              <w:noProof/>
              <w:sz w:val="24"/>
              <w:szCs w:val="24"/>
            </w:rPr>
            <w:t>Wellness Heal. Mag.</w:t>
          </w:r>
          <w:r>
            <w:rPr>
              <w:rFonts w:ascii="Tw Cen MT" w:hAnsi="Tw Cen MT" w:cs="Times New Roman"/>
              <w:noProof/>
              <w:sz w:val="24"/>
              <w:szCs w:val="24"/>
            </w:rPr>
            <w:t xml:space="preserve">, vol. 2, no. February, p. 1–9, 2019, [Online]. Available at: </w:t>
          </w:r>
          <w:r>
            <w:rPr>
              <w:rFonts w:ascii="Tw Cen MT" w:hAnsi="Tw Cen MT" w:cs="Times New Roman"/>
              <w:noProof/>
              <w:sz w:val="24"/>
              <w:szCs w:val="24"/>
            </w:rPr>
            <w:lastRenderedPageBreak/>
            <w:t>https://wellness.journalpress.id/wellness/article/view/v1i218wh.</w:t>
          </w:r>
        </w:p>
        <w:p w14:paraId="577FF1FE"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[15]</w:t>
          </w:r>
          <w:r>
            <w:rPr>
              <w:rFonts w:ascii="Tw Cen MT" w:hAnsi="Tw Cen MT" w:cs="Times New Roman"/>
              <w:noProof/>
              <w:sz w:val="24"/>
              <w:szCs w:val="24"/>
            </w:rPr>
            <w:tab/>
            <w:t>N. Firdausi, Mukhlis, and H. Mukhlis, “Duration Labor Dates Sukkari,” vol. 3, no. August, p. 119–127, 2021, doi: 10.30604/well.159322021.</w:t>
          </w:r>
        </w:p>
        <w:p w14:paraId="62737D8E"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[16]</w:t>
          </w:r>
          <w:r>
            <w:rPr>
              <w:rFonts w:ascii="Tw Cen MT" w:hAnsi="Tw Cen MT" w:cs="Times New Roman"/>
              <w:noProof/>
              <w:sz w:val="24"/>
              <w:szCs w:val="24"/>
            </w:rPr>
            <w:tab/>
            <w:t>L. Sagi-Dain dan S. Sagi, "The Effect of late pregnancy date fruit consumption on delivery progress – A meta-analysis,"</w:t>
          </w:r>
          <w:r>
            <w:rPr>
              <w:rFonts w:ascii="Tw Cen MT" w:hAnsi="Tw Cen MT" w:cs="Times New Roman"/>
              <w:i/>
              <w:iCs/>
              <w:noProof/>
              <w:sz w:val="24"/>
              <w:szCs w:val="24"/>
            </w:rPr>
            <w:t>Explore</w:t>
          </w:r>
          <w:r>
            <w:rPr>
              <w:rFonts w:ascii="Tw Cen MT" w:hAnsi="Tw Cen MT" w:cs="Times New Roman"/>
              <w:noProof/>
              <w:sz w:val="24"/>
              <w:szCs w:val="24"/>
            </w:rPr>
            <w:t>, vol. 17, no. 6, p. 569–573, 2021, doi: 10.1016/j.explore.2020.05.014.</w:t>
          </w:r>
        </w:p>
        <w:p w14:paraId="03A49A17"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[17]</w:t>
          </w:r>
          <w:r>
            <w:rPr>
              <w:rFonts w:ascii="Tw Cen MT" w:hAnsi="Tw Cen MT" w:cs="Times New Roman"/>
              <w:noProof/>
              <w:sz w:val="24"/>
              <w:szCs w:val="24"/>
            </w:rPr>
            <w:tab/>
            <w:t>H. Rosen and Y. Yogev, “Assessment of uterine contractions in labor and delivery,”</w:t>
          </w:r>
          <w:r>
            <w:rPr>
              <w:rFonts w:ascii="Tw Cen MT" w:hAnsi="Tw Cen MT" w:cs="Times New Roman"/>
              <w:i/>
              <w:iCs/>
              <w:noProof/>
              <w:sz w:val="24"/>
              <w:szCs w:val="24"/>
            </w:rPr>
            <w:t>Am. J. Obstetrics. Gynecol.</w:t>
          </w:r>
          <w:r>
            <w:rPr>
              <w:rFonts w:ascii="Tw Cen MT" w:hAnsi="Tw Cen MT" w:cs="Times New Roman"/>
              <w:noProof/>
              <w:sz w:val="24"/>
              <w:szCs w:val="24"/>
            </w:rPr>
            <w:t>, vol. 228, no. 5, p. S1209–S1221, 2023, doi: 10.1016/j.ajog.2022.09.003.</w:t>
          </w:r>
        </w:p>
        <w:p w14:paraId="5CB80E3D"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[18]</w:t>
          </w:r>
          <w:r>
            <w:rPr>
              <w:rFonts w:ascii="Tw Cen MT" w:hAnsi="Tw Cen MT" w:cs="Times New Roman"/>
              <w:noProof/>
              <w:sz w:val="24"/>
              <w:szCs w:val="24"/>
            </w:rPr>
            <w:tab/>
            <w:t>AG Cahill</w:t>
          </w:r>
          <w:r>
            <w:rPr>
              <w:rFonts w:ascii="Tw Cen MT" w:hAnsi="Tw Cen MT" w:cs="Times New Roman"/>
              <w:i/>
              <w:iCs/>
              <w:noProof/>
              <w:sz w:val="24"/>
              <w:szCs w:val="24"/>
            </w:rPr>
            <w:t>et al.</w:t>
          </w:r>
          <w:r>
            <w:rPr>
              <w:rFonts w:ascii="Tw Cen MT" w:hAnsi="Tw Cen MT" w:cs="Times New Roman"/>
              <w:noProof/>
              <w:sz w:val="24"/>
              <w:szCs w:val="24"/>
            </w:rPr>
            <w:t>, “Analysis of Electrophysiological Activation of the Uterus during Human Labor Contractions,” JAMA Netw. Open, vol. 5, no. 6, p. 8–11, 2022, doi: 10.1001/jamanetworkopen.2022.14707.</w:t>
          </w:r>
        </w:p>
        <w:p w14:paraId="1C07289B"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[19]</w:t>
          </w:r>
          <w:r>
            <w:rPr>
              <w:rFonts w:ascii="Tw Cen MT" w:hAnsi="Tw Cen MT" w:cs="Times New Roman"/>
              <w:noProof/>
              <w:sz w:val="24"/>
              <w:szCs w:val="24"/>
            </w:rPr>
            <w:tab/>
            <w:t>N. Hiba, S. Nisar, ZA Mirza, and S. Nisar, “Effect of Date Fruit Consumption in Later Pregnancy on Length of Gestational, Labor and Delivery of Nulliparous Women,” vol. 72, no. 6, p. 2082–2086, 2022.</w:t>
          </w:r>
        </w:p>
        <w:p w14:paraId="59AD921B"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[20]</w:t>
          </w:r>
          <w:r>
            <w:rPr>
              <w:rFonts w:ascii="Tw Cen MT" w:hAnsi="Tw Cen MT" w:cs="Times New Roman"/>
              <w:noProof/>
              <w:sz w:val="24"/>
              <w:szCs w:val="24"/>
            </w:rPr>
            <w:tab/>
            <w:t>SI Sandhi, "The Effect of Consumption of Ajwa Dates on Uterine Contraction Seen from the Length of Delivery," vol. 48, no. 2, p. 39–62, 2021, [Online]. Available at: www.ine.es.</w:t>
          </w:r>
        </w:p>
        <w:p w14:paraId="72CB00CE"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[21]</w:t>
          </w:r>
          <w:r>
            <w:rPr>
              <w:rFonts w:ascii="Tw Cen MT" w:hAnsi="Tw Cen MT" w:cs="Times New Roman"/>
              <w:noProof/>
              <w:sz w:val="24"/>
              <w:szCs w:val="24"/>
            </w:rPr>
            <w:tab/>
            <w:t>N. -982-1-S. pdfn. Semmagga and AN Fausyah, "The relationship between pregnancy exercise and the smooth process of normal delivery at the Wara Health Center,"</w:t>
          </w:r>
          <w:r>
            <w:rPr>
              <w:rFonts w:ascii="Tw Cen MT" w:hAnsi="Tw Cen MT" w:cs="Times New Roman"/>
              <w:i/>
              <w:iCs/>
              <w:noProof/>
              <w:sz w:val="24"/>
              <w:szCs w:val="24"/>
            </w:rPr>
            <w:t>J. Sist. healthy.</w:t>
          </w:r>
          <w:r>
            <w:rPr>
              <w:rFonts w:ascii="Tw Cen MT" w:hAnsi="Tw Cen MT" w:cs="Times New Roman"/>
              <w:noProof/>
              <w:sz w:val="24"/>
              <w:szCs w:val="24"/>
            </w:rPr>
            <w:t>, vol. 6, no. 1, p. 7–13, 2021, [Online]. Available at: http://jurnal.unpad.ac.id/jsk_ikm/article/view/35634.</w:t>
          </w:r>
        </w:p>
        <w:p w14:paraId="70EAC75C"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[22]</w:t>
          </w:r>
          <w:r>
            <w:rPr>
              <w:rFonts w:ascii="Tw Cen MT" w:hAnsi="Tw Cen MT" w:cs="Times New Roman"/>
              <w:noProof/>
              <w:sz w:val="24"/>
              <w:szCs w:val="24"/>
            </w:rPr>
            <w:tab/>
            <w:t>K. Uvnas-Moberg</w:t>
          </w:r>
          <w:r>
            <w:rPr>
              <w:rFonts w:ascii="Tw Cen MT" w:hAnsi="Tw Cen MT" w:cs="Times New Roman"/>
              <w:i/>
              <w:iCs/>
              <w:noProof/>
              <w:sz w:val="24"/>
              <w:szCs w:val="24"/>
            </w:rPr>
            <w:t>et al.</w:t>
          </w:r>
          <w:r>
            <w:rPr>
              <w:rFonts w:ascii="Tw Cen MT" w:hAnsi="Tw Cen MT" w:cs="Times New Roman"/>
              <w:noProof/>
              <w:sz w:val="24"/>
              <w:szCs w:val="24"/>
            </w:rPr>
            <w:t xml:space="preserve">, “Maternal plasma levels of oxytocin during physiological childbirth - A systematic </w:t>
          </w:r>
          <w:r>
            <w:rPr>
              <w:rFonts w:ascii="Tw Cen MT" w:hAnsi="Tw Cen MT" w:cs="Times New Roman"/>
              <w:noProof/>
              <w:sz w:val="24"/>
              <w:szCs w:val="24"/>
            </w:rPr>
            <w:t>review with implications for uterine contractions and central actions of oxytocin,” BMC Pregnancy Childbirth, vol. 19, no. 1, p. 1–17, 2019, doi: 10.1186/s12884-019-2365-9.</w:t>
          </w:r>
        </w:p>
        <w:p w14:paraId="79EEFD3E"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[23]</w:t>
          </w:r>
          <w:r>
            <w:rPr>
              <w:rFonts w:ascii="Tw Cen MT" w:hAnsi="Tw Cen MT" w:cs="Times New Roman"/>
              <w:noProof/>
              <w:sz w:val="24"/>
              <w:szCs w:val="24"/>
            </w:rPr>
            <w:tab/>
            <w:t>O. Shynlova, L. Nadeem, J. Zhang, C. Dunk, and S. Lye, “Myometrial activation: Novel concepts underlying labor,”</w:t>
          </w:r>
          <w:r>
            <w:rPr>
              <w:rFonts w:ascii="Tw Cen MT" w:hAnsi="Tw Cen MT" w:cs="Times New Roman"/>
              <w:i/>
              <w:iCs/>
              <w:noProof/>
              <w:sz w:val="24"/>
              <w:szCs w:val="24"/>
            </w:rPr>
            <w:t>Placenta</w:t>
          </w:r>
          <w:r>
            <w:rPr>
              <w:rFonts w:ascii="Tw Cen MT" w:hAnsi="Tw Cen MT" w:cs="Times New Roman"/>
              <w:noProof/>
              <w:sz w:val="24"/>
              <w:szCs w:val="24"/>
            </w:rPr>
            <w:t>, vol. 92, no. January, p. 28–36, 2020, doi: 10.1016/j.placenta.2020.02.005.</w:t>
          </w:r>
        </w:p>
        <w:p w14:paraId="60763838"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[24]</w:t>
          </w:r>
          <w:r>
            <w:rPr>
              <w:rFonts w:ascii="Tw Cen MT" w:hAnsi="Tw Cen MT" w:cs="Times New Roman"/>
              <w:noProof/>
              <w:sz w:val="24"/>
              <w:szCs w:val="24"/>
            </w:rPr>
            <w:tab/>
            <w:t>C. Charles, “Labor and normal birth,”</w:t>
          </w:r>
          <w:r>
            <w:rPr>
              <w:rFonts w:ascii="Tw Cen MT" w:hAnsi="Tw Cen MT" w:cs="Times New Roman"/>
              <w:i/>
              <w:iCs/>
              <w:noProof/>
              <w:sz w:val="24"/>
              <w:szCs w:val="24"/>
            </w:rPr>
            <w:t>Midwife's Labor Birth Handb.</w:t>
          </w:r>
          <w:r>
            <w:rPr>
              <w:rFonts w:ascii="Tw Cen MT" w:hAnsi="Tw Cen MT" w:cs="Times New Roman"/>
              <w:noProof/>
              <w:sz w:val="24"/>
              <w:szCs w:val="24"/>
            </w:rPr>
            <w:t>, matter. 1–48, 2017, doi: 10.1002/9781119235064.ch1.</w:t>
          </w:r>
        </w:p>
        <w:p w14:paraId="3257B08F"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[25]</w:t>
          </w:r>
          <w:r>
            <w:rPr>
              <w:rFonts w:ascii="Tw Cen MT" w:hAnsi="Tw Cen MT" w:cs="Times New Roman"/>
              <w:noProof/>
              <w:sz w:val="24"/>
              <w:szCs w:val="24"/>
            </w:rPr>
            <w:tab/>
            <w:t>SA Rahman, C. Bibbo, J. Olcese, CA Czeisler, JN Robinson, and EB Klerman, "Relationship between endogenous melatonin concentrations and uterine contractions in late third trimester of human pregnancy,"</w:t>
          </w:r>
          <w:r>
            <w:rPr>
              <w:rFonts w:ascii="Tw Cen MT" w:hAnsi="Tw Cen MT" w:cs="Times New Roman"/>
              <w:i/>
              <w:iCs/>
              <w:noProof/>
              <w:sz w:val="24"/>
              <w:szCs w:val="24"/>
            </w:rPr>
            <w:t>J. Pineal Res.</w:t>
          </w:r>
          <w:r>
            <w:rPr>
              <w:rFonts w:ascii="Tw Cen MT" w:hAnsi="Tw Cen MT" w:cs="Times New Roman"/>
              <w:noProof/>
              <w:sz w:val="24"/>
              <w:szCs w:val="24"/>
            </w:rPr>
            <w:t>, vol. 66, no. 4, p. 1–7, 2019, doi: 10.1111/jpi.12566.</w:t>
          </w:r>
        </w:p>
        <w:p w14:paraId="691D2D39"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[26]</w:t>
          </w:r>
          <w:r>
            <w:rPr>
              <w:rFonts w:ascii="Tw Cen MT" w:hAnsi="Tw Cen MT" w:cs="Times New Roman"/>
              <w:noProof/>
              <w:sz w:val="24"/>
              <w:szCs w:val="24"/>
            </w:rPr>
            <w:tab/>
            <w:t>SE Gee and HA Frey, "Contractions: Traditional concepts and their role in modern obstetrics,"</w:t>
          </w:r>
          <w:r>
            <w:rPr>
              <w:rFonts w:ascii="Tw Cen MT" w:hAnsi="Tw Cen MT" w:cs="Times New Roman"/>
              <w:i/>
              <w:iCs/>
              <w:noProof/>
              <w:sz w:val="24"/>
              <w:szCs w:val="24"/>
            </w:rPr>
            <w:t>Monday. Perinatol.</w:t>
          </w:r>
          <w:r>
            <w:rPr>
              <w:rFonts w:ascii="Tw Cen MT" w:hAnsi="Tw Cen MT" w:cs="Times New Roman"/>
              <w:noProof/>
              <w:sz w:val="24"/>
              <w:szCs w:val="24"/>
            </w:rPr>
            <w:t>, vol. 44, no. 2, p. 151218, 2020, doi: 10.1016/j.semperi.2019.151218.</w:t>
          </w:r>
        </w:p>
        <w:p w14:paraId="1F5CC44B"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[27]</w:t>
          </w:r>
          <w:r>
            <w:rPr>
              <w:rFonts w:ascii="Tw Cen MT" w:hAnsi="Tw Cen MT" w:cs="Times New Roman"/>
              <w:noProof/>
              <w:sz w:val="24"/>
              <w:szCs w:val="24"/>
            </w:rPr>
            <w:tab/>
            <w:t>S. Arrowsmith, “Oxytocin and vasopressin signaling and myometrial contractions,”</w:t>
          </w:r>
          <w:r>
            <w:rPr>
              <w:rFonts w:ascii="Tw Cen MT" w:hAnsi="Tw Cen MT" w:cs="Times New Roman"/>
              <w:i/>
              <w:iCs/>
              <w:noProof/>
              <w:sz w:val="24"/>
              <w:szCs w:val="24"/>
            </w:rPr>
            <w:t>Curr. Opin. Physiol.</w:t>
          </w:r>
          <w:r>
            <w:rPr>
              <w:rFonts w:ascii="Tw Cen MT" w:hAnsi="Tw Cen MT" w:cs="Times New Roman"/>
              <w:noProof/>
              <w:sz w:val="24"/>
              <w:szCs w:val="24"/>
            </w:rPr>
            <w:t>, vol. 13, p. 62–70, 2020, doi: 10.1016/j.cophys.2019.10.006.</w:t>
          </w:r>
        </w:p>
        <w:p w14:paraId="44E329E4"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[28]</w:t>
          </w:r>
          <w:r>
            <w:rPr>
              <w:rFonts w:ascii="Tw Cen MT" w:hAnsi="Tw Cen MT" w:cs="Times New Roman"/>
              <w:noProof/>
              <w:sz w:val="24"/>
              <w:szCs w:val="24"/>
            </w:rPr>
            <w:tab/>
            <w:t>T.Martin</w:t>
          </w:r>
          <w:r>
            <w:rPr>
              <w:rFonts w:ascii="Tw Cen MT" w:hAnsi="Tw Cen MT" w:cs="Times New Roman"/>
              <w:i/>
              <w:iCs/>
              <w:noProof/>
              <w:sz w:val="24"/>
              <w:szCs w:val="24"/>
            </w:rPr>
            <w:t>et al.</w:t>
          </w:r>
          <w:r>
            <w:rPr>
              <w:rFonts w:ascii="Tw Cen MT" w:hAnsi="Tw Cen MT" w:cs="Times New Roman"/>
              <w:noProof/>
              <w:sz w:val="24"/>
              <w:szCs w:val="24"/>
            </w:rPr>
            <w:t>, “Characterization of uterine motion in early gestation using MRI-based motion tracking,” Diagnostics, vol. 10, no. 10, p. 1–10, 2020, doi: 10.3390/diagnostics10100840.</w:t>
          </w:r>
        </w:p>
        <w:p w14:paraId="59CAF5F4"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[29]</w:t>
          </w:r>
          <w:r>
            <w:rPr>
              <w:rFonts w:ascii="Tw Cen MT" w:hAnsi="Tw Cen MT" w:cs="Times New Roman"/>
              <w:noProof/>
              <w:sz w:val="24"/>
              <w:szCs w:val="24"/>
            </w:rPr>
            <w:tab/>
            <w:t>X. Fang</w:t>
          </w:r>
          <w:r>
            <w:rPr>
              <w:rFonts w:ascii="Tw Cen MT" w:hAnsi="Tw Cen MT" w:cs="Times New Roman"/>
              <w:i/>
              <w:iCs/>
              <w:noProof/>
              <w:sz w:val="24"/>
              <w:szCs w:val="24"/>
            </w:rPr>
            <w:t>et al.</w:t>
          </w:r>
          <w:r>
            <w:rPr>
              <w:rFonts w:ascii="Tw Cen MT" w:hAnsi="Tw Cen MT" w:cs="Times New Roman"/>
              <w:noProof/>
              <w:sz w:val="24"/>
              <w:szCs w:val="24"/>
            </w:rPr>
            <w:t>, “Incidence, severity, and determinants of uterine contraction pain after vaginal delivery: a prospective observational study,” Int. J. Obstetrics. Anesth., vol. 46, no. October 2018, 2021, doi: 10.1016/j.ijoa.2021.102961.</w:t>
          </w:r>
        </w:p>
        <w:p w14:paraId="5A4A8195"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[30]</w:t>
          </w:r>
          <w:r>
            <w:rPr>
              <w:rFonts w:ascii="Tw Cen MT" w:hAnsi="Tw Cen MT" w:cs="Times New Roman"/>
              <w:noProof/>
              <w:sz w:val="24"/>
              <w:szCs w:val="24"/>
            </w:rPr>
            <w:tab/>
            <w:t xml:space="preserve">M. Malik, M. Roh, and SK England, </w:t>
          </w:r>
          <w:r>
            <w:rPr>
              <w:rFonts w:ascii="Tw Cen MT" w:hAnsi="Tw Cen MT" w:cs="Times New Roman"/>
              <w:noProof/>
              <w:sz w:val="24"/>
              <w:szCs w:val="24"/>
            </w:rPr>
            <w:lastRenderedPageBreak/>
            <w:t>"Uterine contractions in rodent models and humans,"</w:t>
          </w:r>
          <w:r>
            <w:rPr>
              <w:rFonts w:ascii="Tw Cen MT" w:hAnsi="Tw Cen MT" w:cs="Times New Roman"/>
              <w:i/>
              <w:iCs/>
              <w:noProof/>
              <w:sz w:val="24"/>
              <w:szCs w:val="24"/>
            </w:rPr>
            <w:t>Acta Physiol.</w:t>
          </w:r>
          <w:r>
            <w:rPr>
              <w:rFonts w:ascii="Tw Cen MT" w:hAnsi="Tw Cen MT" w:cs="Times New Roman"/>
              <w:noProof/>
              <w:sz w:val="24"/>
              <w:szCs w:val="24"/>
            </w:rPr>
            <w:t>, vol. 231, no. 4, p. 1–17, 2021, doi: 10.1111/apha.13607.</w:t>
          </w:r>
        </w:p>
        <w:p w14:paraId="775A1934"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[31]</w:t>
          </w:r>
          <w:r>
            <w:rPr>
              <w:rFonts w:ascii="Tw Cen MT" w:hAnsi="Tw Cen MT" w:cs="Times New Roman"/>
              <w:noProof/>
              <w:sz w:val="24"/>
              <w:szCs w:val="24"/>
            </w:rPr>
            <w:tab/>
            <w:t>E. Abaci Turk</w:t>
          </w:r>
          <w:r>
            <w:rPr>
              <w:rFonts w:ascii="Tw Cen MT" w:hAnsi="Tw Cen MT" w:cs="Times New Roman"/>
              <w:i/>
              <w:iCs/>
              <w:noProof/>
              <w:sz w:val="24"/>
              <w:szCs w:val="24"/>
            </w:rPr>
            <w:t>et al.</w:t>
          </w:r>
          <w:r>
            <w:rPr>
              <w:rFonts w:ascii="Tw Cen MT" w:hAnsi="Tw Cen MT" w:cs="Times New Roman"/>
              <w:noProof/>
              <w:sz w:val="24"/>
              <w:szCs w:val="24"/>
            </w:rPr>
            <w:t>, “Placental MRI: Effect of maternal position and uterine contractions on placental BOLD MRI measurements,” Placenta, vol. 95, no. April, p. 69–77, 2020, doi: 10.1016/j.placenta.2020.04.008.</w:t>
          </w:r>
        </w:p>
        <w:p w14:paraId="5685C531"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[32]</w:t>
          </w:r>
          <w:r>
            <w:rPr>
              <w:rFonts w:ascii="Tw Cen MT" w:hAnsi="Tw Cen MT" w:cs="Times New Roman"/>
              <w:noProof/>
              <w:sz w:val="24"/>
              <w:szCs w:val="24"/>
            </w:rPr>
            <w:tab/>
            <w:t>JR Whittington</w:t>
          </w:r>
          <w:r>
            <w:rPr>
              <w:rFonts w:ascii="Tw Cen MT" w:hAnsi="Tw Cen MT" w:cs="Times New Roman"/>
              <w:i/>
              <w:iCs/>
              <w:noProof/>
              <w:sz w:val="24"/>
              <w:szCs w:val="24"/>
            </w:rPr>
            <w:t>et al.</w:t>
          </w:r>
          <w:r>
            <w:rPr>
              <w:rFonts w:ascii="Tw Cen MT" w:hAnsi="Tw Cen MT" w:cs="Times New Roman"/>
              <w:noProof/>
              <w:sz w:val="24"/>
              <w:szCs w:val="24"/>
            </w:rPr>
            <w:t>, “Duration of the Third Stage of Labor and Estimated Blood Loss in Twin Vaginal Deliveries,” AJP Rep., vol. 10, no. 3, p. E330–E334, 2020, doi: 10.1055/s-0040-1715170.</w:t>
          </w:r>
        </w:p>
        <w:p w14:paraId="64EAD8D1"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[33]</w:t>
          </w:r>
          <w:r>
            <w:rPr>
              <w:rFonts w:ascii="Tw Cen MT" w:hAnsi="Tw Cen MT" w:cs="Times New Roman"/>
              <w:noProof/>
              <w:sz w:val="24"/>
              <w:szCs w:val="24"/>
            </w:rPr>
            <w:tab/>
            <w:t>DD Anggraini,</w:t>
          </w:r>
          <w:r>
            <w:rPr>
              <w:rFonts w:ascii="Tw Cen MT" w:hAnsi="Tw Cen MT" w:cs="Times New Roman"/>
              <w:i/>
              <w:iCs/>
              <w:noProof/>
              <w:sz w:val="24"/>
              <w:szCs w:val="24"/>
            </w:rPr>
            <w:t>Neonatal Maternal Emergency Care</w:t>
          </w:r>
          <w:r>
            <w:rPr>
              <w:rFonts w:ascii="Tw Cen MT" w:hAnsi="Tw Cen MT" w:cs="Times New Roman"/>
              <w:noProof/>
              <w:sz w:val="24"/>
              <w:szCs w:val="24"/>
            </w:rPr>
            <w:t>, Pe Mold. Padang, West Sumatra, 2022.</w:t>
          </w:r>
        </w:p>
        <w:p w14:paraId="208CB8F9"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[34]</w:t>
          </w:r>
          <w:r>
            <w:rPr>
              <w:rFonts w:ascii="Tw Cen MT" w:hAnsi="Tw Cen MT" w:cs="Times New Roman"/>
              <w:noProof/>
              <w:sz w:val="24"/>
              <w:szCs w:val="24"/>
            </w:rPr>
            <w:tab/>
            <w:t>A. Wertheimer</w:t>
          </w:r>
          <w:r>
            <w:rPr>
              <w:rFonts w:ascii="Tw Cen MT" w:hAnsi="Tw Cen MT" w:cs="Times New Roman"/>
              <w:i/>
              <w:iCs/>
              <w:noProof/>
              <w:sz w:val="24"/>
              <w:szCs w:val="24"/>
            </w:rPr>
            <w:t xml:space="preserve"> et al.</w:t>
          </w:r>
          <w:r>
            <w:rPr>
              <w:rFonts w:ascii="Tw Cen MT" w:hAnsi="Tw Cen MT" w:cs="Times New Roman"/>
              <w:noProof/>
              <w:sz w:val="24"/>
              <w:szCs w:val="24"/>
            </w:rPr>
            <w:t>, "Complications of the third stage of labor are more prevalent in IVF pregnancies," J. Matern. Neonatal Med., vol. 35, no. 4, p. 663–667, 2022, doi: 10.1080/14767058.2020.1730797.</w:t>
          </w:r>
        </w:p>
        <w:p w14:paraId="51A0E346"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[35]</w:t>
          </w:r>
          <w:r>
            <w:rPr>
              <w:rFonts w:ascii="Tw Cen MT" w:hAnsi="Tw Cen MT" w:cs="Times New Roman"/>
              <w:noProof/>
              <w:sz w:val="24"/>
              <w:szCs w:val="24"/>
            </w:rPr>
            <w:tab/>
            <w:t>K. Güngördük, Y. Olgaç, V. Gülseren, and M. Kocaer, “Active management of the third stage of labor: A brief overview of key issues,”</w:t>
          </w:r>
          <w:r>
            <w:rPr>
              <w:rFonts w:ascii="Tw Cen MT" w:hAnsi="Tw Cen MT" w:cs="Times New Roman"/>
              <w:i/>
              <w:iCs/>
              <w:noProof/>
              <w:sz w:val="24"/>
              <w:szCs w:val="24"/>
            </w:rPr>
            <w:t>Turkish J. Obstet. Gynecol.</w:t>
          </w:r>
          <w:r>
            <w:rPr>
              <w:rFonts w:ascii="Tw Cen MT" w:hAnsi="Tw Cen MT" w:cs="Times New Roman"/>
              <w:noProof/>
              <w:sz w:val="24"/>
              <w:szCs w:val="24"/>
            </w:rPr>
            <w:t>, vol. 15, no. 3, p. 188–192, 2018, doi: 10.4274/tjod.39049.</w:t>
          </w:r>
        </w:p>
        <w:p w14:paraId="243BE4D3"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[36]</w:t>
          </w:r>
          <w:r>
            <w:rPr>
              <w:rFonts w:ascii="Tw Cen MT" w:hAnsi="Tw Cen MT" w:cs="Times New Roman"/>
              <w:noProof/>
              <w:sz w:val="24"/>
              <w:szCs w:val="24"/>
            </w:rPr>
            <w:tab/>
            <w:t>M. Siddiq and I. Greiby, “Overview of Date Fruit and Nutrition,”</w:t>
          </w:r>
          <w:r>
            <w:rPr>
              <w:rFonts w:ascii="Tw Cen MT" w:hAnsi="Tw Cen MT" w:cs="Times New Roman"/>
              <w:i/>
              <w:iCs/>
              <w:noProof/>
              <w:sz w:val="24"/>
              <w:szCs w:val="24"/>
            </w:rPr>
            <w:t>Dates Postharvest Sci. Process. Technol. Heal. Benefits</w:t>
          </w:r>
          <w:r>
            <w:rPr>
              <w:rFonts w:ascii="Tw Cen MT" w:hAnsi="Tw Cen MT" w:cs="Times New Roman"/>
              <w:noProof/>
              <w:sz w:val="24"/>
              <w:szCs w:val="24"/>
            </w:rPr>
            <w:t>, matter. 1–28, 2014, [Online]. Available at: http://eu.wiley.com/WileyCDA/WileyTitle/productCd-1118292375.html.</w:t>
          </w:r>
        </w:p>
        <w:p w14:paraId="28C637D0"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[37]</w:t>
          </w:r>
          <w:r>
            <w:rPr>
              <w:rFonts w:ascii="Tw Cen MT" w:hAnsi="Tw Cen MT" w:cs="Times New Roman"/>
              <w:noProof/>
              <w:sz w:val="24"/>
              <w:szCs w:val="24"/>
            </w:rPr>
            <w:tab/>
            <w:t>S. Taavoni, L. Fathi, NN Ekbatani, and H. Haghani, "The Effect of Oral Date Syrup on Severity of Labor Pain in Nulliparous,"</w:t>
          </w:r>
          <w:r>
            <w:rPr>
              <w:rFonts w:ascii="Tw Cen MT" w:hAnsi="Tw Cen MT" w:cs="Times New Roman"/>
              <w:i/>
              <w:iCs/>
              <w:noProof/>
              <w:sz w:val="24"/>
              <w:szCs w:val="24"/>
            </w:rPr>
            <w:t>Shiraz E Med. J.</w:t>
          </w:r>
          <w:r>
            <w:rPr>
              <w:rFonts w:ascii="Tw Cen MT" w:hAnsi="Tw Cen MT" w:cs="Times New Roman"/>
              <w:noProof/>
              <w:sz w:val="24"/>
              <w:szCs w:val="24"/>
            </w:rPr>
            <w:t>, vol. 20, no. 1, 2019, doi: 10.5812/SEMJ.69207.</w:t>
          </w:r>
        </w:p>
        <w:p w14:paraId="5757F323"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[38]</w:t>
          </w:r>
          <w:r>
            <w:rPr>
              <w:rFonts w:ascii="Tw Cen MT" w:hAnsi="Tw Cen MT" w:cs="Times New Roman"/>
              <w:noProof/>
              <w:sz w:val="24"/>
              <w:szCs w:val="24"/>
            </w:rPr>
            <w:tab/>
            <w:t>DU Silverthorn,</w:t>
          </w:r>
          <w:r>
            <w:rPr>
              <w:rFonts w:ascii="Tw Cen MT" w:hAnsi="Tw Cen MT" w:cs="Times New Roman"/>
              <w:i/>
              <w:iCs/>
              <w:noProof/>
              <w:sz w:val="24"/>
              <w:szCs w:val="24"/>
            </w:rPr>
            <w:t>Human Physiology An Integrated Approach</w:t>
          </w:r>
          <w:r>
            <w:rPr>
              <w:rFonts w:ascii="Tw Cen MT" w:hAnsi="Tw Cen MT" w:cs="Times New Roman"/>
              <w:noProof/>
              <w:sz w:val="24"/>
              <w:szCs w:val="24"/>
            </w:rPr>
            <w:t>. Jakarta: Department of Medical Physiology FKUI: EGC, 2014.</w:t>
          </w:r>
        </w:p>
        <w:p w14:paraId="641777FB" w14:textId="77777777" w:rsidR="006168FA" w:rsidRDefault="006168FA" w:rsidP="006168F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[39]</w:t>
          </w:r>
          <w:r>
            <w:rPr>
              <w:rFonts w:ascii="Tw Cen MT" w:hAnsi="Tw Cen MT" w:cs="Times New Roman"/>
              <w:noProof/>
              <w:sz w:val="24"/>
              <w:szCs w:val="24"/>
            </w:rPr>
            <w:tab/>
            <w:t>F. Nisa, "168 The Influence of His Characteristics on the Length of the Second Stage of Labor at Bps, a female friend, Gunung Anyar, Surabaya,"</w:t>
          </w:r>
          <w:r>
            <w:rPr>
              <w:rFonts w:ascii="Tw Cen MT" w:hAnsi="Tw Cen MT" w:cs="Times New Roman"/>
              <w:i/>
              <w:iCs/>
              <w:noProof/>
              <w:sz w:val="24"/>
              <w:szCs w:val="24"/>
            </w:rPr>
            <w:t>J. Ilm. healthy.</w:t>
          </w:r>
          <w:r>
            <w:rPr>
              <w:rFonts w:ascii="Tw Cen MT" w:hAnsi="Tw Cen MT" w:cs="Times New Roman"/>
              <w:noProof/>
              <w:sz w:val="24"/>
              <w:szCs w:val="24"/>
            </w:rPr>
            <w:t>, matter. 168–177, 2019.</w:t>
          </w:r>
        </w:p>
        <w:p w14:paraId="7653280A" w14:textId="4D32E4E1" w:rsidR="0034412B" w:rsidRDefault="006168FA" w:rsidP="00A630E3">
          <w:pPr>
            <w:widowControl w:val="0"/>
            <w:autoSpaceDE w:val="0"/>
            <w:autoSpaceDN w:val="0"/>
            <w:adjustRightInd w:val="0"/>
            <w:spacing w:after="0" w:line="240" w:lineRule="auto"/>
            <w:ind w:left="567" w:hanging="567"/>
            <w:jc w:val="both"/>
          </w:pPr>
          <w:r>
            <w:rPr>
              <w:rFonts w:ascii="Tw Cen MT" w:hAnsi="Tw Cen MT" w:cs="Times New Roman"/>
              <w:noProof/>
              <w:sz w:val="24"/>
              <w:szCs w:val="24"/>
            </w:rPr>
            <w:t>[40]</w:t>
          </w:r>
          <w:r>
            <w:rPr>
              <w:rFonts w:ascii="Tw Cen MT" w:hAnsi="Tw Cen MT" w:cs="Times New Roman"/>
              <w:noProof/>
              <w:sz w:val="24"/>
              <w:szCs w:val="24"/>
            </w:rPr>
            <w:tab/>
            <w:t>JB Liao, CS Buhimschi, and ER Norwitz, “Normal labor: Mechanism and duration,”</w:t>
          </w:r>
          <w:r>
            <w:rPr>
              <w:rFonts w:ascii="Tw Cen MT" w:hAnsi="Tw Cen MT" w:cs="Times New Roman"/>
              <w:i/>
              <w:iCs/>
              <w:noProof/>
              <w:sz w:val="24"/>
              <w:szCs w:val="24"/>
            </w:rPr>
            <w:t>obstetric Gynecol. Clin. North Am.</w:t>
          </w:r>
          <w:r>
            <w:rPr>
              <w:rFonts w:ascii="Tw Cen MT" w:hAnsi="Tw Cen MT" w:cs="Times New Roman"/>
              <w:noProof/>
              <w:sz w:val="24"/>
              <w:szCs w:val="24"/>
            </w:rPr>
            <w:t>, vol. 32, no. 2, p. 145–164, 2005, doi: 10.1016/j.ogc.2005.01.001</w:t>
          </w:r>
        </w:p>
        <w:p w14:paraId="6F33FC12" w14:textId="77777777" w:rsidR="00E04883" w:rsidRPr="00363E9C" w:rsidRDefault="00000000"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p>
      </w:sdtContent>
    </w:sdt>
    <w:sectPr w:rsidR="00E04883" w:rsidRPr="00363E9C" w:rsidSect="008A2F7F">
      <w:type w:val="continuous"/>
      <w:pgSz w:w="12240" w:h="15840"/>
      <w:pgMar w:top="1440" w:right="1440" w:bottom="1440" w:left="1440" w:header="720" w:footer="720" w:gutter="0"/>
      <w:cols w:num="2" w:space="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BEBC" w14:textId="77777777" w:rsidR="00F14E6F" w:rsidRDefault="00F14E6F">
      <w:pPr>
        <w:spacing w:line="240" w:lineRule="auto"/>
      </w:pPr>
      <w:r>
        <w:separator/>
      </w:r>
    </w:p>
  </w:endnote>
  <w:endnote w:type="continuationSeparator" w:id="0">
    <w:p w14:paraId="6F444F5C" w14:textId="77777777" w:rsidR="00F14E6F" w:rsidRDefault="00F14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AutoText"/>
      </w:docPartObj>
    </w:sdtPr>
    <w:sdtContent>
      <w:p w14:paraId="2E1CD662" w14:textId="162CB79B" w:rsidR="00E04883" w:rsidRDefault="00000000">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01C10F29" wp14:editId="6BCE1DCC">
                  <wp:simplePos x="0" y="0"/>
                  <wp:positionH relativeFrom="column">
                    <wp:posOffset>-8890</wp:posOffset>
                  </wp:positionH>
                  <wp:positionV relativeFrom="paragraph">
                    <wp:posOffset>-14605</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8DE3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92A88">
              <w:rPr>
                <w:rFonts w:ascii="Tw Cen MT" w:hAnsi="Tw Cen MT"/>
                <w:color w:val="000000" w:themeColor="text1"/>
                <w:sz w:val="20"/>
                <w:szCs w:val="24"/>
              </w:rPr>
              <w:t>Finta</w:t>
            </w:r>
            <w:proofErr w:type="spellEnd"/>
            <w:r w:rsidR="00692A88">
              <w:rPr>
                <w:rFonts w:ascii="Tw Cen MT" w:hAnsi="Tw Cen MT"/>
                <w:color w:val="000000" w:themeColor="text1"/>
                <w:sz w:val="20"/>
                <w:szCs w:val="24"/>
              </w:rPr>
              <w:t xml:space="preserve"> </w:t>
            </w:r>
            <w:proofErr w:type="spellStart"/>
            <w:r w:rsidR="00692A88">
              <w:rPr>
                <w:rFonts w:ascii="Tw Cen MT" w:hAnsi="Tw Cen MT"/>
                <w:color w:val="000000" w:themeColor="text1"/>
                <w:sz w:val="20"/>
                <w:szCs w:val="24"/>
              </w:rPr>
              <w:t>Isti</w:t>
            </w:r>
            <w:proofErr w:type="spellEnd"/>
            <w:r w:rsidR="00692A88">
              <w:rPr>
                <w:rFonts w:ascii="Tw Cen MT" w:hAnsi="Tw Cen MT"/>
                <w:color w:val="000000" w:themeColor="text1"/>
                <w:sz w:val="20"/>
                <w:szCs w:val="24"/>
              </w:rPr>
              <w:t xml:space="preserve"> </w:t>
            </w:r>
            <w:proofErr w:type="spellStart"/>
            <w:r w:rsidR="00692A88">
              <w:rPr>
                <w:rFonts w:ascii="Tw Cen MT" w:hAnsi="Tw Cen MT"/>
                <w:color w:val="000000" w:themeColor="text1"/>
                <w:sz w:val="20"/>
                <w:szCs w:val="24"/>
              </w:rPr>
              <w:t>Kundarti</w:t>
            </w:r>
            <w:proofErr w:type="spellEnd"/>
            <w:r>
              <w:rPr>
                <w:rFonts w:ascii="Tw Cen MT" w:hAnsi="Tw Cen MT"/>
                <w:color w:val="000000" w:themeColor="text1"/>
                <w:sz w:val="20"/>
                <w:szCs w:val="24"/>
                <w:lang w:val="zh-CN"/>
              </w:rPr>
              <w:t xml:space="preserve"> and </w:t>
            </w:r>
            <w:r w:rsidR="00692A88">
              <w:rPr>
                <w:rFonts w:ascii="Tw Cen MT" w:hAnsi="Tw Cen MT"/>
                <w:color w:val="000000" w:themeColor="text1"/>
                <w:sz w:val="20"/>
                <w:szCs w:val="24"/>
              </w:rPr>
              <w:t>fintaistikundarti</w:t>
            </w:r>
            <w:r w:rsidR="00B20BB1">
              <w:rPr>
                <w:rFonts w:ascii="Tw Cen MT" w:hAnsi="Tw Cen MT"/>
                <w:color w:val="000000" w:themeColor="text1"/>
                <w:sz w:val="20"/>
                <w:szCs w:val="24"/>
              </w:rPr>
              <w:t>@gmail.com</w:t>
            </w:r>
          </w:sdtContent>
        </w:sdt>
      </w:p>
      <w:p w14:paraId="23593D67" w14:textId="77777777" w:rsidR="00E04883" w:rsidRDefault="00000000">
        <w:pPr>
          <w:pStyle w:val="Footer"/>
          <w:jc w:val="right"/>
        </w:pPr>
        <w:r>
          <w:rPr>
            <w:rFonts w:ascii="Tw Cen MT" w:hAnsi="Tw Cen MT"/>
            <w:color w:val="000000" w:themeColor="text1"/>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sz w:val="24"/>
            <w:szCs w:val="24"/>
          </w:rPr>
          <w:t>86</w:t>
        </w:r>
        <w:r>
          <w:rPr>
            <w:rFonts w:ascii="Tw Cen MT" w:hAnsi="Tw Cen MT"/>
            <w:sz w:val="24"/>
            <w:szCs w:val="24"/>
          </w:rPr>
          <w:fldChar w:fldCharType="end"/>
        </w:r>
      </w:p>
    </w:sdtContent>
  </w:sdt>
  <w:p w14:paraId="31955D0E" w14:textId="77777777" w:rsidR="00E04883" w:rsidRDefault="00E04883">
    <w:pP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5769" w14:textId="77777777" w:rsidR="00F14E6F" w:rsidRDefault="00F14E6F">
      <w:pPr>
        <w:spacing w:after="0"/>
      </w:pPr>
      <w:r>
        <w:separator/>
      </w:r>
    </w:p>
  </w:footnote>
  <w:footnote w:type="continuationSeparator" w:id="0">
    <w:p w14:paraId="39F551F3" w14:textId="77777777" w:rsidR="00F14E6F" w:rsidRDefault="00F14E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1939E9E" w14:textId="12D62663" w:rsidR="00E04883" w:rsidRDefault="00000000">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No.2, November 2023, pp. </w:t>
        </w:r>
        <w:r w:rsidR="00B65D2F">
          <w:rPr>
            <w:rFonts w:ascii="Tw Cen MT" w:hAnsi="Tw Cen MT" w:cstheme="minorBidi"/>
            <w:sz w:val="20"/>
            <w:szCs w:val="20"/>
          </w:rPr>
          <w:t>1</w:t>
        </w:r>
        <w:r w:rsidR="003B51AC">
          <w:rPr>
            <w:rFonts w:ascii="Tw Cen MT" w:hAnsi="Tw Cen MT" w:cstheme="minorBidi"/>
            <w:sz w:val="20"/>
            <w:szCs w:val="20"/>
          </w:rPr>
          <w:t>30</w:t>
        </w:r>
        <w:r w:rsidR="00B65D2F">
          <w:rPr>
            <w:rFonts w:ascii="Tw Cen MT" w:hAnsi="Tw Cen MT" w:cstheme="minorBidi"/>
            <w:sz w:val="20"/>
            <w:szCs w:val="20"/>
          </w:rPr>
          <w:t xml:space="preserve"> </w:t>
        </w:r>
        <w:r w:rsidR="00363E9C">
          <w:rPr>
            <w:rFonts w:ascii="Tw Cen MT" w:hAnsi="Tw Cen MT" w:cstheme="minorBidi"/>
            <w:sz w:val="20"/>
            <w:szCs w:val="20"/>
          </w:rPr>
          <w:t>-1</w:t>
        </w:r>
        <w:r w:rsidR="003B51AC">
          <w:rPr>
            <w:rFonts w:ascii="Tw Cen MT" w:hAnsi="Tw Cen MT" w:cstheme="minorBidi"/>
            <w:sz w:val="20"/>
            <w:szCs w:val="20"/>
          </w:rPr>
          <w:t>36</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773910FA" w14:textId="77777777" w:rsidR="00E04883" w:rsidRDefault="00000000">
    <w:pPr>
      <w:pBdr>
        <w:bottom w:val="single" w:sz="4" w:space="1" w:color="A5A5A5"/>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114300" distR="114300" simplePos="0" relativeHeight="251659264" behindDoc="0" locked="0" layoutInCell="1" allowOverlap="1" wp14:anchorId="2E655D82" wp14:editId="42A26A20">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10754802"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634D3124" w14:textId="77777777" w:rsidR="00E04883" w:rsidRDefault="00E04883">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5F0"/>
    <w:multiLevelType w:val="multilevel"/>
    <w:tmpl w:val="19427C60"/>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1" w15:restartNumberingAfterBreak="0">
    <w:nsid w:val="21796837"/>
    <w:multiLevelType w:val="hybridMultilevel"/>
    <w:tmpl w:val="B9767086"/>
    <w:lvl w:ilvl="0" w:tplc="B7387570">
      <w:start w:val="1"/>
      <w:numFmt w:val="decimal"/>
      <w:lvlText w:val="%1."/>
      <w:lvlJc w:val="left"/>
      <w:pPr>
        <w:ind w:left="720" w:hanging="360"/>
      </w:pPr>
    </w:lvl>
    <w:lvl w:ilvl="1" w:tplc="C6B47A8E" w:tentative="1">
      <w:start w:val="1"/>
      <w:numFmt w:val="lowerLetter"/>
      <w:lvlText w:val="%2."/>
      <w:lvlJc w:val="left"/>
      <w:pPr>
        <w:ind w:left="1440" w:hanging="360"/>
      </w:pPr>
    </w:lvl>
    <w:lvl w:ilvl="2" w:tplc="0BE6CF56" w:tentative="1">
      <w:start w:val="1"/>
      <w:numFmt w:val="lowerRoman"/>
      <w:lvlText w:val="%3."/>
      <w:lvlJc w:val="right"/>
      <w:pPr>
        <w:ind w:left="2160" w:hanging="180"/>
      </w:pPr>
    </w:lvl>
    <w:lvl w:ilvl="3" w:tplc="BC7A359A" w:tentative="1">
      <w:start w:val="1"/>
      <w:numFmt w:val="decimal"/>
      <w:lvlText w:val="%4."/>
      <w:lvlJc w:val="left"/>
      <w:pPr>
        <w:ind w:left="2880" w:hanging="360"/>
      </w:pPr>
    </w:lvl>
    <w:lvl w:ilvl="4" w:tplc="BA4C94D2" w:tentative="1">
      <w:start w:val="1"/>
      <w:numFmt w:val="lowerLetter"/>
      <w:lvlText w:val="%5."/>
      <w:lvlJc w:val="left"/>
      <w:pPr>
        <w:ind w:left="3600" w:hanging="360"/>
      </w:pPr>
    </w:lvl>
    <w:lvl w:ilvl="5" w:tplc="B00A00A4" w:tentative="1">
      <w:start w:val="1"/>
      <w:numFmt w:val="lowerRoman"/>
      <w:lvlText w:val="%6."/>
      <w:lvlJc w:val="right"/>
      <w:pPr>
        <w:ind w:left="4320" w:hanging="180"/>
      </w:pPr>
    </w:lvl>
    <w:lvl w:ilvl="6" w:tplc="0BF2ADFE" w:tentative="1">
      <w:start w:val="1"/>
      <w:numFmt w:val="decimal"/>
      <w:lvlText w:val="%7."/>
      <w:lvlJc w:val="left"/>
      <w:pPr>
        <w:ind w:left="5040" w:hanging="360"/>
      </w:pPr>
    </w:lvl>
    <w:lvl w:ilvl="7" w:tplc="8B107C82" w:tentative="1">
      <w:start w:val="1"/>
      <w:numFmt w:val="lowerLetter"/>
      <w:lvlText w:val="%8."/>
      <w:lvlJc w:val="left"/>
      <w:pPr>
        <w:ind w:left="5760" w:hanging="360"/>
      </w:pPr>
    </w:lvl>
    <w:lvl w:ilvl="8" w:tplc="2780D9B2" w:tentative="1">
      <w:start w:val="1"/>
      <w:numFmt w:val="lowerRoman"/>
      <w:lvlText w:val="%9."/>
      <w:lvlJc w:val="right"/>
      <w:pPr>
        <w:ind w:left="6480" w:hanging="180"/>
      </w:pPr>
    </w:lvl>
  </w:abstractNum>
  <w:abstractNum w:abstractNumId="2" w15:restartNumberingAfterBreak="0">
    <w:nsid w:val="252B1700"/>
    <w:multiLevelType w:val="hybridMultilevel"/>
    <w:tmpl w:val="3BE2D6C6"/>
    <w:lvl w:ilvl="0" w:tplc="58A65C7C">
      <w:start w:val="1"/>
      <w:numFmt w:val="decimal"/>
      <w:lvlText w:val="%1."/>
      <w:lvlJc w:val="left"/>
      <w:pPr>
        <w:ind w:left="720" w:hanging="360"/>
      </w:pPr>
    </w:lvl>
    <w:lvl w:ilvl="1" w:tplc="8EBE8220" w:tentative="1">
      <w:start w:val="1"/>
      <w:numFmt w:val="lowerLetter"/>
      <w:lvlText w:val="%2."/>
      <w:lvlJc w:val="left"/>
      <w:pPr>
        <w:ind w:left="1440" w:hanging="360"/>
      </w:pPr>
    </w:lvl>
    <w:lvl w:ilvl="2" w:tplc="75BAF588" w:tentative="1">
      <w:start w:val="1"/>
      <w:numFmt w:val="lowerRoman"/>
      <w:lvlText w:val="%3."/>
      <w:lvlJc w:val="right"/>
      <w:pPr>
        <w:ind w:left="2160" w:hanging="180"/>
      </w:pPr>
    </w:lvl>
    <w:lvl w:ilvl="3" w:tplc="23B8B558" w:tentative="1">
      <w:start w:val="1"/>
      <w:numFmt w:val="decimal"/>
      <w:lvlText w:val="%4."/>
      <w:lvlJc w:val="left"/>
      <w:pPr>
        <w:ind w:left="2880" w:hanging="360"/>
      </w:pPr>
    </w:lvl>
    <w:lvl w:ilvl="4" w:tplc="629A381A" w:tentative="1">
      <w:start w:val="1"/>
      <w:numFmt w:val="lowerLetter"/>
      <w:lvlText w:val="%5."/>
      <w:lvlJc w:val="left"/>
      <w:pPr>
        <w:ind w:left="3600" w:hanging="360"/>
      </w:pPr>
    </w:lvl>
    <w:lvl w:ilvl="5" w:tplc="87B234CC" w:tentative="1">
      <w:start w:val="1"/>
      <w:numFmt w:val="lowerRoman"/>
      <w:lvlText w:val="%6."/>
      <w:lvlJc w:val="right"/>
      <w:pPr>
        <w:ind w:left="4320" w:hanging="180"/>
      </w:pPr>
    </w:lvl>
    <w:lvl w:ilvl="6" w:tplc="FC9A4D56" w:tentative="1">
      <w:start w:val="1"/>
      <w:numFmt w:val="decimal"/>
      <w:lvlText w:val="%7."/>
      <w:lvlJc w:val="left"/>
      <w:pPr>
        <w:ind w:left="5040" w:hanging="360"/>
      </w:pPr>
    </w:lvl>
    <w:lvl w:ilvl="7" w:tplc="3D80C0FC" w:tentative="1">
      <w:start w:val="1"/>
      <w:numFmt w:val="lowerLetter"/>
      <w:lvlText w:val="%8."/>
      <w:lvlJc w:val="left"/>
      <w:pPr>
        <w:ind w:left="5760" w:hanging="360"/>
      </w:pPr>
    </w:lvl>
    <w:lvl w:ilvl="8" w:tplc="F7B0D510" w:tentative="1">
      <w:start w:val="1"/>
      <w:numFmt w:val="lowerRoman"/>
      <w:lvlText w:val="%9."/>
      <w:lvlJc w:val="right"/>
      <w:pPr>
        <w:ind w:left="6480" w:hanging="180"/>
      </w:pPr>
    </w:lvl>
  </w:abstractNum>
  <w:abstractNum w:abstractNumId="3" w15:restartNumberingAfterBreak="0">
    <w:nsid w:val="351C279A"/>
    <w:multiLevelType w:val="multilevel"/>
    <w:tmpl w:val="64941378"/>
    <w:lvl w:ilvl="0">
      <w:start w:val="1"/>
      <w:numFmt w:val="decimal"/>
      <w:lvlText w:val="[%1]"/>
      <w:lvlJc w:val="center"/>
      <w:pPr>
        <w:ind w:left="720" w:hanging="360"/>
      </w:pPr>
      <w:rPr>
        <w:rFonts w:ascii="Tw Cen MT" w:hAnsi="Tw Cen MT" w:hint="default"/>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2B670B"/>
    <w:multiLevelType w:val="multilevel"/>
    <w:tmpl w:val="DF38F372"/>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5" w15:restartNumberingAfterBreak="0">
    <w:nsid w:val="5F575702"/>
    <w:multiLevelType w:val="multilevel"/>
    <w:tmpl w:val="5F57570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69287989"/>
    <w:multiLevelType w:val="hybridMultilevel"/>
    <w:tmpl w:val="B1302F74"/>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1BC0393"/>
    <w:multiLevelType w:val="hybridMultilevel"/>
    <w:tmpl w:val="A1AA7BB6"/>
    <w:lvl w:ilvl="0" w:tplc="C4E86C34">
      <w:start w:val="1"/>
      <w:numFmt w:val="decimal"/>
      <w:lvlText w:val="%1."/>
      <w:lvlJc w:val="left"/>
      <w:pPr>
        <w:ind w:left="720" w:hanging="360"/>
      </w:pPr>
    </w:lvl>
    <w:lvl w:ilvl="1" w:tplc="6ECC0670" w:tentative="1">
      <w:start w:val="1"/>
      <w:numFmt w:val="lowerLetter"/>
      <w:lvlText w:val="%2."/>
      <w:lvlJc w:val="left"/>
      <w:pPr>
        <w:ind w:left="1440" w:hanging="360"/>
      </w:pPr>
    </w:lvl>
    <w:lvl w:ilvl="2" w:tplc="5E1CC22E" w:tentative="1">
      <w:start w:val="1"/>
      <w:numFmt w:val="lowerRoman"/>
      <w:lvlText w:val="%3."/>
      <w:lvlJc w:val="right"/>
      <w:pPr>
        <w:ind w:left="2160" w:hanging="180"/>
      </w:pPr>
    </w:lvl>
    <w:lvl w:ilvl="3" w:tplc="D6EA7490" w:tentative="1">
      <w:start w:val="1"/>
      <w:numFmt w:val="decimal"/>
      <w:lvlText w:val="%4."/>
      <w:lvlJc w:val="left"/>
      <w:pPr>
        <w:ind w:left="2880" w:hanging="360"/>
      </w:pPr>
    </w:lvl>
    <w:lvl w:ilvl="4" w:tplc="11A661D4" w:tentative="1">
      <w:start w:val="1"/>
      <w:numFmt w:val="lowerLetter"/>
      <w:lvlText w:val="%5."/>
      <w:lvlJc w:val="left"/>
      <w:pPr>
        <w:ind w:left="3600" w:hanging="360"/>
      </w:pPr>
    </w:lvl>
    <w:lvl w:ilvl="5" w:tplc="9360328C" w:tentative="1">
      <w:start w:val="1"/>
      <w:numFmt w:val="lowerRoman"/>
      <w:lvlText w:val="%6."/>
      <w:lvlJc w:val="right"/>
      <w:pPr>
        <w:ind w:left="4320" w:hanging="180"/>
      </w:pPr>
    </w:lvl>
    <w:lvl w:ilvl="6" w:tplc="77A675D4" w:tentative="1">
      <w:start w:val="1"/>
      <w:numFmt w:val="decimal"/>
      <w:lvlText w:val="%7."/>
      <w:lvlJc w:val="left"/>
      <w:pPr>
        <w:ind w:left="5040" w:hanging="360"/>
      </w:pPr>
    </w:lvl>
    <w:lvl w:ilvl="7" w:tplc="C4208492" w:tentative="1">
      <w:start w:val="1"/>
      <w:numFmt w:val="lowerLetter"/>
      <w:lvlText w:val="%8."/>
      <w:lvlJc w:val="left"/>
      <w:pPr>
        <w:ind w:left="5760" w:hanging="360"/>
      </w:pPr>
    </w:lvl>
    <w:lvl w:ilvl="8" w:tplc="5EC8BD34" w:tentative="1">
      <w:start w:val="1"/>
      <w:numFmt w:val="lowerRoman"/>
      <w:lvlText w:val="%9."/>
      <w:lvlJc w:val="right"/>
      <w:pPr>
        <w:ind w:left="6480" w:hanging="180"/>
      </w:pPr>
    </w:lvl>
  </w:abstractNum>
  <w:num w:numId="1" w16cid:durableId="271792414">
    <w:abstractNumId w:val="3"/>
  </w:num>
  <w:num w:numId="2" w16cid:durableId="1148014190">
    <w:abstractNumId w:val="6"/>
  </w:num>
  <w:num w:numId="3" w16cid:durableId="148981663">
    <w:abstractNumId w:val="4"/>
  </w:num>
  <w:num w:numId="4" w16cid:durableId="567231556">
    <w:abstractNumId w:val="0"/>
  </w:num>
  <w:num w:numId="5" w16cid:durableId="1119371163">
    <w:abstractNumId w:val="5"/>
  </w:num>
  <w:num w:numId="6" w16cid:durableId="1568226205">
    <w:abstractNumId w:val="7"/>
  </w:num>
  <w:num w:numId="7" w16cid:durableId="1885603056">
    <w:abstractNumId w:val="1"/>
  </w:num>
  <w:num w:numId="8" w16cid:durableId="281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1E5C"/>
    <w:rsid w:val="00003082"/>
    <w:rsid w:val="00006CEA"/>
    <w:rsid w:val="00016F37"/>
    <w:rsid w:val="00035A37"/>
    <w:rsid w:val="000404EE"/>
    <w:rsid w:val="00046906"/>
    <w:rsid w:val="000634B6"/>
    <w:rsid w:val="00072D6D"/>
    <w:rsid w:val="00074D58"/>
    <w:rsid w:val="00082EFF"/>
    <w:rsid w:val="00096D8F"/>
    <w:rsid w:val="000A46F4"/>
    <w:rsid w:val="000B1F81"/>
    <w:rsid w:val="000B6EC0"/>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2440B"/>
    <w:rsid w:val="00245150"/>
    <w:rsid w:val="00261BB2"/>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336D5"/>
    <w:rsid w:val="0034412B"/>
    <w:rsid w:val="00360085"/>
    <w:rsid w:val="00361BBD"/>
    <w:rsid w:val="00363E9C"/>
    <w:rsid w:val="00372502"/>
    <w:rsid w:val="00380121"/>
    <w:rsid w:val="003855BD"/>
    <w:rsid w:val="003B51AC"/>
    <w:rsid w:val="003F6489"/>
    <w:rsid w:val="003F6B0D"/>
    <w:rsid w:val="00401D37"/>
    <w:rsid w:val="004113AD"/>
    <w:rsid w:val="00413D75"/>
    <w:rsid w:val="004201C9"/>
    <w:rsid w:val="00420F93"/>
    <w:rsid w:val="00431AAB"/>
    <w:rsid w:val="0043658E"/>
    <w:rsid w:val="0044095D"/>
    <w:rsid w:val="00463B0F"/>
    <w:rsid w:val="00463B9A"/>
    <w:rsid w:val="00464959"/>
    <w:rsid w:val="0046541C"/>
    <w:rsid w:val="00480970"/>
    <w:rsid w:val="004B41B7"/>
    <w:rsid w:val="004C01E6"/>
    <w:rsid w:val="004D617F"/>
    <w:rsid w:val="004E128A"/>
    <w:rsid w:val="004E416A"/>
    <w:rsid w:val="004F0C66"/>
    <w:rsid w:val="005424FD"/>
    <w:rsid w:val="005458B9"/>
    <w:rsid w:val="005471FC"/>
    <w:rsid w:val="005642A1"/>
    <w:rsid w:val="00565328"/>
    <w:rsid w:val="00595F09"/>
    <w:rsid w:val="005C1635"/>
    <w:rsid w:val="005C30BC"/>
    <w:rsid w:val="005C5210"/>
    <w:rsid w:val="005C79BE"/>
    <w:rsid w:val="005E0707"/>
    <w:rsid w:val="006168FA"/>
    <w:rsid w:val="00624B47"/>
    <w:rsid w:val="006334E1"/>
    <w:rsid w:val="006431BA"/>
    <w:rsid w:val="00655189"/>
    <w:rsid w:val="00665737"/>
    <w:rsid w:val="00673A17"/>
    <w:rsid w:val="00676E49"/>
    <w:rsid w:val="00692A88"/>
    <w:rsid w:val="006B1D84"/>
    <w:rsid w:val="006D261F"/>
    <w:rsid w:val="007006B9"/>
    <w:rsid w:val="007106F6"/>
    <w:rsid w:val="007368A2"/>
    <w:rsid w:val="00762C0B"/>
    <w:rsid w:val="00765F40"/>
    <w:rsid w:val="00780842"/>
    <w:rsid w:val="007A1AEF"/>
    <w:rsid w:val="007A770B"/>
    <w:rsid w:val="007D62B8"/>
    <w:rsid w:val="007D6D9D"/>
    <w:rsid w:val="007E655E"/>
    <w:rsid w:val="007F4948"/>
    <w:rsid w:val="00812425"/>
    <w:rsid w:val="0081569B"/>
    <w:rsid w:val="0086728C"/>
    <w:rsid w:val="008A2F7F"/>
    <w:rsid w:val="008A326F"/>
    <w:rsid w:val="00942731"/>
    <w:rsid w:val="0096335E"/>
    <w:rsid w:val="00994A9E"/>
    <w:rsid w:val="00997349"/>
    <w:rsid w:val="009A70E3"/>
    <w:rsid w:val="009D73CD"/>
    <w:rsid w:val="009F5E84"/>
    <w:rsid w:val="009F6554"/>
    <w:rsid w:val="00A047FD"/>
    <w:rsid w:val="00A343E3"/>
    <w:rsid w:val="00A36329"/>
    <w:rsid w:val="00A630E3"/>
    <w:rsid w:val="00A71279"/>
    <w:rsid w:val="00AB2BCC"/>
    <w:rsid w:val="00AC5DA7"/>
    <w:rsid w:val="00AE2862"/>
    <w:rsid w:val="00AE3B5F"/>
    <w:rsid w:val="00AE4E36"/>
    <w:rsid w:val="00B057E2"/>
    <w:rsid w:val="00B20BB1"/>
    <w:rsid w:val="00B241B6"/>
    <w:rsid w:val="00B25240"/>
    <w:rsid w:val="00B40424"/>
    <w:rsid w:val="00B41001"/>
    <w:rsid w:val="00B63555"/>
    <w:rsid w:val="00B65D2F"/>
    <w:rsid w:val="00B674AF"/>
    <w:rsid w:val="00B806F2"/>
    <w:rsid w:val="00B94AE5"/>
    <w:rsid w:val="00BC34CC"/>
    <w:rsid w:val="00BE7B4C"/>
    <w:rsid w:val="00BF43E2"/>
    <w:rsid w:val="00BF703C"/>
    <w:rsid w:val="00C133E7"/>
    <w:rsid w:val="00C20FA8"/>
    <w:rsid w:val="00C51514"/>
    <w:rsid w:val="00C812B9"/>
    <w:rsid w:val="00C96B4B"/>
    <w:rsid w:val="00CA4897"/>
    <w:rsid w:val="00CB0A6C"/>
    <w:rsid w:val="00CB136B"/>
    <w:rsid w:val="00CB3237"/>
    <w:rsid w:val="00CB43AA"/>
    <w:rsid w:val="00CD6253"/>
    <w:rsid w:val="00CE149F"/>
    <w:rsid w:val="00CF5715"/>
    <w:rsid w:val="00D0123F"/>
    <w:rsid w:val="00D06530"/>
    <w:rsid w:val="00D2571D"/>
    <w:rsid w:val="00D31D13"/>
    <w:rsid w:val="00D37FC1"/>
    <w:rsid w:val="00D428B5"/>
    <w:rsid w:val="00D44301"/>
    <w:rsid w:val="00D466FC"/>
    <w:rsid w:val="00D56013"/>
    <w:rsid w:val="00D70D6D"/>
    <w:rsid w:val="00D9262D"/>
    <w:rsid w:val="00D96FBD"/>
    <w:rsid w:val="00D9785A"/>
    <w:rsid w:val="00DA7C20"/>
    <w:rsid w:val="00DB156A"/>
    <w:rsid w:val="00DB4A46"/>
    <w:rsid w:val="00DB7592"/>
    <w:rsid w:val="00DC2BB5"/>
    <w:rsid w:val="00DE341B"/>
    <w:rsid w:val="00DE3780"/>
    <w:rsid w:val="00DF0B65"/>
    <w:rsid w:val="00DF6E07"/>
    <w:rsid w:val="00E00E3E"/>
    <w:rsid w:val="00E03962"/>
    <w:rsid w:val="00E04883"/>
    <w:rsid w:val="00E067A8"/>
    <w:rsid w:val="00E37E90"/>
    <w:rsid w:val="00E81ADF"/>
    <w:rsid w:val="00E81E13"/>
    <w:rsid w:val="00EA57B9"/>
    <w:rsid w:val="00ED0E10"/>
    <w:rsid w:val="00F1133F"/>
    <w:rsid w:val="00F14E6F"/>
    <w:rsid w:val="00F268A8"/>
    <w:rsid w:val="00F5431A"/>
    <w:rsid w:val="00F6187B"/>
    <w:rsid w:val="00F64252"/>
    <w:rsid w:val="00F817F4"/>
    <w:rsid w:val="00F841D1"/>
    <w:rsid w:val="00F9233C"/>
    <w:rsid w:val="00F9403F"/>
    <w:rsid w:val="00FE0EBE"/>
    <w:rsid w:val="00FE4F92"/>
    <w:rsid w:val="5F22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1A2F19"/>
  <w15:docId w15:val="{9A5224B1-902C-2346-83A4-839E228A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rFonts w:eastAsiaTheme="minorEastAsia"/>
      <w:sz w:val="21"/>
      <w:szCs w:val="21"/>
      <w:lang w:val="en-US" w:eastAsia="en-US"/>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paragraph" w:styleId="TeksIsi">
    <w:name w:val="Body Text"/>
    <w:basedOn w:val="Normal"/>
    <w:link w:val="TeksIsiK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after="0" w:line="240" w:lineRule="auto"/>
    </w:pPr>
  </w:style>
  <w:style w:type="paragraph" w:styleId="Header">
    <w:name w:val="header"/>
    <w:basedOn w:val="Normal"/>
    <w:link w:val="HeaderKAR"/>
    <w:uiPriority w:val="99"/>
    <w:unhideWhenUsed/>
    <w:qFormat/>
    <w:pPr>
      <w:tabs>
        <w:tab w:val="center" w:pos="4680"/>
        <w:tab w:val="right" w:pos="9360"/>
      </w:tabs>
      <w:spacing w:after="0" w:line="240" w:lineRule="auto"/>
    </w:pPr>
  </w:style>
  <w:style w:type="character" w:styleId="Hyperlink">
    <w:name w:val="Hyperlink"/>
    <w:rPr>
      <w:color w:val="0000FF"/>
      <w:u w:val="single"/>
    </w:rPr>
  </w:style>
  <w:style w:type="character" w:styleId="NomorBaris">
    <w:name w:val="line number"/>
    <w:basedOn w:val="FontParagrafDefaul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table" w:styleId="KisiTabel">
    <w:name w:val="Table Grid"/>
    <w:basedOn w:val="TabelNormal"/>
    <w:uiPriority w:val="5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uiPriority w:val="10"/>
    <w:qFormat/>
    <w:pPr>
      <w:keepNext/>
      <w:keepLines/>
      <w:spacing w:before="480" w:after="120"/>
    </w:pPr>
    <w:rPr>
      <w:b/>
      <w:sz w:val="72"/>
      <w:szCs w:val="72"/>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qFormat/>
  </w:style>
  <w:style w:type="character" w:customStyle="1" w:styleId="TeksBalonKAR">
    <w:name w:val="Teks Balon KAR"/>
    <w:basedOn w:val="FontParagrafDefault"/>
    <w:link w:val="TeksBalon"/>
    <w:uiPriority w:val="99"/>
    <w:semiHidden/>
    <w:rPr>
      <w:rFonts w:ascii="Tahoma" w:hAnsi="Tahoma" w:cs="Tahoma"/>
      <w:sz w:val="16"/>
      <w:szCs w:val="16"/>
    </w:rPr>
  </w:style>
  <w:style w:type="paragraph" w:customStyle="1" w:styleId="3CBD5A742C28424DA5172AD252E32316">
    <w:name w:val="3CBD5A742C28424DA5172AD252E32316"/>
    <w:pPr>
      <w:spacing w:after="200" w:line="288" w:lineRule="auto"/>
    </w:pPr>
    <w:rPr>
      <w:rFonts w:eastAsiaTheme="minorEastAsia"/>
      <w:sz w:val="21"/>
      <w:szCs w:val="21"/>
      <w:lang w:val="en-US"/>
    </w:rPr>
  </w:style>
  <w:style w:type="character" w:customStyle="1" w:styleId="SubjudulKAR">
    <w:name w:val="Subjudul KAR"/>
    <w:basedOn w:val="FontParagrafDefault"/>
    <w:link w:val="Subjudul"/>
    <w:rPr>
      <w:rFonts w:asciiTheme="majorHAnsi" w:eastAsiaTheme="majorEastAsia" w:hAnsiTheme="majorHAnsi" w:cstheme="majorBidi"/>
      <w:sz w:val="30"/>
      <w:szCs w:val="30"/>
    </w:rPr>
  </w:style>
  <w:style w:type="paragraph" w:styleId="DaftarParagraf">
    <w:name w:val="List Paragraph"/>
    <w:aliases w:val="HEADING 1,List Paragraph1,Normal1,Normal11,Normal2"/>
    <w:basedOn w:val="Normal"/>
    <w:link w:val="DaftarParagrafKAR"/>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qForma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table" w:customStyle="1" w:styleId="Style23">
    <w:name w:val="_Style 23"/>
    <w:basedOn w:val="TabelNormal"/>
    <w:qFormat/>
    <w:tblPr>
      <w:tblCellMar>
        <w:left w:w="115" w:type="dxa"/>
        <w:right w:w="115" w:type="dxa"/>
      </w:tblCellMar>
    </w:tblPr>
  </w:style>
  <w:style w:type="table" w:customStyle="1" w:styleId="Style24">
    <w:name w:val="_Style 24"/>
    <w:basedOn w:val="TabelNormal"/>
    <w:qFormat/>
    <w:tblPr>
      <w:tblCellMar>
        <w:left w:w="115" w:type="dxa"/>
        <w:right w:w="115" w:type="dxa"/>
      </w:tblCellMar>
    </w:tblPr>
  </w:style>
  <w:style w:type="character" w:customStyle="1" w:styleId="UnresolvedMention1">
    <w:name w:val="Unresolved Mention1"/>
    <w:basedOn w:val="FontParagrafDefault"/>
    <w:uiPriority w:val="99"/>
    <w:semiHidden/>
    <w:unhideWhenUsed/>
    <w:qFormat/>
    <w:rPr>
      <w:color w:val="605E5C"/>
      <w:shd w:val="clear" w:color="auto" w:fill="E1DFDD"/>
    </w:rPr>
  </w:style>
  <w:style w:type="character" w:customStyle="1" w:styleId="TeksKomentarKAR">
    <w:name w:val="Teks Komentar KAR"/>
    <w:basedOn w:val="FontParagrafDefault"/>
    <w:link w:val="TeksKomentar"/>
    <w:uiPriority w:val="99"/>
    <w:qFormat/>
    <w:rPr>
      <w:rFonts w:eastAsiaTheme="minorEastAsia"/>
      <w:sz w:val="20"/>
      <w:szCs w:val="20"/>
    </w:rPr>
  </w:style>
  <w:style w:type="character" w:customStyle="1" w:styleId="SubjekKomentarKAR">
    <w:name w:val="Subjek Komentar KAR"/>
    <w:basedOn w:val="TeksKomentarKAR"/>
    <w:link w:val="SubjekKomentar"/>
    <w:uiPriority w:val="99"/>
    <w:semiHidden/>
    <w:rPr>
      <w:rFonts w:eastAsiaTheme="minorEastAsia"/>
      <w:b/>
      <w:bCs/>
      <w:sz w:val="20"/>
      <w:szCs w:val="20"/>
    </w:rPr>
  </w:style>
  <w:style w:type="character" w:customStyle="1" w:styleId="y2iqfc">
    <w:name w:val="y2iqfc"/>
    <w:basedOn w:val="FontParagrafDefault"/>
    <w:qFormat/>
  </w:style>
  <w:style w:type="table" w:customStyle="1" w:styleId="PlainTable21">
    <w:name w:val="Plain Table 21"/>
    <w:basedOn w:val="TabelNormal"/>
    <w:uiPriority w:val="42"/>
    <w:rPr>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qFormat/>
    <w:rPr>
      <w:rFonts w:eastAsiaTheme="minorEastAsia"/>
      <w:b/>
      <w:sz w:val="48"/>
      <w:szCs w:val="48"/>
    </w:rPr>
  </w:style>
  <w:style w:type="paragraph" w:customStyle="1" w:styleId="selectable-text">
    <w:name w:val="selectable-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qFormat/>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eastAsia="id"/>
    </w:rPr>
  </w:style>
  <w:style w:type="character" w:customStyle="1" w:styleId="15">
    <w:name w:val="15"/>
    <w:basedOn w:val="FontParagrafDefault"/>
    <w:rPr>
      <w:rFonts w:ascii="SimSun" w:eastAsia="SimSun" w:hAnsi="SimSun" w:hint="eastAsia"/>
      <w:color w:val="0000FF"/>
      <w:u w:val="single"/>
    </w:rPr>
  </w:style>
  <w:style w:type="character" w:styleId="HiperlinkyangDiikuti">
    <w:name w:val="FollowedHyperlink"/>
    <w:basedOn w:val="FontParagrafDefault"/>
    <w:uiPriority w:val="99"/>
    <w:semiHidden/>
    <w:unhideWhenUsed/>
    <w:rsid w:val="0043658E"/>
    <w:rPr>
      <w:color w:val="800080" w:themeColor="followedHyperlink"/>
      <w:u w:val="single"/>
    </w:rPr>
  </w:style>
  <w:style w:type="character" w:styleId="SebutanYangBelumTerselesaikan">
    <w:name w:val="Unresolved Mention"/>
    <w:basedOn w:val="FontParagrafDefault"/>
    <w:uiPriority w:val="99"/>
    <w:semiHidden/>
    <w:unhideWhenUsed/>
    <w:rsid w:val="0043658E"/>
    <w:rPr>
      <w:color w:val="605E5C"/>
      <w:shd w:val="clear" w:color="auto" w:fill="E1DFDD"/>
    </w:rPr>
  </w:style>
  <w:style w:type="character" w:customStyle="1" w:styleId="DaftarParagrafKAR">
    <w:name w:val="Daftar Paragraf KAR"/>
    <w:aliases w:val="HEADING 1 KAR,List Paragraph1 KAR,Normal1 KAR,Normal11 KAR,Normal2 KAR"/>
    <w:basedOn w:val="FontParagrafDefault"/>
    <w:link w:val="DaftarParagraf"/>
    <w:uiPriority w:val="1"/>
    <w:qFormat/>
    <w:rsid w:val="00B65D2F"/>
    <w:rPr>
      <w:rFonts w:eastAsia="Times New Roman" w:cs="Times New Roman"/>
      <w:sz w:val="22"/>
      <w:szCs w:val="22"/>
      <w:lang w:val="en-GB" w:eastAsia="en-GB"/>
    </w:rPr>
  </w:style>
  <w:style w:type="table" w:customStyle="1" w:styleId="TableGrid1">
    <w:name w:val="Table Grid1"/>
    <w:basedOn w:val="TabelNormal"/>
    <w:next w:val="KisiTabel"/>
    <w:uiPriority w:val="39"/>
    <w:rsid w:val="007D62B8"/>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rsid w:val="007D62B8"/>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fintaistikundarti@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6B23D6" w:rsidRDefault="00000000">
          <w:pPr>
            <w:pStyle w:val="98CABDCE1CAC4D7FA0A11B2A1C225D39"/>
          </w:pPr>
          <w:r>
            <w:rPr>
              <w:b/>
              <w:bCs/>
              <w:color w:val="44546A" w:themeColor="text2"/>
              <w:sz w:val="28"/>
              <w:szCs w:val="28"/>
            </w:rPr>
            <w:t>[Type the 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779E" w:rsidRDefault="00FA779E">
      <w:pPr>
        <w:spacing w:line="240" w:lineRule="auto"/>
      </w:pPr>
      <w:r>
        <w:separator/>
      </w:r>
    </w:p>
  </w:endnote>
  <w:endnote w:type="continuationSeparator" w:id="0">
    <w:p w:rsidR="00FA779E" w:rsidRDefault="00FA779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779E" w:rsidRDefault="00FA779E">
      <w:pPr>
        <w:spacing w:after="0"/>
      </w:pPr>
      <w:r>
        <w:separator/>
      </w:r>
    </w:p>
  </w:footnote>
  <w:footnote w:type="continuationSeparator" w:id="0">
    <w:p w:rsidR="00FA779E" w:rsidRDefault="00FA779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7"/>
    <w:rsid w:val="00287697"/>
    <w:rsid w:val="003836E0"/>
    <w:rsid w:val="003D7BD9"/>
    <w:rsid w:val="003E442C"/>
    <w:rsid w:val="00445FA9"/>
    <w:rsid w:val="005E5869"/>
    <w:rsid w:val="005F769C"/>
    <w:rsid w:val="00637CD0"/>
    <w:rsid w:val="006B23D6"/>
    <w:rsid w:val="00855274"/>
    <w:rsid w:val="0087465C"/>
    <w:rsid w:val="00955026"/>
    <w:rsid w:val="00A85543"/>
    <w:rsid w:val="00D658D0"/>
    <w:rsid w:val="00DF2BBE"/>
    <w:rsid w:val="00E778B5"/>
    <w:rsid w:val="00EF076D"/>
    <w:rsid w:val="00FA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ja-JP"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pPr>
      <w:spacing w:after="200" w:line="276" w:lineRule="auto"/>
    </w:pPr>
    <w:rPr>
      <w:sz w:val="22"/>
      <w:szCs w:val="22"/>
      <w:lang w:val="en-US" w:eastAsia="en-US"/>
    </w:rPr>
  </w:style>
  <w:style w:type="character" w:styleId="Tempatpenampungteks">
    <w:name w:val="Placeholder Text"/>
    <w:basedOn w:val="FontParagrafDefaul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23400</Words>
  <Characters>133384</Characters>
  <Application>Microsoft Office Word</Application>
  <DocSecurity>0</DocSecurity>
  <Lines>1111</Lines>
  <Paragraphs>312</Paragraphs>
  <ScaleCrop>false</ScaleCrop>
  <Company>HP</Company>
  <LinksUpToDate>false</LinksUpToDate>
  <CharactersWithSpaces>156472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130 -136		                                                                                                        ISSN 2715-1115 (Online), ISSN 2302 – 8610 (Print)</dc:title>
  <dc:creator>Finta Isti Kundarti and fintaistikundarti@gmail.com</dc:creator>
  <cp:lastModifiedBy>test</cp:lastModifiedBy>
  <cp:revision>3</cp:revision>
  <cp:lastPrinted>2023-11-13T06:35:00Z</cp:lastPrinted>
  <dcterms:created xsi:type="dcterms:W3CDTF">2023-12-01T04:37:00Z</dcterms:created>
  <dcterms:modified xsi:type="dcterms:W3CDTF">2023-12-01T04:39:00Z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KSOProductBuildVer">
    <vt:lpwstr>1033-12.2.0.13266</vt:lpwstr>
  </property>
  <property fmtid="{D5CDD505-2E9C-101B-9397-08002B2CF9AE}" pid="26" name="ICV">
    <vt:lpwstr>8DA7CF85D6D04A8BBF6EDD73A3787F2B_13</vt:lpwstr>
  </property>
</Properties>
</file>