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3104388D" w:rsidR="0027621D" w:rsidRPr="0096335E" w:rsidRDefault="008B3FD4" w:rsidP="0027621D">
      <w:pPr>
        <w:spacing w:after="0" w:line="240" w:lineRule="auto"/>
        <w:jc w:val="center"/>
        <w:rPr>
          <w:rFonts w:ascii="Tw Cen MT" w:hAnsi="Tw Cen MT" w:cs="Arial"/>
          <w:b/>
          <w:bCs/>
          <w:color w:val="000000"/>
          <w:sz w:val="32"/>
          <w:szCs w:val="32"/>
        </w:rPr>
      </w:pPr>
      <w:r w:rsidRPr="008B3FD4">
        <w:rPr>
          <w:rFonts w:ascii="Tw Cen MT" w:eastAsia="Twentieth Century" w:hAnsi="Tw Cen MT" w:cs="Twentieth Century"/>
          <w:b/>
          <w:sz w:val="32"/>
          <w:szCs w:val="32"/>
        </w:rPr>
        <w:t xml:space="preserve">The Effectiveness </w:t>
      </w:r>
      <w:proofErr w:type="gramStart"/>
      <w:r w:rsidRPr="008B3FD4">
        <w:rPr>
          <w:rFonts w:ascii="Tw Cen MT" w:eastAsia="Twentieth Century" w:hAnsi="Tw Cen MT" w:cs="Twentieth Century"/>
          <w:b/>
          <w:sz w:val="32"/>
          <w:szCs w:val="32"/>
        </w:rPr>
        <w:t>Of</w:t>
      </w:r>
      <w:proofErr w:type="gramEnd"/>
      <w:r w:rsidRPr="008B3FD4">
        <w:rPr>
          <w:rFonts w:ascii="Tw Cen MT" w:eastAsia="Twentieth Century" w:hAnsi="Tw Cen MT" w:cs="Twentieth Century"/>
          <w:b/>
          <w:sz w:val="32"/>
          <w:szCs w:val="32"/>
        </w:rPr>
        <w:t xml:space="preserve"> </w:t>
      </w:r>
      <w:proofErr w:type="spellStart"/>
      <w:r w:rsidRPr="008B3FD4">
        <w:rPr>
          <w:rFonts w:ascii="Tw Cen MT" w:eastAsia="Twentieth Century" w:hAnsi="Tw Cen MT" w:cs="Twentieth Century"/>
          <w:b/>
          <w:sz w:val="32"/>
          <w:szCs w:val="32"/>
        </w:rPr>
        <w:t>Powtoon</w:t>
      </w:r>
      <w:proofErr w:type="spellEnd"/>
      <w:r w:rsidRPr="008B3FD4">
        <w:rPr>
          <w:rFonts w:ascii="Tw Cen MT" w:eastAsia="Twentieth Century" w:hAnsi="Tw Cen MT" w:cs="Twentieth Century"/>
          <w:b/>
          <w:sz w:val="32"/>
          <w:szCs w:val="32"/>
        </w:rPr>
        <w:t xml:space="preserve"> As Creative Educational Med</w:t>
      </w:r>
      <w:r>
        <w:rPr>
          <w:rFonts w:ascii="Tw Cen MT" w:eastAsia="Twentieth Century" w:hAnsi="Tw Cen MT" w:cs="Twentieth Century"/>
          <w:b/>
          <w:sz w:val="32"/>
          <w:szCs w:val="32"/>
        </w:rPr>
        <w:t>ia</w:t>
      </w:r>
      <w:r w:rsidRPr="008B3FD4">
        <w:rPr>
          <w:rFonts w:ascii="Tw Cen MT" w:eastAsia="Twentieth Century" w:hAnsi="Tw Cen MT" w:cs="Twentieth Century"/>
          <w:b/>
          <w:sz w:val="32"/>
          <w:szCs w:val="32"/>
        </w:rPr>
        <w:t xml:space="preserve"> Regarding Early Detection Of Pregnancy Risk</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2577921A" w:rsidR="007F4948" w:rsidRPr="0096335E" w:rsidRDefault="008B3FD4"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E02695">
        <w:rPr>
          <w:rFonts w:ascii="Tw Cen MT" w:eastAsia="Twentieth Century" w:hAnsi="Tw Cen MT" w:cs="Twentieth Century"/>
          <w:b/>
          <w:sz w:val="32"/>
          <w:szCs w:val="32"/>
        </w:rPr>
        <w:t>Efektivitas</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Powtoon</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Sebagai</w:t>
      </w:r>
      <w:proofErr w:type="spellEnd"/>
      <w:r w:rsidRPr="00E02695">
        <w:rPr>
          <w:rFonts w:ascii="Tw Cen MT" w:eastAsia="Twentieth Century" w:hAnsi="Tw Cen MT" w:cs="Twentieth Century"/>
          <w:b/>
          <w:sz w:val="32"/>
          <w:szCs w:val="32"/>
        </w:rPr>
        <w:t xml:space="preserve"> Media </w:t>
      </w:r>
      <w:proofErr w:type="spellStart"/>
      <w:r w:rsidRPr="00E02695">
        <w:rPr>
          <w:rFonts w:ascii="Tw Cen MT" w:eastAsia="Twentieth Century" w:hAnsi="Tw Cen MT" w:cs="Twentieth Century"/>
          <w:b/>
          <w:sz w:val="32"/>
          <w:szCs w:val="32"/>
        </w:rPr>
        <w:t>Edukasi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Kreatif</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Mengenai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Deteksi</w:t>
      </w:r>
      <w:proofErr w:type="spellEnd"/>
      <w:r w:rsidRPr="00E02695">
        <w:rPr>
          <w:rFonts w:ascii="Tw Cen MT" w:eastAsia="Twentieth Century" w:hAnsi="Tw Cen MT" w:cs="Twentieth Century"/>
          <w:b/>
          <w:sz w:val="32"/>
          <w:szCs w:val="32"/>
        </w:rPr>
        <w:t xml:space="preserve"> Dini </w:t>
      </w:r>
      <w:proofErr w:type="spellStart"/>
      <w:r w:rsidRPr="00E02695">
        <w:rPr>
          <w:rFonts w:ascii="Tw Cen MT" w:eastAsia="Twentieth Century" w:hAnsi="Tw Cen MT" w:cs="Twentieth Century"/>
          <w:b/>
          <w:sz w:val="32"/>
          <w:szCs w:val="32"/>
        </w:rPr>
        <w:t>Risiko</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Kehamilan</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09057C85" w:rsidR="004721E3" w:rsidRPr="002E23D7" w:rsidRDefault="00983A8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Suparni</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Risqi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Dewi</w:t>
      </w:r>
      <w:proofErr w:type="spellEnd"/>
      <w:r>
        <w:rPr>
          <w:rFonts w:ascii="Tw Cen MT" w:eastAsia="Twentieth Century" w:hAnsi="Tw Cen MT" w:cs="Twentieth Century"/>
          <w:sz w:val="24"/>
          <w:szCs w:val="24"/>
        </w:rPr>
        <w:t xml:space="preserve"> Aisyah</w:t>
      </w:r>
      <w:r w:rsidR="004721E3" w:rsidRPr="002E23D7">
        <w:rPr>
          <w:rFonts w:ascii="Tw Cen MT" w:eastAsia="Twentieth Century" w:hAnsi="Tw Cen MT" w:cs="Twentieth Century"/>
          <w:sz w:val="24"/>
          <w:szCs w:val="24"/>
          <w:vertAlign w:val="superscript"/>
        </w:rPr>
        <w:t xml:space="preserve">2 </w:t>
      </w:r>
      <w:r w:rsidRPr="00983A85">
        <w:rPr>
          <w:rFonts w:ascii="Tw Cen MT" w:eastAsia="Twentieth Century" w:hAnsi="Tw Cen MT" w:cs="Twentieth Century"/>
          <w:sz w:val="24"/>
          <w:szCs w:val="24"/>
        </w:rPr>
        <w:t xml:space="preserve">Aslam </w:t>
      </w:r>
      <w:proofErr w:type="spellStart"/>
      <w:r w:rsidRPr="00983A85">
        <w:rPr>
          <w:rFonts w:ascii="Tw Cen MT" w:eastAsia="Twentieth Century" w:hAnsi="Tw Cen MT" w:cs="Twentieth Century"/>
          <w:sz w:val="24"/>
          <w:szCs w:val="24"/>
        </w:rPr>
        <w:t>Fat</w:t>
      </w:r>
      <w:r w:rsidR="008B3FD4">
        <w:rPr>
          <w:rFonts w:ascii="Tw Cen MT" w:eastAsia="Twentieth Century" w:hAnsi="Tw Cen MT" w:cs="Twentieth Century"/>
          <w:sz w:val="24"/>
          <w:szCs w:val="24"/>
        </w:rPr>
        <w:t>k</w:t>
      </w:r>
      <w:r w:rsidRPr="00983A85">
        <w:rPr>
          <w:rFonts w:ascii="Tw Cen MT" w:eastAsia="Twentieth Century" w:hAnsi="Tw Cen MT" w:cs="Twentieth Century"/>
          <w:sz w:val="24"/>
          <w:szCs w:val="24"/>
        </w:rPr>
        <w:t>hudin</w:t>
      </w:r>
      <w:proofErr w:type="spellEnd"/>
      <w:r>
        <w:rPr>
          <w:rFonts w:ascii="Tw Cen MT" w:eastAsia="Twentieth Century" w:hAnsi="Tw Cen MT" w:cs="Twentieth Century"/>
          <w:sz w:val="24"/>
          <w:szCs w:val="24"/>
        </w:rPr>
        <w:t xml:space="preserve"> </w:t>
      </w:r>
      <w:r w:rsidRPr="00983A85">
        <w:rPr>
          <w:rFonts w:ascii="Tw Cen MT" w:eastAsia="Twentieth Century" w:hAnsi="Tw Cen MT" w:cs="Twentieth Century"/>
          <w:sz w:val="24"/>
          <w:szCs w:val="24"/>
          <w:vertAlign w:val="superscript"/>
        </w:rPr>
        <w:t>3</w:t>
      </w:r>
    </w:p>
    <w:p w14:paraId="37629F48" w14:textId="3616CC0D" w:rsidR="004721E3" w:rsidRPr="002E23D7" w:rsidRDefault="00983A85"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Universitas Muhammadiyah </w:t>
      </w:r>
      <w:proofErr w:type="spellStart"/>
      <w:r>
        <w:rPr>
          <w:rFonts w:ascii="Tw Cen MT" w:eastAsia="Twentieth Century" w:hAnsi="Tw Cen MT" w:cs="Twentieth Century"/>
          <w:sz w:val="20"/>
          <w:szCs w:val="20"/>
        </w:rPr>
        <w:t>Pekajangan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Pekalongan</w:t>
      </w:r>
      <w:proofErr w:type="spellEnd"/>
      <w:r>
        <w:rPr>
          <w:rFonts w:ascii="Tw Cen MT" w:eastAsia="Twentieth Century" w:hAnsi="Tw Cen MT" w:cs="Twentieth Century"/>
          <w:sz w:val="20"/>
          <w:szCs w:val="20"/>
        </w:rPr>
        <w:t xml:space="preserve"> </w:t>
      </w:r>
      <w:r w:rsidRPr="00983A85">
        <w:rPr>
          <w:rFonts w:ascii="Tw Cen MT" w:eastAsia="Twentieth Century" w:hAnsi="Tw Cen MT" w:cs="Twentieth Century"/>
          <w:sz w:val="20"/>
          <w:szCs w:val="20"/>
          <w:vertAlign w:val="superscript"/>
        </w:rPr>
        <w:t>(1,2,3)</w:t>
      </w:r>
      <w:r w:rsidR="004721E3" w:rsidRPr="00983A85">
        <w:rPr>
          <w:rFonts w:ascii="Tw Cen MT" w:eastAsia="Twentieth Century" w:hAnsi="Tw Cen MT" w:cs="Twentieth Century"/>
          <w:sz w:val="20"/>
          <w:szCs w:val="20"/>
          <w:vertAlign w:val="superscript"/>
        </w:rPr>
        <w:t>,</w:t>
      </w:r>
      <w:r w:rsidR="004721E3" w:rsidRPr="002E23D7">
        <w:rPr>
          <w:rFonts w:ascii="Tw Cen MT" w:eastAsia="Twentieth Century" w:hAnsi="Tw Cen MT" w:cs="Twentieth Century"/>
          <w:sz w:val="20"/>
          <w:szCs w:val="20"/>
        </w:rPr>
        <w:t xml:space="preserve"> </w:t>
      </w:r>
    </w:p>
    <w:p w14:paraId="23FA8100" w14:textId="59C8B534" w:rsidR="007F4948" w:rsidRPr="0096335E" w:rsidRDefault="00983A85"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suparniluthfan@gmail.com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033E6F" w14:textId="77777777" w:rsid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5A1E8898">
            <wp:simplePos x="0" y="0"/>
            <wp:positionH relativeFrom="column">
              <wp:posOffset>114935</wp:posOffset>
            </wp:positionH>
            <wp:positionV relativeFrom="paragraph">
              <wp:posOffset>1729740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3F" w:rsidRPr="0033333F">
        <w:rPr>
          <w:rFonts w:ascii="Tw Cen MT" w:eastAsia="Twentieth Century" w:hAnsi="Tw Cen MT" w:cs="Twentieth Century"/>
          <w:i/>
          <w:sz w:val="20"/>
          <w:szCs w:val="20"/>
        </w:rPr>
        <w:t>Health promotion is an effort that aims to provide health messages to community groups so that people can implement healthy living behaviors.</w:t>
      </w:r>
      <w:r w:rsidR="0033333F">
        <w:rPr>
          <w:rFonts w:ascii="Tw Cen MT" w:eastAsia="Twentieth Century" w:hAnsi="Tw Cen MT" w:cs="Twentieth Century"/>
          <w:i/>
          <w:sz w:val="20"/>
          <w:szCs w:val="20"/>
        </w:rPr>
        <w:t xml:space="preserve"> </w:t>
      </w:r>
      <w:r w:rsidR="0033333F" w:rsidRPr="0033333F">
        <w:rPr>
          <w:rFonts w:ascii="Tw Cen MT" w:eastAsia="Twentieth Century" w:hAnsi="Tw Cen MT" w:cs="Twentieth Century"/>
          <w:i/>
          <w:sz w:val="20"/>
          <w:szCs w:val="20"/>
        </w:rPr>
        <w:t>With health promotion, it is hoped that the public can have information related to health and efforts to prevent health problems itself because the provision of health promotion can be done by providing counseling about health to the community so as to increase public knowledge and attitudes in efforts to prevent health problems.</w:t>
      </w:r>
      <w:r w:rsidR="0033333F">
        <w:rPr>
          <w:rFonts w:ascii="Tw Cen MT" w:eastAsia="Twentieth Century" w:hAnsi="Tw Cen MT" w:cs="Twentieth Century"/>
          <w:i/>
          <w:sz w:val="20"/>
          <w:szCs w:val="20"/>
        </w:rPr>
        <w:t xml:space="preserve"> </w:t>
      </w:r>
      <w:r w:rsidR="0033333F" w:rsidRPr="0033333F">
        <w:rPr>
          <w:rFonts w:ascii="Tw Cen MT" w:eastAsia="Twentieth Century" w:hAnsi="Tw Cen MT" w:cs="Twentieth Century"/>
          <w:i/>
          <w:sz w:val="20"/>
          <w:szCs w:val="20"/>
        </w:rPr>
        <w:t xml:space="preserve">The population in this study is pregnant women in the Working Area of the </w:t>
      </w:r>
      <w:proofErr w:type="spellStart"/>
      <w:r w:rsidR="0033333F" w:rsidRPr="0033333F">
        <w:rPr>
          <w:rFonts w:ascii="Tw Cen MT" w:eastAsia="Twentieth Century" w:hAnsi="Tw Cen MT" w:cs="Twentieth Century"/>
          <w:i/>
          <w:sz w:val="20"/>
          <w:szCs w:val="20"/>
        </w:rPr>
        <w:t>Buaran</w:t>
      </w:r>
      <w:proofErr w:type="spellEnd"/>
      <w:r w:rsidR="0033333F" w:rsidRPr="0033333F">
        <w:rPr>
          <w:rFonts w:ascii="Tw Cen MT" w:eastAsia="Twentieth Century" w:hAnsi="Tw Cen MT" w:cs="Twentieth Century"/>
          <w:i/>
          <w:sz w:val="20"/>
          <w:szCs w:val="20"/>
        </w:rPr>
        <w:t xml:space="preserve"> Health Center, </w:t>
      </w:r>
      <w:proofErr w:type="spellStart"/>
      <w:r w:rsidR="0033333F" w:rsidRPr="0033333F">
        <w:rPr>
          <w:rFonts w:ascii="Tw Cen MT" w:eastAsia="Twentieth Century" w:hAnsi="Tw Cen MT" w:cs="Twentieth Century"/>
          <w:i/>
          <w:sz w:val="20"/>
          <w:szCs w:val="20"/>
        </w:rPr>
        <w:t>Pekalongan</w:t>
      </w:r>
      <w:proofErr w:type="spellEnd"/>
      <w:r w:rsidR="0033333F" w:rsidRPr="0033333F">
        <w:rPr>
          <w:rFonts w:ascii="Tw Cen MT" w:eastAsia="Twentieth Century" w:hAnsi="Tw Cen MT" w:cs="Twentieth Century"/>
          <w:i/>
          <w:sz w:val="20"/>
          <w:szCs w:val="20"/>
        </w:rPr>
        <w:t xml:space="preserve"> Regency. Techniques The design of this study was a simple experimental study with a control group. The random sampling technique is simple.</w:t>
      </w:r>
      <w:r w:rsidR="0033333F">
        <w:rPr>
          <w:rFonts w:ascii="Tw Cen MT" w:eastAsia="Twentieth Century" w:hAnsi="Tw Cen MT" w:cs="Twentieth Century"/>
          <w:i/>
          <w:sz w:val="20"/>
          <w:szCs w:val="20"/>
        </w:rPr>
        <w:t xml:space="preserve"> </w:t>
      </w:r>
      <w:r w:rsidR="0033333F" w:rsidRPr="0033333F">
        <w:rPr>
          <w:rFonts w:ascii="Tw Cen MT" w:eastAsia="Twentieth Century" w:hAnsi="Tw Cen MT" w:cs="Twentieth Century"/>
          <w:i/>
          <w:sz w:val="20"/>
          <w:szCs w:val="20"/>
        </w:rPr>
        <w:t>The number of samples used in this study was 30 pregnant women in each group. Data collection was carried out by giving questionnaires before and after treatment to the control group and treatment group.</w:t>
      </w:r>
      <w:r>
        <w:rPr>
          <w:rFonts w:ascii="Tw Cen MT" w:eastAsia="Twentieth Century" w:hAnsi="Tw Cen MT" w:cs="Twentieth Century"/>
          <w:i/>
          <w:sz w:val="20"/>
          <w:szCs w:val="20"/>
        </w:rPr>
        <w:t xml:space="preserve"> </w:t>
      </w:r>
      <w:r w:rsidRPr="001B7931">
        <w:rPr>
          <w:rFonts w:ascii="Tw Cen MT" w:eastAsia="Twentieth Century" w:hAnsi="Tw Cen MT" w:cs="Twentieth Century"/>
          <w:i/>
          <w:sz w:val="20"/>
          <w:szCs w:val="20"/>
        </w:rPr>
        <w:t xml:space="preserve">Data analysis to determine the effectiveness of education with the question and answer lecture method and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Media on pregnant women's knowledge about early detection of pregnancy risk using the Mann-Whitney test with a significance value of 0.000 (&lt;0.05) with a confidence interval of 95%, it can be concluded that Ho is rejected and Ha is accepted means that the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method is more effective than the question and answer lecture method in increasing the knowledge of pregnant women.</w:t>
      </w:r>
      <w:r>
        <w:rPr>
          <w:rFonts w:ascii="Tw Cen MT" w:eastAsia="Twentieth Century" w:hAnsi="Tw Cen MT" w:cs="Twentieth Century"/>
          <w:i/>
          <w:sz w:val="20"/>
          <w:szCs w:val="20"/>
        </w:rPr>
        <w:t xml:space="preserve"> </w:t>
      </w:r>
      <w:r w:rsidRPr="001B7931">
        <w:rPr>
          <w:rFonts w:ascii="Tw Cen MT" w:eastAsia="Twentieth Century" w:hAnsi="Tw Cen MT" w:cs="Twentieth Century"/>
          <w:i/>
          <w:sz w:val="20"/>
          <w:szCs w:val="20"/>
        </w:rPr>
        <w:t>Advice for related parties (Dinas Kesehatan) in disseminating the results of this study to increase knowledge of pregnant women, especially about pregnancy risk factors.</w:t>
      </w:r>
    </w:p>
    <w:p w14:paraId="3A25DA8E" w14:textId="783AA61A" w:rsidR="001B7931" w:rsidRP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1B7931">
        <w:rPr>
          <w:rFonts w:ascii="Tw Cen MT" w:eastAsia="Twentieth Century" w:hAnsi="Tw Cen MT" w:cs="Twentieth Century"/>
          <w:i/>
          <w:sz w:val="20"/>
          <w:szCs w:val="20"/>
        </w:rPr>
        <w:t xml:space="preserve">  </w:t>
      </w:r>
    </w:p>
    <w:p w14:paraId="0CA3D5AF" w14:textId="2AED9A06" w:rsid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1B7931">
        <w:rPr>
          <w:rFonts w:ascii="Tw Cen MT" w:eastAsia="Twentieth Century" w:hAnsi="Tw Cen MT" w:cs="Twentieth Century"/>
          <w:i/>
          <w:sz w:val="20"/>
          <w:szCs w:val="20"/>
        </w:rPr>
        <w:t xml:space="preserve">Keywords: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Media, Q&amp;A lecture, early detection of pregnancy risk</w:t>
      </w:r>
    </w:p>
    <w:p w14:paraId="6B5E3D27" w14:textId="76554CA7" w:rsidR="0033333F" w:rsidRDefault="0033333F" w:rsidP="0033333F">
      <w:pPr>
        <w:widowControl w:val="0"/>
        <w:spacing w:after="0" w:line="228" w:lineRule="auto"/>
        <w:ind w:left="3150" w:right="-19"/>
        <w:jc w:val="both"/>
        <w:rPr>
          <w:rFonts w:ascii="Tw Cen MT" w:eastAsia="Twentieth Century" w:hAnsi="Tw Cen MT" w:cs="Twentieth Century"/>
          <w:i/>
          <w:sz w:val="20"/>
          <w:szCs w:val="20"/>
        </w:rPr>
      </w:pPr>
      <w:r w:rsidRPr="0033333F">
        <w:rPr>
          <w:rFonts w:ascii="Tw Cen MT" w:eastAsia="Twentieth Century" w:hAnsi="Tw Cen MT" w:cs="Twentieth Century"/>
          <w:i/>
          <w:sz w:val="20"/>
          <w:szCs w:val="20"/>
        </w:rPr>
        <w:t xml:space="preserve"> </w:t>
      </w:r>
    </w:p>
    <w:p w14:paraId="49F6A6E1" w14:textId="77777777" w:rsidR="007F4948" w:rsidRDefault="0086728C">
      <w:pPr>
        <w:tabs>
          <w:tab w:val="left" w:pos="426"/>
        </w:tabs>
        <w:spacing w:after="0"/>
        <w:ind w:left="3150"/>
        <w:jc w:val="both"/>
        <w:rPr>
          <w:rFonts w:ascii="Tw Cen MT" w:eastAsia="Twentieth Century" w:hAnsi="Tw Cen MT" w:cs="Twentieth Century"/>
          <w:b/>
          <w:sz w:val="20"/>
          <w:szCs w:val="20"/>
        </w:rPr>
      </w:pPr>
      <w:commentRangeStart w:id="1"/>
      <w:proofErr w:type="spellStart"/>
      <w:r w:rsidRPr="0096335E">
        <w:rPr>
          <w:rFonts w:ascii="Tw Cen MT" w:eastAsia="Twentieth Century" w:hAnsi="Tw Cen MT" w:cs="Twentieth Century"/>
          <w:b/>
          <w:sz w:val="20"/>
          <w:szCs w:val="20"/>
        </w:rPr>
        <w:t>Abstrak</w:t>
      </w:r>
      <w:commentRangeEnd w:id="1"/>
      <w:proofErr w:type="spellEnd"/>
      <w:r w:rsidR="007E047F">
        <w:rPr>
          <w:rStyle w:val="ReferensiKomentar"/>
        </w:rPr>
        <w:commentReference w:id="1"/>
      </w:r>
    </w:p>
    <w:p w14:paraId="1E379355" w14:textId="65C5DF03" w:rsidR="008B3FD4" w:rsidRPr="007E047F" w:rsidRDefault="0033333F" w:rsidP="007E047F">
      <w:pPr>
        <w:tabs>
          <w:tab w:val="left" w:pos="426"/>
        </w:tabs>
        <w:spacing w:after="0" w:line="240" w:lineRule="auto"/>
        <w:ind w:left="3150"/>
        <w:jc w:val="both"/>
        <w:rPr>
          <w:rFonts w:ascii="Tw Cen MT" w:eastAsia="Twentieth Century" w:hAnsi="Tw Cen MT" w:cs="Twentieth Century"/>
          <w:bCs/>
          <w:sz w:val="20"/>
          <w:szCs w:val="20"/>
        </w:rPr>
      </w:pPr>
      <w:proofErr w:type="spellStart"/>
      <w:r w:rsidRPr="0033333F">
        <w:rPr>
          <w:rFonts w:ascii="Tw Cen MT" w:eastAsia="Twentieth Century" w:hAnsi="Tw Cen MT" w:cs="Twentieth Century"/>
          <w:bCs/>
          <w:sz w:val="20"/>
          <w:szCs w:val="20"/>
        </w:rPr>
        <w:t>Promosi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merupakan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suatu</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upaya</w:t>
      </w:r>
      <w:proofErr w:type="spellEnd"/>
      <w:r w:rsidRPr="0033333F">
        <w:rPr>
          <w:rFonts w:ascii="Tw Cen MT" w:eastAsia="Twentieth Century" w:hAnsi="Tw Cen MT" w:cs="Twentieth Century"/>
          <w:bCs/>
          <w:sz w:val="20"/>
          <w:szCs w:val="20"/>
        </w:rPr>
        <w:t xml:space="preserve"> yang </w:t>
      </w:r>
      <w:proofErr w:type="spellStart"/>
      <w:r w:rsidRPr="0033333F">
        <w:rPr>
          <w:rFonts w:ascii="Tw Cen MT" w:eastAsia="Twentieth Century" w:hAnsi="Tw Cen MT" w:cs="Twentieth Century"/>
          <w:bCs/>
          <w:sz w:val="20"/>
          <w:szCs w:val="20"/>
        </w:rPr>
        <w:t>bertujuan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untuk</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memberikan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pesan-pesan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kepada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kelompok</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masyarakat</w:t>
      </w:r>
      <w:proofErr w:type="spellEnd"/>
      <w:r w:rsidRPr="0033333F">
        <w:rPr>
          <w:rFonts w:ascii="Tw Cen MT" w:eastAsia="Twentieth Century" w:hAnsi="Tw Cen MT" w:cs="Twentieth Century"/>
          <w:bCs/>
          <w:sz w:val="20"/>
          <w:szCs w:val="20"/>
        </w:rPr>
        <w:t xml:space="preserve"> agar </w:t>
      </w:r>
      <w:proofErr w:type="spellStart"/>
      <w:r w:rsidRPr="0033333F">
        <w:rPr>
          <w:rFonts w:ascii="Tw Cen MT" w:eastAsia="Twentieth Century" w:hAnsi="Tw Cen MT" w:cs="Twentieth Century"/>
          <w:bCs/>
          <w:sz w:val="20"/>
          <w:szCs w:val="20"/>
        </w:rPr>
        <w:t>masyarakat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dapat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menerapkan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perilaku</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hidup</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sehat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Dengan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adanya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promosi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diharapkan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masyarakat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dapat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memilki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informasi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terkait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dengan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serta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upaya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pencegahan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masalah</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itu</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sendiri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sebab</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pemberian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promosi</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salah </w:t>
      </w:r>
      <w:proofErr w:type="spellStart"/>
      <w:r w:rsidRPr="0033333F">
        <w:rPr>
          <w:rFonts w:ascii="Tw Cen MT" w:eastAsia="Twentieth Century" w:hAnsi="Tw Cen MT" w:cs="Twentieth Century"/>
          <w:bCs/>
          <w:sz w:val="20"/>
          <w:szCs w:val="20"/>
        </w:rPr>
        <w:t>satunya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dapat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dilakukan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dengan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cara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pemberian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penyuluhan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tentang</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kesehatan</w:t>
      </w:r>
      <w:proofErr w:type="spellEnd"/>
      <w:r w:rsidRPr="0033333F">
        <w:rPr>
          <w:rFonts w:ascii="Tw Cen MT" w:eastAsia="Twentieth Century" w:hAnsi="Tw Cen MT" w:cs="Twentieth Century"/>
          <w:bCs/>
          <w:sz w:val="20"/>
          <w:szCs w:val="20"/>
        </w:rPr>
        <w:t xml:space="preserve"> pada </w:t>
      </w:r>
      <w:proofErr w:type="spellStart"/>
      <w:r w:rsidRPr="0033333F">
        <w:rPr>
          <w:rFonts w:ascii="Tw Cen MT" w:eastAsia="Twentieth Century" w:hAnsi="Tw Cen MT" w:cs="Twentieth Century"/>
          <w:bCs/>
          <w:sz w:val="20"/>
          <w:szCs w:val="20"/>
        </w:rPr>
        <w:t>masyarakat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sehingga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dapat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meningkatkan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pengetahuan</w:t>
      </w:r>
      <w:proofErr w:type="spellEnd"/>
      <w:r w:rsidRPr="0033333F">
        <w:rPr>
          <w:rFonts w:ascii="Tw Cen MT" w:eastAsia="Twentieth Century" w:hAnsi="Tw Cen MT" w:cs="Twentieth Century"/>
          <w:bCs/>
          <w:sz w:val="20"/>
          <w:szCs w:val="20"/>
        </w:rPr>
        <w:t xml:space="preserve"> dan </w:t>
      </w:r>
      <w:proofErr w:type="spellStart"/>
      <w:r w:rsidRPr="0033333F">
        <w:rPr>
          <w:rFonts w:ascii="Tw Cen MT" w:eastAsia="Twentieth Century" w:hAnsi="Tw Cen MT" w:cs="Twentieth Century"/>
          <w:bCs/>
          <w:sz w:val="20"/>
          <w:szCs w:val="20"/>
        </w:rPr>
        <w:t>sikap</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masyarakat</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dalam</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upaya</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pencegahan</w:t>
      </w:r>
      <w:proofErr w:type="spellEnd"/>
      <w:r w:rsidRPr="0033333F">
        <w:rPr>
          <w:rFonts w:ascii="Tw Cen MT" w:eastAsia="Twentieth Century" w:hAnsi="Tw Cen MT" w:cs="Twentieth Century"/>
          <w:bCs/>
          <w:sz w:val="20"/>
          <w:szCs w:val="20"/>
        </w:rPr>
        <w:t xml:space="preserve"> </w:t>
      </w:r>
      <w:proofErr w:type="spellStart"/>
      <w:r w:rsidRPr="0033333F">
        <w:rPr>
          <w:rFonts w:ascii="Tw Cen MT" w:eastAsia="Twentieth Century" w:hAnsi="Tw Cen MT" w:cs="Twentieth Century"/>
          <w:bCs/>
          <w:sz w:val="20"/>
          <w:szCs w:val="20"/>
        </w:rPr>
        <w:t>masalah</w:t>
      </w:r>
      <w:proofErr w:type="spellEnd"/>
      <w:r w:rsidRPr="0033333F">
        <w:rPr>
          <w:rFonts w:ascii="Tw Cen MT" w:eastAsia="Twentieth Century" w:hAnsi="Tw Cen MT" w:cs="Twentieth Century"/>
          <w:bCs/>
          <w:sz w:val="20"/>
          <w:szCs w:val="20"/>
        </w:rPr>
        <w:t xml:space="preserve"> Kesehatan</w:t>
      </w:r>
      <w:r>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Populasi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dalam</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penelitian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adalah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ibu</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hamil</w:t>
      </w:r>
      <w:proofErr w:type="spellEnd"/>
      <w:r w:rsidR="008B3FD4" w:rsidRPr="008B3FD4">
        <w:rPr>
          <w:rFonts w:ascii="Tw Cen MT" w:eastAsia="Twentieth Century" w:hAnsi="Tw Cen MT" w:cs="Twentieth Century"/>
          <w:bCs/>
          <w:sz w:val="20"/>
          <w:szCs w:val="20"/>
        </w:rPr>
        <w:t xml:space="preserve"> di Wilayah </w:t>
      </w:r>
      <w:proofErr w:type="spellStart"/>
      <w:r w:rsidR="008B3FD4" w:rsidRPr="008B3FD4">
        <w:rPr>
          <w:rFonts w:ascii="Tw Cen MT" w:eastAsia="Twentieth Century" w:hAnsi="Tw Cen MT" w:cs="Twentieth Century"/>
          <w:bCs/>
          <w:sz w:val="20"/>
          <w:szCs w:val="20"/>
        </w:rPr>
        <w:t>Kerja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Puskesmas</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Buaran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Kabupaten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Pekalongan</w:t>
      </w:r>
      <w:proofErr w:type="spellEnd"/>
      <w:r w:rsidR="008B3FD4" w:rsidRPr="008B3FD4">
        <w:rPr>
          <w:rFonts w:ascii="Tw Cen MT" w:eastAsia="Twentieth Century" w:hAnsi="Tw Cen MT" w:cs="Twentieth Century"/>
          <w:bCs/>
          <w:sz w:val="20"/>
          <w:szCs w:val="20"/>
        </w:rPr>
        <w:t xml:space="preserve">. Teknik Desain </w:t>
      </w:r>
      <w:proofErr w:type="spellStart"/>
      <w:r w:rsidR="008B3FD4" w:rsidRPr="008B3FD4">
        <w:rPr>
          <w:rFonts w:ascii="Tw Cen MT" w:eastAsia="Twentieth Century" w:hAnsi="Tw Cen MT" w:cs="Twentieth Century"/>
          <w:bCs/>
          <w:sz w:val="20"/>
          <w:szCs w:val="20"/>
        </w:rPr>
        <w:t>penelitian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adalah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studi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eksperimen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sedehana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dengan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kelompok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kontrol</w:t>
      </w:r>
      <w:proofErr w:type="spellEnd"/>
      <w:r w:rsidR="008B3FD4" w:rsidRPr="008B3FD4">
        <w:rPr>
          <w:rFonts w:ascii="Tw Cen MT" w:eastAsia="Twentieth Century" w:hAnsi="Tw Cen MT" w:cs="Twentieth Century"/>
          <w:bCs/>
          <w:sz w:val="20"/>
          <w:szCs w:val="20"/>
        </w:rPr>
        <w:t xml:space="preserve">. Teknik </w:t>
      </w:r>
      <w:proofErr w:type="spellStart"/>
      <w:r w:rsidR="008B3FD4" w:rsidRPr="008B3FD4">
        <w:rPr>
          <w:rFonts w:ascii="Tw Cen MT" w:eastAsia="Twentieth Century" w:hAnsi="Tw Cen MT" w:cs="Twentieth Century"/>
          <w:bCs/>
          <w:sz w:val="20"/>
          <w:szCs w:val="20"/>
        </w:rPr>
        <w:t>pengambilan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sampel</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dengan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acak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sederhana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Jumlah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sampel</w:t>
      </w:r>
      <w:proofErr w:type="spellEnd"/>
      <w:r w:rsidR="008B3FD4" w:rsidRPr="008B3FD4">
        <w:rPr>
          <w:rFonts w:ascii="Tw Cen MT" w:eastAsia="Twentieth Century" w:hAnsi="Tw Cen MT" w:cs="Twentieth Century"/>
          <w:bCs/>
          <w:sz w:val="20"/>
          <w:szCs w:val="20"/>
        </w:rPr>
        <w:t xml:space="preserve"> yang </w:t>
      </w:r>
      <w:proofErr w:type="spellStart"/>
      <w:r w:rsidR="008B3FD4" w:rsidRPr="008B3FD4">
        <w:rPr>
          <w:rFonts w:ascii="Tw Cen MT" w:eastAsia="Twentieth Century" w:hAnsi="Tw Cen MT" w:cs="Twentieth Century"/>
          <w:bCs/>
          <w:sz w:val="20"/>
          <w:szCs w:val="20"/>
        </w:rPr>
        <w:t>digunakan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dalam</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penelitian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adalah</w:t>
      </w:r>
      <w:proofErr w:type="spellEnd"/>
      <w:r w:rsidR="008B3FD4" w:rsidRPr="008B3FD4">
        <w:rPr>
          <w:rFonts w:ascii="Tw Cen MT" w:eastAsia="Twentieth Century" w:hAnsi="Tw Cen MT" w:cs="Twentieth Century"/>
          <w:bCs/>
          <w:sz w:val="20"/>
          <w:szCs w:val="20"/>
        </w:rPr>
        <w:t xml:space="preserve"> 30 </w:t>
      </w:r>
      <w:proofErr w:type="spellStart"/>
      <w:r w:rsidR="008B3FD4" w:rsidRPr="008B3FD4">
        <w:rPr>
          <w:rFonts w:ascii="Tw Cen MT" w:eastAsia="Twentieth Century" w:hAnsi="Tw Cen MT" w:cs="Twentieth Century"/>
          <w:bCs/>
          <w:sz w:val="20"/>
          <w:szCs w:val="20"/>
        </w:rPr>
        <w:t>ibu</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hamil</w:t>
      </w:r>
      <w:proofErr w:type="spellEnd"/>
      <w:r w:rsidR="008B3FD4" w:rsidRPr="008B3FD4">
        <w:rPr>
          <w:rFonts w:ascii="Tw Cen MT" w:eastAsia="Twentieth Century" w:hAnsi="Tw Cen MT" w:cs="Twentieth Century"/>
          <w:bCs/>
          <w:sz w:val="20"/>
          <w:szCs w:val="20"/>
        </w:rPr>
        <w:t xml:space="preserve"> pada masing-masing </w:t>
      </w:r>
      <w:proofErr w:type="spellStart"/>
      <w:r w:rsidR="008B3FD4" w:rsidRPr="008B3FD4">
        <w:rPr>
          <w:rFonts w:ascii="Tw Cen MT" w:eastAsia="Twentieth Century" w:hAnsi="Tw Cen MT" w:cs="Twentieth Century"/>
          <w:bCs/>
          <w:sz w:val="20"/>
          <w:szCs w:val="20"/>
        </w:rPr>
        <w:t>kelompok</w:t>
      </w:r>
      <w:proofErr w:type="spellEnd"/>
      <w:r w:rsidR="008B3FD4" w:rsidRPr="008B3FD4">
        <w:rPr>
          <w:rFonts w:ascii="Tw Cen MT" w:eastAsia="Twentieth Century" w:hAnsi="Tw Cen MT" w:cs="Twentieth Century"/>
          <w:bCs/>
          <w:sz w:val="20"/>
          <w:szCs w:val="20"/>
        </w:rPr>
        <w:t>.</w:t>
      </w:r>
      <w:r>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Pengumpulan</w:t>
      </w:r>
      <w:proofErr w:type="spellEnd"/>
      <w:r w:rsidR="008B3FD4" w:rsidRPr="008B3FD4">
        <w:rPr>
          <w:rFonts w:ascii="Tw Cen MT" w:eastAsia="Twentieth Century" w:hAnsi="Tw Cen MT" w:cs="Twentieth Century"/>
          <w:bCs/>
          <w:sz w:val="20"/>
          <w:szCs w:val="20"/>
        </w:rPr>
        <w:t xml:space="preserve"> data</w:t>
      </w:r>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dilakukan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dengan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memberikan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kuesioner</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sebelum</w:t>
      </w:r>
      <w:proofErr w:type="spellEnd"/>
      <w:r w:rsidR="008B3FD4" w:rsidRPr="008B3FD4">
        <w:rPr>
          <w:rFonts w:ascii="Tw Cen MT" w:eastAsia="Twentieth Century" w:hAnsi="Tw Cen MT" w:cs="Twentieth Century"/>
          <w:bCs/>
          <w:sz w:val="20"/>
          <w:szCs w:val="20"/>
        </w:rPr>
        <w:t xml:space="preserve"> dan </w:t>
      </w:r>
      <w:proofErr w:type="spellStart"/>
      <w:r w:rsidR="008B3FD4" w:rsidRPr="008B3FD4">
        <w:rPr>
          <w:rFonts w:ascii="Tw Cen MT" w:eastAsia="Twentieth Century" w:hAnsi="Tw Cen MT" w:cs="Twentieth Century"/>
          <w:bCs/>
          <w:sz w:val="20"/>
          <w:szCs w:val="20"/>
        </w:rPr>
        <w:t>setelah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perlakuan</w:t>
      </w:r>
      <w:proofErr w:type="spellEnd"/>
      <w:r w:rsidR="008B3FD4" w:rsidRPr="008B3FD4">
        <w:rPr>
          <w:rFonts w:ascii="Tw Cen MT" w:eastAsia="Twentieth Century" w:hAnsi="Tw Cen MT" w:cs="Twentieth Century"/>
          <w:bCs/>
          <w:sz w:val="20"/>
          <w:szCs w:val="20"/>
        </w:rPr>
        <w:t xml:space="preserve"> pada </w:t>
      </w:r>
      <w:proofErr w:type="spellStart"/>
      <w:r w:rsidR="008B3FD4" w:rsidRPr="008B3FD4">
        <w:rPr>
          <w:rFonts w:ascii="Tw Cen MT" w:eastAsia="Twentieth Century" w:hAnsi="Tw Cen MT" w:cs="Twentieth Century"/>
          <w:bCs/>
          <w:sz w:val="20"/>
          <w:szCs w:val="20"/>
        </w:rPr>
        <w:t>kelompok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kontrol</w:t>
      </w:r>
      <w:proofErr w:type="spellEnd"/>
      <w:r w:rsidR="008B3FD4" w:rsidRPr="008B3FD4">
        <w:rPr>
          <w:rFonts w:ascii="Tw Cen MT" w:eastAsia="Twentieth Century" w:hAnsi="Tw Cen MT" w:cs="Twentieth Century"/>
          <w:bCs/>
          <w:sz w:val="20"/>
          <w:szCs w:val="20"/>
        </w:rPr>
        <w:t xml:space="preserve"> </w:t>
      </w:r>
      <w:r>
        <w:rPr>
          <w:rFonts w:ascii="Tw Cen MT" w:eastAsia="Twentieth Century" w:hAnsi="Tw Cen MT" w:cs="Twentieth Century"/>
          <w:bCs/>
          <w:sz w:val="20"/>
          <w:szCs w:val="20"/>
        </w:rPr>
        <w:t>dan</w:t>
      </w:r>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kelompok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perlakuan</w:t>
      </w:r>
      <w:proofErr w:type="spellEnd"/>
      <w:r w:rsidR="008B3FD4" w:rsidRPr="008B3FD4">
        <w:rPr>
          <w:rFonts w:ascii="Tw Cen MT" w:eastAsia="Twentieth Century" w:hAnsi="Tw Cen MT" w:cs="Twentieth Century"/>
          <w:bCs/>
          <w:sz w:val="20"/>
          <w:szCs w:val="20"/>
        </w:rPr>
        <w:t xml:space="preserve">. Analisa </w:t>
      </w:r>
      <w:r w:rsidR="008B3FD4" w:rsidRPr="008B3FD4">
        <w:rPr>
          <w:rFonts w:ascii="Tw Cen MT" w:eastAsia="Twentieth Century" w:hAnsi="Tw Cen MT" w:cs="Twentieth Century"/>
          <w:bCs/>
          <w:sz w:val="20"/>
          <w:szCs w:val="20"/>
        </w:rPr>
        <w:lastRenderedPageBreak/>
        <w:t xml:space="preserve">data </w:t>
      </w:r>
      <w:proofErr w:type="spellStart"/>
      <w:r w:rsidR="008B3FD4" w:rsidRPr="008B3FD4">
        <w:rPr>
          <w:rFonts w:ascii="Tw Cen MT" w:eastAsia="Twentieth Century" w:hAnsi="Tw Cen MT" w:cs="Twentieth Century"/>
          <w:bCs/>
          <w:sz w:val="20"/>
          <w:szCs w:val="20"/>
        </w:rPr>
        <w:t>untuk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mengetahui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efektivitas</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edukasi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dengan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metode</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ceramah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tanya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jawab</w:t>
      </w:r>
      <w:proofErr w:type="spellEnd"/>
      <w:r w:rsidR="008B3FD4" w:rsidRPr="008B3FD4">
        <w:rPr>
          <w:rFonts w:ascii="Tw Cen MT" w:eastAsia="Twentieth Century" w:hAnsi="Tw Cen MT" w:cs="Twentieth Century"/>
          <w:bCs/>
          <w:sz w:val="20"/>
          <w:szCs w:val="20"/>
        </w:rPr>
        <w:t xml:space="preserve"> dan Media </w:t>
      </w:r>
      <w:proofErr w:type="spellStart"/>
      <w:r w:rsidR="008B3FD4" w:rsidRPr="008B3FD4">
        <w:rPr>
          <w:rFonts w:ascii="Tw Cen MT" w:eastAsia="Twentieth Century" w:hAnsi="Tw Cen MT" w:cs="Twentieth Century"/>
          <w:bCs/>
          <w:sz w:val="20"/>
          <w:szCs w:val="20"/>
        </w:rPr>
        <w:t>Powtoon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terhadap</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pengetahuan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ibu</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hamil</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tentang</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deteksi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risiko</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kehamilan</w:t>
      </w:r>
      <w:proofErr w:type="spellEnd"/>
      <w:r>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menggunakan</w:t>
      </w:r>
      <w:proofErr w:type="spellEnd"/>
      <w:r w:rsidR="008B3FD4" w:rsidRPr="008B3FD4">
        <w:rPr>
          <w:rFonts w:ascii="Tw Cen MT" w:eastAsia="Twentieth Century" w:hAnsi="Tw Cen MT" w:cs="Twentieth Century"/>
          <w:bCs/>
          <w:sz w:val="20"/>
          <w:szCs w:val="20"/>
        </w:rPr>
        <w:t xml:space="preserve"> uji Mann-Whitney </w:t>
      </w:r>
      <w:proofErr w:type="spellStart"/>
      <w:r>
        <w:rPr>
          <w:rFonts w:ascii="Tw Cen MT" w:eastAsia="Twentieth Century" w:hAnsi="Tw Cen MT" w:cs="Twentieth Century"/>
          <w:bCs/>
          <w:sz w:val="20"/>
          <w:szCs w:val="20"/>
        </w:rPr>
        <w:t>dengan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ni</w:t>
      </w:r>
      <w:r w:rsidR="008B3FD4" w:rsidRPr="008B3FD4">
        <w:rPr>
          <w:rFonts w:ascii="Tw Cen MT" w:eastAsia="Twentieth Century" w:hAnsi="Tw Cen MT" w:cs="Twentieth Century"/>
          <w:bCs/>
          <w:sz w:val="20"/>
          <w:szCs w:val="20"/>
        </w:rPr>
        <w:t>lai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signifikansi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sebesar</w:t>
      </w:r>
      <w:proofErr w:type="spellEnd"/>
      <w:r w:rsidR="008B3FD4" w:rsidRPr="008B3FD4">
        <w:rPr>
          <w:rFonts w:ascii="Tw Cen MT" w:eastAsia="Twentieth Century" w:hAnsi="Tw Cen MT" w:cs="Twentieth Century"/>
          <w:bCs/>
          <w:sz w:val="20"/>
          <w:szCs w:val="20"/>
        </w:rPr>
        <w:t xml:space="preserve"> 0,000 (&lt;0.05) </w:t>
      </w:r>
      <w:proofErr w:type="spellStart"/>
      <w:r w:rsidR="008B3FD4" w:rsidRPr="008B3FD4">
        <w:rPr>
          <w:rFonts w:ascii="Tw Cen MT" w:eastAsia="Twentieth Century" w:hAnsi="Tw Cen MT" w:cs="Twentieth Century"/>
          <w:bCs/>
          <w:sz w:val="20"/>
          <w:szCs w:val="20"/>
        </w:rPr>
        <w:t>dengan</w:t>
      </w:r>
      <w:proofErr w:type="spellEnd"/>
      <w:r w:rsidR="008B3FD4" w:rsidRPr="008B3FD4">
        <w:rPr>
          <w:rFonts w:ascii="Tw Cen MT" w:eastAsia="Twentieth Century" w:hAnsi="Tw Cen MT" w:cs="Twentieth Century"/>
          <w:bCs/>
          <w:sz w:val="20"/>
          <w:szCs w:val="20"/>
        </w:rPr>
        <w:t xml:space="preserve"> confidence interval 95%, </w:t>
      </w:r>
      <w:proofErr w:type="spellStart"/>
      <w:r w:rsidR="008B3FD4" w:rsidRPr="008B3FD4">
        <w:rPr>
          <w:rFonts w:ascii="Tw Cen MT" w:eastAsia="Twentieth Century" w:hAnsi="Tw Cen MT" w:cs="Twentieth Century"/>
          <w:bCs/>
          <w:sz w:val="20"/>
          <w:szCs w:val="20"/>
        </w:rPr>
        <w:t>dapat</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disimpulkan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bahwa</w:t>
      </w:r>
      <w:proofErr w:type="spellEnd"/>
      <w:r w:rsidR="008B3FD4" w:rsidRPr="008B3FD4">
        <w:rPr>
          <w:rFonts w:ascii="Tw Cen MT" w:eastAsia="Twentieth Century" w:hAnsi="Tw Cen MT" w:cs="Twentieth Century"/>
          <w:bCs/>
          <w:sz w:val="20"/>
          <w:szCs w:val="20"/>
        </w:rPr>
        <w:t xml:space="preserve"> Ho </w:t>
      </w:r>
      <w:proofErr w:type="spellStart"/>
      <w:r w:rsidR="008B3FD4" w:rsidRPr="008B3FD4">
        <w:rPr>
          <w:rFonts w:ascii="Tw Cen MT" w:eastAsia="Twentieth Century" w:hAnsi="Tw Cen MT" w:cs="Twentieth Century"/>
          <w:bCs/>
          <w:sz w:val="20"/>
          <w:szCs w:val="20"/>
        </w:rPr>
        <w:t>ditolak</w:t>
      </w:r>
      <w:proofErr w:type="spellEnd"/>
      <w:r w:rsidR="008B3FD4" w:rsidRPr="008B3FD4">
        <w:rPr>
          <w:rFonts w:ascii="Tw Cen MT" w:eastAsia="Twentieth Century" w:hAnsi="Tw Cen MT" w:cs="Twentieth Century"/>
          <w:bCs/>
          <w:sz w:val="20"/>
          <w:szCs w:val="20"/>
        </w:rPr>
        <w:t xml:space="preserve"> dan Ha </w:t>
      </w:r>
      <w:proofErr w:type="spellStart"/>
      <w:r w:rsidR="008B3FD4" w:rsidRPr="008B3FD4">
        <w:rPr>
          <w:rFonts w:ascii="Tw Cen MT" w:eastAsia="Twentieth Century" w:hAnsi="Tw Cen MT" w:cs="Twentieth Century"/>
          <w:bCs/>
          <w:sz w:val="20"/>
          <w:szCs w:val="20"/>
        </w:rPr>
        <w:t>diterima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berarti</w:t>
      </w:r>
      <w:proofErr w:type="spellEnd"/>
      <w:r w:rsidR="008B3FD4" w:rsidRPr="008B3FD4">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bahawa</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metode</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powtoon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lebih</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efektiv</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daripada</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metode</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ceramah</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tanya</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jawab</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dalam</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mingkatkan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pengetahuan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ibu</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hamil</w:t>
      </w:r>
      <w:proofErr w:type="spellEnd"/>
      <w:r>
        <w:rPr>
          <w:rFonts w:ascii="Tw Cen MT" w:eastAsia="Twentieth Century" w:hAnsi="Tw Cen MT" w:cs="Twentieth Century"/>
          <w:bCs/>
          <w:sz w:val="20"/>
          <w:szCs w:val="20"/>
        </w:rPr>
        <w:t xml:space="preserve">. </w:t>
      </w:r>
      <w:r w:rsidR="008B3FD4" w:rsidRPr="008B3FD4">
        <w:rPr>
          <w:rFonts w:ascii="Tw Cen MT" w:eastAsia="Twentieth Century" w:hAnsi="Tw Cen MT" w:cs="Twentieth Century"/>
          <w:bCs/>
          <w:sz w:val="20"/>
          <w:szCs w:val="20"/>
        </w:rPr>
        <w:t xml:space="preserve">Saran </w:t>
      </w:r>
      <w:proofErr w:type="spellStart"/>
      <w:r w:rsidR="008B3FD4" w:rsidRPr="008B3FD4">
        <w:rPr>
          <w:rFonts w:ascii="Tw Cen MT" w:eastAsia="Twentieth Century" w:hAnsi="Tw Cen MT" w:cs="Twentieth Century"/>
          <w:bCs/>
          <w:sz w:val="20"/>
          <w:szCs w:val="20"/>
        </w:rPr>
        <w:t>untuk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pihak</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terkait</w:t>
      </w:r>
      <w:proofErr w:type="spellEnd"/>
      <w:r w:rsidR="008B3FD4" w:rsidRPr="008B3FD4">
        <w:rPr>
          <w:rFonts w:ascii="Tw Cen MT" w:eastAsia="Twentieth Century" w:hAnsi="Tw Cen MT" w:cs="Twentieth Century"/>
          <w:bCs/>
          <w:sz w:val="20"/>
          <w:szCs w:val="20"/>
        </w:rPr>
        <w:t xml:space="preserve"> (Dinas Kesehatan) </w:t>
      </w:r>
      <w:proofErr w:type="spellStart"/>
      <w:r w:rsidR="008B3FD4" w:rsidRPr="008B3FD4">
        <w:rPr>
          <w:rFonts w:ascii="Tw Cen MT" w:eastAsia="Twentieth Century" w:hAnsi="Tw Cen MT" w:cs="Twentieth Century"/>
          <w:bCs/>
          <w:sz w:val="20"/>
          <w:szCs w:val="20"/>
        </w:rPr>
        <w:t>dalam</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mensosialisasikan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hasil</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penelitian</w:t>
      </w:r>
      <w:proofErr w:type="spellEnd"/>
      <w:r w:rsidR="008B3FD4" w:rsidRPr="008B3FD4">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ini</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untuk</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meningkatkan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pengetahuan</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ibu</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hamil</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khususnya</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tentang</w:t>
      </w:r>
      <w:proofErr w:type="spellEnd"/>
      <w:r>
        <w:rPr>
          <w:rFonts w:ascii="Tw Cen MT" w:eastAsia="Twentieth Century" w:hAnsi="Tw Cen MT" w:cs="Twentieth Century"/>
          <w:bCs/>
          <w:sz w:val="20"/>
          <w:szCs w:val="20"/>
        </w:rPr>
        <w:t xml:space="preserve"> factor </w:t>
      </w:r>
      <w:proofErr w:type="spellStart"/>
      <w:r>
        <w:rPr>
          <w:rFonts w:ascii="Tw Cen MT" w:eastAsia="Twentieth Century" w:hAnsi="Tw Cen MT" w:cs="Twentieth Century"/>
          <w:bCs/>
          <w:sz w:val="20"/>
          <w:szCs w:val="20"/>
        </w:rPr>
        <w:t>risiko</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kehamilan</w:t>
      </w:r>
      <w:proofErr w:type="spellEnd"/>
      <w:r>
        <w:rPr>
          <w:rFonts w:ascii="Tw Cen MT" w:eastAsia="Twentieth Century" w:hAnsi="Tw Cen MT" w:cs="Twentieth Century"/>
          <w:bCs/>
          <w:sz w:val="20"/>
          <w:szCs w:val="20"/>
        </w:rPr>
        <w:t xml:space="preserve">. </w:t>
      </w:r>
      <w:r w:rsidR="008B3FD4" w:rsidRPr="008B3FD4">
        <w:rPr>
          <w:rFonts w:ascii="Tw Cen MT" w:eastAsia="Twentieth Century" w:hAnsi="Tw Cen MT" w:cs="Twentieth Century"/>
          <w:bCs/>
          <w:sz w:val="20"/>
          <w:szCs w:val="20"/>
        </w:rPr>
        <w:t xml:space="preserve"> </w:t>
      </w:r>
    </w:p>
    <w:p w14:paraId="68659279" w14:textId="448821D8"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8B3FD4">
        <w:rPr>
          <w:rFonts w:ascii="Tw Cen MT" w:eastAsia="Twentieth Century" w:hAnsi="Tw Cen MT" w:cs="Twentieth Century"/>
          <w:bCs/>
          <w:sz w:val="20"/>
          <w:szCs w:val="20"/>
        </w:rPr>
        <w:t xml:space="preserve">Kata </w:t>
      </w:r>
      <w:proofErr w:type="spellStart"/>
      <w:r w:rsidRPr="008B3FD4">
        <w:rPr>
          <w:rFonts w:ascii="Tw Cen MT" w:eastAsia="Twentieth Century" w:hAnsi="Tw Cen MT" w:cs="Twentieth Century"/>
          <w:bCs/>
          <w:sz w:val="20"/>
          <w:szCs w:val="20"/>
        </w:rPr>
        <w:t>Kunci</w:t>
      </w:r>
      <w:proofErr w:type="spellEnd"/>
      <w:r w:rsidR="00106D4F" w:rsidRPr="008B3FD4">
        <w:rPr>
          <w:rFonts w:ascii="Tw Cen MT" w:eastAsia="Twentieth Century" w:hAnsi="Tw Cen MT" w:cs="Twentieth Century"/>
          <w:bCs/>
          <w:sz w:val="20"/>
          <w:szCs w:val="20"/>
        </w:rPr>
        <w:t>:</w:t>
      </w:r>
      <w:r w:rsidR="008B3FD4" w:rsidRPr="008B3FD4">
        <w:rPr>
          <w:rFonts w:ascii="Tw Cen MT" w:eastAsia="Twentieth Century" w:hAnsi="Tw Cen MT" w:cs="Twentieth Century"/>
          <w:bCs/>
          <w:sz w:val="20"/>
          <w:szCs w:val="20"/>
        </w:rPr>
        <w:t xml:space="preserve"> Media </w:t>
      </w:r>
      <w:proofErr w:type="spellStart"/>
      <w:r w:rsidR="008B3FD4" w:rsidRPr="008B3FD4">
        <w:rPr>
          <w:rFonts w:ascii="Tw Cen MT" w:eastAsia="Twentieth Century" w:hAnsi="Tw Cen MT" w:cs="Twentieth Century"/>
          <w:bCs/>
          <w:sz w:val="20"/>
          <w:szCs w:val="20"/>
        </w:rPr>
        <w:t>Powtoon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Ceramah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tanya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jawab</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deteksi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risiko</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kehamilan</w:t>
      </w:r>
      <w:proofErr w:type="spellEnd"/>
    </w:p>
    <w:p w14:paraId="240275AD" w14:textId="551BE152"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D6AEB4A" w14:textId="26FE3FAE"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proofErr w:type="spellStart"/>
      <w:r w:rsidRPr="00553174">
        <w:rPr>
          <w:rFonts w:ascii="Tw Cen MT" w:eastAsia="Twentieth Century" w:hAnsi="Tw Cen MT" w:cs="Twentieth Century"/>
          <w:bCs/>
          <w:sz w:val="24"/>
          <w:szCs w:val="24"/>
        </w:rPr>
        <w:t>Setiap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proses </w:t>
      </w:r>
      <w:proofErr w:type="spellStart"/>
      <w:r w:rsidRPr="00553174">
        <w:rPr>
          <w:rFonts w:ascii="Tw Cen MT" w:eastAsia="Twentieth Century" w:hAnsi="Tw Cen MT" w:cs="Twentieth Century"/>
          <w:bCs/>
          <w:sz w:val="24"/>
          <w:szCs w:val="24"/>
        </w:rPr>
        <w:t>alamiah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namun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apabila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diperhatikan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baik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janin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diketahui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sehingga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diperlukan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usaha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memeriksakan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kehamilannya</w:t>
      </w:r>
      <w:proofErr w:type="spellEnd"/>
      <w:r w:rsidRPr="00553174">
        <w:rPr>
          <w:rFonts w:ascii="Tw Cen MT" w:eastAsia="Twentieth Century" w:hAnsi="Tw Cen MT" w:cs="Twentieth Century"/>
          <w:bCs/>
          <w:sz w:val="24"/>
          <w:szCs w:val="24"/>
        </w:rPr>
        <w:t xml:space="preserve"> minimal </w:t>
      </w:r>
      <w:proofErr w:type="spellStart"/>
      <w:r w:rsidRPr="00553174">
        <w:rPr>
          <w:rFonts w:ascii="Tw Cen MT" w:eastAsia="Twentieth Century" w:hAnsi="Tw Cen MT" w:cs="Twentieth Century"/>
          <w:bCs/>
          <w:sz w:val="24"/>
          <w:szCs w:val="24"/>
        </w:rPr>
        <w:t>empat</w:t>
      </w:r>
      <w:proofErr w:type="spellEnd"/>
      <w:r w:rsidRPr="00553174">
        <w:rPr>
          <w:rFonts w:ascii="Tw Cen MT" w:eastAsia="Twentieth Century" w:hAnsi="Tw Cen MT" w:cs="Twentieth Century"/>
          <w:bCs/>
          <w:sz w:val="24"/>
          <w:szCs w:val="24"/>
        </w:rPr>
        <w:t xml:space="preserve"> kali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memperoleh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r w:rsidR="006E1ABC">
        <w:rPr>
          <w:rFonts w:ascii="Tw Cen MT" w:eastAsia="Twentieth Century" w:hAnsi="Tw Cen MT" w:cs="Twentieth Century"/>
          <w:bCs/>
          <w:sz w:val="24"/>
          <w:szCs w:val="24"/>
        </w:rPr>
        <w:t xml:space="preserve">Kesehatan </w:t>
      </w:r>
      <w:r w:rsidR="006E1ABC">
        <w:rPr>
          <w:rFonts w:ascii="Tw Cen MT" w:eastAsia="Twentieth Century" w:hAnsi="Tw Cen MT" w:cs="Twentieth Century"/>
          <w:bCs/>
          <w:sz w:val="24"/>
          <w:szCs w:val="24"/>
        </w:rPr>
        <w:fldChar w:fldCharType="begin" w:fldLock="1"/>
      </w:r>
      <w:r w:rsidR="006E1ABC">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[1]</w:t>
      </w:r>
      <w:r w:rsidR="006E1ABC">
        <w:rPr>
          <w:rFonts w:ascii="Tw Cen MT" w:eastAsia="Twentieth Century" w:hAnsi="Tw Cen MT" w:cs="Twentieth Century"/>
          <w:bCs/>
          <w:sz w:val="24"/>
          <w:szCs w:val="24"/>
        </w:rPr>
        <w:fldChar w:fldCharType="end"/>
      </w:r>
      <w:r w:rsidR="006E1ABC">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penjaringan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terhadap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terdeteksi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mengalami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wilayah </w:t>
      </w:r>
      <w:proofErr w:type="spellStart"/>
      <w:r w:rsidRPr="00553174">
        <w:rPr>
          <w:rFonts w:ascii="Tw Cen MT" w:eastAsia="Twentieth Century" w:hAnsi="Tw Cen MT" w:cs="Twentieth Century"/>
          <w:bCs/>
          <w:sz w:val="24"/>
          <w:szCs w:val="24"/>
        </w:rPr>
        <w:t>tertentu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atau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menemukan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mempunyai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kebidanan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tenaga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resiko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penanganan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adekuat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kunci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keberhasilan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penurunan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angka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kematian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bayi</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dilahirkannya</w:t>
      </w:r>
      <w:proofErr w:type="spellEnd"/>
      <w:r w:rsidRPr="00553174">
        <w:rPr>
          <w:rFonts w:ascii="Tw Cen MT" w:eastAsia="Twentieth Century" w:hAnsi="Tw Cen MT" w:cs="Twentieth Century"/>
          <w:bCs/>
          <w:sz w:val="24"/>
          <w:szCs w:val="24"/>
        </w:rPr>
        <w:t xml:space="preserve"> </w:t>
      </w:r>
      <w:r w:rsidR="006E1ABC">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{"citationItems":[{"id":"ITEM-1","itemData":{"author":[{"dropping-particle":"","family":"Meliati","given":"Linda","non-dropping-particle":"","parse-names":false,"suffix":""}],"container-title":"Repository Universitas Diponegoro","id":"ITEM-1","issued":{"date-parts":[["2011"]]},"title":"Faktor-Faktor yang Mempengaruhi Kinerja Bidan di Desa dalam Kegiatan Deteksi Dini Resiko Tinggi Ibu Hamil di Wilayah Kerja Dinas Kesehatan Kabupaten Lombok Timur Tahun 2011","type":"article-journal"},"uris":["http://www.mendeley.com/documents/?uuid=70e73e2c-56f2-4654-9c79-3e0eb9931298"]}],"mendeley":{"formattedCitation":"[2]","plainTextFormattedCitation":"[2]","previouslyFormattedCitation":"[2]"},"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[2]</w:t>
      </w:r>
      <w:r w:rsidR="006E1ABC">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
    <w:p w14:paraId="4A976CCB" w14:textId="315DFE7D"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sidRPr="00553174">
        <w:rPr>
          <w:rFonts w:ascii="Tw Cen MT" w:eastAsia="Twentieth Century" w:hAnsi="Tw Cen MT" w:cs="Twentieth Century"/>
          <w:bCs/>
          <w:sz w:val="24"/>
          <w:szCs w:val="24"/>
        </w:rPr>
        <w:t xml:space="preserve">Tenaga professional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mendampingi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perlu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pengalaman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benar</w:t>
      </w:r>
      <w:proofErr w:type="spellEnd"/>
      <w:r w:rsidRPr="00553174">
        <w:rPr>
          <w:rFonts w:ascii="Tw Cen MT" w:eastAsia="Twentieth Century" w:hAnsi="Tw Cen MT" w:cs="Twentieth Century"/>
          <w:bCs/>
          <w:sz w:val="24"/>
          <w:szCs w:val="24"/>
        </w:rPr>
        <w:t xml:space="preserve">. Perempuan </w:t>
      </w:r>
      <w:proofErr w:type="spellStart"/>
      <w:r w:rsidRPr="00553174">
        <w:rPr>
          <w:rFonts w:ascii="Tw Cen MT" w:eastAsia="Twentieth Century" w:hAnsi="Tw Cen MT" w:cs="Twentieth Century"/>
          <w:bCs/>
          <w:sz w:val="24"/>
          <w:szCs w:val="24"/>
        </w:rPr>
        <w:t>harus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diberdayakan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mampu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mengambil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keputusan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melalui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tindakan</w:t>
      </w:r>
      <w:proofErr w:type="spellEnd"/>
      <w:r w:rsidRPr="00553174">
        <w:rPr>
          <w:rFonts w:ascii="Tw Cen MT" w:eastAsia="Twentieth Century" w:hAnsi="Tw Cen MT" w:cs="Twentieth Century"/>
          <w:bCs/>
          <w:sz w:val="24"/>
          <w:szCs w:val="24"/>
        </w:rPr>
        <w:t xml:space="preserve"> KIE dan </w:t>
      </w:r>
      <w:proofErr w:type="spellStart"/>
      <w:r w:rsidRPr="00553174">
        <w:rPr>
          <w:rFonts w:ascii="Tw Cen MT" w:eastAsia="Twentieth Century" w:hAnsi="Tw Cen MT" w:cs="Twentieth Century"/>
          <w:bCs/>
          <w:sz w:val="24"/>
          <w:szCs w:val="24"/>
        </w:rPr>
        <w:t>konseling</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bidan</w:t>
      </w:r>
      <w:proofErr w:type="spellEnd"/>
      <w:r w:rsidRPr="00553174">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[1]</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bertujuan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memberikan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pesan-</w:t>
      </w:r>
      <w:r w:rsidRPr="00553174">
        <w:rPr>
          <w:rFonts w:ascii="Tw Cen MT" w:eastAsia="Twentieth Century" w:hAnsi="Tw Cen MT" w:cs="Twentieth Century"/>
          <w:bCs/>
          <w:sz w:val="24"/>
          <w:szCs w:val="24"/>
        </w:rPr>
        <w:t>pesan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kelompok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perilaku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hidup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diharapkan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memilki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sebab</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salah </w:t>
      </w:r>
      <w:proofErr w:type="spellStart"/>
      <w:r w:rsidRPr="00553174">
        <w:rPr>
          <w:rFonts w:ascii="Tw Cen MT" w:eastAsia="Twentieth Century" w:hAnsi="Tw Cen MT" w:cs="Twentieth Century"/>
          <w:bCs/>
          <w:sz w:val="24"/>
          <w:szCs w:val="24"/>
        </w:rPr>
        <w:t>satunya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w:t>
      </w:r>
      <w:r>
        <w:rPr>
          <w:rFonts w:ascii="Tw Cen MT" w:eastAsia="Twentieth Century" w:hAnsi="Tw Cen MT" w:cs="Twentieth Century"/>
          <w:bCs/>
          <w:sz w:val="24"/>
          <w:szCs w:val="24"/>
        </w:rPr>
        <w:t>i</w:t>
      </w:r>
      <w:r w:rsidRPr="00553174">
        <w:rPr>
          <w:rFonts w:ascii="Tw Cen MT" w:eastAsia="Twentieth Century" w:hAnsi="Tw Cen MT" w:cs="Twentieth Century"/>
          <w:bCs/>
          <w:sz w:val="24"/>
          <w:szCs w:val="24"/>
        </w:rPr>
        <w:t>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sikap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t xml:space="preserve">Kesehatan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{"citationItems":[{"id":"ITEM-1","itemData":{"author":[{"dropping-particle":"","family":"Hulu Victor Trismanjaya dkk","given":"","non-dropping-particle":"","parse-names":false,"suffix":""}],"editor":[{"dropping-particle":"","family":"Janne","given":"Simarmata","non-dropping-particle":"","parse-names":false,"suffix":""}],"id":"ITEM-1","issued":{"date-parts":[["2020"]]},"publisher":"Yayasan Kita Menulis","publisher-place":"Jakarta","title":"Promosi Kesehatan Masyarakat","type":"book"},"uris":["http://www.mendeley.com/documents/?uuid=f60bd49c-78ed-4b56-80cf-60f49874d480"]}],"mendeley":{"formattedCitation":"[3]","plainTextFormattedCitation":"[3]","previouslyFormattedCitation":"[3]"},"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[3]</w:t>
      </w:r>
      <w:r w:rsidR="00C605EF">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BA6BAA0" w14:textId="4D23A8B4" w:rsidR="00553174" w:rsidRDefault="00553174"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t xml:space="preserve">Di era digital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sebagai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bantu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sangat </w:t>
      </w:r>
      <w:proofErr w:type="spellStart"/>
      <w:r>
        <w:rPr>
          <w:rFonts w:ascii="Tw Cen MT" w:eastAsia="Twentieth Century" w:hAnsi="Tw Cen MT" w:cs="Twentieth Century"/>
          <w:bCs/>
          <w:sz w:val="24"/>
          <w:szCs w:val="24"/>
        </w:rPr>
        <w:t>bervariatif</w:t>
      </w:r>
      <w:proofErr w:type="spellEnd"/>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Menurut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perbedaan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sebelum</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sesudah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berbasis</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0,000</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{"citationItems":[{"id":"ITEM-1","itemData":{"ISSN":"978.979.704","abstract":"Latar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media.","author":[{"dropping-particle":"","family":"Siti Nurjanah, Nuke Devi Indrawati","given":"Fitriani Nur Damayanti","non-dropping-particle":"","parse-names":false,"suffix":""}],"container-title":"Rakernas AIPKEMA","id":"ITEM-1","issue":"1","issued":{"date-parts":[["2016"]]},"title":"Peningkatan Pengetahuan Dan Sikap Ibu Hamil Resiko Tinggi Dengan Penyuluhan Berbasis Media","type":"article-journal"},"uris":["http://www.mendeley.com/documents/?uuid=d2d4d05f-b03b-48b2-bf9d-c511fdab5540"]}],"mendeley":{"formattedCitation":"[4]","plainTextFormattedCitation":"[4]","previouslyFormattedCitation":"[4]"},"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[4]</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juga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oleh</w:t>
      </w:r>
      <w:r w:rsidR="00C605EF">
        <w:rPr>
          <w:rFonts w:ascii="Tw Cen MT" w:eastAsia="Twentieth Century" w:hAnsi="Tw Cen MT" w:cs="Twentieth Century"/>
          <w:bCs/>
          <w:sz w:val="24"/>
          <w:szCs w:val="24"/>
        </w:rPr>
        <w:t xml:space="preserve"> </w:t>
      </w:r>
      <w:proofErr w:type="spellStart"/>
      <w:r w:rsidR="00C605EF">
        <w:rPr>
          <w:rFonts w:ascii="Tw Cen MT" w:eastAsia="Twentieth Century" w:hAnsi="Tw Cen MT" w:cs="Twentieth Century"/>
          <w:bCs/>
          <w:sz w:val="24"/>
          <w:szCs w:val="24"/>
        </w:rPr>
        <w:t>Herlina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hasil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bahwa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efektivitas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SMS </w:t>
      </w:r>
      <w:proofErr w:type="spellStart"/>
      <w:r w:rsidRPr="00553174">
        <w:rPr>
          <w:rFonts w:ascii="Tw Cen MT" w:eastAsia="Twentieth Century" w:hAnsi="Tw Cen MT" w:cs="Twentieth Century"/>
          <w:bCs/>
          <w:sz w:val="24"/>
          <w:szCs w:val="24"/>
        </w:rPr>
        <w:t>telepon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seluler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asupan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gizi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di </w:t>
      </w:r>
      <w:proofErr w:type="spellStart"/>
      <w:r w:rsidRPr="00553174">
        <w:rPr>
          <w:rFonts w:ascii="Tw Cen MT" w:eastAsia="Twentieth Century" w:hAnsi="Tw Cen MT" w:cs="Twentieth Century"/>
          <w:bCs/>
          <w:sz w:val="24"/>
          <w:szCs w:val="24"/>
        </w:rPr>
        <w:t>daerah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terpencil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&lt; 0,05</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DOI":"10.13140/RG.2.2.33841.22887","author":[{"dropping-particle":"","family":"Herlina","given":"Sri","non-dropping-particle":"","parse-names":false,"suffix":""}],"id":"ITEM-1","issue":"November","issued":{"date-parts":[["2018"]]},"title":"Pemanfaatan Fasilitas Sms Telepon Seluler Sebagai Media Promosi di Daerah Terpencil","type":"article-journal"},"uris":["http://www.mendeley.com/documents/?uuid=3ee2fcdc-337b-4764-9e03-128b311739bd"]}],"mendeley":{"formattedCitation":"[5]","plainTextFormattedCitation":"[5]","previouslyFormattedCitation":"[5]"},"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[5]</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 xml:space="preserve">. </w:t>
      </w:r>
    </w:p>
    <w:p w14:paraId="20D76676" w14:textId="3D8401C9" w:rsidR="006E1ABC" w:rsidRDefault="00C605EF"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proofErr w:type="spellStart"/>
      <w:r w:rsidR="006E1ABC" w:rsidRPr="006E1ABC">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r w:rsidR="006E1ABC" w:rsidRPr="006E1ABC">
        <w:rPr>
          <w:rFonts w:ascii="Tw Cen MT" w:eastAsia="Twentieth Century" w:hAnsi="Tw Cen MT" w:cs="Twentieth Century"/>
          <w:bCs/>
          <w:sz w:val="24"/>
          <w:szCs w:val="24"/>
        </w:rPr>
        <w:t xml:space="preserve">yang </w:t>
      </w:r>
      <w:proofErr w:type="spellStart"/>
      <w:r w:rsidR="006E1ABC" w:rsidRPr="006E1ABC">
        <w:rPr>
          <w:rFonts w:ascii="Tw Cen MT" w:eastAsia="Twentieth Century" w:hAnsi="Tw Cen MT" w:cs="Twentieth Century"/>
          <w:bCs/>
          <w:sz w:val="24"/>
          <w:szCs w:val="24"/>
        </w:rPr>
        <w:t>dilakukan</w:t>
      </w:r>
      <w:proofErr w:type="spellEnd"/>
      <w:r w:rsidR="006E1ABC" w:rsidRPr="006E1ABC">
        <w:rPr>
          <w:rFonts w:ascii="Tw Cen MT" w:eastAsia="Twentieth Century" w:hAnsi="Tw Cen MT" w:cs="Twentieth Century"/>
          <w:bCs/>
          <w:sz w:val="24"/>
          <w:szCs w:val="24"/>
        </w:rPr>
        <w:t xml:space="preserve"> pada </w:t>
      </w:r>
      <w:proofErr w:type="spellStart"/>
      <w:r w:rsidR="006E1ABC" w:rsidRPr="006E1ABC">
        <w:rPr>
          <w:rFonts w:ascii="Tw Cen MT" w:eastAsia="Twentieth Century" w:hAnsi="Tw Cen MT" w:cs="Twentieth Century"/>
          <w:bCs/>
          <w:sz w:val="24"/>
          <w:szCs w:val="24"/>
        </w:rPr>
        <w:t>tahun</w:t>
      </w:r>
      <w:proofErr w:type="spellEnd"/>
      <w:r w:rsidR="006E1ABC" w:rsidRPr="006E1ABC">
        <w:rPr>
          <w:rFonts w:ascii="Tw Cen MT" w:eastAsia="Twentieth Century" w:hAnsi="Tw Cen MT" w:cs="Twentieth Century"/>
          <w:bCs/>
          <w:sz w:val="24"/>
          <w:szCs w:val="24"/>
        </w:rPr>
        <w:t xml:space="preserve"> 2018 – 2019 pada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di Amerika </w:t>
      </w:r>
      <w:proofErr w:type="spellStart"/>
      <w:r w:rsidR="006E1ABC" w:rsidRPr="006E1ABC">
        <w:rPr>
          <w:rFonts w:ascii="Tw Cen MT" w:eastAsia="Twentieth Century" w:hAnsi="Tw Cen MT" w:cs="Twentieth Century"/>
          <w:bCs/>
          <w:sz w:val="24"/>
          <w:szCs w:val="24"/>
        </w:rPr>
        <w:t>Serikat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narkoba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didapatkan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hasil</w:t>
      </w:r>
      <w:proofErr w:type="spellEnd"/>
      <w:r w:rsidR="006E1ABC" w:rsidRPr="006E1ABC">
        <w:rPr>
          <w:rFonts w:ascii="Tw Cen MT" w:eastAsia="Twentieth Century" w:hAnsi="Tw Cen MT" w:cs="Twentieth Century"/>
          <w:bCs/>
          <w:sz w:val="24"/>
          <w:szCs w:val="24"/>
        </w:rPr>
        <w:t xml:space="preserve"> 29,5%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mengalami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peningkatan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lastRenderedPageBreak/>
        <w:t>setelah</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diberikan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Pendekatan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dinilai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lebih</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efektif</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dalam</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meningkatkan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pencegahan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zat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narkotik</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{"citationItems":[{"id":"ITEM-1","itemData":{"DOI":"10.1016/j.japh.2022.09.013","ISSN":"15443450","PMID":"36372641","abstract":"Background: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author":[{"dropping-particle":"","family":"Lyons-Burney","given":"Heather","non-dropping-particle":"","parse-names":false,"suffix":""},{"dropping-particle":"","family":"Godby","given":"Jessica","non-dropping-particle":"","parse-names":false,"suffix":""}],"container-title":"Journal of the American Pharmacists Association","id":"ITEM-1","issue":"1","issued":{"date-parts":[["2023"]]},"page":"356-360","publisher":"American Pharmacists Association®","title":"An innovative collaboration between a school of pharmacy and community-based organization for substance misuse prevention education","type":"article-journal","volume":"63"},"uris":["http://www.mendeley.com/documents/?uuid=614d5c7f-8842-4479-8005-09f59eb613a6"]}],"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[6]</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F05D135" w14:textId="4A217EF1" w:rsidR="006E1ABC" w:rsidRDefault="006E1ABC" w:rsidP="00553174">
      <w:pPr>
        <w:tabs>
          <w:tab w:val="left" w:pos="426"/>
        </w:tabs>
        <w:spacing w:after="0" w:line="240" w:lineRule="auto"/>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latar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belakang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diatas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tertarik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judul</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Efektivitas</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sebagai</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kreatif</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deteksi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dini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risiko</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2FEA4220" w14:textId="77777777" w:rsidR="006E1ABC"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METODE</w:t>
      </w:r>
    </w:p>
    <w:p w14:paraId="23483A63" w14:textId="77777777" w:rsidR="007E047F" w:rsidRDefault="00CE7ACA" w:rsidP="007E047F">
      <w:pPr>
        <w:spacing w:after="0" w:line="240" w:lineRule="auto"/>
        <w:jc w:val="both"/>
        <w:rPr>
          <w:rFonts w:ascii="Tw Cen MT" w:eastAsia="Twentieth Century" w:hAnsi="Tw Cen MT" w:cs="Twentieth Century"/>
          <w:bCs/>
          <w:sz w:val="24"/>
          <w:szCs w:val="24"/>
        </w:rPr>
      </w:pPr>
      <w:proofErr w:type="spellStart"/>
      <w:r w:rsidRPr="00CE7ACA">
        <w:rPr>
          <w:rFonts w:ascii="Tw Cen MT" w:eastAsia="Twentieth Century" w:hAnsi="Tw Cen MT" w:cs="Twentieth Century"/>
          <w:bCs/>
          <w:sz w:val="24"/>
          <w:szCs w:val="24"/>
        </w:rPr>
        <w:t>Penelitian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merupakan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studi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eksperimen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untuk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mengetahui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apakah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ada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perbedaan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efektivitas</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edukasi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mengenai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deteksi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risiko</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kehamilan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dengan</w:t>
      </w:r>
      <w:proofErr w:type="spellEnd"/>
      <w:r w:rsidRPr="00CE7ACA">
        <w:rPr>
          <w:rFonts w:ascii="Tw Cen MT" w:eastAsia="Twentieth Century" w:hAnsi="Tw Cen MT" w:cs="Twentieth Century"/>
          <w:bCs/>
          <w:sz w:val="24"/>
          <w:szCs w:val="24"/>
        </w:rPr>
        <w:t xml:space="preserve"> </w:t>
      </w:r>
    </w:p>
    <w:p w14:paraId="59FE6D10" w14:textId="77777777" w:rsidR="007E047F" w:rsidRDefault="007E047F" w:rsidP="007E047F">
      <w:pPr>
        <w:spacing w:after="0" w:line="240" w:lineRule="auto"/>
        <w:jc w:val="both"/>
        <w:rPr>
          <w:rFonts w:ascii="Tw Cen MT" w:eastAsia="Twentieth Century" w:hAnsi="Tw Cen MT" w:cs="Twentieth Century"/>
          <w:bCs/>
          <w:sz w:val="24"/>
          <w:szCs w:val="24"/>
        </w:rPr>
      </w:pPr>
    </w:p>
    <w:p w14:paraId="6A2FB3A1" w14:textId="4544052A" w:rsidR="004721E3" w:rsidRDefault="00CE7ACA" w:rsidP="007E047F">
      <w:pPr>
        <w:spacing w:after="0" w:line="240" w:lineRule="auto"/>
        <w:jc w:val="both"/>
        <w:rPr>
          <w:rFonts w:ascii="Tw Cen MT" w:eastAsia="Twentieth Century" w:hAnsi="Tw Cen MT" w:cs="Twentieth Century"/>
          <w:bCs/>
          <w:sz w:val="24"/>
          <w:szCs w:val="24"/>
        </w:rPr>
      </w:pPr>
      <w:proofErr w:type="spellStart"/>
      <w:r w:rsidRPr="00CE7ACA">
        <w:rPr>
          <w:rFonts w:ascii="Tw Cen MT" w:eastAsia="Twentieth Century" w:hAnsi="Tw Cen MT" w:cs="Twentieth Century"/>
          <w:bCs/>
          <w:sz w:val="24"/>
          <w:szCs w:val="24"/>
        </w:rPr>
        <w:t>menggunakan</w:t>
      </w:r>
      <w:proofErr w:type="spellEnd"/>
      <w:r w:rsidRPr="00CE7ACA">
        <w:rPr>
          <w:rFonts w:ascii="Tw Cen MT" w:eastAsia="Twentieth Century" w:hAnsi="Tw Cen MT" w:cs="Twentieth Century"/>
          <w:bCs/>
          <w:sz w:val="24"/>
          <w:szCs w:val="24"/>
        </w:rPr>
        <w:t xml:space="preserve"> media </w:t>
      </w:r>
      <w:proofErr w:type="spellStart"/>
      <w:r w:rsidRPr="00CE7ACA">
        <w:rPr>
          <w:rFonts w:ascii="Tw Cen MT" w:eastAsia="Twentieth Century" w:hAnsi="Tw Cen MT" w:cs="Twentieth Century"/>
          <w:bCs/>
          <w:sz w:val="24"/>
          <w:szCs w:val="24"/>
        </w:rPr>
        <w:t>powtoon</w:t>
      </w:r>
      <w:proofErr w:type="spellEnd"/>
      <w:r w:rsidRPr="00CE7ACA">
        <w:rPr>
          <w:rFonts w:ascii="Tw Cen MT" w:eastAsia="Twentieth Century" w:hAnsi="Tw Cen MT" w:cs="Twentieth Century"/>
          <w:bCs/>
          <w:sz w:val="24"/>
          <w:szCs w:val="24"/>
        </w:rPr>
        <w:t xml:space="preserve"> dan </w:t>
      </w:r>
      <w:proofErr w:type="spellStart"/>
      <w:r w:rsidRPr="00CE7ACA">
        <w:rPr>
          <w:rFonts w:ascii="Tw Cen MT" w:eastAsia="Twentieth Century" w:hAnsi="Tw Cen MT" w:cs="Twentieth Century"/>
          <w:bCs/>
          <w:sz w:val="24"/>
          <w:szCs w:val="24"/>
        </w:rPr>
        <w:t>ceramah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tanya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jawab</w:t>
      </w:r>
      <w:proofErr w:type="spellEnd"/>
      <w:r w:rsidRPr="00CE7ACA">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Subyek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60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dibagi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metode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ceramah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jawab</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perlkuan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powtoon</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r w:rsidRPr="00CE7ACA">
        <w:rPr>
          <w:rFonts w:ascii="Tw Cen MT" w:eastAsia="Twentieth Century" w:hAnsi="Tw Cen MT" w:cs="Twentieth Century"/>
          <w:bCs/>
          <w:sz w:val="24"/>
          <w:szCs w:val="24"/>
        </w:rPr>
        <w:t xml:space="preserve">Teknik </w:t>
      </w:r>
      <w:proofErr w:type="spellStart"/>
      <w:r w:rsidRPr="00CE7ACA">
        <w:rPr>
          <w:rFonts w:ascii="Tw Cen MT" w:eastAsia="Twentieth Century" w:hAnsi="Tw Cen MT" w:cs="Twentieth Century"/>
          <w:bCs/>
          <w:sz w:val="24"/>
          <w:szCs w:val="24"/>
        </w:rPr>
        <w:t>pengambilan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sampel</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dengan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cara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acak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00C96F7C">
        <w:rPr>
          <w:rFonts w:ascii="Tw Cen MT" w:eastAsia="Twentieth Century" w:hAnsi="Tw Cen MT" w:cs="Twentieth Century"/>
          <w:bCs/>
          <w:sz w:val="24"/>
          <w:szCs w:val="24"/>
        </w:rPr>
        <w:t xml:space="preserve">. </w:t>
      </w:r>
      <w:r w:rsidR="00C96F7C" w:rsidRPr="00C96F7C">
        <w:rPr>
          <w:rFonts w:ascii="Tw Cen MT" w:eastAsia="Twentieth Century" w:hAnsi="Tw Cen MT" w:cs="Twentieth Century"/>
          <w:bCs/>
          <w:sz w:val="24"/>
          <w:szCs w:val="24"/>
        </w:rPr>
        <w:t xml:space="preserve">Alat yang </w:t>
      </w:r>
      <w:proofErr w:type="spellStart"/>
      <w:r w:rsidR="00C96F7C" w:rsidRPr="00C96F7C">
        <w:rPr>
          <w:rFonts w:ascii="Tw Cen MT" w:eastAsia="Twentieth Century" w:hAnsi="Tw Cen MT" w:cs="Twentieth Century"/>
          <w:bCs/>
          <w:sz w:val="24"/>
          <w:szCs w:val="24"/>
        </w:rPr>
        <w:t>digunakan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mengumpulkan</w:t>
      </w:r>
      <w:proofErr w:type="spellEnd"/>
      <w:r w:rsidR="00C96F7C" w:rsidRPr="00C96F7C">
        <w:rPr>
          <w:rFonts w:ascii="Tw Cen MT" w:eastAsia="Twentieth Century" w:hAnsi="Tw Cen MT" w:cs="Twentieth Century"/>
          <w:bCs/>
          <w:sz w:val="24"/>
          <w:szCs w:val="24"/>
        </w:rPr>
        <w:t xml:space="preserve"> data </w:t>
      </w:r>
      <w:proofErr w:type="spellStart"/>
      <w:r w:rsidR="00C96F7C" w:rsidRPr="00C96F7C">
        <w:rPr>
          <w:rFonts w:ascii="Tw Cen MT" w:eastAsia="Twentieth Century" w:hAnsi="Tw Cen MT" w:cs="Twentieth Century"/>
          <w:bCs/>
          <w:sz w:val="24"/>
          <w:szCs w:val="24"/>
        </w:rPr>
        <w:t>dalam</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penelitian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ini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adalah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pengetahuan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tentang</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deteksi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dini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risiko</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kehamilan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Jumlah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sebanyak</w:t>
      </w:r>
      <w:proofErr w:type="spellEnd"/>
      <w:r w:rsidR="00C96F7C" w:rsidRPr="00C96F7C">
        <w:rPr>
          <w:rFonts w:ascii="Tw Cen MT" w:eastAsia="Twentieth Century" w:hAnsi="Tw Cen MT" w:cs="Twentieth Century"/>
          <w:bCs/>
          <w:sz w:val="24"/>
          <w:szCs w:val="24"/>
        </w:rPr>
        <w:t xml:space="preserve"> 25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Sebelum</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digunakan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terlebih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dahulu</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dilakukan</w:t>
      </w:r>
      <w:proofErr w:type="spellEnd"/>
      <w:r w:rsidR="00C96F7C" w:rsidRPr="00C96F7C">
        <w:rPr>
          <w:rFonts w:ascii="Tw Cen MT" w:eastAsia="Twentieth Century" w:hAnsi="Tw Cen MT" w:cs="Twentieth Century"/>
          <w:bCs/>
          <w:sz w:val="24"/>
          <w:szCs w:val="24"/>
        </w:rPr>
        <w:t xml:space="preserve"> uji </w:t>
      </w:r>
      <w:proofErr w:type="spellStart"/>
      <w:r w:rsidR="00C96F7C" w:rsidRPr="00C96F7C">
        <w:rPr>
          <w:rFonts w:ascii="Tw Cen MT" w:eastAsia="Twentieth Century" w:hAnsi="Tw Cen MT" w:cs="Twentieth Century"/>
          <w:bCs/>
          <w:sz w:val="24"/>
          <w:szCs w:val="24"/>
        </w:rPr>
        <w:t>validitas</w:t>
      </w:r>
      <w:proofErr w:type="spellEnd"/>
      <w:r w:rsidR="00C96F7C" w:rsidRPr="00C96F7C">
        <w:rPr>
          <w:rFonts w:ascii="Tw Cen MT" w:eastAsia="Twentieth Century" w:hAnsi="Tw Cen MT" w:cs="Twentieth Century"/>
          <w:bCs/>
          <w:sz w:val="24"/>
          <w:szCs w:val="24"/>
        </w:rPr>
        <w:t xml:space="preserve"> dan </w:t>
      </w:r>
      <w:proofErr w:type="spellStart"/>
      <w:r w:rsidR="00C96F7C" w:rsidRPr="00C96F7C">
        <w:rPr>
          <w:rFonts w:ascii="Tw Cen MT" w:eastAsia="Twentieth Century" w:hAnsi="Tw Cen MT" w:cs="Twentieth Century"/>
          <w:bCs/>
          <w:sz w:val="24"/>
          <w:szCs w:val="24"/>
        </w:rPr>
        <w:t>reliabilitas</w:t>
      </w:r>
      <w:proofErr w:type="spellEnd"/>
      <w:r w:rsidR="00C96F7C" w:rsidRPr="00C96F7C">
        <w:rPr>
          <w:rFonts w:ascii="Tw Cen MT" w:eastAsia="Twentieth Century" w:hAnsi="Tw Cen MT" w:cs="Twentieth Century"/>
          <w:bCs/>
          <w:sz w:val="24"/>
          <w:szCs w:val="24"/>
        </w:rPr>
        <w:t>.</w:t>
      </w:r>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Pengambilan</w:t>
      </w:r>
      <w:proofErr w:type="spellEnd"/>
      <w:r w:rsidR="00C96F7C">
        <w:rPr>
          <w:rFonts w:ascii="Tw Cen MT" w:eastAsia="Twentieth Century" w:hAnsi="Tw Cen MT" w:cs="Twentieth Century"/>
          <w:bCs/>
          <w:sz w:val="24"/>
          <w:szCs w:val="24"/>
        </w:rPr>
        <w:t xml:space="preserve"> data </w:t>
      </w:r>
      <w:proofErr w:type="spellStart"/>
      <w:r w:rsidR="00C96F7C">
        <w:rPr>
          <w:rFonts w:ascii="Tw Cen MT" w:eastAsia="Twentieth Century" w:hAnsi="Tw Cen MT" w:cs="Twentieth Century"/>
          <w:bCs/>
          <w:sz w:val="24"/>
          <w:szCs w:val="24"/>
        </w:rPr>
        <w:t>dilakukan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cara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(pretest) </w:t>
      </w:r>
      <w:proofErr w:type="spellStart"/>
      <w:r w:rsidR="00C96F7C">
        <w:rPr>
          <w:rFonts w:ascii="Tw Cen MT" w:eastAsia="Twentieth Century" w:hAnsi="Tw Cen MT" w:cs="Twentieth Century"/>
          <w:bCs/>
          <w:sz w:val="24"/>
          <w:szCs w:val="24"/>
        </w:rPr>
        <w:t>sebelum</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pemberian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kemudian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ibu</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hamil</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menjadi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dua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yaitu</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control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metode</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ceramah</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tanya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jawab</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media </w:t>
      </w:r>
      <w:proofErr w:type="spellStart"/>
      <w:r w:rsidR="00C96F7C">
        <w:rPr>
          <w:rFonts w:ascii="Tw Cen MT" w:eastAsia="Twentieth Century" w:hAnsi="Tw Cen MT" w:cs="Twentieth Century"/>
          <w:bCs/>
          <w:sz w:val="24"/>
          <w:szCs w:val="24"/>
        </w:rPr>
        <w:t>edukatif</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powtoon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selama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kurang</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lebih</w:t>
      </w:r>
      <w:proofErr w:type="spellEnd"/>
      <w:r w:rsidR="00C96F7C">
        <w:rPr>
          <w:rFonts w:ascii="Tw Cen MT" w:eastAsia="Twentieth Century" w:hAnsi="Tw Cen MT" w:cs="Twentieth Century"/>
          <w:bCs/>
          <w:sz w:val="24"/>
          <w:szCs w:val="24"/>
        </w:rPr>
        <w:t xml:space="preserve"> 30 </w:t>
      </w:r>
      <w:proofErr w:type="spellStart"/>
      <w:r w:rsidR="00C96F7C">
        <w:rPr>
          <w:rFonts w:ascii="Tw Cen MT" w:eastAsia="Twentieth Century" w:hAnsi="Tw Cen MT" w:cs="Twentieth Century"/>
          <w:bCs/>
          <w:sz w:val="24"/>
          <w:szCs w:val="24"/>
        </w:rPr>
        <w:t>menit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Setelah</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kegiatan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dua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selesai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dilanjutkan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post</w:t>
      </w:r>
      <w:r w:rsidR="007E047F">
        <w:rPr>
          <w:rFonts w:ascii="Tw Cen MT" w:eastAsia="Twentieth Century" w:hAnsi="Tw Cen MT" w:cs="Twentieth Century"/>
          <w:bCs/>
          <w:sz w:val="24"/>
          <w:szCs w:val="24"/>
        </w:rPr>
        <w:t xml:space="preserve"> </w:t>
      </w:r>
      <w:r w:rsidR="00C96F7C">
        <w:rPr>
          <w:rFonts w:ascii="Tw Cen MT" w:eastAsia="Twentieth Century" w:hAnsi="Tw Cen MT" w:cs="Twentieth Century"/>
          <w:bCs/>
          <w:sz w:val="24"/>
          <w:szCs w:val="24"/>
        </w:rPr>
        <w:t>test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diisi</w:t>
      </w:r>
      <w:proofErr w:type="spellEnd"/>
      <w:r w:rsidR="00C96F7C">
        <w:rPr>
          <w:rFonts w:ascii="Tw Cen MT" w:eastAsia="Twentieth Century" w:hAnsi="Tw Cen MT" w:cs="Twentieth Century"/>
          <w:bCs/>
          <w:sz w:val="24"/>
          <w:szCs w:val="24"/>
        </w:rPr>
        <w:t xml:space="preserve"> oleh </w:t>
      </w:r>
      <w:proofErr w:type="spellStart"/>
      <w:r w:rsidR="00C96F7C">
        <w:rPr>
          <w:rFonts w:ascii="Tw Cen MT" w:eastAsia="Twentieth Century" w:hAnsi="Tw Cen MT" w:cs="Twentieth Century"/>
          <w:bCs/>
          <w:sz w:val="24"/>
          <w:szCs w:val="24"/>
        </w:rPr>
        <w:t>responden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statistik</w:t>
      </w:r>
      <w:proofErr w:type="spellEnd"/>
      <w:r w:rsidR="00C96F7C">
        <w:rPr>
          <w:rFonts w:ascii="Tw Cen MT" w:eastAsia="Twentieth Century" w:hAnsi="Tw Cen MT" w:cs="Twentieth Century"/>
          <w:bCs/>
          <w:sz w:val="24"/>
          <w:szCs w:val="24"/>
        </w:rPr>
        <w:t xml:space="preserve"> yang </w:t>
      </w:r>
      <w:proofErr w:type="spellStart"/>
      <w:r w:rsidR="00C96F7C">
        <w:rPr>
          <w:rFonts w:ascii="Tw Cen MT" w:eastAsia="Twentieth Century" w:hAnsi="Tw Cen MT" w:cs="Twentieth Century"/>
          <w:bCs/>
          <w:sz w:val="24"/>
          <w:szCs w:val="24"/>
        </w:rPr>
        <w:t>digunakan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sebelum</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sesudah</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setiap</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T </w:t>
      </w:r>
      <w:proofErr w:type="spellStart"/>
      <w:r w:rsidR="00C96F7C">
        <w:rPr>
          <w:rFonts w:ascii="Tw Cen MT" w:eastAsia="Twentieth Century" w:hAnsi="Tw Cen MT" w:cs="Twentieth Century"/>
          <w:bCs/>
          <w:sz w:val="24"/>
          <w:szCs w:val="24"/>
        </w:rPr>
        <w:t>berpasangan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sedangkan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w:t>
      </w:r>
      <w:r w:rsidR="00663D48">
        <w:rPr>
          <w:rFonts w:ascii="Tw Cen MT" w:eastAsia="Twentieth Century" w:hAnsi="Tw Cen MT" w:cs="Twentieth Century"/>
          <w:bCs/>
          <w:sz w:val="24"/>
          <w:szCs w:val="24"/>
        </w:rPr>
        <w:t>k</w:t>
      </w:r>
      <w:proofErr w:type="spellEnd"/>
      <w:r w:rsidR="00C96F7C">
        <w:rPr>
          <w:rFonts w:ascii="Tw Cen MT" w:eastAsia="Twentieth Century" w:hAnsi="Tw Cen MT" w:cs="Twentieth Century"/>
          <w:bCs/>
          <w:sz w:val="24"/>
          <w:szCs w:val="24"/>
        </w:rPr>
        <w:t xml:space="preserve"> yang </w:t>
      </w:r>
      <w:proofErr w:type="spellStart"/>
      <w:r w:rsidR="00C96F7C">
        <w:rPr>
          <w:rFonts w:ascii="Tw Cen MT" w:eastAsia="Twentieth Century" w:hAnsi="Tw Cen MT" w:cs="Twentieth Century"/>
          <w:bCs/>
          <w:sz w:val="24"/>
          <w:szCs w:val="24"/>
        </w:rPr>
        <w:t>digunakan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peningkatan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penngetahuan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keolpok</w:t>
      </w:r>
      <w:proofErr w:type="spellEnd"/>
      <w:r w:rsidR="00C96F7C">
        <w:rPr>
          <w:rFonts w:ascii="Tw Cen MT" w:eastAsia="Twentieth Century" w:hAnsi="Tw Cen MT" w:cs="Twentieth Century"/>
          <w:bCs/>
          <w:sz w:val="24"/>
          <w:szCs w:val="24"/>
        </w:rPr>
        <w:t xml:space="preserve"> </w:t>
      </w:r>
      <w:proofErr w:type="spellStart"/>
      <w:r w:rsidR="00663D48">
        <w:rPr>
          <w:rFonts w:ascii="Tw Cen MT" w:eastAsia="Twentieth Century" w:hAnsi="Tw Cen MT" w:cs="Twentieth Century"/>
          <w:bCs/>
          <w:sz w:val="24"/>
          <w:szCs w:val="24"/>
        </w:rPr>
        <w:t>k</w:t>
      </w:r>
      <w:r w:rsidR="00C96F7C">
        <w:rPr>
          <w:rFonts w:ascii="Tw Cen MT" w:eastAsia="Twentieth Century" w:hAnsi="Tw Cen MT" w:cs="Twentieth Century"/>
          <w:bCs/>
          <w:sz w:val="24"/>
          <w:szCs w:val="24"/>
        </w:rPr>
        <w:t>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statistic non </w:t>
      </w:r>
      <w:proofErr w:type="spellStart"/>
      <w:r w:rsidR="00C96F7C">
        <w:rPr>
          <w:rFonts w:ascii="Tw Cen MT" w:eastAsia="Twentieth Century" w:hAnsi="Tw Cen MT" w:cs="Twentieth Century"/>
          <w:bCs/>
          <w:sz w:val="24"/>
          <w:szCs w:val="24"/>
        </w:rPr>
        <w:t>parametrik</w:t>
      </w:r>
      <w:proofErr w:type="spellEnd"/>
      <w:r w:rsidR="00C96F7C">
        <w:rPr>
          <w:rFonts w:ascii="Tw Cen MT" w:eastAsia="Twentieth Century" w:hAnsi="Tw Cen MT" w:cs="Twentieth Century"/>
          <w:bCs/>
          <w:sz w:val="24"/>
          <w:szCs w:val="24"/>
        </w:rPr>
        <w:t xml:space="preserve"> Mann Whitney </w:t>
      </w:r>
      <w:proofErr w:type="spellStart"/>
      <w:r w:rsidR="00C96F7C">
        <w:rPr>
          <w:rFonts w:ascii="Tw Cen MT" w:eastAsia="Twentieth Century" w:hAnsi="Tw Cen MT" w:cs="Twentieth Century"/>
          <w:bCs/>
          <w:sz w:val="24"/>
          <w:szCs w:val="24"/>
        </w:rPr>
        <w:t>karena</w:t>
      </w:r>
      <w:proofErr w:type="spellEnd"/>
      <w:r w:rsidR="00C96F7C">
        <w:rPr>
          <w:rFonts w:ascii="Tw Cen MT" w:eastAsia="Twentieth Century" w:hAnsi="Tw Cen MT" w:cs="Twentieth Century"/>
          <w:bCs/>
          <w:sz w:val="24"/>
          <w:szCs w:val="24"/>
        </w:rPr>
        <w:t xml:space="preserve"> data pada </w:t>
      </w:r>
      <w:proofErr w:type="spellStart"/>
      <w:r w:rsidR="00C96F7C">
        <w:rPr>
          <w:rFonts w:ascii="Tw Cen MT" w:eastAsia="Twentieth Century" w:hAnsi="Tw Cen MT" w:cs="Twentieth Century"/>
          <w:bCs/>
          <w:sz w:val="24"/>
          <w:szCs w:val="24"/>
        </w:rPr>
        <w:t>kedua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berdistribusi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tidak</w:t>
      </w:r>
      <w:proofErr w:type="spellEnd"/>
      <w:r w:rsidR="00C96F7C">
        <w:rPr>
          <w:rFonts w:ascii="Tw Cen MT" w:eastAsia="Twentieth Century" w:hAnsi="Tw Cen MT" w:cs="Twentieth Century"/>
          <w:bCs/>
          <w:sz w:val="24"/>
          <w:szCs w:val="24"/>
        </w:rPr>
        <w:t xml:space="preserve"> normal. </w:t>
      </w:r>
    </w:p>
    <w:p w14:paraId="4AA1B96E" w14:textId="77777777" w:rsidR="007E047F" w:rsidRPr="007E047F" w:rsidRDefault="007E047F" w:rsidP="007E047F">
      <w:pPr>
        <w:spacing w:after="0" w:line="240" w:lineRule="auto"/>
        <w:jc w:val="both"/>
        <w:rPr>
          <w:rFonts w:ascii="Tw Cen MT" w:eastAsia="Twentieth Century" w:hAnsi="Tw Cen MT" w:cs="Twentieth Century"/>
          <w:bCs/>
          <w:sz w:val="24"/>
          <w:szCs w:val="24"/>
        </w:rPr>
      </w:pPr>
    </w:p>
    <w:p w14:paraId="73FB8D1E"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4CEE927" w14:textId="4C070FD2" w:rsidR="00E333C7" w:rsidRDefault="00E333C7" w:rsidP="00E333C7">
      <w:pPr>
        <w:pStyle w:val="DaftarParagraf"/>
        <w:numPr>
          <w:ilvl w:val="0"/>
          <w:numId w:val="5"/>
        </w:numPr>
        <w:tabs>
          <w:tab w:val="left" w:pos="426"/>
        </w:tabs>
        <w:spacing w:after="0"/>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Hasil </w:t>
      </w:r>
      <w:proofErr w:type="spellStart"/>
      <w:r w:rsidRPr="00E333C7">
        <w:rPr>
          <w:rFonts w:ascii="Tw Cen MT" w:eastAsia="Twentieth Century" w:hAnsi="Tw Cen MT" w:cs="Twentieth Century"/>
          <w:bCs/>
          <w:sz w:val="24"/>
          <w:szCs w:val="24"/>
        </w:rPr>
        <w:t>penelitian</w:t>
      </w:r>
      <w:proofErr w:type="spellEnd"/>
      <w:r w:rsidRPr="00E333C7">
        <w:rPr>
          <w:rFonts w:ascii="Tw Cen MT" w:eastAsia="Twentieth Century" w:hAnsi="Tw Cen MT" w:cs="Twentieth Century"/>
          <w:bCs/>
          <w:sz w:val="24"/>
          <w:szCs w:val="24"/>
        </w:rPr>
        <w:t xml:space="preserve"> </w:t>
      </w:r>
    </w:p>
    <w:p w14:paraId="5FC13259" w14:textId="5FA529C9" w:rsidR="00E333C7" w:rsidRPr="00E333C7" w:rsidRDefault="00E333C7"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Tabel 1. </w:t>
      </w:r>
      <w:proofErr w:type="spellStart"/>
      <w:r w:rsidRPr="00E333C7">
        <w:rPr>
          <w:rFonts w:ascii="Tw Cen MT" w:eastAsia="Twentieth Century" w:hAnsi="Tw Cen MT" w:cs="Twentieth Century"/>
          <w:bCs/>
          <w:sz w:val="24"/>
          <w:szCs w:val="24"/>
        </w:rPr>
        <w:t>Sebaran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kasus</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kontrol</w:t>
      </w:r>
      <w:proofErr w:type="spellEnd"/>
      <w:r w:rsidRPr="00E333C7">
        <w:rPr>
          <w:rFonts w:ascii="Tw Cen MT" w:eastAsia="Twentieth Century" w:hAnsi="Tw Cen MT" w:cs="Twentieth Century"/>
          <w:bCs/>
          <w:sz w:val="24"/>
          <w:szCs w:val="24"/>
        </w:rPr>
        <w:t xml:space="preserve"> dan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p>
    <w:tbl>
      <w:tblPr>
        <w:tblpPr w:leftFromText="180" w:rightFromText="180" w:vertAnchor="text" w:horzAnchor="margin" w:tblpY="101"/>
        <w:tblW w:w="397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992"/>
        <w:gridCol w:w="567"/>
        <w:gridCol w:w="709"/>
        <w:gridCol w:w="708"/>
      </w:tblGrid>
      <w:tr w:rsidR="00E333C7" w:rsidRPr="00E333C7" w14:paraId="3BCB5334" w14:textId="77777777" w:rsidTr="00E333C7">
        <w:trPr>
          <w:cantSplit/>
        </w:trPr>
        <w:tc>
          <w:tcPr>
            <w:tcW w:w="3974" w:type="dxa"/>
            <w:gridSpan w:val="5"/>
            <w:shd w:val="clear" w:color="auto" w:fill="FFFFFF"/>
            <w:vAlign w:val="center"/>
          </w:tcPr>
          <w:p w14:paraId="01768B51" w14:textId="77777777" w:rsidR="00E333C7" w:rsidRPr="00E333C7" w:rsidRDefault="00E333C7" w:rsidP="00E333C7">
            <w:pPr>
              <w:autoSpaceDE w:val="0"/>
              <w:autoSpaceDN w:val="0"/>
              <w:adjustRightInd w:val="0"/>
              <w:spacing w:after="0" w:line="320" w:lineRule="atLeast"/>
              <w:ind w:left="60" w:right="60"/>
              <w:jc w:val="center"/>
              <w:rPr>
                <w:rFonts w:ascii="Tw Cen MT" w:hAnsi="Tw Cen MT" w:cs="Times New Roman"/>
                <w:color w:val="000000"/>
                <w:sz w:val="20"/>
                <w:szCs w:val="20"/>
                <w:lang w:val="en-ID"/>
              </w:rPr>
            </w:pPr>
            <w:commentRangeStart w:id="2"/>
            <w:commentRangeStart w:id="3"/>
            <w:r w:rsidRPr="00E333C7">
              <w:rPr>
                <w:rFonts w:ascii="Tw Cen MT" w:hAnsi="Tw Cen MT" w:cs="Times New Roman"/>
                <w:color w:val="000000"/>
                <w:sz w:val="20"/>
                <w:szCs w:val="20"/>
                <w:lang w:val="en-ID"/>
              </w:rPr>
              <w:t>Test of Homogeneity of Variances</w:t>
            </w:r>
            <w:commentRangeEnd w:id="2"/>
            <w:r w:rsidR="007E047F">
              <w:rPr>
                <w:rStyle w:val="ReferensiKomentar"/>
              </w:rPr>
              <w:commentReference w:id="2"/>
            </w:r>
            <w:commentRangeEnd w:id="3"/>
            <w:r w:rsidR="007E047F">
              <w:rPr>
                <w:rStyle w:val="ReferensiKomentar"/>
              </w:rPr>
              <w:commentReference w:id="3"/>
            </w:r>
          </w:p>
        </w:tc>
      </w:tr>
      <w:tr w:rsidR="00E333C7" w:rsidRPr="00E333C7" w14:paraId="5323CA22" w14:textId="77777777" w:rsidTr="00E333C7">
        <w:trPr>
          <w:cantSplit/>
        </w:trPr>
        <w:tc>
          <w:tcPr>
            <w:tcW w:w="998" w:type="dxa"/>
            <w:shd w:val="clear" w:color="auto" w:fill="FFFFFF"/>
            <w:vAlign w:val="bottom"/>
          </w:tcPr>
          <w:p w14:paraId="0243D540" w14:textId="77777777" w:rsidR="00E333C7" w:rsidRPr="00E333C7" w:rsidRDefault="00E333C7" w:rsidP="00E333C7">
            <w:pPr>
              <w:autoSpaceDE w:val="0"/>
              <w:autoSpaceDN w:val="0"/>
              <w:adjustRightInd w:val="0"/>
              <w:spacing w:after="0" w:line="240" w:lineRule="auto"/>
              <w:rPr>
                <w:rFonts w:ascii="Tw Cen MT" w:hAnsi="Tw Cen MT" w:cs="Times New Roman"/>
                <w:sz w:val="20"/>
                <w:szCs w:val="20"/>
                <w:lang w:val="en-ID"/>
              </w:rPr>
            </w:pPr>
          </w:p>
        </w:tc>
        <w:tc>
          <w:tcPr>
            <w:tcW w:w="992" w:type="dxa"/>
            <w:shd w:val="clear" w:color="auto" w:fill="FFFFFF"/>
            <w:vAlign w:val="bottom"/>
          </w:tcPr>
          <w:p w14:paraId="7F58B1A4" w14:textId="77777777" w:rsidR="00E333C7" w:rsidRPr="00E333C7" w:rsidRDefault="00E333C7" w:rsidP="00E333C7">
            <w:pPr>
              <w:autoSpaceDE w:val="0"/>
              <w:autoSpaceDN w:val="0"/>
              <w:adjustRightInd w:val="0"/>
              <w:spacing w:after="0" w:line="320" w:lineRule="atLeast"/>
              <w:ind w:left="60" w:right="60"/>
              <w:jc w:val="center"/>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Levene Statistic</w:t>
            </w:r>
          </w:p>
        </w:tc>
        <w:tc>
          <w:tcPr>
            <w:tcW w:w="567" w:type="dxa"/>
            <w:shd w:val="clear" w:color="auto" w:fill="FFFFFF"/>
            <w:vAlign w:val="bottom"/>
          </w:tcPr>
          <w:p w14:paraId="08A3E608" w14:textId="77777777" w:rsidR="00E333C7" w:rsidRPr="00E333C7" w:rsidRDefault="00E333C7" w:rsidP="00E333C7">
            <w:pPr>
              <w:autoSpaceDE w:val="0"/>
              <w:autoSpaceDN w:val="0"/>
              <w:adjustRightInd w:val="0"/>
              <w:spacing w:after="0" w:line="320" w:lineRule="atLeast"/>
              <w:ind w:left="60" w:right="60"/>
              <w:jc w:val="center"/>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df1</w:t>
            </w:r>
          </w:p>
        </w:tc>
        <w:tc>
          <w:tcPr>
            <w:tcW w:w="709" w:type="dxa"/>
            <w:shd w:val="clear" w:color="auto" w:fill="FFFFFF"/>
            <w:vAlign w:val="bottom"/>
          </w:tcPr>
          <w:p w14:paraId="12BC7848" w14:textId="77777777" w:rsidR="00E333C7" w:rsidRPr="00E333C7" w:rsidRDefault="00E333C7" w:rsidP="00E333C7">
            <w:pPr>
              <w:autoSpaceDE w:val="0"/>
              <w:autoSpaceDN w:val="0"/>
              <w:adjustRightInd w:val="0"/>
              <w:spacing w:after="0" w:line="320" w:lineRule="atLeast"/>
              <w:ind w:left="60" w:right="60"/>
              <w:jc w:val="center"/>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df2</w:t>
            </w:r>
          </w:p>
        </w:tc>
        <w:tc>
          <w:tcPr>
            <w:tcW w:w="708" w:type="dxa"/>
            <w:shd w:val="clear" w:color="auto" w:fill="FFFFFF"/>
            <w:vAlign w:val="bottom"/>
          </w:tcPr>
          <w:p w14:paraId="635F1E8C" w14:textId="77777777" w:rsidR="00E333C7" w:rsidRPr="00E333C7" w:rsidRDefault="00E333C7" w:rsidP="00E333C7">
            <w:pPr>
              <w:autoSpaceDE w:val="0"/>
              <w:autoSpaceDN w:val="0"/>
              <w:adjustRightInd w:val="0"/>
              <w:spacing w:after="0" w:line="320" w:lineRule="atLeast"/>
              <w:ind w:left="60" w:right="60"/>
              <w:jc w:val="center"/>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Sig.</w:t>
            </w:r>
          </w:p>
        </w:tc>
      </w:tr>
      <w:tr w:rsidR="00E333C7" w:rsidRPr="00E333C7" w14:paraId="7FB3538A" w14:textId="77777777" w:rsidTr="00E333C7">
        <w:trPr>
          <w:cantSplit/>
        </w:trPr>
        <w:tc>
          <w:tcPr>
            <w:tcW w:w="998" w:type="dxa"/>
            <w:shd w:val="clear" w:color="auto" w:fill="FFFFFF"/>
          </w:tcPr>
          <w:p w14:paraId="1F0E5C0F"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proofErr w:type="spellStart"/>
            <w:r w:rsidRPr="00E333C7">
              <w:rPr>
                <w:rFonts w:ascii="Tw Cen MT" w:hAnsi="Tw Cen MT" w:cs="Times New Roman"/>
                <w:color w:val="000000"/>
                <w:sz w:val="20"/>
                <w:szCs w:val="20"/>
                <w:lang w:val="en-ID"/>
              </w:rPr>
              <w:t>umur</w:t>
            </w:r>
            <w:proofErr w:type="spellEnd"/>
          </w:p>
        </w:tc>
        <w:tc>
          <w:tcPr>
            <w:tcW w:w="992" w:type="dxa"/>
            <w:shd w:val="clear" w:color="auto" w:fill="FFFFFF"/>
            <w:vAlign w:val="center"/>
          </w:tcPr>
          <w:p w14:paraId="04EE7FE6"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3.630</w:t>
            </w:r>
          </w:p>
        </w:tc>
        <w:tc>
          <w:tcPr>
            <w:tcW w:w="567" w:type="dxa"/>
            <w:shd w:val="clear" w:color="auto" w:fill="FFFFFF"/>
            <w:vAlign w:val="center"/>
          </w:tcPr>
          <w:p w14:paraId="4CAD42DE"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2DEB0DD9"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2D7F1773"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.062</w:t>
            </w:r>
          </w:p>
        </w:tc>
      </w:tr>
      <w:tr w:rsidR="00E333C7" w:rsidRPr="00E333C7" w14:paraId="5BBDDA7C" w14:textId="77777777" w:rsidTr="00E333C7">
        <w:trPr>
          <w:cantSplit/>
        </w:trPr>
        <w:tc>
          <w:tcPr>
            <w:tcW w:w="998" w:type="dxa"/>
            <w:shd w:val="clear" w:color="auto" w:fill="FFFFFF"/>
          </w:tcPr>
          <w:p w14:paraId="1D98E140"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proofErr w:type="spellStart"/>
            <w:r w:rsidRPr="00E333C7">
              <w:rPr>
                <w:rFonts w:ascii="Tw Cen MT" w:hAnsi="Tw Cen MT" w:cs="Times New Roman"/>
                <w:color w:val="000000"/>
                <w:sz w:val="20"/>
                <w:szCs w:val="20"/>
                <w:lang w:val="en-ID"/>
              </w:rPr>
              <w:t>didik</w:t>
            </w:r>
            <w:proofErr w:type="spellEnd"/>
          </w:p>
        </w:tc>
        <w:tc>
          <w:tcPr>
            <w:tcW w:w="992" w:type="dxa"/>
            <w:shd w:val="clear" w:color="auto" w:fill="FFFFFF"/>
            <w:vAlign w:val="center"/>
          </w:tcPr>
          <w:p w14:paraId="0D062181"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2.271</w:t>
            </w:r>
          </w:p>
        </w:tc>
        <w:tc>
          <w:tcPr>
            <w:tcW w:w="567" w:type="dxa"/>
            <w:shd w:val="clear" w:color="auto" w:fill="FFFFFF"/>
            <w:vAlign w:val="center"/>
          </w:tcPr>
          <w:p w14:paraId="3F400FC1"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17A93A4E"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522E77FC"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.137</w:t>
            </w:r>
          </w:p>
        </w:tc>
      </w:tr>
      <w:tr w:rsidR="00E333C7" w:rsidRPr="00E333C7" w14:paraId="26E19E3D" w14:textId="77777777" w:rsidTr="00E333C7">
        <w:trPr>
          <w:cantSplit/>
        </w:trPr>
        <w:tc>
          <w:tcPr>
            <w:tcW w:w="998" w:type="dxa"/>
            <w:shd w:val="clear" w:color="auto" w:fill="FFFFFF"/>
          </w:tcPr>
          <w:p w14:paraId="1D739C05"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proofErr w:type="spellStart"/>
            <w:r w:rsidRPr="00E333C7">
              <w:rPr>
                <w:rFonts w:ascii="Tw Cen MT" w:hAnsi="Tw Cen MT" w:cs="Times New Roman"/>
                <w:color w:val="000000"/>
                <w:sz w:val="20"/>
                <w:szCs w:val="20"/>
                <w:lang w:val="en-ID"/>
              </w:rPr>
              <w:t>kerja</w:t>
            </w:r>
            <w:proofErr w:type="spellEnd"/>
          </w:p>
        </w:tc>
        <w:tc>
          <w:tcPr>
            <w:tcW w:w="992" w:type="dxa"/>
            <w:shd w:val="clear" w:color="auto" w:fill="FFFFFF"/>
            <w:vAlign w:val="center"/>
          </w:tcPr>
          <w:p w14:paraId="77351E8A"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.345</w:t>
            </w:r>
          </w:p>
        </w:tc>
        <w:tc>
          <w:tcPr>
            <w:tcW w:w="567" w:type="dxa"/>
            <w:shd w:val="clear" w:color="auto" w:fill="FFFFFF"/>
            <w:vAlign w:val="center"/>
          </w:tcPr>
          <w:p w14:paraId="4BE19336"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27D95ADB"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587F4E09"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.559</w:t>
            </w:r>
          </w:p>
        </w:tc>
      </w:tr>
      <w:tr w:rsidR="00E333C7" w:rsidRPr="00E333C7" w14:paraId="57A7D789" w14:textId="77777777" w:rsidTr="00E333C7">
        <w:trPr>
          <w:cantSplit/>
        </w:trPr>
        <w:tc>
          <w:tcPr>
            <w:tcW w:w="998" w:type="dxa"/>
            <w:shd w:val="clear" w:color="auto" w:fill="FFFFFF"/>
          </w:tcPr>
          <w:p w14:paraId="38806460"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UK</w:t>
            </w:r>
          </w:p>
        </w:tc>
        <w:tc>
          <w:tcPr>
            <w:tcW w:w="992" w:type="dxa"/>
            <w:shd w:val="clear" w:color="auto" w:fill="FFFFFF"/>
            <w:vAlign w:val="center"/>
          </w:tcPr>
          <w:p w14:paraId="30978507"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2.966</w:t>
            </w:r>
          </w:p>
        </w:tc>
        <w:tc>
          <w:tcPr>
            <w:tcW w:w="567" w:type="dxa"/>
            <w:shd w:val="clear" w:color="auto" w:fill="FFFFFF"/>
            <w:vAlign w:val="center"/>
          </w:tcPr>
          <w:p w14:paraId="3FD72254"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3B4CC09D"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0A86278C"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.090</w:t>
            </w:r>
          </w:p>
        </w:tc>
      </w:tr>
      <w:tr w:rsidR="00E333C7" w:rsidRPr="00E333C7" w14:paraId="03891E17" w14:textId="77777777" w:rsidTr="00E333C7">
        <w:trPr>
          <w:cantSplit/>
        </w:trPr>
        <w:tc>
          <w:tcPr>
            <w:tcW w:w="998" w:type="dxa"/>
            <w:shd w:val="clear" w:color="auto" w:fill="FFFFFF"/>
          </w:tcPr>
          <w:p w14:paraId="5D048D04"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gravida</w:t>
            </w:r>
          </w:p>
        </w:tc>
        <w:tc>
          <w:tcPr>
            <w:tcW w:w="992" w:type="dxa"/>
            <w:shd w:val="clear" w:color="auto" w:fill="FFFFFF"/>
            <w:vAlign w:val="center"/>
          </w:tcPr>
          <w:p w14:paraId="12A2C206"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.753</w:t>
            </w:r>
          </w:p>
        </w:tc>
        <w:tc>
          <w:tcPr>
            <w:tcW w:w="567" w:type="dxa"/>
            <w:shd w:val="clear" w:color="auto" w:fill="FFFFFF"/>
            <w:vAlign w:val="center"/>
          </w:tcPr>
          <w:p w14:paraId="08FA256B"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7F7A270D"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0C390BDF"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.389</w:t>
            </w:r>
          </w:p>
        </w:tc>
      </w:tr>
      <w:tr w:rsidR="00E333C7" w:rsidRPr="00E333C7" w14:paraId="32C37AB0" w14:textId="77777777" w:rsidTr="00E333C7">
        <w:trPr>
          <w:cantSplit/>
        </w:trPr>
        <w:tc>
          <w:tcPr>
            <w:tcW w:w="998" w:type="dxa"/>
            <w:shd w:val="clear" w:color="auto" w:fill="FFFFFF"/>
          </w:tcPr>
          <w:p w14:paraId="3E54150C" w14:textId="77777777" w:rsidR="00E333C7" w:rsidRPr="00E333C7" w:rsidRDefault="00E333C7" w:rsidP="00E333C7">
            <w:pPr>
              <w:autoSpaceDE w:val="0"/>
              <w:autoSpaceDN w:val="0"/>
              <w:adjustRightInd w:val="0"/>
              <w:spacing w:after="0" w:line="320" w:lineRule="atLeast"/>
              <w:ind w:left="60" w:right="60"/>
              <w:rPr>
                <w:rFonts w:ascii="Tw Cen MT" w:hAnsi="Tw Cen MT" w:cs="Times New Roman"/>
                <w:color w:val="000000"/>
                <w:sz w:val="20"/>
                <w:szCs w:val="20"/>
                <w:lang w:val="en-ID"/>
              </w:rPr>
            </w:pPr>
            <w:proofErr w:type="spellStart"/>
            <w:r w:rsidRPr="00E333C7">
              <w:rPr>
                <w:rFonts w:ascii="Tw Cen MT" w:hAnsi="Tw Cen MT" w:cs="Times New Roman"/>
                <w:color w:val="000000"/>
                <w:sz w:val="20"/>
                <w:szCs w:val="20"/>
                <w:lang w:val="en-ID"/>
              </w:rPr>
              <w:t>tahuseb</w:t>
            </w:r>
            <w:proofErr w:type="spellEnd"/>
          </w:p>
        </w:tc>
        <w:tc>
          <w:tcPr>
            <w:tcW w:w="992" w:type="dxa"/>
            <w:shd w:val="clear" w:color="auto" w:fill="FFFFFF"/>
            <w:vAlign w:val="center"/>
          </w:tcPr>
          <w:p w14:paraId="3AB84C25"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1.143</w:t>
            </w:r>
          </w:p>
        </w:tc>
        <w:tc>
          <w:tcPr>
            <w:tcW w:w="567" w:type="dxa"/>
            <w:shd w:val="clear" w:color="auto" w:fill="FFFFFF"/>
            <w:vAlign w:val="center"/>
          </w:tcPr>
          <w:p w14:paraId="4B4DF8AA"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1</w:t>
            </w:r>
          </w:p>
        </w:tc>
        <w:tc>
          <w:tcPr>
            <w:tcW w:w="709" w:type="dxa"/>
            <w:shd w:val="clear" w:color="auto" w:fill="FFFFFF"/>
            <w:vAlign w:val="center"/>
          </w:tcPr>
          <w:p w14:paraId="094967B4"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58</w:t>
            </w:r>
          </w:p>
        </w:tc>
        <w:tc>
          <w:tcPr>
            <w:tcW w:w="708" w:type="dxa"/>
            <w:shd w:val="clear" w:color="auto" w:fill="FFFFFF"/>
            <w:vAlign w:val="center"/>
          </w:tcPr>
          <w:p w14:paraId="601C24FA" w14:textId="77777777" w:rsidR="00E333C7" w:rsidRPr="00E333C7" w:rsidRDefault="00E333C7" w:rsidP="00E333C7">
            <w:pPr>
              <w:autoSpaceDE w:val="0"/>
              <w:autoSpaceDN w:val="0"/>
              <w:adjustRightInd w:val="0"/>
              <w:spacing w:after="0" w:line="320" w:lineRule="atLeast"/>
              <w:ind w:left="60" w:right="60"/>
              <w:jc w:val="right"/>
              <w:rPr>
                <w:rFonts w:ascii="Tw Cen MT" w:hAnsi="Tw Cen MT" w:cs="Times New Roman"/>
                <w:color w:val="000000"/>
                <w:sz w:val="20"/>
                <w:szCs w:val="20"/>
                <w:lang w:val="en-ID"/>
              </w:rPr>
            </w:pPr>
            <w:r w:rsidRPr="00E333C7">
              <w:rPr>
                <w:rFonts w:ascii="Tw Cen MT" w:hAnsi="Tw Cen MT" w:cs="Times New Roman"/>
                <w:color w:val="000000"/>
                <w:sz w:val="20"/>
                <w:szCs w:val="20"/>
                <w:lang w:val="en-ID"/>
              </w:rPr>
              <w:t>.289</w:t>
            </w:r>
          </w:p>
        </w:tc>
      </w:tr>
    </w:tbl>
    <w:p w14:paraId="621E9D22" w14:textId="77777777" w:rsidR="00E333C7" w:rsidRPr="007E047F" w:rsidRDefault="00E333C7" w:rsidP="007E047F">
      <w:pPr>
        <w:tabs>
          <w:tab w:val="left" w:pos="426"/>
        </w:tabs>
        <w:spacing w:after="0" w:line="240" w:lineRule="auto"/>
        <w:jc w:val="both"/>
        <w:rPr>
          <w:rFonts w:ascii="Tw Cen MT" w:eastAsia="Twentieth Century" w:hAnsi="Tw Cen MT" w:cs="Twentieth Century"/>
          <w:b/>
          <w:sz w:val="24"/>
          <w:szCs w:val="24"/>
        </w:rPr>
      </w:pPr>
    </w:p>
    <w:p w14:paraId="0827C33F" w14:textId="77777777" w:rsidR="007E047F" w:rsidRDefault="00E333C7"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p>
    <w:p w14:paraId="7A4E14B9"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19C355AC"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0D7C1049"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16082EB9"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20CD6A6C"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3E6018E8"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61BD20C2"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71CD01D6"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19D53930"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1FA698D9"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70993B58"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6178F0A1" w14:textId="77777777" w:rsidR="007E047F" w:rsidRDefault="007E047F"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7B24403A" w14:textId="41868A6B" w:rsidR="00E333C7" w:rsidRDefault="00E333C7"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proofErr w:type="spellStart"/>
      <w:r w:rsidRPr="00E333C7">
        <w:rPr>
          <w:rFonts w:ascii="Tw Cen MT" w:eastAsia="Twentieth Century" w:hAnsi="Tw Cen MT" w:cs="Twentieth Century"/>
          <w:bCs/>
          <w:sz w:val="24"/>
          <w:szCs w:val="24"/>
        </w:rPr>
        <w:lastRenderedPageBreak/>
        <w:t>Berdasarkan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tabel</w:t>
      </w:r>
      <w:proofErr w:type="spellEnd"/>
      <w:r w:rsidRPr="00E333C7">
        <w:rPr>
          <w:rFonts w:ascii="Tw Cen MT" w:eastAsia="Twentieth Century" w:hAnsi="Tw Cen MT" w:cs="Twentieth Century"/>
          <w:bCs/>
          <w:sz w:val="24"/>
          <w:szCs w:val="24"/>
        </w:rPr>
        <w:t xml:space="preserve"> 1 </w:t>
      </w:r>
      <w:proofErr w:type="spellStart"/>
      <w:r w:rsidRPr="00E333C7">
        <w:rPr>
          <w:rFonts w:ascii="Tw Cen MT" w:eastAsia="Twentieth Century" w:hAnsi="Tw Cen MT" w:cs="Twentieth Century"/>
          <w:bCs/>
          <w:sz w:val="24"/>
          <w:szCs w:val="24"/>
        </w:rPr>
        <w:t>diketahui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nilai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signifikansi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levene’s</w:t>
      </w:r>
      <w:proofErr w:type="spellEnd"/>
      <w:r w:rsidRPr="00E333C7">
        <w:rPr>
          <w:rFonts w:ascii="Tw Cen MT" w:eastAsia="Twentieth Century" w:hAnsi="Tw Cen MT" w:cs="Twentieth Century"/>
          <w:bCs/>
          <w:sz w:val="24"/>
          <w:szCs w:val="24"/>
        </w:rPr>
        <w:t xml:space="preserve"> test for equality of variances </w:t>
      </w:r>
      <w:proofErr w:type="spellStart"/>
      <w:r w:rsidRPr="00E333C7">
        <w:rPr>
          <w:rFonts w:ascii="Tw Cen MT" w:eastAsia="Twentieth Century" w:hAnsi="Tw Cen MT" w:cs="Twentieth Century"/>
          <w:bCs/>
          <w:sz w:val="24"/>
          <w:szCs w:val="24"/>
        </w:rPr>
        <w:t>untuk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variabel</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umur</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ibu</w:t>
      </w:r>
      <w:proofErr w:type="spellEnd"/>
      <w:r w:rsidRPr="00E333C7">
        <w:rPr>
          <w:rFonts w:ascii="Tw Cen MT" w:eastAsia="Twentieth Century" w:hAnsi="Tw Cen MT" w:cs="Twentieth Century"/>
          <w:bCs/>
          <w:sz w:val="24"/>
          <w:szCs w:val="24"/>
        </w:rPr>
        <w:t xml:space="preserve">, Pendidikan, status </w:t>
      </w:r>
      <w:proofErr w:type="spellStart"/>
      <w:r w:rsidRPr="00E333C7">
        <w:rPr>
          <w:rFonts w:ascii="Tw Cen MT" w:eastAsia="Twentieth Century" w:hAnsi="Tw Cen MT" w:cs="Twentieth Century"/>
          <w:bCs/>
          <w:sz w:val="24"/>
          <w:szCs w:val="24"/>
        </w:rPr>
        <w:t>pekerjaan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usia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kehamilan</w:t>
      </w:r>
      <w:proofErr w:type="spellEnd"/>
      <w:r w:rsidRPr="00E333C7">
        <w:rPr>
          <w:rFonts w:ascii="Tw Cen MT" w:eastAsia="Twentieth Century" w:hAnsi="Tw Cen MT" w:cs="Twentieth Century"/>
          <w:bCs/>
          <w:sz w:val="24"/>
          <w:szCs w:val="24"/>
        </w:rPr>
        <w:t xml:space="preserve">, gravida dan </w:t>
      </w:r>
      <w:proofErr w:type="spellStart"/>
      <w:r w:rsidRPr="00E333C7">
        <w:rPr>
          <w:rFonts w:ascii="Tw Cen MT" w:eastAsia="Twentieth Century" w:hAnsi="Tw Cen MT" w:cs="Twentieth Century"/>
          <w:bCs/>
          <w:sz w:val="24"/>
          <w:szCs w:val="24"/>
        </w:rPr>
        <w:t>pengetahuan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sebelum</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dilakukan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penyuluhan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lebih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dari</w:t>
      </w:r>
      <w:proofErr w:type="spellEnd"/>
      <w:r w:rsidRPr="00E333C7">
        <w:rPr>
          <w:rFonts w:ascii="Tw Cen MT" w:eastAsia="Twentieth Century" w:hAnsi="Tw Cen MT" w:cs="Twentieth Century"/>
          <w:bCs/>
          <w:sz w:val="24"/>
          <w:szCs w:val="24"/>
        </w:rPr>
        <w:t xml:space="preserve"> 0,05 </w:t>
      </w:r>
      <w:proofErr w:type="spellStart"/>
      <w:r w:rsidRPr="00E333C7">
        <w:rPr>
          <w:rFonts w:ascii="Tw Cen MT" w:eastAsia="Twentieth Century" w:hAnsi="Tw Cen MT" w:cs="Twentieth Century"/>
          <w:bCs/>
          <w:sz w:val="24"/>
          <w:szCs w:val="24"/>
        </w:rPr>
        <w:t>maka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dapat</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disimpulkan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bahwa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varians</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responden</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control </w:t>
      </w:r>
      <w:proofErr w:type="spellStart"/>
      <w:r w:rsidRPr="00E333C7">
        <w:rPr>
          <w:rFonts w:ascii="Tw Cen MT" w:eastAsia="Twentieth Century" w:hAnsi="Tw Cen MT" w:cs="Twentieth Century"/>
          <w:bCs/>
          <w:sz w:val="24"/>
          <w:szCs w:val="24"/>
        </w:rPr>
        <w:t>maupun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adalah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homogen</w:t>
      </w:r>
      <w:proofErr w:type="spellEnd"/>
      <w:r w:rsidRPr="00E333C7">
        <w:rPr>
          <w:rFonts w:ascii="Tw Cen MT" w:eastAsia="Twentieth Century" w:hAnsi="Tw Cen MT" w:cs="Twentieth Century"/>
          <w:bCs/>
          <w:sz w:val="24"/>
          <w:szCs w:val="24"/>
        </w:rPr>
        <w:t>.</w:t>
      </w:r>
    </w:p>
    <w:p w14:paraId="0948B4BC" w14:textId="77777777" w:rsidR="009B67E4" w:rsidRPr="00C605EF" w:rsidRDefault="009B67E4" w:rsidP="00C605EF">
      <w:pPr>
        <w:tabs>
          <w:tab w:val="left" w:pos="426"/>
        </w:tabs>
        <w:spacing w:after="0" w:line="240" w:lineRule="auto"/>
        <w:jc w:val="both"/>
        <w:rPr>
          <w:rFonts w:ascii="Tw Cen MT" w:eastAsia="Twentieth Century" w:hAnsi="Tw Cen MT" w:cs="Twentieth Century"/>
          <w:bCs/>
          <w:sz w:val="24"/>
          <w:szCs w:val="24"/>
        </w:rPr>
      </w:pPr>
    </w:p>
    <w:p w14:paraId="01BCC6BF" w14:textId="1406EBEF" w:rsidR="00E333C7" w:rsidRDefault="009B67E4" w:rsidP="00E333C7">
      <w:pPr>
        <w:pStyle w:val="DaftarParagraf"/>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2.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ceramah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tanya</w:t>
      </w:r>
      <w:proofErr w:type="spellEnd"/>
      <w:r w:rsidRPr="009B67E4">
        <w:rPr>
          <w:rFonts w:ascii="Tw Cen MT" w:eastAsia="Twentieth Century" w:hAnsi="Tw Cen MT" w:cs="Twentieth Century"/>
          <w:bCs/>
          <w:sz w:val="24"/>
          <w:szCs w:val="24"/>
        </w:rPr>
        <w:t xml:space="preserve"> </w:t>
      </w:r>
      <w:proofErr w:type="spellStart"/>
      <w:proofErr w:type="gramStart"/>
      <w:r w:rsidRPr="009B67E4">
        <w:rPr>
          <w:rFonts w:ascii="Tw Cen MT" w:eastAsia="Twentieth Century" w:hAnsi="Tw Cen MT" w:cs="Twentieth Century"/>
          <w:bCs/>
          <w:sz w:val="24"/>
          <w:szCs w:val="24"/>
        </w:rPr>
        <w:t>jawab</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proofErr w:type="gram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r w:rsidR="00C605EF">
        <w:rPr>
          <w:rFonts w:ascii="Tw Cen MT" w:eastAsia="Twentieth Century" w:hAnsi="Tw Cen MT" w:cs="Twentieth Century"/>
          <w:bCs/>
          <w:sz w:val="24"/>
          <w:szCs w:val="24"/>
        </w:rPr>
        <w:t xml:space="preserve">. </w:t>
      </w:r>
    </w:p>
    <w:tbl>
      <w:tblPr>
        <w:tblpPr w:leftFromText="180" w:rightFromText="180" w:vertAnchor="page" w:horzAnchor="margin" w:tblpY="12881"/>
        <w:tblW w:w="4253"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992"/>
        <w:gridCol w:w="709"/>
        <w:gridCol w:w="709"/>
      </w:tblGrid>
      <w:tr w:rsidR="00C605EF" w:rsidRPr="00457D1D" w14:paraId="795D25BB" w14:textId="77777777" w:rsidTr="00C605EF">
        <w:trPr>
          <w:trHeight w:val="530"/>
        </w:trPr>
        <w:tc>
          <w:tcPr>
            <w:tcW w:w="992" w:type="dxa"/>
            <w:tcBorders>
              <w:right w:val="nil"/>
            </w:tcBorders>
          </w:tcPr>
          <w:p w14:paraId="23F1887C" w14:textId="77777777" w:rsidR="00C605EF" w:rsidRPr="00457D1D" w:rsidRDefault="00C605EF" w:rsidP="00C605EF">
            <w:pPr>
              <w:spacing w:line="240" w:lineRule="auto"/>
              <w:rPr>
                <w:rFonts w:ascii="Tw Cen MT" w:hAnsi="Tw Cen MT" w:cs="Times New Roman"/>
                <w:sz w:val="20"/>
                <w:szCs w:val="20"/>
              </w:rPr>
            </w:pPr>
            <w:r w:rsidRPr="00457D1D">
              <w:rPr>
                <w:rFonts w:ascii="Tw Cen MT" w:hAnsi="Tw Cen MT" w:cs="Times New Roman"/>
                <w:sz w:val="20"/>
                <w:szCs w:val="20"/>
              </w:rPr>
              <w:t>Tahu</w:t>
            </w:r>
          </w:p>
        </w:tc>
        <w:tc>
          <w:tcPr>
            <w:tcW w:w="851" w:type="dxa"/>
            <w:tcBorders>
              <w:left w:val="nil"/>
              <w:bottom w:val="single" w:sz="4" w:space="0" w:color="000000"/>
              <w:right w:val="nil"/>
            </w:tcBorders>
          </w:tcPr>
          <w:p w14:paraId="040DB82B"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Mean</w:t>
            </w:r>
          </w:p>
        </w:tc>
        <w:tc>
          <w:tcPr>
            <w:tcW w:w="992" w:type="dxa"/>
            <w:tcBorders>
              <w:left w:val="nil"/>
              <w:bottom w:val="single" w:sz="4" w:space="0" w:color="000000"/>
              <w:right w:val="nil"/>
            </w:tcBorders>
          </w:tcPr>
          <w:p w14:paraId="1D5F092A"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Beda Mean</w:t>
            </w:r>
          </w:p>
        </w:tc>
        <w:tc>
          <w:tcPr>
            <w:tcW w:w="709" w:type="dxa"/>
            <w:tcBorders>
              <w:left w:val="nil"/>
              <w:bottom w:val="single" w:sz="4" w:space="0" w:color="000000"/>
              <w:right w:val="nil"/>
            </w:tcBorders>
          </w:tcPr>
          <w:p w14:paraId="61EF44EE"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p</w:t>
            </w:r>
          </w:p>
        </w:tc>
        <w:tc>
          <w:tcPr>
            <w:tcW w:w="709" w:type="dxa"/>
            <w:tcBorders>
              <w:left w:val="nil"/>
              <w:bottom w:val="single" w:sz="4" w:space="0" w:color="000000"/>
              <w:right w:val="nil"/>
            </w:tcBorders>
          </w:tcPr>
          <w:p w14:paraId="333452E7"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r</w:t>
            </w:r>
          </w:p>
        </w:tc>
      </w:tr>
      <w:tr w:rsidR="00C605EF" w:rsidRPr="00457D1D" w14:paraId="3CD55A6D" w14:textId="77777777" w:rsidTr="00C605EF">
        <w:tc>
          <w:tcPr>
            <w:tcW w:w="992" w:type="dxa"/>
            <w:tcBorders>
              <w:right w:val="nil"/>
            </w:tcBorders>
          </w:tcPr>
          <w:p w14:paraId="057D7185" w14:textId="77777777" w:rsidR="00C605EF" w:rsidRPr="00457D1D" w:rsidRDefault="00C605EF" w:rsidP="00C605EF">
            <w:pPr>
              <w:spacing w:line="240" w:lineRule="auto"/>
              <w:jc w:val="both"/>
              <w:rPr>
                <w:rFonts w:ascii="Tw Cen MT" w:hAnsi="Tw Cen MT" w:cs="Times New Roman"/>
                <w:sz w:val="20"/>
                <w:szCs w:val="20"/>
              </w:rPr>
            </w:pPr>
            <w:proofErr w:type="spellStart"/>
            <w:r w:rsidRPr="00457D1D">
              <w:rPr>
                <w:rFonts w:ascii="Tw Cen MT" w:hAnsi="Tw Cen MT" w:cs="Times New Roman"/>
                <w:sz w:val="20"/>
                <w:szCs w:val="20"/>
              </w:rPr>
              <w:t>Sebelum</w:t>
            </w:r>
            <w:proofErr w:type="spellEnd"/>
            <w:r w:rsidRPr="00457D1D">
              <w:rPr>
                <w:rFonts w:ascii="Tw Cen MT" w:hAnsi="Tw Cen MT" w:cs="Times New Roman"/>
                <w:sz w:val="20"/>
                <w:szCs w:val="20"/>
              </w:rPr>
              <w:t xml:space="preserve"> </w:t>
            </w:r>
          </w:p>
        </w:tc>
        <w:tc>
          <w:tcPr>
            <w:tcW w:w="851" w:type="dxa"/>
            <w:tcBorders>
              <w:left w:val="nil"/>
              <w:bottom w:val="single" w:sz="4" w:space="0" w:color="000000"/>
              <w:right w:val="nil"/>
            </w:tcBorders>
          </w:tcPr>
          <w:p w14:paraId="3878B516" w14:textId="77777777" w:rsidR="00C605EF" w:rsidRPr="00457D1D" w:rsidRDefault="00C605EF" w:rsidP="00C605EF">
            <w:pPr>
              <w:spacing w:line="240" w:lineRule="auto"/>
              <w:jc w:val="center"/>
              <w:rPr>
                <w:rFonts w:ascii="Tw Cen MT" w:hAnsi="Tw Cen MT" w:cs="Times New Roman"/>
                <w:sz w:val="20"/>
                <w:szCs w:val="20"/>
              </w:rPr>
            </w:pPr>
            <w:r>
              <w:rPr>
                <w:rFonts w:ascii="Tw Cen MT" w:hAnsi="Tw Cen MT" w:cs="Times New Roman"/>
                <w:sz w:val="20"/>
                <w:szCs w:val="20"/>
              </w:rPr>
              <w:t>5,47</w:t>
            </w:r>
          </w:p>
        </w:tc>
        <w:tc>
          <w:tcPr>
            <w:tcW w:w="992" w:type="dxa"/>
            <w:vMerge w:val="restart"/>
            <w:tcBorders>
              <w:left w:val="nil"/>
              <w:right w:val="nil"/>
            </w:tcBorders>
            <w:vAlign w:val="center"/>
          </w:tcPr>
          <w:p w14:paraId="09C7E88F" w14:textId="77777777" w:rsidR="00C605EF" w:rsidRPr="00457D1D" w:rsidRDefault="00C605EF" w:rsidP="00C605EF">
            <w:pPr>
              <w:spacing w:line="240" w:lineRule="auto"/>
              <w:jc w:val="center"/>
              <w:rPr>
                <w:rFonts w:ascii="Tw Cen MT" w:hAnsi="Tw Cen MT" w:cs="Times New Roman"/>
                <w:sz w:val="20"/>
                <w:szCs w:val="20"/>
              </w:rPr>
            </w:pPr>
            <w:r>
              <w:rPr>
                <w:rFonts w:ascii="Tw Cen MT" w:hAnsi="Tw Cen MT" w:cs="Times New Roman"/>
                <w:sz w:val="20"/>
                <w:szCs w:val="20"/>
              </w:rPr>
              <w:t>3,00</w:t>
            </w:r>
          </w:p>
        </w:tc>
        <w:tc>
          <w:tcPr>
            <w:tcW w:w="709" w:type="dxa"/>
            <w:vMerge w:val="restart"/>
            <w:tcBorders>
              <w:top w:val="single" w:sz="4" w:space="0" w:color="000000"/>
              <w:left w:val="nil"/>
              <w:bottom w:val="nil"/>
              <w:right w:val="nil"/>
            </w:tcBorders>
            <w:vAlign w:val="center"/>
          </w:tcPr>
          <w:p w14:paraId="55316813"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0,000</w:t>
            </w:r>
          </w:p>
        </w:tc>
        <w:tc>
          <w:tcPr>
            <w:tcW w:w="709" w:type="dxa"/>
            <w:vMerge w:val="restart"/>
            <w:tcBorders>
              <w:top w:val="single" w:sz="4" w:space="0" w:color="000000"/>
              <w:left w:val="nil"/>
              <w:bottom w:val="nil"/>
              <w:right w:val="nil"/>
            </w:tcBorders>
            <w:vAlign w:val="center"/>
          </w:tcPr>
          <w:p w14:paraId="63728E98"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0,</w:t>
            </w:r>
            <w:r>
              <w:rPr>
                <w:rFonts w:ascii="Tw Cen MT" w:hAnsi="Tw Cen MT" w:cs="Times New Roman"/>
                <w:sz w:val="20"/>
                <w:szCs w:val="20"/>
              </w:rPr>
              <w:t>475</w:t>
            </w:r>
          </w:p>
        </w:tc>
      </w:tr>
      <w:tr w:rsidR="00C605EF" w:rsidRPr="00457D1D" w14:paraId="566EE19D" w14:textId="77777777" w:rsidTr="00C605EF">
        <w:tc>
          <w:tcPr>
            <w:tcW w:w="992" w:type="dxa"/>
            <w:tcBorders>
              <w:right w:val="nil"/>
            </w:tcBorders>
          </w:tcPr>
          <w:p w14:paraId="5FFACF14" w14:textId="77777777" w:rsidR="00C605EF" w:rsidRPr="00457D1D" w:rsidRDefault="00C605EF" w:rsidP="00C605EF">
            <w:pPr>
              <w:spacing w:line="240" w:lineRule="auto"/>
              <w:jc w:val="both"/>
              <w:rPr>
                <w:rFonts w:ascii="Tw Cen MT" w:hAnsi="Tw Cen MT" w:cs="Times New Roman"/>
                <w:sz w:val="20"/>
                <w:szCs w:val="20"/>
              </w:rPr>
            </w:pPr>
            <w:proofErr w:type="spellStart"/>
            <w:r w:rsidRPr="00457D1D">
              <w:rPr>
                <w:rFonts w:ascii="Tw Cen MT" w:hAnsi="Tw Cen MT" w:cs="Times New Roman"/>
                <w:sz w:val="20"/>
                <w:szCs w:val="20"/>
              </w:rPr>
              <w:t>Sesudah</w:t>
            </w:r>
            <w:proofErr w:type="spellEnd"/>
            <w:r w:rsidRPr="00457D1D">
              <w:rPr>
                <w:rFonts w:ascii="Tw Cen MT" w:hAnsi="Tw Cen MT" w:cs="Times New Roman"/>
                <w:sz w:val="20"/>
                <w:szCs w:val="20"/>
              </w:rPr>
              <w:t xml:space="preserve"> </w:t>
            </w:r>
          </w:p>
        </w:tc>
        <w:tc>
          <w:tcPr>
            <w:tcW w:w="851" w:type="dxa"/>
            <w:tcBorders>
              <w:top w:val="single" w:sz="4" w:space="0" w:color="000000"/>
              <w:left w:val="nil"/>
              <w:right w:val="nil"/>
            </w:tcBorders>
          </w:tcPr>
          <w:p w14:paraId="33E7170C" w14:textId="77777777" w:rsidR="00C605EF" w:rsidRPr="00457D1D" w:rsidRDefault="00C605EF" w:rsidP="00C605EF">
            <w:pPr>
              <w:spacing w:line="240" w:lineRule="auto"/>
              <w:jc w:val="center"/>
              <w:rPr>
                <w:rFonts w:ascii="Tw Cen MT" w:hAnsi="Tw Cen MT" w:cs="Times New Roman"/>
                <w:sz w:val="20"/>
                <w:szCs w:val="20"/>
              </w:rPr>
            </w:pPr>
            <w:r>
              <w:rPr>
                <w:rFonts w:ascii="Tw Cen MT" w:hAnsi="Tw Cen MT" w:cs="Times New Roman"/>
                <w:sz w:val="20"/>
                <w:szCs w:val="20"/>
              </w:rPr>
              <w:t>8,47</w:t>
            </w:r>
          </w:p>
        </w:tc>
        <w:tc>
          <w:tcPr>
            <w:tcW w:w="992" w:type="dxa"/>
            <w:vMerge/>
            <w:tcBorders>
              <w:left w:val="nil"/>
              <w:right w:val="nil"/>
            </w:tcBorders>
          </w:tcPr>
          <w:p w14:paraId="436BE699" w14:textId="77777777" w:rsidR="00C605EF" w:rsidRPr="00457D1D" w:rsidRDefault="00C605EF" w:rsidP="00C605EF">
            <w:pPr>
              <w:spacing w:line="240" w:lineRule="auto"/>
              <w:jc w:val="center"/>
              <w:rPr>
                <w:rFonts w:ascii="Tw Cen MT" w:hAnsi="Tw Cen MT" w:cs="Times New Roman"/>
                <w:sz w:val="20"/>
                <w:szCs w:val="20"/>
              </w:rPr>
            </w:pPr>
          </w:p>
        </w:tc>
        <w:tc>
          <w:tcPr>
            <w:tcW w:w="709" w:type="dxa"/>
            <w:vMerge/>
            <w:tcBorders>
              <w:top w:val="nil"/>
              <w:left w:val="nil"/>
              <w:right w:val="nil"/>
            </w:tcBorders>
          </w:tcPr>
          <w:p w14:paraId="1D7A611D" w14:textId="77777777" w:rsidR="00C605EF" w:rsidRPr="00457D1D" w:rsidRDefault="00C605EF" w:rsidP="00C605EF">
            <w:pPr>
              <w:spacing w:line="240" w:lineRule="auto"/>
              <w:jc w:val="center"/>
              <w:rPr>
                <w:rFonts w:ascii="Tw Cen MT" w:hAnsi="Tw Cen MT" w:cs="Times New Roman"/>
                <w:sz w:val="20"/>
                <w:szCs w:val="20"/>
              </w:rPr>
            </w:pPr>
          </w:p>
        </w:tc>
        <w:tc>
          <w:tcPr>
            <w:tcW w:w="709" w:type="dxa"/>
            <w:vMerge/>
            <w:tcBorders>
              <w:top w:val="nil"/>
              <w:left w:val="nil"/>
              <w:right w:val="nil"/>
            </w:tcBorders>
          </w:tcPr>
          <w:p w14:paraId="7AEC4DBA" w14:textId="77777777" w:rsidR="00C605EF" w:rsidRPr="00457D1D" w:rsidRDefault="00C605EF" w:rsidP="00C605EF">
            <w:pPr>
              <w:spacing w:line="240" w:lineRule="auto"/>
              <w:jc w:val="center"/>
              <w:rPr>
                <w:rFonts w:ascii="Tw Cen MT" w:hAnsi="Tw Cen MT" w:cs="Times New Roman"/>
                <w:sz w:val="20"/>
                <w:szCs w:val="20"/>
              </w:rPr>
            </w:pPr>
          </w:p>
        </w:tc>
      </w:tr>
    </w:tbl>
    <w:p w14:paraId="1D812131" w14:textId="77777777" w:rsid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Dari </w:t>
      </w:r>
      <w:proofErr w:type="spellStart"/>
      <w:r w:rsidR="009B67E4" w:rsidRPr="00C605EF">
        <w:rPr>
          <w:rFonts w:ascii="Tw Cen MT" w:eastAsia="Twentieth Century" w:hAnsi="Tw Cen MT" w:cs="Twentieth Century"/>
          <w:bCs/>
          <w:sz w:val="24"/>
          <w:szCs w:val="24"/>
        </w:rPr>
        <w:t>tabel</w:t>
      </w:r>
      <w:proofErr w:type="spellEnd"/>
      <w:r w:rsidR="009B67E4" w:rsidRPr="00C605EF">
        <w:rPr>
          <w:rFonts w:ascii="Tw Cen MT" w:eastAsia="Twentieth Century" w:hAnsi="Tw Cen MT" w:cs="Twentieth Century"/>
          <w:bCs/>
          <w:sz w:val="24"/>
          <w:szCs w:val="24"/>
        </w:rPr>
        <w:t xml:space="preserve"> 2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responden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sebelum</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5,47 dan </w:t>
      </w:r>
      <w:proofErr w:type="spellStart"/>
      <w:r w:rsidR="009B67E4" w:rsidRPr="00C605EF">
        <w:rPr>
          <w:rFonts w:ascii="Tw Cen MT" w:eastAsia="Twentieth Century" w:hAnsi="Tw Cen MT" w:cs="Twentieth Century"/>
          <w:bCs/>
          <w:sz w:val="24"/>
          <w:szCs w:val="24"/>
        </w:rPr>
        <w:t>sesudahnya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8,47. </w:t>
      </w:r>
      <w:proofErr w:type="spellStart"/>
      <w:r w:rsidR="009B67E4" w:rsidRPr="00C605EF">
        <w:rPr>
          <w:rFonts w:ascii="Tw Cen MT" w:eastAsia="Twentieth Century" w:hAnsi="Tw Cen MT" w:cs="Twentieth Century"/>
          <w:bCs/>
          <w:sz w:val="24"/>
          <w:szCs w:val="24"/>
        </w:rPr>
        <w:t>Terlihat</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peningkatan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3,00. Dari </w:t>
      </w:r>
      <w:proofErr w:type="spellStart"/>
      <w:r w:rsidR="009B67E4" w:rsidRPr="00C605EF">
        <w:rPr>
          <w:rFonts w:ascii="Tw Cen MT" w:eastAsia="Twentieth Century" w:hAnsi="Tw Cen MT" w:cs="Twentieth Century"/>
          <w:bCs/>
          <w:sz w:val="24"/>
          <w:szCs w:val="24"/>
        </w:rPr>
        <w:t>hasil</w:t>
      </w:r>
      <w:proofErr w:type="spellEnd"/>
      <w:r w:rsidR="009B67E4" w:rsidRPr="00C605EF">
        <w:rPr>
          <w:rFonts w:ascii="Tw Cen MT" w:eastAsia="Twentieth Century" w:hAnsi="Tw Cen MT" w:cs="Twentieth Century"/>
          <w:bCs/>
          <w:sz w:val="24"/>
          <w:szCs w:val="24"/>
        </w:rPr>
        <w:t xml:space="preserve"> uji </w:t>
      </w:r>
      <w:proofErr w:type="spellStart"/>
      <w:r w:rsidR="009B67E4" w:rsidRPr="00C605EF">
        <w:rPr>
          <w:rFonts w:ascii="Tw Cen MT" w:eastAsia="Twentieth Century" w:hAnsi="Tw Cen MT" w:cs="Twentieth Century"/>
          <w:bCs/>
          <w:sz w:val="24"/>
          <w:szCs w:val="24"/>
        </w:rPr>
        <w:t>statistik</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menggunakan</w:t>
      </w:r>
      <w:proofErr w:type="spellEnd"/>
      <w:r w:rsidR="009B67E4" w:rsidRPr="00C605EF">
        <w:rPr>
          <w:rFonts w:ascii="Tw Cen MT" w:eastAsia="Twentieth Century" w:hAnsi="Tw Cen MT" w:cs="Twentieth Century"/>
          <w:bCs/>
          <w:sz w:val="24"/>
          <w:szCs w:val="24"/>
        </w:rPr>
        <w:t xml:space="preserve"> uji T </w:t>
      </w:r>
      <w:proofErr w:type="spellStart"/>
      <w:r w:rsidR="009B67E4" w:rsidRPr="00C605EF">
        <w:rPr>
          <w:rFonts w:ascii="Tw Cen MT" w:eastAsia="Twentieth Century" w:hAnsi="Tw Cen MT" w:cs="Twentieth Century"/>
          <w:bCs/>
          <w:sz w:val="24"/>
          <w:szCs w:val="24"/>
        </w:rPr>
        <w:t>berpasangan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p=0,000 (&lt;0,05)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confidence interval 95% </w:t>
      </w:r>
      <w:proofErr w:type="spellStart"/>
      <w:r w:rsidR="009B67E4" w:rsidRPr="00C605EF">
        <w:rPr>
          <w:rFonts w:ascii="Tw Cen MT" w:eastAsia="Twentieth Century" w:hAnsi="Tw Cen MT" w:cs="Twentieth Century"/>
          <w:bCs/>
          <w:sz w:val="24"/>
          <w:szCs w:val="24"/>
        </w:rPr>
        <w:t>dapat</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disimpulkan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Ho </w:t>
      </w:r>
      <w:proofErr w:type="spellStart"/>
      <w:r w:rsidR="009B67E4" w:rsidRPr="00C605EF">
        <w:rPr>
          <w:rFonts w:ascii="Tw Cen MT" w:eastAsia="Twentieth Century" w:hAnsi="Tw Cen MT" w:cs="Twentieth Century"/>
          <w:bCs/>
          <w:sz w:val="24"/>
          <w:szCs w:val="24"/>
        </w:rPr>
        <w:t>ditolak</w:t>
      </w:r>
      <w:proofErr w:type="spellEnd"/>
      <w:r w:rsidR="009B67E4" w:rsidRPr="00C605EF">
        <w:rPr>
          <w:rFonts w:ascii="Tw Cen MT" w:eastAsia="Twentieth Century" w:hAnsi="Tw Cen MT" w:cs="Twentieth Century"/>
          <w:bCs/>
          <w:sz w:val="24"/>
          <w:szCs w:val="24"/>
        </w:rPr>
        <w:t xml:space="preserve"> dan Ha </w:t>
      </w:r>
      <w:proofErr w:type="spellStart"/>
      <w:r w:rsidR="009B67E4" w:rsidRPr="00C605EF">
        <w:rPr>
          <w:rFonts w:ascii="Tw Cen MT" w:eastAsia="Twentieth Century" w:hAnsi="Tw Cen MT" w:cs="Twentieth Century"/>
          <w:bCs/>
          <w:sz w:val="24"/>
          <w:szCs w:val="24"/>
        </w:rPr>
        <w:t>diterima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berarti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pengaruh</w:t>
      </w:r>
      <w:proofErr w:type="spellEnd"/>
      <w:r w:rsidR="009B67E4" w:rsidRPr="00C605EF">
        <w:rPr>
          <w:rFonts w:ascii="Tw Cen MT" w:eastAsia="Twentieth Century" w:hAnsi="Tw Cen MT" w:cs="Twentieth Century"/>
          <w:bCs/>
          <w:sz w:val="24"/>
          <w:szCs w:val="24"/>
        </w:rPr>
        <w:t xml:space="preserve"> yang </w:t>
      </w:r>
      <w:proofErr w:type="spellStart"/>
      <w:r w:rsidR="009B67E4" w:rsidRPr="00C605EF">
        <w:rPr>
          <w:rFonts w:ascii="Tw Cen MT" w:eastAsia="Twentieth Century" w:hAnsi="Tw Cen MT" w:cs="Twentieth Century"/>
          <w:bCs/>
          <w:sz w:val="24"/>
          <w:szCs w:val="24"/>
        </w:rPr>
        <w:t>bermakna</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proofErr w:type="gram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terhadap</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ibu</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hamil</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mengenai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deteksi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dini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risiko</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kehamilan</w:t>
      </w:r>
      <w:proofErr w:type="spellEnd"/>
      <w:r w:rsidR="009B67E4" w:rsidRPr="00C605EF">
        <w:rPr>
          <w:rFonts w:ascii="Tw Cen MT" w:eastAsia="Twentieth Century" w:hAnsi="Tw Cen MT" w:cs="Twentieth Century"/>
          <w:bCs/>
          <w:sz w:val="24"/>
          <w:szCs w:val="24"/>
        </w:rPr>
        <w:t xml:space="preserve"> di Wilayah </w:t>
      </w:r>
      <w:proofErr w:type="spellStart"/>
      <w:r w:rsidR="009B67E4" w:rsidRPr="00C605EF">
        <w:rPr>
          <w:rFonts w:ascii="Tw Cen MT" w:eastAsia="Twentieth Century" w:hAnsi="Tw Cen MT" w:cs="Twentieth Century"/>
          <w:bCs/>
          <w:sz w:val="24"/>
          <w:szCs w:val="24"/>
        </w:rPr>
        <w:t>kerja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Puskesmas</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Buaran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Tahun</w:t>
      </w:r>
      <w:proofErr w:type="spellEnd"/>
      <w:r w:rsidR="009B67E4" w:rsidRPr="00C605EF">
        <w:rPr>
          <w:rFonts w:ascii="Tw Cen MT" w:eastAsia="Twentieth Century" w:hAnsi="Tw Cen MT" w:cs="Twentieth Century"/>
          <w:bCs/>
          <w:sz w:val="24"/>
          <w:szCs w:val="24"/>
        </w:rPr>
        <w:t xml:space="preserve"> 2023. </w:t>
      </w:r>
    </w:p>
    <w:p w14:paraId="27CD6E64" w14:textId="0D1FB6AC" w:rsidR="00E333C7" w:rsidRP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Hasil uji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antara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dua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variabel</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0.475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sig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0.000. Hal </w:t>
      </w:r>
      <w:proofErr w:type="spellStart"/>
      <w:r w:rsidR="009B67E4" w:rsidRPr="00C605EF">
        <w:rPr>
          <w:rFonts w:ascii="Tw Cen MT" w:eastAsia="Twentieth Century" w:hAnsi="Tw Cen MT" w:cs="Twentieth Century"/>
          <w:bCs/>
          <w:sz w:val="24"/>
          <w:szCs w:val="24"/>
        </w:rPr>
        <w:t>ini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menunjukkan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intensitas</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nyeri</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sebelum</w:t>
      </w:r>
      <w:proofErr w:type="spellEnd"/>
      <w:r w:rsidR="009B67E4" w:rsidRPr="00C605EF">
        <w:rPr>
          <w:rFonts w:ascii="Tw Cen MT" w:eastAsia="Twentieth Century" w:hAnsi="Tw Cen MT" w:cs="Twentieth Century"/>
          <w:bCs/>
          <w:sz w:val="24"/>
          <w:szCs w:val="24"/>
        </w:rPr>
        <w:t xml:space="preserve"> dan </w:t>
      </w:r>
      <w:proofErr w:type="spellStart"/>
      <w:r w:rsidR="009B67E4" w:rsidRPr="00C605EF">
        <w:rPr>
          <w:rFonts w:ascii="Tw Cen MT" w:eastAsia="Twentieth Century" w:hAnsi="Tw Cen MT" w:cs="Twentieth Century"/>
          <w:bCs/>
          <w:sz w:val="24"/>
          <w:szCs w:val="24"/>
        </w:rPr>
        <w:t>sesudah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dilakukan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kuat</w:t>
      </w:r>
      <w:proofErr w:type="spellEnd"/>
      <w:proofErr w:type="gramEnd"/>
      <w:r w:rsidR="009B67E4" w:rsidRPr="00C605EF">
        <w:rPr>
          <w:rFonts w:ascii="Tw Cen MT" w:eastAsia="Twentieth Century" w:hAnsi="Tw Cen MT" w:cs="Twentieth Century"/>
          <w:bCs/>
          <w:sz w:val="24"/>
          <w:szCs w:val="24"/>
        </w:rPr>
        <w:t xml:space="preserve"> dan </w:t>
      </w:r>
      <w:proofErr w:type="spellStart"/>
      <w:r w:rsidR="009B67E4" w:rsidRPr="00C605EF">
        <w:rPr>
          <w:rFonts w:ascii="Tw Cen MT" w:eastAsia="Twentieth Century" w:hAnsi="Tw Cen MT" w:cs="Twentieth Century"/>
          <w:bCs/>
          <w:sz w:val="24"/>
          <w:szCs w:val="24"/>
        </w:rPr>
        <w:t>signifikan</w:t>
      </w:r>
      <w:proofErr w:type="spellEnd"/>
      <w:r w:rsidR="009B67E4" w:rsidRPr="00C605EF">
        <w:rPr>
          <w:rFonts w:ascii="Tw Cen MT" w:eastAsia="Twentieth Century" w:hAnsi="Tw Cen MT" w:cs="Twentieth Century"/>
          <w:bCs/>
          <w:sz w:val="24"/>
          <w:szCs w:val="24"/>
        </w:rPr>
        <w:t>.</w:t>
      </w:r>
    </w:p>
    <w:p w14:paraId="236CAE60" w14:textId="77777777" w:rsidR="009B67E4" w:rsidRDefault="009B67E4" w:rsidP="009B67E4">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580889FA" w14:textId="5087636A" w:rsidR="009B67E4" w:rsidRDefault="009B67E4" w:rsidP="009B67E4">
      <w:pPr>
        <w:pStyle w:val="DaftarParagraf"/>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3.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i/>
          <w:iCs/>
          <w:sz w:val="24"/>
          <w:szCs w:val="24"/>
        </w:rPr>
        <w:t>powtoon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p>
    <w:p w14:paraId="04019702" w14:textId="77777777" w:rsidR="009B67E4" w:rsidRDefault="009B67E4" w:rsidP="009B67E4">
      <w:pPr>
        <w:pStyle w:val="DaftarParagraf"/>
        <w:tabs>
          <w:tab w:val="left" w:pos="426"/>
        </w:tabs>
        <w:spacing w:after="0" w:line="240" w:lineRule="auto"/>
        <w:ind w:left="360"/>
        <w:jc w:val="both"/>
        <w:rPr>
          <w:rFonts w:ascii="Tw Cen MT" w:eastAsia="Twentieth Century" w:hAnsi="Tw Cen MT" w:cs="Twentieth Century"/>
          <w:bCs/>
          <w:sz w:val="24"/>
          <w:szCs w:val="24"/>
        </w:rPr>
      </w:pPr>
    </w:p>
    <w:tbl>
      <w:tblPr>
        <w:tblpPr w:leftFromText="180" w:rightFromText="180" w:vertAnchor="text" w:horzAnchor="page" w:tblpX="6831" w:tblpY="29"/>
        <w:tblW w:w="4536"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992"/>
        <w:gridCol w:w="851"/>
        <w:gridCol w:w="850"/>
      </w:tblGrid>
      <w:tr w:rsidR="00C605EF" w:rsidRPr="00457D1D" w14:paraId="1C5482C3" w14:textId="77777777" w:rsidTr="00C605EF">
        <w:trPr>
          <w:trHeight w:val="530"/>
        </w:trPr>
        <w:tc>
          <w:tcPr>
            <w:tcW w:w="992" w:type="dxa"/>
            <w:tcBorders>
              <w:right w:val="nil"/>
            </w:tcBorders>
          </w:tcPr>
          <w:p w14:paraId="03AEC297" w14:textId="77777777" w:rsidR="00C605EF" w:rsidRPr="00457D1D" w:rsidRDefault="00C605EF" w:rsidP="00C605EF">
            <w:pPr>
              <w:spacing w:line="240" w:lineRule="auto"/>
              <w:rPr>
                <w:rFonts w:ascii="Tw Cen MT" w:hAnsi="Tw Cen MT" w:cs="Times New Roman"/>
                <w:sz w:val="20"/>
                <w:szCs w:val="20"/>
              </w:rPr>
            </w:pPr>
            <w:r w:rsidRPr="00457D1D">
              <w:rPr>
                <w:rFonts w:ascii="Tw Cen MT" w:hAnsi="Tw Cen MT" w:cs="Times New Roman"/>
                <w:sz w:val="20"/>
                <w:szCs w:val="20"/>
              </w:rPr>
              <w:t>Tahu</w:t>
            </w:r>
          </w:p>
        </w:tc>
        <w:tc>
          <w:tcPr>
            <w:tcW w:w="851" w:type="dxa"/>
            <w:tcBorders>
              <w:left w:val="nil"/>
              <w:bottom w:val="single" w:sz="4" w:space="0" w:color="000000"/>
              <w:right w:val="nil"/>
            </w:tcBorders>
          </w:tcPr>
          <w:p w14:paraId="626BC244"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Mean</w:t>
            </w:r>
          </w:p>
        </w:tc>
        <w:tc>
          <w:tcPr>
            <w:tcW w:w="992" w:type="dxa"/>
            <w:tcBorders>
              <w:left w:val="nil"/>
              <w:bottom w:val="single" w:sz="4" w:space="0" w:color="000000"/>
              <w:right w:val="nil"/>
            </w:tcBorders>
          </w:tcPr>
          <w:p w14:paraId="5B08995F"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Beda Mean</w:t>
            </w:r>
          </w:p>
        </w:tc>
        <w:tc>
          <w:tcPr>
            <w:tcW w:w="851" w:type="dxa"/>
            <w:tcBorders>
              <w:left w:val="nil"/>
              <w:bottom w:val="single" w:sz="4" w:space="0" w:color="000000"/>
              <w:right w:val="nil"/>
            </w:tcBorders>
          </w:tcPr>
          <w:p w14:paraId="73F0B636" w14:textId="77777777" w:rsidR="00C605EF" w:rsidRPr="00457D1D" w:rsidRDefault="00C605EF" w:rsidP="00C605EF">
            <w:pPr>
              <w:spacing w:line="240" w:lineRule="auto"/>
              <w:jc w:val="center"/>
              <w:rPr>
                <w:rFonts w:ascii="Tw Cen MT" w:hAnsi="Tw Cen MT" w:cs="Times New Roman"/>
                <w:sz w:val="20"/>
                <w:szCs w:val="20"/>
              </w:rPr>
            </w:pPr>
            <w:proofErr w:type="spellStart"/>
            <w:r w:rsidRPr="00457D1D">
              <w:rPr>
                <w:rFonts w:ascii="Tw Cen MT" w:hAnsi="Tw Cen MT" w:cs="Times New Roman"/>
                <w:sz w:val="20"/>
                <w:szCs w:val="20"/>
              </w:rPr>
              <w:t>nilai</w:t>
            </w:r>
            <w:proofErr w:type="spellEnd"/>
            <w:r w:rsidRPr="00457D1D">
              <w:rPr>
                <w:rFonts w:ascii="Tw Cen MT" w:hAnsi="Tw Cen MT" w:cs="Times New Roman"/>
                <w:sz w:val="20"/>
                <w:szCs w:val="20"/>
              </w:rPr>
              <w:t xml:space="preserve"> p</w:t>
            </w:r>
          </w:p>
        </w:tc>
        <w:tc>
          <w:tcPr>
            <w:tcW w:w="850" w:type="dxa"/>
            <w:tcBorders>
              <w:left w:val="nil"/>
              <w:bottom w:val="single" w:sz="4" w:space="0" w:color="000000"/>
              <w:right w:val="nil"/>
            </w:tcBorders>
          </w:tcPr>
          <w:p w14:paraId="748B3A9D"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r</w:t>
            </w:r>
          </w:p>
        </w:tc>
      </w:tr>
      <w:tr w:rsidR="00C605EF" w:rsidRPr="00457D1D" w14:paraId="77F6442D" w14:textId="77777777" w:rsidTr="00C605EF">
        <w:tc>
          <w:tcPr>
            <w:tcW w:w="992" w:type="dxa"/>
            <w:tcBorders>
              <w:right w:val="nil"/>
            </w:tcBorders>
          </w:tcPr>
          <w:p w14:paraId="712931B4" w14:textId="77777777" w:rsidR="00C605EF" w:rsidRPr="00457D1D" w:rsidRDefault="00C605EF" w:rsidP="00C605EF">
            <w:pPr>
              <w:spacing w:line="240" w:lineRule="auto"/>
              <w:jc w:val="both"/>
              <w:rPr>
                <w:rFonts w:ascii="Tw Cen MT" w:hAnsi="Tw Cen MT" w:cs="Times New Roman"/>
                <w:sz w:val="20"/>
                <w:szCs w:val="20"/>
              </w:rPr>
            </w:pPr>
            <w:proofErr w:type="spellStart"/>
            <w:r w:rsidRPr="00457D1D">
              <w:rPr>
                <w:rFonts w:ascii="Tw Cen MT" w:hAnsi="Tw Cen MT" w:cs="Times New Roman"/>
                <w:sz w:val="20"/>
                <w:szCs w:val="20"/>
              </w:rPr>
              <w:t>Sebelum</w:t>
            </w:r>
            <w:proofErr w:type="spellEnd"/>
            <w:r w:rsidRPr="00457D1D">
              <w:rPr>
                <w:rFonts w:ascii="Tw Cen MT" w:hAnsi="Tw Cen MT" w:cs="Times New Roman"/>
                <w:sz w:val="20"/>
                <w:szCs w:val="20"/>
              </w:rPr>
              <w:t xml:space="preserve"> </w:t>
            </w:r>
          </w:p>
        </w:tc>
        <w:tc>
          <w:tcPr>
            <w:tcW w:w="851" w:type="dxa"/>
            <w:tcBorders>
              <w:left w:val="nil"/>
              <w:bottom w:val="single" w:sz="4" w:space="0" w:color="000000"/>
              <w:right w:val="nil"/>
            </w:tcBorders>
          </w:tcPr>
          <w:p w14:paraId="5464AF70"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4,70</w:t>
            </w:r>
          </w:p>
        </w:tc>
        <w:tc>
          <w:tcPr>
            <w:tcW w:w="992" w:type="dxa"/>
            <w:vMerge w:val="restart"/>
            <w:tcBorders>
              <w:left w:val="nil"/>
              <w:right w:val="nil"/>
            </w:tcBorders>
            <w:vAlign w:val="center"/>
          </w:tcPr>
          <w:p w14:paraId="35AB4F01"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4,33</w:t>
            </w:r>
          </w:p>
        </w:tc>
        <w:tc>
          <w:tcPr>
            <w:tcW w:w="851" w:type="dxa"/>
            <w:vMerge w:val="restart"/>
            <w:tcBorders>
              <w:top w:val="single" w:sz="4" w:space="0" w:color="000000"/>
              <w:left w:val="nil"/>
              <w:bottom w:val="nil"/>
              <w:right w:val="nil"/>
            </w:tcBorders>
            <w:vAlign w:val="center"/>
          </w:tcPr>
          <w:p w14:paraId="0802A1BF"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0,000</w:t>
            </w:r>
          </w:p>
        </w:tc>
        <w:tc>
          <w:tcPr>
            <w:tcW w:w="850" w:type="dxa"/>
            <w:vMerge w:val="restart"/>
            <w:tcBorders>
              <w:top w:val="single" w:sz="4" w:space="0" w:color="000000"/>
              <w:left w:val="nil"/>
              <w:bottom w:val="nil"/>
              <w:right w:val="nil"/>
            </w:tcBorders>
            <w:vAlign w:val="center"/>
          </w:tcPr>
          <w:p w14:paraId="6803E1B1"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0,277</w:t>
            </w:r>
          </w:p>
        </w:tc>
      </w:tr>
      <w:tr w:rsidR="00C605EF" w:rsidRPr="00457D1D" w14:paraId="3219089A" w14:textId="77777777" w:rsidTr="00C605EF">
        <w:tc>
          <w:tcPr>
            <w:tcW w:w="992" w:type="dxa"/>
            <w:tcBorders>
              <w:right w:val="nil"/>
            </w:tcBorders>
          </w:tcPr>
          <w:p w14:paraId="3DA25C5F" w14:textId="77777777" w:rsidR="00C605EF" w:rsidRPr="00457D1D" w:rsidRDefault="00C605EF" w:rsidP="00C605EF">
            <w:pPr>
              <w:spacing w:line="240" w:lineRule="auto"/>
              <w:jc w:val="both"/>
              <w:rPr>
                <w:rFonts w:ascii="Tw Cen MT" w:hAnsi="Tw Cen MT" w:cs="Times New Roman"/>
                <w:sz w:val="20"/>
                <w:szCs w:val="20"/>
              </w:rPr>
            </w:pPr>
            <w:proofErr w:type="spellStart"/>
            <w:r w:rsidRPr="00457D1D">
              <w:rPr>
                <w:rFonts w:ascii="Tw Cen MT" w:hAnsi="Tw Cen MT" w:cs="Times New Roman"/>
                <w:sz w:val="20"/>
                <w:szCs w:val="20"/>
              </w:rPr>
              <w:t>Sesudah</w:t>
            </w:r>
            <w:proofErr w:type="spellEnd"/>
            <w:r w:rsidRPr="00457D1D">
              <w:rPr>
                <w:rFonts w:ascii="Tw Cen MT" w:hAnsi="Tw Cen MT" w:cs="Times New Roman"/>
                <w:sz w:val="20"/>
                <w:szCs w:val="20"/>
              </w:rPr>
              <w:t xml:space="preserve"> </w:t>
            </w:r>
          </w:p>
        </w:tc>
        <w:tc>
          <w:tcPr>
            <w:tcW w:w="851" w:type="dxa"/>
            <w:tcBorders>
              <w:top w:val="single" w:sz="4" w:space="0" w:color="000000"/>
              <w:left w:val="nil"/>
              <w:right w:val="nil"/>
            </w:tcBorders>
          </w:tcPr>
          <w:p w14:paraId="18BE8341" w14:textId="77777777" w:rsidR="00C605EF" w:rsidRPr="00457D1D" w:rsidRDefault="00C605EF" w:rsidP="00C605EF">
            <w:pPr>
              <w:spacing w:line="240" w:lineRule="auto"/>
              <w:jc w:val="center"/>
              <w:rPr>
                <w:rFonts w:ascii="Tw Cen MT" w:hAnsi="Tw Cen MT" w:cs="Times New Roman"/>
                <w:sz w:val="20"/>
                <w:szCs w:val="20"/>
              </w:rPr>
            </w:pPr>
            <w:r w:rsidRPr="00457D1D">
              <w:rPr>
                <w:rFonts w:ascii="Tw Cen MT" w:hAnsi="Tw Cen MT" w:cs="Times New Roman"/>
                <w:sz w:val="20"/>
                <w:szCs w:val="20"/>
              </w:rPr>
              <w:t>9,03</w:t>
            </w:r>
          </w:p>
        </w:tc>
        <w:tc>
          <w:tcPr>
            <w:tcW w:w="992" w:type="dxa"/>
            <w:vMerge/>
            <w:tcBorders>
              <w:left w:val="nil"/>
              <w:right w:val="nil"/>
            </w:tcBorders>
          </w:tcPr>
          <w:p w14:paraId="5FBE06D0" w14:textId="77777777" w:rsidR="00C605EF" w:rsidRPr="00457D1D" w:rsidRDefault="00C605EF" w:rsidP="00C605EF">
            <w:pPr>
              <w:spacing w:line="240" w:lineRule="auto"/>
              <w:jc w:val="center"/>
              <w:rPr>
                <w:rFonts w:ascii="Tw Cen MT" w:hAnsi="Tw Cen MT" w:cs="Times New Roman"/>
                <w:sz w:val="20"/>
                <w:szCs w:val="20"/>
              </w:rPr>
            </w:pPr>
          </w:p>
        </w:tc>
        <w:tc>
          <w:tcPr>
            <w:tcW w:w="851" w:type="dxa"/>
            <w:vMerge/>
            <w:tcBorders>
              <w:top w:val="nil"/>
              <w:left w:val="nil"/>
              <w:right w:val="nil"/>
            </w:tcBorders>
          </w:tcPr>
          <w:p w14:paraId="18184E3B" w14:textId="77777777" w:rsidR="00C605EF" w:rsidRPr="00457D1D" w:rsidRDefault="00C605EF" w:rsidP="00C605EF">
            <w:pPr>
              <w:spacing w:line="240" w:lineRule="auto"/>
              <w:jc w:val="center"/>
              <w:rPr>
                <w:rFonts w:ascii="Tw Cen MT" w:hAnsi="Tw Cen MT" w:cs="Times New Roman"/>
                <w:sz w:val="20"/>
                <w:szCs w:val="20"/>
              </w:rPr>
            </w:pPr>
          </w:p>
        </w:tc>
        <w:tc>
          <w:tcPr>
            <w:tcW w:w="850" w:type="dxa"/>
            <w:vMerge/>
            <w:tcBorders>
              <w:top w:val="nil"/>
              <w:left w:val="nil"/>
              <w:right w:val="nil"/>
            </w:tcBorders>
          </w:tcPr>
          <w:p w14:paraId="777DD9CA" w14:textId="77777777" w:rsidR="00C605EF" w:rsidRPr="00457D1D" w:rsidRDefault="00C605EF" w:rsidP="00C605EF">
            <w:pPr>
              <w:spacing w:line="240" w:lineRule="auto"/>
              <w:jc w:val="center"/>
              <w:rPr>
                <w:rFonts w:ascii="Tw Cen MT" w:hAnsi="Tw Cen MT" w:cs="Times New Roman"/>
                <w:sz w:val="20"/>
                <w:szCs w:val="20"/>
              </w:rPr>
            </w:pPr>
          </w:p>
        </w:tc>
      </w:tr>
    </w:tbl>
    <w:p w14:paraId="1AC8899D" w14:textId="77777777" w:rsidR="00F07796" w:rsidRPr="00C605EF" w:rsidRDefault="00F07796" w:rsidP="00C605EF">
      <w:pPr>
        <w:tabs>
          <w:tab w:val="left" w:pos="426"/>
        </w:tabs>
        <w:spacing w:after="0"/>
        <w:jc w:val="both"/>
        <w:rPr>
          <w:rFonts w:ascii="Tw Cen MT" w:eastAsia="Twentieth Century" w:hAnsi="Tw Cen MT" w:cs="Twentieth Century"/>
          <w:bCs/>
          <w:sz w:val="24"/>
          <w:szCs w:val="24"/>
        </w:rPr>
      </w:pPr>
    </w:p>
    <w:p w14:paraId="52B2B1B9" w14:textId="6C9775AA" w:rsidR="00F07796" w:rsidRPr="00F07796" w:rsidRDefault="00F07796"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Dari </w:t>
      </w:r>
      <w:proofErr w:type="spellStart"/>
      <w:r w:rsidRPr="00F07796">
        <w:rPr>
          <w:rFonts w:ascii="Tw Cen MT" w:eastAsia="Twentieth Century" w:hAnsi="Tw Cen MT" w:cs="Twentieth Century"/>
          <w:bCs/>
          <w:sz w:val="24"/>
          <w:szCs w:val="24"/>
        </w:rPr>
        <w:t>tabel</w:t>
      </w:r>
      <w:proofErr w:type="spellEnd"/>
      <w:r w:rsidRPr="00F07796">
        <w:rPr>
          <w:rFonts w:ascii="Tw Cen MT" w:eastAsia="Twentieth Century" w:hAnsi="Tw Cen MT" w:cs="Twentieth Century"/>
          <w:bCs/>
          <w:sz w:val="24"/>
          <w:szCs w:val="24"/>
        </w:rPr>
        <w:t xml:space="preserve"> 3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responden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4,70 dan </w:t>
      </w:r>
      <w:proofErr w:type="spellStart"/>
      <w:r w:rsidRPr="00F07796">
        <w:rPr>
          <w:rFonts w:ascii="Tw Cen MT" w:eastAsia="Twentieth Century" w:hAnsi="Tw Cen MT" w:cs="Twentieth Century"/>
          <w:bCs/>
          <w:sz w:val="24"/>
          <w:szCs w:val="24"/>
        </w:rPr>
        <w:t>sesudahnya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9,03. </w:t>
      </w:r>
      <w:proofErr w:type="spellStart"/>
      <w:r w:rsidRPr="00F07796">
        <w:rPr>
          <w:rFonts w:ascii="Tw Cen MT" w:eastAsia="Twentieth Century" w:hAnsi="Tw Cen MT" w:cs="Twentieth Century"/>
          <w:bCs/>
          <w:sz w:val="24"/>
          <w:szCs w:val="24"/>
        </w:rPr>
        <w:t>Terlihat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4,33. Dari </w:t>
      </w:r>
      <w:proofErr w:type="spellStart"/>
      <w:r w:rsidRPr="00F07796">
        <w:rPr>
          <w:rFonts w:ascii="Tw Cen MT" w:eastAsia="Twentieth Century" w:hAnsi="Tw Cen MT" w:cs="Twentieth Century"/>
          <w:bCs/>
          <w:sz w:val="24"/>
          <w:szCs w:val="24"/>
        </w:rPr>
        <w:t>hasil</w:t>
      </w:r>
      <w:proofErr w:type="spellEnd"/>
      <w:r w:rsidRPr="00F07796">
        <w:rPr>
          <w:rFonts w:ascii="Tw Cen MT" w:eastAsia="Twentieth Century" w:hAnsi="Tw Cen MT" w:cs="Twentieth Century"/>
          <w:bCs/>
          <w:sz w:val="24"/>
          <w:szCs w:val="24"/>
        </w:rPr>
        <w:t xml:space="preserve"> uji </w:t>
      </w:r>
      <w:proofErr w:type="spellStart"/>
      <w:r w:rsidRPr="00F07796">
        <w:rPr>
          <w:rFonts w:ascii="Tw Cen MT" w:eastAsia="Twentieth Century" w:hAnsi="Tw Cen MT" w:cs="Twentieth Century"/>
          <w:bCs/>
          <w:sz w:val="24"/>
          <w:szCs w:val="24"/>
        </w:rPr>
        <w:t>statistik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menggunakan</w:t>
      </w:r>
      <w:proofErr w:type="spellEnd"/>
      <w:r w:rsidRPr="00F07796">
        <w:rPr>
          <w:rFonts w:ascii="Tw Cen MT" w:eastAsia="Twentieth Century" w:hAnsi="Tw Cen MT" w:cs="Twentieth Century"/>
          <w:bCs/>
          <w:sz w:val="24"/>
          <w:szCs w:val="24"/>
        </w:rPr>
        <w:t xml:space="preserve"> uji T </w:t>
      </w:r>
      <w:proofErr w:type="spellStart"/>
      <w:r w:rsidRPr="00F07796">
        <w:rPr>
          <w:rFonts w:ascii="Tw Cen MT" w:eastAsia="Twentieth Century" w:hAnsi="Tw Cen MT" w:cs="Twentieth Century"/>
          <w:bCs/>
          <w:sz w:val="24"/>
          <w:szCs w:val="24"/>
        </w:rPr>
        <w:t>berpasangan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p=0,000 (&lt;0,05)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confidence interval 95% </w:t>
      </w:r>
      <w:proofErr w:type="spellStart"/>
      <w:r w:rsidRPr="00F07796">
        <w:rPr>
          <w:rFonts w:ascii="Tw Cen MT" w:eastAsia="Twentieth Century" w:hAnsi="Tw Cen MT" w:cs="Twentieth Century"/>
          <w:bCs/>
          <w:sz w:val="24"/>
          <w:szCs w:val="24"/>
        </w:rPr>
        <w:t>dapat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disimpulkan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Ho </w:t>
      </w:r>
      <w:proofErr w:type="spellStart"/>
      <w:r w:rsidRPr="00F07796">
        <w:rPr>
          <w:rFonts w:ascii="Tw Cen MT" w:eastAsia="Twentieth Century" w:hAnsi="Tw Cen MT" w:cs="Twentieth Century"/>
          <w:bCs/>
          <w:sz w:val="24"/>
          <w:szCs w:val="24"/>
        </w:rPr>
        <w:t>ditolak</w:t>
      </w:r>
      <w:proofErr w:type="spellEnd"/>
      <w:r w:rsidRPr="00F07796">
        <w:rPr>
          <w:rFonts w:ascii="Tw Cen MT" w:eastAsia="Twentieth Century" w:hAnsi="Tw Cen MT" w:cs="Twentieth Century"/>
          <w:bCs/>
          <w:sz w:val="24"/>
          <w:szCs w:val="24"/>
        </w:rPr>
        <w:t xml:space="preserve"> dan Ha </w:t>
      </w:r>
      <w:proofErr w:type="spellStart"/>
      <w:r w:rsidRPr="00F07796">
        <w:rPr>
          <w:rFonts w:ascii="Tw Cen MT" w:eastAsia="Twentieth Century" w:hAnsi="Tw Cen MT" w:cs="Twentieth Century"/>
          <w:bCs/>
          <w:sz w:val="24"/>
          <w:szCs w:val="24"/>
        </w:rPr>
        <w:t>diterima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berarti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yang </w:t>
      </w:r>
      <w:proofErr w:type="spellStart"/>
      <w:r w:rsidRPr="00F07796">
        <w:rPr>
          <w:rFonts w:ascii="Tw Cen MT" w:eastAsia="Twentieth Century" w:hAnsi="Tw Cen MT" w:cs="Twentieth Century"/>
          <w:bCs/>
          <w:sz w:val="24"/>
          <w:szCs w:val="24"/>
        </w:rPr>
        <w:t>bermakna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mengenai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deteksi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risiko</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kehamilan</w:t>
      </w:r>
      <w:proofErr w:type="spellEnd"/>
      <w:r w:rsidRPr="00F07796">
        <w:rPr>
          <w:rFonts w:ascii="Tw Cen MT" w:eastAsia="Twentieth Century" w:hAnsi="Tw Cen MT" w:cs="Twentieth Century"/>
          <w:bCs/>
          <w:sz w:val="24"/>
          <w:szCs w:val="24"/>
        </w:rPr>
        <w:t xml:space="preserve"> di Wilayah </w:t>
      </w:r>
      <w:proofErr w:type="spellStart"/>
      <w:r w:rsidRPr="00F07796">
        <w:rPr>
          <w:rFonts w:ascii="Tw Cen MT" w:eastAsia="Twentieth Century" w:hAnsi="Tw Cen MT" w:cs="Twentieth Century"/>
          <w:bCs/>
          <w:sz w:val="24"/>
          <w:szCs w:val="24"/>
        </w:rPr>
        <w:t>kerja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Puskesmas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Buaran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Tahun</w:t>
      </w:r>
      <w:proofErr w:type="spellEnd"/>
      <w:r w:rsidRPr="00F07796">
        <w:rPr>
          <w:rFonts w:ascii="Tw Cen MT" w:eastAsia="Twentieth Century" w:hAnsi="Tw Cen MT" w:cs="Twentieth Century"/>
          <w:bCs/>
          <w:sz w:val="24"/>
          <w:szCs w:val="24"/>
        </w:rPr>
        <w:t xml:space="preserve"> 2023. </w:t>
      </w:r>
    </w:p>
    <w:p w14:paraId="24E92334" w14:textId="2C58D9D5" w:rsidR="00F07796" w:rsidRDefault="00F07796" w:rsidP="00F07796">
      <w:pPr>
        <w:pStyle w:val="DaftarParagraf"/>
        <w:tabs>
          <w:tab w:val="left" w:pos="426"/>
        </w:tabs>
        <w:spacing w:after="0"/>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Hasil uji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antara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dua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variabel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0.277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sig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0.000. Hal </w:t>
      </w:r>
      <w:proofErr w:type="spellStart"/>
      <w:r w:rsidRPr="00F07796">
        <w:rPr>
          <w:rFonts w:ascii="Tw Cen MT" w:eastAsia="Twentieth Century" w:hAnsi="Tw Cen MT" w:cs="Twentieth Century"/>
          <w:bCs/>
          <w:sz w:val="24"/>
          <w:szCs w:val="24"/>
        </w:rPr>
        <w:t>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menunjukkan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intensitas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nyeri</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sesudah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sedang</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signifikans</w:t>
      </w:r>
      <w:proofErr w:type="spellEnd"/>
      <w:r w:rsidRPr="00F07796">
        <w:rPr>
          <w:rFonts w:ascii="Tw Cen MT" w:eastAsia="Twentieth Century" w:hAnsi="Tw Cen MT" w:cs="Twentieth Century"/>
          <w:bCs/>
          <w:sz w:val="24"/>
          <w:szCs w:val="24"/>
        </w:rPr>
        <w:t>.</w:t>
      </w:r>
    </w:p>
    <w:p w14:paraId="0CE6671F" w14:textId="235C0FAD" w:rsidR="00F07796" w:rsidRDefault="00F07796"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4. </w:t>
      </w:r>
      <w:r w:rsidRPr="00F07796">
        <w:rPr>
          <w:rFonts w:ascii="Tw Cen MT" w:eastAsia="Twentieth Century" w:hAnsi="Tw Cen MT" w:cs="Twentieth Century"/>
          <w:bCs/>
          <w:sz w:val="24"/>
          <w:szCs w:val="24"/>
        </w:rPr>
        <w:t xml:space="preserve">Hasil </w:t>
      </w:r>
      <w:proofErr w:type="spellStart"/>
      <w:r w:rsidRPr="00F07796">
        <w:rPr>
          <w:rFonts w:ascii="Tw Cen MT" w:eastAsia="Twentieth Century" w:hAnsi="Tw Cen MT" w:cs="Twentieth Century"/>
          <w:bCs/>
          <w:sz w:val="24"/>
          <w:szCs w:val="24"/>
        </w:rPr>
        <w:t>analisa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tanya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jawab</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p>
    <w:p w14:paraId="388E28A6" w14:textId="77777777" w:rsidR="00F07796" w:rsidRDefault="00F07796"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p>
    <w:tbl>
      <w:tblPr>
        <w:tblW w:w="0" w:type="auto"/>
        <w:tblInd w:w="82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54"/>
        <w:gridCol w:w="789"/>
        <w:gridCol w:w="746"/>
        <w:gridCol w:w="703"/>
      </w:tblGrid>
      <w:tr w:rsidR="00F07796" w:rsidRPr="00A742D9" w14:paraId="5E991C60" w14:textId="77777777" w:rsidTr="00355451">
        <w:trPr>
          <w:trHeight w:val="530"/>
        </w:trPr>
        <w:tc>
          <w:tcPr>
            <w:tcW w:w="1265" w:type="dxa"/>
            <w:tcBorders>
              <w:bottom w:val="single" w:sz="4" w:space="0" w:color="000000"/>
              <w:right w:val="nil"/>
            </w:tcBorders>
          </w:tcPr>
          <w:p w14:paraId="3B5DAEA6" w14:textId="77777777" w:rsidR="00F07796" w:rsidRPr="00A742D9" w:rsidRDefault="00F07796" w:rsidP="00355451">
            <w:pPr>
              <w:spacing w:line="240" w:lineRule="auto"/>
              <w:jc w:val="center"/>
              <w:rPr>
                <w:rFonts w:ascii="Tw Cen MT" w:hAnsi="Tw Cen MT" w:cs="Times New Roman"/>
                <w:sz w:val="20"/>
                <w:szCs w:val="20"/>
              </w:rPr>
            </w:pPr>
            <w:proofErr w:type="spellStart"/>
            <w:r w:rsidRPr="00A742D9">
              <w:rPr>
                <w:rFonts w:ascii="Tw Cen MT" w:hAnsi="Tw Cen MT" w:cs="Times New Roman"/>
                <w:sz w:val="20"/>
                <w:szCs w:val="20"/>
              </w:rPr>
              <w:t>Peningkatan</w:t>
            </w:r>
            <w:proofErr w:type="spellEnd"/>
            <w:r w:rsidRPr="00A742D9">
              <w:rPr>
                <w:rFonts w:ascii="Tw Cen MT" w:hAnsi="Tw Cen MT" w:cs="Times New Roman"/>
                <w:sz w:val="20"/>
                <w:szCs w:val="20"/>
              </w:rPr>
              <w:t xml:space="preserve"> </w:t>
            </w:r>
            <w:proofErr w:type="spellStart"/>
            <w:r w:rsidRPr="00A742D9">
              <w:rPr>
                <w:rFonts w:ascii="Tw Cen MT" w:hAnsi="Tw Cen MT" w:cs="Times New Roman"/>
                <w:sz w:val="20"/>
                <w:szCs w:val="20"/>
              </w:rPr>
              <w:t>Pengetahuan</w:t>
            </w:r>
            <w:proofErr w:type="spellEnd"/>
          </w:p>
        </w:tc>
        <w:tc>
          <w:tcPr>
            <w:tcW w:w="1276" w:type="dxa"/>
            <w:tcBorders>
              <w:left w:val="nil"/>
              <w:bottom w:val="single" w:sz="4" w:space="0" w:color="000000"/>
              <w:right w:val="nil"/>
            </w:tcBorders>
          </w:tcPr>
          <w:p w14:paraId="1401E163"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Mean</w:t>
            </w:r>
          </w:p>
        </w:tc>
        <w:tc>
          <w:tcPr>
            <w:tcW w:w="992" w:type="dxa"/>
            <w:tcBorders>
              <w:left w:val="nil"/>
              <w:bottom w:val="single" w:sz="4" w:space="0" w:color="000000"/>
              <w:right w:val="nil"/>
            </w:tcBorders>
          </w:tcPr>
          <w:p w14:paraId="27304698"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Beda Mean</w:t>
            </w:r>
          </w:p>
        </w:tc>
        <w:tc>
          <w:tcPr>
            <w:tcW w:w="709" w:type="dxa"/>
            <w:tcBorders>
              <w:left w:val="nil"/>
              <w:bottom w:val="single" w:sz="4" w:space="0" w:color="000000"/>
              <w:right w:val="nil"/>
            </w:tcBorders>
          </w:tcPr>
          <w:p w14:paraId="0210EE78"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 xml:space="preserve"> Nilai p </w:t>
            </w:r>
          </w:p>
        </w:tc>
      </w:tr>
      <w:tr w:rsidR="00F07796" w:rsidRPr="00A742D9" w14:paraId="52C65BC5" w14:textId="77777777" w:rsidTr="00355451">
        <w:tc>
          <w:tcPr>
            <w:tcW w:w="1265" w:type="dxa"/>
            <w:tcBorders>
              <w:bottom w:val="single" w:sz="4" w:space="0" w:color="000000"/>
              <w:right w:val="nil"/>
            </w:tcBorders>
          </w:tcPr>
          <w:p w14:paraId="32E28437" w14:textId="77777777" w:rsidR="00F07796" w:rsidRPr="00A742D9" w:rsidRDefault="00F07796" w:rsidP="00355451">
            <w:pPr>
              <w:spacing w:line="240" w:lineRule="auto"/>
              <w:jc w:val="both"/>
              <w:rPr>
                <w:rFonts w:ascii="Tw Cen MT" w:hAnsi="Tw Cen MT" w:cs="Times New Roman"/>
                <w:sz w:val="20"/>
                <w:szCs w:val="20"/>
              </w:rPr>
            </w:pPr>
            <w:proofErr w:type="spellStart"/>
            <w:r w:rsidRPr="00A742D9">
              <w:rPr>
                <w:rFonts w:ascii="Tw Cen MT" w:hAnsi="Tw Cen MT" w:cs="Times New Roman"/>
                <w:sz w:val="20"/>
                <w:szCs w:val="20"/>
              </w:rPr>
              <w:t>Ceramah</w:t>
            </w:r>
            <w:proofErr w:type="spellEnd"/>
          </w:p>
        </w:tc>
        <w:tc>
          <w:tcPr>
            <w:tcW w:w="1276" w:type="dxa"/>
            <w:tcBorders>
              <w:left w:val="nil"/>
              <w:bottom w:val="single" w:sz="4" w:space="0" w:color="000000"/>
              <w:right w:val="nil"/>
            </w:tcBorders>
          </w:tcPr>
          <w:p w14:paraId="36F70DB2"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20,72</w:t>
            </w:r>
          </w:p>
        </w:tc>
        <w:tc>
          <w:tcPr>
            <w:tcW w:w="992" w:type="dxa"/>
            <w:vMerge w:val="restart"/>
            <w:tcBorders>
              <w:left w:val="nil"/>
              <w:right w:val="nil"/>
            </w:tcBorders>
            <w:vAlign w:val="center"/>
          </w:tcPr>
          <w:p w14:paraId="3ED525BA"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19,56</w:t>
            </w:r>
          </w:p>
        </w:tc>
        <w:tc>
          <w:tcPr>
            <w:tcW w:w="709" w:type="dxa"/>
            <w:vMerge w:val="restart"/>
            <w:tcBorders>
              <w:top w:val="single" w:sz="4" w:space="0" w:color="000000"/>
              <w:left w:val="nil"/>
              <w:bottom w:val="nil"/>
              <w:right w:val="nil"/>
            </w:tcBorders>
            <w:vAlign w:val="center"/>
          </w:tcPr>
          <w:p w14:paraId="12153607"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0,000</w:t>
            </w:r>
          </w:p>
        </w:tc>
      </w:tr>
      <w:tr w:rsidR="00F07796" w:rsidRPr="00A742D9" w14:paraId="5C76D470" w14:textId="77777777" w:rsidTr="00355451">
        <w:tc>
          <w:tcPr>
            <w:tcW w:w="1265" w:type="dxa"/>
            <w:tcBorders>
              <w:top w:val="single" w:sz="4" w:space="0" w:color="000000"/>
              <w:right w:val="nil"/>
            </w:tcBorders>
          </w:tcPr>
          <w:p w14:paraId="1EBB7B5F" w14:textId="77777777" w:rsidR="00F07796" w:rsidRPr="00A742D9" w:rsidRDefault="00F07796" w:rsidP="00355451">
            <w:pPr>
              <w:spacing w:line="240" w:lineRule="auto"/>
              <w:jc w:val="both"/>
              <w:rPr>
                <w:rFonts w:ascii="Tw Cen MT" w:hAnsi="Tw Cen MT" w:cs="Times New Roman"/>
                <w:sz w:val="20"/>
                <w:szCs w:val="20"/>
              </w:rPr>
            </w:pPr>
            <w:proofErr w:type="spellStart"/>
            <w:r w:rsidRPr="00A742D9">
              <w:rPr>
                <w:rFonts w:ascii="Tw Cen MT" w:hAnsi="Tw Cen MT" w:cs="Times New Roman"/>
                <w:sz w:val="20"/>
                <w:szCs w:val="20"/>
              </w:rPr>
              <w:lastRenderedPageBreak/>
              <w:t>Powtoon</w:t>
            </w:r>
            <w:proofErr w:type="spellEnd"/>
          </w:p>
        </w:tc>
        <w:tc>
          <w:tcPr>
            <w:tcW w:w="1276" w:type="dxa"/>
            <w:tcBorders>
              <w:top w:val="single" w:sz="4" w:space="0" w:color="000000"/>
              <w:left w:val="nil"/>
              <w:right w:val="nil"/>
            </w:tcBorders>
          </w:tcPr>
          <w:p w14:paraId="1978A715" w14:textId="77777777" w:rsidR="00F07796" w:rsidRPr="00A742D9" w:rsidRDefault="00F07796" w:rsidP="00355451">
            <w:pPr>
              <w:spacing w:line="240" w:lineRule="auto"/>
              <w:jc w:val="center"/>
              <w:rPr>
                <w:rFonts w:ascii="Tw Cen MT" w:hAnsi="Tw Cen MT" w:cs="Times New Roman"/>
                <w:sz w:val="20"/>
                <w:szCs w:val="20"/>
              </w:rPr>
            </w:pPr>
            <w:r w:rsidRPr="00A742D9">
              <w:rPr>
                <w:rFonts w:ascii="Tw Cen MT" w:hAnsi="Tw Cen MT" w:cs="Times New Roman"/>
                <w:sz w:val="20"/>
                <w:szCs w:val="20"/>
              </w:rPr>
              <w:t>40,28</w:t>
            </w:r>
          </w:p>
        </w:tc>
        <w:tc>
          <w:tcPr>
            <w:tcW w:w="992" w:type="dxa"/>
            <w:vMerge/>
            <w:tcBorders>
              <w:left w:val="nil"/>
              <w:right w:val="nil"/>
            </w:tcBorders>
          </w:tcPr>
          <w:p w14:paraId="44AE939D" w14:textId="77777777" w:rsidR="00F07796" w:rsidRPr="00A742D9" w:rsidRDefault="00F07796" w:rsidP="00355451">
            <w:pPr>
              <w:spacing w:line="240" w:lineRule="auto"/>
              <w:jc w:val="center"/>
              <w:rPr>
                <w:rFonts w:ascii="Tw Cen MT" w:hAnsi="Tw Cen MT" w:cs="Times New Roman"/>
                <w:sz w:val="20"/>
                <w:szCs w:val="20"/>
              </w:rPr>
            </w:pPr>
          </w:p>
        </w:tc>
        <w:tc>
          <w:tcPr>
            <w:tcW w:w="709" w:type="dxa"/>
            <w:vMerge/>
            <w:tcBorders>
              <w:top w:val="nil"/>
              <w:left w:val="nil"/>
              <w:right w:val="nil"/>
            </w:tcBorders>
          </w:tcPr>
          <w:p w14:paraId="7861D6B5" w14:textId="77777777" w:rsidR="00F07796" w:rsidRPr="00A742D9" w:rsidRDefault="00F07796" w:rsidP="00355451">
            <w:pPr>
              <w:spacing w:line="240" w:lineRule="auto"/>
              <w:jc w:val="center"/>
              <w:rPr>
                <w:rFonts w:ascii="Tw Cen MT" w:hAnsi="Tw Cen MT" w:cs="Times New Roman"/>
                <w:sz w:val="20"/>
                <w:szCs w:val="20"/>
              </w:rPr>
            </w:pPr>
          </w:p>
        </w:tc>
      </w:tr>
    </w:tbl>
    <w:p w14:paraId="45968AF5" w14:textId="77777777" w:rsidR="00F07796" w:rsidRDefault="00F07796"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269D3250" w14:textId="22FAC75C" w:rsidR="00F07796" w:rsidRDefault="00F07796"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Analisa </w:t>
      </w:r>
      <w:proofErr w:type="spellStart"/>
      <w:r w:rsidRPr="00F07796">
        <w:rPr>
          <w:rFonts w:ascii="Tw Cen MT" w:eastAsia="Twentieth Century" w:hAnsi="Tw Cen MT" w:cs="Twentieth Century"/>
          <w:bCs/>
          <w:sz w:val="24"/>
          <w:szCs w:val="24"/>
        </w:rPr>
        <w:t>untuk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mengetahui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perbedaan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efektivitas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menggunakan</w:t>
      </w:r>
      <w:proofErr w:type="spellEnd"/>
      <w:r w:rsidRPr="00F07796">
        <w:rPr>
          <w:rFonts w:ascii="Tw Cen MT" w:eastAsia="Twentieth Century" w:hAnsi="Tw Cen MT" w:cs="Twentieth Century"/>
          <w:bCs/>
          <w:sz w:val="24"/>
          <w:szCs w:val="24"/>
        </w:rPr>
        <w:t xml:space="preserve"> uji statistic non </w:t>
      </w:r>
      <w:proofErr w:type="spellStart"/>
      <w:r w:rsidRPr="00F07796">
        <w:rPr>
          <w:rFonts w:ascii="Tw Cen MT" w:eastAsia="Twentieth Century" w:hAnsi="Tw Cen MT" w:cs="Twentieth Century"/>
          <w:bCs/>
          <w:sz w:val="24"/>
          <w:szCs w:val="24"/>
        </w:rPr>
        <w:t>parametrik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mann-whitney</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karena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distribusi</w:t>
      </w:r>
      <w:proofErr w:type="spellEnd"/>
      <w:r w:rsidRPr="00F07796">
        <w:rPr>
          <w:rFonts w:ascii="Tw Cen MT" w:eastAsia="Twentieth Century" w:hAnsi="Tw Cen MT" w:cs="Twentieth Century"/>
          <w:bCs/>
          <w:sz w:val="24"/>
          <w:szCs w:val="24"/>
        </w:rPr>
        <w:t xml:space="preserve"> data pada </w:t>
      </w:r>
      <w:proofErr w:type="spellStart"/>
      <w:r w:rsidRPr="00F07796">
        <w:rPr>
          <w:rFonts w:ascii="Tw Cen MT" w:eastAsia="Twentieth Century" w:hAnsi="Tw Cen MT" w:cs="Twentieth Century"/>
          <w:bCs/>
          <w:sz w:val="24"/>
          <w:szCs w:val="24"/>
        </w:rPr>
        <w:t>kedua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kemompok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tidak</w:t>
      </w:r>
      <w:proofErr w:type="spellEnd"/>
      <w:r w:rsidRPr="00F07796">
        <w:rPr>
          <w:rFonts w:ascii="Tw Cen MT" w:eastAsia="Twentieth Century" w:hAnsi="Tw Cen MT" w:cs="Twentieth Century"/>
          <w:bCs/>
          <w:sz w:val="24"/>
          <w:szCs w:val="24"/>
        </w:rPr>
        <w:t xml:space="preserve"> normal.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menggunakan</w:t>
      </w:r>
      <w:proofErr w:type="spellEnd"/>
      <w:r w:rsidRPr="00F07796">
        <w:rPr>
          <w:rFonts w:ascii="Tw Cen MT" w:eastAsia="Twentieth Century" w:hAnsi="Tw Cen MT" w:cs="Twentieth Century"/>
          <w:bCs/>
          <w:sz w:val="24"/>
          <w:szCs w:val="24"/>
        </w:rPr>
        <w:t xml:space="preserve"> uji Mann-Whitney </w:t>
      </w:r>
      <w:proofErr w:type="spellStart"/>
      <w:r w:rsidRPr="00F07796">
        <w:rPr>
          <w:rFonts w:ascii="Tw Cen MT" w:eastAsia="Twentieth Century" w:hAnsi="Tw Cen MT" w:cs="Twentieth Century"/>
          <w:bCs/>
          <w:sz w:val="24"/>
          <w:szCs w:val="24"/>
        </w:rPr>
        <w:t>diperoleh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pada </w:t>
      </w:r>
      <w:proofErr w:type="spellStart"/>
      <w:r w:rsidRPr="00F07796">
        <w:rPr>
          <w:rFonts w:ascii="Tw Cen MT" w:eastAsia="Twentieth Century" w:hAnsi="Tw Cen MT" w:cs="Twentieth Century"/>
          <w:bCs/>
          <w:sz w:val="24"/>
          <w:szCs w:val="24"/>
        </w:rPr>
        <w:t>kelompok</w:t>
      </w:r>
      <w:proofErr w:type="spellEnd"/>
      <w:r w:rsidRPr="00F07796">
        <w:rPr>
          <w:rFonts w:ascii="Tw Cen MT" w:eastAsia="Twentieth Century" w:hAnsi="Tw Cen MT" w:cs="Twentieth Century"/>
          <w:bCs/>
          <w:sz w:val="24"/>
          <w:szCs w:val="24"/>
        </w:rPr>
        <w:t xml:space="preserve"> control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20,72 dan pada </w:t>
      </w:r>
      <w:proofErr w:type="spellStart"/>
      <w:r w:rsidRPr="00F07796">
        <w:rPr>
          <w:rFonts w:ascii="Tw Cen MT" w:eastAsia="Twentieth Century" w:hAnsi="Tw Cen MT" w:cs="Twentieth Century"/>
          <w:bCs/>
          <w:sz w:val="24"/>
          <w:szCs w:val="24"/>
        </w:rPr>
        <w:t>kelompok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intevensi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40,28. </w:t>
      </w:r>
      <w:proofErr w:type="spellStart"/>
      <w:r w:rsidRPr="00F07796">
        <w:rPr>
          <w:rFonts w:ascii="Tw Cen MT" w:eastAsia="Twentieth Century" w:hAnsi="Tw Cen MT" w:cs="Twentieth Century"/>
          <w:bCs/>
          <w:sz w:val="24"/>
          <w:szCs w:val="24"/>
        </w:rPr>
        <w:t>Terlihat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perbedaan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19,56. Nilai </w:t>
      </w:r>
      <w:proofErr w:type="spellStart"/>
      <w:r w:rsidRPr="00F07796">
        <w:rPr>
          <w:rFonts w:ascii="Tw Cen MT" w:eastAsia="Twentieth Century" w:hAnsi="Tw Cen MT" w:cs="Twentieth Century"/>
          <w:bCs/>
          <w:sz w:val="24"/>
          <w:szCs w:val="24"/>
        </w:rPr>
        <w:t>signifikansi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menunjukkan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p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0,000 (&lt;0.05)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confidence interval 95%, </w:t>
      </w:r>
      <w:proofErr w:type="spellStart"/>
      <w:r w:rsidRPr="00F07796">
        <w:rPr>
          <w:rFonts w:ascii="Tw Cen MT" w:eastAsia="Twentieth Century" w:hAnsi="Tw Cen MT" w:cs="Twentieth Century"/>
          <w:bCs/>
          <w:sz w:val="24"/>
          <w:szCs w:val="24"/>
        </w:rPr>
        <w:t>dapat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disimpulkan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Ho </w:t>
      </w:r>
      <w:proofErr w:type="spellStart"/>
      <w:r w:rsidRPr="00F07796">
        <w:rPr>
          <w:rFonts w:ascii="Tw Cen MT" w:eastAsia="Twentieth Century" w:hAnsi="Tw Cen MT" w:cs="Twentieth Century"/>
          <w:bCs/>
          <w:sz w:val="24"/>
          <w:szCs w:val="24"/>
        </w:rPr>
        <w:t>ditolak</w:t>
      </w:r>
      <w:proofErr w:type="spellEnd"/>
      <w:r w:rsidRPr="00F07796">
        <w:rPr>
          <w:rFonts w:ascii="Tw Cen MT" w:eastAsia="Twentieth Century" w:hAnsi="Tw Cen MT" w:cs="Twentieth Century"/>
          <w:bCs/>
          <w:sz w:val="24"/>
          <w:szCs w:val="24"/>
        </w:rPr>
        <w:t xml:space="preserve"> dan Ha </w:t>
      </w:r>
      <w:proofErr w:type="spellStart"/>
      <w:r w:rsidRPr="00F07796">
        <w:rPr>
          <w:rFonts w:ascii="Tw Cen MT" w:eastAsia="Twentieth Century" w:hAnsi="Tw Cen MT" w:cs="Twentieth Century"/>
          <w:bCs/>
          <w:sz w:val="24"/>
          <w:szCs w:val="24"/>
        </w:rPr>
        <w:t>diterima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berarti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perbedaan</w:t>
      </w:r>
      <w:proofErr w:type="spellEnd"/>
      <w:r w:rsidRPr="00F07796">
        <w:rPr>
          <w:rFonts w:ascii="Tw Cen MT" w:eastAsia="Twentieth Century" w:hAnsi="Tw Cen MT" w:cs="Twentieth Century"/>
          <w:bCs/>
          <w:sz w:val="24"/>
          <w:szCs w:val="24"/>
        </w:rPr>
        <w:t xml:space="preserve"> yang </w:t>
      </w:r>
      <w:proofErr w:type="spellStart"/>
      <w:r w:rsidRPr="00F07796">
        <w:rPr>
          <w:rFonts w:ascii="Tw Cen MT" w:eastAsia="Twentieth Century" w:hAnsi="Tw Cen MT" w:cs="Twentieth Century"/>
          <w:bCs/>
          <w:sz w:val="24"/>
          <w:szCs w:val="24"/>
        </w:rPr>
        <w:t>bermakna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sesudah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di Wilayah </w:t>
      </w:r>
      <w:proofErr w:type="spellStart"/>
      <w:r w:rsidRPr="00F07796">
        <w:rPr>
          <w:rFonts w:ascii="Tw Cen MT" w:eastAsia="Twentieth Century" w:hAnsi="Tw Cen MT" w:cs="Twentieth Century"/>
          <w:bCs/>
          <w:sz w:val="24"/>
          <w:szCs w:val="24"/>
        </w:rPr>
        <w:t>Kerja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Puskesmas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Buaran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Kabupaten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Pekalongan</w:t>
      </w:r>
      <w:proofErr w:type="spellEnd"/>
      <w:r w:rsidRPr="00F07796">
        <w:rPr>
          <w:rFonts w:ascii="Tw Cen MT" w:eastAsia="Twentieth Century" w:hAnsi="Tw Cen MT" w:cs="Twentieth Century"/>
          <w:bCs/>
          <w:sz w:val="24"/>
          <w:szCs w:val="24"/>
        </w:rPr>
        <w:t>.</w:t>
      </w:r>
    </w:p>
    <w:p w14:paraId="4730FF74" w14:textId="77777777" w:rsidR="006E524B" w:rsidRDefault="006E524B" w:rsidP="00F07796">
      <w:pPr>
        <w:pStyle w:val="DaftarParagraf"/>
        <w:tabs>
          <w:tab w:val="left" w:pos="426"/>
        </w:tabs>
        <w:spacing w:after="0" w:line="240" w:lineRule="auto"/>
        <w:ind w:left="360"/>
        <w:jc w:val="both"/>
        <w:rPr>
          <w:rFonts w:ascii="Tw Cen MT" w:eastAsia="Twentieth Century" w:hAnsi="Tw Cen MT" w:cs="Twentieth Century"/>
          <w:bCs/>
          <w:sz w:val="24"/>
          <w:szCs w:val="24"/>
        </w:rPr>
      </w:pPr>
    </w:p>
    <w:p w14:paraId="47CCBE5A" w14:textId="034A8CC7" w:rsidR="00E333C7" w:rsidRDefault="009B67E4" w:rsidP="00274781">
      <w:pPr>
        <w:pStyle w:val="DaftarParagraf"/>
        <w:numPr>
          <w:ilvl w:val="0"/>
          <w:numId w:val="5"/>
        </w:numPr>
        <w:tabs>
          <w:tab w:val="left" w:pos="426"/>
        </w:tabs>
        <w:spacing w:after="0"/>
        <w:ind w:left="360"/>
        <w:jc w:val="both"/>
        <w:rPr>
          <w:rFonts w:ascii="Tw Cen MT" w:eastAsia="Twentieth Century" w:hAnsi="Tw Cen MT" w:cs="Twentieth Century"/>
          <w:bCs/>
          <w:sz w:val="24"/>
          <w:szCs w:val="24"/>
        </w:rPr>
      </w:pPr>
      <w:commentRangeStart w:id="4"/>
      <w:proofErr w:type="spellStart"/>
      <w:r w:rsidRPr="006E524B">
        <w:rPr>
          <w:rFonts w:ascii="Tw Cen MT" w:eastAsia="Twentieth Century" w:hAnsi="Tw Cen MT" w:cs="Twentieth Century"/>
          <w:bCs/>
          <w:sz w:val="24"/>
          <w:szCs w:val="24"/>
        </w:rPr>
        <w:t>Pembahasan</w:t>
      </w:r>
      <w:commentRangeEnd w:id="4"/>
      <w:proofErr w:type="spellEnd"/>
      <w:r w:rsidR="007E047F">
        <w:rPr>
          <w:rStyle w:val="ReferensiKomentar"/>
          <w:rFonts w:eastAsiaTheme="minorEastAsia" w:cs="Calibri"/>
          <w:lang w:val="en-US" w:eastAsia="en-US"/>
        </w:rPr>
        <w:commentReference w:id="4"/>
      </w:r>
    </w:p>
    <w:p w14:paraId="4710630D" w14:textId="4FE1BCF3" w:rsidR="006E524B" w:rsidRDefault="006E524B" w:rsidP="006E524B">
      <w:pPr>
        <w:pStyle w:val="DaftarParagraf"/>
        <w:tabs>
          <w:tab w:val="left" w:pos="426"/>
        </w:tabs>
        <w:spacing w:after="0" w:line="240" w:lineRule="auto"/>
        <w:ind w:left="360"/>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Hasil </w:t>
      </w:r>
      <w:proofErr w:type="spellStart"/>
      <w:r w:rsidRPr="006E524B">
        <w:rPr>
          <w:rFonts w:ascii="Tw Cen MT" w:eastAsia="Twentieth Century" w:hAnsi="Tw Cen MT" w:cs="Twentieth Century"/>
          <w:bCs/>
          <w:sz w:val="24"/>
          <w:szCs w:val="24"/>
        </w:rPr>
        <w:t>pengukuran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didapatkan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perubahan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dilakukannya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selama</w:t>
      </w:r>
      <w:proofErr w:type="spellEnd"/>
      <w:r w:rsidRPr="006E524B">
        <w:rPr>
          <w:rFonts w:ascii="Tw Cen MT" w:eastAsia="Twentieth Century" w:hAnsi="Tw Cen MT" w:cs="Twentieth Century"/>
          <w:bCs/>
          <w:sz w:val="24"/>
          <w:szCs w:val="24"/>
        </w:rPr>
        <w:t xml:space="preserve"> 30 </w:t>
      </w:r>
      <w:proofErr w:type="spellStart"/>
      <w:r w:rsidRPr="006E524B">
        <w:rPr>
          <w:rFonts w:ascii="Tw Cen MT" w:eastAsia="Twentieth Century" w:hAnsi="Tw Cen MT" w:cs="Twentieth Century"/>
          <w:bCs/>
          <w:sz w:val="24"/>
          <w:szCs w:val="24"/>
        </w:rPr>
        <w:t>menit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Menurut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Magdalena,</w:t>
      </w:r>
      <w:r w:rsidR="00C605EF">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seribu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kehidupan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pendidikan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Hasil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nilai</w:t>
      </w:r>
      <w:proofErr w:type="spellEnd"/>
      <w:r w:rsidRPr="006E524B">
        <w:rPr>
          <w:rFonts w:ascii="Tw Cen MT" w:eastAsia="Twentieth Century" w:hAnsi="Tw Cen MT" w:cs="Twentieth Century"/>
          <w:bCs/>
          <w:sz w:val="24"/>
          <w:szCs w:val="24"/>
        </w:rPr>
        <w:t xml:space="preserve"> p value 0,000 ( &gt; 0,05)</w:t>
      </w:r>
      <w:r w:rsidR="00C605EF">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Meskipun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tidak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efektivitas</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{"citationItems":[{"id":"ITEM-1","itemData":{"DOI":"10.1186/s12905-020-00947-1","ISSN":"14726874","PMID":"32370804","abstract":"Background: Breastfeeding is one of the most important interfering factors in infants' health. Monitoring mothers' performance and providing them with the feedback helps to increase their self-efficacy, interest in learning, and level of performance. The present research evaluates the effect of prenatal counseling on the breastfeeding self-efficacy and frequency of breastfeeding problems in mothers with previous unsuccessful breastfeeding. Methods: This randomized controlled clinical trial was conducted on 108 pregnant women with unsuccessful breastfeeding in Tabriz health centers during 2017-2018. The participants were randomly assigned to intervention and control groups. The intervention group had four prenatal counseling sessions and the controls only received routine care. Then, the mothers who gave birth to their children received a counseling session up to 4 months after the delivery. The Breastfeeding Self-Efficacy (BSES) questionnaire and the frequency of breast feeding problems checklist on the 15th day, and 2nd and 4th month were completed both by the intervention and control groups. Results: The mean (SD) of breastfeeding self-efficacy was 119.3 (10.5), 128.3 (8.3) and 133.8 (10.3) in the intervention group and 105.3 (16.1), 105.7 (19.7) and 109.4 (24.7) in the control group on the 15th day, 2nd and 4th month after the delivery, respectively. There was a significant difference in terms of breastfeeding self-efficacy between intervention and control group on the 15th day (p &lt; 0.001), and 2nd (p &lt; 0.001) and 4th (p &lt; 0.001) month after the delivery. The frequency of breastfeeding problems on the 15th (p = 0.008), 2nd (p &lt; 0.001) and 4th (p &lt; 0.001) after the delivery was significantly different in most cases of the intervention group when compared to the controls. Conclusion: The results indicated that prenatal counseling can increase mothers' breastfeeding self-efficacy and solves most breastfeeding problems during postpartum period. Trial registration: IRCT20100109003027N19.","author":[{"dropping-particle":"","family":"Shafaei","given":"Fahimeh Sehhatie","non-dropping-particle":"","parse-names":false,"suffix":""},{"dropping-particle":"","family":"Mirghafourvand","given":"Mojgan","non-dropping-particle":"","parse-names":false,"suffix":""},{"dropping-particle":"","family":"Havizari","given":"Shiva","non-dropping-particle":"","parse-names":false,"suffix":""}],"container-title":"BMC Women's Health","id":"ITEM-1","issue":"1","issued":{"date-parts":[["2020"]]},"page":"1-10","publisher":"BMC Women's Health","title":"The effect of prenatal counseling on breastfeeding self-efficacy and frequency of breastfeeding problems in mothers with previous unsuccessful breastfeeding: A randomized controlled clinical trial","type":"article-journal","volume":"20"},"uris":["http://www.mendeley.com/documents/?uuid=dce2e650-c166-4da4-bfbf-524687c599a7"]}],"mendeley":{"formattedCitation":"[7]","plainTextFormattedCitation":"[7]","previouslyFormattedCitation":"[7]"},"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[7]</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w:t>
      </w:r>
      <w:r w:rsidRPr="006E524B">
        <w:rPr>
          <w:rFonts w:ascii="Tw Cen MT" w:eastAsia="Twentieth Century" w:hAnsi="Tw Cen MT" w:cs="Twentieth Century"/>
          <w:bCs/>
          <w:sz w:val="24"/>
          <w:szCs w:val="24"/>
        </w:rPr>
        <w:t xml:space="preserve"> </w:t>
      </w:r>
      <w:proofErr w:type="spellStart"/>
      <w:r w:rsidR="00C605EF">
        <w:rPr>
          <w:rFonts w:ascii="Tw Cen MT" w:eastAsia="Twentieth Century" w:hAnsi="Tw Cen MT" w:cs="Twentieth Century"/>
          <w:bCs/>
          <w:sz w:val="24"/>
          <w:szCs w:val="24"/>
        </w:rPr>
        <w:t>M</w:t>
      </w:r>
      <w:r w:rsidRPr="006E524B">
        <w:rPr>
          <w:rFonts w:ascii="Tw Cen MT" w:eastAsia="Twentieth Century" w:hAnsi="Tw Cen MT" w:cs="Twentieth Century"/>
          <w:bCs/>
          <w:sz w:val="24"/>
          <w:szCs w:val="24"/>
        </w:rPr>
        <w:t>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menurut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Brændstrup</w:t>
      </w:r>
      <w:proofErr w:type="spellEnd"/>
      <w:r w:rsidR="00C605EF">
        <w:rPr>
          <w:rFonts w:ascii="Tw Cen MT" w:eastAsia="Twentieth Century" w:hAnsi="Tw Cen MT" w:cs="Twentieth Century"/>
          <w:bCs/>
          <w:sz w:val="24"/>
          <w:szCs w:val="24"/>
        </w:rPr>
        <w:t xml:space="preserve">, </w:t>
      </w:r>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kelebihan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komunikasi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dua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arah</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memungkinkan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pertanyaan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jawaban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tercipta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interaksi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antara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menjadi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memahami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materi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{"citationItems":[{"id":"ITEM-1","itemData":{"DOI":"10.1371/journal.pone.0065772","ISSN":"19326203","PMID":"23776544","abstract":"Introduction: In low-resource settings, community health workers are frontline providers who shoulder the health service delivery burden. Increasingly, mobile technologies are developed, tested, and deployed with community health workers to facilitate tasks and improve outcomes. We reviewed the evidence for the use of mobile technology by community health workers to identify opportunities and challenges for strengthening health systems in resource-constrained settings. Methods: We conducted a systematic review of peer-reviewed literature from health, medical, social science, and engineering databases, using PRISMA guidelines. We identified a total of 25 unique full-text research articles on community health workers and their use of mobile technology for the delivery of health services. Results: Community health workers have used mobile tools to advance a broad range of health aims throughout the globe, particularly maternal and child health, HIV/AIDS, and sexual and reproductive health. Most commonly, community health workers use mobile technology to collect field-based health data, receive alerts and reminders, facilitate health education sessions, and conduct person-to-person communication. Programmatic efforts to strengthen health service delivery focus on improving adherence to standards and guidelines, community education and training, and programmatic leadership and management practices. Those studies that evaluated program outcomes provided some evidence that mobile tools help community health workers to improve the quality of care provided, efficiency of services, and capacity for program monitoring. Discussion: Evidence suggests mobile technology presents promising opportunities to improve the range and quality of services provided by community health workers. Small-scale efforts, pilot projects, and preliminary descriptive studies are increasing, and there is a trend toward using feasible and acceptable interventions that lead to positive program outcomes through operational improvements and rigorous study designs. Programmatic and scientific gaps will need to be addressed by global leaders as they advance the use and assessment of mobile technology tools for community health workers. © 2013 Braun et al.","author":[{"dropping-particle":"","family":"Braun","given":"Rebecca","non-dropping-particle":"","parse-names":false,"suffix":""},{"dropping-particle":"","family":"Catalani","given":"Caricia","non-dropping-particle":"","parse-names":false,"suffix":""},{"dropping-particle":"","family":"Wimbush","given":"Julian","non-dropping-particle":"","parse-names":false,"suffix":""},{"dropping-particle":"","family":"Israelski","given":"Dennis","non-dropping-particle":"","parse-names":false,"suffix":""}],"container-title":"PLoS ONE","id":"ITEM-1","issue":"6","issued":{"date-parts":[["2013"]]},"page":"4-9","title":"Community Health Workers and Mobile Technology: A Systematic Review of the Literature","type":"article-journal","volume":"8"},"uris":["http://www.mendeley.com/documents/?uuid=ec9571c6-8411-4311-b8cc-fdfb0e87dd6c"]}],"mendeley":{"formattedCitation":"[8]","plainTextFormattedCitation":"[8]","previouslyFormattedCitation":"[8]"},"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[8]</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di Haiti, Malawi, dan Senegal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tanda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bahaya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faktor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793130">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[9]","plainTextFormattedCitation":"[9]","previouslyFormattedCitation":"[9]"},"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[9]</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t>T</w:t>
      </w:r>
      <w:r w:rsidRPr="006E524B">
        <w:rPr>
          <w:rFonts w:ascii="Tw Cen MT" w:eastAsia="Twentieth Century" w:hAnsi="Tw Cen MT" w:cs="Twentieth Century"/>
          <w:bCs/>
          <w:sz w:val="24"/>
          <w:szCs w:val="24"/>
        </w:rPr>
        <w:t xml:space="preserve">ingkat </w:t>
      </w:r>
      <w:proofErr w:type="spellStart"/>
      <w:r w:rsidRPr="006E524B">
        <w:rPr>
          <w:rFonts w:ascii="Tw Cen MT" w:eastAsia="Twentieth Century" w:hAnsi="Tw Cen MT" w:cs="Twentieth Century"/>
          <w:bCs/>
          <w:sz w:val="24"/>
          <w:szCs w:val="24"/>
        </w:rPr>
        <w:t>konsentrasi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diserap</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memperhatikan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seksama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fokus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maka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juga </w:t>
      </w:r>
      <w:proofErr w:type="spellStart"/>
      <w:r w:rsidRPr="006E524B">
        <w:rPr>
          <w:rFonts w:ascii="Tw Cen MT" w:eastAsia="Twentieth Century" w:hAnsi="Tw Cen MT" w:cs="Twentieth Century"/>
          <w:bCs/>
          <w:sz w:val="24"/>
          <w:szCs w:val="24"/>
        </w:rPr>
        <w:t>cenderung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793130">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[9]","plainTextFormattedCitation":"[9]","previouslyFormattedCitation":"[9]"},"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793130" w:rsidRPr="00793130">
        <w:rPr>
          <w:rFonts w:ascii="Tw Cen MT" w:eastAsia="Twentieth Century" w:hAnsi="Tw Cen MT" w:cs="Twentieth Century"/>
          <w:bCs/>
          <w:noProof/>
          <w:sz w:val="24"/>
          <w:szCs w:val="24"/>
        </w:rPr>
        <w:t>[9]</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p>
    <w:p w14:paraId="3258CB57" w14:textId="7B316C9F" w:rsidR="00793130" w:rsidRDefault="006E524B" w:rsidP="006E524B">
      <w:pPr>
        <w:pStyle w:val="DaftarParagraf"/>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t xml:space="preserve">yang </w:t>
      </w:r>
      <w:proofErr w:type="spellStart"/>
      <w:r w:rsidR="00793130">
        <w:rPr>
          <w:rFonts w:ascii="Tw Cen MT" w:eastAsia="Twentieth Century" w:hAnsi="Tw Cen MT" w:cs="Twentieth Century"/>
          <w:bCs/>
          <w:sz w:val="24"/>
          <w:szCs w:val="24"/>
        </w:rPr>
        <w:t>dilakukan</w:t>
      </w:r>
      <w:proofErr w:type="spellEnd"/>
      <w:r w:rsidR="00793130">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Utami</w:t>
      </w:r>
      <w:proofErr w:type="spellEnd"/>
      <w:r w:rsidR="00793130">
        <w:rPr>
          <w:rFonts w:ascii="Tw Cen MT" w:eastAsia="Twentieth Century" w:hAnsi="Tw Cen MT" w:cs="Twentieth Century"/>
          <w:bCs/>
          <w:sz w:val="24"/>
          <w:szCs w:val="24"/>
        </w:rPr>
        <w:t xml:space="preserve"> </w:t>
      </w:r>
      <w:proofErr w:type="spellStart"/>
      <w:r w:rsidR="00793130">
        <w:rPr>
          <w:rFonts w:ascii="Tw Cen MT" w:eastAsia="Twentieth Century" w:hAnsi="Tw Cen MT" w:cs="Twentieth Century"/>
          <w:bCs/>
          <w:sz w:val="24"/>
          <w:szCs w:val="24"/>
        </w:rPr>
        <w:t>mengenai</w:t>
      </w:r>
      <w:proofErr w:type="spellEnd"/>
      <w:r w:rsidR="00793130">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pengembangan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sangat </w:t>
      </w:r>
      <w:proofErr w:type="spellStart"/>
      <w:r w:rsidRPr="006E524B">
        <w:rPr>
          <w:rFonts w:ascii="Tw Cen MT" w:eastAsia="Twentieth Century" w:hAnsi="Tw Cen MT" w:cs="Twentieth Century"/>
          <w:bCs/>
          <w:sz w:val="24"/>
          <w:szCs w:val="24"/>
        </w:rPr>
        <w:t>bermanfaat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khususnya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penilitian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reproduksi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remaja</w:t>
      </w:r>
      <w:proofErr w:type="spellEnd"/>
      <w:r w:rsidRPr="006E524B">
        <w:rPr>
          <w:rFonts w:ascii="Tw Cen MT" w:eastAsia="Twentieth Century" w:hAnsi="Tw Cen MT" w:cs="Twentieth Century"/>
          <w:bCs/>
          <w:sz w:val="24"/>
          <w:szCs w:val="24"/>
        </w:rPr>
        <w:t xml:space="preserve"> SMP. 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dinilai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memanfaatkan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dan video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menarik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untuk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ditonton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terutama</w:t>
      </w:r>
      <w:proofErr w:type="spellEnd"/>
      <w:r w:rsidRPr="006E524B">
        <w:rPr>
          <w:rFonts w:ascii="Tw Cen MT" w:eastAsia="Twentieth Century" w:hAnsi="Tw Cen MT" w:cs="Twentieth Century"/>
          <w:bCs/>
          <w:sz w:val="24"/>
          <w:szCs w:val="24"/>
        </w:rPr>
        <w:t xml:space="preserve"> para </w:t>
      </w:r>
      <w:proofErr w:type="spellStart"/>
      <w:r w:rsidRPr="006E524B">
        <w:rPr>
          <w:rFonts w:ascii="Tw Cen MT" w:eastAsia="Twentieth Century" w:hAnsi="Tw Cen MT" w:cs="Twentieth Century"/>
          <w:bCs/>
          <w:sz w:val="24"/>
          <w:szCs w:val="24"/>
        </w:rPr>
        <w:t>remaja</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793130">
        <w:rPr>
          <w:rFonts w:ascii="Tw Cen MT" w:eastAsia="Twentieth Century" w:hAnsi="Tw Cen MT" w:cs="Twentieth Century"/>
          <w:bCs/>
          <w:sz w:val="24"/>
          <w:szCs w:val="24"/>
        </w:rPr>
        <w:instrText xml:space="preserve">ADDIN CSL_CITATION {"citationItems":[{"id":"ITEM-1","itemData":{"abstract":"The aim of this research is to determined the e ffectiveness of health education about high risk pregnancy for knowledge among pregnant women. The design of this research was Quasy experiment approach with non equivalent control-group were divided into experimental group and control group. The research was conducted in pregnant women in in the “ Puskesmas Rejosari Kecamatan Tenayan Raya. The total sample was 30 people which is the minimum sample that must be fulfilled in quantitative research. Measur ement tools use in both of groups was questionaire that ha d been tested in validity (r = 0,523-0,923) and realibility (r = 0,951). Analysis was used univariate and bivariate analyzes using Dependent test and Independent test . The results showed that there was significant of increase in knowledge of the changes in pregnant woman in the experimental group after the given health education about high-risk pregnanc y with p value (0.000) &lt; </w:instrText>
      </w:r>
      <w:r w:rsidR="00793130">
        <w:rPr>
          <w:rFonts w:eastAsia="Twentieth Century" w:cs="Calibri"/>
          <w:bCs/>
          <w:sz w:val="24"/>
          <w:szCs w:val="24"/>
        </w:rPr>
        <w:instrText>α</w:instrText>
      </w:r>
      <w:r w:rsidR="00793130">
        <w:rPr>
          <w:rFonts w:ascii="Tw Cen MT" w:eastAsia="Twentieth Century" w:hAnsi="Tw Cen MT" w:cs="Twentieth Century"/>
          <w:bCs/>
          <w:sz w:val="24"/>
          <w:szCs w:val="24"/>
        </w:rPr>
        <w:instrText xml:space="preserve"> (0,05). It means that health education about high-risk pregnanc y effective to improve the knowledge pregnant woman. It is recommended for health provider especially mother and children health unit to always give health education about high-risk pregnancy. Keywords : H igh- risk pregnancies , knowledge, health education .","author":[{"dropping-particle":"","family":"Fitriani","given":"Elvi","non-dropping-particle":"","parse-names":false,"suffix":""},{"dropping-particle":"","family":"Utami","given":"Sri","non-dropping-particle":"","parse-names":false,"suffix":""},{"dropping-particle":"","family":"Rahmalia","given":"Siti","non-dropping-particle":"","parse-names":false,"suffix":""}],"container-title":"Jom Psik","id":"ITEM-1","issue":"OKTOBER","issued":{"date-parts":[["2014"]]},"page":"1","title":"Efektifitas Pendidikan Kesehatan Tentang Kehamilan Resiko Tinggi Terhadap Pengetahuan Ibu Hamil","type":"article-journal","volume":"1"},"uris":["http://www.mendeley.com/documents/?uuid=06a84679-19f3-48f9-b0a2-59b29325eef1"]}],"mendeley":{"formattedCitation":"[10]","plainTextFormattedCitation":"[10]","previouslyFormattedCitation":"[10]"},"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793130" w:rsidRPr="00793130">
        <w:rPr>
          <w:rFonts w:ascii="Tw Cen MT" w:eastAsia="Twentieth Century" w:hAnsi="Tw Cen MT" w:cs="Twentieth Century"/>
          <w:bCs/>
          <w:noProof/>
          <w:sz w:val="24"/>
          <w:szCs w:val="24"/>
        </w:rPr>
        <w:t>[10]</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p>
    <w:p w14:paraId="38CB58E2" w14:textId="3D34433C" w:rsidR="00793130" w:rsidRDefault="006E524B" w:rsidP="006E524B">
      <w:pPr>
        <w:pStyle w:val="DaftarParagraf"/>
        <w:tabs>
          <w:tab w:val="left" w:pos="426"/>
        </w:tabs>
        <w:spacing w:after="0" w:line="240" w:lineRule="auto"/>
        <w:ind w:left="360" w:firstLine="349"/>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Pada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mengalami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dibandingkan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Hal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lastRenderedPageBreak/>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uraian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diatas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berupa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suara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gambar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793130">
        <w:rPr>
          <w:rFonts w:ascii="Tw Cen MT" w:eastAsia="Twentieth Century" w:hAnsi="Tw Cen MT" w:cs="Twentieth Century"/>
          <w:bCs/>
          <w:sz w:val="24"/>
          <w:szCs w:val="24"/>
        </w:rPr>
        <w:instrText>ADDIN CSL_CITATION {"citationItems":[{"id":"ITEM-1","itemData":{"DOI":"10.37413/jmakia.v5i1.35","ISSN":"2407-6309","abstract":"ABSTRAKKehamilan, persalinan, nifas dan bayi baru lahir dalam prosesnya terdapat kemungkinan suatu keadaan yang dapat mengancam jiwa ibu dan bayi bahkan dapat menyebabkan kematian. Kematian ibu dapat dicegah jika kita dapat melakukan deteksi dengan baik, salah satu alat unuk mendeteksi resiko tinggi ibu hamil adalah dengan menggunakan Kartu Skor Poedji Rochjati (KSPR). Tujuan dari penelitian ini untuk mengetahui  Efektifitas Kartu Skor Poedji Rochjati (KSPR) untuk deteksi resiko tinggi pada ibu hamil di wilayah Puskesmas Ngumpakdalem Kabupaten Bojonegoro.Desain penelitian kohord retrospektif dengan menggunakan data sekunder. Penelitian dilakukan bulan Mei – Agustus 2017 di Puskesmas Ngumpakdalem, Kecamatan Dander, Kabupaten Bojonegoro. Populasi dalam penelitian ini adalah seluruh ibu hamil pada tahun 2016 sebanyak 505 ibu, sampel dalam penelitian ini menggunakan tehnik total populasi.Hasil penelitian terdapat ibu hamil dengan resiko rendah (KRR) sebanyak 312 (61,8%), dengan kehamilan resiko tinggi  (KRT) sebanyak 175 (34,6%), dan dengan kehamilan resiko sangat tinggi (KRST) sebanyak 18 (3,6%), responden dengan jumlah skor 2 sebanyak 312 (61,2%), skor 6 sebanyak 116 (23%), skor 10 sebanyak 59 (11,7%), skor 14 sebanyak 17 (3,4%), dan skor 18 sebanyak 1 (0,2%). Hasil uji Chi Square didapatkan nilai p value  0,001 yang berarti kartu Skor Poedji Rochjati (KSPR) efektif untuk deteksi resiko tinggi pada ibu hamil.Kartu Skor Poedji Rochjati (KSPR) efektif untuk deteksi resiko tinggi pada ibu hamil, tetapi kehamilan tanpa resiko tetap perlu diberikan asuhan secara komprehensif karena resiko kehamilan dapat berubah seiiring waktu kehamilan dan persalinan. Kata Kunci : Efektifitas, KSPR, Resiko Tinggi, Ibu Hamil  ABSTRACTPregnancy, childbirth, childbirth and newborn in the process there is the possibility of a situation that can be life-threatening mother and baby can even cause death. Maternal deaths can be prevented if we can perform a good detection, one tool to detect high risk pregnant women is by using the Card Score Poedji Rochjati (KSPR). The purpose of this research is to know the effectiveness of Rochjati Poedji Score Card (KSPR) for high risk detection in pregnant women in Ngumpakdalem District Health Center of Bojonegoro Regency.Design of retrospective cohort studies using secondary data. The study was conducted in May - August 2017 at Ngumpakdalem Health Center, Dander Sub-district, Bojonegoro District. The population in this study is all pregnant wom…","author":[{"dropping-particle":"","family":"Saraswati","given":"Devi Endah","non-dropping-particle":"","parse-names":false,"suffix":""},{"dropping-particle":"","family":"Hariastuti","given":"Fela Putri","non-dropping-particle":"","parse-names":false,"suffix":""}],"container-title":"Jurnal Ilmu Kesehatan MAKIA","id":"ITEM-1","issue":"1","issued":{"date-parts":[["2017"]]},"page":"28-33","title":"Efektivitas Kartu Skor Poedji Rochjati (KSPR) Untuk Deteksi Resiko Tinggi Pada Ibu Hamil Di Puskesmas Ngumpakdalem Kabupaten Bojonegoro","type":"article-journal","volume":"5"},"uris":["http://www.mendeley.com/documents/?uuid=30852c40-ce9f-4aca-bbd0-d30ebbec797a"]}],"mendeley":{"formattedCitation":"[11]","plainTextFormattedCitation":"[11]","previouslyFormattedCitation":"[11]"},"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793130" w:rsidRPr="00793130">
        <w:rPr>
          <w:rFonts w:ascii="Tw Cen MT" w:eastAsia="Twentieth Century" w:hAnsi="Tw Cen MT" w:cs="Twentieth Century"/>
          <w:bCs/>
          <w:noProof/>
          <w:sz w:val="24"/>
          <w:szCs w:val="24"/>
        </w:rPr>
        <w:t>[11]</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
    <w:p w14:paraId="70C77F29" w14:textId="1911E07A" w:rsidR="006E524B" w:rsidRDefault="006E524B" w:rsidP="006E524B">
      <w:pPr>
        <w:pStyle w:val="DaftarParagraf"/>
        <w:tabs>
          <w:tab w:val="left" w:pos="426"/>
        </w:tabs>
        <w:spacing w:after="0" w:line="240" w:lineRule="auto"/>
        <w:ind w:left="360" w:firstLine="349"/>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didukung</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Meidiana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atau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dimana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menghasilkan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belajar</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waktu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apa</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lama </w:t>
      </w:r>
      <w:proofErr w:type="spellStart"/>
      <w:r w:rsidRPr="006E524B">
        <w:rPr>
          <w:rFonts w:ascii="Tw Cen MT" w:eastAsia="Twentieth Century" w:hAnsi="Tw Cen MT" w:cs="Twentieth Century"/>
          <w:bCs/>
          <w:sz w:val="24"/>
          <w:szCs w:val="24"/>
        </w:rPr>
        <w:t>tinggal</w:t>
      </w:r>
      <w:proofErr w:type="spellEnd"/>
      <w:r w:rsidRPr="006E524B">
        <w:rPr>
          <w:rFonts w:ascii="Tw Cen MT" w:eastAsia="Twentieth Century" w:hAnsi="Tw Cen MT" w:cs="Twentieth Century"/>
          <w:bCs/>
          <w:sz w:val="24"/>
          <w:szCs w:val="24"/>
        </w:rPr>
        <w:t xml:space="preserve"> di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ingatan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adalah</w:t>
      </w:r>
      <w:proofErr w:type="spellEnd"/>
      <w:r w:rsidRPr="006E524B">
        <w:rPr>
          <w:rFonts w:ascii="Tw Cen MT" w:eastAsia="Twentieth Century" w:hAnsi="Tw Cen MT" w:cs="Twentieth Century"/>
          <w:bCs/>
          <w:sz w:val="24"/>
          <w:szCs w:val="24"/>
        </w:rPr>
        <w:t xml:space="preserve"> salah </w:t>
      </w:r>
      <w:proofErr w:type="spellStart"/>
      <w:r w:rsidRPr="006E524B">
        <w:rPr>
          <w:rFonts w:ascii="Tw Cen MT" w:eastAsia="Twentieth Century" w:hAnsi="Tw Cen MT" w:cs="Twentieth Century"/>
          <w:bCs/>
          <w:sz w:val="24"/>
          <w:szCs w:val="24"/>
        </w:rPr>
        <w:t>satu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komponen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penting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penerimaan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ilmu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793130">
        <w:rPr>
          <w:rFonts w:ascii="Tw Cen MT" w:eastAsia="Twentieth Century" w:hAnsi="Tw Cen MT" w:cs="Twentieth Century"/>
          <w:bCs/>
          <w:sz w:val="24"/>
          <w:szCs w:val="24"/>
        </w:rPr>
        <w:instrText>ADDIN CSL_CITATION {"citationItems":[{"id":"ITEM-1","itemData":{"DOI":"10.32682/sastranesia.v8i1.1426","ISSN":"2337-7712","abstract":"The rapid development of technology encourages teachers to get the benefit of technology using electronic media as learning media that supports learning process. Technology cannot only be used in helping the learning process for students in general, but also very useful for special needs students. One of learning media that utilizes technology is Powtoon as a presentation media that can be played repeatedly for special needs students (slow learners). Powtoon is Web-based animation software that allows anyone to create animated presentations by manipulating pre-created objects, imported images, provide music and user created voice-overs. Powtoon is able to present material well through visual, text, graphic, image, photo, sound and animation capabilities. This study is a case study of learning analysis and the perception of special needs students for the use of Powtoon in Research Method Course. This qualitative research method used data collection techniques through observation and interviews. The findings show that Powtoon can help the student to understand the material and the student also gives positive response to the use of Powtoon media in helping slow learner students understand the material. Keyword: Powtoon, learning media, difable learner. AbstrakPesatnya perkembangan teknologi mendorong pengajar untuk memanfaatkan teknologi menggunakan media elektronik sebagai media pembelajaran yang mendukung proses pembelajaran. Teknologi tidak hanya dapat dimanfaatkan dalam membantu proses pembelajaran bagi mahasiswa pada umumnya, namun juga sangat bermanfaat bagi mahasiswa berkebutuhan khusus. Salah satu media pembelajaran yang memanfaatkan teknologi adalah Powtoon sebagai media presentasi yang dapat diputar berulang-ulang bagi mahasiswa berkebutuhan khusus (slow learners). Powtoon adalah perangkat lunak animasi berbasis web yang memungkinkan siapa saja membuat presentasi animasi dengan memanipulasi objek yang dibuat sebelumnya, gambar yang diimpor, menyediakan musik dan membuat suara yang dibuat pengguna. Powtoon mampu menyajikan materi dengan baik melalui kemampuan visual, teks, grafis, gambar, foto, sound dan animasi. Penelitian ini adalah studi kasus analisa pembelajaran dan persepsi mahasiswa berkebutuhan khusus terhadap penggunaan Powtoon dalam Mata Kuliah Metode Penelitian. Metode penelitian yang digunakan adalah metode kualitatif dengan teknik pengumpulan data melalui observasi dan wawancara. Hasil penelitian menunjukkan bahwa Powtoon dapat memban…","author":[{"dropping-particle":"","family":"Amiludin","given":"Lailatus Sa'adah","non-dropping-particle":"","parse-names":false,"suffix":""},{"dropping-particle":"","family":"Mindhaudah","given":"Mindhaudah","non-dropping-particle":"","parse-names":false,"suffix":""}],"container-title":"SASTRANESIA: Jurnal Program Studi Pendidikan Bahasa dan Sastra Indonesia","id":"ITEM-1","issue":"1","issued":{"date-parts":[["2020"]]},"page":"56","title":"Powtoon: Learning Media To Teach Difable Learner Powtoon: Media Pembelajaran Untuk Mengajar Mahasiswa Berkebutuhan Khusus","type":"article-journal","volume":"8"},"uris":["http://www.mendeley.com/documents/?uuid=0f43d320-af64-4ff6-988b-a43728a4b90c"]}],"mendeley":{"formattedCitation":"[12]","plainTextFormattedCitation":"[12]","previouslyFormattedCitation":"[12]"},"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793130" w:rsidRPr="00793130">
        <w:rPr>
          <w:rFonts w:ascii="Tw Cen MT" w:eastAsia="Twentieth Century" w:hAnsi="Tw Cen MT" w:cs="Twentieth Century"/>
          <w:bCs/>
          <w:noProof/>
          <w:sz w:val="24"/>
          <w:szCs w:val="24"/>
        </w:rPr>
        <w:t>[12]</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
    <w:p w14:paraId="155BAC0D" w14:textId="112456E6" w:rsidR="00793130" w:rsidRPr="006E524B" w:rsidRDefault="00793130" w:rsidP="00793130">
      <w:pPr>
        <w:pStyle w:val="DaftarParagraf"/>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793130">
        <w:rPr>
          <w:rFonts w:ascii="Tw Cen MT" w:eastAsia="Twentieth Century" w:hAnsi="Tw Cen MT" w:cs="Twentieth Century"/>
          <w:bCs/>
          <w:sz w:val="24"/>
          <w:szCs w:val="24"/>
        </w:rPr>
        <w:t>Menurut</w:t>
      </w:r>
      <w:proofErr w:type="spellEnd"/>
      <w:r w:rsidRPr="00793130">
        <w:rPr>
          <w:rFonts w:ascii="Tw Cen MT" w:eastAsia="Twentieth Century" w:hAnsi="Tw Cen MT" w:cs="Twentieth Century"/>
          <w:bCs/>
          <w:sz w:val="24"/>
          <w:szCs w:val="24"/>
        </w:rPr>
        <w:t xml:space="preserve"> (</w:t>
      </w:r>
      <w:commentRangeStart w:id="5"/>
      <w:r w:rsidRPr="00793130">
        <w:rPr>
          <w:rFonts w:ascii="Tw Cen MT" w:eastAsia="Twentieth Century" w:hAnsi="Tw Cen MT" w:cs="Twentieth Century"/>
          <w:bCs/>
          <w:sz w:val="24"/>
          <w:szCs w:val="24"/>
        </w:rPr>
        <w:t xml:space="preserve">Kirwan, </w:t>
      </w:r>
      <w:proofErr w:type="spellStart"/>
      <w:r w:rsidRPr="00793130">
        <w:rPr>
          <w:rFonts w:ascii="Tw Cen MT" w:eastAsia="Twentieth Century" w:hAnsi="Tw Cen MT" w:cs="Twentieth Century"/>
          <w:bCs/>
          <w:sz w:val="24"/>
          <w:szCs w:val="24"/>
        </w:rPr>
        <w:t>dkk</w:t>
      </w:r>
      <w:proofErr w:type="spellEnd"/>
      <w:r w:rsidRPr="00793130">
        <w:rPr>
          <w:rFonts w:ascii="Tw Cen MT" w:eastAsia="Twentieth Century" w:hAnsi="Tw Cen MT" w:cs="Twentieth Century"/>
          <w:bCs/>
          <w:sz w:val="24"/>
          <w:szCs w:val="24"/>
        </w:rPr>
        <w:t>, 2023</w:t>
      </w:r>
      <w:commentRangeEnd w:id="5"/>
      <w:r w:rsidR="007E047F">
        <w:rPr>
          <w:rStyle w:val="ReferensiKomentar"/>
          <w:rFonts w:eastAsiaTheme="minorEastAsia" w:cs="Calibri"/>
          <w:lang w:val="en-US" w:eastAsia="en-US"/>
        </w:rPr>
        <w:commentReference w:id="5"/>
      </w:r>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bahwa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penyampaikan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materi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atau</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edukasi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dengan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metode</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Powtoon</w:t>
      </w:r>
      <w:proofErr w:type="spellEnd"/>
      <w:r w:rsidRPr="00793130">
        <w:rPr>
          <w:rFonts w:ascii="Tw Cen MT" w:eastAsia="Twentieth Century" w:hAnsi="Tw Cen MT" w:cs="Twentieth Century"/>
          <w:bCs/>
          <w:sz w:val="24"/>
          <w:szCs w:val="24"/>
        </w:rPr>
        <w:t xml:space="preserve"> yang </w:t>
      </w:r>
      <w:proofErr w:type="spellStart"/>
      <w:r w:rsidRPr="00793130">
        <w:rPr>
          <w:rFonts w:ascii="Tw Cen MT" w:eastAsia="Twentieth Century" w:hAnsi="Tw Cen MT" w:cs="Twentieth Century"/>
          <w:bCs/>
          <w:sz w:val="24"/>
          <w:szCs w:val="24"/>
        </w:rPr>
        <w:t>memanfaatkan</w:t>
      </w:r>
      <w:proofErr w:type="spellEnd"/>
      <w:r w:rsidRPr="00793130">
        <w:rPr>
          <w:rFonts w:ascii="Tw Cen MT" w:eastAsia="Twentieth Century" w:hAnsi="Tw Cen MT" w:cs="Twentieth Century"/>
          <w:bCs/>
          <w:sz w:val="24"/>
          <w:szCs w:val="24"/>
        </w:rPr>
        <w:t xml:space="preserve"> media audio-visual, </w:t>
      </w:r>
      <w:proofErr w:type="spellStart"/>
      <w:r w:rsidRPr="00793130">
        <w:rPr>
          <w:rFonts w:ascii="Tw Cen MT" w:eastAsia="Twentieth Century" w:hAnsi="Tw Cen MT" w:cs="Twentieth Century"/>
          <w:bCs/>
          <w:sz w:val="24"/>
          <w:szCs w:val="24"/>
        </w:rPr>
        <w:t>menjadi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mudah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ditangkap</w:t>
      </w:r>
      <w:proofErr w:type="spellEnd"/>
      <w:r w:rsidRPr="00793130">
        <w:rPr>
          <w:rFonts w:ascii="Tw Cen MT" w:eastAsia="Twentieth Century" w:hAnsi="Tw Cen MT" w:cs="Twentieth Century"/>
          <w:bCs/>
          <w:sz w:val="24"/>
          <w:szCs w:val="24"/>
        </w:rPr>
        <w:t xml:space="preserve"> oleh sensor </w:t>
      </w:r>
      <w:proofErr w:type="spellStart"/>
      <w:r w:rsidRPr="00793130">
        <w:rPr>
          <w:rFonts w:ascii="Tw Cen MT" w:eastAsia="Twentieth Century" w:hAnsi="Tw Cen MT" w:cs="Twentieth Century"/>
          <w:bCs/>
          <w:sz w:val="24"/>
          <w:szCs w:val="24"/>
        </w:rPr>
        <w:t>motorik</w:t>
      </w:r>
      <w:proofErr w:type="spellEnd"/>
      <w:r w:rsidRPr="00793130">
        <w:rPr>
          <w:rFonts w:ascii="Tw Cen MT" w:eastAsia="Twentieth Century" w:hAnsi="Tw Cen MT" w:cs="Twentieth Century"/>
          <w:bCs/>
          <w:sz w:val="24"/>
          <w:szCs w:val="24"/>
        </w:rPr>
        <w:t xml:space="preserve"> dan visual oleh </w:t>
      </w:r>
      <w:proofErr w:type="spellStart"/>
      <w:r w:rsidRPr="00793130">
        <w:rPr>
          <w:rFonts w:ascii="Tw Cen MT" w:eastAsia="Twentieth Century" w:hAnsi="Tw Cen MT" w:cs="Twentieth Century"/>
          <w:bCs/>
          <w:sz w:val="24"/>
          <w:szCs w:val="24"/>
        </w:rPr>
        <w:t>otak</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sehingga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otak</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mudah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memproses</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informasi</w:t>
      </w:r>
      <w:proofErr w:type="spellEnd"/>
      <w:r w:rsidRPr="00793130">
        <w:rPr>
          <w:rFonts w:ascii="Tw Cen MT" w:eastAsia="Twentieth Century" w:hAnsi="Tw Cen MT" w:cs="Twentieth Century"/>
          <w:bCs/>
          <w:sz w:val="24"/>
          <w:szCs w:val="24"/>
        </w:rPr>
        <w:t xml:space="preserve"> yang </w:t>
      </w:r>
      <w:proofErr w:type="spellStart"/>
      <w:r w:rsidRPr="00793130">
        <w:rPr>
          <w:rFonts w:ascii="Tw Cen MT" w:eastAsia="Twentieth Century" w:hAnsi="Tw Cen MT" w:cs="Twentieth Century"/>
          <w:bCs/>
          <w:sz w:val="24"/>
          <w:szCs w:val="24"/>
        </w:rPr>
        <w:t>didapat</w:t>
      </w:r>
      <w:proofErr w:type="spellEnd"/>
      <w:r w:rsidRPr="00793130">
        <w:rPr>
          <w:rFonts w:ascii="Tw Cen MT" w:eastAsia="Twentieth Century" w:hAnsi="Tw Cen MT" w:cs="Twentieth Century"/>
          <w:bCs/>
          <w:sz w:val="24"/>
          <w:szCs w:val="24"/>
        </w:rPr>
        <w:t xml:space="preserve"> dan </w:t>
      </w:r>
      <w:proofErr w:type="spellStart"/>
      <w:r w:rsidRPr="00793130">
        <w:rPr>
          <w:rFonts w:ascii="Tw Cen MT" w:eastAsia="Twentieth Century" w:hAnsi="Tw Cen MT" w:cs="Twentieth Century"/>
          <w:bCs/>
          <w:sz w:val="24"/>
          <w:szCs w:val="24"/>
        </w:rPr>
        <w:t>dapat</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disimpan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lama </w:t>
      </w:r>
      <w:proofErr w:type="spellStart"/>
      <w:r w:rsidRPr="00793130">
        <w:rPr>
          <w:rFonts w:ascii="Tw Cen MT" w:eastAsia="Twentieth Century" w:hAnsi="Tw Cen MT" w:cs="Twentieth Century"/>
          <w:bCs/>
          <w:sz w:val="24"/>
          <w:szCs w:val="24"/>
        </w:rPr>
        <w:t>didalam</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otak</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karena</w:t>
      </w:r>
      <w:proofErr w:type="spellEnd"/>
      <w:r w:rsidRPr="00793130">
        <w:rPr>
          <w:rFonts w:ascii="Tw Cen MT" w:eastAsia="Twentieth Century" w:hAnsi="Tw Cen MT" w:cs="Twentieth Century"/>
          <w:bCs/>
          <w:sz w:val="24"/>
          <w:szCs w:val="24"/>
        </w:rPr>
        <w:t xml:space="preserve"> </w:t>
      </w:r>
      <w:proofErr w:type="gramStart"/>
      <w:r w:rsidRPr="00793130">
        <w:rPr>
          <w:rFonts w:ascii="Tw Cen MT" w:eastAsia="Twentieth Century" w:hAnsi="Tw Cen MT" w:cs="Twentieth Century"/>
          <w:bCs/>
          <w:sz w:val="24"/>
          <w:szCs w:val="24"/>
        </w:rPr>
        <w:t>neuro transmitter</w:t>
      </w:r>
      <w:proofErr w:type="gram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cenderung</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memperpanjang</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impuls</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ingatakan</w:t>
      </w:r>
      <w:proofErr w:type="spellEnd"/>
      <w:r w:rsidRPr="00793130">
        <w:rPr>
          <w:rFonts w:ascii="Tw Cen MT" w:eastAsia="Twentieth Century" w:hAnsi="Tw Cen MT" w:cs="Twentieth Century"/>
          <w:bCs/>
          <w:sz w:val="24"/>
          <w:szCs w:val="24"/>
        </w:rPr>
        <w:t xml:space="preserve"> pada </w:t>
      </w:r>
      <w:proofErr w:type="spellStart"/>
      <w:r w:rsidRPr="00793130">
        <w:rPr>
          <w:rFonts w:ascii="Tw Cen MT" w:eastAsia="Twentieth Century" w:hAnsi="Tw Cen MT" w:cs="Twentieth Century"/>
          <w:bCs/>
          <w:sz w:val="24"/>
          <w:szCs w:val="24"/>
        </w:rPr>
        <w:t>otak</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mengenai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informasi</w:t>
      </w:r>
      <w:proofErr w:type="spellEnd"/>
      <w:r w:rsidRPr="00793130">
        <w:rPr>
          <w:rFonts w:ascii="Tw Cen MT" w:eastAsia="Twentieth Century" w:hAnsi="Tw Cen MT" w:cs="Twentieth Century"/>
          <w:bCs/>
          <w:sz w:val="24"/>
          <w:szCs w:val="24"/>
        </w:rPr>
        <w:t xml:space="preserve"> yang </w:t>
      </w:r>
      <w:proofErr w:type="spellStart"/>
      <w:r w:rsidRPr="00793130">
        <w:rPr>
          <w:rFonts w:ascii="Tw Cen MT" w:eastAsia="Twentieth Century" w:hAnsi="Tw Cen MT" w:cs="Twentieth Century"/>
          <w:bCs/>
          <w:sz w:val="24"/>
          <w:szCs w:val="24"/>
        </w:rPr>
        <w:t>didapat</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Metode</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Powtoon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dinilai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efektif</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dilakukan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karena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selain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memanfaatkan</w:t>
      </w:r>
      <w:proofErr w:type="spellEnd"/>
      <w:r w:rsidRPr="00793130">
        <w:rPr>
          <w:rFonts w:ascii="Tw Cen MT" w:eastAsia="Twentieth Century" w:hAnsi="Tw Cen MT" w:cs="Twentieth Century"/>
          <w:bCs/>
          <w:sz w:val="24"/>
          <w:szCs w:val="24"/>
        </w:rPr>
        <w:t xml:space="preserve"> audio-visual, </w:t>
      </w:r>
      <w:proofErr w:type="spellStart"/>
      <w:r w:rsidRPr="00793130">
        <w:rPr>
          <w:rFonts w:ascii="Tw Cen MT" w:eastAsia="Twentieth Century" w:hAnsi="Tw Cen MT" w:cs="Twentieth Century"/>
          <w:bCs/>
          <w:sz w:val="24"/>
          <w:szCs w:val="24"/>
        </w:rPr>
        <w:t>namun</w:t>
      </w:r>
      <w:proofErr w:type="spellEnd"/>
      <w:r w:rsidRPr="00793130">
        <w:rPr>
          <w:rFonts w:ascii="Tw Cen MT" w:eastAsia="Twentieth Century" w:hAnsi="Tw Cen MT" w:cs="Twentieth Century"/>
          <w:bCs/>
          <w:sz w:val="24"/>
          <w:szCs w:val="24"/>
        </w:rPr>
        <w:t xml:space="preserve"> juga </w:t>
      </w:r>
      <w:proofErr w:type="spellStart"/>
      <w:r w:rsidRPr="00793130">
        <w:rPr>
          <w:rFonts w:ascii="Tw Cen MT" w:eastAsia="Twentieth Century" w:hAnsi="Tw Cen MT" w:cs="Twentieth Century"/>
          <w:bCs/>
          <w:sz w:val="24"/>
          <w:szCs w:val="24"/>
        </w:rPr>
        <w:t>dapat</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menghibur</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ibu</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hamil</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dalam</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menerima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informasi</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kesehatan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sehingga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ibu</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hamil</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tidak</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merasa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bosan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dengan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penyampaian</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tersebut</w:t>
      </w:r>
      <w:proofErr w:type="spellEnd"/>
      <w:r w:rsidRPr="00793130">
        <w:rPr>
          <w:rFonts w:ascii="Tw Cen MT" w:eastAsia="Twentieth Century" w:hAnsi="Tw Cen MT" w:cs="Twentieth Century"/>
          <w:bCs/>
          <w:sz w:val="24"/>
          <w:szCs w:val="24"/>
        </w:rPr>
        <w:t xml:space="preserve"> dan </w:t>
      </w:r>
      <w:proofErr w:type="spellStart"/>
      <w:r w:rsidRPr="00793130">
        <w:rPr>
          <w:rFonts w:ascii="Tw Cen MT" w:eastAsia="Twentieth Century" w:hAnsi="Tw Cen MT" w:cs="Twentieth Century"/>
          <w:bCs/>
          <w:sz w:val="24"/>
          <w:szCs w:val="24"/>
        </w:rPr>
        <w:t>lebih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mudah</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diingat</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karena</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dapat</w:t>
      </w:r>
      <w:proofErr w:type="spellEnd"/>
      <w:r w:rsidRPr="00793130">
        <w:rPr>
          <w:rFonts w:ascii="Tw Cen MT" w:eastAsia="Twentieth Century" w:hAnsi="Tw Cen MT" w:cs="Twentieth Century"/>
          <w:bCs/>
          <w:sz w:val="24"/>
          <w:szCs w:val="24"/>
        </w:rPr>
        <w:t xml:space="preserve"> </w:t>
      </w:r>
      <w:proofErr w:type="spellStart"/>
      <w:r w:rsidRPr="00793130">
        <w:rPr>
          <w:rFonts w:ascii="Tw Cen MT" w:eastAsia="Twentieth Century" w:hAnsi="Tw Cen MT" w:cs="Twentieth Century"/>
          <w:bCs/>
          <w:sz w:val="24"/>
          <w:szCs w:val="24"/>
        </w:rPr>
        <w:t>divisualisasikan</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{"citationItems":[{"id":"ITEM-1","itemData":{"DOI":"10.1016/j.profnurs.2023.03.020","ISSN":"87557223","abstract":"Background: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author":[{"dropping-particle":"","family":"Kirwan","given":"Anne","non-dropping-particle":"","parse-names":false,"suffix":""},{"dropping-particle":"","family":"Raftery","given":"Sara","non-dropping-particle":"","parse-names":false,"suffix":""},{"dropping-particle":"","family":"Gormley","given":"Clare","non-dropping-particle":"","parse-names":false,"suffix":""}],"container-title":"Journal of Professional Nursing","id":"ITEM-1","issue":"July 2022","issued":{"date-parts":[["2023"]]},"page":"25-30","publisher":"Elsevier Inc.","title":"Sounds good to me: A qualitative study to explore the use of audio to potentiate the student feedback experience","type":"article-journal","volume":"47"},"uris":["http://www.mendeley.com/documents/?uuid=2e928a56-c3a2-47ab-a420-8f908eec3cdd"]}],"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793130">
        <w:rPr>
          <w:rFonts w:ascii="Tw Cen MT" w:eastAsia="Twentieth Century" w:hAnsi="Tw Cen MT" w:cs="Twentieth Century"/>
          <w:bCs/>
          <w:noProof/>
          <w:sz w:val="24"/>
          <w:szCs w:val="24"/>
        </w:rPr>
        <w:t>[13]</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5AFCF8D9" w14:textId="77777777" w:rsidR="006E524B" w:rsidRDefault="006E524B" w:rsidP="004721E3">
      <w:pPr>
        <w:tabs>
          <w:tab w:val="left" w:pos="426"/>
        </w:tabs>
        <w:spacing w:after="0" w:line="240" w:lineRule="auto"/>
        <w:jc w:val="both"/>
        <w:rPr>
          <w:rFonts w:ascii="Tw Cen MT" w:eastAsia="Twentieth Century" w:hAnsi="Tw Cen MT" w:cs="Twentieth Century"/>
          <w:b/>
          <w:sz w:val="24"/>
          <w:szCs w:val="24"/>
        </w:rPr>
      </w:pPr>
    </w:p>
    <w:p w14:paraId="3A8661DD" w14:textId="77777777" w:rsidR="003B66E6" w:rsidRDefault="003B66E6"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 DAN SARAN</w:t>
      </w:r>
    </w:p>
    <w:p w14:paraId="071C7610" w14:textId="05168D12" w:rsidR="00B5447A" w:rsidRPr="00B5447A" w:rsidRDefault="003B66E6" w:rsidP="004721E3">
      <w:pPr>
        <w:tabs>
          <w:tab w:val="left" w:pos="426"/>
        </w:tabs>
        <w:spacing w:after="0" w:line="240" w:lineRule="auto"/>
        <w:jc w:val="both"/>
        <w:rPr>
          <w:rFonts w:ascii="Tw Cen MT" w:eastAsia="Twentieth Century" w:hAnsi="Tw Cen MT" w:cs="Twentieth Century"/>
          <w:bCs/>
          <w:sz w:val="24"/>
          <w:szCs w:val="24"/>
        </w:rPr>
      </w:pPr>
      <w:proofErr w:type="spellStart"/>
      <w:r w:rsidRPr="00B5447A">
        <w:rPr>
          <w:rFonts w:ascii="Tw Cen MT" w:eastAsia="Twentieth Century" w:hAnsi="Tw Cen MT" w:cs="Twentieth Century"/>
          <w:bCs/>
          <w:sz w:val="24"/>
          <w:szCs w:val="24"/>
        </w:rPr>
        <w:t>Simpulan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dari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penelitian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ini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adalah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penyuluhan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dengan</w:t>
      </w:r>
      <w:proofErr w:type="spellEnd"/>
      <w:r w:rsidRPr="00B5447A">
        <w:rPr>
          <w:rFonts w:ascii="Tw Cen MT" w:eastAsia="Twentieth Century" w:hAnsi="Tw Cen MT" w:cs="Twentieth Century"/>
          <w:bCs/>
          <w:sz w:val="24"/>
          <w:szCs w:val="24"/>
        </w:rPr>
        <w:t xml:space="preserve"> media </w:t>
      </w:r>
      <w:proofErr w:type="spellStart"/>
      <w:r w:rsidRPr="00B5447A">
        <w:rPr>
          <w:rFonts w:ascii="Tw Cen MT" w:eastAsia="Twentieth Century" w:hAnsi="Tw Cen MT" w:cs="Twentieth Century"/>
          <w:bCs/>
          <w:sz w:val="24"/>
          <w:szCs w:val="24"/>
        </w:rPr>
        <w:t>edukatif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powtoon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lebih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efektif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dibandingkan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metode</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ceramah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terhadap</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peningkatan</w:t>
      </w:r>
      <w:proofErr w:type="spellEnd"/>
      <w:r w:rsidRPr="003B66E6">
        <w:rPr>
          <w:rFonts w:ascii="Tw Cen MT" w:eastAsia="Twentieth Century" w:hAnsi="Tw Cen MT" w:cs="Twentieth Century"/>
          <w:b/>
          <w:sz w:val="24"/>
          <w:szCs w:val="24"/>
        </w:rPr>
        <w:t xml:space="preserve"> </w:t>
      </w:r>
      <w:proofErr w:type="spellStart"/>
      <w:r w:rsidRPr="00B5447A">
        <w:rPr>
          <w:rFonts w:ascii="Tw Cen MT" w:eastAsia="Twentieth Century" w:hAnsi="Tw Cen MT" w:cs="Twentieth Century"/>
          <w:bCs/>
          <w:sz w:val="24"/>
          <w:szCs w:val="24"/>
        </w:rPr>
        <w:t>pengetahuan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ibu</w:t>
      </w:r>
      <w:proofErr w:type="spellEnd"/>
      <w:r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mengenai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deteksi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dini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risiko</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kehamilan</w:t>
      </w:r>
      <w:proofErr w:type="spellEnd"/>
      <w:r w:rsidR="00B5447A" w:rsidRPr="00B5447A">
        <w:rPr>
          <w:rFonts w:ascii="Tw Cen MT" w:eastAsia="Twentieth Century" w:hAnsi="Tw Cen MT" w:cs="Twentieth Century"/>
          <w:bCs/>
          <w:sz w:val="24"/>
          <w:szCs w:val="24"/>
        </w:rPr>
        <w:t xml:space="preserve"> di Wilayah </w:t>
      </w:r>
      <w:proofErr w:type="spellStart"/>
      <w:r w:rsidR="00B5447A" w:rsidRPr="00B5447A">
        <w:rPr>
          <w:rFonts w:ascii="Tw Cen MT" w:eastAsia="Twentieth Century" w:hAnsi="Tw Cen MT" w:cs="Twentieth Century"/>
          <w:bCs/>
          <w:sz w:val="24"/>
          <w:szCs w:val="24"/>
        </w:rPr>
        <w:t>Kerja</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Puskesmas</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Buaran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Kabupaten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Pekalongan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tahun</w:t>
      </w:r>
      <w:proofErr w:type="spellEnd"/>
      <w:r w:rsidR="00B5447A" w:rsidRPr="00B5447A">
        <w:rPr>
          <w:rFonts w:ascii="Tw Cen MT" w:eastAsia="Twentieth Century" w:hAnsi="Tw Cen MT" w:cs="Twentieth Century"/>
          <w:bCs/>
          <w:sz w:val="24"/>
          <w:szCs w:val="24"/>
        </w:rPr>
        <w:t xml:space="preserve"> 2023. </w:t>
      </w:r>
    </w:p>
    <w:p w14:paraId="68BF11B0" w14:textId="77777777" w:rsidR="00B5447A" w:rsidRPr="00B5447A" w:rsidRDefault="00B5447A" w:rsidP="004721E3">
      <w:pPr>
        <w:tabs>
          <w:tab w:val="left" w:pos="426"/>
        </w:tabs>
        <w:spacing w:after="0" w:line="240" w:lineRule="auto"/>
        <w:jc w:val="both"/>
        <w:rPr>
          <w:rFonts w:ascii="Tw Cen MT" w:eastAsia="Twentieth Century" w:hAnsi="Tw Cen MT" w:cs="Twentieth Century"/>
          <w:bCs/>
          <w:sz w:val="24"/>
          <w:szCs w:val="24"/>
        </w:rPr>
      </w:pPr>
    </w:p>
    <w:p w14:paraId="2C8CDBCE"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0E528841" w14:textId="506E15C0" w:rsidR="00B5447A" w:rsidRDefault="00793130" w:rsidP="004721E3">
      <w:pPr>
        <w:tabs>
          <w:tab w:val="left" w:pos="426"/>
        </w:tabs>
        <w:spacing w:after="0" w:line="240" w:lineRule="auto"/>
        <w:jc w:val="both"/>
        <w:rPr>
          <w:rFonts w:ascii="Tw Cen MT" w:eastAsia="Twentieth Century" w:hAnsi="Tw Cen MT" w:cs="Twentieth Century"/>
          <w:b/>
          <w:sz w:val="24"/>
          <w:szCs w:val="24"/>
        </w:rPr>
      </w:pPr>
      <w:commentRangeStart w:id="6"/>
      <w:r>
        <w:rPr>
          <w:rFonts w:ascii="Tw Cen MT" w:eastAsia="Twentieth Century" w:hAnsi="Tw Cen MT" w:cs="Twentieth Century"/>
          <w:b/>
          <w:sz w:val="24"/>
          <w:szCs w:val="24"/>
        </w:rPr>
        <w:t>DAFTAR PUSTAKA</w:t>
      </w:r>
      <w:commentRangeEnd w:id="6"/>
      <w:r w:rsidR="007E047F">
        <w:rPr>
          <w:rStyle w:val="ReferensiKomentar"/>
        </w:rPr>
        <w:commentReference w:id="6"/>
      </w:r>
    </w:p>
    <w:p w14:paraId="58E29406" w14:textId="4ECDF75E"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Pr="00793130">
        <w:rPr>
          <w:rFonts w:ascii="Tw Cen MT" w:hAnsi="Tw Cen MT" w:cs="Times New Roman"/>
          <w:noProof/>
          <w:sz w:val="24"/>
          <w:szCs w:val="24"/>
        </w:rPr>
        <w:t>[1]</w:t>
      </w:r>
      <w:r w:rsidRPr="00793130">
        <w:rPr>
          <w:rFonts w:ascii="Tw Cen MT" w:hAnsi="Tw Cen MT" w:cs="Times New Roman"/>
          <w:noProof/>
          <w:sz w:val="24"/>
          <w:szCs w:val="24"/>
        </w:rPr>
        <w:tab/>
        <w:t>D.</w:t>
      </w:r>
      <w:r w:rsidRPr="00793130">
        <w:rPr>
          <w:rFonts w:ascii="Arial" w:hAnsi="Arial" w:cs="Arial"/>
          <w:noProof/>
          <w:sz w:val="24"/>
          <w:szCs w:val="24"/>
        </w:rPr>
        <w:t> </w:t>
      </w:r>
      <w:r w:rsidRPr="00793130">
        <w:rPr>
          <w:rFonts w:ascii="Tw Cen MT" w:hAnsi="Tw Cen MT" w:cs="Times New Roman"/>
          <w:noProof/>
          <w:sz w:val="24"/>
          <w:szCs w:val="24"/>
        </w:rPr>
        <w:t xml:space="preserve">; Y. Dartiwen and Nurhayati, </w:t>
      </w:r>
      <w:r w:rsidRPr="00793130">
        <w:rPr>
          <w:rFonts w:ascii="Tw Cen MT" w:hAnsi="Tw Cen MT" w:cs="Times New Roman"/>
          <w:i/>
          <w:iCs/>
          <w:noProof/>
          <w:sz w:val="24"/>
          <w:szCs w:val="24"/>
        </w:rPr>
        <w:t>Asuhan Kebidanan Pada Kehamilan</w:t>
      </w:r>
      <w:r w:rsidRPr="00793130">
        <w:rPr>
          <w:rFonts w:ascii="Tw Cen MT" w:hAnsi="Tw Cen MT" w:cs="Times New Roman"/>
          <w:noProof/>
          <w:sz w:val="24"/>
          <w:szCs w:val="24"/>
        </w:rPr>
        <w:t>, 1st ed. Yogyakarta: ANDI, 2019.</w:t>
      </w:r>
    </w:p>
    <w:p w14:paraId="07559841"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[2]</w:t>
      </w:r>
      <w:r w:rsidRPr="00793130">
        <w:rPr>
          <w:rFonts w:ascii="Tw Cen MT" w:hAnsi="Tw Cen MT" w:cs="Times New Roman"/>
          <w:noProof/>
          <w:sz w:val="24"/>
          <w:szCs w:val="24"/>
        </w:rPr>
        <w:tab/>
        <w:t xml:space="preserve">L. Meliati, “Faktor-Faktor yang Mempengaruhi Kinerja Bidan di Desa dalam Kegiatan Deteksi Dini Resiko Tinggi Ibu Hamil di Wilayah Kerja Dinas Kesehatan Kabupaten Lombok Timur Tahun 2011,” </w:t>
      </w:r>
      <w:r w:rsidRPr="00793130">
        <w:rPr>
          <w:rFonts w:ascii="Tw Cen MT" w:hAnsi="Tw Cen MT" w:cs="Times New Roman"/>
          <w:i/>
          <w:iCs/>
          <w:noProof/>
          <w:sz w:val="24"/>
          <w:szCs w:val="24"/>
        </w:rPr>
        <w:t>Repos. Univ. Diponegoro</w:t>
      </w:r>
      <w:r w:rsidRPr="00793130">
        <w:rPr>
          <w:rFonts w:ascii="Tw Cen MT" w:hAnsi="Tw Cen MT" w:cs="Times New Roman"/>
          <w:noProof/>
          <w:sz w:val="24"/>
          <w:szCs w:val="24"/>
        </w:rPr>
        <w:t>, 2011.</w:t>
      </w:r>
    </w:p>
    <w:p w14:paraId="79BEA291"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[3]</w:t>
      </w:r>
      <w:r w:rsidRPr="00793130">
        <w:rPr>
          <w:rFonts w:ascii="Tw Cen MT" w:hAnsi="Tw Cen MT" w:cs="Times New Roman"/>
          <w:noProof/>
          <w:sz w:val="24"/>
          <w:szCs w:val="24"/>
        </w:rPr>
        <w:tab/>
        <w:t xml:space="preserve">Hulu Victor Trismanjaya dkk, </w:t>
      </w:r>
      <w:r w:rsidRPr="00793130">
        <w:rPr>
          <w:rFonts w:ascii="Tw Cen MT" w:hAnsi="Tw Cen MT" w:cs="Times New Roman"/>
          <w:i/>
          <w:iCs/>
          <w:noProof/>
          <w:sz w:val="24"/>
          <w:szCs w:val="24"/>
        </w:rPr>
        <w:t>Promosi Kesehatan Masyarakat</w:t>
      </w:r>
      <w:r w:rsidRPr="00793130">
        <w:rPr>
          <w:rFonts w:ascii="Tw Cen MT" w:hAnsi="Tw Cen MT" w:cs="Times New Roman"/>
          <w:noProof/>
          <w:sz w:val="24"/>
          <w:szCs w:val="24"/>
        </w:rPr>
        <w:t>. Jakarta: Yayasan Kita Menulis, 2020.</w:t>
      </w:r>
    </w:p>
    <w:p w14:paraId="216F9448"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[4]</w:t>
      </w:r>
      <w:r w:rsidRPr="00793130">
        <w:rPr>
          <w:rFonts w:ascii="Tw Cen MT" w:hAnsi="Tw Cen MT" w:cs="Times New Roman"/>
          <w:noProof/>
          <w:sz w:val="24"/>
          <w:szCs w:val="24"/>
        </w:rPr>
        <w:tab/>
        <w:t xml:space="preserve">F. N. D. Siti Nurjanah, Nuke Devi Indrawati, “Peningkatan Pengetahuan Dan Sikap Ibu Hamil Resiko Tinggi Dengan Penyuluhan Berbasis Media,” </w:t>
      </w:r>
      <w:r w:rsidRPr="00793130">
        <w:rPr>
          <w:rFonts w:ascii="Tw Cen MT" w:hAnsi="Tw Cen MT" w:cs="Times New Roman"/>
          <w:i/>
          <w:iCs/>
          <w:noProof/>
          <w:sz w:val="24"/>
          <w:szCs w:val="24"/>
        </w:rPr>
        <w:t>Rakernas AIPKEMA</w:t>
      </w:r>
      <w:r w:rsidRPr="00793130">
        <w:rPr>
          <w:rFonts w:ascii="Tw Cen MT" w:hAnsi="Tw Cen MT" w:cs="Times New Roman"/>
          <w:noProof/>
          <w:sz w:val="24"/>
          <w:szCs w:val="24"/>
        </w:rPr>
        <w:t>, no. 1, 2016, [Online]. Available: http://jurnal.unimus.ac.id/index.php/psn12012010/article/view/2106</w:t>
      </w:r>
    </w:p>
    <w:p w14:paraId="50984E85"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[5]</w:t>
      </w:r>
      <w:r w:rsidRPr="00793130">
        <w:rPr>
          <w:rFonts w:ascii="Tw Cen MT" w:hAnsi="Tw Cen MT" w:cs="Times New Roman"/>
          <w:noProof/>
          <w:sz w:val="24"/>
          <w:szCs w:val="24"/>
        </w:rPr>
        <w:tab/>
        <w:t>S. Herlina, “Pemanfaatan Fasilitas Sms Telepon Seluler Sebagai Media Promosi di Daerah Terpencil,” no. November, 2018, doi: 10.13140/RG.2.2.33841.22887.</w:t>
      </w:r>
    </w:p>
    <w:p w14:paraId="7E091F47"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[6]</w:t>
      </w:r>
      <w:r w:rsidRPr="00793130">
        <w:rPr>
          <w:rFonts w:ascii="Tw Cen MT" w:hAnsi="Tw Cen MT" w:cs="Times New Roman"/>
          <w:noProof/>
          <w:sz w:val="24"/>
          <w:szCs w:val="24"/>
        </w:rPr>
        <w:tab/>
        <w:t xml:space="preserve">H. Lyons-Burney and J. Godby, “An innovative collaboration between a school of pharmacy and community-based organization for substance misuse prevention education,” </w:t>
      </w:r>
      <w:r w:rsidRPr="00793130">
        <w:rPr>
          <w:rFonts w:ascii="Tw Cen MT" w:hAnsi="Tw Cen MT" w:cs="Times New Roman"/>
          <w:i/>
          <w:iCs/>
          <w:noProof/>
          <w:sz w:val="24"/>
          <w:szCs w:val="24"/>
        </w:rPr>
        <w:t>J. Am. Pharm. Assoc.</w:t>
      </w:r>
      <w:r w:rsidRPr="00793130">
        <w:rPr>
          <w:rFonts w:ascii="Tw Cen MT" w:hAnsi="Tw Cen MT" w:cs="Times New Roman"/>
          <w:noProof/>
          <w:sz w:val="24"/>
          <w:szCs w:val="24"/>
        </w:rPr>
        <w:t>, vol. 63, no. 1, pp. 356–</w:t>
      </w:r>
      <w:r w:rsidRPr="00793130">
        <w:rPr>
          <w:rFonts w:ascii="Tw Cen MT" w:hAnsi="Tw Cen MT" w:cs="Times New Roman"/>
          <w:noProof/>
          <w:sz w:val="24"/>
          <w:szCs w:val="24"/>
        </w:rPr>
        <w:lastRenderedPageBreak/>
        <w:t>360, 2023, doi: 10.1016/j.japh.2022.09.013.</w:t>
      </w:r>
    </w:p>
    <w:p w14:paraId="3F01D443"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[7]</w:t>
      </w:r>
      <w:r w:rsidRPr="00793130">
        <w:rPr>
          <w:rFonts w:ascii="Tw Cen MT" w:hAnsi="Tw Cen MT" w:cs="Times New Roman"/>
          <w:noProof/>
          <w:sz w:val="24"/>
          <w:szCs w:val="24"/>
        </w:rPr>
        <w:tab/>
        <w:t xml:space="preserve">F. S. Shafaei, M. Mirghafourvand, and S. Havizari, “The effect of prenatal counseling on breastfeeding self-efficacy and frequency of breastfeeding problems in mothers with previous unsuccessful breastfeeding: A randomized controlled clinical trial,” </w:t>
      </w:r>
      <w:r w:rsidRPr="00793130">
        <w:rPr>
          <w:rFonts w:ascii="Tw Cen MT" w:hAnsi="Tw Cen MT" w:cs="Times New Roman"/>
          <w:i/>
          <w:iCs/>
          <w:noProof/>
          <w:sz w:val="24"/>
          <w:szCs w:val="24"/>
        </w:rPr>
        <w:t>BMC Womens. Health</w:t>
      </w:r>
      <w:r w:rsidRPr="00793130">
        <w:rPr>
          <w:rFonts w:ascii="Tw Cen MT" w:hAnsi="Tw Cen MT" w:cs="Times New Roman"/>
          <w:noProof/>
          <w:sz w:val="24"/>
          <w:szCs w:val="24"/>
        </w:rPr>
        <w:t>, vol. 20, no. 1, pp. 1–10, 2020, doi: 10.1186/s12905-020-00947-1.</w:t>
      </w:r>
    </w:p>
    <w:p w14:paraId="4438F6B7"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[8]</w:t>
      </w:r>
      <w:r w:rsidRPr="00793130">
        <w:rPr>
          <w:rFonts w:ascii="Tw Cen MT" w:hAnsi="Tw Cen MT" w:cs="Times New Roman"/>
          <w:noProof/>
          <w:sz w:val="24"/>
          <w:szCs w:val="24"/>
        </w:rPr>
        <w:tab/>
        <w:t xml:space="preserve">R. Braun, C. Catalani, J. Wimbush, and D. Israelski, “Community Health Workers and Mobile Technology: A Systematic Review of the Literature,” </w:t>
      </w:r>
      <w:r w:rsidRPr="00793130">
        <w:rPr>
          <w:rFonts w:ascii="Tw Cen MT" w:hAnsi="Tw Cen MT" w:cs="Times New Roman"/>
          <w:i/>
          <w:iCs/>
          <w:noProof/>
          <w:sz w:val="24"/>
          <w:szCs w:val="24"/>
        </w:rPr>
        <w:t>PLoS One</w:t>
      </w:r>
      <w:r w:rsidRPr="00793130">
        <w:rPr>
          <w:rFonts w:ascii="Tw Cen MT" w:hAnsi="Tw Cen MT" w:cs="Times New Roman"/>
          <w:noProof/>
          <w:sz w:val="24"/>
          <w:szCs w:val="24"/>
        </w:rPr>
        <w:t>, vol. 8, no. 6, pp. 4–9, 2013, doi: 10.1371/journal.pone.0065772.</w:t>
      </w:r>
    </w:p>
    <w:p w14:paraId="585DA54B"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[9]</w:t>
      </w:r>
      <w:r w:rsidRPr="00793130">
        <w:rPr>
          <w:rFonts w:ascii="Tw Cen MT" w:hAnsi="Tw Cen MT" w:cs="Times New Roman"/>
          <w:noProof/>
          <w:sz w:val="24"/>
          <w:szCs w:val="24"/>
        </w:rPr>
        <w:tab/>
        <w:t xml:space="preserve">S. Assaf, “Counseling and Knowledge of Danger Signs of Pregnancy Complications in Haiti, Malawi, and Senegal,” </w:t>
      </w:r>
      <w:r w:rsidRPr="00793130">
        <w:rPr>
          <w:rFonts w:ascii="Tw Cen MT" w:hAnsi="Tw Cen MT" w:cs="Times New Roman"/>
          <w:i/>
          <w:iCs/>
          <w:noProof/>
          <w:sz w:val="24"/>
          <w:szCs w:val="24"/>
        </w:rPr>
        <w:t>Matern. Child Health J.</w:t>
      </w:r>
      <w:r w:rsidRPr="00793130">
        <w:rPr>
          <w:rFonts w:ascii="Tw Cen MT" w:hAnsi="Tw Cen MT" w:cs="Times New Roman"/>
          <w:noProof/>
          <w:sz w:val="24"/>
          <w:szCs w:val="24"/>
        </w:rPr>
        <w:t>, vol. 22, no. 11, pp. 1659–1667, 2018, doi: 10.1007/s10995-018-2563-5.</w:t>
      </w:r>
    </w:p>
    <w:p w14:paraId="1B9B0DC8"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[10]</w:t>
      </w:r>
      <w:r w:rsidRPr="00793130">
        <w:rPr>
          <w:rFonts w:ascii="Tw Cen MT" w:hAnsi="Tw Cen MT" w:cs="Times New Roman"/>
          <w:noProof/>
          <w:sz w:val="24"/>
          <w:szCs w:val="24"/>
        </w:rPr>
        <w:tab/>
        <w:t xml:space="preserve">E. Fitriani, S. Utami, and S. Rahmalia, “Efektifitas Pendidikan Kesehatan Tentang Kehamilan Resiko Tinggi Terhadap Pengetahuan Ibu Hamil,” </w:t>
      </w:r>
      <w:r w:rsidRPr="00793130">
        <w:rPr>
          <w:rFonts w:ascii="Tw Cen MT" w:hAnsi="Tw Cen MT" w:cs="Times New Roman"/>
          <w:i/>
          <w:iCs/>
          <w:noProof/>
          <w:sz w:val="24"/>
          <w:szCs w:val="24"/>
        </w:rPr>
        <w:t>Jom Psik</w:t>
      </w:r>
      <w:r w:rsidRPr="00793130">
        <w:rPr>
          <w:rFonts w:ascii="Tw Cen MT" w:hAnsi="Tw Cen MT" w:cs="Times New Roman"/>
          <w:noProof/>
          <w:sz w:val="24"/>
          <w:szCs w:val="24"/>
        </w:rPr>
        <w:t>, vol. 1, no. OKTOBER, p. 1, 2014.</w:t>
      </w:r>
    </w:p>
    <w:p w14:paraId="266C7BD6"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[11]</w:t>
      </w:r>
      <w:r w:rsidRPr="00793130">
        <w:rPr>
          <w:rFonts w:ascii="Tw Cen MT" w:hAnsi="Tw Cen MT" w:cs="Times New Roman"/>
          <w:noProof/>
          <w:sz w:val="24"/>
          <w:szCs w:val="24"/>
        </w:rPr>
        <w:tab/>
        <w:t xml:space="preserve">D. E. Saraswati and F. P. Hariastuti, “Efektivitas Kartu Skor Poedji Rochjati (KSPR) Untuk Deteksi Resiko Tinggi Pada Ibu Hamil Di Puskesmas Ngumpakdalem Kabupaten Bojonegoro,” </w:t>
      </w:r>
      <w:r w:rsidRPr="00793130">
        <w:rPr>
          <w:rFonts w:ascii="Tw Cen MT" w:hAnsi="Tw Cen MT" w:cs="Times New Roman"/>
          <w:i/>
          <w:iCs/>
          <w:noProof/>
          <w:sz w:val="24"/>
          <w:szCs w:val="24"/>
        </w:rPr>
        <w:t>J. Ilmu Kesehat. MAKIA</w:t>
      </w:r>
      <w:r w:rsidRPr="00793130">
        <w:rPr>
          <w:rFonts w:ascii="Tw Cen MT" w:hAnsi="Tw Cen MT" w:cs="Times New Roman"/>
          <w:noProof/>
          <w:sz w:val="24"/>
          <w:szCs w:val="24"/>
        </w:rPr>
        <w:t>, vol. 5, no. 1, pp. 28–33, 2017, doi: 10.37413/jmakia.v5i1.35.</w:t>
      </w:r>
    </w:p>
    <w:p w14:paraId="2AD793D7"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cs="Times New Roman"/>
          <w:noProof/>
          <w:sz w:val="24"/>
          <w:szCs w:val="24"/>
        </w:rPr>
      </w:pPr>
      <w:r w:rsidRPr="00793130">
        <w:rPr>
          <w:rFonts w:ascii="Tw Cen MT" w:hAnsi="Tw Cen MT" w:cs="Times New Roman"/>
          <w:noProof/>
          <w:sz w:val="24"/>
          <w:szCs w:val="24"/>
        </w:rPr>
        <w:t>[12]</w:t>
      </w:r>
      <w:r w:rsidRPr="00793130">
        <w:rPr>
          <w:rFonts w:ascii="Tw Cen MT" w:hAnsi="Tw Cen MT" w:cs="Times New Roman"/>
          <w:noProof/>
          <w:sz w:val="24"/>
          <w:szCs w:val="24"/>
        </w:rPr>
        <w:tab/>
        <w:t xml:space="preserve">L. S. Amiludin and M. Mindhaudah, “Powtoon: Learning Media To Teach Difable Learner Powtoon: Media Pembelajaran Untuk Mengajar Mahasiswa Berkebutuhan Khusus,” </w:t>
      </w:r>
      <w:r w:rsidRPr="00793130">
        <w:rPr>
          <w:rFonts w:ascii="Tw Cen MT" w:hAnsi="Tw Cen MT" w:cs="Times New Roman"/>
          <w:i/>
          <w:iCs/>
          <w:noProof/>
          <w:sz w:val="24"/>
          <w:szCs w:val="24"/>
        </w:rPr>
        <w:t>SASTRANESIA J. Progr. Stud. Pendidik. Bhs. dan Sastra Indones.</w:t>
      </w:r>
      <w:r w:rsidRPr="00793130">
        <w:rPr>
          <w:rFonts w:ascii="Tw Cen MT" w:hAnsi="Tw Cen MT" w:cs="Times New Roman"/>
          <w:noProof/>
          <w:sz w:val="24"/>
          <w:szCs w:val="24"/>
        </w:rPr>
        <w:t>, vol. 8, no. 1, p. 56, 2020, doi: 10.32682/sastranesia.v8i1.1426.</w:t>
      </w:r>
    </w:p>
    <w:p w14:paraId="2B4F6371" w14:textId="77777777" w:rsidR="00793130" w:rsidRPr="00793130" w:rsidRDefault="00793130" w:rsidP="00793130">
      <w:pPr>
        <w:widowControl w:val="0"/>
        <w:autoSpaceDE w:val="0"/>
        <w:autoSpaceDN w:val="0"/>
        <w:adjustRightInd w:val="0"/>
        <w:spacing w:after="0" w:line="240" w:lineRule="auto"/>
        <w:ind w:left="640" w:hanging="640"/>
        <w:rPr>
          <w:rFonts w:ascii="Tw Cen MT" w:hAnsi="Tw Cen MT"/>
          <w:noProof/>
          <w:sz w:val="24"/>
        </w:rPr>
      </w:pPr>
      <w:r w:rsidRPr="00793130">
        <w:rPr>
          <w:rFonts w:ascii="Tw Cen MT" w:hAnsi="Tw Cen MT" w:cs="Times New Roman"/>
          <w:noProof/>
          <w:sz w:val="24"/>
          <w:szCs w:val="24"/>
        </w:rPr>
        <w:t>[13]</w:t>
      </w:r>
      <w:r w:rsidRPr="00793130">
        <w:rPr>
          <w:rFonts w:ascii="Tw Cen MT" w:hAnsi="Tw Cen MT" w:cs="Times New Roman"/>
          <w:noProof/>
          <w:sz w:val="24"/>
          <w:szCs w:val="24"/>
        </w:rPr>
        <w:tab/>
        <w:t xml:space="preserve">A. Kirwan, S. Raftery, and C. Gormley, “Sounds good to me: A qualitative study to explore the use of audio to potentiate the student feedback experience,” </w:t>
      </w:r>
      <w:r w:rsidRPr="00793130">
        <w:rPr>
          <w:rFonts w:ascii="Tw Cen MT" w:hAnsi="Tw Cen MT" w:cs="Times New Roman"/>
          <w:i/>
          <w:iCs/>
          <w:noProof/>
          <w:sz w:val="24"/>
          <w:szCs w:val="24"/>
        </w:rPr>
        <w:t>J. Prof. Nurs.</w:t>
      </w:r>
      <w:r w:rsidRPr="00793130">
        <w:rPr>
          <w:rFonts w:ascii="Tw Cen MT" w:hAnsi="Tw Cen MT" w:cs="Times New Roman"/>
          <w:noProof/>
          <w:sz w:val="24"/>
          <w:szCs w:val="24"/>
        </w:rPr>
        <w:t>, vol. 47, no. July 2022, pp. 25–30, 2023, doi: 10.1016/j.profnurs.2023.03.020.</w:t>
      </w:r>
    </w:p>
    <w:p w14:paraId="3DAEF3D2" w14:textId="1A1FBE23" w:rsidR="00793130" w:rsidRDefault="00793130"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p w14:paraId="6A662DB8"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0653509C"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2DC7BB5D" w14:textId="5AD6C0E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oktavianirz@gmail.com" w:date="2024-05-30T14:57:00Z" w:initials="t">
    <w:p w14:paraId="13035F35" w14:textId="77777777" w:rsidR="007E047F" w:rsidRDefault="007E047F" w:rsidP="007E047F">
      <w:r>
        <w:rPr>
          <w:rStyle w:val="ReferensiKomentar"/>
        </w:rPr>
        <w:annotationRef/>
      </w:r>
      <w:r>
        <w:rPr>
          <w:color w:val="000000"/>
          <w:sz w:val="20"/>
          <w:szCs w:val="20"/>
        </w:rPr>
        <w:t>Abstract maksimal 150 kata</w:t>
      </w:r>
    </w:p>
  </w:comment>
  <w:comment w:id="2" w:author="iraoktavianirz@gmail.com" w:date="2024-05-30T14:59:00Z" w:initials="t">
    <w:p w14:paraId="10AAE04C" w14:textId="77777777" w:rsidR="007E047F" w:rsidRDefault="007E047F" w:rsidP="007E047F">
      <w:r>
        <w:rPr>
          <w:rStyle w:val="ReferensiKomentar"/>
        </w:rPr>
        <w:annotationRef/>
      </w:r>
      <w:r>
        <w:rPr>
          <w:color w:val="000000"/>
          <w:sz w:val="20"/>
          <w:szCs w:val="20"/>
        </w:rPr>
        <w:t>Tambahkan judul tabel</w:t>
      </w:r>
    </w:p>
  </w:comment>
  <w:comment w:id="3" w:author="iraoktavianirz@gmail.com" w:date="2024-05-30T15:00:00Z" w:initials="t">
    <w:p w14:paraId="11FB59D0" w14:textId="77777777" w:rsidR="007E047F" w:rsidRDefault="007E047F" w:rsidP="007E047F">
      <w:r>
        <w:rPr>
          <w:rStyle w:val="ReferensiKomentar"/>
        </w:rPr>
        <w:annotationRef/>
      </w:r>
      <w:r>
        <w:rPr>
          <w:color w:val="000000"/>
          <w:sz w:val="20"/>
          <w:szCs w:val="20"/>
        </w:rPr>
        <w:t>Sesuaikan letak tabel ny</w:t>
      </w:r>
    </w:p>
  </w:comment>
  <w:comment w:id="4" w:author="iraoktavianirz@gmail.com" w:date="2024-05-30T15:03:00Z" w:initials="t">
    <w:p w14:paraId="403FF6C8" w14:textId="77777777" w:rsidR="007E047F" w:rsidRDefault="007E047F" w:rsidP="007E047F">
      <w:r>
        <w:rPr>
          <w:rStyle w:val="ReferensiKomentar"/>
        </w:rPr>
        <w:annotationRef/>
      </w:r>
      <w:r>
        <w:rPr>
          <w:color w:val="000000"/>
          <w:sz w:val="20"/>
          <w:szCs w:val="20"/>
        </w:rPr>
        <w:t xml:space="preserve">Lebih diperdalam lgi pembahasannya </w:t>
      </w:r>
    </w:p>
  </w:comment>
  <w:comment w:id="5" w:author="iraoktavianirz@gmail.com" w:date="2024-05-30T15:02:00Z" w:initials="t">
    <w:p w14:paraId="30C7C2C0" w14:textId="0FCD37A7" w:rsidR="007E047F" w:rsidRDefault="007E047F" w:rsidP="007E047F">
      <w:r>
        <w:rPr>
          <w:rStyle w:val="ReferensiKomentar"/>
        </w:rPr>
        <w:annotationRef/>
      </w:r>
      <w:r>
        <w:rPr>
          <w:color w:val="000000"/>
          <w:sz w:val="20"/>
          <w:szCs w:val="20"/>
        </w:rPr>
        <w:t>Sitasinya gunakan sistem penomoran</w:t>
      </w:r>
    </w:p>
  </w:comment>
  <w:comment w:id="6" w:author="iraoktavianirz@gmail.com" w:date="2024-05-30T15:01:00Z" w:initials="t">
    <w:p w14:paraId="11C22B50" w14:textId="15BF00AA" w:rsidR="007E047F" w:rsidRDefault="007E047F" w:rsidP="007E047F">
      <w:r>
        <w:rPr>
          <w:rStyle w:val="ReferensiKomentar"/>
        </w:rPr>
        <w:annotationRef/>
      </w:r>
      <w:r>
        <w:rPr>
          <w:sz w:val="20"/>
          <w:szCs w:val="20"/>
        </w:rPr>
        <w:t>DP menggunakan IEEE style.</w:t>
      </w:r>
      <w:r>
        <w:rPr>
          <w:sz w:val="20"/>
          <w:szCs w:val="20"/>
        </w:rPr>
        <w:cr/>
        <w:t>DP minimal 20 buah (tambahkan lagi)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035F35" w15:done="0"/>
  <w15:commentEx w15:paraId="10AAE04C" w15:done="0"/>
  <w15:commentEx w15:paraId="11FB59D0" w15:paraIdParent="10AAE04C" w15:done="0"/>
  <w15:commentEx w15:paraId="403FF6C8" w15:done="0"/>
  <w15:commentEx w15:paraId="30C7C2C0" w15:done="0"/>
  <w15:commentEx w15:paraId="11C22B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7CAAE4" w16cex:dateUtc="2024-05-30T07:57:00Z"/>
  <w16cex:commentExtensible w16cex:durableId="6FC52DEE" w16cex:dateUtc="2024-05-30T07:59:00Z"/>
  <w16cex:commentExtensible w16cex:durableId="6C903301" w16cex:dateUtc="2024-05-30T08:00:00Z"/>
  <w16cex:commentExtensible w16cex:durableId="6790F10B" w16cex:dateUtc="2024-05-30T08:03:00Z"/>
  <w16cex:commentExtensible w16cex:durableId="221F5850" w16cex:dateUtc="2024-05-30T08:02:00Z"/>
  <w16cex:commentExtensible w16cex:durableId="5EAC7606" w16cex:dateUtc="2024-05-30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35F35" w16cid:durableId="4D7CAAE4"/>
  <w16cid:commentId w16cid:paraId="10AAE04C" w16cid:durableId="6FC52DEE"/>
  <w16cid:commentId w16cid:paraId="11FB59D0" w16cid:durableId="6C903301"/>
  <w16cid:commentId w16cid:paraId="403FF6C8" w16cid:durableId="6790F10B"/>
  <w16cid:commentId w16cid:paraId="30C7C2C0" w16cid:durableId="221F5850"/>
  <w16cid:commentId w16cid:paraId="11C22B50" w16cid:durableId="5EAC76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7992" w14:textId="77777777" w:rsidR="002B0AE6" w:rsidRDefault="002B0AE6">
      <w:pPr>
        <w:spacing w:after="0" w:line="240" w:lineRule="auto"/>
      </w:pPr>
      <w:r>
        <w:separator/>
      </w:r>
    </w:p>
  </w:endnote>
  <w:endnote w:type="continuationSeparator" w:id="0">
    <w:p w14:paraId="38F0E797" w14:textId="77777777" w:rsidR="002B0AE6" w:rsidRDefault="002B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29A73D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E524B">
              <w:rPr>
                <w:rFonts w:ascii="Tw Cen MT" w:hAnsi="Tw Cen MT"/>
                <w:color w:val="000000" w:themeColor="text1"/>
                <w:sz w:val="20"/>
                <w:szCs w:val="24"/>
                <w:lang w:val="en-ID"/>
              </w:rPr>
              <w:t>Suparni (suparniluthfan@gmail.com)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018D" w14:textId="77777777" w:rsidR="002B0AE6" w:rsidRDefault="002B0AE6">
      <w:pPr>
        <w:spacing w:after="0" w:line="240" w:lineRule="auto"/>
      </w:pPr>
      <w:r>
        <w:separator/>
      </w:r>
    </w:p>
  </w:footnote>
  <w:footnote w:type="continuationSeparator" w:id="0">
    <w:p w14:paraId="4F139614" w14:textId="77777777" w:rsidR="002B0AE6" w:rsidRDefault="002B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139467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6945"/>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B7931"/>
    <w:rsid w:val="001F1073"/>
    <w:rsid w:val="002113FB"/>
    <w:rsid w:val="00222E32"/>
    <w:rsid w:val="00223B20"/>
    <w:rsid w:val="00261BB2"/>
    <w:rsid w:val="0027621D"/>
    <w:rsid w:val="00292E42"/>
    <w:rsid w:val="00293DB9"/>
    <w:rsid w:val="002B0AE6"/>
    <w:rsid w:val="002B20BA"/>
    <w:rsid w:val="002C693D"/>
    <w:rsid w:val="002C73F4"/>
    <w:rsid w:val="002D30A7"/>
    <w:rsid w:val="002E7BE2"/>
    <w:rsid w:val="00301611"/>
    <w:rsid w:val="003069B5"/>
    <w:rsid w:val="00306DA7"/>
    <w:rsid w:val="00307CDB"/>
    <w:rsid w:val="00314849"/>
    <w:rsid w:val="0033333F"/>
    <w:rsid w:val="00360085"/>
    <w:rsid w:val="00361BBD"/>
    <w:rsid w:val="00372502"/>
    <w:rsid w:val="00380121"/>
    <w:rsid w:val="003B66E6"/>
    <w:rsid w:val="003F6489"/>
    <w:rsid w:val="003F6B0D"/>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53174"/>
    <w:rsid w:val="005642A1"/>
    <w:rsid w:val="00565328"/>
    <w:rsid w:val="005C1635"/>
    <w:rsid w:val="005C30BC"/>
    <w:rsid w:val="005C5210"/>
    <w:rsid w:val="005E0707"/>
    <w:rsid w:val="00624B47"/>
    <w:rsid w:val="006334E1"/>
    <w:rsid w:val="006431BA"/>
    <w:rsid w:val="00655189"/>
    <w:rsid w:val="00663D48"/>
    <w:rsid w:val="00665737"/>
    <w:rsid w:val="00670815"/>
    <w:rsid w:val="006B1D84"/>
    <w:rsid w:val="006D261F"/>
    <w:rsid w:val="006E1ABC"/>
    <w:rsid w:val="006E524B"/>
    <w:rsid w:val="007006B9"/>
    <w:rsid w:val="007106F6"/>
    <w:rsid w:val="007368A2"/>
    <w:rsid w:val="00762C0B"/>
    <w:rsid w:val="00765F40"/>
    <w:rsid w:val="00793130"/>
    <w:rsid w:val="007A1AEF"/>
    <w:rsid w:val="007A770B"/>
    <w:rsid w:val="007D6D9D"/>
    <w:rsid w:val="007E047F"/>
    <w:rsid w:val="007E655E"/>
    <w:rsid w:val="007E6A66"/>
    <w:rsid w:val="007F4948"/>
    <w:rsid w:val="00812425"/>
    <w:rsid w:val="0081569B"/>
    <w:rsid w:val="0086728C"/>
    <w:rsid w:val="008A326F"/>
    <w:rsid w:val="008B3FD4"/>
    <w:rsid w:val="00942731"/>
    <w:rsid w:val="00943EB9"/>
    <w:rsid w:val="0096335E"/>
    <w:rsid w:val="00983A85"/>
    <w:rsid w:val="00997349"/>
    <w:rsid w:val="009A70E3"/>
    <w:rsid w:val="009B67E4"/>
    <w:rsid w:val="009D73CD"/>
    <w:rsid w:val="009F5E84"/>
    <w:rsid w:val="009F6554"/>
    <w:rsid w:val="00A343E3"/>
    <w:rsid w:val="00A36329"/>
    <w:rsid w:val="00A71279"/>
    <w:rsid w:val="00AB2BCC"/>
    <w:rsid w:val="00AE2862"/>
    <w:rsid w:val="00B057E2"/>
    <w:rsid w:val="00B241B6"/>
    <w:rsid w:val="00B25240"/>
    <w:rsid w:val="00B41001"/>
    <w:rsid w:val="00B5447A"/>
    <w:rsid w:val="00B63555"/>
    <w:rsid w:val="00B674AF"/>
    <w:rsid w:val="00BC34CC"/>
    <w:rsid w:val="00BE7B4C"/>
    <w:rsid w:val="00C133E7"/>
    <w:rsid w:val="00C20FA8"/>
    <w:rsid w:val="00C605EF"/>
    <w:rsid w:val="00C812B9"/>
    <w:rsid w:val="00C96B4B"/>
    <w:rsid w:val="00C96F7C"/>
    <w:rsid w:val="00CB0A6C"/>
    <w:rsid w:val="00CB3237"/>
    <w:rsid w:val="00CD6253"/>
    <w:rsid w:val="00CE7ACA"/>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5C7B"/>
    <w:rsid w:val="00DB7592"/>
    <w:rsid w:val="00DC2BB5"/>
    <w:rsid w:val="00DE3780"/>
    <w:rsid w:val="00DF0B65"/>
    <w:rsid w:val="00DF6E07"/>
    <w:rsid w:val="00E00E3E"/>
    <w:rsid w:val="00E02695"/>
    <w:rsid w:val="00E03962"/>
    <w:rsid w:val="00E067A8"/>
    <w:rsid w:val="00E333C7"/>
    <w:rsid w:val="00E37E90"/>
    <w:rsid w:val="00E81E13"/>
    <w:rsid w:val="00EA57B9"/>
    <w:rsid w:val="00ED0E10"/>
    <w:rsid w:val="00F07796"/>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F523F"/>
    <w:rsid w:val="00287697"/>
    <w:rsid w:val="002A13BD"/>
    <w:rsid w:val="00342DE1"/>
    <w:rsid w:val="003B0600"/>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8233</Words>
  <Characters>46931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Suparni (suparniluthfan@gmail.com)</dc:creator>
  <cp:lastModifiedBy>iraoktavianirz@gmail.com</cp:lastModifiedBy>
  <cp:revision>2</cp:revision>
  <cp:lastPrinted>2023-05-02T07:00:00Z</cp:lastPrinted>
  <dcterms:created xsi:type="dcterms:W3CDTF">2024-05-30T08:04:00Z</dcterms:created>
  <dcterms:modified xsi:type="dcterms:W3CDTF">2024-05-30T08:04:00Z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cd864264-5b95-3c33-82ee-2ff5f950f964</vt:lpwstr>
  </property>
  <property fmtid="{D5CDD505-2E9C-101B-9397-08002B2CF9AE}" pid="24" name="Mendeley Citation Style_1">
    <vt:lpwstr>http://www.zotero.org/styles/ieee</vt:lpwstr>
  </property>
</Properties>
</file>