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37A7030F" w:rsidR="0027621D" w:rsidRPr="00670F42" w:rsidRDefault="00824ACA" w:rsidP="00670F42">
      <w:pPr>
        <w:spacing w:after="0" w:line="240" w:lineRule="auto"/>
        <w:jc w:val="center"/>
        <w:rPr>
          <w:rFonts w:ascii="Tw Cen MT" w:hAnsi="Tw Cen MT" w:cs="Arial"/>
          <w:b/>
          <w:color w:val="000000"/>
          <w:sz w:val="32"/>
          <w:szCs w:val="32"/>
        </w:rPr>
      </w:pPr>
      <w:r w:rsidRPr="008B3FD4">
        <w:rPr>
          <w:rFonts w:ascii="Tw Cen MT" w:eastAsia="Twentieth Century" w:hAnsi="Tw Cen MT" w:cs="Twentieth Century"/>
          <w:b/>
          <w:sz w:val="32"/>
          <w:szCs w:val="32"/>
        </w:rPr>
        <w:t xml:space="preserve">The Effectiveness </w:t>
      </w:r>
      <w:r>
        <w:rPr>
          <w:rFonts w:ascii="Tw Cen MT" w:eastAsia="Twentieth Century" w:hAnsi="Tw Cen MT" w:cs="Twentieth Century"/>
          <w:b/>
          <w:sz w:val="32"/>
          <w:szCs w:val="32"/>
        </w:rPr>
        <w:t>o</w:t>
      </w:r>
      <w:r w:rsidRPr="008B3FD4">
        <w:rPr>
          <w:rFonts w:ascii="Tw Cen MT" w:eastAsia="Twentieth Century" w:hAnsi="Tw Cen MT" w:cs="Twentieth Century"/>
          <w:b/>
          <w:sz w:val="32"/>
          <w:szCs w:val="32"/>
        </w:rPr>
        <w:t xml:space="preserve">f </w:t>
      </w:r>
      <w:proofErr w:type="spellStart"/>
      <w:r w:rsidRPr="008B3FD4">
        <w:rPr>
          <w:rFonts w:ascii="Tw Cen MT" w:eastAsia="Twentieth Century" w:hAnsi="Tw Cen MT" w:cs="Twentieth Century"/>
          <w:b/>
          <w:sz w:val="32"/>
          <w:szCs w:val="32"/>
        </w:rPr>
        <w:t>Powtoon</w:t>
      </w:r>
      <w:proofErr w:type="spellEnd"/>
      <w:r w:rsidRPr="008B3FD4">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a</w:t>
      </w:r>
      <w:r w:rsidRPr="008B3FD4">
        <w:rPr>
          <w:rFonts w:ascii="Tw Cen MT" w:eastAsia="Twentieth Century" w:hAnsi="Tw Cen MT" w:cs="Twentieth Century"/>
          <w:b/>
          <w:sz w:val="32"/>
          <w:szCs w:val="32"/>
        </w:rPr>
        <w:t>s Creative Educational Med</w:t>
      </w:r>
      <w:r>
        <w:rPr>
          <w:rFonts w:ascii="Tw Cen MT" w:eastAsia="Twentieth Century" w:hAnsi="Tw Cen MT" w:cs="Twentieth Century"/>
          <w:b/>
          <w:sz w:val="32"/>
          <w:szCs w:val="32"/>
        </w:rPr>
        <w:t>ia</w:t>
      </w:r>
      <w:r w:rsidRPr="008B3FD4">
        <w:rPr>
          <w:rFonts w:ascii="Tw Cen MT" w:eastAsia="Twentieth Century" w:hAnsi="Tw Cen MT" w:cs="Twentieth Century"/>
          <w:b/>
          <w:sz w:val="32"/>
          <w:szCs w:val="32"/>
        </w:rPr>
        <w:t xml:space="preserve"> Regarding Early Detection </w:t>
      </w:r>
      <w:r>
        <w:rPr>
          <w:rFonts w:ascii="Tw Cen MT" w:eastAsia="Twentieth Century" w:hAnsi="Tw Cen MT" w:cs="Twentieth Century"/>
          <w:b/>
          <w:sz w:val="32"/>
          <w:szCs w:val="32"/>
        </w:rPr>
        <w:t>o</w:t>
      </w:r>
      <w:r w:rsidRPr="008B3FD4">
        <w:rPr>
          <w:rFonts w:ascii="Tw Cen MT" w:eastAsia="Twentieth Century" w:hAnsi="Tw Cen MT" w:cs="Twentieth Century"/>
          <w:b/>
          <w:sz w:val="32"/>
          <w:szCs w:val="32"/>
        </w:rPr>
        <w:t>f Pregnancy Risk</w:t>
      </w:r>
      <w:r w:rsidR="0048291F" w:rsidRPr="00670F42">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2F4A95CC" w:rsidR="007F4948" w:rsidRPr="00670F42" w:rsidRDefault="00824ACA" w:rsidP="00670F42">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E02695">
        <w:rPr>
          <w:rFonts w:ascii="Tw Cen MT" w:eastAsia="Twentieth Century" w:hAnsi="Tw Cen MT" w:cs="Twentieth Century"/>
          <w:b/>
          <w:sz w:val="32"/>
          <w:szCs w:val="32"/>
        </w:rPr>
        <w:t>Efektivitas</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Powtoon</w:t>
      </w:r>
      <w:proofErr w:type="spellEnd"/>
      <w:r w:rsidRPr="00E02695">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w:t>
      </w:r>
      <w:r w:rsidRPr="00E02695">
        <w:rPr>
          <w:rFonts w:ascii="Tw Cen MT" w:eastAsia="Twentieth Century" w:hAnsi="Tw Cen MT" w:cs="Twentieth Century"/>
          <w:b/>
          <w:sz w:val="32"/>
          <w:szCs w:val="32"/>
        </w:rPr>
        <w:t>ebagai</w:t>
      </w:r>
      <w:proofErr w:type="spellEnd"/>
      <w:r w:rsidRPr="00E02695">
        <w:rPr>
          <w:rFonts w:ascii="Tw Cen MT" w:eastAsia="Twentieth Century" w:hAnsi="Tw Cen MT" w:cs="Twentieth Century"/>
          <w:b/>
          <w:sz w:val="32"/>
          <w:szCs w:val="32"/>
        </w:rPr>
        <w:t xml:space="preserve"> Media </w:t>
      </w:r>
      <w:proofErr w:type="spellStart"/>
      <w:r w:rsidRPr="00E02695">
        <w:rPr>
          <w:rFonts w:ascii="Tw Cen MT" w:eastAsia="Twentieth Century" w:hAnsi="Tw Cen MT" w:cs="Twentieth Century"/>
          <w:b/>
          <w:sz w:val="32"/>
          <w:szCs w:val="32"/>
        </w:rPr>
        <w:t>Edukasi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Kreatif</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Mengenai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Deteksi</w:t>
      </w:r>
      <w:proofErr w:type="spellEnd"/>
      <w:r w:rsidRPr="00E02695">
        <w:rPr>
          <w:rFonts w:ascii="Tw Cen MT" w:eastAsia="Twentieth Century" w:hAnsi="Tw Cen MT" w:cs="Twentieth Century"/>
          <w:b/>
          <w:sz w:val="32"/>
          <w:szCs w:val="32"/>
        </w:rPr>
        <w:t xml:space="preserve"> Dini </w:t>
      </w:r>
      <w:proofErr w:type="spellStart"/>
      <w:r w:rsidRPr="00E02695">
        <w:rPr>
          <w:rFonts w:ascii="Tw Cen MT" w:eastAsia="Twentieth Century" w:hAnsi="Tw Cen MT" w:cs="Twentieth Century"/>
          <w:b/>
          <w:sz w:val="32"/>
          <w:szCs w:val="32"/>
        </w:rPr>
        <w:t>Risiko</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Kehamilan</w:t>
      </w:r>
      <w:proofErr w:type="spellEnd"/>
      <w:r w:rsidR="0048291F" w:rsidRPr="00670F42">
        <w:rPr>
          <w:rFonts w:ascii="Tw Cen MT" w:eastAsia="Twentieth Century" w:hAnsi="Tw Cen MT" w:cs="Twentieth Century"/>
          <w:b/>
          <w:bCs/>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F1810E" w14:textId="747C03EA" w:rsidR="00670F42" w:rsidRPr="00227851" w:rsidRDefault="00D623AA" w:rsidP="00670F42">
      <w:pPr>
        <w:widowControl w:val="0"/>
        <w:spacing w:after="0" w:line="240"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Sellia</w:t>
      </w:r>
      <w:proofErr w:type="spellEnd"/>
      <w:r>
        <w:rPr>
          <w:rFonts w:ascii="Tw Cen MT" w:eastAsia="Twentieth Century" w:hAnsi="Tw Cen MT" w:cs="Twentieth Century"/>
          <w:sz w:val="24"/>
          <w:szCs w:val="24"/>
        </w:rPr>
        <w:t xml:space="preserve"> Juwita</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Nova Yulita</w:t>
      </w:r>
      <w:r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Jumiati</w:t>
      </w:r>
      <w:r>
        <w:rPr>
          <w:rFonts w:ascii="Tw Cen MT" w:eastAsia="Twentieth Century" w:hAnsi="Tw Cen MT" w:cs="Twentieth Century"/>
          <w:sz w:val="24"/>
          <w:szCs w:val="24"/>
          <w:vertAlign w:val="superscript"/>
        </w:rPr>
        <w:t>3</w:t>
      </w:r>
    </w:p>
    <w:p w14:paraId="31F0C450" w14:textId="615FFC4E" w:rsidR="00670F42" w:rsidRDefault="00670F42" w:rsidP="00670F42">
      <w:pPr>
        <w:widowControl w:val="0"/>
        <w:spacing w:after="0" w:line="240" w:lineRule="auto"/>
        <w:ind w:left="7" w:right="-20"/>
        <w:jc w:val="center"/>
        <w:rPr>
          <w:rFonts w:ascii="Tw Cen MT" w:eastAsia="Twentieth Century" w:hAnsi="Tw Cen MT" w:cs="Twentieth Century"/>
        </w:rPr>
      </w:pPr>
      <w:r w:rsidRPr="00227851">
        <w:rPr>
          <w:rFonts w:ascii="Tw Cen MT" w:eastAsia="Twentieth Century" w:hAnsi="Tw Cen MT" w:cs="Twentieth Century"/>
          <w:sz w:val="20"/>
          <w:szCs w:val="20"/>
          <w:vertAlign w:val="superscript"/>
        </w:rPr>
        <w:t>1</w:t>
      </w:r>
      <w:r w:rsidR="00D623AA">
        <w:rPr>
          <w:rFonts w:ascii="Tw Cen MT" w:eastAsia="Twentieth Century" w:hAnsi="Tw Cen MT" w:cs="Twentieth Century"/>
        </w:rPr>
        <w:t xml:space="preserve">Universitas </w:t>
      </w:r>
      <w:proofErr w:type="spellStart"/>
      <w:r w:rsidR="00D623AA">
        <w:rPr>
          <w:rFonts w:ascii="Tw Cen MT" w:eastAsia="Twentieth Century" w:hAnsi="Tw Cen MT" w:cs="Twentieth Century"/>
        </w:rPr>
        <w:t>Abdurrab</w:t>
      </w:r>
      <w:proofErr w:type="spellEnd"/>
      <w:r w:rsidR="00D623AA" w:rsidRPr="002E23D7">
        <w:rPr>
          <w:rFonts w:ascii="Tw Cen MT" w:eastAsia="Twentieth Century" w:hAnsi="Tw Cen MT" w:cs="Twentieth Century"/>
        </w:rPr>
        <w:t xml:space="preserve">, </w:t>
      </w:r>
      <w:proofErr w:type="spellStart"/>
      <w:r w:rsidR="00D623AA">
        <w:rPr>
          <w:rFonts w:ascii="Tw Cen MT" w:eastAsia="Twentieth Century" w:hAnsi="Tw Cen MT" w:cs="Twentieth Century"/>
        </w:rPr>
        <w:t>Pekanbaru</w:t>
      </w:r>
      <w:proofErr w:type="spellEnd"/>
      <w:r w:rsidR="00D623AA" w:rsidRPr="002E23D7">
        <w:rPr>
          <w:rFonts w:ascii="Tw Cen MT" w:eastAsia="Twentieth Century" w:hAnsi="Tw Cen MT" w:cs="Twentieth Century"/>
        </w:rPr>
        <w:t xml:space="preserve">, </w:t>
      </w:r>
      <w:r w:rsidR="00D623AA">
        <w:rPr>
          <w:rFonts w:ascii="Tw Cen MT" w:eastAsia="Twentieth Century" w:hAnsi="Tw Cen MT" w:cs="Twentieth Century"/>
        </w:rPr>
        <w:t>Indonesia</w:t>
      </w:r>
    </w:p>
    <w:p w14:paraId="71DBF4BA" w14:textId="51B468E5" w:rsidR="00D623AA" w:rsidRPr="00227851" w:rsidRDefault="00D623AA" w:rsidP="00670F42">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vertAlign w:val="superscript"/>
        </w:rPr>
        <w:t>2,3</w:t>
      </w:r>
      <w:r>
        <w:rPr>
          <w:rFonts w:ascii="Tw Cen MT" w:eastAsia="Twentieth Century" w:hAnsi="Tw Cen MT" w:cs="Twentieth Century"/>
        </w:rPr>
        <w:t xml:space="preserve">Universitas Muhammadiyah Riau, </w:t>
      </w:r>
      <w:proofErr w:type="spellStart"/>
      <w:r>
        <w:rPr>
          <w:rFonts w:ascii="Tw Cen MT" w:eastAsia="Twentieth Century" w:hAnsi="Tw Cen MT" w:cs="Twentieth Century"/>
        </w:rPr>
        <w:t>Pekanbaru</w:t>
      </w:r>
      <w:proofErr w:type="spellEnd"/>
      <w:r>
        <w:rPr>
          <w:rFonts w:ascii="Tw Cen MT" w:eastAsia="Twentieth Century" w:hAnsi="Tw Cen MT" w:cs="Twentieth Century"/>
        </w:rPr>
        <w:t xml:space="preserve">, </w:t>
      </w:r>
      <w:r>
        <w:rPr>
          <w:rFonts w:ascii="Tw Cen MT" w:eastAsia="Twentieth Century" w:hAnsi="Tw Cen MT" w:cs="Twentieth Century"/>
        </w:rPr>
        <w:t>Indonesia</w:t>
      </w:r>
    </w:p>
    <w:p w14:paraId="23FA8100" w14:textId="42DEC658" w:rsidR="007F4948" w:rsidRPr="0096335E" w:rsidRDefault="00670F42" w:rsidP="00670F42">
      <w:pPr>
        <w:widowControl w:val="0"/>
        <w:spacing w:after="0" w:line="218" w:lineRule="auto"/>
        <w:ind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rPr>
        <w:t xml:space="preserve">Email: </w:t>
      </w:r>
      <w:r w:rsidR="00D623AA">
        <w:rPr>
          <w:rFonts w:ascii="Tw Cen MT" w:eastAsia="Twentieth Century" w:hAnsi="Tw Cen MT" w:cs="Twentieth Century"/>
        </w:rPr>
        <w:t>sellia.juwita</w:t>
      </w:r>
      <w:r w:rsidR="00D623AA">
        <w:rPr>
          <w:rFonts w:ascii="Tw Cen MT" w:eastAsia="Twentieth Century" w:hAnsi="Tw Cen MT" w:cs="Twentieth Century"/>
        </w:rPr>
        <w:t>@univrab</w:t>
      </w:r>
      <w:r w:rsidRPr="00227851">
        <w:rPr>
          <w:rFonts w:ascii="Tw Cen MT" w:eastAsia="Twentieth Century" w:hAnsi="Tw Cen MT" w:cs="Twentieth Century"/>
          <w:sz w:val="20"/>
          <w:szCs w:val="20"/>
        </w:rPr>
        <w:t>.ac.id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1FD2611"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05</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roofErr w:type="gramEnd"/>
                          </w:p>
                          <w:p w14:paraId="2E3C9739" w14:textId="18DFAF90"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
                          <w:p w14:paraId="65822EE9" w14:textId="12F667AC"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12</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1FD2611"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05</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roofErr w:type="gramEnd"/>
                    </w:p>
                    <w:p w14:paraId="2E3C9739" w14:textId="18DFAF90"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
                    <w:p w14:paraId="65822EE9" w14:textId="12F667AC"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12</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582942A"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670F42">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ACA" w:rsidRPr="00DA11DB">
        <w:rPr>
          <w:rFonts w:ascii="Tw Cen MT" w:eastAsia="Twentieth Century" w:hAnsi="Tw Cen MT" w:cs="Twentieth Century"/>
          <w:i/>
          <w:sz w:val="20"/>
          <w:szCs w:val="20"/>
        </w:rPr>
        <w:t>Health promotion aims to provide health messages to the public so that they apply healthy living behaviors. It is hoped that the public will have information about health and the prevention of health problems. One way is through health counseling that increases public knowledge and attitudes.</w:t>
      </w:r>
      <w:r w:rsidR="00824ACA">
        <w:rPr>
          <w:rFonts w:ascii="Tw Cen MT" w:eastAsia="Twentieth Century" w:hAnsi="Tw Cen MT" w:cs="Twentieth Century"/>
          <w:i/>
          <w:sz w:val="20"/>
          <w:szCs w:val="20"/>
        </w:rPr>
        <w:t xml:space="preserve"> </w:t>
      </w:r>
      <w:r w:rsidR="00824ACA" w:rsidRPr="009E4CD6">
        <w:rPr>
          <w:rFonts w:ascii="Tw Cen MT" w:eastAsia="Twentieth Century" w:hAnsi="Tw Cen MT" w:cs="Twentieth Century"/>
          <w:i/>
          <w:sz w:val="20"/>
          <w:szCs w:val="20"/>
        </w:rPr>
        <w:t xml:space="preserve">This study focused on pregnant women in the Working Area of the </w:t>
      </w:r>
      <w:proofErr w:type="spellStart"/>
      <w:r w:rsidR="00824ACA" w:rsidRPr="009E4CD6">
        <w:rPr>
          <w:rFonts w:ascii="Tw Cen MT" w:eastAsia="Twentieth Century" w:hAnsi="Tw Cen MT" w:cs="Twentieth Century"/>
          <w:i/>
          <w:sz w:val="20"/>
          <w:szCs w:val="20"/>
        </w:rPr>
        <w:t>Buaran</w:t>
      </w:r>
      <w:proofErr w:type="spellEnd"/>
      <w:r w:rsidR="00824ACA" w:rsidRPr="009E4CD6">
        <w:rPr>
          <w:rFonts w:ascii="Tw Cen MT" w:eastAsia="Twentieth Century" w:hAnsi="Tw Cen MT" w:cs="Twentieth Century"/>
          <w:i/>
          <w:sz w:val="20"/>
          <w:szCs w:val="20"/>
        </w:rPr>
        <w:t xml:space="preserve"> Health Center, </w:t>
      </w:r>
      <w:proofErr w:type="spellStart"/>
      <w:r w:rsidR="00824ACA" w:rsidRPr="009E4CD6">
        <w:rPr>
          <w:rFonts w:ascii="Tw Cen MT" w:eastAsia="Twentieth Century" w:hAnsi="Tw Cen MT" w:cs="Twentieth Century"/>
          <w:i/>
          <w:sz w:val="20"/>
          <w:szCs w:val="20"/>
        </w:rPr>
        <w:t>Pekalongan</w:t>
      </w:r>
      <w:proofErr w:type="spellEnd"/>
      <w:r w:rsidR="00824ACA" w:rsidRPr="009E4CD6">
        <w:rPr>
          <w:rFonts w:ascii="Tw Cen MT" w:eastAsia="Twentieth Century" w:hAnsi="Tw Cen MT" w:cs="Twentieth Century"/>
          <w:i/>
          <w:sz w:val="20"/>
          <w:szCs w:val="20"/>
        </w:rPr>
        <w:t>, using a simple experimental design with a control group and a simple random sample, involving 30 pregnant women per group. Data were collected through pre- and post-treatment questionnaires in the control group and treatment</w:t>
      </w:r>
      <w:r w:rsidR="00824ACA">
        <w:rPr>
          <w:rFonts w:ascii="Tw Cen MT" w:eastAsia="Twentieth Century" w:hAnsi="Tw Cen MT" w:cs="Twentieth Century"/>
          <w:i/>
          <w:sz w:val="20"/>
          <w:szCs w:val="20"/>
        </w:rPr>
        <w:t xml:space="preserve">. </w:t>
      </w:r>
      <w:r w:rsidR="00824ACA" w:rsidRPr="009E4CD6">
        <w:rPr>
          <w:rFonts w:ascii="Tw Cen MT" w:eastAsia="Twentieth Century" w:hAnsi="Tw Cen MT" w:cs="Twentieth Century"/>
          <w:i/>
          <w:sz w:val="20"/>
          <w:szCs w:val="20"/>
        </w:rPr>
        <w:t xml:space="preserve">Data analysis with the Mann-Whitney test showed a significance value of 0.000 (&lt;0.05) with a confidence interval of 95%. In conclusion, the </w:t>
      </w:r>
      <w:proofErr w:type="spellStart"/>
      <w:r w:rsidR="00824ACA" w:rsidRPr="009E4CD6">
        <w:rPr>
          <w:rFonts w:ascii="Tw Cen MT" w:eastAsia="Twentieth Century" w:hAnsi="Tw Cen MT" w:cs="Twentieth Century"/>
          <w:i/>
          <w:sz w:val="20"/>
          <w:szCs w:val="20"/>
        </w:rPr>
        <w:t>Powtoon</w:t>
      </w:r>
      <w:proofErr w:type="spellEnd"/>
      <w:r w:rsidR="00824ACA" w:rsidRPr="009E4CD6">
        <w:rPr>
          <w:rFonts w:ascii="Tw Cen MT" w:eastAsia="Twentieth Century" w:hAnsi="Tw Cen MT" w:cs="Twentieth Century"/>
          <w:i/>
          <w:sz w:val="20"/>
          <w:szCs w:val="20"/>
        </w:rPr>
        <w:t xml:space="preserve"> method is more effective than the </w:t>
      </w:r>
      <w:proofErr w:type="gramStart"/>
      <w:r w:rsidR="00824ACA" w:rsidRPr="009E4CD6">
        <w:rPr>
          <w:rFonts w:ascii="Tw Cen MT" w:eastAsia="Twentieth Century" w:hAnsi="Tw Cen MT" w:cs="Twentieth Century"/>
          <w:i/>
          <w:sz w:val="20"/>
          <w:szCs w:val="20"/>
        </w:rPr>
        <w:t>question and answer</w:t>
      </w:r>
      <w:proofErr w:type="gramEnd"/>
      <w:r w:rsidR="00824ACA" w:rsidRPr="009E4CD6">
        <w:rPr>
          <w:rFonts w:ascii="Tw Cen MT" w:eastAsia="Twentieth Century" w:hAnsi="Tw Cen MT" w:cs="Twentieth Century"/>
          <w:i/>
          <w:sz w:val="20"/>
          <w:szCs w:val="20"/>
        </w:rPr>
        <w:t xml:space="preserve"> lecture in increasing the knowledge of pregnant women about early detection of pregnancy risks. It is recommended to the </w:t>
      </w:r>
      <w:proofErr w:type="gramStart"/>
      <w:r w:rsidR="00824ACA" w:rsidRPr="009E4CD6">
        <w:rPr>
          <w:rFonts w:ascii="Tw Cen MT" w:eastAsia="Twentieth Century" w:hAnsi="Tw Cen MT" w:cs="Twentieth Century"/>
          <w:i/>
          <w:sz w:val="20"/>
          <w:szCs w:val="20"/>
        </w:rPr>
        <w:t>Health</w:t>
      </w:r>
      <w:proofErr w:type="gramEnd"/>
      <w:r w:rsidR="00824ACA" w:rsidRPr="009E4CD6">
        <w:rPr>
          <w:rFonts w:ascii="Tw Cen MT" w:eastAsia="Twentieth Century" w:hAnsi="Tw Cen MT" w:cs="Twentieth Century"/>
          <w:i/>
          <w:sz w:val="20"/>
          <w:szCs w:val="20"/>
        </w:rPr>
        <w:t xml:space="preserve"> Office to socialize these results to increase the knowledge of pregnant women about pregnancy risk factors</w:t>
      </w:r>
      <w:r w:rsidR="00D623AA" w:rsidRPr="00FD2EE9">
        <w:rPr>
          <w:rFonts w:ascii="Tw Cen MT" w:eastAsia="Twentieth Century" w:hAnsi="Tw Cen MT" w:cs="Twentieth Century"/>
          <w:i/>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102EC695" w:rsidR="007F4948" w:rsidRPr="0096335E" w:rsidRDefault="00824ACA" w:rsidP="00F0256B">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E</w:t>
      </w:r>
      <w:r w:rsidRPr="001B7931">
        <w:rPr>
          <w:rFonts w:ascii="Tw Cen MT" w:eastAsia="Twentieth Century" w:hAnsi="Tw Cen MT" w:cs="Twentieth Century"/>
          <w:i/>
          <w:sz w:val="20"/>
          <w:szCs w:val="20"/>
        </w:rPr>
        <w:t xml:space="preserve">arly </w:t>
      </w:r>
      <w:r>
        <w:rPr>
          <w:rFonts w:ascii="Tw Cen MT" w:eastAsia="Twentieth Century" w:hAnsi="Tw Cen MT" w:cs="Twentieth Century"/>
          <w:i/>
          <w:sz w:val="20"/>
          <w:szCs w:val="20"/>
        </w:rPr>
        <w:t>D</w:t>
      </w:r>
      <w:r w:rsidRPr="001B7931">
        <w:rPr>
          <w:rFonts w:ascii="Tw Cen MT" w:eastAsia="Twentieth Century" w:hAnsi="Tw Cen MT" w:cs="Twentieth Century"/>
          <w:i/>
          <w:sz w:val="20"/>
          <w:szCs w:val="20"/>
        </w:rPr>
        <w:t xml:space="preserve">etection of </w:t>
      </w:r>
      <w:r>
        <w:rPr>
          <w:rFonts w:ascii="Tw Cen MT" w:eastAsia="Twentieth Century" w:hAnsi="Tw Cen MT" w:cs="Twentieth Century"/>
          <w:i/>
          <w:sz w:val="20"/>
          <w:szCs w:val="20"/>
        </w:rPr>
        <w:t>P</w:t>
      </w:r>
      <w:r w:rsidRPr="001B7931">
        <w:rPr>
          <w:rFonts w:ascii="Tw Cen MT" w:eastAsia="Twentieth Century" w:hAnsi="Tw Cen MT" w:cs="Twentieth Century"/>
          <w:i/>
          <w:sz w:val="20"/>
          <w:szCs w:val="20"/>
        </w:rPr>
        <w:t xml:space="preserve">regnancy </w:t>
      </w:r>
      <w:r>
        <w:rPr>
          <w:rFonts w:ascii="Tw Cen MT" w:eastAsia="Twentieth Century" w:hAnsi="Tw Cen MT" w:cs="Twentieth Century"/>
          <w:i/>
          <w:sz w:val="20"/>
          <w:szCs w:val="20"/>
        </w:rPr>
        <w:t>R</w:t>
      </w:r>
      <w:r w:rsidRPr="001B7931">
        <w:rPr>
          <w:rFonts w:ascii="Tw Cen MT" w:eastAsia="Twentieth Century" w:hAnsi="Tw Cen MT" w:cs="Twentieth Century"/>
          <w:i/>
          <w:sz w:val="20"/>
          <w:szCs w:val="20"/>
        </w:rPr>
        <w:t>isk</w:t>
      </w:r>
      <w:r w:rsidR="00D623AA">
        <w:rPr>
          <w:rFonts w:ascii="Tw Cen MT" w:eastAsia="Twentieth Century" w:hAnsi="Tw Cen MT" w:cs="Twentieth Century"/>
          <w:i/>
        </w:rPr>
        <w:t>;</w:t>
      </w:r>
      <w:r>
        <w:rPr>
          <w:rFonts w:ascii="Tw Cen MT" w:eastAsia="Twentieth Century" w:hAnsi="Tw Cen MT" w:cs="Twentieth Century"/>
          <w:i/>
          <w:sz w:val="20"/>
          <w:szCs w:val="20"/>
        </w:rPr>
        <w:t xml:space="preserve">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Media</w:t>
      </w:r>
      <w:r w:rsidR="00D623AA">
        <w:rPr>
          <w:rFonts w:ascii="Tw Cen MT" w:eastAsia="Twentieth Century" w:hAnsi="Tw Cen MT" w:cs="Twentieth Century"/>
          <w:i/>
        </w:rPr>
        <w:t>;</w:t>
      </w:r>
      <w:r w:rsidR="00D623AA" w:rsidRPr="00310A69">
        <w:rPr>
          <w:rFonts w:ascii="Tw Cen MT" w:eastAsia="Twentieth Century" w:hAnsi="Tw Cen MT" w:cs="Twentieth Century"/>
          <w:i/>
        </w:rPr>
        <w:t xml:space="preserve"> </w:t>
      </w:r>
      <w:r w:rsidRPr="001B7931">
        <w:rPr>
          <w:rFonts w:ascii="Tw Cen MT" w:eastAsia="Twentieth Century" w:hAnsi="Tw Cen MT" w:cs="Twentieth Century"/>
          <w:i/>
          <w:sz w:val="20"/>
          <w:szCs w:val="20"/>
        </w:rPr>
        <w:t>Q&amp;A lecture</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58780D1" w:rsidR="007F4948" w:rsidRPr="004721E3" w:rsidRDefault="00824ACA" w:rsidP="00F0256B">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A11DB">
        <w:rPr>
          <w:rFonts w:ascii="Tw Cen MT" w:eastAsia="Twentieth Century" w:hAnsi="Tw Cen MT" w:cs="Twentieth Century"/>
          <w:bCs/>
          <w:sz w:val="20"/>
          <w:szCs w:val="20"/>
        </w:rPr>
        <w:t>Promosi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bertujuan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memberikan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pesan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agar </w:t>
      </w:r>
      <w:proofErr w:type="spellStart"/>
      <w:r w:rsidRPr="00DA11DB">
        <w:rPr>
          <w:rFonts w:ascii="Tw Cen MT" w:eastAsia="Twentieth Century" w:hAnsi="Tw Cen MT" w:cs="Twentieth Century"/>
          <w:bCs/>
          <w:sz w:val="20"/>
          <w:szCs w:val="20"/>
        </w:rPr>
        <w:t>mereka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menerapkan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perilaku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hidup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sehat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Diharapkan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memiliki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informasi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pencegahan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masalah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Salah </w:t>
      </w:r>
      <w:proofErr w:type="spellStart"/>
      <w:r w:rsidRPr="00DA11DB">
        <w:rPr>
          <w:rFonts w:ascii="Tw Cen MT" w:eastAsia="Twentieth Century" w:hAnsi="Tw Cen MT" w:cs="Twentieth Century"/>
          <w:bCs/>
          <w:sz w:val="20"/>
          <w:szCs w:val="20"/>
        </w:rPr>
        <w:t>satu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caranya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adalah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penyuluhan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yang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sikap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Penelitian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berfokus</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di Wilayah </w:t>
      </w:r>
      <w:proofErr w:type="spellStart"/>
      <w:r w:rsidRPr="00DA11DB">
        <w:rPr>
          <w:rFonts w:ascii="Tw Cen MT" w:eastAsia="Twentieth Century" w:hAnsi="Tw Cen MT" w:cs="Twentieth Century"/>
          <w:bCs/>
          <w:sz w:val="20"/>
          <w:szCs w:val="20"/>
        </w:rPr>
        <w:t>Kerja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Puskesmas</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Buaran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Pekalongan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menggunakan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desain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eksperimen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sampel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acak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melibatkan</w:t>
      </w:r>
      <w:proofErr w:type="spellEnd"/>
      <w:r w:rsidRPr="00DA11DB">
        <w:rPr>
          <w:rFonts w:ascii="Tw Cen MT" w:eastAsia="Twentieth Century" w:hAnsi="Tw Cen MT" w:cs="Twentieth Century"/>
          <w:bCs/>
          <w:sz w:val="20"/>
          <w:szCs w:val="20"/>
        </w:rPr>
        <w:t xml:space="preserve"> 30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per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Data </w:t>
      </w:r>
      <w:proofErr w:type="spellStart"/>
      <w:r w:rsidRPr="00DA11DB">
        <w:rPr>
          <w:rFonts w:ascii="Tw Cen MT" w:eastAsia="Twentieth Century" w:hAnsi="Tw Cen MT" w:cs="Twentieth Century"/>
          <w:bCs/>
          <w:sz w:val="20"/>
          <w:szCs w:val="20"/>
        </w:rPr>
        <w:t>dikumpulkan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kuesioner</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sebelum</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sesudah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Analisis</w:t>
      </w:r>
      <w:proofErr w:type="spellEnd"/>
      <w:r w:rsidRPr="00DA11DB">
        <w:rPr>
          <w:rFonts w:ascii="Tw Cen MT" w:eastAsia="Twentieth Century" w:hAnsi="Tw Cen MT" w:cs="Twentieth Century"/>
          <w:bCs/>
          <w:sz w:val="20"/>
          <w:szCs w:val="20"/>
        </w:rPr>
        <w:t xml:space="preserve"> data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uji Mann-Whitney </w:t>
      </w:r>
      <w:proofErr w:type="spellStart"/>
      <w:r w:rsidRPr="00DA11DB">
        <w:rPr>
          <w:rFonts w:ascii="Tw Cen MT" w:eastAsia="Twentieth Century" w:hAnsi="Tw Cen MT" w:cs="Twentieth Century"/>
          <w:bCs/>
          <w:sz w:val="20"/>
          <w:szCs w:val="20"/>
        </w:rPr>
        <w:t>menunjukkan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nilai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signifikansi</w:t>
      </w:r>
      <w:proofErr w:type="spellEnd"/>
      <w:r w:rsidRPr="00DA11DB">
        <w:rPr>
          <w:rFonts w:ascii="Tw Cen MT" w:eastAsia="Twentieth Century" w:hAnsi="Tw Cen MT" w:cs="Twentieth Century"/>
          <w:bCs/>
          <w:sz w:val="20"/>
          <w:szCs w:val="20"/>
        </w:rPr>
        <w:t xml:space="preserve"> 0,000 (&lt;0,05)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confidence interval 95%. </w:t>
      </w:r>
      <w:proofErr w:type="spellStart"/>
      <w:r w:rsidRPr="00DA11DB">
        <w:rPr>
          <w:rFonts w:ascii="Tw Cen MT" w:eastAsia="Twentieth Century" w:hAnsi="Tw Cen MT" w:cs="Twentieth Century"/>
          <w:bCs/>
          <w:sz w:val="20"/>
          <w:szCs w:val="20"/>
        </w:rPr>
        <w:t>Kesimpulannya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metode</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Powtoon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lebih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efektif</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daripada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ceramah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jawab</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dalam</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deteksi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Disarankan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Dinas Kesehatan </w:t>
      </w:r>
      <w:proofErr w:type="spellStart"/>
      <w:r w:rsidRPr="00DA11DB">
        <w:rPr>
          <w:rFonts w:ascii="Tw Cen MT" w:eastAsia="Twentieth Century" w:hAnsi="Tw Cen MT" w:cs="Twentieth Century"/>
          <w:bCs/>
          <w:sz w:val="20"/>
          <w:szCs w:val="20"/>
        </w:rPr>
        <w:t>untuk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mensosialisasikan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hasil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guna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faktor</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00D623AA" w:rsidRPr="00FD2EE9">
        <w:rPr>
          <w:rFonts w:ascii="Tw Cen MT" w:eastAsia="Twentieth Century" w:hAnsi="Tw Cen MT" w:cs="Twentieth Century"/>
          <w:iCs/>
          <w:color w:val="00000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5073ECC8" w:rsidR="00314849" w:rsidRPr="0096335E" w:rsidRDefault="00824ACA" w:rsidP="00F0256B">
      <w:pPr>
        <w:spacing w:line="240" w:lineRule="auto"/>
        <w:ind w:left="3150"/>
        <w:rPr>
          <w:rFonts w:ascii="Tw Cen MT" w:eastAsia="Twentieth Century" w:hAnsi="Tw Cen MT" w:cs="Twentieth Century"/>
          <w:sz w:val="20"/>
          <w:szCs w:val="20"/>
        </w:rPr>
      </w:pPr>
      <w:proofErr w:type="spellStart"/>
      <w:r>
        <w:rPr>
          <w:rFonts w:ascii="Tw Cen MT" w:eastAsia="Twentieth Century" w:hAnsi="Tw Cen MT" w:cs="Twentieth Century"/>
          <w:bCs/>
          <w:sz w:val="20"/>
          <w:szCs w:val="20"/>
        </w:rPr>
        <w:t>D</w:t>
      </w:r>
      <w:r w:rsidRPr="008B3FD4">
        <w:rPr>
          <w:rFonts w:ascii="Tw Cen MT" w:eastAsia="Twentieth Century" w:hAnsi="Tw Cen MT" w:cs="Twentieth Century"/>
          <w:bCs/>
          <w:sz w:val="20"/>
          <w:szCs w:val="20"/>
        </w:rPr>
        <w:t>eteksi</w:t>
      </w:r>
      <w:proofErr w:type="spellEnd"/>
      <w:r w:rsidRPr="008B3FD4">
        <w:rPr>
          <w:rFonts w:ascii="Tw Cen MT" w:eastAsia="Twentieth Century" w:hAnsi="Tw Cen MT" w:cs="Twentieth Century"/>
          <w:bCs/>
          <w:sz w:val="20"/>
          <w:szCs w:val="20"/>
        </w:rPr>
        <w:t xml:space="preserve"> </w:t>
      </w:r>
      <w:r>
        <w:rPr>
          <w:rFonts w:ascii="Tw Cen MT" w:eastAsia="Twentieth Century" w:hAnsi="Tw Cen MT" w:cs="Twentieth Century"/>
          <w:bCs/>
          <w:sz w:val="20"/>
          <w:szCs w:val="20"/>
        </w:rPr>
        <w:t>D</w:t>
      </w:r>
      <w:r w:rsidRPr="008B3FD4">
        <w:rPr>
          <w:rFonts w:ascii="Tw Cen MT" w:eastAsia="Twentieth Century" w:hAnsi="Tw Cen MT" w:cs="Twentieth Century"/>
          <w:bCs/>
          <w:sz w:val="20"/>
          <w:szCs w:val="20"/>
        </w:rPr>
        <w:t xml:space="preserve">ini </w:t>
      </w:r>
      <w:proofErr w:type="spellStart"/>
      <w:r>
        <w:rPr>
          <w:rFonts w:ascii="Tw Cen MT" w:eastAsia="Twentieth Century" w:hAnsi="Tw Cen MT" w:cs="Twentieth Century"/>
          <w:bCs/>
          <w:sz w:val="20"/>
          <w:szCs w:val="20"/>
        </w:rPr>
        <w:t>R</w:t>
      </w:r>
      <w:r w:rsidRPr="008B3FD4">
        <w:rPr>
          <w:rFonts w:ascii="Tw Cen MT" w:eastAsia="Twentieth Century" w:hAnsi="Tw Cen MT" w:cs="Twentieth Century"/>
          <w:bCs/>
          <w:sz w:val="20"/>
          <w:szCs w:val="20"/>
        </w:rPr>
        <w:t>isiko</w:t>
      </w:r>
      <w:proofErr w:type="spellEnd"/>
      <w:r w:rsidRPr="008B3FD4">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K</w:t>
      </w:r>
      <w:r w:rsidRPr="008B3FD4">
        <w:rPr>
          <w:rFonts w:ascii="Tw Cen MT" w:eastAsia="Twentieth Century" w:hAnsi="Tw Cen MT" w:cs="Twentieth Century"/>
          <w:bCs/>
          <w:sz w:val="20"/>
          <w:szCs w:val="20"/>
        </w:rPr>
        <w:t>ehamilan</w:t>
      </w:r>
      <w:proofErr w:type="spellEnd"/>
      <w:r>
        <w:rPr>
          <w:rFonts w:ascii="Tw Cen MT" w:eastAsia="Twentieth Century" w:hAnsi="Tw Cen MT" w:cs="Twentieth Century"/>
          <w:bCs/>
          <w:sz w:val="20"/>
          <w:szCs w:val="20"/>
        </w:rPr>
        <w:t xml:space="preserve">; </w:t>
      </w:r>
      <w:r w:rsidRPr="008B3FD4">
        <w:rPr>
          <w:rFonts w:ascii="Tw Cen MT" w:eastAsia="Twentieth Century" w:hAnsi="Tw Cen MT" w:cs="Twentieth Century"/>
          <w:bCs/>
          <w:sz w:val="20"/>
          <w:szCs w:val="20"/>
        </w:rPr>
        <w:t xml:space="preserve">Media </w:t>
      </w:r>
      <w:proofErr w:type="spellStart"/>
      <w:r w:rsidRPr="008B3FD4">
        <w:rPr>
          <w:rFonts w:ascii="Tw Cen MT" w:eastAsia="Twentieth Century" w:hAnsi="Tw Cen MT" w:cs="Twentieth Century"/>
          <w:bCs/>
          <w:sz w:val="20"/>
          <w:szCs w:val="20"/>
        </w:rPr>
        <w:t>Powtoon</w:t>
      </w:r>
      <w:proofErr w:type="spellEnd"/>
      <w:r>
        <w:rPr>
          <w:rFonts w:ascii="Tw Cen MT" w:eastAsia="Twentieth Century" w:hAnsi="Tw Cen MT" w:cs="Twentieth Century"/>
          <w:bCs/>
          <w:sz w:val="20"/>
          <w:szCs w:val="20"/>
        </w:rPr>
        <w:t>;</w:t>
      </w:r>
      <w:r w:rsidRPr="008B3FD4">
        <w:rPr>
          <w:rFonts w:ascii="Tw Cen MT" w:eastAsia="Twentieth Century" w:hAnsi="Tw Cen MT" w:cs="Twentieth Century"/>
          <w:bCs/>
          <w:sz w:val="20"/>
          <w:szCs w:val="20"/>
        </w:rPr>
        <w:t xml:space="preserve"> </w:t>
      </w:r>
      <w:proofErr w:type="spellStart"/>
      <w:r w:rsidRPr="008B3FD4">
        <w:rPr>
          <w:rFonts w:ascii="Tw Cen MT" w:eastAsia="Twentieth Century" w:hAnsi="Tw Cen MT" w:cs="Twentieth Century"/>
          <w:bCs/>
          <w:sz w:val="20"/>
          <w:szCs w:val="20"/>
        </w:rPr>
        <w:t>Ceramah</w:t>
      </w:r>
      <w:proofErr w:type="spellEnd"/>
      <w:r w:rsidRPr="008B3FD4">
        <w:rPr>
          <w:rFonts w:ascii="Tw Cen MT" w:eastAsia="Twentieth Century" w:hAnsi="Tw Cen MT" w:cs="Twentieth Century"/>
          <w:bCs/>
          <w:sz w:val="20"/>
          <w:szCs w:val="20"/>
        </w:rPr>
        <w:t xml:space="preserve"> </w:t>
      </w:r>
      <w:r>
        <w:rPr>
          <w:rFonts w:ascii="Tw Cen MT" w:eastAsia="Twentieth Century" w:hAnsi="Tw Cen MT" w:cs="Twentieth Century"/>
          <w:bCs/>
          <w:sz w:val="20"/>
          <w:szCs w:val="20"/>
        </w:rPr>
        <w:t>T</w:t>
      </w:r>
      <w:r w:rsidRPr="008B3FD4">
        <w:rPr>
          <w:rFonts w:ascii="Tw Cen MT" w:eastAsia="Twentieth Century" w:hAnsi="Tw Cen MT" w:cs="Twentieth Century"/>
          <w:bCs/>
          <w:sz w:val="20"/>
          <w:szCs w:val="20"/>
        </w:rPr>
        <w:t xml:space="preserve">anya </w:t>
      </w:r>
      <w:proofErr w:type="gramStart"/>
      <w:r>
        <w:rPr>
          <w:rFonts w:ascii="Tw Cen MT" w:eastAsia="Twentieth Century" w:hAnsi="Tw Cen MT" w:cs="Twentieth Century"/>
          <w:bCs/>
          <w:sz w:val="20"/>
          <w:szCs w:val="20"/>
        </w:rPr>
        <w:t>J</w:t>
      </w:r>
      <w:r w:rsidRPr="008B3FD4">
        <w:rPr>
          <w:rFonts w:ascii="Tw Cen MT" w:eastAsia="Twentieth Century" w:hAnsi="Tw Cen MT" w:cs="Twentieth Century"/>
          <w:bCs/>
          <w:sz w:val="20"/>
          <w:szCs w:val="20"/>
        </w:rPr>
        <w:t>awab</w:t>
      </w:r>
      <w:r>
        <w:rPr>
          <w:rFonts w:ascii="Tw Cen MT" w:eastAsia="Twentieth Century" w:hAnsi="Tw Cen MT" w:cs="Twentieth Century"/>
          <w:bCs/>
          <w:sz w:val="20"/>
          <w:szCs w:val="20"/>
        </w:rPr>
        <w:t>;</w:t>
      </w:r>
      <w:proofErr w:type="gramEnd"/>
      <w:r w:rsidRPr="008B3FD4">
        <w:rPr>
          <w:rFonts w:ascii="Tw Cen MT" w:eastAsia="Twentieth Century" w:hAnsi="Tw Cen MT" w:cs="Twentieth Century"/>
          <w:bCs/>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862F33">
          <w:headerReference w:type="default" r:id="rId10"/>
          <w:footerReference w:type="default" r:id="rId11"/>
          <w:pgSz w:w="12240" w:h="15840"/>
          <w:pgMar w:top="1440" w:right="1440" w:bottom="1440" w:left="1440" w:header="720" w:footer="720" w:gutter="0"/>
          <w:pgNumType w:start="77"/>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27EF7D43"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40BAA6FE"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12468592" w14:textId="29A52CF6"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4DEC1F8" w14:textId="77777777" w:rsidR="00824ACA" w:rsidRDefault="00824ACA" w:rsidP="00824ACA">
      <w:pPr>
        <w:tabs>
          <w:tab w:val="left" w:pos="426"/>
        </w:tabs>
        <w:spacing w:after="0" w:line="240" w:lineRule="auto"/>
        <w:jc w:val="both"/>
        <w:rPr>
          <w:rFonts w:ascii="Tw Cen MT" w:eastAsia="Twentieth Century" w:hAnsi="Tw Cen MT" w:cs="Twentieth Century"/>
          <w:bCs/>
          <w:sz w:val="24"/>
          <w:szCs w:val="24"/>
        </w:rPr>
      </w:pPr>
      <w:proofErr w:type="spellStart"/>
      <w:r w:rsidRPr="00553174">
        <w:rPr>
          <w:rFonts w:ascii="Tw Cen MT" w:eastAsia="Twentieth Century" w:hAnsi="Tw Cen MT" w:cs="Twentieth Century"/>
          <w:bCs/>
          <w:sz w:val="24"/>
          <w:szCs w:val="24"/>
        </w:rPr>
        <w:t>Setiap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proses </w:t>
      </w:r>
      <w:proofErr w:type="spellStart"/>
      <w:r w:rsidRPr="00553174">
        <w:rPr>
          <w:rFonts w:ascii="Tw Cen MT" w:eastAsia="Twentieth Century" w:hAnsi="Tw Cen MT" w:cs="Twentieth Century"/>
          <w:bCs/>
          <w:sz w:val="24"/>
          <w:szCs w:val="24"/>
        </w:rPr>
        <w:t>alamiah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namun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apabila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diperhatikan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baik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janin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diketahui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sehingga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diperlukan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usaha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memeriksakan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kehamilannya</w:t>
      </w:r>
      <w:proofErr w:type="spellEnd"/>
      <w:r w:rsidRPr="00553174">
        <w:rPr>
          <w:rFonts w:ascii="Tw Cen MT" w:eastAsia="Twentieth Century" w:hAnsi="Tw Cen MT" w:cs="Twentieth Century"/>
          <w:bCs/>
          <w:sz w:val="24"/>
          <w:szCs w:val="24"/>
        </w:rPr>
        <w:t xml:space="preserve"> minimal </w:t>
      </w:r>
      <w:proofErr w:type="spellStart"/>
      <w:r w:rsidRPr="00553174">
        <w:rPr>
          <w:rFonts w:ascii="Tw Cen MT" w:eastAsia="Twentieth Century" w:hAnsi="Tw Cen MT" w:cs="Twentieth Century"/>
          <w:bCs/>
          <w:sz w:val="24"/>
          <w:szCs w:val="24"/>
        </w:rPr>
        <w:t>empat</w:t>
      </w:r>
      <w:proofErr w:type="spellEnd"/>
      <w:r w:rsidRPr="00553174">
        <w:rPr>
          <w:rFonts w:ascii="Tw Cen MT" w:eastAsia="Twentieth Century" w:hAnsi="Tw Cen MT" w:cs="Twentieth Century"/>
          <w:bCs/>
          <w:sz w:val="24"/>
          <w:szCs w:val="24"/>
        </w:rPr>
        <w:t xml:space="preserve"> kali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memperoleh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Kesehatan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6E1ABC">
        <w:rPr>
          <w:rFonts w:ascii="Tw Cen MT" w:eastAsia="Twentieth Century" w:hAnsi="Tw Cen MT" w:cs="Twentieth Century"/>
          <w:bCs/>
          <w:noProof/>
          <w:sz w:val="24"/>
          <w:szCs w:val="24"/>
        </w:rPr>
        <w:t>[1]</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penjaringan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terhadap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terdeteksi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mengalami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wilayah </w:t>
      </w:r>
      <w:proofErr w:type="spellStart"/>
      <w:r w:rsidRPr="00553174">
        <w:rPr>
          <w:rFonts w:ascii="Tw Cen MT" w:eastAsia="Twentieth Century" w:hAnsi="Tw Cen MT" w:cs="Twentieth Century"/>
          <w:bCs/>
          <w:sz w:val="24"/>
          <w:szCs w:val="24"/>
        </w:rPr>
        <w:t>tertentu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atau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menemukan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mempunyai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kebidanan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tenaga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resiko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penanganan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adekuat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kunci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keberhasilan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penurunan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angka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kematian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bayi</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dilahirkannya</w:t>
      </w:r>
      <w:proofErr w:type="spellEnd"/>
      <w:r w:rsidRPr="0055317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{"citationItems":[{"id":"ITEM-1","itemData":{"author":[{"dropping-particle":"","family":"Meliati","given":"Linda","non-dropping-particle":"","parse-names":false,"suffix":""}],"container-title":"Repository Universitas Diponegoro","id":"ITEM-1","issued":{"date-parts":[["2011"]]},"title":"Faktor-Faktor yang Mempengaruhi Kinerja Bidan di Desa dalam Kegiatan Deteksi Dini Resiko Tinggi Ibu Hamil di Wilayah Kerja Dinas Kesehatan Kabupaten Lombok Timur Tahun 2011","type":"article-journal"},"uris":["http://www.mendeley.com/documents/?uuid=70e73e2c-56f2-4654-9c79-3e0eb9931298"]}],"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6E1ABC">
        <w:rPr>
          <w:rFonts w:ascii="Tw Cen MT" w:eastAsia="Twentieth Century" w:hAnsi="Tw Cen MT" w:cs="Twentieth Century"/>
          <w:bCs/>
          <w:noProof/>
          <w:sz w:val="24"/>
          <w:szCs w:val="24"/>
        </w:rPr>
        <w:t>[2]</w:t>
      </w:r>
      <w:r>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
    <w:p w14:paraId="70C3F579" w14:textId="4A35400A" w:rsidR="00824ACA" w:rsidRDefault="00824ACA" w:rsidP="00824ACA">
      <w:pPr>
        <w:tabs>
          <w:tab w:val="left" w:pos="426"/>
        </w:tabs>
        <w:spacing w:after="0" w:line="240" w:lineRule="auto"/>
        <w:jc w:val="both"/>
        <w:rPr>
          <w:rFonts w:ascii="Tw Cen MT" w:eastAsia="Twentieth Century" w:hAnsi="Tw Cen MT" w:cs="Twentieth Century"/>
          <w:bCs/>
          <w:sz w:val="24"/>
          <w:szCs w:val="24"/>
        </w:rPr>
      </w:pPr>
      <w:r w:rsidRPr="00553174">
        <w:rPr>
          <w:rFonts w:ascii="Tw Cen MT" w:eastAsia="Twentieth Century" w:hAnsi="Tw Cen MT" w:cs="Twentieth Century"/>
          <w:bCs/>
          <w:sz w:val="24"/>
          <w:szCs w:val="24"/>
        </w:rPr>
        <w:t xml:space="preserve">Tenaga professional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mendampingi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perlu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pengalaman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benar</w:t>
      </w:r>
      <w:proofErr w:type="spellEnd"/>
      <w:r w:rsidRPr="00553174">
        <w:rPr>
          <w:rFonts w:ascii="Tw Cen MT" w:eastAsia="Twentieth Century" w:hAnsi="Tw Cen MT" w:cs="Twentieth Century"/>
          <w:bCs/>
          <w:sz w:val="24"/>
          <w:szCs w:val="24"/>
        </w:rPr>
        <w:t xml:space="preserve">. Perempuan </w:t>
      </w:r>
      <w:proofErr w:type="spellStart"/>
      <w:r w:rsidRPr="00553174">
        <w:rPr>
          <w:rFonts w:ascii="Tw Cen MT" w:eastAsia="Twentieth Century" w:hAnsi="Tw Cen MT" w:cs="Twentieth Century"/>
          <w:bCs/>
          <w:sz w:val="24"/>
          <w:szCs w:val="24"/>
        </w:rPr>
        <w:t>harus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diberdayakan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mampu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mengambil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keputusan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melalui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tindakan</w:t>
      </w:r>
      <w:proofErr w:type="spellEnd"/>
      <w:r w:rsidRPr="00553174">
        <w:rPr>
          <w:rFonts w:ascii="Tw Cen MT" w:eastAsia="Twentieth Century" w:hAnsi="Tw Cen MT" w:cs="Twentieth Century"/>
          <w:bCs/>
          <w:sz w:val="24"/>
          <w:szCs w:val="24"/>
        </w:rPr>
        <w:t xml:space="preserve"> KIE dan </w:t>
      </w:r>
      <w:proofErr w:type="spellStart"/>
      <w:r w:rsidRPr="00553174">
        <w:rPr>
          <w:rFonts w:ascii="Tw Cen MT" w:eastAsia="Twentieth Century" w:hAnsi="Tw Cen MT" w:cs="Twentieth Century"/>
          <w:bCs/>
          <w:sz w:val="24"/>
          <w:szCs w:val="24"/>
        </w:rPr>
        <w:t>konseling</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bidan</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[1]</w:t>
      </w:r>
      <w:r>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bertujuan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memberikan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pesan-pesan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kelompok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perilaku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hidup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diharapkan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memilki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sebab</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salah </w:t>
      </w:r>
      <w:proofErr w:type="spellStart"/>
      <w:r w:rsidRPr="00553174">
        <w:rPr>
          <w:rFonts w:ascii="Tw Cen MT" w:eastAsia="Twentieth Century" w:hAnsi="Tw Cen MT" w:cs="Twentieth Century"/>
          <w:bCs/>
          <w:sz w:val="24"/>
          <w:szCs w:val="24"/>
        </w:rPr>
        <w:t>satunya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w:t>
      </w:r>
      <w:r>
        <w:rPr>
          <w:rFonts w:ascii="Tw Cen MT" w:eastAsia="Twentieth Century" w:hAnsi="Tw Cen MT" w:cs="Twentieth Century"/>
          <w:bCs/>
          <w:sz w:val="24"/>
          <w:szCs w:val="24"/>
        </w:rPr>
        <w:t>i</w:t>
      </w:r>
      <w:r w:rsidRPr="00553174">
        <w:rPr>
          <w:rFonts w:ascii="Tw Cen MT" w:eastAsia="Twentieth Century" w:hAnsi="Tw Cen MT" w:cs="Twentieth Century"/>
          <w:bCs/>
          <w:sz w:val="24"/>
          <w:szCs w:val="24"/>
        </w:rPr>
        <w:t>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sikap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Kesehatan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{"citationItems":[{"id":"ITEM-1","itemData":{"author":[{"dropping-particle":"","family":"Hulu Victor Trismanjaya dkk","given":"","non-dropping-particle":"","parse-names":false,"suffix":""}],"editor":[{"dropping-particle":"","family":"Janne","given":"Simarmata","non-dropping-particle":"","parse-names":false,"suffix":""}],"id":"ITEM-1","issued":{"date-parts":[["2020"]]},"publisher":"Yayasan Kita Menulis","publisher-place":"Jakarta","title":"Promosi Kesehatan Masyarakat","type":"book"},"uris":["http://www.mendeley.com/documents/?uuid=f60bd49c-78ed-4b56-80cf-60f49874d480"]}],"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[3]</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3A50120" w14:textId="1109070C" w:rsidR="00824ACA" w:rsidRDefault="00824ACA" w:rsidP="00824ACA">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Di era digital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sebagai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bantu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sangat </w:t>
      </w:r>
      <w:proofErr w:type="spellStart"/>
      <w:r>
        <w:rPr>
          <w:rFonts w:ascii="Tw Cen MT" w:eastAsia="Twentieth Century" w:hAnsi="Tw Cen MT" w:cs="Twentieth Century"/>
          <w:bCs/>
          <w:sz w:val="24"/>
          <w:szCs w:val="24"/>
        </w:rPr>
        <w:t>bervariatif</w:t>
      </w:r>
      <w:proofErr w:type="spellEnd"/>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Menurut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perbedaan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sebelum</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sesudah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berbasis</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0,000</w:t>
      </w:r>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{"citationItems":[{"id":"ITEM-1","itemData":{"ISSN":"978.979.704","abstract":"Latar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media.","author":[{"dropping-particle":"","family":"Siti Nurjanah, Nuke Devi Indrawati","given":"Fitriani Nur Damayanti","non-dropping-particle":"","parse-names":false,"suffix":""}],"container-title":"Rakernas AIPKEMA","id":"ITEM-1","issue":"1","issued":{"date-parts":[["2016"]]},"title":"Peningkatan Pengetahuan Dan Sikap Ibu Hamil Resiko Tinggi Dengan Penyuluhan Berbasis Media","type":"article-journal"},"uris":["http://www.mendeley.com/documents/?uuid=d2d4d05f-b03b-48b2-bf9d-c511fdab5540"]}],"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[4]</w:t>
      </w:r>
      <w:r>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juga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oleh</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Herlina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hasil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bahwa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efektivitas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SMS </w:t>
      </w:r>
      <w:proofErr w:type="spellStart"/>
      <w:r w:rsidRPr="00553174">
        <w:rPr>
          <w:rFonts w:ascii="Tw Cen MT" w:eastAsia="Twentieth Century" w:hAnsi="Tw Cen MT" w:cs="Twentieth Century"/>
          <w:bCs/>
          <w:sz w:val="24"/>
          <w:szCs w:val="24"/>
        </w:rPr>
        <w:t>telepon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seluler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asupan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gizi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di </w:t>
      </w:r>
      <w:proofErr w:type="spellStart"/>
      <w:r w:rsidRPr="00553174">
        <w:rPr>
          <w:rFonts w:ascii="Tw Cen MT" w:eastAsia="Twentieth Century" w:hAnsi="Tw Cen MT" w:cs="Twentieth Century"/>
          <w:bCs/>
          <w:sz w:val="24"/>
          <w:szCs w:val="24"/>
        </w:rPr>
        <w:t>daerah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terpencil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&lt; 0,05</w:t>
      </w:r>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10.13140/RG.2.2.33841.22887","author":[{"dropping-particle":"","family":"Herlina","given":"Sri","non-dropping-particle":"","parse-names":false,"suffix":""}],"id":"ITEM-1","issue":"November","issued":{"date-parts":[["2018"]]},"title":"Pemanfaatan Fasilitas Sms Telepon Seluler Sebagai Media Promosi di Daerah Terpencil","type":"article-journal"},"uris":["http://www.mendeley.com/documents/?uuid=3ee2fcdc-337b-4764-9e03-128b311739bd"]}],"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[5]</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3C28E039" w14:textId="22601C25" w:rsidR="00824ACA" w:rsidRDefault="00824ACA" w:rsidP="00824ACA">
      <w:pPr>
        <w:tabs>
          <w:tab w:val="left" w:pos="426"/>
        </w:tabs>
        <w:spacing w:after="0" w:line="240" w:lineRule="auto"/>
        <w:jc w:val="both"/>
        <w:rPr>
          <w:rFonts w:ascii="Tw Cen MT" w:eastAsia="Twentieth Century" w:hAnsi="Tw Cen MT" w:cs="Twentieth Century"/>
          <w:bCs/>
          <w:sz w:val="24"/>
          <w:szCs w:val="24"/>
        </w:rPr>
      </w:pPr>
      <w:proofErr w:type="spellStart"/>
      <w:r w:rsidRPr="00EA56F8">
        <w:rPr>
          <w:rFonts w:ascii="Tw Cen MT" w:eastAsia="Twentieth Century" w:hAnsi="Tw Cen MT" w:cs="Twentieth Century"/>
          <w:bCs/>
          <w:sz w:val="24"/>
          <w:szCs w:val="24"/>
        </w:rPr>
        <w:t>Metode</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edukasi</w:t>
      </w:r>
      <w:proofErr w:type="spellEnd"/>
      <w:r w:rsidRPr="00EA56F8">
        <w:rPr>
          <w:rFonts w:ascii="Tw Cen MT" w:eastAsia="Twentieth Century" w:hAnsi="Tw Cen MT" w:cs="Twentieth Century"/>
          <w:bCs/>
          <w:sz w:val="24"/>
          <w:szCs w:val="24"/>
        </w:rPr>
        <w:t xml:space="preserve"> yang </w:t>
      </w:r>
      <w:proofErr w:type="spellStart"/>
      <w:r w:rsidRPr="00EA56F8">
        <w:rPr>
          <w:rFonts w:ascii="Tw Cen MT" w:eastAsia="Twentieth Century" w:hAnsi="Tw Cen MT" w:cs="Twentieth Century"/>
          <w:bCs/>
          <w:sz w:val="24"/>
          <w:szCs w:val="24"/>
        </w:rPr>
        <w:t>efektif</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dapat</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berperan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penting</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dalam</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meningkatkan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pemahaman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ibu</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hamil</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mengenai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risiko</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kehamilan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Saat</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ini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berbagai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metode</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edukasi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digunakan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namun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efektivitasnya</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masih</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menjadi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perdebatan</w:t>
      </w:r>
      <w:proofErr w:type="spellEnd"/>
      <w:r w:rsidRPr="00EA56F8">
        <w:rPr>
          <w:rFonts w:ascii="Tw Cen MT" w:eastAsia="Twentieth Century" w:hAnsi="Tw Cen MT" w:cs="Twentieth Century"/>
          <w:bCs/>
          <w:sz w:val="24"/>
          <w:szCs w:val="24"/>
        </w:rPr>
        <w:t xml:space="preserve">. Media digital </w:t>
      </w:r>
      <w:proofErr w:type="spellStart"/>
      <w:r w:rsidRPr="00EA56F8">
        <w:rPr>
          <w:rFonts w:ascii="Tw Cen MT" w:eastAsia="Twentieth Century" w:hAnsi="Tw Cen MT" w:cs="Twentieth Century"/>
          <w:bCs/>
          <w:sz w:val="24"/>
          <w:szCs w:val="24"/>
        </w:rPr>
        <w:t>seperti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Powtoon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menawarkan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pendekatan</w:t>
      </w:r>
      <w:proofErr w:type="spellEnd"/>
      <w:r w:rsidRPr="00EA56F8">
        <w:rPr>
          <w:rFonts w:ascii="Tw Cen MT" w:eastAsia="Twentieth Century" w:hAnsi="Tw Cen MT" w:cs="Twentieth Century"/>
          <w:bCs/>
          <w:sz w:val="24"/>
          <w:szCs w:val="24"/>
        </w:rPr>
        <w:t xml:space="preserve"> yang </w:t>
      </w:r>
      <w:proofErr w:type="spellStart"/>
      <w:r w:rsidRPr="00EA56F8">
        <w:rPr>
          <w:rFonts w:ascii="Tw Cen MT" w:eastAsia="Twentieth Century" w:hAnsi="Tw Cen MT" w:cs="Twentieth Century"/>
          <w:bCs/>
          <w:sz w:val="24"/>
          <w:szCs w:val="24"/>
        </w:rPr>
        <w:t>interaktif</w:t>
      </w:r>
      <w:proofErr w:type="spellEnd"/>
      <w:r w:rsidRPr="00EA56F8">
        <w:rPr>
          <w:rFonts w:ascii="Tw Cen MT" w:eastAsia="Twentieth Century" w:hAnsi="Tw Cen MT" w:cs="Twentieth Century"/>
          <w:bCs/>
          <w:sz w:val="24"/>
          <w:szCs w:val="24"/>
        </w:rPr>
        <w:t xml:space="preserve"> dan </w:t>
      </w:r>
      <w:proofErr w:type="spellStart"/>
      <w:r w:rsidRPr="00EA56F8">
        <w:rPr>
          <w:rFonts w:ascii="Tw Cen MT" w:eastAsia="Twentieth Century" w:hAnsi="Tw Cen MT" w:cs="Twentieth Century"/>
          <w:bCs/>
          <w:sz w:val="24"/>
          <w:szCs w:val="24"/>
        </w:rPr>
        <w:t>menarik</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secara</w:t>
      </w:r>
      <w:proofErr w:type="spellEnd"/>
      <w:r w:rsidRPr="00EA56F8">
        <w:rPr>
          <w:rFonts w:ascii="Tw Cen MT" w:eastAsia="Twentieth Century" w:hAnsi="Tw Cen MT" w:cs="Twentieth Century"/>
          <w:bCs/>
          <w:sz w:val="24"/>
          <w:szCs w:val="24"/>
        </w:rPr>
        <w:t xml:space="preserve"> visual, yang </w:t>
      </w:r>
      <w:proofErr w:type="spellStart"/>
      <w:r w:rsidRPr="00EA56F8">
        <w:rPr>
          <w:rFonts w:ascii="Tw Cen MT" w:eastAsia="Twentieth Century" w:hAnsi="Tw Cen MT" w:cs="Twentieth Century"/>
          <w:bCs/>
          <w:sz w:val="24"/>
          <w:szCs w:val="24"/>
        </w:rPr>
        <w:t>dapat</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meningkatkan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keterlibatan</w:t>
      </w:r>
      <w:proofErr w:type="spellEnd"/>
      <w:r w:rsidRPr="00EA56F8">
        <w:rPr>
          <w:rFonts w:ascii="Tw Cen MT" w:eastAsia="Twentieth Century" w:hAnsi="Tw Cen MT" w:cs="Twentieth Century"/>
          <w:bCs/>
          <w:sz w:val="24"/>
          <w:szCs w:val="24"/>
        </w:rPr>
        <w:t xml:space="preserve"> dan </w:t>
      </w:r>
      <w:proofErr w:type="spellStart"/>
      <w:r w:rsidRPr="00EA56F8">
        <w:rPr>
          <w:rFonts w:ascii="Tw Cen MT" w:eastAsia="Twentieth Century" w:hAnsi="Tw Cen MT" w:cs="Twentieth Century"/>
          <w:bCs/>
          <w:sz w:val="24"/>
          <w:szCs w:val="24"/>
        </w:rPr>
        <w:t>pemahaman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peserta</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didik</w:t>
      </w:r>
      <w:proofErr w:type="spellEnd"/>
      <w:r w:rsidRPr="00EA56F8">
        <w:rPr>
          <w:rFonts w:ascii="Tw Cen MT" w:eastAsia="Twentieth Century" w:hAnsi="Tw Cen MT" w:cs="Twentieth Century"/>
          <w:bCs/>
          <w:sz w:val="24"/>
          <w:szCs w:val="24"/>
        </w:rPr>
        <w:t xml:space="preserve">. Di </w:t>
      </w:r>
      <w:proofErr w:type="spellStart"/>
      <w:r w:rsidRPr="00EA56F8">
        <w:rPr>
          <w:rFonts w:ascii="Tw Cen MT" w:eastAsia="Twentieth Century" w:hAnsi="Tw Cen MT" w:cs="Twentieth Century"/>
          <w:bCs/>
          <w:sz w:val="24"/>
          <w:szCs w:val="24"/>
        </w:rPr>
        <w:t>sisi</w:t>
      </w:r>
      <w:proofErr w:type="spellEnd"/>
      <w:r w:rsidRPr="00EA56F8">
        <w:rPr>
          <w:rFonts w:ascii="Tw Cen MT" w:eastAsia="Twentieth Century" w:hAnsi="Tw Cen MT" w:cs="Twentieth Century"/>
          <w:bCs/>
          <w:sz w:val="24"/>
          <w:szCs w:val="24"/>
        </w:rPr>
        <w:t xml:space="preserve"> lain, </w:t>
      </w:r>
      <w:proofErr w:type="spellStart"/>
      <w:r w:rsidRPr="00EA56F8">
        <w:rPr>
          <w:rFonts w:ascii="Tw Cen MT" w:eastAsia="Twentieth Century" w:hAnsi="Tw Cen MT" w:cs="Twentieth Century"/>
          <w:bCs/>
          <w:sz w:val="24"/>
          <w:szCs w:val="24"/>
        </w:rPr>
        <w:t>metode</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ceramah</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tanya</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jawab</w:t>
      </w:r>
      <w:proofErr w:type="spellEnd"/>
      <w:r w:rsidRPr="00EA56F8">
        <w:rPr>
          <w:rFonts w:ascii="Tw Cen MT" w:eastAsia="Twentieth Century" w:hAnsi="Tw Cen MT" w:cs="Twentieth Century"/>
          <w:bCs/>
          <w:sz w:val="24"/>
          <w:szCs w:val="24"/>
        </w:rPr>
        <w:t xml:space="preserve"> yang </w:t>
      </w:r>
      <w:proofErr w:type="spellStart"/>
      <w:r w:rsidRPr="00EA56F8">
        <w:rPr>
          <w:rFonts w:ascii="Tw Cen MT" w:eastAsia="Twentieth Century" w:hAnsi="Tw Cen MT" w:cs="Twentieth Century"/>
          <w:bCs/>
          <w:sz w:val="24"/>
          <w:szCs w:val="24"/>
        </w:rPr>
        <w:t>bersifat</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tradisional</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telah</w:t>
      </w:r>
      <w:proofErr w:type="spellEnd"/>
      <w:r w:rsidRPr="00EA56F8">
        <w:rPr>
          <w:rFonts w:ascii="Tw Cen MT" w:eastAsia="Twentieth Century" w:hAnsi="Tw Cen MT" w:cs="Twentieth Century"/>
          <w:bCs/>
          <w:sz w:val="24"/>
          <w:szCs w:val="24"/>
        </w:rPr>
        <w:t xml:space="preserve"> lama </w:t>
      </w:r>
      <w:proofErr w:type="spellStart"/>
      <w:r w:rsidRPr="00EA56F8">
        <w:rPr>
          <w:rFonts w:ascii="Tw Cen MT" w:eastAsia="Twentieth Century" w:hAnsi="Tw Cen MT" w:cs="Twentieth Century"/>
          <w:bCs/>
          <w:sz w:val="24"/>
          <w:szCs w:val="24"/>
        </w:rPr>
        <w:t>digunakan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karena</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memungkinkan</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interaksi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langsung</w:t>
      </w:r>
      <w:proofErr w:type="spellEnd"/>
      <w:r w:rsidRPr="00EA56F8">
        <w:rPr>
          <w:rFonts w:ascii="Tw Cen MT" w:eastAsia="Twentieth Century" w:hAnsi="Tw Cen MT" w:cs="Twentieth Century"/>
          <w:bCs/>
          <w:sz w:val="24"/>
          <w:szCs w:val="24"/>
        </w:rPr>
        <w:t xml:space="preserve"> dan </w:t>
      </w:r>
      <w:proofErr w:type="spellStart"/>
      <w:r w:rsidRPr="00EA56F8">
        <w:rPr>
          <w:rFonts w:ascii="Tw Cen MT" w:eastAsia="Twentieth Century" w:hAnsi="Tw Cen MT" w:cs="Twentieth Century"/>
          <w:bCs/>
          <w:sz w:val="24"/>
          <w:szCs w:val="24"/>
        </w:rPr>
        <w:t>klarifikasi</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segera</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terhadap</w:t>
      </w:r>
      <w:proofErr w:type="spellEnd"/>
      <w:r w:rsidRPr="00EA56F8">
        <w:rPr>
          <w:rFonts w:ascii="Tw Cen MT" w:eastAsia="Twentieth Century" w:hAnsi="Tw Cen MT" w:cs="Twentieth Century"/>
          <w:bCs/>
          <w:sz w:val="24"/>
          <w:szCs w:val="24"/>
        </w:rPr>
        <w:t xml:space="preserve"> </w:t>
      </w:r>
      <w:proofErr w:type="spellStart"/>
      <w:r w:rsidRPr="00EA56F8">
        <w:rPr>
          <w:rFonts w:ascii="Tw Cen MT" w:eastAsia="Twentieth Century" w:hAnsi="Tw Cen MT" w:cs="Twentieth Century"/>
          <w:bCs/>
          <w:sz w:val="24"/>
          <w:szCs w:val="24"/>
        </w:rPr>
        <w:t>pertanyaan-pertanyaan</w:t>
      </w:r>
      <w:proofErr w:type="spellEnd"/>
      <w:r w:rsidRPr="00EA56F8">
        <w:rPr>
          <w:rFonts w:ascii="Tw Cen MT" w:eastAsia="Twentieth Century" w:hAnsi="Tw Cen MT" w:cs="Twentieth Century"/>
          <w:bCs/>
          <w:sz w:val="24"/>
          <w:szCs w:val="24"/>
        </w:rPr>
        <w:t xml:space="preserve"> yang </w:t>
      </w:r>
      <w:proofErr w:type="spellStart"/>
      <w:r w:rsidRPr="00EA56F8">
        <w:rPr>
          <w:rFonts w:ascii="Tw Cen MT" w:eastAsia="Twentieth Century" w:hAnsi="Tw Cen MT" w:cs="Twentieth Century"/>
          <w:bCs/>
          <w:sz w:val="24"/>
          <w:szCs w:val="24"/>
        </w:rPr>
        <w:t>muncul</w:t>
      </w:r>
      <w:proofErr w:type="spellEnd"/>
      <w:r w:rsidRPr="00EA56F8">
        <w:rPr>
          <w:rFonts w:ascii="Tw Cen MT" w:eastAsia="Twentieth Century" w:hAnsi="Tw Cen MT" w:cs="Twentieth Century"/>
          <w:bCs/>
          <w:sz w:val="24"/>
          <w:szCs w:val="24"/>
        </w:rPr>
        <w:t>.</w:t>
      </w:r>
    </w:p>
    <w:p w14:paraId="072EBC02" w14:textId="5C24878A" w:rsidR="00824ACA" w:rsidRDefault="00824ACA" w:rsidP="00824ACA">
      <w:pPr>
        <w:tabs>
          <w:tab w:val="left" w:pos="426"/>
        </w:tabs>
        <w:spacing w:after="0" w:line="240" w:lineRule="auto"/>
        <w:jc w:val="both"/>
        <w:rPr>
          <w:rFonts w:ascii="Tw Cen MT" w:eastAsia="Twentieth Century" w:hAnsi="Tw Cen MT" w:cs="Twentieth Century"/>
          <w:bCs/>
          <w:sz w:val="24"/>
          <w:szCs w:val="24"/>
        </w:rPr>
      </w:pPr>
      <w:proofErr w:type="spellStart"/>
      <w:r w:rsidRPr="006E1ABC">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r w:rsidRPr="006E1ABC">
        <w:rPr>
          <w:rFonts w:ascii="Tw Cen MT" w:eastAsia="Twentieth Century" w:hAnsi="Tw Cen MT" w:cs="Twentieth Century"/>
          <w:bCs/>
          <w:sz w:val="24"/>
          <w:szCs w:val="24"/>
        </w:rPr>
        <w:t xml:space="preserve">yang </w:t>
      </w:r>
      <w:proofErr w:type="spellStart"/>
      <w:r w:rsidRPr="006E1ABC">
        <w:rPr>
          <w:rFonts w:ascii="Tw Cen MT" w:eastAsia="Twentieth Century" w:hAnsi="Tw Cen MT" w:cs="Twentieth Century"/>
          <w:bCs/>
          <w:sz w:val="24"/>
          <w:szCs w:val="24"/>
        </w:rPr>
        <w:t>dilakukan</w:t>
      </w:r>
      <w:proofErr w:type="spellEnd"/>
      <w:r w:rsidRPr="006E1ABC">
        <w:rPr>
          <w:rFonts w:ascii="Tw Cen MT" w:eastAsia="Twentieth Century" w:hAnsi="Tw Cen MT" w:cs="Twentieth Century"/>
          <w:bCs/>
          <w:sz w:val="24"/>
          <w:szCs w:val="24"/>
        </w:rPr>
        <w:t xml:space="preserve"> pada </w:t>
      </w:r>
      <w:proofErr w:type="spellStart"/>
      <w:r w:rsidRPr="006E1ABC">
        <w:rPr>
          <w:rFonts w:ascii="Tw Cen MT" w:eastAsia="Twentieth Century" w:hAnsi="Tw Cen MT" w:cs="Twentieth Century"/>
          <w:bCs/>
          <w:sz w:val="24"/>
          <w:szCs w:val="24"/>
        </w:rPr>
        <w:t>tahun</w:t>
      </w:r>
      <w:proofErr w:type="spellEnd"/>
      <w:r w:rsidRPr="006E1ABC">
        <w:rPr>
          <w:rFonts w:ascii="Tw Cen MT" w:eastAsia="Twentieth Century" w:hAnsi="Tw Cen MT" w:cs="Twentieth Century"/>
          <w:bCs/>
          <w:sz w:val="24"/>
          <w:szCs w:val="24"/>
        </w:rPr>
        <w:t xml:space="preserve"> 2018 – 2019 pada </w:t>
      </w:r>
      <w:proofErr w:type="spellStart"/>
      <w:r w:rsidRPr="006E1ABC">
        <w:rPr>
          <w:rFonts w:ascii="Tw Cen MT" w:eastAsia="Twentieth Century" w:hAnsi="Tw Cen MT" w:cs="Twentieth Century"/>
          <w:bCs/>
          <w:sz w:val="24"/>
          <w:szCs w:val="24"/>
        </w:rPr>
        <w:t>sekelompok</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remaja</w:t>
      </w:r>
      <w:proofErr w:type="spellEnd"/>
      <w:r w:rsidRPr="006E1ABC">
        <w:rPr>
          <w:rFonts w:ascii="Tw Cen MT" w:eastAsia="Twentieth Century" w:hAnsi="Tw Cen MT" w:cs="Twentieth Century"/>
          <w:bCs/>
          <w:sz w:val="24"/>
          <w:szCs w:val="24"/>
        </w:rPr>
        <w:t xml:space="preserve"> di Amerika </w:t>
      </w:r>
      <w:proofErr w:type="spellStart"/>
      <w:r w:rsidRPr="006E1ABC">
        <w:rPr>
          <w:rFonts w:ascii="Tw Cen MT" w:eastAsia="Twentieth Century" w:hAnsi="Tw Cen MT" w:cs="Twentieth Century"/>
          <w:bCs/>
          <w:sz w:val="24"/>
          <w:szCs w:val="24"/>
        </w:rPr>
        <w:t>Serikat</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penyalahgunaan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narkoba</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dengan</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didapatkan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hasil</w:t>
      </w:r>
      <w:proofErr w:type="spellEnd"/>
      <w:r w:rsidRPr="006E1ABC">
        <w:rPr>
          <w:rFonts w:ascii="Tw Cen MT" w:eastAsia="Twentieth Century" w:hAnsi="Tw Cen MT" w:cs="Twentieth Century"/>
          <w:bCs/>
          <w:sz w:val="24"/>
          <w:szCs w:val="24"/>
        </w:rPr>
        <w:t xml:space="preserve"> 29,5% </w:t>
      </w:r>
      <w:proofErr w:type="spellStart"/>
      <w:r w:rsidRPr="006E1ABC">
        <w:rPr>
          <w:rFonts w:ascii="Tw Cen MT" w:eastAsia="Twentieth Century" w:hAnsi="Tw Cen MT" w:cs="Twentieth Century"/>
          <w:bCs/>
          <w:sz w:val="24"/>
          <w:szCs w:val="24"/>
        </w:rPr>
        <w:t>remaja</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mengalami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peningkatan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pengetahuan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setelah</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diberikan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dengan</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Pendekatan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dengan</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dinilai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lebih</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efektif</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dalam</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meningkatkan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pengetahuan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sekelompok</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remaja</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pencegahan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penyalahgunaan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zat</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narkotik</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{"citationItems":[{"id":"ITEM-1","itemData":{"DOI":"10.1016/j.japh.2022.09.013","ISSN":"15443450","PMID":"36372641","abstract":"Background: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author":[{"dropping-particle":"","family":"Lyons-Burney","given":"Heather","non-dropping-particle":"","parse-names":false,"suffix":""},{"dropping-particle":"","family":"Godby","given":"Jessica","non-dropping-particle":"","parse-names":false,"suffix":""}],"container-title":"Journal of the American Pharmacists Association","id":"ITEM-1","issue":"1","issued":{"date-parts":[["2023"]]},"page":"356-360","publisher":"American Pharmacists Association®","title":"An innovative collaboration between a school of pharmacy and community-based organization for substance misuse prevention education","type":"article-journal","volume":"63"},"uris":["http://www.mendeley.com/documents/?uuid=614d5c7f-8842-4479-8005-09f59eb613a6"]}],"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[6]</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6791C151" w14:textId="007099A5" w:rsidR="00670F42" w:rsidRPr="00824ACA" w:rsidRDefault="00824ACA" w:rsidP="00670F42">
      <w:pPr>
        <w:spacing w:after="0" w:line="240" w:lineRule="auto"/>
        <w:jc w:val="both"/>
        <w:rPr>
          <w:rFonts w:ascii="Tw Cen MT" w:hAnsi="Tw Cen MT"/>
          <w:sz w:val="24"/>
          <w:szCs w:val="24"/>
        </w:rPr>
      </w:pP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latar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belakang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diatas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tertarik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judul</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Efektivitas</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sebagai</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kreatif</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deteksi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dini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risiko</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kehamilan</w:t>
      </w:r>
      <w:proofErr w:type="spellEnd"/>
      <w:r w:rsidR="00D623AA">
        <w:rPr>
          <w:rFonts w:ascii="Tw Cen MT" w:eastAsia="Twentieth Century" w:hAnsi="Tw Cen MT" w:cs="Twentieth Century"/>
          <w:sz w:val="24"/>
          <w:szCs w:val="24"/>
        </w:rPr>
        <w:t>.</w:t>
      </w:r>
    </w:p>
    <w:p w14:paraId="23057487" w14:textId="73DA2B47" w:rsidR="0009216C" w:rsidRPr="00FB6AF4" w:rsidRDefault="007106F6" w:rsidP="00F0256B">
      <w:pPr>
        <w:spacing w:after="0" w:line="240" w:lineRule="auto"/>
        <w:jc w:val="both"/>
        <w:rPr>
          <w:rFonts w:ascii="Tw Cen MT" w:eastAsia="Twentieth Century" w:hAnsi="Tw Cen MT" w:cs="Twentieth Century"/>
          <w:b/>
          <w:sz w:val="24"/>
          <w:szCs w:val="24"/>
        </w:rPr>
      </w:pPr>
      <w:r w:rsidRPr="00FB6AF4">
        <w:rPr>
          <w:rFonts w:ascii="Tw Cen MT" w:eastAsia="Twentieth Century" w:hAnsi="Tw Cen MT" w:cs="Twentieth Century"/>
          <w:b/>
          <w:sz w:val="24"/>
          <w:szCs w:val="24"/>
        </w:rPr>
        <w:lastRenderedPageBreak/>
        <w:t xml:space="preserve">METODE </w:t>
      </w:r>
    </w:p>
    <w:p w14:paraId="2BAB17F4" w14:textId="454DBB9A" w:rsidR="0009216C" w:rsidRPr="00FB6AF4" w:rsidRDefault="00824ACA" w:rsidP="006F1B65">
      <w:pPr>
        <w:tabs>
          <w:tab w:val="left" w:pos="426"/>
        </w:tabs>
        <w:spacing w:after="0" w:line="240" w:lineRule="auto"/>
        <w:jc w:val="both"/>
        <w:rPr>
          <w:rFonts w:ascii="Tw Cen MT" w:eastAsia="Twentieth Century" w:hAnsi="Tw Cen MT" w:cs="Twentieth Century"/>
          <w:sz w:val="24"/>
          <w:szCs w:val="24"/>
          <w:lang w:val="id" w:eastAsia="en-GB"/>
        </w:rPr>
      </w:pPr>
      <w:proofErr w:type="spellStart"/>
      <w:r w:rsidRPr="00CE7ACA">
        <w:rPr>
          <w:rFonts w:ascii="Tw Cen MT" w:eastAsia="Twentieth Century" w:hAnsi="Tw Cen MT" w:cs="Twentieth Century"/>
          <w:bCs/>
          <w:sz w:val="24"/>
          <w:szCs w:val="24"/>
        </w:rPr>
        <w:t>Penelitian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merupakan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jenis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kuantitatif</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studi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eksperimen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untuk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mengetahui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apakah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ada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perbedaan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efektivitas</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edukasi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mengenai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deteksi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risiko</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kehamilan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dengan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menggunakan</w:t>
      </w:r>
      <w:proofErr w:type="spellEnd"/>
      <w:r w:rsidRPr="00CE7ACA">
        <w:rPr>
          <w:rFonts w:ascii="Tw Cen MT" w:eastAsia="Twentieth Century" w:hAnsi="Tw Cen MT" w:cs="Twentieth Century"/>
          <w:bCs/>
          <w:sz w:val="24"/>
          <w:szCs w:val="24"/>
        </w:rPr>
        <w:t xml:space="preserve"> media </w:t>
      </w:r>
      <w:proofErr w:type="spellStart"/>
      <w:r w:rsidRPr="00CE7ACA">
        <w:rPr>
          <w:rFonts w:ascii="Tw Cen MT" w:eastAsia="Twentieth Century" w:hAnsi="Tw Cen MT" w:cs="Twentieth Century"/>
          <w:bCs/>
          <w:sz w:val="24"/>
          <w:szCs w:val="24"/>
        </w:rPr>
        <w:t>powtoon</w:t>
      </w:r>
      <w:proofErr w:type="spellEnd"/>
      <w:r w:rsidRPr="00CE7ACA">
        <w:rPr>
          <w:rFonts w:ascii="Tw Cen MT" w:eastAsia="Twentieth Century" w:hAnsi="Tw Cen MT" w:cs="Twentieth Century"/>
          <w:bCs/>
          <w:sz w:val="24"/>
          <w:szCs w:val="24"/>
        </w:rPr>
        <w:t xml:space="preserve"> dan </w:t>
      </w:r>
      <w:proofErr w:type="spellStart"/>
      <w:r w:rsidRPr="00CE7ACA">
        <w:rPr>
          <w:rFonts w:ascii="Tw Cen MT" w:eastAsia="Twentieth Century" w:hAnsi="Tw Cen MT" w:cs="Twentieth Century"/>
          <w:bCs/>
          <w:sz w:val="24"/>
          <w:szCs w:val="24"/>
        </w:rPr>
        <w:t>ceramah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tanya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jawab</w:t>
      </w:r>
      <w:proofErr w:type="spellEnd"/>
      <w:r w:rsidRPr="00CE7ACA">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Populasi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adalah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semua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memenuhi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kriteria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inklusi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bersedia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memiliki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komplikasi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serius</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dapat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menganggu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partisipasi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memiliki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gangguan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pendengaran</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penglihatan</w:t>
      </w:r>
      <w:proofErr w:type="spellEnd"/>
      <w:r>
        <w:rPr>
          <w:rFonts w:ascii="Tw Cen MT" w:eastAsia="Twentieth Century" w:hAnsi="Tw Cen MT" w:cs="Twentieth Century"/>
          <w:bCs/>
          <w:sz w:val="24"/>
          <w:szCs w:val="24"/>
        </w:rPr>
        <w:t xml:space="preserve">. Teknik </w:t>
      </w:r>
      <w:proofErr w:type="spellStart"/>
      <w:r>
        <w:rPr>
          <w:rFonts w:ascii="Tw Cen MT" w:eastAsia="Twentieth Century" w:hAnsi="Tw Cen MT" w:cs="Twentieth Century"/>
          <w:bCs/>
          <w:sz w:val="24"/>
          <w:szCs w:val="24"/>
        </w:rPr>
        <w:t>pengambilan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sampel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secara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acak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sederhana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datang</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kegiatan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kelas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Subyek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60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dibagi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metode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ceramah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jawab</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perlakuan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powtoon</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r w:rsidRPr="00C96F7C">
        <w:rPr>
          <w:rFonts w:ascii="Tw Cen MT" w:eastAsia="Twentieth Century" w:hAnsi="Tw Cen MT" w:cs="Twentieth Century"/>
          <w:bCs/>
          <w:sz w:val="24"/>
          <w:szCs w:val="24"/>
        </w:rPr>
        <w:t xml:space="preserve">Alat yang </w:t>
      </w:r>
      <w:proofErr w:type="spellStart"/>
      <w:r w:rsidRPr="00C96F7C">
        <w:rPr>
          <w:rFonts w:ascii="Tw Cen MT" w:eastAsia="Twentieth Century" w:hAnsi="Tw Cen MT" w:cs="Twentieth Century"/>
          <w:bCs/>
          <w:sz w:val="24"/>
          <w:szCs w:val="24"/>
        </w:rPr>
        <w:t>digunakan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mengumpulkan</w:t>
      </w:r>
      <w:proofErr w:type="spellEnd"/>
      <w:r w:rsidRPr="00C96F7C">
        <w:rPr>
          <w:rFonts w:ascii="Tw Cen MT" w:eastAsia="Twentieth Century" w:hAnsi="Tw Cen MT" w:cs="Twentieth Century"/>
          <w:bCs/>
          <w:sz w:val="24"/>
          <w:szCs w:val="24"/>
        </w:rPr>
        <w:t xml:space="preserve"> data </w:t>
      </w:r>
      <w:proofErr w:type="spellStart"/>
      <w:r w:rsidRPr="00C96F7C">
        <w:rPr>
          <w:rFonts w:ascii="Tw Cen MT" w:eastAsia="Twentieth Century" w:hAnsi="Tw Cen MT" w:cs="Twentieth Century"/>
          <w:bCs/>
          <w:sz w:val="24"/>
          <w:szCs w:val="24"/>
        </w:rPr>
        <w:t>dalam</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penelitian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ini</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adalah</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kuesioner</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pengetahuan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tentang</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deteksi</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dini</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risiko</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kehamilan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Jumlah</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pertanyaan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sebanyak</w:t>
      </w:r>
      <w:proofErr w:type="spellEnd"/>
      <w:r w:rsidRPr="00C96F7C">
        <w:rPr>
          <w:rFonts w:ascii="Tw Cen MT" w:eastAsia="Twentieth Century" w:hAnsi="Tw Cen MT" w:cs="Twentieth Century"/>
          <w:bCs/>
          <w:sz w:val="24"/>
          <w:szCs w:val="24"/>
        </w:rPr>
        <w:t xml:space="preserve"> 25 </w:t>
      </w:r>
      <w:proofErr w:type="spellStart"/>
      <w:r w:rsidRPr="00C96F7C">
        <w:rPr>
          <w:rFonts w:ascii="Tw Cen MT" w:eastAsia="Twentieth Century" w:hAnsi="Tw Cen MT" w:cs="Twentieth Century"/>
          <w:bCs/>
          <w:sz w:val="24"/>
          <w:szCs w:val="24"/>
        </w:rPr>
        <w:t>pertanyaan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Sebelum</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kuesioner</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digunakan</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terlebih</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dahulu</w:t>
      </w:r>
      <w:proofErr w:type="spellEnd"/>
      <w:r w:rsidRPr="00C96F7C">
        <w:rPr>
          <w:rFonts w:ascii="Tw Cen MT" w:eastAsia="Twentieth Century" w:hAnsi="Tw Cen MT" w:cs="Twentieth Century"/>
          <w:bCs/>
          <w:sz w:val="24"/>
          <w:szCs w:val="24"/>
        </w:rPr>
        <w:t xml:space="preserve"> </w:t>
      </w:r>
      <w:proofErr w:type="spellStart"/>
      <w:r w:rsidRPr="00C96F7C">
        <w:rPr>
          <w:rFonts w:ascii="Tw Cen MT" w:eastAsia="Twentieth Century" w:hAnsi="Tw Cen MT" w:cs="Twentieth Century"/>
          <w:bCs/>
          <w:sz w:val="24"/>
          <w:szCs w:val="24"/>
        </w:rPr>
        <w:t>dilakukan</w:t>
      </w:r>
      <w:proofErr w:type="spellEnd"/>
      <w:r w:rsidRPr="00C96F7C">
        <w:rPr>
          <w:rFonts w:ascii="Tw Cen MT" w:eastAsia="Twentieth Century" w:hAnsi="Tw Cen MT" w:cs="Twentieth Century"/>
          <w:bCs/>
          <w:sz w:val="24"/>
          <w:szCs w:val="24"/>
        </w:rPr>
        <w:t xml:space="preserve"> uji </w:t>
      </w:r>
      <w:proofErr w:type="spellStart"/>
      <w:r w:rsidRPr="00C96F7C">
        <w:rPr>
          <w:rFonts w:ascii="Tw Cen MT" w:eastAsia="Twentieth Century" w:hAnsi="Tw Cen MT" w:cs="Twentieth Century"/>
          <w:bCs/>
          <w:sz w:val="24"/>
          <w:szCs w:val="24"/>
        </w:rPr>
        <w:t>validitas</w:t>
      </w:r>
      <w:proofErr w:type="spellEnd"/>
      <w:r w:rsidRPr="00C96F7C">
        <w:rPr>
          <w:rFonts w:ascii="Tw Cen MT" w:eastAsia="Twentieth Century" w:hAnsi="Tw Cen MT" w:cs="Twentieth Century"/>
          <w:bCs/>
          <w:sz w:val="24"/>
          <w:szCs w:val="24"/>
        </w:rPr>
        <w:t xml:space="preserve"> dan </w:t>
      </w:r>
      <w:proofErr w:type="spellStart"/>
      <w:r w:rsidRPr="00C96F7C">
        <w:rPr>
          <w:rFonts w:ascii="Tw Cen MT" w:eastAsia="Twentieth Century" w:hAnsi="Tw Cen MT" w:cs="Twentieth Century"/>
          <w:bCs/>
          <w:sz w:val="24"/>
          <w:szCs w:val="24"/>
        </w:rPr>
        <w:t>reliabilitas</w:t>
      </w:r>
      <w:proofErr w:type="spellEnd"/>
      <w:r w:rsidRPr="00C96F7C">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Pengambilan</w:t>
      </w:r>
      <w:proofErr w:type="spellEnd"/>
      <w:r>
        <w:rPr>
          <w:rFonts w:ascii="Tw Cen MT" w:eastAsia="Twentieth Century" w:hAnsi="Tw Cen MT" w:cs="Twentieth Century"/>
          <w:bCs/>
          <w:sz w:val="24"/>
          <w:szCs w:val="24"/>
        </w:rPr>
        <w:t xml:space="preserve"> data primer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cara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membagikan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kuesioner</w:t>
      </w:r>
      <w:proofErr w:type="spellEnd"/>
      <w:r>
        <w:rPr>
          <w:rFonts w:ascii="Tw Cen MT" w:eastAsia="Twentieth Century" w:hAnsi="Tw Cen MT" w:cs="Twentieth Century"/>
          <w:bCs/>
          <w:sz w:val="24"/>
          <w:szCs w:val="24"/>
        </w:rPr>
        <w:t xml:space="preserve"> pretest dan posttest.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data </w:t>
      </w:r>
      <w:proofErr w:type="spellStart"/>
      <w:r>
        <w:rPr>
          <w:rFonts w:ascii="Tw Cen MT" w:eastAsia="Twentieth Century" w:hAnsi="Tw Cen MT" w:cs="Twentieth Century"/>
          <w:bCs/>
          <w:sz w:val="24"/>
          <w:szCs w:val="24"/>
        </w:rPr>
        <w:t>sekunder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meliputi</w:t>
      </w:r>
      <w:proofErr w:type="spellEnd"/>
      <w:r>
        <w:rPr>
          <w:rFonts w:ascii="Tw Cen MT" w:eastAsia="Twentieth Century" w:hAnsi="Tw Cen MT" w:cs="Twentieth Century"/>
          <w:bCs/>
          <w:sz w:val="24"/>
          <w:szCs w:val="24"/>
        </w:rPr>
        <w:t xml:space="preserve"> data </w:t>
      </w:r>
      <w:proofErr w:type="spellStart"/>
      <w:r>
        <w:rPr>
          <w:rFonts w:ascii="Tw Cen MT" w:eastAsia="Twentieth Century" w:hAnsi="Tw Cen MT" w:cs="Twentieth Century"/>
          <w:bCs/>
          <w:sz w:val="24"/>
          <w:szCs w:val="24"/>
        </w:rPr>
        <w:t>usia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Pendidikan, </w:t>
      </w:r>
      <w:proofErr w:type="spellStart"/>
      <w:r>
        <w:rPr>
          <w:rFonts w:ascii="Tw Cen MT" w:eastAsia="Twentieth Century" w:hAnsi="Tw Cen MT" w:cs="Twentieth Century"/>
          <w:bCs/>
          <w:sz w:val="24"/>
          <w:szCs w:val="24"/>
        </w:rPr>
        <w:t>pekerjaan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umur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 xml:space="preserve"> dan gravida </w:t>
      </w:r>
      <w:proofErr w:type="spellStart"/>
      <w:r>
        <w:rPr>
          <w:rFonts w:ascii="Tw Cen MT" w:eastAsia="Twentieth Century" w:hAnsi="Tw Cen MT" w:cs="Twentieth Century"/>
          <w:bCs/>
          <w:sz w:val="24"/>
          <w:szCs w:val="24"/>
        </w:rPr>
        <w:t>diamnil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dari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buku</w:t>
      </w:r>
      <w:proofErr w:type="spellEnd"/>
      <w:r>
        <w:rPr>
          <w:rFonts w:ascii="Tw Cen MT" w:eastAsia="Twentieth Century" w:hAnsi="Tw Cen MT" w:cs="Twentieth Century"/>
          <w:bCs/>
          <w:sz w:val="24"/>
          <w:szCs w:val="24"/>
        </w:rPr>
        <w:t xml:space="preserve"> KIA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Pengambilan</w:t>
      </w:r>
      <w:proofErr w:type="spellEnd"/>
      <w:r>
        <w:rPr>
          <w:rFonts w:ascii="Tw Cen MT" w:eastAsia="Twentieth Century" w:hAnsi="Tw Cen MT" w:cs="Twentieth Century"/>
          <w:bCs/>
          <w:sz w:val="24"/>
          <w:szCs w:val="24"/>
        </w:rPr>
        <w:t xml:space="preserve"> data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cara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membagikan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kuesioner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pengetahuan</w:t>
      </w:r>
      <w:proofErr w:type="spellEnd"/>
      <w:r>
        <w:rPr>
          <w:rFonts w:ascii="Tw Cen MT" w:eastAsia="Twentieth Century" w:hAnsi="Tw Cen MT" w:cs="Twentieth Century"/>
          <w:bCs/>
          <w:sz w:val="24"/>
          <w:szCs w:val="24"/>
        </w:rPr>
        <w:t xml:space="preserve"> (pretest) </w:t>
      </w:r>
      <w:proofErr w:type="spellStart"/>
      <w:r>
        <w:rPr>
          <w:rFonts w:ascii="Tw Cen MT" w:eastAsia="Twentieth Century" w:hAnsi="Tw Cen MT" w:cs="Twentieth Century"/>
          <w:bCs/>
          <w:sz w:val="24"/>
          <w:szCs w:val="24"/>
        </w:rPr>
        <w:t>sebelum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pemberian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kemudian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membagi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perlakuan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metode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ceramah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jawab</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powtoon</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perlakuan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selama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kurang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lebih</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menit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Setelah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kegiatan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dua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selesai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dilanjutkan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membagikan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kuesioner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post test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diisi</w:t>
      </w:r>
      <w:proofErr w:type="spellEnd"/>
      <w:r>
        <w:rPr>
          <w:rFonts w:ascii="Tw Cen MT" w:eastAsia="Twentieth Century" w:hAnsi="Tw Cen MT" w:cs="Twentieth Century"/>
          <w:bCs/>
          <w:sz w:val="24"/>
          <w:szCs w:val="24"/>
        </w:rPr>
        <w:t xml:space="preserve"> oleh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Uji </w:t>
      </w:r>
      <w:proofErr w:type="spellStart"/>
      <w:r>
        <w:rPr>
          <w:rFonts w:ascii="Tw Cen MT" w:eastAsia="Twentieth Century" w:hAnsi="Tw Cen MT" w:cs="Twentieth Century"/>
          <w:bCs/>
          <w:sz w:val="24"/>
          <w:szCs w:val="24"/>
        </w:rPr>
        <w:t>statistik</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digunakan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melihat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perbedaan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pengetahuan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sebelum</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sesudah</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setiap</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menggunakan</w:t>
      </w:r>
      <w:proofErr w:type="spellEnd"/>
      <w:r>
        <w:rPr>
          <w:rFonts w:ascii="Tw Cen MT" w:eastAsia="Twentieth Century" w:hAnsi="Tw Cen MT" w:cs="Twentieth Century"/>
          <w:bCs/>
          <w:sz w:val="24"/>
          <w:szCs w:val="24"/>
        </w:rPr>
        <w:t xml:space="preserve"> uji T </w:t>
      </w:r>
      <w:proofErr w:type="spellStart"/>
      <w:r>
        <w:rPr>
          <w:rFonts w:ascii="Tw Cen MT" w:eastAsia="Twentieth Century" w:hAnsi="Tw Cen MT" w:cs="Twentieth Century"/>
          <w:bCs/>
          <w:sz w:val="24"/>
          <w:szCs w:val="24"/>
        </w:rPr>
        <w:t>berpasangan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sedangkan</w:t>
      </w:r>
      <w:proofErr w:type="spellEnd"/>
      <w:r>
        <w:rPr>
          <w:rFonts w:ascii="Tw Cen MT" w:eastAsia="Twentieth Century" w:hAnsi="Tw Cen MT" w:cs="Twentieth Century"/>
          <w:bCs/>
          <w:sz w:val="24"/>
          <w:szCs w:val="24"/>
        </w:rPr>
        <w:t xml:space="preserve"> uji </w:t>
      </w:r>
      <w:proofErr w:type="spellStart"/>
      <w:r>
        <w:rPr>
          <w:rFonts w:ascii="Tw Cen MT" w:eastAsia="Twentieth Century" w:hAnsi="Tw Cen MT" w:cs="Twentieth Century"/>
          <w:bCs/>
          <w:sz w:val="24"/>
          <w:szCs w:val="24"/>
        </w:rPr>
        <w:t>statistik</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digunakan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melihat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perbedaan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peningkatan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pengetahuan</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perlakuan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menggunakan</w:t>
      </w:r>
      <w:proofErr w:type="spellEnd"/>
      <w:r>
        <w:rPr>
          <w:rFonts w:ascii="Tw Cen MT" w:eastAsia="Twentieth Century" w:hAnsi="Tw Cen MT" w:cs="Twentieth Century"/>
          <w:bCs/>
          <w:sz w:val="24"/>
          <w:szCs w:val="24"/>
        </w:rPr>
        <w:t xml:space="preserve"> uji </w:t>
      </w:r>
      <w:proofErr w:type="spellStart"/>
      <w:r>
        <w:rPr>
          <w:rFonts w:ascii="Tw Cen MT" w:eastAsia="Twentieth Century" w:hAnsi="Tw Cen MT" w:cs="Twentieth Century"/>
          <w:bCs/>
          <w:sz w:val="24"/>
          <w:szCs w:val="24"/>
        </w:rPr>
        <w:t>statistik</w:t>
      </w:r>
      <w:proofErr w:type="spellEnd"/>
      <w:r>
        <w:rPr>
          <w:rFonts w:ascii="Tw Cen MT" w:eastAsia="Twentieth Century" w:hAnsi="Tw Cen MT" w:cs="Twentieth Century"/>
          <w:bCs/>
          <w:sz w:val="24"/>
          <w:szCs w:val="24"/>
        </w:rPr>
        <w:t xml:space="preserve"> non </w:t>
      </w:r>
      <w:proofErr w:type="spellStart"/>
      <w:r>
        <w:rPr>
          <w:rFonts w:ascii="Tw Cen MT" w:eastAsia="Twentieth Century" w:hAnsi="Tw Cen MT" w:cs="Twentieth Century"/>
          <w:bCs/>
          <w:sz w:val="24"/>
          <w:szCs w:val="24"/>
        </w:rPr>
        <w:t>parametrik</w:t>
      </w:r>
      <w:proofErr w:type="spellEnd"/>
      <w:r>
        <w:rPr>
          <w:rFonts w:ascii="Tw Cen MT" w:eastAsia="Twentieth Century" w:hAnsi="Tw Cen MT" w:cs="Twentieth Century"/>
          <w:bCs/>
          <w:sz w:val="24"/>
          <w:szCs w:val="24"/>
        </w:rPr>
        <w:t xml:space="preserve"> Mann Whitney </w:t>
      </w:r>
      <w:proofErr w:type="spellStart"/>
      <w:r>
        <w:rPr>
          <w:rFonts w:ascii="Tw Cen MT" w:eastAsia="Twentieth Century" w:hAnsi="Tw Cen MT" w:cs="Twentieth Century"/>
          <w:bCs/>
          <w:sz w:val="24"/>
          <w:szCs w:val="24"/>
        </w:rPr>
        <w:t>karena</w:t>
      </w:r>
      <w:proofErr w:type="spellEnd"/>
      <w:r>
        <w:rPr>
          <w:rFonts w:ascii="Tw Cen MT" w:eastAsia="Twentieth Century" w:hAnsi="Tw Cen MT" w:cs="Twentieth Century"/>
          <w:bCs/>
          <w:sz w:val="24"/>
          <w:szCs w:val="24"/>
        </w:rPr>
        <w:t xml:space="preserve"> data pada </w:t>
      </w:r>
      <w:proofErr w:type="spellStart"/>
      <w:r>
        <w:rPr>
          <w:rFonts w:ascii="Tw Cen MT" w:eastAsia="Twentieth Century" w:hAnsi="Tw Cen MT" w:cs="Twentieth Century"/>
          <w:bCs/>
          <w:sz w:val="24"/>
          <w:szCs w:val="24"/>
        </w:rPr>
        <w:t>kedua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berdistribusi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normal</w:t>
      </w:r>
      <w:r w:rsidR="00D623AA">
        <w:rPr>
          <w:rFonts w:ascii="Tw Cen MT" w:eastAsia="Twentieth Century" w:hAnsi="Tw Cen MT" w:cs="Twentieth Century"/>
          <w:sz w:val="24"/>
          <w:szCs w:val="24"/>
        </w:rPr>
        <w:t>.</w:t>
      </w:r>
    </w:p>
    <w:p w14:paraId="17CF4850"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73FB8D1E" w14:textId="7E18C876"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FD70DD7" w14:textId="32F1F0D5" w:rsidR="00D0082B" w:rsidRDefault="00D0082B" w:rsidP="00F0256B">
      <w:pPr>
        <w:tabs>
          <w:tab w:val="left" w:pos="426"/>
        </w:tabs>
        <w:spacing w:after="0" w:line="240" w:lineRule="auto"/>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Berikut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hasil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sebaran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karakteristik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kasus</w:t>
      </w:r>
      <w:proofErr w:type="spellEnd"/>
      <w:r>
        <w:rPr>
          <w:rFonts w:ascii="Tw Cen MT" w:eastAsia="Twentieth Century" w:hAnsi="Tw Cen MT" w:cs="Twentieth Century"/>
          <w:bCs/>
          <w:sz w:val="24"/>
          <w:szCs w:val="24"/>
        </w:rPr>
        <w:t xml:space="preserve"> pada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control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intervensi</w:t>
      </w:r>
      <w:proofErr w:type="spellEnd"/>
      <w:r>
        <w:rPr>
          <w:rFonts w:ascii="Tw Cen MT" w:eastAsia="Twentieth Century" w:hAnsi="Tw Cen MT" w:cs="Twentieth Century"/>
          <w:bCs/>
          <w:sz w:val="24"/>
          <w:szCs w:val="24"/>
        </w:rPr>
        <w:t>.</w:t>
      </w:r>
    </w:p>
    <w:p w14:paraId="495B2974" w14:textId="77777777" w:rsidR="00D0082B" w:rsidRPr="00D0082B" w:rsidRDefault="00D0082B" w:rsidP="00F0256B">
      <w:pPr>
        <w:tabs>
          <w:tab w:val="left" w:pos="426"/>
        </w:tabs>
        <w:spacing w:after="0" w:line="240" w:lineRule="auto"/>
        <w:jc w:val="both"/>
        <w:rPr>
          <w:rFonts w:ascii="Tw Cen MT" w:eastAsia="Twentieth Century" w:hAnsi="Tw Cen MT" w:cs="Twentieth Century"/>
          <w:bCs/>
          <w:sz w:val="24"/>
          <w:szCs w:val="24"/>
        </w:rPr>
      </w:pPr>
    </w:p>
    <w:p w14:paraId="67EA816C" w14:textId="77777777" w:rsidR="00824ACA" w:rsidRPr="00D0082B" w:rsidRDefault="00824ACA"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D0082B">
        <w:rPr>
          <w:rFonts w:ascii="Tw Cen MT" w:eastAsia="Twentieth Century" w:hAnsi="Tw Cen MT" w:cs="Twentieth Century"/>
          <w:bCs/>
          <w:sz w:val="20"/>
          <w:szCs w:val="20"/>
        </w:rPr>
        <w:t>Tabel</w:t>
      </w:r>
      <w:proofErr w:type="spellEnd"/>
      <w:r w:rsidRPr="00D0082B">
        <w:rPr>
          <w:rFonts w:ascii="Tw Cen MT" w:eastAsia="Twentieth Century" w:hAnsi="Tw Cen MT" w:cs="Twentieth Century"/>
          <w:bCs/>
          <w:sz w:val="20"/>
          <w:szCs w:val="20"/>
        </w:rPr>
        <w:t xml:space="preserve"> 1. </w:t>
      </w:r>
      <w:proofErr w:type="spellStart"/>
      <w:r w:rsidRPr="00D0082B">
        <w:rPr>
          <w:rFonts w:ascii="Tw Cen MT" w:eastAsia="Twentieth Century" w:hAnsi="Tw Cen MT" w:cs="Twentieth Century"/>
          <w:bCs/>
          <w:sz w:val="20"/>
          <w:szCs w:val="20"/>
        </w:rPr>
        <w:t>Sebaran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karakteristik</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kasus</w:t>
      </w:r>
      <w:proofErr w:type="spellEnd"/>
      <w:r w:rsidRPr="00D0082B">
        <w:rPr>
          <w:rFonts w:ascii="Tw Cen MT" w:eastAsia="Twentieth Century" w:hAnsi="Tw Cen MT" w:cs="Twentieth Century"/>
          <w:bCs/>
          <w:sz w:val="20"/>
          <w:szCs w:val="20"/>
        </w:rPr>
        <w:t xml:space="preserve"> pada </w:t>
      </w:r>
      <w:proofErr w:type="spellStart"/>
      <w:r w:rsidRPr="00D0082B">
        <w:rPr>
          <w:rFonts w:ascii="Tw Cen MT" w:eastAsia="Twentieth Century" w:hAnsi="Tw Cen MT" w:cs="Twentieth Century"/>
          <w:bCs/>
          <w:sz w:val="20"/>
          <w:szCs w:val="20"/>
        </w:rPr>
        <w:t>kelompok</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kontrol</w:t>
      </w:r>
      <w:proofErr w:type="spellEnd"/>
      <w:r w:rsidRPr="00D0082B">
        <w:rPr>
          <w:rFonts w:ascii="Tw Cen MT" w:eastAsia="Twentieth Century" w:hAnsi="Tw Cen MT" w:cs="Twentieth Century"/>
          <w:bCs/>
          <w:sz w:val="20"/>
          <w:szCs w:val="20"/>
        </w:rPr>
        <w:t xml:space="preserve"> dan </w:t>
      </w:r>
      <w:proofErr w:type="spellStart"/>
      <w:r w:rsidRPr="00D0082B">
        <w:rPr>
          <w:rFonts w:ascii="Tw Cen MT" w:eastAsia="Twentieth Century" w:hAnsi="Tw Cen MT" w:cs="Twentieth Century"/>
          <w:bCs/>
          <w:sz w:val="20"/>
          <w:szCs w:val="20"/>
        </w:rPr>
        <w:t>kelompok</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intervensi</w:t>
      </w:r>
      <w:proofErr w:type="spellEnd"/>
    </w:p>
    <w:tbl>
      <w:tblPr>
        <w:tblpPr w:leftFromText="180" w:rightFromText="180" w:vertAnchor="text" w:horzAnchor="page" w:tblpX="6672" w:tblpY="139"/>
        <w:tblW w:w="369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992"/>
        <w:gridCol w:w="567"/>
        <w:gridCol w:w="709"/>
        <w:gridCol w:w="708"/>
      </w:tblGrid>
      <w:tr w:rsidR="00D0082B" w:rsidRPr="00D0082B" w14:paraId="0C3CDD0D" w14:textId="77777777" w:rsidTr="00D0082B">
        <w:trPr>
          <w:cantSplit/>
        </w:trPr>
        <w:tc>
          <w:tcPr>
            <w:tcW w:w="3690" w:type="dxa"/>
            <w:gridSpan w:val="5"/>
            <w:shd w:val="clear" w:color="auto" w:fill="FFFFFF"/>
            <w:vAlign w:val="center"/>
          </w:tcPr>
          <w:p w14:paraId="7B732AC6"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Test of Homogeneity of Variances</w:t>
            </w:r>
          </w:p>
        </w:tc>
      </w:tr>
      <w:tr w:rsidR="00D0082B" w:rsidRPr="00D0082B" w14:paraId="58D70941" w14:textId="77777777" w:rsidTr="00D0082B">
        <w:trPr>
          <w:cantSplit/>
        </w:trPr>
        <w:tc>
          <w:tcPr>
            <w:tcW w:w="714" w:type="dxa"/>
            <w:shd w:val="clear" w:color="auto" w:fill="FFFFFF"/>
            <w:vAlign w:val="bottom"/>
          </w:tcPr>
          <w:p w14:paraId="15F8FD96" w14:textId="77777777" w:rsidR="00D0082B" w:rsidRPr="00D0082B" w:rsidRDefault="00D0082B" w:rsidP="00D0082B">
            <w:pPr>
              <w:autoSpaceDE w:val="0"/>
              <w:autoSpaceDN w:val="0"/>
              <w:adjustRightInd w:val="0"/>
              <w:spacing w:after="0" w:line="240" w:lineRule="auto"/>
              <w:rPr>
                <w:rFonts w:ascii="Tw Cen MT" w:hAnsi="Tw Cen MT" w:cs="Times New Roman"/>
                <w:sz w:val="20"/>
                <w:szCs w:val="20"/>
                <w:lang w:val="en-ID"/>
              </w:rPr>
            </w:pPr>
          </w:p>
        </w:tc>
        <w:tc>
          <w:tcPr>
            <w:tcW w:w="992" w:type="dxa"/>
            <w:shd w:val="clear" w:color="auto" w:fill="FFFFFF"/>
            <w:vAlign w:val="bottom"/>
          </w:tcPr>
          <w:p w14:paraId="0C25305F"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proofErr w:type="spellStart"/>
            <w:r w:rsidRPr="00D0082B">
              <w:rPr>
                <w:rFonts w:ascii="Tw Cen MT" w:hAnsi="Tw Cen MT" w:cs="Times New Roman"/>
                <w:color w:val="000000"/>
                <w:sz w:val="20"/>
                <w:szCs w:val="20"/>
                <w:lang w:val="en-ID"/>
              </w:rPr>
              <w:t>Levene</w:t>
            </w:r>
            <w:proofErr w:type="spellEnd"/>
            <w:r w:rsidRPr="00D0082B">
              <w:rPr>
                <w:rFonts w:ascii="Tw Cen MT" w:hAnsi="Tw Cen MT" w:cs="Times New Roman"/>
                <w:color w:val="000000"/>
                <w:sz w:val="20"/>
                <w:szCs w:val="20"/>
                <w:lang w:val="en-ID"/>
              </w:rPr>
              <w:t xml:space="preserve"> Statistic</w:t>
            </w:r>
          </w:p>
        </w:tc>
        <w:tc>
          <w:tcPr>
            <w:tcW w:w="567" w:type="dxa"/>
            <w:shd w:val="clear" w:color="auto" w:fill="FFFFFF"/>
            <w:vAlign w:val="bottom"/>
          </w:tcPr>
          <w:p w14:paraId="09BD6DEE"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df1</w:t>
            </w:r>
          </w:p>
        </w:tc>
        <w:tc>
          <w:tcPr>
            <w:tcW w:w="709" w:type="dxa"/>
            <w:shd w:val="clear" w:color="auto" w:fill="FFFFFF"/>
            <w:vAlign w:val="bottom"/>
          </w:tcPr>
          <w:p w14:paraId="432EE687"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df2</w:t>
            </w:r>
          </w:p>
        </w:tc>
        <w:tc>
          <w:tcPr>
            <w:tcW w:w="708" w:type="dxa"/>
            <w:shd w:val="clear" w:color="auto" w:fill="FFFFFF"/>
            <w:vAlign w:val="bottom"/>
          </w:tcPr>
          <w:p w14:paraId="794EA32E"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Sig.</w:t>
            </w:r>
          </w:p>
        </w:tc>
      </w:tr>
      <w:tr w:rsidR="00D0082B" w:rsidRPr="00D0082B" w14:paraId="71B28173" w14:textId="77777777" w:rsidTr="00D0082B">
        <w:trPr>
          <w:cantSplit/>
        </w:trPr>
        <w:tc>
          <w:tcPr>
            <w:tcW w:w="714" w:type="dxa"/>
            <w:shd w:val="clear" w:color="auto" w:fill="FFFFFF"/>
          </w:tcPr>
          <w:p w14:paraId="4C8AF208"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proofErr w:type="spellStart"/>
            <w:r w:rsidRPr="00D0082B">
              <w:rPr>
                <w:rFonts w:ascii="Tw Cen MT" w:hAnsi="Tw Cen MT" w:cs="Times New Roman"/>
                <w:color w:val="000000"/>
                <w:sz w:val="20"/>
                <w:szCs w:val="20"/>
                <w:lang w:val="en-ID"/>
              </w:rPr>
              <w:t>umur</w:t>
            </w:r>
            <w:proofErr w:type="spellEnd"/>
          </w:p>
        </w:tc>
        <w:tc>
          <w:tcPr>
            <w:tcW w:w="992" w:type="dxa"/>
            <w:shd w:val="clear" w:color="auto" w:fill="FFFFFF"/>
            <w:vAlign w:val="center"/>
          </w:tcPr>
          <w:p w14:paraId="0973FA92"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3.630</w:t>
            </w:r>
          </w:p>
        </w:tc>
        <w:tc>
          <w:tcPr>
            <w:tcW w:w="567" w:type="dxa"/>
            <w:shd w:val="clear" w:color="auto" w:fill="FFFFFF"/>
            <w:vAlign w:val="center"/>
          </w:tcPr>
          <w:p w14:paraId="41606877"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2A946444"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19D73FAD"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.062</w:t>
            </w:r>
          </w:p>
        </w:tc>
      </w:tr>
      <w:tr w:rsidR="00D0082B" w:rsidRPr="00D0082B" w14:paraId="30AE5EDC" w14:textId="77777777" w:rsidTr="00D0082B">
        <w:trPr>
          <w:cantSplit/>
        </w:trPr>
        <w:tc>
          <w:tcPr>
            <w:tcW w:w="714" w:type="dxa"/>
            <w:shd w:val="clear" w:color="auto" w:fill="FFFFFF"/>
          </w:tcPr>
          <w:p w14:paraId="681CFC0E"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proofErr w:type="spellStart"/>
            <w:r w:rsidRPr="00D0082B">
              <w:rPr>
                <w:rFonts w:ascii="Tw Cen MT" w:hAnsi="Tw Cen MT" w:cs="Times New Roman"/>
                <w:color w:val="000000"/>
                <w:sz w:val="20"/>
                <w:szCs w:val="20"/>
                <w:lang w:val="en-ID"/>
              </w:rPr>
              <w:t>didik</w:t>
            </w:r>
            <w:proofErr w:type="spellEnd"/>
          </w:p>
        </w:tc>
        <w:tc>
          <w:tcPr>
            <w:tcW w:w="992" w:type="dxa"/>
            <w:shd w:val="clear" w:color="auto" w:fill="FFFFFF"/>
            <w:vAlign w:val="center"/>
          </w:tcPr>
          <w:p w14:paraId="3AFE98DA"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2.271</w:t>
            </w:r>
          </w:p>
        </w:tc>
        <w:tc>
          <w:tcPr>
            <w:tcW w:w="567" w:type="dxa"/>
            <w:shd w:val="clear" w:color="auto" w:fill="FFFFFF"/>
            <w:vAlign w:val="center"/>
          </w:tcPr>
          <w:p w14:paraId="543AAF06"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6A594C20"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7ECA4462"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.137</w:t>
            </w:r>
          </w:p>
        </w:tc>
      </w:tr>
      <w:tr w:rsidR="00D0082B" w:rsidRPr="00D0082B" w14:paraId="2D04E014" w14:textId="77777777" w:rsidTr="00D0082B">
        <w:trPr>
          <w:cantSplit/>
        </w:trPr>
        <w:tc>
          <w:tcPr>
            <w:tcW w:w="714" w:type="dxa"/>
            <w:shd w:val="clear" w:color="auto" w:fill="FFFFFF"/>
          </w:tcPr>
          <w:p w14:paraId="2C79F01F"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proofErr w:type="spellStart"/>
            <w:r w:rsidRPr="00D0082B">
              <w:rPr>
                <w:rFonts w:ascii="Tw Cen MT" w:hAnsi="Tw Cen MT" w:cs="Times New Roman"/>
                <w:color w:val="000000"/>
                <w:sz w:val="20"/>
                <w:szCs w:val="20"/>
                <w:lang w:val="en-ID"/>
              </w:rPr>
              <w:t>kerja</w:t>
            </w:r>
            <w:proofErr w:type="spellEnd"/>
          </w:p>
        </w:tc>
        <w:tc>
          <w:tcPr>
            <w:tcW w:w="992" w:type="dxa"/>
            <w:shd w:val="clear" w:color="auto" w:fill="FFFFFF"/>
            <w:vAlign w:val="center"/>
          </w:tcPr>
          <w:p w14:paraId="5CFD92B4"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.345</w:t>
            </w:r>
          </w:p>
        </w:tc>
        <w:tc>
          <w:tcPr>
            <w:tcW w:w="567" w:type="dxa"/>
            <w:shd w:val="clear" w:color="auto" w:fill="FFFFFF"/>
            <w:vAlign w:val="center"/>
          </w:tcPr>
          <w:p w14:paraId="06F1DB23"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077075BB"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00613A44"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.559</w:t>
            </w:r>
          </w:p>
        </w:tc>
      </w:tr>
      <w:tr w:rsidR="00D0082B" w:rsidRPr="00D0082B" w14:paraId="4AF28C05" w14:textId="77777777" w:rsidTr="00D0082B">
        <w:trPr>
          <w:cantSplit/>
        </w:trPr>
        <w:tc>
          <w:tcPr>
            <w:tcW w:w="714" w:type="dxa"/>
            <w:shd w:val="clear" w:color="auto" w:fill="FFFFFF"/>
          </w:tcPr>
          <w:p w14:paraId="2F151A89"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UK</w:t>
            </w:r>
          </w:p>
        </w:tc>
        <w:tc>
          <w:tcPr>
            <w:tcW w:w="992" w:type="dxa"/>
            <w:shd w:val="clear" w:color="auto" w:fill="FFFFFF"/>
            <w:vAlign w:val="center"/>
          </w:tcPr>
          <w:p w14:paraId="57A7D5A1"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2.966</w:t>
            </w:r>
          </w:p>
        </w:tc>
        <w:tc>
          <w:tcPr>
            <w:tcW w:w="567" w:type="dxa"/>
            <w:shd w:val="clear" w:color="auto" w:fill="FFFFFF"/>
            <w:vAlign w:val="center"/>
          </w:tcPr>
          <w:p w14:paraId="5CBB75DA"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1EA50969"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3C66B31F"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.090</w:t>
            </w:r>
          </w:p>
        </w:tc>
      </w:tr>
      <w:tr w:rsidR="00D0082B" w:rsidRPr="00D0082B" w14:paraId="69608CFC" w14:textId="77777777" w:rsidTr="00D0082B">
        <w:trPr>
          <w:cantSplit/>
        </w:trPr>
        <w:tc>
          <w:tcPr>
            <w:tcW w:w="714" w:type="dxa"/>
            <w:shd w:val="clear" w:color="auto" w:fill="FFFFFF"/>
          </w:tcPr>
          <w:p w14:paraId="55F27AE6"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gravida</w:t>
            </w:r>
          </w:p>
        </w:tc>
        <w:tc>
          <w:tcPr>
            <w:tcW w:w="992" w:type="dxa"/>
            <w:shd w:val="clear" w:color="auto" w:fill="FFFFFF"/>
            <w:vAlign w:val="center"/>
          </w:tcPr>
          <w:p w14:paraId="5261B6A6"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.753</w:t>
            </w:r>
          </w:p>
        </w:tc>
        <w:tc>
          <w:tcPr>
            <w:tcW w:w="567" w:type="dxa"/>
            <w:shd w:val="clear" w:color="auto" w:fill="FFFFFF"/>
            <w:vAlign w:val="center"/>
          </w:tcPr>
          <w:p w14:paraId="09A8EA21"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302AB614"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7197D8AE"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.389</w:t>
            </w:r>
          </w:p>
        </w:tc>
      </w:tr>
      <w:tr w:rsidR="00D0082B" w:rsidRPr="00D0082B" w14:paraId="5495D29A" w14:textId="77777777" w:rsidTr="00D0082B">
        <w:trPr>
          <w:cantSplit/>
        </w:trPr>
        <w:tc>
          <w:tcPr>
            <w:tcW w:w="714" w:type="dxa"/>
            <w:shd w:val="clear" w:color="auto" w:fill="FFFFFF"/>
          </w:tcPr>
          <w:p w14:paraId="380D9077"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proofErr w:type="spellStart"/>
            <w:r w:rsidRPr="00D0082B">
              <w:rPr>
                <w:rFonts w:ascii="Tw Cen MT" w:hAnsi="Tw Cen MT" w:cs="Times New Roman"/>
                <w:color w:val="000000"/>
                <w:sz w:val="20"/>
                <w:szCs w:val="20"/>
                <w:lang w:val="en-ID"/>
              </w:rPr>
              <w:t>tahuseb</w:t>
            </w:r>
            <w:proofErr w:type="spellEnd"/>
          </w:p>
        </w:tc>
        <w:tc>
          <w:tcPr>
            <w:tcW w:w="992" w:type="dxa"/>
            <w:shd w:val="clear" w:color="auto" w:fill="FFFFFF"/>
            <w:vAlign w:val="center"/>
          </w:tcPr>
          <w:p w14:paraId="7B6BF4CD"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1.143</w:t>
            </w:r>
          </w:p>
        </w:tc>
        <w:tc>
          <w:tcPr>
            <w:tcW w:w="567" w:type="dxa"/>
            <w:shd w:val="clear" w:color="auto" w:fill="FFFFFF"/>
            <w:vAlign w:val="center"/>
          </w:tcPr>
          <w:p w14:paraId="779B58ED"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1</w:t>
            </w:r>
          </w:p>
        </w:tc>
        <w:tc>
          <w:tcPr>
            <w:tcW w:w="709" w:type="dxa"/>
            <w:shd w:val="clear" w:color="auto" w:fill="FFFFFF"/>
            <w:vAlign w:val="center"/>
          </w:tcPr>
          <w:p w14:paraId="1DAF7110"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58</w:t>
            </w:r>
          </w:p>
        </w:tc>
        <w:tc>
          <w:tcPr>
            <w:tcW w:w="708" w:type="dxa"/>
            <w:shd w:val="clear" w:color="auto" w:fill="FFFFFF"/>
            <w:vAlign w:val="center"/>
          </w:tcPr>
          <w:p w14:paraId="6E913B1E" w14:textId="77777777" w:rsidR="00D0082B" w:rsidRPr="00D0082B" w:rsidRDefault="00D0082B" w:rsidP="00D0082B">
            <w:pPr>
              <w:autoSpaceDE w:val="0"/>
              <w:autoSpaceDN w:val="0"/>
              <w:adjustRightInd w:val="0"/>
              <w:spacing w:after="0" w:line="240" w:lineRule="auto"/>
              <w:ind w:right="60"/>
              <w:jc w:val="center"/>
              <w:rPr>
                <w:rFonts w:ascii="Tw Cen MT" w:hAnsi="Tw Cen MT" w:cs="Times New Roman"/>
                <w:color w:val="000000"/>
                <w:sz w:val="20"/>
                <w:szCs w:val="20"/>
                <w:lang w:val="en-ID"/>
              </w:rPr>
            </w:pPr>
            <w:r w:rsidRPr="00D0082B">
              <w:rPr>
                <w:rFonts w:ascii="Tw Cen MT" w:hAnsi="Tw Cen MT" w:cs="Times New Roman"/>
                <w:color w:val="000000"/>
                <w:sz w:val="20"/>
                <w:szCs w:val="20"/>
                <w:lang w:val="en-ID"/>
              </w:rPr>
              <w:t>.289</w:t>
            </w:r>
          </w:p>
        </w:tc>
      </w:tr>
    </w:tbl>
    <w:p w14:paraId="4832AA69" w14:textId="77777777" w:rsidR="00824ACA" w:rsidRPr="00824ACA" w:rsidRDefault="00824ACA" w:rsidP="00D0082B">
      <w:pPr>
        <w:tabs>
          <w:tab w:val="left" w:pos="426"/>
        </w:tabs>
        <w:spacing w:after="0" w:line="240" w:lineRule="auto"/>
        <w:jc w:val="both"/>
        <w:rPr>
          <w:rFonts w:ascii="Tw Cen MT" w:eastAsia="Twentieth Century" w:hAnsi="Tw Cen MT" w:cs="Twentieth Century"/>
          <w:bCs/>
          <w:sz w:val="24"/>
          <w:szCs w:val="24"/>
        </w:rPr>
      </w:pPr>
    </w:p>
    <w:p w14:paraId="5AC05A88"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Berdasarkan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tabel</w:t>
      </w:r>
      <w:proofErr w:type="spellEnd"/>
      <w:r w:rsidRPr="00824ACA">
        <w:rPr>
          <w:rFonts w:ascii="Tw Cen MT" w:eastAsia="Twentieth Century" w:hAnsi="Tw Cen MT" w:cs="Twentieth Century"/>
          <w:bCs/>
          <w:sz w:val="24"/>
          <w:szCs w:val="24"/>
        </w:rPr>
        <w:t xml:space="preserve"> 1 </w:t>
      </w:r>
      <w:proofErr w:type="spellStart"/>
      <w:r w:rsidRPr="00824ACA">
        <w:rPr>
          <w:rFonts w:ascii="Tw Cen MT" w:eastAsia="Twentieth Century" w:hAnsi="Tw Cen MT" w:cs="Twentieth Century"/>
          <w:bCs/>
          <w:sz w:val="24"/>
          <w:szCs w:val="24"/>
        </w:rPr>
        <w:t>diketahui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levene’s</w:t>
      </w:r>
      <w:proofErr w:type="spellEnd"/>
      <w:r w:rsidRPr="00824ACA">
        <w:rPr>
          <w:rFonts w:ascii="Tw Cen MT" w:eastAsia="Twentieth Century" w:hAnsi="Tw Cen MT" w:cs="Twentieth Century"/>
          <w:bCs/>
          <w:sz w:val="24"/>
          <w:szCs w:val="24"/>
        </w:rPr>
        <w:t xml:space="preserve"> test for equality of variances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variabel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umur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Pendidikan, status </w:t>
      </w:r>
      <w:proofErr w:type="spellStart"/>
      <w:r w:rsidRPr="00824ACA">
        <w:rPr>
          <w:rFonts w:ascii="Tw Cen MT" w:eastAsia="Twentieth Century" w:hAnsi="Tw Cen MT" w:cs="Twentieth Century"/>
          <w:bCs/>
          <w:sz w:val="24"/>
          <w:szCs w:val="24"/>
        </w:rPr>
        <w:t>pekerjaan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usia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kehamilan</w:t>
      </w:r>
      <w:proofErr w:type="spellEnd"/>
      <w:r w:rsidRPr="00824ACA">
        <w:rPr>
          <w:rFonts w:ascii="Tw Cen MT" w:eastAsia="Twentieth Century" w:hAnsi="Tw Cen MT" w:cs="Twentieth Century"/>
          <w:bCs/>
          <w:sz w:val="24"/>
          <w:szCs w:val="24"/>
        </w:rPr>
        <w:t xml:space="preserve">, gravida dan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0,05 </w:t>
      </w:r>
      <w:proofErr w:type="spellStart"/>
      <w:r w:rsidRPr="00824ACA">
        <w:rPr>
          <w:rFonts w:ascii="Tw Cen MT" w:eastAsia="Twentieth Century" w:hAnsi="Tw Cen MT" w:cs="Twentieth Century"/>
          <w:bCs/>
          <w:sz w:val="24"/>
          <w:szCs w:val="24"/>
        </w:rPr>
        <w:t>maka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disimpulkan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varians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karakteristik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kelompok</w:t>
      </w:r>
      <w:proofErr w:type="spellEnd"/>
      <w:r w:rsidRPr="00824ACA">
        <w:rPr>
          <w:rFonts w:ascii="Tw Cen MT" w:eastAsia="Twentieth Century" w:hAnsi="Tw Cen MT" w:cs="Twentieth Century"/>
          <w:bCs/>
          <w:sz w:val="24"/>
          <w:szCs w:val="24"/>
        </w:rPr>
        <w:t xml:space="preserve"> control </w:t>
      </w:r>
      <w:proofErr w:type="spellStart"/>
      <w:r w:rsidRPr="00824ACA">
        <w:rPr>
          <w:rFonts w:ascii="Tw Cen MT" w:eastAsia="Twentieth Century" w:hAnsi="Tw Cen MT" w:cs="Twentieth Century"/>
          <w:bCs/>
          <w:sz w:val="24"/>
          <w:szCs w:val="24"/>
        </w:rPr>
        <w:t>maupun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kelompok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intervensi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homogen</w:t>
      </w:r>
      <w:proofErr w:type="spellEnd"/>
      <w:r w:rsidRPr="00824ACA">
        <w:rPr>
          <w:rFonts w:ascii="Tw Cen MT" w:eastAsia="Twentieth Century" w:hAnsi="Tw Cen MT" w:cs="Twentieth Century"/>
          <w:bCs/>
          <w:sz w:val="24"/>
          <w:szCs w:val="24"/>
        </w:rPr>
        <w:t>.</w:t>
      </w:r>
    </w:p>
    <w:p w14:paraId="4E2CBE04"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25827A6B" w14:textId="165A5E5B" w:rsidR="00824ACA" w:rsidRDefault="00824ACA"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D0082B">
        <w:rPr>
          <w:rFonts w:ascii="Tw Cen MT" w:eastAsia="Twentieth Century" w:hAnsi="Tw Cen MT" w:cs="Twentieth Century"/>
          <w:bCs/>
          <w:sz w:val="20"/>
          <w:szCs w:val="20"/>
        </w:rPr>
        <w:t>Tabel</w:t>
      </w:r>
      <w:proofErr w:type="spellEnd"/>
      <w:r w:rsidRPr="00D0082B">
        <w:rPr>
          <w:rFonts w:ascii="Tw Cen MT" w:eastAsia="Twentieth Century" w:hAnsi="Tw Cen MT" w:cs="Twentieth Century"/>
          <w:bCs/>
          <w:sz w:val="20"/>
          <w:szCs w:val="20"/>
        </w:rPr>
        <w:t xml:space="preserve"> 2. Hasil </w:t>
      </w:r>
      <w:proofErr w:type="spellStart"/>
      <w:r w:rsidRPr="00D0082B">
        <w:rPr>
          <w:rFonts w:ascii="Tw Cen MT" w:eastAsia="Twentieth Century" w:hAnsi="Tw Cen MT" w:cs="Twentieth Century"/>
          <w:bCs/>
          <w:sz w:val="20"/>
          <w:szCs w:val="20"/>
        </w:rPr>
        <w:t>analisa</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pengaruh</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pemberian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penyuluhan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dengan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ceramah</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tanya</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jawab</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terhadap</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pengetahuan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ibu</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hamil</w:t>
      </w:r>
      <w:proofErr w:type="spellEnd"/>
    </w:p>
    <w:tbl>
      <w:tblPr>
        <w:tblpPr w:leftFromText="180" w:rightFromText="180" w:vertAnchor="page" w:horzAnchor="margin" w:tblpXSpec="right" w:tblpY="12779"/>
        <w:tblW w:w="4253"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1"/>
        <w:gridCol w:w="851"/>
        <w:gridCol w:w="708"/>
        <w:gridCol w:w="709"/>
      </w:tblGrid>
      <w:tr w:rsidR="00D0082B" w:rsidRPr="00824ACA" w14:paraId="6FDD68C6" w14:textId="77777777" w:rsidTr="00D0082B">
        <w:trPr>
          <w:trHeight w:val="530"/>
        </w:trPr>
        <w:tc>
          <w:tcPr>
            <w:tcW w:w="1134" w:type="dxa"/>
            <w:tcBorders>
              <w:right w:val="nil"/>
            </w:tcBorders>
          </w:tcPr>
          <w:p w14:paraId="032DF053" w14:textId="77777777" w:rsidR="00D0082B" w:rsidRPr="00824ACA" w:rsidRDefault="00D0082B" w:rsidP="00D0082B">
            <w:pPr>
              <w:spacing w:after="0" w:line="240" w:lineRule="auto"/>
              <w:rPr>
                <w:rFonts w:ascii="Tw Cen MT" w:hAnsi="Tw Cen MT" w:cs="Times New Roman"/>
                <w:sz w:val="20"/>
                <w:szCs w:val="20"/>
              </w:rPr>
            </w:pPr>
            <w:proofErr w:type="spellStart"/>
            <w:r w:rsidRPr="00824ACA">
              <w:rPr>
                <w:rFonts w:ascii="Tw Cen MT" w:hAnsi="Tw Cen MT" w:cs="Times New Roman"/>
                <w:sz w:val="20"/>
                <w:szCs w:val="20"/>
              </w:rPr>
              <w:t>Tahu</w:t>
            </w:r>
            <w:proofErr w:type="spellEnd"/>
          </w:p>
        </w:tc>
        <w:tc>
          <w:tcPr>
            <w:tcW w:w="851" w:type="dxa"/>
            <w:tcBorders>
              <w:left w:val="nil"/>
              <w:bottom w:val="single" w:sz="4" w:space="0" w:color="000000"/>
              <w:right w:val="nil"/>
            </w:tcBorders>
          </w:tcPr>
          <w:p w14:paraId="146952A8"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Mean</w:t>
            </w:r>
          </w:p>
        </w:tc>
        <w:tc>
          <w:tcPr>
            <w:tcW w:w="851" w:type="dxa"/>
            <w:tcBorders>
              <w:left w:val="nil"/>
              <w:bottom w:val="single" w:sz="4" w:space="0" w:color="000000"/>
              <w:right w:val="nil"/>
            </w:tcBorders>
          </w:tcPr>
          <w:p w14:paraId="2794BAD8"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Beda Mean</w:t>
            </w:r>
          </w:p>
        </w:tc>
        <w:tc>
          <w:tcPr>
            <w:tcW w:w="708" w:type="dxa"/>
            <w:tcBorders>
              <w:left w:val="nil"/>
              <w:bottom w:val="single" w:sz="4" w:space="0" w:color="000000"/>
              <w:right w:val="nil"/>
            </w:tcBorders>
          </w:tcPr>
          <w:p w14:paraId="0FD0C9B6"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p</w:t>
            </w:r>
          </w:p>
        </w:tc>
        <w:tc>
          <w:tcPr>
            <w:tcW w:w="709" w:type="dxa"/>
            <w:tcBorders>
              <w:left w:val="nil"/>
              <w:bottom w:val="single" w:sz="4" w:space="0" w:color="000000"/>
              <w:right w:val="nil"/>
            </w:tcBorders>
          </w:tcPr>
          <w:p w14:paraId="57D70B68"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r</w:t>
            </w:r>
          </w:p>
        </w:tc>
      </w:tr>
      <w:tr w:rsidR="00D0082B" w:rsidRPr="00824ACA" w14:paraId="2E9C79BA" w14:textId="77777777" w:rsidTr="00D0082B">
        <w:tc>
          <w:tcPr>
            <w:tcW w:w="1134" w:type="dxa"/>
            <w:tcBorders>
              <w:right w:val="nil"/>
            </w:tcBorders>
          </w:tcPr>
          <w:p w14:paraId="1C096586" w14:textId="77777777" w:rsidR="00D0082B" w:rsidRPr="00824ACA" w:rsidRDefault="00D0082B" w:rsidP="00D0082B">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Sebelum</w:t>
            </w:r>
            <w:proofErr w:type="spellEnd"/>
            <w:r w:rsidRPr="00824ACA">
              <w:rPr>
                <w:rFonts w:ascii="Tw Cen MT" w:hAnsi="Tw Cen MT" w:cs="Times New Roman"/>
                <w:sz w:val="20"/>
                <w:szCs w:val="20"/>
              </w:rPr>
              <w:t xml:space="preserve"> </w:t>
            </w:r>
          </w:p>
        </w:tc>
        <w:tc>
          <w:tcPr>
            <w:tcW w:w="851" w:type="dxa"/>
            <w:tcBorders>
              <w:left w:val="nil"/>
              <w:bottom w:val="single" w:sz="4" w:space="0" w:color="000000"/>
              <w:right w:val="nil"/>
            </w:tcBorders>
          </w:tcPr>
          <w:p w14:paraId="2F88873E"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5,47</w:t>
            </w:r>
          </w:p>
        </w:tc>
        <w:tc>
          <w:tcPr>
            <w:tcW w:w="851" w:type="dxa"/>
            <w:vMerge w:val="restart"/>
            <w:tcBorders>
              <w:left w:val="nil"/>
              <w:right w:val="nil"/>
            </w:tcBorders>
            <w:vAlign w:val="center"/>
          </w:tcPr>
          <w:p w14:paraId="23B92CE4"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3,00</w:t>
            </w:r>
          </w:p>
        </w:tc>
        <w:tc>
          <w:tcPr>
            <w:tcW w:w="708" w:type="dxa"/>
            <w:vMerge w:val="restart"/>
            <w:tcBorders>
              <w:top w:val="single" w:sz="4" w:space="0" w:color="000000"/>
              <w:left w:val="nil"/>
              <w:bottom w:val="nil"/>
              <w:right w:val="nil"/>
            </w:tcBorders>
            <w:vAlign w:val="center"/>
          </w:tcPr>
          <w:p w14:paraId="11FBF8BA"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0,000</w:t>
            </w:r>
          </w:p>
        </w:tc>
        <w:tc>
          <w:tcPr>
            <w:tcW w:w="709" w:type="dxa"/>
            <w:vMerge w:val="restart"/>
            <w:tcBorders>
              <w:top w:val="single" w:sz="4" w:space="0" w:color="000000"/>
              <w:left w:val="nil"/>
              <w:bottom w:val="nil"/>
              <w:right w:val="nil"/>
            </w:tcBorders>
            <w:vAlign w:val="center"/>
          </w:tcPr>
          <w:p w14:paraId="0A81BF81"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0,475</w:t>
            </w:r>
          </w:p>
        </w:tc>
      </w:tr>
      <w:tr w:rsidR="00D0082B" w:rsidRPr="00824ACA" w14:paraId="38163145" w14:textId="77777777" w:rsidTr="00D0082B">
        <w:tc>
          <w:tcPr>
            <w:tcW w:w="1134" w:type="dxa"/>
            <w:tcBorders>
              <w:right w:val="nil"/>
            </w:tcBorders>
          </w:tcPr>
          <w:p w14:paraId="43F6A172" w14:textId="77777777" w:rsidR="00D0082B" w:rsidRPr="00824ACA" w:rsidRDefault="00D0082B" w:rsidP="00D0082B">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Sesudah</w:t>
            </w:r>
            <w:proofErr w:type="spellEnd"/>
            <w:r w:rsidRPr="00824ACA">
              <w:rPr>
                <w:rFonts w:ascii="Tw Cen MT" w:hAnsi="Tw Cen MT" w:cs="Times New Roman"/>
                <w:sz w:val="20"/>
                <w:szCs w:val="20"/>
              </w:rPr>
              <w:t xml:space="preserve"> </w:t>
            </w:r>
          </w:p>
        </w:tc>
        <w:tc>
          <w:tcPr>
            <w:tcW w:w="851" w:type="dxa"/>
            <w:tcBorders>
              <w:top w:val="single" w:sz="4" w:space="0" w:color="000000"/>
              <w:left w:val="nil"/>
              <w:right w:val="nil"/>
            </w:tcBorders>
          </w:tcPr>
          <w:p w14:paraId="679C7A30"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8,47</w:t>
            </w:r>
          </w:p>
        </w:tc>
        <w:tc>
          <w:tcPr>
            <w:tcW w:w="851" w:type="dxa"/>
            <w:vMerge/>
            <w:tcBorders>
              <w:left w:val="nil"/>
              <w:right w:val="nil"/>
            </w:tcBorders>
          </w:tcPr>
          <w:p w14:paraId="7908733A" w14:textId="77777777" w:rsidR="00D0082B" w:rsidRPr="00824ACA" w:rsidRDefault="00D0082B" w:rsidP="00D0082B">
            <w:pPr>
              <w:spacing w:after="0" w:line="240" w:lineRule="auto"/>
              <w:jc w:val="center"/>
              <w:rPr>
                <w:rFonts w:ascii="Tw Cen MT" w:hAnsi="Tw Cen MT" w:cs="Times New Roman"/>
                <w:sz w:val="20"/>
                <w:szCs w:val="20"/>
              </w:rPr>
            </w:pPr>
          </w:p>
        </w:tc>
        <w:tc>
          <w:tcPr>
            <w:tcW w:w="708" w:type="dxa"/>
            <w:vMerge/>
            <w:tcBorders>
              <w:top w:val="nil"/>
              <w:left w:val="nil"/>
              <w:right w:val="nil"/>
            </w:tcBorders>
          </w:tcPr>
          <w:p w14:paraId="54397892" w14:textId="77777777" w:rsidR="00D0082B" w:rsidRPr="00824ACA" w:rsidRDefault="00D0082B" w:rsidP="00D0082B">
            <w:pPr>
              <w:spacing w:after="0" w:line="240" w:lineRule="auto"/>
              <w:jc w:val="center"/>
              <w:rPr>
                <w:rFonts w:ascii="Tw Cen MT" w:hAnsi="Tw Cen MT" w:cs="Times New Roman"/>
                <w:sz w:val="20"/>
                <w:szCs w:val="20"/>
              </w:rPr>
            </w:pPr>
          </w:p>
        </w:tc>
        <w:tc>
          <w:tcPr>
            <w:tcW w:w="709" w:type="dxa"/>
            <w:vMerge/>
            <w:tcBorders>
              <w:top w:val="nil"/>
              <w:left w:val="nil"/>
              <w:right w:val="nil"/>
            </w:tcBorders>
          </w:tcPr>
          <w:p w14:paraId="3BD366A9" w14:textId="77777777" w:rsidR="00D0082B" w:rsidRPr="00824ACA" w:rsidRDefault="00D0082B" w:rsidP="00D0082B">
            <w:pPr>
              <w:spacing w:after="0" w:line="240" w:lineRule="auto"/>
              <w:jc w:val="center"/>
              <w:rPr>
                <w:rFonts w:ascii="Tw Cen MT" w:hAnsi="Tw Cen MT" w:cs="Times New Roman"/>
                <w:sz w:val="20"/>
                <w:szCs w:val="20"/>
              </w:rPr>
            </w:pPr>
          </w:p>
        </w:tc>
      </w:tr>
    </w:tbl>
    <w:p w14:paraId="46F515B8" w14:textId="77777777" w:rsidR="00D0082B" w:rsidRPr="00824ACA" w:rsidRDefault="00D0082B" w:rsidP="00D0082B">
      <w:pPr>
        <w:pStyle w:val="DaftarParagraf"/>
        <w:tabs>
          <w:tab w:val="left" w:pos="426"/>
        </w:tabs>
        <w:spacing w:after="0" w:line="240" w:lineRule="auto"/>
        <w:ind w:left="0"/>
        <w:jc w:val="center"/>
        <w:rPr>
          <w:rFonts w:ascii="Tw Cen MT" w:eastAsia="Twentieth Century" w:hAnsi="Tw Cen MT" w:cs="Twentieth Century"/>
          <w:bCs/>
          <w:sz w:val="24"/>
          <w:szCs w:val="24"/>
        </w:rPr>
      </w:pPr>
    </w:p>
    <w:p w14:paraId="0248C9EF" w14:textId="77777777" w:rsidR="00D0082B" w:rsidRPr="00824ACA" w:rsidRDefault="00D0082B"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215447AC" w14:textId="3C42832A" w:rsidR="00824ACA" w:rsidRPr="00824ACA" w:rsidRDefault="00824ACA" w:rsidP="00D0082B">
      <w:pPr>
        <w:tabs>
          <w:tab w:val="left" w:pos="426"/>
        </w:tabs>
        <w:spacing w:after="0" w:line="240" w:lineRule="auto"/>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lastRenderedPageBreak/>
        <w:t xml:space="preserve">Dari </w:t>
      </w:r>
      <w:proofErr w:type="spellStart"/>
      <w:r w:rsidRPr="00824ACA">
        <w:rPr>
          <w:rFonts w:ascii="Tw Cen MT" w:eastAsia="Twentieth Century" w:hAnsi="Tw Cen MT" w:cs="Twentieth Century"/>
          <w:bCs/>
          <w:sz w:val="24"/>
          <w:szCs w:val="24"/>
        </w:rPr>
        <w:t>tabel</w:t>
      </w:r>
      <w:proofErr w:type="spellEnd"/>
      <w:r w:rsidRPr="00824ACA">
        <w:rPr>
          <w:rFonts w:ascii="Tw Cen MT" w:eastAsia="Twentieth Century" w:hAnsi="Tw Cen MT" w:cs="Twentieth Century"/>
          <w:bCs/>
          <w:sz w:val="24"/>
          <w:szCs w:val="24"/>
        </w:rPr>
        <w:t xml:space="preserve"> 2 </w:t>
      </w:r>
      <w:proofErr w:type="spellStart"/>
      <w:r w:rsidRPr="00824ACA">
        <w:rPr>
          <w:rFonts w:ascii="Tw Cen MT" w:eastAsia="Twentieth Century" w:hAnsi="Tw Cen MT" w:cs="Twentieth Century"/>
          <w:bCs/>
          <w:sz w:val="24"/>
          <w:szCs w:val="24"/>
        </w:rPr>
        <w:t>didapatkan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5,47 dan </w:t>
      </w:r>
      <w:proofErr w:type="spellStart"/>
      <w:r w:rsidRPr="00824ACA">
        <w:rPr>
          <w:rFonts w:ascii="Tw Cen MT" w:eastAsia="Twentieth Century" w:hAnsi="Tw Cen MT" w:cs="Twentieth Century"/>
          <w:bCs/>
          <w:sz w:val="24"/>
          <w:szCs w:val="24"/>
        </w:rPr>
        <w:t>sesudahnya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8,47. </w:t>
      </w:r>
      <w:proofErr w:type="spellStart"/>
      <w:r w:rsidRPr="00824ACA">
        <w:rPr>
          <w:rFonts w:ascii="Tw Cen MT" w:eastAsia="Twentieth Century" w:hAnsi="Tw Cen MT" w:cs="Twentieth Century"/>
          <w:bCs/>
          <w:sz w:val="24"/>
          <w:szCs w:val="24"/>
        </w:rPr>
        <w:t>Terlihat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3,00. Dari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uji </w:t>
      </w:r>
      <w:proofErr w:type="spellStart"/>
      <w:r w:rsidRPr="00824ACA">
        <w:rPr>
          <w:rFonts w:ascii="Tw Cen MT" w:eastAsia="Twentieth Century" w:hAnsi="Tw Cen MT" w:cs="Twentieth Century"/>
          <w:bCs/>
          <w:sz w:val="24"/>
          <w:szCs w:val="24"/>
        </w:rPr>
        <w:t>statistik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uji T </w:t>
      </w:r>
      <w:proofErr w:type="spellStart"/>
      <w:r w:rsidRPr="00824ACA">
        <w:rPr>
          <w:rFonts w:ascii="Tw Cen MT" w:eastAsia="Twentieth Century" w:hAnsi="Tw Cen MT" w:cs="Twentieth Century"/>
          <w:bCs/>
          <w:sz w:val="24"/>
          <w:szCs w:val="24"/>
        </w:rPr>
        <w:t>berpasangan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p=0,000 (&lt;0,05)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confidence interval 95%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disimpulkan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Ho </w:t>
      </w:r>
      <w:proofErr w:type="spellStart"/>
      <w:r w:rsidRPr="00824ACA">
        <w:rPr>
          <w:rFonts w:ascii="Tw Cen MT" w:eastAsia="Twentieth Century" w:hAnsi="Tw Cen MT" w:cs="Twentieth Century"/>
          <w:bCs/>
          <w:sz w:val="24"/>
          <w:szCs w:val="24"/>
        </w:rPr>
        <w:t>ditolak</w:t>
      </w:r>
      <w:proofErr w:type="spellEnd"/>
      <w:r w:rsidRPr="00824ACA">
        <w:rPr>
          <w:rFonts w:ascii="Tw Cen MT" w:eastAsia="Twentieth Century" w:hAnsi="Tw Cen MT" w:cs="Twentieth Century"/>
          <w:bCs/>
          <w:sz w:val="24"/>
          <w:szCs w:val="24"/>
        </w:rPr>
        <w:t xml:space="preserve"> dan Ha </w:t>
      </w:r>
      <w:proofErr w:type="spellStart"/>
      <w:r w:rsidRPr="00824ACA">
        <w:rPr>
          <w:rFonts w:ascii="Tw Cen MT" w:eastAsia="Twentieth Century" w:hAnsi="Tw Cen MT" w:cs="Twentieth Century"/>
          <w:bCs/>
          <w:sz w:val="24"/>
          <w:szCs w:val="24"/>
        </w:rPr>
        <w:t>diterima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berarti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pengaruh</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bermakna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00D0082B">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terhadap</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deteksi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risiko</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kehamilan</w:t>
      </w:r>
      <w:proofErr w:type="spellEnd"/>
      <w:r w:rsidRPr="00824ACA">
        <w:rPr>
          <w:rFonts w:ascii="Tw Cen MT" w:eastAsia="Twentieth Century" w:hAnsi="Tw Cen MT" w:cs="Twentieth Century"/>
          <w:bCs/>
          <w:sz w:val="24"/>
          <w:szCs w:val="24"/>
        </w:rPr>
        <w:t xml:space="preserve"> di Wilayah </w:t>
      </w:r>
      <w:proofErr w:type="spellStart"/>
      <w:r w:rsidRPr="00824ACA">
        <w:rPr>
          <w:rFonts w:ascii="Tw Cen MT" w:eastAsia="Twentieth Century" w:hAnsi="Tw Cen MT" w:cs="Twentieth Century"/>
          <w:bCs/>
          <w:sz w:val="24"/>
          <w:szCs w:val="24"/>
        </w:rPr>
        <w:t>kerja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Buaran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Tahun</w:t>
      </w:r>
      <w:proofErr w:type="spellEnd"/>
      <w:r w:rsidRPr="00824ACA">
        <w:rPr>
          <w:rFonts w:ascii="Tw Cen MT" w:eastAsia="Twentieth Century" w:hAnsi="Tw Cen MT" w:cs="Twentieth Century"/>
          <w:bCs/>
          <w:sz w:val="24"/>
          <w:szCs w:val="24"/>
        </w:rPr>
        <w:t xml:space="preserve"> 2023. </w:t>
      </w:r>
    </w:p>
    <w:p w14:paraId="394E53CC" w14:textId="5C335786" w:rsidR="00824ACA" w:rsidRPr="00824ACA" w:rsidRDefault="00824ACA" w:rsidP="00D0082B">
      <w:pPr>
        <w:tabs>
          <w:tab w:val="left" w:pos="426"/>
        </w:tabs>
        <w:spacing w:after="0" w:line="240" w:lineRule="auto"/>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Hasil uji </w:t>
      </w:r>
      <w:proofErr w:type="spellStart"/>
      <w:r w:rsidRPr="00824ACA">
        <w:rPr>
          <w:rFonts w:ascii="Tw Cen MT" w:eastAsia="Twentieth Century" w:hAnsi="Tw Cen MT" w:cs="Twentieth Century"/>
          <w:bCs/>
          <w:sz w:val="24"/>
          <w:szCs w:val="24"/>
        </w:rPr>
        <w:t>korelasi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antara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dua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variabel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0.475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sig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0.000. Hal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korelasi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sesudah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proofErr w:type="gram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kuat</w:t>
      </w:r>
      <w:proofErr w:type="spellEnd"/>
      <w:proofErr w:type="gram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w:t>
      </w:r>
    </w:p>
    <w:p w14:paraId="0CF18970"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29323660" w14:textId="77777777" w:rsidR="00824ACA" w:rsidRDefault="00824ACA"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D0082B">
        <w:rPr>
          <w:rFonts w:ascii="Tw Cen MT" w:eastAsia="Twentieth Century" w:hAnsi="Tw Cen MT" w:cs="Twentieth Century"/>
          <w:bCs/>
          <w:sz w:val="20"/>
          <w:szCs w:val="20"/>
        </w:rPr>
        <w:t>Tabel</w:t>
      </w:r>
      <w:proofErr w:type="spellEnd"/>
      <w:r w:rsidRPr="00D0082B">
        <w:rPr>
          <w:rFonts w:ascii="Tw Cen MT" w:eastAsia="Twentieth Century" w:hAnsi="Tw Cen MT" w:cs="Twentieth Century"/>
          <w:bCs/>
          <w:sz w:val="20"/>
          <w:szCs w:val="20"/>
        </w:rPr>
        <w:t xml:space="preserve"> 3. Hasil </w:t>
      </w:r>
      <w:proofErr w:type="spellStart"/>
      <w:r w:rsidRPr="00D0082B">
        <w:rPr>
          <w:rFonts w:ascii="Tw Cen MT" w:eastAsia="Twentieth Century" w:hAnsi="Tw Cen MT" w:cs="Twentieth Century"/>
          <w:bCs/>
          <w:sz w:val="20"/>
          <w:szCs w:val="20"/>
        </w:rPr>
        <w:t>analisa</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pengaruh</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pemberian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penyuluhan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dengan</w:t>
      </w:r>
      <w:proofErr w:type="spellEnd"/>
      <w:r w:rsidRPr="00D0082B">
        <w:rPr>
          <w:rFonts w:ascii="Tw Cen MT" w:eastAsia="Twentieth Century" w:hAnsi="Tw Cen MT" w:cs="Twentieth Century"/>
          <w:bCs/>
          <w:sz w:val="20"/>
          <w:szCs w:val="20"/>
        </w:rPr>
        <w:t xml:space="preserve"> media </w:t>
      </w:r>
      <w:proofErr w:type="spellStart"/>
      <w:r w:rsidRPr="00D0082B">
        <w:rPr>
          <w:rFonts w:ascii="Tw Cen MT" w:eastAsia="Twentieth Century" w:hAnsi="Tw Cen MT" w:cs="Twentieth Century"/>
          <w:bCs/>
          <w:sz w:val="20"/>
          <w:szCs w:val="20"/>
        </w:rPr>
        <w:t>edukatif</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i/>
          <w:iCs/>
          <w:sz w:val="20"/>
          <w:szCs w:val="20"/>
        </w:rPr>
        <w:t>powtoon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terhadap</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pengetahuan</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ibu</w:t>
      </w:r>
      <w:proofErr w:type="spellEnd"/>
      <w:r w:rsidRPr="00D0082B">
        <w:rPr>
          <w:rFonts w:ascii="Tw Cen MT" w:eastAsia="Twentieth Century" w:hAnsi="Tw Cen MT" w:cs="Twentieth Century"/>
          <w:bCs/>
          <w:sz w:val="20"/>
          <w:szCs w:val="20"/>
        </w:rPr>
        <w:t xml:space="preserve"> </w:t>
      </w:r>
      <w:proofErr w:type="spellStart"/>
      <w:r w:rsidRPr="00D0082B">
        <w:rPr>
          <w:rFonts w:ascii="Tw Cen MT" w:eastAsia="Twentieth Century" w:hAnsi="Tw Cen MT" w:cs="Twentieth Century"/>
          <w:bCs/>
          <w:sz w:val="20"/>
          <w:szCs w:val="20"/>
        </w:rPr>
        <w:t>hamil</w:t>
      </w:r>
      <w:proofErr w:type="spellEnd"/>
    </w:p>
    <w:p w14:paraId="76133D44" w14:textId="77777777" w:rsidR="00D0082B" w:rsidRDefault="00D0082B"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
    <w:tbl>
      <w:tblPr>
        <w:tblpPr w:leftFromText="180" w:rightFromText="180" w:vertAnchor="text" w:horzAnchor="page" w:tblpX="1646" w:tblpY="-61"/>
        <w:tblW w:w="3969"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09"/>
        <w:gridCol w:w="851"/>
        <w:gridCol w:w="709"/>
        <w:gridCol w:w="708"/>
      </w:tblGrid>
      <w:tr w:rsidR="00D0082B" w:rsidRPr="00824ACA" w14:paraId="29675937" w14:textId="77777777" w:rsidTr="00D0082B">
        <w:trPr>
          <w:trHeight w:val="530"/>
        </w:trPr>
        <w:tc>
          <w:tcPr>
            <w:tcW w:w="992" w:type="dxa"/>
            <w:tcBorders>
              <w:right w:val="nil"/>
            </w:tcBorders>
          </w:tcPr>
          <w:p w14:paraId="38E871B4" w14:textId="77777777" w:rsidR="00D0082B" w:rsidRPr="00824ACA" w:rsidRDefault="00D0082B" w:rsidP="00D0082B">
            <w:pPr>
              <w:spacing w:after="0" w:line="240" w:lineRule="auto"/>
              <w:rPr>
                <w:rFonts w:ascii="Tw Cen MT" w:hAnsi="Tw Cen MT" w:cs="Times New Roman"/>
                <w:sz w:val="20"/>
                <w:szCs w:val="20"/>
              </w:rPr>
            </w:pPr>
            <w:proofErr w:type="spellStart"/>
            <w:r w:rsidRPr="00824ACA">
              <w:rPr>
                <w:rFonts w:ascii="Tw Cen MT" w:hAnsi="Tw Cen MT" w:cs="Times New Roman"/>
                <w:sz w:val="20"/>
                <w:szCs w:val="20"/>
              </w:rPr>
              <w:t>Tahu</w:t>
            </w:r>
            <w:proofErr w:type="spellEnd"/>
          </w:p>
        </w:tc>
        <w:tc>
          <w:tcPr>
            <w:tcW w:w="709" w:type="dxa"/>
            <w:tcBorders>
              <w:left w:val="nil"/>
              <w:bottom w:val="single" w:sz="4" w:space="0" w:color="000000"/>
              <w:right w:val="nil"/>
            </w:tcBorders>
          </w:tcPr>
          <w:p w14:paraId="485EE087"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Mean</w:t>
            </w:r>
          </w:p>
        </w:tc>
        <w:tc>
          <w:tcPr>
            <w:tcW w:w="851" w:type="dxa"/>
            <w:tcBorders>
              <w:left w:val="nil"/>
              <w:bottom w:val="single" w:sz="4" w:space="0" w:color="000000"/>
              <w:right w:val="nil"/>
            </w:tcBorders>
          </w:tcPr>
          <w:p w14:paraId="7AD88896"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Beda Mean</w:t>
            </w:r>
          </w:p>
        </w:tc>
        <w:tc>
          <w:tcPr>
            <w:tcW w:w="709" w:type="dxa"/>
            <w:tcBorders>
              <w:left w:val="nil"/>
              <w:bottom w:val="single" w:sz="4" w:space="0" w:color="000000"/>
              <w:right w:val="nil"/>
            </w:tcBorders>
          </w:tcPr>
          <w:p w14:paraId="5FFCD1C2" w14:textId="77777777" w:rsidR="00D0082B" w:rsidRPr="00824ACA" w:rsidRDefault="00D0082B" w:rsidP="00D0082B">
            <w:pPr>
              <w:spacing w:after="0" w:line="240" w:lineRule="auto"/>
              <w:jc w:val="center"/>
              <w:rPr>
                <w:rFonts w:ascii="Tw Cen MT" w:hAnsi="Tw Cen MT" w:cs="Times New Roman"/>
                <w:sz w:val="20"/>
                <w:szCs w:val="20"/>
              </w:rPr>
            </w:pPr>
            <w:proofErr w:type="spellStart"/>
            <w:r w:rsidRPr="00824ACA">
              <w:rPr>
                <w:rFonts w:ascii="Tw Cen MT" w:hAnsi="Tw Cen MT" w:cs="Times New Roman"/>
                <w:sz w:val="20"/>
                <w:szCs w:val="20"/>
              </w:rPr>
              <w:t>nilai</w:t>
            </w:r>
            <w:proofErr w:type="spellEnd"/>
            <w:r w:rsidRPr="00824ACA">
              <w:rPr>
                <w:rFonts w:ascii="Tw Cen MT" w:hAnsi="Tw Cen MT" w:cs="Times New Roman"/>
                <w:sz w:val="20"/>
                <w:szCs w:val="20"/>
              </w:rPr>
              <w:t xml:space="preserve"> p</w:t>
            </w:r>
          </w:p>
        </w:tc>
        <w:tc>
          <w:tcPr>
            <w:tcW w:w="708" w:type="dxa"/>
            <w:tcBorders>
              <w:left w:val="nil"/>
              <w:bottom w:val="single" w:sz="4" w:space="0" w:color="000000"/>
              <w:right w:val="nil"/>
            </w:tcBorders>
          </w:tcPr>
          <w:p w14:paraId="0107F5A5"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r</w:t>
            </w:r>
          </w:p>
        </w:tc>
      </w:tr>
      <w:tr w:rsidR="00D0082B" w:rsidRPr="00824ACA" w14:paraId="0D61A03B" w14:textId="77777777" w:rsidTr="00D0082B">
        <w:tc>
          <w:tcPr>
            <w:tcW w:w="992" w:type="dxa"/>
            <w:tcBorders>
              <w:right w:val="nil"/>
            </w:tcBorders>
          </w:tcPr>
          <w:p w14:paraId="7CD65524" w14:textId="77777777" w:rsidR="00D0082B" w:rsidRPr="00824ACA" w:rsidRDefault="00D0082B" w:rsidP="00D0082B">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Sebelum</w:t>
            </w:r>
            <w:proofErr w:type="spellEnd"/>
            <w:r w:rsidRPr="00824ACA">
              <w:rPr>
                <w:rFonts w:ascii="Tw Cen MT" w:hAnsi="Tw Cen MT" w:cs="Times New Roman"/>
                <w:sz w:val="20"/>
                <w:szCs w:val="20"/>
              </w:rPr>
              <w:t xml:space="preserve"> </w:t>
            </w:r>
          </w:p>
        </w:tc>
        <w:tc>
          <w:tcPr>
            <w:tcW w:w="709" w:type="dxa"/>
            <w:tcBorders>
              <w:left w:val="nil"/>
              <w:bottom w:val="single" w:sz="4" w:space="0" w:color="000000"/>
              <w:right w:val="nil"/>
            </w:tcBorders>
          </w:tcPr>
          <w:p w14:paraId="458D3A54"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4,70</w:t>
            </w:r>
          </w:p>
        </w:tc>
        <w:tc>
          <w:tcPr>
            <w:tcW w:w="851" w:type="dxa"/>
            <w:vMerge w:val="restart"/>
            <w:tcBorders>
              <w:left w:val="nil"/>
              <w:right w:val="nil"/>
            </w:tcBorders>
            <w:vAlign w:val="center"/>
          </w:tcPr>
          <w:p w14:paraId="56038E7E"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4,33</w:t>
            </w:r>
          </w:p>
        </w:tc>
        <w:tc>
          <w:tcPr>
            <w:tcW w:w="709" w:type="dxa"/>
            <w:vMerge w:val="restart"/>
            <w:tcBorders>
              <w:top w:val="single" w:sz="4" w:space="0" w:color="000000"/>
              <w:left w:val="nil"/>
              <w:bottom w:val="nil"/>
              <w:right w:val="nil"/>
            </w:tcBorders>
            <w:vAlign w:val="center"/>
          </w:tcPr>
          <w:p w14:paraId="617E59C7"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0,000</w:t>
            </w:r>
          </w:p>
        </w:tc>
        <w:tc>
          <w:tcPr>
            <w:tcW w:w="708" w:type="dxa"/>
            <w:vMerge w:val="restart"/>
            <w:tcBorders>
              <w:top w:val="single" w:sz="4" w:space="0" w:color="000000"/>
              <w:left w:val="nil"/>
              <w:bottom w:val="nil"/>
              <w:right w:val="nil"/>
            </w:tcBorders>
            <w:vAlign w:val="center"/>
          </w:tcPr>
          <w:p w14:paraId="4747179C"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0,277</w:t>
            </w:r>
          </w:p>
        </w:tc>
      </w:tr>
      <w:tr w:rsidR="00D0082B" w:rsidRPr="00824ACA" w14:paraId="157B6821" w14:textId="77777777" w:rsidTr="00D0082B">
        <w:tc>
          <w:tcPr>
            <w:tcW w:w="992" w:type="dxa"/>
            <w:tcBorders>
              <w:right w:val="nil"/>
            </w:tcBorders>
          </w:tcPr>
          <w:p w14:paraId="754CA1C4" w14:textId="77777777" w:rsidR="00D0082B" w:rsidRPr="00824ACA" w:rsidRDefault="00D0082B" w:rsidP="00D0082B">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Sesudah</w:t>
            </w:r>
            <w:proofErr w:type="spellEnd"/>
            <w:r w:rsidRPr="00824ACA">
              <w:rPr>
                <w:rFonts w:ascii="Tw Cen MT" w:hAnsi="Tw Cen MT" w:cs="Times New Roman"/>
                <w:sz w:val="20"/>
                <w:szCs w:val="20"/>
              </w:rPr>
              <w:t xml:space="preserve"> </w:t>
            </w:r>
          </w:p>
        </w:tc>
        <w:tc>
          <w:tcPr>
            <w:tcW w:w="709" w:type="dxa"/>
            <w:tcBorders>
              <w:top w:val="single" w:sz="4" w:space="0" w:color="000000"/>
              <w:left w:val="nil"/>
              <w:right w:val="nil"/>
            </w:tcBorders>
          </w:tcPr>
          <w:p w14:paraId="17E6CE19" w14:textId="77777777" w:rsidR="00D0082B" w:rsidRPr="00824ACA" w:rsidRDefault="00D0082B" w:rsidP="00D0082B">
            <w:pPr>
              <w:spacing w:after="0" w:line="240" w:lineRule="auto"/>
              <w:jc w:val="center"/>
              <w:rPr>
                <w:rFonts w:ascii="Tw Cen MT" w:hAnsi="Tw Cen MT" w:cs="Times New Roman"/>
                <w:sz w:val="20"/>
                <w:szCs w:val="20"/>
              </w:rPr>
            </w:pPr>
            <w:r w:rsidRPr="00824ACA">
              <w:rPr>
                <w:rFonts w:ascii="Tw Cen MT" w:hAnsi="Tw Cen MT" w:cs="Times New Roman"/>
                <w:sz w:val="20"/>
                <w:szCs w:val="20"/>
              </w:rPr>
              <w:t>9,03</w:t>
            </w:r>
          </w:p>
        </w:tc>
        <w:tc>
          <w:tcPr>
            <w:tcW w:w="851" w:type="dxa"/>
            <w:vMerge/>
            <w:tcBorders>
              <w:left w:val="nil"/>
              <w:right w:val="nil"/>
            </w:tcBorders>
          </w:tcPr>
          <w:p w14:paraId="0C7D4C28" w14:textId="77777777" w:rsidR="00D0082B" w:rsidRPr="00824ACA" w:rsidRDefault="00D0082B" w:rsidP="00D0082B">
            <w:pPr>
              <w:spacing w:after="0" w:line="240" w:lineRule="auto"/>
              <w:jc w:val="center"/>
              <w:rPr>
                <w:rFonts w:ascii="Tw Cen MT" w:hAnsi="Tw Cen MT" w:cs="Times New Roman"/>
                <w:sz w:val="20"/>
                <w:szCs w:val="20"/>
              </w:rPr>
            </w:pPr>
          </w:p>
        </w:tc>
        <w:tc>
          <w:tcPr>
            <w:tcW w:w="709" w:type="dxa"/>
            <w:vMerge/>
            <w:tcBorders>
              <w:top w:val="nil"/>
              <w:left w:val="nil"/>
              <w:right w:val="nil"/>
            </w:tcBorders>
          </w:tcPr>
          <w:p w14:paraId="3DDF616A" w14:textId="77777777" w:rsidR="00D0082B" w:rsidRPr="00824ACA" w:rsidRDefault="00D0082B" w:rsidP="00D0082B">
            <w:pPr>
              <w:spacing w:after="0" w:line="240" w:lineRule="auto"/>
              <w:jc w:val="center"/>
              <w:rPr>
                <w:rFonts w:ascii="Tw Cen MT" w:hAnsi="Tw Cen MT" w:cs="Times New Roman"/>
                <w:sz w:val="20"/>
                <w:szCs w:val="20"/>
              </w:rPr>
            </w:pPr>
          </w:p>
        </w:tc>
        <w:tc>
          <w:tcPr>
            <w:tcW w:w="708" w:type="dxa"/>
            <w:vMerge/>
            <w:tcBorders>
              <w:top w:val="nil"/>
              <w:left w:val="nil"/>
              <w:right w:val="nil"/>
            </w:tcBorders>
          </w:tcPr>
          <w:p w14:paraId="3DA8F2E7" w14:textId="77777777" w:rsidR="00D0082B" w:rsidRPr="00824ACA" w:rsidRDefault="00D0082B" w:rsidP="00D0082B">
            <w:pPr>
              <w:spacing w:after="0" w:line="240" w:lineRule="auto"/>
              <w:jc w:val="center"/>
              <w:rPr>
                <w:rFonts w:ascii="Tw Cen MT" w:hAnsi="Tw Cen MT" w:cs="Times New Roman"/>
                <w:sz w:val="20"/>
                <w:szCs w:val="20"/>
              </w:rPr>
            </w:pPr>
          </w:p>
        </w:tc>
      </w:tr>
    </w:tbl>
    <w:p w14:paraId="044303C0"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Dari </w:t>
      </w:r>
      <w:proofErr w:type="spellStart"/>
      <w:r w:rsidRPr="00824ACA">
        <w:rPr>
          <w:rFonts w:ascii="Tw Cen MT" w:eastAsia="Twentieth Century" w:hAnsi="Tw Cen MT" w:cs="Twentieth Century"/>
          <w:bCs/>
          <w:sz w:val="24"/>
          <w:szCs w:val="24"/>
        </w:rPr>
        <w:t>tabel</w:t>
      </w:r>
      <w:proofErr w:type="spellEnd"/>
      <w:r w:rsidRPr="00824ACA">
        <w:rPr>
          <w:rFonts w:ascii="Tw Cen MT" w:eastAsia="Twentieth Century" w:hAnsi="Tw Cen MT" w:cs="Twentieth Century"/>
          <w:bCs/>
          <w:sz w:val="24"/>
          <w:szCs w:val="24"/>
        </w:rPr>
        <w:t xml:space="preserve"> 3 </w:t>
      </w:r>
      <w:proofErr w:type="spellStart"/>
      <w:r w:rsidRPr="00824ACA">
        <w:rPr>
          <w:rFonts w:ascii="Tw Cen MT" w:eastAsia="Twentieth Century" w:hAnsi="Tw Cen MT" w:cs="Twentieth Century"/>
          <w:bCs/>
          <w:sz w:val="24"/>
          <w:szCs w:val="24"/>
        </w:rPr>
        <w:t>didapatkan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edukatif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4,70 dan </w:t>
      </w:r>
      <w:proofErr w:type="spellStart"/>
      <w:r w:rsidRPr="00824ACA">
        <w:rPr>
          <w:rFonts w:ascii="Tw Cen MT" w:eastAsia="Twentieth Century" w:hAnsi="Tw Cen MT" w:cs="Twentieth Century"/>
          <w:bCs/>
          <w:sz w:val="24"/>
          <w:szCs w:val="24"/>
        </w:rPr>
        <w:t>sesudahnya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9,03. </w:t>
      </w:r>
      <w:proofErr w:type="spellStart"/>
      <w:r w:rsidRPr="00824ACA">
        <w:rPr>
          <w:rFonts w:ascii="Tw Cen MT" w:eastAsia="Twentieth Century" w:hAnsi="Tw Cen MT" w:cs="Twentieth Century"/>
          <w:bCs/>
          <w:sz w:val="24"/>
          <w:szCs w:val="24"/>
        </w:rPr>
        <w:t>Terlihat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4,33. Dari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uji </w:t>
      </w:r>
      <w:proofErr w:type="spellStart"/>
      <w:r w:rsidRPr="00824ACA">
        <w:rPr>
          <w:rFonts w:ascii="Tw Cen MT" w:eastAsia="Twentieth Century" w:hAnsi="Tw Cen MT" w:cs="Twentieth Century"/>
          <w:bCs/>
          <w:sz w:val="24"/>
          <w:szCs w:val="24"/>
        </w:rPr>
        <w:t>statistik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uji T </w:t>
      </w:r>
      <w:proofErr w:type="spellStart"/>
      <w:r w:rsidRPr="00824ACA">
        <w:rPr>
          <w:rFonts w:ascii="Tw Cen MT" w:eastAsia="Twentieth Century" w:hAnsi="Tw Cen MT" w:cs="Twentieth Century"/>
          <w:bCs/>
          <w:sz w:val="24"/>
          <w:szCs w:val="24"/>
        </w:rPr>
        <w:t>berpasangan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p=0,000 (&lt;0,05)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confidence interval 95%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disimpulkan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Ho </w:t>
      </w:r>
      <w:proofErr w:type="spellStart"/>
      <w:r w:rsidRPr="00824ACA">
        <w:rPr>
          <w:rFonts w:ascii="Tw Cen MT" w:eastAsia="Twentieth Century" w:hAnsi="Tw Cen MT" w:cs="Twentieth Century"/>
          <w:bCs/>
          <w:sz w:val="24"/>
          <w:szCs w:val="24"/>
        </w:rPr>
        <w:t>ditolak</w:t>
      </w:r>
      <w:proofErr w:type="spellEnd"/>
      <w:r w:rsidRPr="00824ACA">
        <w:rPr>
          <w:rFonts w:ascii="Tw Cen MT" w:eastAsia="Twentieth Century" w:hAnsi="Tw Cen MT" w:cs="Twentieth Century"/>
          <w:bCs/>
          <w:sz w:val="24"/>
          <w:szCs w:val="24"/>
        </w:rPr>
        <w:t xml:space="preserve"> dan Ha </w:t>
      </w:r>
      <w:proofErr w:type="spellStart"/>
      <w:r w:rsidRPr="00824ACA">
        <w:rPr>
          <w:rFonts w:ascii="Tw Cen MT" w:eastAsia="Twentieth Century" w:hAnsi="Tw Cen MT" w:cs="Twentieth Century"/>
          <w:bCs/>
          <w:sz w:val="24"/>
          <w:szCs w:val="24"/>
        </w:rPr>
        <w:t>diterima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berarti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pengaruh</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bermakna</w:t>
      </w:r>
      <w:proofErr w:type="spellEnd"/>
      <w:r w:rsidRPr="00824ACA">
        <w:rPr>
          <w:rFonts w:ascii="Tw Cen MT" w:eastAsia="Twentieth Century" w:hAnsi="Tw Cen MT" w:cs="Twentieth Century"/>
          <w:bCs/>
          <w:sz w:val="24"/>
          <w:szCs w:val="24"/>
        </w:rPr>
        <w:t xml:space="preserve"> </w:t>
      </w:r>
      <w:proofErr w:type="spellStart"/>
      <w:proofErr w:type="gram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proofErr w:type="gram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terhadap</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deteksi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risiko</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kehamilan</w:t>
      </w:r>
      <w:proofErr w:type="spellEnd"/>
      <w:r w:rsidRPr="00824ACA">
        <w:rPr>
          <w:rFonts w:ascii="Tw Cen MT" w:eastAsia="Twentieth Century" w:hAnsi="Tw Cen MT" w:cs="Twentieth Century"/>
          <w:bCs/>
          <w:sz w:val="24"/>
          <w:szCs w:val="24"/>
        </w:rPr>
        <w:t xml:space="preserve"> di Wilayah </w:t>
      </w:r>
      <w:proofErr w:type="spellStart"/>
      <w:r w:rsidRPr="00824ACA">
        <w:rPr>
          <w:rFonts w:ascii="Tw Cen MT" w:eastAsia="Twentieth Century" w:hAnsi="Tw Cen MT" w:cs="Twentieth Century"/>
          <w:bCs/>
          <w:sz w:val="24"/>
          <w:szCs w:val="24"/>
        </w:rPr>
        <w:t>kerja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Buaran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Tahun</w:t>
      </w:r>
      <w:proofErr w:type="spellEnd"/>
      <w:r w:rsidRPr="00824ACA">
        <w:rPr>
          <w:rFonts w:ascii="Tw Cen MT" w:eastAsia="Twentieth Century" w:hAnsi="Tw Cen MT" w:cs="Twentieth Century"/>
          <w:bCs/>
          <w:sz w:val="24"/>
          <w:szCs w:val="24"/>
        </w:rPr>
        <w:t xml:space="preserve"> 2023. </w:t>
      </w:r>
    </w:p>
    <w:p w14:paraId="19F387B0" w14:textId="77777777" w:rsid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Hasil uji </w:t>
      </w:r>
      <w:proofErr w:type="spellStart"/>
      <w:r w:rsidRPr="00824ACA">
        <w:rPr>
          <w:rFonts w:ascii="Tw Cen MT" w:eastAsia="Twentieth Century" w:hAnsi="Tw Cen MT" w:cs="Twentieth Century"/>
          <w:bCs/>
          <w:sz w:val="24"/>
          <w:szCs w:val="24"/>
        </w:rPr>
        <w:t>korelasi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antara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dua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variabel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0.277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sig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0.000. Hal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korelasi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rata-rata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sesudah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edukatif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sedang</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signifikans</w:t>
      </w:r>
      <w:proofErr w:type="spellEnd"/>
      <w:r w:rsidRPr="00824ACA">
        <w:rPr>
          <w:rFonts w:ascii="Tw Cen MT" w:eastAsia="Twentieth Century" w:hAnsi="Tw Cen MT" w:cs="Twentieth Century"/>
          <w:bCs/>
          <w:sz w:val="24"/>
          <w:szCs w:val="24"/>
        </w:rPr>
        <w:t>.</w:t>
      </w:r>
    </w:p>
    <w:p w14:paraId="02529D40" w14:textId="77777777" w:rsidR="00816B99" w:rsidRPr="00824ACA" w:rsidRDefault="00816B99"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2EA9217D" w14:textId="3667578D" w:rsidR="00824ACA" w:rsidRPr="00816B99" w:rsidRDefault="00824ACA" w:rsidP="00816B99">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816B99">
        <w:rPr>
          <w:rFonts w:ascii="Tw Cen MT" w:eastAsia="Twentieth Century" w:hAnsi="Tw Cen MT" w:cs="Twentieth Century"/>
          <w:bCs/>
          <w:sz w:val="20"/>
          <w:szCs w:val="20"/>
        </w:rPr>
        <w:t>Tabel</w:t>
      </w:r>
      <w:proofErr w:type="spellEnd"/>
      <w:r w:rsidRPr="00816B99">
        <w:rPr>
          <w:rFonts w:ascii="Tw Cen MT" w:eastAsia="Twentieth Century" w:hAnsi="Tw Cen MT" w:cs="Twentieth Century"/>
          <w:bCs/>
          <w:sz w:val="20"/>
          <w:szCs w:val="20"/>
        </w:rPr>
        <w:t xml:space="preserve"> 4. Hasil </w:t>
      </w:r>
      <w:proofErr w:type="spellStart"/>
      <w:r w:rsidRPr="00816B99">
        <w:rPr>
          <w:rFonts w:ascii="Tw Cen MT" w:eastAsia="Twentieth Century" w:hAnsi="Tw Cen MT" w:cs="Twentieth Century"/>
          <w:bCs/>
          <w:sz w:val="20"/>
          <w:szCs w:val="20"/>
        </w:rPr>
        <w:t>analisa</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pengaruh</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pemberian</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penyuluhan</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dengan</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ceramah</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tanya</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jawab</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terhadap</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pengetahuan</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ibu</w:t>
      </w:r>
      <w:proofErr w:type="spellEnd"/>
      <w:r w:rsidRPr="00816B99">
        <w:rPr>
          <w:rFonts w:ascii="Tw Cen MT" w:eastAsia="Twentieth Century" w:hAnsi="Tw Cen MT" w:cs="Twentieth Century"/>
          <w:bCs/>
          <w:sz w:val="20"/>
          <w:szCs w:val="20"/>
        </w:rPr>
        <w:t xml:space="preserve"> </w:t>
      </w:r>
      <w:proofErr w:type="spellStart"/>
      <w:r w:rsidRPr="00816B99">
        <w:rPr>
          <w:rFonts w:ascii="Tw Cen MT" w:eastAsia="Twentieth Century" w:hAnsi="Tw Cen MT" w:cs="Twentieth Century"/>
          <w:bCs/>
          <w:sz w:val="20"/>
          <w:szCs w:val="20"/>
        </w:rPr>
        <w:t>hamil</w:t>
      </w:r>
      <w:proofErr w:type="spellEnd"/>
    </w:p>
    <w:tbl>
      <w:tblPr>
        <w:tblpPr w:leftFromText="180" w:rightFromText="180" w:vertAnchor="text" w:horzAnchor="page" w:tblpX="6810" w:tblpY="77"/>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52"/>
        <w:gridCol w:w="820"/>
        <w:gridCol w:w="751"/>
        <w:gridCol w:w="702"/>
      </w:tblGrid>
      <w:tr w:rsidR="00816B99" w:rsidRPr="00824ACA" w14:paraId="4576313C" w14:textId="77777777" w:rsidTr="00816B99">
        <w:trPr>
          <w:trHeight w:val="530"/>
        </w:trPr>
        <w:tc>
          <w:tcPr>
            <w:tcW w:w="1252" w:type="dxa"/>
            <w:tcBorders>
              <w:bottom w:val="single" w:sz="4" w:space="0" w:color="000000"/>
              <w:right w:val="nil"/>
            </w:tcBorders>
          </w:tcPr>
          <w:p w14:paraId="21011FA9" w14:textId="77777777" w:rsidR="00816B99" w:rsidRPr="00824ACA" w:rsidRDefault="00816B99" w:rsidP="00816B99">
            <w:pPr>
              <w:spacing w:after="0" w:line="240" w:lineRule="auto"/>
              <w:jc w:val="center"/>
              <w:rPr>
                <w:rFonts w:ascii="Tw Cen MT" w:hAnsi="Tw Cen MT" w:cs="Times New Roman"/>
                <w:sz w:val="20"/>
                <w:szCs w:val="20"/>
              </w:rPr>
            </w:pPr>
            <w:proofErr w:type="spellStart"/>
            <w:r w:rsidRPr="00824ACA">
              <w:rPr>
                <w:rFonts w:ascii="Tw Cen MT" w:hAnsi="Tw Cen MT" w:cs="Times New Roman"/>
                <w:sz w:val="20"/>
                <w:szCs w:val="20"/>
              </w:rPr>
              <w:t>Peningkatan</w:t>
            </w:r>
            <w:proofErr w:type="spellEnd"/>
            <w:r w:rsidRPr="00824ACA">
              <w:rPr>
                <w:rFonts w:ascii="Tw Cen MT" w:hAnsi="Tw Cen MT" w:cs="Times New Roman"/>
                <w:sz w:val="20"/>
                <w:szCs w:val="20"/>
              </w:rPr>
              <w:t xml:space="preserve"> </w:t>
            </w:r>
            <w:proofErr w:type="spellStart"/>
            <w:r w:rsidRPr="00824ACA">
              <w:rPr>
                <w:rFonts w:ascii="Tw Cen MT" w:hAnsi="Tw Cen MT" w:cs="Times New Roman"/>
                <w:sz w:val="20"/>
                <w:szCs w:val="20"/>
              </w:rPr>
              <w:t>Pengetahuan</w:t>
            </w:r>
            <w:proofErr w:type="spellEnd"/>
          </w:p>
        </w:tc>
        <w:tc>
          <w:tcPr>
            <w:tcW w:w="820" w:type="dxa"/>
            <w:tcBorders>
              <w:left w:val="nil"/>
              <w:bottom w:val="single" w:sz="4" w:space="0" w:color="000000"/>
              <w:right w:val="nil"/>
            </w:tcBorders>
          </w:tcPr>
          <w:p w14:paraId="43285A34"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Mean</w:t>
            </w:r>
          </w:p>
        </w:tc>
        <w:tc>
          <w:tcPr>
            <w:tcW w:w="751" w:type="dxa"/>
            <w:tcBorders>
              <w:left w:val="nil"/>
              <w:bottom w:val="single" w:sz="4" w:space="0" w:color="000000"/>
              <w:right w:val="nil"/>
            </w:tcBorders>
          </w:tcPr>
          <w:p w14:paraId="7E19657D"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Beda Mean</w:t>
            </w:r>
          </w:p>
        </w:tc>
        <w:tc>
          <w:tcPr>
            <w:tcW w:w="702" w:type="dxa"/>
            <w:tcBorders>
              <w:left w:val="nil"/>
              <w:bottom w:val="single" w:sz="4" w:space="0" w:color="000000"/>
              <w:right w:val="nil"/>
            </w:tcBorders>
          </w:tcPr>
          <w:p w14:paraId="2F575C21"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 xml:space="preserve"> Nilai p </w:t>
            </w:r>
          </w:p>
        </w:tc>
      </w:tr>
      <w:tr w:rsidR="00816B99" w:rsidRPr="00824ACA" w14:paraId="5FBE5480" w14:textId="77777777" w:rsidTr="00816B99">
        <w:tc>
          <w:tcPr>
            <w:tcW w:w="1252" w:type="dxa"/>
            <w:tcBorders>
              <w:bottom w:val="single" w:sz="4" w:space="0" w:color="000000"/>
              <w:right w:val="nil"/>
            </w:tcBorders>
          </w:tcPr>
          <w:p w14:paraId="624B9D11" w14:textId="77777777" w:rsidR="00816B99" w:rsidRPr="00824ACA" w:rsidRDefault="00816B99" w:rsidP="00816B99">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Ceramah</w:t>
            </w:r>
            <w:proofErr w:type="spellEnd"/>
          </w:p>
        </w:tc>
        <w:tc>
          <w:tcPr>
            <w:tcW w:w="820" w:type="dxa"/>
            <w:tcBorders>
              <w:left w:val="nil"/>
              <w:bottom w:val="single" w:sz="4" w:space="0" w:color="000000"/>
              <w:right w:val="nil"/>
            </w:tcBorders>
          </w:tcPr>
          <w:p w14:paraId="09D57FF4"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20,72</w:t>
            </w:r>
          </w:p>
        </w:tc>
        <w:tc>
          <w:tcPr>
            <w:tcW w:w="751" w:type="dxa"/>
            <w:vMerge w:val="restart"/>
            <w:tcBorders>
              <w:left w:val="nil"/>
              <w:right w:val="nil"/>
            </w:tcBorders>
            <w:vAlign w:val="center"/>
          </w:tcPr>
          <w:p w14:paraId="5E9A60E5"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19,56</w:t>
            </w:r>
          </w:p>
        </w:tc>
        <w:tc>
          <w:tcPr>
            <w:tcW w:w="702" w:type="dxa"/>
            <w:vMerge w:val="restart"/>
            <w:tcBorders>
              <w:top w:val="single" w:sz="4" w:space="0" w:color="000000"/>
              <w:left w:val="nil"/>
              <w:bottom w:val="nil"/>
              <w:right w:val="nil"/>
            </w:tcBorders>
            <w:vAlign w:val="center"/>
          </w:tcPr>
          <w:p w14:paraId="6384264D"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0,000</w:t>
            </w:r>
          </w:p>
        </w:tc>
      </w:tr>
      <w:tr w:rsidR="00816B99" w:rsidRPr="00824ACA" w14:paraId="4957D440" w14:textId="77777777" w:rsidTr="00816B99">
        <w:tc>
          <w:tcPr>
            <w:tcW w:w="1252" w:type="dxa"/>
            <w:tcBorders>
              <w:top w:val="single" w:sz="4" w:space="0" w:color="000000"/>
              <w:right w:val="nil"/>
            </w:tcBorders>
          </w:tcPr>
          <w:p w14:paraId="23BCAE5C" w14:textId="77777777" w:rsidR="00816B99" w:rsidRPr="00824ACA" w:rsidRDefault="00816B99" w:rsidP="00816B99">
            <w:pPr>
              <w:spacing w:after="0" w:line="240" w:lineRule="auto"/>
              <w:jc w:val="both"/>
              <w:rPr>
                <w:rFonts w:ascii="Tw Cen MT" w:hAnsi="Tw Cen MT" w:cs="Times New Roman"/>
                <w:sz w:val="20"/>
                <w:szCs w:val="20"/>
              </w:rPr>
            </w:pPr>
            <w:proofErr w:type="spellStart"/>
            <w:r w:rsidRPr="00824ACA">
              <w:rPr>
                <w:rFonts w:ascii="Tw Cen MT" w:hAnsi="Tw Cen MT" w:cs="Times New Roman"/>
                <w:sz w:val="20"/>
                <w:szCs w:val="20"/>
              </w:rPr>
              <w:t>Powtoon</w:t>
            </w:r>
            <w:proofErr w:type="spellEnd"/>
          </w:p>
        </w:tc>
        <w:tc>
          <w:tcPr>
            <w:tcW w:w="820" w:type="dxa"/>
            <w:tcBorders>
              <w:top w:val="single" w:sz="4" w:space="0" w:color="000000"/>
              <w:left w:val="nil"/>
              <w:right w:val="nil"/>
            </w:tcBorders>
          </w:tcPr>
          <w:p w14:paraId="1879BC91" w14:textId="77777777" w:rsidR="00816B99" w:rsidRPr="00824ACA" w:rsidRDefault="00816B99" w:rsidP="00816B99">
            <w:pPr>
              <w:spacing w:after="0" w:line="240" w:lineRule="auto"/>
              <w:jc w:val="center"/>
              <w:rPr>
                <w:rFonts w:ascii="Tw Cen MT" w:hAnsi="Tw Cen MT" w:cs="Times New Roman"/>
                <w:sz w:val="20"/>
                <w:szCs w:val="20"/>
              </w:rPr>
            </w:pPr>
            <w:r w:rsidRPr="00824ACA">
              <w:rPr>
                <w:rFonts w:ascii="Tw Cen MT" w:hAnsi="Tw Cen MT" w:cs="Times New Roman"/>
                <w:sz w:val="20"/>
                <w:szCs w:val="20"/>
              </w:rPr>
              <w:t>40,28</w:t>
            </w:r>
          </w:p>
        </w:tc>
        <w:tc>
          <w:tcPr>
            <w:tcW w:w="751" w:type="dxa"/>
            <w:vMerge/>
            <w:tcBorders>
              <w:left w:val="nil"/>
              <w:right w:val="nil"/>
            </w:tcBorders>
          </w:tcPr>
          <w:p w14:paraId="1143C28C" w14:textId="77777777" w:rsidR="00816B99" w:rsidRPr="00824ACA" w:rsidRDefault="00816B99" w:rsidP="00816B99">
            <w:pPr>
              <w:spacing w:after="0" w:line="240" w:lineRule="auto"/>
              <w:jc w:val="center"/>
              <w:rPr>
                <w:rFonts w:ascii="Tw Cen MT" w:hAnsi="Tw Cen MT" w:cs="Times New Roman"/>
                <w:sz w:val="20"/>
                <w:szCs w:val="20"/>
              </w:rPr>
            </w:pPr>
          </w:p>
        </w:tc>
        <w:tc>
          <w:tcPr>
            <w:tcW w:w="702" w:type="dxa"/>
            <w:vMerge/>
            <w:tcBorders>
              <w:top w:val="nil"/>
              <w:left w:val="nil"/>
              <w:right w:val="nil"/>
            </w:tcBorders>
          </w:tcPr>
          <w:p w14:paraId="6F8B2D5A" w14:textId="77777777" w:rsidR="00816B99" w:rsidRPr="00824ACA" w:rsidRDefault="00816B99" w:rsidP="00816B99">
            <w:pPr>
              <w:spacing w:after="0" w:line="240" w:lineRule="auto"/>
              <w:jc w:val="center"/>
              <w:rPr>
                <w:rFonts w:ascii="Tw Cen MT" w:hAnsi="Tw Cen MT" w:cs="Times New Roman"/>
                <w:sz w:val="20"/>
                <w:szCs w:val="20"/>
              </w:rPr>
            </w:pPr>
          </w:p>
        </w:tc>
      </w:tr>
    </w:tbl>
    <w:p w14:paraId="021B8BD9"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75D0B655" w14:textId="7D4F2EA1"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Analisis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uji </w:t>
      </w:r>
      <w:proofErr w:type="spellStart"/>
      <w:r w:rsidRPr="00824ACA">
        <w:rPr>
          <w:rFonts w:ascii="Tw Cen MT" w:eastAsia="Twentieth Century" w:hAnsi="Tw Cen MT" w:cs="Twentieth Century"/>
          <w:bCs/>
          <w:sz w:val="24"/>
          <w:szCs w:val="24"/>
        </w:rPr>
        <w:t>statistik</w:t>
      </w:r>
      <w:proofErr w:type="spellEnd"/>
      <w:r w:rsidRPr="00824ACA">
        <w:rPr>
          <w:rFonts w:ascii="Tw Cen MT" w:eastAsia="Twentieth Century" w:hAnsi="Tw Cen MT" w:cs="Twentieth Century"/>
          <w:bCs/>
          <w:sz w:val="24"/>
          <w:szCs w:val="24"/>
        </w:rPr>
        <w:t xml:space="preserve"> non-</w:t>
      </w:r>
      <w:proofErr w:type="spellStart"/>
      <w:r w:rsidRPr="00824ACA">
        <w:rPr>
          <w:rFonts w:ascii="Tw Cen MT" w:eastAsia="Twentieth Century" w:hAnsi="Tw Cen MT" w:cs="Twentieth Century"/>
          <w:bCs/>
          <w:sz w:val="24"/>
          <w:szCs w:val="24"/>
        </w:rPr>
        <w:t>parametrik</w:t>
      </w:r>
      <w:proofErr w:type="spellEnd"/>
      <w:r w:rsidR="00816B99">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t xml:space="preserve">Mann-Whitney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membandingkan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efektivitas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dan media </w:t>
      </w:r>
      <w:proofErr w:type="spellStart"/>
      <w:r w:rsidRPr="00824ACA">
        <w:rPr>
          <w:rFonts w:ascii="Tw Cen MT" w:eastAsia="Twentieth Century" w:hAnsi="Tw Cen MT" w:cs="Twentieth Century"/>
          <w:bCs/>
          <w:sz w:val="24"/>
          <w:szCs w:val="24"/>
        </w:rPr>
        <w:t>edukatif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Uji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distribusi</w:t>
      </w:r>
      <w:proofErr w:type="spellEnd"/>
      <w:r w:rsidRPr="00824ACA">
        <w:rPr>
          <w:rFonts w:ascii="Tw Cen MT" w:eastAsia="Twentieth Century" w:hAnsi="Tw Cen MT" w:cs="Twentieth Century"/>
          <w:bCs/>
          <w:sz w:val="24"/>
          <w:szCs w:val="24"/>
        </w:rPr>
        <w:t xml:space="preserve"> data pada </w:t>
      </w:r>
      <w:proofErr w:type="spellStart"/>
      <w:r w:rsidRPr="00824ACA">
        <w:rPr>
          <w:rFonts w:ascii="Tw Cen MT" w:eastAsia="Twentieth Century" w:hAnsi="Tw Cen MT" w:cs="Twentieth Century"/>
          <w:bCs/>
          <w:sz w:val="24"/>
          <w:szCs w:val="24"/>
        </w:rPr>
        <w:t>kedua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kelompok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tidak</w:t>
      </w:r>
      <w:proofErr w:type="spellEnd"/>
      <w:r w:rsidRPr="00824ACA">
        <w:rPr>
          <w:rFonts w:ascii="Tw Cen MT" w:eastAsia="Twentieth Century" w:hAnsi="Tw Cen MT" w:cs="Twentieth Century"/>
          <w:bCs/>
          <w:sz w:val="24"/>
          <w:szCs w:val="24"/>
        </w:rPr>
        <w:t xml:space="preserve"> normal. Hasil </w:t>
      </w:r>
      <w:proofErr w:type="spellStart"/>
      <w:r w:rsidRPr="00824ACA">
        <w:rPr>
          <w:rFonts w:ascii="Tw Cen MT" w:eastAsia="Twentieth Century" w:hAnsi="Tw Cen MT" w:cs="Twentieth Century"/>
          <w:bCs/>
          <w:sz w:val="24"/>
          <w:szCs w:val="24"/>
        </w:rPr>
        <w:t>analisis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kelompok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kontrol</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20,72, </w:t>
      </w:r>
      <w:proofErr w:type="spellStart"/>
      <w:r w:rsidRPr="00824ACA">
        <w:rPr>
          <w:rFonts w:ascii="Tw Cen MT" w:eastAsia="Twentieth Century" w:hAnsi="Tw Cen MT" w:cs="Twentieth Century"/>
          <w:bCs/>
          <w:sz w:val="24"/>
          <w:szCs w:val="24"/>
        </w:rPr>
        <w:t>sedangkan</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kelompok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intervensi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40,28,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selisih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19,56. Nilai </w:t>
      </w:r>
      <w:proofErr w:type="spellStart"/>
      <w:r w:rsidRPr="00824ACA">
        <w:rPr>
          <w:rFonts w:ascii="Tw Cen MT" w:eastAsia="Twentieth Century" w:hAnsi="Tw Cen MT" w:cs="Twentieth Century"/>
          <w:bCs/>
          <w:sz w:val="24"/>
          <w:szCs w:val="24"/>
        </w:rPr>
        <w:t>signifikansi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p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0,000 (&lt;0,05) pada confidence interval 95%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disimpulkan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dibandingkan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di Wilayah </w:t>
      </w:r>
      <w:proofErr w:type="spellStart"/>
      <w:r w:rsidRPr="00824ACA">
        <w:rPr>
          <w:rFonts w:ascii="Tw Cen MT" w:eastAsia="Twentieth Century" w:hAnsi="Tw Cen MT" w:cs="Twentieth Century"/>
          <w:bCs/>
          <w:sz w:val="24"/>
          <w:szCs w:val="24"/>
        </w:rPr>
        <w:t>Kerja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Buaran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Kabupaten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Pekalongan</w:t>
      </w:r>
      <w:proofErr w:type="spellEnd"/>
      <w:r w:rsidRPr="00824ACA">
        <w:rPr>
          <w:rFonts w:ascii="Tw Cen MT" w:eastAsia="Twentieth Century" w:hAnsi="Tw Cen MT" w:cs="Twentieth Century"/>
          <w:bCs/>
          <w:sz w:val="24"/>
          <w:szCs w:val="24"/>
        </w:rPr>
        <w:t>.</w:t>
      </w:r>
    </w:p>
    <w:p w14:paraId="23678354" w14:textId="06DD4BBF"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Hasil </w:t>
      </w:r>
      <w:proofErr w:type="spellStart"/>
      <w:r w:rsidRPr="00824ACA">
        <w:rPr>
          <w:rFonts w:ascii="Tw Cen MT" w:eastAsia="Twentieth Century" w:hAnsi="Tw Cen MT" w:cs="Twentieth Century"/>
          <w:bCs/>
          <w:sz w:val="24"/>
          <w:szCs w:val="24"/>
        </w:rPr>
        <w:t>pengukuran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perubahan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sesudah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dilakukannya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deteksi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risiko</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tinggi</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selama</w:t>
      </w:r>
      <w:proofErr w:type="spellEnd"/>
      <w:r w:rsidRPr="00824ACA">
        <w:rPr>
          <w:rFonts w:ascii="Tw Cen MT" w:eastAsia="Twentieth Century" w:hAnsi="Tw Cen MT" w:cs="Twentieth Century"/>
          <w:bCs/>
          <w:sz w:val="24"/>
          <w:szCs w:val="24"/>
        </w:rPr>
        <w:t xml:space="preserve"> 30 </w:t>
      </w:r>
      <w:proofErr w:type="spellStart"/>
      <w:r w:rsidRPr="00824ACA">
        <w:rPr>
          <w:rFonts w:ascii="Tw Cen MT" w:eastAsia="Twentieth Century" w:hAnsi="Tw Cen MT" w:cs="Twentieth Century"/>
          <w:bCs/>
          <w:sz w:val="24"/>
          <w:szCs w:val="24"/>
        </w:rPr>
        <w:t>menit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teknik</w:t>
      </w:r>
      <w:proofErr w:type="spellEnd"/>
      <w:r w:rsidRPr="00824ACA">
        <w:rPr>
          <w:rFonts w:ascii="Tw Cen MT" w:eastAsia="Twentieth Century" w:hAnsi="Tw Cen MT" w:cs="Twentieth Century"/>
          <w:bCs/>
          <w:sz w:val="24"/>
          <w:szCs w:val="24"/>
        </w:rPr>
        <w:t xml:space="preserve"> yang paling </w:t>
      </w:r>
      <w:proofErr w:type="spellStart"/>
      <w:r w:rsidRPr="00824ACA">
        <w:rPr>
          <w:rFonts w:ascii="Tw Cen MT" w:eastAsia="Twentieth Century" w:hAnsi="Tw Cen MT" w:cs="Twentieth Century"/>
          <w:bCs/>
          <w:sz w:val="24"/>
          <w:szCs w:val="24"/>
        </w:rPr>
        <w:t>sering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diterapkan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pendidikan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berfokus</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penyampaian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oleh </w:t>
      </w:r>
      <w:proofErr w:type="spellStart"/>
      <w:r w:rsidRPr="00824ACA">
        <w:rPr>
          <w:rFonts w:ascii="Tw Cen MT" w:eastAsia="Twentieth Century" w:hAnsi="Tw Cen MT" w:cs="Twentieth Century"/>
          <w:bCs/>
          <w:sz w:val="24"/>
          <w:szCs w:val="24"/>
        </w:rPr>
        <w:t>penyuluh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sementara</w:t>
      </w:r>
      <w:proofErr w:type="spellEnd"/>
      <w:r w:rsidR="00816B99">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peserta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banyak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lastRenderedPageBreak/>
        <w:t>mendengarkan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tanpa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terlibat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proses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{"citationItems":[{"id":"ITEM-1","itemData":{"ISBN":"9786024624293, 6024624298","author":[{"dropping-particle":"","family":"Gejir IN, Kencana IGS, Artawa IMB","given":"Suanda IW","non-dropping-particle":"","parse-names":false,"suffix":""}],"id":"ITEM-1","issued":{"date-parts":[["2021"]]},"publisher":"Media Nusa Creative (MNC Publishing)","publisher-place":"Malang","title":"Implementasi Proses Pembelajaran dalam Penyuluhan Kesehatan Bagi Tenaga Kesehatan","type":"book"},"uris":["http://www.mendeley.com/documents/?uuid=24a5ff64-c791-4e78-aa8b-df5532016bfb"]}],"mendeley":{"formattedCitation":"[7]","plainTextFormattedCitation":"[7]","previouslyFormattedCitation":"[7]"},"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[7]</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Menurut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Magdalena,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seribu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pertama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kehidupan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sesudah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pendidikan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Hasil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p value 0,000 ( &gt; 0,05), </w:t>
      </w:r>
      <w:proofErr w:type="spellStart"/>
      <w:r w:rsidRPr="00824ACA">
        <w:rPr>
          <w:rFonts w:ascii="Tw Cen MT" w:eastAsia="Twentieth Century" w:hAnsi="Tw Cen MT" w:cs="Twentieth Century"/>
          <w:bCs/>
          <w:sz w:val="24"/>
          <w:szCs w:val="24"/>
        </w:rPr>
        <w:t>meskipun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hasilnya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tidak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namun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tersebut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efektivitas</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{"citationItems":[{"id":"ITEM-1","itemData":{"DOI":"10.1186/s12905-020-00947-1","ISSN":"14726874","PMID":"32370804","abstract":"Background: Breastfeeding is one of the most important interfering factors in infants' health. Monitoring mothers' performance and providing them with the feedback helps to increase their self-efficacy, interest in learning, and level of performance. The present research evaluates the effect of prenatal counseling on the breastfeeding self-efficacy and frequency of breastfeeding problems in mothers with previous unsuccessful breastfeeding. Methods: This randomized controlled clinical trial was conducted on 108 pregnant women with unsuccessful breastfeeding in Tabriz health centers during 2017-2018. The participants were randomly assigned to intervention and control groups. The intervention group had four prenatal counseling sessions and the controls only received routine care. Then, the mothers who gave birth to their children received a counseling session up to 4 months after the delivery. The Breastfeeding Self-Efficacy (BSES) questionnaire and the frequency of breast feeding problems checklist on the 15th day, and 2nd and 4th month were completed both by the intervention and control groups. Results: The mean (SD) of breastfeeding self-efficacy was 119.3 (10.5), 128.3 (8.3) and 133.8 (10.3) in the intervention group and 105.3 (16.1), 105.7 (19.7) and 109.4 (24.7) in the control group on the 15th day, 2nd and 4th month after the delivery, respectively. There was a significant difference in terms of breastfeeding self-efficacy between intervention and control group on the 15th day (p &lt; 0.001), and 2nd (p &lt; 0.001) and 4th (p &lt; 0.001) month after the delivery. The frequency of breastfeeding problems on the 15th (p = 0.008), 2nd (p &lt; 0.001) and 4th (p &lt; 0.001) after the delivery was significantly different in most cases of the intervention group when compared to the controls. Conclusion: The results indicated that prenatal counseling can increase mothers' breastfeeding self-efficacy and solves most breastfeeding problems during postpartum period. Trial registration: IRCT20100109003027N19.","author":[{"dropping-particle":"","family":"Shafaei","given":"Fahimeh Sehhatie","non-dropping-particle":"","parse-names":false,"suffix":""},{"dropping-particle":"","family":"Mirghafourvand","given":"Mojgan","non-dropping-particle":"","parse-names":false,"suffix":""},{"dropping-particle":"","family":"Havizari","given":"Shiva","non-dropping-particle":"","parse-names":false,"suffix":""}],"container-title":"BMC Women's Health","id":"ITEM-1","issue":"1","issued":{"date-parts":[["2020"]]},"page":"1-10","publisher":"BMC Women's Health","title":"The effect of prenatal counseling on breastfeeding self-efficacy and frequency of breastfeeding problems in mothers with previous unsuccessful breastfeeding: A randomized controlled clinical trial","type":"article-journal","volume":"20"},"uris":["http://www.mendeley.com/documents/?uuid=dce2e650-c166-4da4-bfbf-524687c599a7"]}],"mendeley":{"formattedCitation":"[8]","plainTextFormattedCitation":"[8]","previouslyFormattedCitation":"[8]"},"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[8]</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Kelebihan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yaitu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komunikasi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dua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arah</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memungkinkan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pertanyaan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jawaban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tercipta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interaksi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antara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koresponden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menjadi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memahami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materi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disampaikan</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{"citationItems":[{"id":"ITEM-1","itemData":{"DOI":"10.1371/journal.pone.0065772","ISSN":"19326203","PMID":"23776544","abstract":"Introduction: In low-resource settings, community health workers are frontline providers who shoulder the health service delivery burden. Increasingly, mobile technologies are developed, tested, and deployed with community health workers to facilitate tasks and improve outcomes. We reviewed the evidence for the use of mobile technology by community health workers to identify opportunities and challenges for strengthening health systems in resource-constrained settings. Methods: We conducted a systematic review of peer-reviewed literature from health, medical, social science, and engineering databases, using PRISMA guidelines. We identified a total of 25 unique full-text research articles on community health workers and their use of mobile technology for the delivery of health services. Results: Community health workers have used mobile tools to advance a broad range of health aims throughout the globe, particularly maternal and child health, HIV/AIDS, and sexual and reproductive health. Most commonly, community health workers use mobile technology to collect field-based health data, receive alerts and reminders, facilitate health education sessions, and conduct person-to-person communication. Programmatic efforts to strengthen health service delivery focus on improving adherence to standards and guidelines, community education and training, and programmatic leadership and management practices. Those studies that evaluated program outcomes provided some evidence that mobile tools help community health workers to improve the quality of care provided, efficiency of services, and capacity for program monitoring. Discussion: Evidence suggests mobile technology presents promising opportunities to improve the range and quality of services provided by community health workers. Small-scale efforts, pilot projects, and preliminary descriptive studies are increasing, and there is a trend toward using feasible and acceptable interventions that lead to positive program outcomes through operational improvements and rigorous study designs. Programmatic and scientific gaps will need to be addressed by global leaders as they advance the use and assessment of mobile technology tools for community health workers. © 2013 Braun et al.","author":[{"dropping-particle":"","family":"Braun","given":"Rebecca","non-dropping-particle":"","parse-names":false,"suffix":""},{"dropping-particle":"","family":"Catalani","given":"Caricia","non-dropping-particle":"","parse-names":false,"suffix":""},{"dropping-particle":"","family":"Wimbush","given":"Julian","non-dropping-particle":"","parse-names":false,"suffix":""},{"dropping-particle":"","family":"Israelski","given":"Dennis","non-dropping-particle":"","parse-names":false,"suffix":""}],"container-title":"PLoS ONE","id":"ITEM-1","issue":"6","issued":{"date-parts":[["2013"]]},"page":"4-9","title":"Community Health Workers and Mobile Technology: A Systematic Review of the Literature","type":"article-journal","volume":"8"},"uris":["http://www.mendeley.com/documents/?uuid=ec9571c6-8411-4311-b8cc-fdfb0e87dd6c"]}],"mendeley":{"formattedCitation":"[9]","plainTextFormattedCitation":"[9]","previouslyFormattedCitation":"[9]"},"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[9]</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di Haiti, Malawi, dan Senegal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melalui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tanda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bahaya</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faktor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risiko</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[10]"},"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[10]</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Tingkat </w:t>
      </w:r>
      <w:proofErr w:type="spellStart"/>
      <w:r w:rsidRPr="00824ACA">
        <w:rPr>
          <w:rFonts w:ascii="Tw Cen MT" w:eastAsia="Twentieth Century" w:hAnsi="Tw Cen MT" w:cs="Twentieth Century"/>
          <w:bCs/>
          <w:sz w:val="24"/>
          <w:szCs w:val="24"/>
        </w:rPr>
        <w:t>konsentrasi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melalu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mempengaruhi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diserap</w:t>
      </w:r>
      <w:proofErr w:type="spellEnd"/>
      <w:r w:rsidRPr="00824ACA">
        <w:rPr>
          <w:rFonts w:ascii="Tw Cen MT" w:eastAsia="Twentieth Century" w:hAnsi="Tw Cen MT" w:cs="Twentieth Century"/>
          <w:bCs/>
          <w:sz w:val="24"/>
          <w:szCs w:val="24"/>
        </w:rPr>
        <w:t xml:space="preserve"> oleh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memperhatikan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seksama</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fokus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diterima</w:t>
      </w:r>
      <w:proofErr w:type="spellEnd"/>
      <w:r w:rsidRPr="00824ACA">
        <w:rPr>
          <w:rFonts w:ascii="Tw Cen MT" w:eastAsia="Twentieth Century" w:hAnsi="Tw Cen MT" w:cs="Twentieth Century"/>
          <w:bCs/>
          <w:sz w:val="24"/>
          <w:szCs w:val="24"/>
        </w:rPr>
        <w:t xml:space="preserve"> juga </w:t>
      </w:r>
      <w:proofErr w:type="spellStart"/>
      <w:r w:rsidRPr="00824ACA">
        <w:rPr>
          <w:rFonts w:ascii="Tw Cen MT" w:eastAsia="Twentieth Century" w:hAnsi="Tw Cen MT" w:cs="Twentieth Century"/>
          <w:bCs/>
          <w:sz w:val="24"/>
          <w:szCs w:val="24"/>
        </w:rPr>
        <w:t>cenderung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tinggi</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[10]"},"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[10]</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di SD 6 Muhammadiyah Banjarmasin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efektivitas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menyampaikan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Kesehatan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efektivitas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menyampaikan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Kegiatan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berlangsung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selama</w:t>
      </w:r>
      <w:proofErr w:type="spellEnd"/>
      <w:r w:rsidRPr="00824ACA">
        <w:rPr>
          <w:rFonts w:ascii="Tw Cen MT" w:eastAsia="Twentieth Century" w:hAnsi="Tw Cen MT" w:cs="Twentieth Century"/>
          <w:bCs/>
          <w:sz w:val="24"/>
          <w:szCs w:val="24"/>
        </w:rPr>
        <w:t xml:space="preserve"> 60 </w:t>
      </w:r>
      <w:proofErr w:type="spellStart"/>
      <w:r w:rsidRPr="00824ACA">
        <w:rPr>
          <w:rFonts w:ascii="Tw Cen MT" w:eastAsia="Twentieth Century" w:hAnsi="Tw Cen MT" w:cs="Twentieth Century"/>
          <w:bCs/>
          <w:sz w:val="24"/>
          <w:szCs w:val="24"/>
        </w:rPr>
        <w:t>menit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melibatkan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serta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jawab</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berhasil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menjelaskan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jelas</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perhatian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Evaluasi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setelah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rata-rata 88,57%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menjadi</w:t>
      </w:r>
      <w:proofErr w:type="spellEnd"/>
      <w:r w:rsidRPr="00824ACA">
        <w:rPr>
          <w:rFonts w:ascii="Tw Cen MT" w:eastAsia="Twentieth Century" w:hAnsi="Tw Cen MT" w:cs="Twentieth Century"/>
          <w:bCs/>
          <w:sz w:val="24"/>
          <w:szCs w:val="24"/>
        </w:rPr>
        <w:t xml:space="preserve"> 100% </w:t>
      </w:r>
      <w:proofErr w:type="spellStart"/>
      <w:r w:rsidRPr="00824ACA">
        <w:rPr>
          <w:rFonts w:ascii="Tw Cen MT" w:eastAsia="Twentieth Century" w:hAnsi="Tw Cen MT" w:cs="Twentieth Century"/>
          <w:bCs/>
          <w:sz w:val="24"/>
          <w:szCs w:val="24"/>
        </w:rPr>
        <w:t>setelahnya</w:t>
      </w:r>
      <w:proofErr w:type="spellEnd"/>
      <w:r w:rsidRPr="00824ACA">
        <w:rPr>
          <w:rFonts w:ascii="Tw Cen MT" w:eastAsia="Twentieth Century" w:hAnsi="Tw Cen MT" w:cs="Twentieth Century"/>
          <w:bCs/>
          <w:sz w:val="24"/>
          <w:szCs w:val="24"/>
        </w:rPr>
        <w:t xml:space="preserve">. Hasil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membuktikan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sangat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dampak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negatif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kecanduan</w:t>
      </w:r>
      <w:proofErr w:type="spellEnd"/>
      <w:r w:rsidRPr="00824ACA">
        <w:rPr>
          <w:rFonts w:ascii="Tw Cen MT" w:eastAsia="Twentieth Century" w:hAnsi="Tw Cen MT" w:cs="Twentieth Century"/>
          <w:bCs/>
          <w:sz w:val="24"/>
          <w:szCs w:val="24"/>
        </w:rPr>
        <w:t xml:space="preserve"> gadget.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sangat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dampak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negatif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kecanduan</w:t>
      </w:r>
      <w:proofErr w:type="spellEnd"/>
      <w:r w:rsidRPr="00824ACA">
        <w:rPr>
          <w:rFonts w:ascii="Tw Cen MT" w:eastAsia="Twentieth Century" w:hAnsi="Tw Cen MT" w:cs="Twentieth Century"/>
          <w:bCs/>
          <w:sz w:val="24"/>
          <w:szCs w:val="24"/>
        </w:rPr>
        <w:t xml:space="preserve"> gadget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memungkinkan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penyampaian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langsung</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sistematis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penjelasan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terstruktur</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menyeluruh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Selain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interaksi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langsung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pembicara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ahli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memungkinkan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bertanya</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klarifikasi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real-time, </w:t>
      </w:r>
      <w:proofErr w:type="spellStart"/>
      <w:r w:rsidRPr="00824ACA">
        <w:rPr>
          <w:rFonts w:ascii="Tw Cen MT" w:eastAsia="Twentieth Century" w:hAnsi="Tw Cen MT" w:cs="Twentieth Century"/>
          <w:bCs/>
          <w:sz w:val="24"/>
          <w:szCs w:val="24"/>
        </w:rPr>
        <w:t>memperdalam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mereka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juga </w:t>
      </w:r>
      <w:proofErr w:type="spellStart"/>
      <w:r w:rsidRPr="00824ACA">
        <w:rPr>
          <w:rFonts w:ascii="Tw Cen MT" w:eastAsia="Twentieth Century" w:hAnsi="Tw Cen MT" w:cs="Twentieth Century"/>
          <w:bCs/>
          <w:sz w:val="24"/>
          <w:szCs w:val="24"/>
        </w:rPr>
        <w:t>memberikan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kesempatan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bagi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berpartisipasi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melalui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jawab</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memperkuat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mereka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melalui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diskusi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berbagi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pengalaman</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author":[{"dropping-particle":"","family":"Metode","given":"Dengan","non-dropping-particle":"","parse-names":false,"suffix":""},{"dropping-particle":"","family":"Tanya","given":"Ceramah","non-dropping-particle":"","parse-names":false,"suffix":""},{"dropping-particle":"","family":"Anggeriyane","given":"Esme","non-dropping-particle":"","parse-names":false,"suffix":""},{"dropping-particle":"","family":"Salsabila","given":"Amalia","non-dropping-particle":"","parse-names":false,"suffix":""},{"dropping-particle":"","family":"Azizah","given":"Risyda Nur","non-dropping-particle":"","parse-names":false,"suffix":""}],"id":"ITEM-1","issue":"03","issued":{"date-parts":[["2023"]]},"page":"83-90","title":"Peningkatan Wawasan Mengenai Pengaruh Kecanduan Gadget Bagi Kesehatan Melalui Kegiatan Penyuluhan Kesehatan","type":"article-journal","volume":"02"},"uris":["http://www.mendeley.com/documents/?uuid=17beec09-359e-4022-95fa-e8e6936a97d5"]}],"mendeley":{"formattedCitation":"[11]","plainTextFormattedCitation":"[11]","previouslyFormattedCitation":"[11]"},"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[11]</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5525EDCE" w14:textId="609F1F6A"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pencegahan</w:t>
      </w:r>
      <w:proofErr w:type="spellEnd"/>
      <w:r w:rsidRPr="00824ACA">
        <w:rPr>
          <w:rFonts w:ascii="Tw Cen MT" w:eastAsia="Twentieth Century" w:hAnsi="Tw Cen MT" w:cs="Twentieth Century"/>
          <w:bCs/>
          <w:sz w:val="24"/>
          <w:szCs w:val="24"/>
        </w:rPr>
        <w:t xml:space="preserve"> filariasis di </w:t>
      </w:r>
      <w:proofErr w:type="spellStart"/>
      <w:r w:rsidRPr="00824ACA">
        <w:rPr>
          <w:rFonts w:ascii="Tw Cen MT" w:eastAsia="Twentieth Century" w:hAnsi="Tw Cen MT" w:cs="Twentieth Century"/>
          <w:bCs/>
          <w:sz w:val="24"/>
          <w:szCs w:val="24"/>
        </w:rPr>
        <w:t>Kabupaten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Sanggau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responden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sebelum</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sesudah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p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0,000. Hasil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menegaskan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masyarakat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filariasis. </w:t>
      </w:r>
      <w:proofErr w:type="spellStart"/>
      <w:r w:rsidRPr="00824ACA">
        <w:rPr>
          <w:rFonts w:ascii="Tw Cen MT" w:eastAsia="Twentieth Century" w:hAnsi="Tw Cen MT" w:cs="Twentieth Century"/>
          <w:bCs/>
          <w:sz w:val="24"/>
          <w:szCs w:val="24"/>
        </w:rPr>
        <w:t>Interaksi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memungkinkan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audiens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bertanya</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mendapatkan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klarifikasi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memperdalam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mereka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Selain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berhasil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memengaruhi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sikap</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masyarakat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terhadap</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pencegahan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penyakit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demikian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terbukti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menjadi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alat</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Kesehatan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{"citationItems":[{"id":"ITEM-1","itemData":{"DOI":"10.29406/jkmk.v1i1.977","ISSN":"2355-2018","abstract":"AbstrakKabupaten Sanggau merupakan salah satu kabupaten yang memiliki jumlah penderita filariasis yang menunjukan peningkatan dari 1 kasus (Mf Rate &lt;1%) pada tahun 2009 kemudian meningkat menjadi 15 kasus (Mf Rate 3,16 % ) pada tahun 2010 yang diperoleh dari hasil survey darah jari yang dilakukan pertengahan tahun 2010 di wilayah kerja Puskesmas Teraju kecamatan Toba. Peningkatan kasus yang cukup signifikan terjadi pada tahun 2012 di wilayah kerja Puskesmas Tayan yaitu sebesar 33 kasus (Mf Rate 6,32% ) dari hasil survey darah jari yang dilakukan pada awal tahun 2012, dimana pada 2 tahun sebelumnya, yaitu tahun 2010 dan 2011 tidak ditemukan kasus filariasis (0%) pada daerah tersebut Penelitian ini bertujuan untuk melihat pengaruh penyuluhan kesehatan dengan metode ceramah terhadap peningkatan pengetahuan dan sikap dalam pencegahan filariasis. Desain penelitian yang dipergunakan dalam penelitian ini adalah Quasi Eksperiment. Jumlah sampel dalam penelitian ini sebanyak 33 orang pada kelompok yang mendapatkan perlakuan dan 33 orang pada kelompok yang tidak mendapatkan perlakukan sebagai kontrolnya. Hasil penelitian menunjukkan Ada perbedaan pengetahuan responden sebelum dan sesudah dilakukan penyuluhan kesehatan tentang pencegahan filariasis Di Dusun Cempedek Desa Lalang kecamatan Tayan Hilir kabupaten Sanggau dengan  p value = 0,000, Ada perbedaan sikap mendukung responden sebelum dan sesudah dilakukan penyuluhan kesehatan tentang pencegahan filariasis Di Dusun Cempedek Desa Lalang kecamatan Tayan Kabupaten Sanggau dengan p value= 0,000. Bagi Puskesmas Tayan Hilir agar mempertimbangkan kegiatan penyuluhan ini sebagai suatu kegiatan rutin yang dilaksanakan, dan kegiatan yang dilaksanakan disesuaikan dengan kebutuhan masyarakat. Selain itu kegiatan penyuluhan dengan metode ceramah yang dibantu dengan power point masih efektif untuk digunakan sepanjang materi yang disampaikan dapat disusun semenarik mungkin sehingga dapat menarik perhatian masyarakat untuk memperhatikannya. Kata Kunci: Penyuluhan Kesehatan, Metode Ceramah, Pengetahuan, Sikap, Filariasis AbstractKabupaten Sanggau is one regency which has improvement of filariasis patient from one case (Mf Rate &lt; 1%) in 2009 to significantly 15 cases (Mf Rate 3,16%) in 2010. The data taken from the result of the finger blood survey which was conducted in 2010 medieval at the work area of Puskesmas Teraju Kecamatan Toba. A significant case was found out in 2012 at the work area of Puskesmas Tayan with 33 cases (…","author":[{"dropping-particle":"","family":"Nor","given":"Auliya M","non-dropping-particle":"","parse-names":false,"suffix":""},{"dropping-particle":"","family":"Fuad","given":"Chairul","non-dropping-particle":"","parse-names":false,"suffix":""}],"container-title":"Jurnal Kesmas (Kesehatan Masyarakat) Khatulistiwa","id":"ITEM-1","issue":"1","issued":{"date-parts":[["2018"]]},"page":"23","title":"Pengaruh Penyuluhan Kesehatan Dengan Metode Ceramah Terhadap Peningkatan Pengetahuan Dan Sikap Dalam Pencegahan Filariasis","type":"article-journal","volume":"1"},"uris":["http://www.mendeley.com/documents/?uuid=27f4ebbd-6fa4-4a4f-a341-f94dade974fd"]}],"mendeley":{"formattedCitation":"[12]","plainTextFormattedCitation":"[12]","previouslyFormattedCitation":"[12]"},"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[12]</w:t>
      </w:r>
      <w:r w:rsidRPr="00824ACA">
        <w:rPr>
          <w:rFonts w:ascii="Tw Cen MT" w:eastAsia="Twentieth Century" w:hAnsi="Tw Cen MT" w:cs="Twentieth Century"/>
          <w:bCs/>
          <w:sz w:val="24"/>
          <w:szCs w:val="24"/>
        </w:rPr>
        <w:fldChar w:fldCharType="end"/>
      </w:r>
      <w:r w:rsidR="00816B99">
        <w:rPr>
          <w:rFonts w:ascii="Tw Cen MT" w:eastAsia="Twentieth Century" w:hAnsi="Tw Cen MT" w:cs="Twentieth Century"/>
          <w:bCs/>
          <w:sz w:val="24"/>
          <w:szCs w:val="24"/>
        </w:rPr>
        <w:t>.</w:t>
      </w:r>
    </w:p>
    <w:p w14:paraId="2B20CBD5" w14:textId="77777777"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oleh </w:t>
      </w:r>
      <w:proofErr w:type="spellStart"/>
      <w:r w:rsidRPr="00824ACA">
        <w:rPr>
          <w:rFonts w:ascii="Tw Cen MT" w:eastAsia="Twentieth Century" w:hAnsi="Tw Cen MT" w:cs="Twentieth Century"/>
          <w:bCs/>
          <w:sz w:val="24"/>
          <w:szCs w:val="24"/>
        </w:rPr>
        <w:t>Utami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pengembangan</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sangat </w:t>
      </w:r>
      <w:proofErr w:type="spellStart"/>
      <w:r w:rsidRPr="00824ACA">
        <w:rPr>
          <w:rFonts w:ascii="Tw Cen MT" w:eastAsia="Twentieth Century" w:hAnsi="Tw Cen MT" w:cs="Twentieth Century"/>
          <w:bCs/>
          <w:sz w:val="24"/>
          <w:szCs w:val="24"/>
        </w:rPr>
        <w:t>bermanfaat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kepada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masyarakat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khususnya</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penilitian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tersebut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yaitu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reproduksi</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remaja</w:t>
      </w:r>
      <w:proofErr w:type="spellEnd"/>
      <w:r w:rsidRPr="00824ACA">
        <w:rPr>
          <w:rFonts w:ascii="Tw Cen MT" w:eastAsia="Twentieth Century" w:hAnsi="Tw Cen MT" w:cs="Twentieth Century"/>
          <w:bCs/>
          <w:sz w:val="24"/>
          <w:szCs w:val="24"/>
        </w:rPr>
        <w:t xml:space="preserve"> SMP. Hal </w:t>
      </w:r>
      <w:proofErr w:type="spellStart"/>
      <w:r w:rsidRPr="00824ACA">
        <w:rPr>
          <w:rFonts w:ascii="Tw Cen MT" w:eastAsia="Twentieth Century" w:hAnsi="Tw Cen MT" w:cs="Twentieth Century"/>
          <w:bCs/>
          <w:sz w:val="24"/>
          <w:szCs w:val="24"/>
        </w:rPr>
        <w:t>tersebut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dinilai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memanfaatkan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animasi</w:t>
      </w:r>
      <w:proofErr w:type="spellEnd"/>
      <w:r w:rsidRPr="00824ACA">
        <w:rPr>
          <w:rFonts w:ascii="Tw Cen MT" w:eastAsia="Twentieth Century" w:hAnsi="Tw Cen MT" w:cs="Twentieth Century"/>
          <w:bCs/>
          <w:sz w:val="24"/>
          <w:szCs w:val="24"/>
        </w:rPr>
        <w:t xml:space="preserve"> dan video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ditonton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terutama</w:t>
      </w:r>
      <w:proofErr w:type="spellEnd"/>
      <w:r w:rsidRPr="00824ACA">
        <w:rPr>
          <w:rFonts w:ascii="Tw Cen MT" w:eastAsia="Twentieth Century" w:hAnsi="Tw Cen MT" w:cs="Twentieth Century"/>
          <w:bCs/>
          <w:sz w:val="24"/>
          <w:szCs w:val="24"/>
        </w:rPr>
        <w:t xml:space="preserve"> para </w:t>
      </w:r>
      <w:proofErr w:type="spellStart"/>
      <w:r w:rsidRPr="00824ACA">
        <w:rPr>
          <w:rFonts w:ascii="Tw Cen MT" w:eastAsia="Twentieth Century" w:hAnsi="Tw Cen MT" w:cs="Twentieth Century"/>
          <w:bCs/>
          <w:sz w:val="24"/>
          <w:szCs w:val="24"/>
        </w:rPr>
        <w:t>remaja</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 xml:space="preserve">ADDIN CSL_CITATION {"citationItems":[{"id":"ITEM-1","itemData":{"abstract":"The aim of this research is to determined the e ffectiveness of health education about high risk pregnancy for knowledge among pregnant women. The design of this research was Quasy experiment approach with non equivalent control-group were divided into experimental group and control group. The research was conducted in pregnant women in in the “ Puskesmas Rejosari Kecamatan Tenayan Raya. The total sample was 30 people which is the minimum sample that must be fulfilled in quantitative research. Measur ement tools use in both of groups was questionaire that ha d been tested in validity (r = 0,523-0,923) and realibility (r = 0,951). Analysis was used univariate and bivariate analyzes using Dependent test and Independent test . The results showed that there was significant of increase in knowledge of the changes in pregnant woman in the experimental group after the given health education about high-risk pregnanc y with p value (0.000) &lt; </w:instrText>
      </w:r>
      <w:r w:rsidRPr="00824ACA">
        <w:rPr>
          <w:rFonts w:eastAsia="Twentieth Century" w:cs="Calibri"/>
          <w:bCs/>
          <w:sz w:val="24"/>
          <w:szCs w:val="24"/>
        </w:rPr>
        <w:instrText>α</w:instrText>
      </w:r>
      <w:r w:rsidRPr="00824ACA">
        <w:rPr>
          <w:rFonts w:ascii="Tw Cen MT" w:eastAsia="Twentieth Century" w:hAnsi="Tw Cen MT" w:cs="Twentieth Century"/>
          <w:bCs/>
          <w:sz w:val="24"/>
          <w:szCs w:val="24"/>
        </w:rPr>
        <w:instrText xml:space="preserve"> (0,05). It means that health education about high-risk pregnanc y effective to improve the knowledge pregnant woman. It is recommended for health provider especially mother and children health unit to always give health education about high-risk pregnancy. Keywords : H igh- risk pregnancies , knowledge, health education .","author":[{"dropping-particle":"","family":"Fitriani","given":"Elvi","non-dropping-particle":"","parse-names":false,"suffix":""},{"dropping-particle":"","family":"Utami","given":"Sri","non-dropping-particle":"","parse-names":false,"suffix":""},{"dropping-particle":"","family":"Rahmalia","given":"Siti","non-dropping-particle":"","parse-names":false,"suffix":""}],"container-title":"Jom Psik","id":"ITEM-1","issue":"OKTOBER","issued":{"date-parts":[["2014"]]},"page":"1","title":"Efektifitas Pendidikan Kesehatan Tentang Kehamilan Resiko Tinggi Terhadap Pengetahuan Ibu Hamil","type":"article-journal","volume":"1"},"uris":["http://www.mendeley.com/documents/?uuid=06a84679-19f3-48f9-b0a2-59b29325eef1"]}],"mendeley":{"formattedCitation":"[13]","plainTextFormattedCitation":"[13]","previouslyFormattedCitation":"[13]"},"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[13]</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w:t>
      </w:r>
    </w:p>
    <w:p w14:paraId="2438759C" w14:textId="77777777"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Hasil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yaitu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setelah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sejalan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lastRenderedPageBreak/>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hasil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oleh  </w:t>
      </w:r>
      <w:proofErr w:type="spellStart"/>
      <w:r w:rsidRPr="00824ACA">
        <w:rPr>
          <w:rFonts w:ascii="Tw Cen MT" w:eastAsia="Twentieth Century" w:hAnsi="Tw Cen MT" w:cs="Twentieth Century"/>
          <w:bCs/>
          <w:sz w:val="24"/>
          <w:szCs w:val="24"/>
        </w:rPr>
        <w:t>Primawati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penggunaan</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gigi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mulut</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sekolah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dasar</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{"citationItems":[{"id":"ITEM-1","itemData":{"author":[{"dropping-particle":"","family":"Primawati","given":"Rena Setiana","non-dropping-particle":"","parse-names":false,"suffix":""},{"dropping-particle":"","family":"Miko","given":"Hadiyat","non-dropping-particle":"","parse-names":false,"suffix":""},{"dropping-particle":"","family":"Tasikmalaya","given":"Poltekkes Kemenkes","non-dropping-particle":"","parse-names":false,"suffix":""},{"dropping-particle":"","family":"Powtoon","given":"Media","non-dropping-particle":"","parse-names":false,"suffix":""}],"container-title":"Indonesian Jurnal Of Community Service","id":"ITEM-1","issue":"3","issued":{"date-parts":[["2022"]]},"page":"329-334","title":"Dental Health Education ( Dhe ) Menggunakan Media Powtoon Dalam","type":"article-journal","volume":"2"},"uris":["http://www.mendeley.com/documents/?uuid=6a04253b-e6ad-4f87-9109-1eced90dee85"]}],"mendeley":{"formattedCitation":"[14]","plainTextFormattedCitation":"[14]"},"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[14]</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2504A33C" w14:textId="77777777"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r w:rsidRPr="00824ACA">
        <w:rPr>
          <w:rFonts w:ascii="Tw Cen MT" w:eastAsia="Twentieth Century" w:hAnsi="Tw Cen MT" w:cs="Twentieth Century"/>
          <w:bCs/>
          <w:sz w:val="24"/>
          <w:szCs w:val="24"/>
        </w:rPr>
        <w:t xml:space="preserve">Hal </w:t>
      </w:r>
      <w:proofErr w:type="spellStart"/>
      <w:r w:rsidRPr="00824ACA">
        <w:rPr>
          <w:rFonts w:ascii="Tw Cen MT" w:eastAsia="Twentieth Century" w:hAnsi="Tw Cen MT" w:cs="Twentieth Century"/>
          <w:bCs/>
          <w:sz w:val="24"/>
          <w:szCs w:val="24"/>
        </w:rPr>
        <w:t>tersebut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didukung</w:t>
      </w:r>
      <w:proofErr w:type="spellEnd"/>
      <w:r w:rsidRPr="00824ACA">
        <w:rPr>
          <w:rFonts w:ascii="Tw Cen MT" w:eastAsia="Twentieth Century" w:hAnsi="Tw Cen MT" w:cs="Twentieth Century"/>
          <w:bCs/>
          <w:sz w:val="24"/>
          <w:szCs w:val="24"/>
        </w:rPr>
        <w:t xml:space="preserve"> oleh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Meidiana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atau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melibatkan</w:t>
      </w:r>
      <w:proofErr w:type="spellEnd"/>
      <w:r w:rsidRPr="00824ACA">
        <w:rPr>
          <w:rFonts w:ascii="Tw Cen MT" w:eastAsia="Twentieth Century" w:hAnsi="Tw Cen MT" w:cs="Twentieth Century"/>
          <w:bCs/>
          <w:sz w:val="24"/>
          <w:szCs w:val="24"/>
        </w:rPr>
        <w:t xml:space="preserve"> audio-visual, </w:t>
      </w:r>
      <w:proofErr w:type="spellStart"/>
      <w:r w:rsidRPr="00824ACA">
        <w:rPr>
          <w:rFonts w:ascii="Tw Cen MT" w:eastAsia="Twentieth Century" w:hAnsi="Tw Cen MT" w:cs="Twentieth Century"/>
          <w:bCs/>
          <w:sz w:val="24"/>
          <w:szCs w:val="24"/>
        </w:rPr>
        <w:t>dimana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melibatkan</w:t>
      </w:r>
      <w:proofErr w:type="spellEnd"/>
      <w:r w:rsidRPr="00824ACA">
        <w:rPr>
          <w:rFonts w:ascii="Tw Cen MT" w:eastAsia="Twentieth Century" w:hAnsi="Tw Cen MT" w:cs="Twentieth Century"/>
          <w:bCs/>
          <w:sz w:val="24"/>
          <w:szCs w:val="24"/>
        </w:rPr>
        <w:t xml:space="preserve"> audio-visual </w:t>
      </w:r>
      <w:proofErr w:type="spellStart"/>
      <w:r w:rsidRPr="00824ACA">
        <w:rPr>
          <w:rFonts w:ascii="Tw Cen MT" w:eastAsia="Twentieth Century" w:hAnsi="Tw Cen MT" w:cs="Twentieth Century"/>
          <w:bCs/>
          <w:sz w:val="24"/>
          <w:szCs w:val="24"/>
        </w:rPr>
        <w:t>menghasilkan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belajar</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waktu</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singkat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namun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apa</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diterima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lama </w:t>
      </w:r>
      <w:proofErr w:type="spellStart"/>
      <w:r w:rsidRPr="00824ACA">
        <w:rPr>
          <w:rFonts w:ascii="Tw Cen MT" w:eastAsia="Twentieth Century" w:hAnsi="Tw Cen MT" w:cs="Twentieth Century"/>
          <w:bCs/>
          <w:sz w:val="24"/>
          <w:szCs w:val="24"/>
        </w:rPr>
        <w:t>tinggal</w:t>
      </w:r>
      <w:proofErr w:type="spellEnd"/>
      <w:r w:rsidRPr="00824ACA">
        <w:rPr>
          <w:rFonts w:ascii="Tw Cen MT" w:eastAsia="Twentieth Century" w:hAnsi="Tw Cen MT" w:cs="Twentieth Century"/>
          <w:bCs/>
          <w:sz w:val="24"/>
          <w:szCs w:val="24"/>
        </w:rPr>
        <w:t xml:space="preserve"> di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ingatan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pemberian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kepada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masyarakat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digunakan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salah </w:t>
      </w:r>
      <w:proofErr w:type="spellStart"/>
      <w:r w:rsidRPr="00824ACA">
        <w:rPr>
          <w:rFonts w:ascii="Tw Cen MT" w:eastAsia="Twentieth Century" w:hAnsi="Tw Cen MT" w:cs="Twentieth Century"/>
          <w:bCs/>
          <w:sz w:val="24"/>
          <w:szCs w:val="24"/>
        </w:rPr>
        <w:t>satu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komponen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penting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mempengaruhi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tingkat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penerimaan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ilmu</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disampaikan</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{"citationItems":[{"id":"ITEM-1","itemData":{"DOI":"10.32682/sastranesia.v8i1.1426","ISSN":"2337-7712","abstract":"The rapid development of technology encourages teachers to get the benefit of technology using electronic media as learning media that supports learning process. Technology cannot only be used in helping the learning process for students in general, but also very useful for special needs students. One of learning media that utilizes technology is Powtoon as a presentation media that can be played repeatedly for special needs students (slow learners). Powtoon is Web-based animation software that allows anyone to create animated presentations by manipulating pre-created objects, imported images, provide music and user created voice-overs. Powtoon is able to present material well through visual, text, graphic, image, photo, sound and animation capabilities. This study is a case study of learning analysis and the perception of special needs students for the use of Powtoon in Research Method Course. This qualitative research method used data collection techniques through observation and interviews. The findings show that Powtoon can help the student to understand the material and the student also gives positive response to the use of Powtoon media in helping slow learner students understand the material. Keyword: Powtoon, learning media, difable learner. AbstrakPesatnya perkembangan teknologi mendorong pengajar untuk memanfaatkan teknologi menggunakan media elektronik sebagai media pembelajaran yang mendukung proses pembelajaran. Teknologi tidak hanya dapat dimanfaatkan dalam membantu proses pembelajaran bagi mahasiswa pada umumnya, namun juga sangat bermanfaat bagi mahasiswa berkebutuhan khusus. Salah satu media pembelajaran yang memanfaatkan teknologi adalah Powtoon sebagai media presentasi yang dapat diputar berulang-ulang bagi mahasiswa berkebutuhan khusus (slow learners). Powtoon adalah perangkat lunak animasi berbasis web yang memungkinkan siapa saja membuat presentasi animasi dengan memanipulasi objek yang dibuat sebelumnya, gambar yang diimpor, menyediakan musik dan membuat suara yang dibuat pengguna. Powtoon mampu menyajikan materi dengan baik melalui kemampuan visual, teks, grafis, gambar, foto, sound dan animasi. Penelitian ini adalah studi kasus analisa pembelajaran dan persepsi mahasiswa berkebutuhan khusus terhadap penggunaan Powtoon dalam Mata Kuliah Metode Penelitian. Metode penelitian yang digunakan adalah metode kualitatif dengan teknik pengumpulan data melalui observasi dan wawancara. Hasil penelitian menunjukkan bahwa Powtoon dapat memban…","author":[{"dropping-particle":"","family":"Amiludin","given":"Lailatus Sa'adah","non-dropping-particle":"","parse-names":false,"suffix":""},{"dropping-particle":"","family":"Mindhaudah","given":"Mindhaudah","non-dropping-particle":"","parse-names":false,"suffix":""}],"container-title":"SASTRANESIA: Jurnal Program Studi Pendidikan Bahasa dan Sastra Indonesia","id":"ITEM-1","issue":"1","issued":{"date-parts":[["2020"]]},"page":"56","title":"Powtoon: Learning Media To Teach Difable Learner Powtoon: Media Pembelajaran Untuk Mengajar Mahasiswa Berkebutuhan Khusus","type":"article-journal","volume":"8"},"uris":["http://www.mendeley.com/documents/?uuid=0f43d320-af64-4ff6-988b-a43728a4b90c"]}],"mendeley":{"formattedCitation":"[15]","plainTextFormattedCitation":"[15]","previouslyFormattedCitation":"[14]"},"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[15]</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3DF70C2A" w14:textId="36746C98"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Penyampaikan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materi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atau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memanfaatkan</w:t>
      </w:r>
      <w:proofErr w:type="spellEnd"/>
      <w:r w:rsidRPr="00824ACA">
        <w:rPr>
          <w:rFonts w:ascii="Tw Cen MT" w:eastAsia="Twentieth Century" w:hAnsi="Tw Cen MT" w:cs="Twentieth Century"/>
          <w:bCs/>
          <w:sz w:val="24"/>
          <w:szCs w:val="24"/>
        </w:rPr>
        <w:t xml:space="preserve"> media audio-visual, </w:t>
      </w:r>
      <w:proofErr w:type="spellStart"/>
      <w:r w:rsidRPr="00824ACA">
        <w:rPr>
          <w:rFonts w:ascii="Tw Cen MT" w:eastAsia="Twentieth Century" w:hAnsi="Tw Cen MT" w:cs="Twentieth Century"/>
          <w:bCs/>
          <w:sz w:val="24"/>
          <w:szCs w:val="24"/>
        </w:rPr>
        <w:t>menjadi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ditangkap</w:t>
      </w:r>
      <w:proofErr w:type="spellEnd"/>
      <w:r w:rsidRPr="00824ACA">
        <w:rPr>
          <w:rFonts w:ascii="Tw Cen MT" w:eastAsia="Twentieth Century" w:hAnsi="Tw Cen MT" w:cs="Twentieth Century"/>
          <w:bCs/>
          <w:sz w:val="24"/>
          <w:szCs w:val="24"/>
        </w:rPr>
        <w:t xml:space="preserve"> oleh sensor </w:t>
      </w:r>
      <w:proofErr w:type="spellStart"/>
      <w:r w:rsidRPr="00824ACA">
        <w:rPr>
          <w:rFonts w:ascii="Tw Cen MT" w:eastAsia="Twentieth Century" w:hAnsi="Tw Cen MT" w:cs="Twentieth Century"/>
          <w:bCs/>
          <w:sz w:val="24"/>
          <w:szCs w:val="24"/>
        </w:rPr>
        <w:t>motorik</w:t>
      </w:r>
      <w:proofErr w:type="spellEnd"/>
      <w:r w:rsidRPr="00824ACA">
        <w:rPr>
          <w:rFonts w:ascii="Tw Cen MT" w:eastAsia="Twentieth Century" w:hAnsi="Tw Cen MT" w:cs="Twentieth Century"/>
          <w:bCs/>
          <w:sz w:val="24"/>
          <w:szCs w:val="24"/>
        </w:rPr>
        <w:t xml:space="preserve"> dan visual oleh </w:t>
      </w:r>
      <w:proofErr w:type="spellStart"/>
      <w:r w:rsidRPr="00824ACA">
        <w:rPr>
          <w:rFonts w:ascii="Tw Cen MT" w:eastAsia="Twentieth Century" w:hAnsi="Tw Cen MT" w:cs="Twentieth Century"/>
          <w:bCs/>
          <w:sz w:val="24"/>
          <w:szCs w:val="24"/>
        </w:rPr>
        <w:t>otak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otak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memproses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didapat</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disimpan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lama </w:t>
      </w:r>
      <w:proofErr w:type="spellStart"/>
      <w:r w:rsidRPr="00824ACA">
        <w:rPr>
          <w:rFonts w:ascii="Tw Cen MT" w:eastAsia="Twentieth Century" w:hAnsi="Tw Cen MT" w:cs="Twentieth Century"/>
          <w:bCs/>
          <w:sz w:val="24"/>
          <w:szCs w:val="24"/>
        </w:rPr>
        <w:t>didalam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otak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neurotransmitter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cenderung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memperpanjang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impuls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ingatakan</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otak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mengenai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dinilai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dilakukan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selain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memanfaatkan</w:t>
      </w:r>
      <w:proofErr w:type="spellEnd"/>
      <w:r w:rsidRPr="00824ACA">
        <w:rPr>
          <w:rFonts w:ascii="Tw Cen MT" w:eastAsia="Twentieth Century" w:hAnsi="Tw Cen MT" w:cs="Twentieth Century"/>
          <w:bCs/>
          <w:sz w:val="24"/>
          <w:szCs w:val="24"/>
        </w:rPr>
        <w:t xml:space="preserve"> audio-visual, </w:t>
      </w:r>
      <w:proofErr w:type="spellStart"/>
      <w:r w:rsidRPr="00824ACA">
        <w:rPr>
          <w:rFonts w:ascii="Tw Cen MT" w:eastAsia="Twentieth Century" w:hAnsi="Tw Cen MT" w:cs="Twentieth Century"/>
          <w:bCs/>
          <w:sz w:val="24"/>
          <w:szCs w:val="24"/>
        </w:rPr>
        <w:t>namun</w:t>
      </w:r>
      <w:proofErr w:type="spellEnd"/>
      <w:r w:rsidRPr="00824ACA">
        <w:rPr>
          <w:rFonts w:ascii="Tw Cen MT" w:eastAsia="Twentieth Century" w:hAnsi="Tw Cen MT" w:cs="Twentieth Century"/>
          <w:bCs/>
          <w:sz w:val="24"/>
          <w:szCs w:val="24"/>
        </w:rPr>
        <w:t xml:space="preserve"> juga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menghibur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menerima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sehingga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ibu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hamil</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tidak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merasa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bosan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penyampaian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tersebut</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diingat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dapat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divisualisasikan</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{"citationItems":[{"id":"ITEM-1","itemData":{"DOI":"10.1016/j.profnurs.2023.03.020","ISSN":"87557223","abstract":"Background: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author":[{"dropping-particle":"","family":"Kirwan","given":"Anne","non-dropping-particle":"","parse-names":false,"suffix":""},{"dropping-particle":"","family":"Raftery","given":"Sara","non-dropping-particle":"","parse-names":false,"suffix":""},{"dropping-particle":"","family":"Gormley","given":"Clare","non-dropping-particle":"","parse-names":false,"suffix":""}],"container-title":"Journal of Professional Nursing","id":"ITEM-1","issue":"July 2022","issued":{"date-parts":[["2023"]]},"page":"25-30","publisher":"Elsevier Inc.","title":"Sounds good to me: A qualitative study to explore the use of audio to potentiate the student feedback experience","type":"article-journal","volume":"47"},"uris":["http://www.mendeley.com/documents/?uuid=2e928a56-c3a2-47ab-a420-8f908eec3cdd"]}],"mendeley":{"formattedCitation":"[16]","plainTextFormattedCitation":"[16]","previouslyFormattedCitation":"[15]"},"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[16]</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Sebuah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studi</w:t>
      </w:r>
      <w:proofErr w:type="spellEnd"/>
      <w:r w:rsidRPr="00824ACA">
        <w:rPr>
          <w:rFonts w:ascii="Tw Cen MT" w:eastAsia="Twentieth Century" w:hAnsi="Tw Cen MT" w:cs="Twentieth Century"/>
          <w:bCs/>
          <w:sz w:val="24"/>
          <w:szCs w:val="24"/>
        </w:rPr>
        <w:t xml:space="preserve"> di SMK Kesehatan </w:t>
      </w:r>
      <w:proofErr w:type="spellStart"/>
      <w:r w:rsidRPr="00824ACA">
        <w:rPr>
          <w:rFonts w:ascii="Tw Cen MT" w:eastAsia="Twentieth Century" w:hAnsi="Tw Cen MT" w:cs="Twentieth Century"/>
          <w:bCs/>
          <w:sz w:val="24"/>
          <w:szCs w:val="24"/>
        </w:rPr>
        <w:t>Samarinda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penggunaan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pembelajaran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menghasilkan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rata-rata 46,56 pada pre-test </w:t>
      </w:r>
      <w:proofErr w:type="spellStart"/>
      <w:r w:rsidRPr="00824ACA">
        <w:rPr>
          <w:rFonts w:ascii="Tw Cen MT" w:eastAsia="Twentieth Century" w:hAnsi="Tw Cen MT" w:cs="Twentieth Century"/>
          <w:bCs/>
          <w:sz w:val="24"/>
          <w:szCs w:val="24"/>
        </w:rPr>
        <w:t>menjadi</w:t>
      </w:r>
      <w:proofErr w:type="spellEnd"/>
      <w:r w:rsidRPr="00824ACA">
        <w:rPr>
          <w:rFonts w:ascii="Tw Cen MT" w:eastAsia="Twentieth Century" w:hAnsi="Tw Cen MT" w:cs="Twentieth Century"/>
          <w:bCs/>
          <w:sz w:val="24"/>
          <w:szCs w:val="24"/>
        </w:rPr>
        <w:t xml:space="preserve"> 80,31 pada post-test,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nilai</w:t>
      </w:r>
      <w:proofErr w:type="spellEnd"/>
      <w:r w:rsidRPr="00824ACA">
        <w:rPr>
          <w:rFonts w:ascii="Tw Cen MT" w:eastAsia="Twentieth Century" w:hAnsi="Tw Cen MT" w:cs="Twentieth Century"/>
          <w:bCs/>
          <w:sz w:val="24"/>
          <w:szCs w:val="24"/>
        </w:rPr>
        <w:t xml:space="preserve"> p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0,000 yang </w:t>
      </w:r>
      <w:proofErr w:type="spellStart"/>
      <w:r w:rsidRPr="00824ACA">
        <w:rPr>
          <w:rFonts w:ascii="Tw Cen MT" w:eastAsia="Twentieth Century" w:hAnsi="Tw Cen MT" w:cs="Twentieth Century"/>
          <w:bCs/>
          <w:sz w:val="24"/>
          <w:szCs w:val="24"/>
        </w:rPr>
        <w:t>menandakan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perbedaan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statistik</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penyajian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materi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animasi</w:t>
      </w:r>
      <w:proofErr w:type="spellEnd"/>
      <w:r w:rsidRPr="00824ACA">
        <w:rPr>
          <w:rFonts w:ascii="Tw Cen MT" w:eastAsia="Twentieth Century" w:hAnsi="Tw Cen MT" w:cs="Twentieth Century"/>
          <w:bCs/>
          <w:sz w:val="24"/>
          <w:szCs w:val="24"/>
        </w:rPr>
        <w:t xml:space="preserve"> dan visual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membuat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fokus</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termotivasi</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juga </w:t>
      </w:r>
      <w:proofErr w:type="spellStart"/>
      <w:r w:rsidRPr="00824ACA">
        <w:rPr>
          <w:rFonts w:ascii="Tw Cen MT" w:eastAsia="Twentieth Century" w:hAnsi="Tw Cen MT" w:cs="Twentieth Century"/>
          <w:bCs/>
          <w:sz w:val="24"/>
          <w:szCs w:val="24"/>
        </w:rPr>
        <w:t>menyediakan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pengalaman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belajar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interaktif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keterlibatan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Selain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menyajikan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materi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sistematis</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terorganisir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mempermudah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pemahaman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pengulangan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elemen</w:t>
      </w:r>
      <w:proofErr w:type="spellEnd"/>
      <w:r w:rsidRPr="00824ACA">
        <w:rPr>
          <w:rFonts w:ascii="Tw Cen MT" w:eastAsia="Twentieth Century" w:hAnsi="Tw Cen MT" w:cs="Twentieth Century"/>
          <w:bCs/>
          <w:sz w:val="24"/>
          <w:szCs w:val="24"/>
        </w:rPr>
        <w:t xml:space="preserve"> multimedia yang </w:t>
      </w:r>
      <w:proofErr w:type="spellStart"/>
      <w:r w:rsidRPr="00824ACA">
        <w:rPr>
          <w:rFonts w:ascii="Tw Cen MT" w:eastAsia="Twentieth Century" w:hAnsi="Tw Cen MT" w:cs="Twentieth Century"/>
          <w:bCs/>
          <w:sz w:val="24"/>
          <w:szCs w:val="24"/>
        </w:rPr>
        <w:t>beragam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mampu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mengakomodasi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berbagai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belajar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siswa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membantu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mereka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memahami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mengingat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{"citationItems":[{"id":"ITEM-1","itemData":{"author":[{"dropping-particle":"","family":"Sari","given":"Anisa Permata","non-dropping-particle":"","parse-names":false,"suffix":""}],"id":"ITEM-1","issue":"1","issued":{"date-parts":[["2024"]]},"page":"15-23","title":"The Effect of Using Powtoon Interactive Learning Media to Improve Learning Outcomes in Class X Informatics Subjects at SMK Kesehatan Samarinda","type":"article-journal","volume":"5"},"uris":["http://www.mendeley.com/documents/?uuid=44045325-56cf-4151-bc39-4267e9ede647"]}],"mendeley":{"formattedCitation":"[17]","plainTextFormattedCitation":"[17]","previouslyFormattedCitation":"[16]"},"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[17]</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499A7927" w14:textId="77777777"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Analisis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menggunakan</w:t>
      </w:r>
      <w:proofErr w:type="spellEnd"/>
      <w:r w:rsidRPr="00824ACA">
        <w:rPr>
          <w:rFonts w:ascii="Tw Cen MT" w:eastAsia="Twentieth Century" w:hAnsi="Tw Cen MT" w:cs="Twentieth Century"/>
          <w:bCs/>
          <w:sz w:val="24"/>
          <w:szCs w:val="24"/>
        </w:rPr>
        <w:t xml:space="preserve"> uji </w:t>
      </w:r>
      <w:proofErr w:type="spellStart"/>
      <w:r w:rsidRPr="00824ACA">
        <w:rPr>
          <w:rFonts w:ascii="Tw Cen MT" w:eastAsia="Twentieth Century" w:hAnsi="Tw Cen MT" w:cs="Twentieth Century"/>
          <w:bCs/>
          <w:sz w:val="24"/>
          <w:szCs w:val="24"/>
        </w:rPr>
        <w:t>statistik</w:t>
      </w:r>
      <w:proofErr w:type="spellEnd"/>
      <w:r w:rsidRPr="00824ACA">
        <w:rPr>
          <w:rFonts w:ascii="Tw Cen MT" w:eastAsia="Twentieth Century" w:hAnsi="Tw Cen MT" w:cs="Twentieth Century"/>
          <w:bCs/>
          <w:sz w:val="24"/>
          <w:szCs w:val="24"/>
        </w:rPr>
        <w:t xml:space="preserve"> non-</w:t>
      </w:r>
      <w:proofErr w:type="spellStart"/>
      <w:r w:rsidRPr="00824ACA">
        <w:rPr>
          <w:rFonts w:ascii="Tw Cen MT" w:eastAsia="Twentieth Century" w:hAnsi="Tw Cen MT" w:cs="Twentieth Century"/>
          <w:bCs/>
          <w:sz w:val="24"/>
          <w:szCs w:val="24"/>
        </w:rPr>
        <w:t>parametrik</w:t>
      </w:r>
      <w:proofErr w:type="spellEnd"/>
      <w:r w:rsidRPr="00824ACA">
        <w:rPr>
          <w:rFonts w:ascii="Tw Cen MT" w:eastAsia="Twentieth Century" w:hAnsi="Tw Cen MT" w:cs="Twentieth Century"/>
          <w:bCs/>
          <w:sz w:val="24"/>
          <w:szCs w:val="24"/>
        </w:rPr>
        <w:t xml:space="preserve"> Mann-Whitney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media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dibandingkan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di Wilayah </w:t>
      </w:r>
      <w:proofErr w:type="spellStart"/>
      <w:r w:rsidRPr="00824ACA">
        <w:rPr>
          <w:rFonts w:ascii="Tw Cen MT" w:eastAsia="Twentieth Century" w:hAnsi="Tw Cen MT" w:cs="Twentieth Century"/>
          <w:bCs/>
          <w:sz w:val="24"/>
          <w:szCs w:val="24"/>
        </w:rPr>
        <w:t>Kerja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Buaran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Kabupaten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Pekalongan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Powtoon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adalah</w:t>
      </w:r>
      <w:proofErr w:type="spellEnd"/>
      <w:r w:rsidRPr="00824ACA">
        <w:rPr>
          <w:rFonts w:ascii="Tw Cen MT" w:eastAsia="Twentieth Century" w:hAnsi="Tw Cen MT" w:cs="Twentieth Century"/>
          <w:bCs/>
          <w:sz w:val="24"/>
          <w:szCs w:val="24"/>
        </w:rPr>
        <w:t xml:space="preserve"> platform </w:t>
      </w:r>
      <w:proofErr w:type="spellStart"/>
      <w:r w:rsidRPr="00824ACA">
        <w:rPr>
          <w:rFonts w:ascii="Tw Cen MT" w:eastAsia="Twentieth Century" w:hAnsi="Tw Cen MT" w:cs="Twentieth Century"/>
          <w:bCs/>
          <w:sz w:val="24"/>
          <w:szCs w:val="24"/>
        </w:rPr>
        <w:t>animasi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berbasis</w:t>
      </w:r>
      <w:proofErr w:type="spellEnd"/>
      <w:r w:rsidRPr="00824ACA">
        <w:rPr>
          <w:rFonts w:ascii="Tw Cen MT" w:eastAsia="Twentieth Century" w:hAnsi="Tw Cen MT" w:cs="Twentieth Century"/>
          <w:bCs/>
          <w:sz w:val="24"/>
          <w:szCs w:val="24"/>
        </w:rPr>
        <w:t xml:space="preserve"> web yang </w:t>
      </w:r>
      <w:proofErr w:type="spellStart"/>
      <w:r w:rsidRPr="00824ACA">
        <w:rPr>
          <w:rFonts w:ascii="Tw Cen MT" w:eastAsia="Twentieth Century" w:hAnsi="Tw Cen MT" w:cs="Twentieth Century"/>
          <w:bCs/>
          <w:sz w:val="24"/>
          <w:szCs w:val="24"/>
        </w:rPr>
        <w:t>memungkinkan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pengguna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presentasi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animasi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mengedit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objek</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telah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ada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mengimpor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gambar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serta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menambahkan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musik</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sulih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suara</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{"citationItems":[{"id":"ITEM-1","itemData":{"author":[{"dropping-particle":"","family":"Dewi, IK; Sofya","given":"R","non-dropping-particle":"","parse-names":false,"suffix":""}],"edition":"1","id":"ITEM-1","issued":{"date-parts":[["2021"]]},"publisher":"UNP Press","publisher-place":"Padang","title":"Membuat Media Pembelajaran Inovatif dengan Aplikasi Articulate Storyline 3","type":"book"},"uris":["http://www.mendeley.com/documents/?uuid=492c9b82-d050-47bd-8dc4-bcae34197ba4"]}],"mendeley":{"formattedCitation":"[18]","plainTextFormattedCitation":"[18]","previouslyFormattedCitation":"[17]"},"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[18]</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4626BB76" w14:textId="77777777" w:rsidR="00824ACA" w:rsidRPr="00824ACA" w:rsidRDefault="00824ACA" w:rsidP="00816B99">
      <w:pPr>
        <w:pStyle w:val="DaftarParagraf"/>
        <w:tabs>
          <w:tab w:val="left" w:pos="426"/>
        </w:tabs>
        <w:spacing w:after="0" w:line="240" w:lineRule="auto"/>
        <w:ind w:left="0"/>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kombinasi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dan video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gigi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mulut</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ibu-ibu</w:t>
      </w:r>
      <w:proofErr w:type="spellEnd"/>
      <w:r w:rsidRPr="00824ACA">
        <w:rPr>
          <w:rFonts w:ascii="Tw Cen MT" w:eastAsia="Twentieth Century" w:hAnsi="Tw Cen MT" w:cs="Twentieth Century"/>
          <w:bCs/>
          <w:sz w:val="24"/>
          <w:szCs w:val="24"/>
        </w:rPr>
        <w:t xml:space="preserve"> di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Purwokerto</w:t>
      </w:r>
      <w:proofErr w:type="spellEnd"/>
      <w:r w:rsidRPr="00824ACA">
        <w:rPr>
          <w:rFonts w:ascii="Tw Cen MT" w:eastAsia="Twentieth Century" w:hAnsi="Tw Cen MT" w:cs="Twentieth Century"/>
          <w:bCs/>
          <w:sz w:val="24"/>
          <w:szCs w:val="24"/>
        </w:rPr>
        <w:t xml:space="preserve"> Utara I,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30,3%. </w:t>
      </w:r>
      <w:proofErr w:type="spellStart"/>
      <w:r w:rsidRPr="00824ACA">
        <w:rPr>
          <w:rFonts w:ascii="Tw Cen MT" w:eastAsia="Twentieth Century" w:hAnsi="Tw Cen MT" w:cs="Twentieth Century"/>
          <w:bCs/>
          <w:sz w:val="24"/>
          <w:szCs w:val="24"/>
        </w:rPr>
        <w:t>Penggunaan</w:t>
      </w:r>
      <w:proofErr w:type="spellEnd"/>
      <w:r w:rsidRPr="00824ACA">
        <w:rPr>
          <w:rFonts w:ascii="Tw Cen MT" w:eastAsia="Twentieth Century" w:hAnsi="Tw Cen MT" w:cs="Twentieth Century"/>
          <w:bCs/>
          <w:sz w:val="24"/>
          <w:szCs w:val="24"/>
        </w:rPr>
        <w:t xml:space="preserve"> video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membantu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memperjelas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membuat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sementara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verbal </w:t>
      </w:r>
      <w:proofErr w:type="spellStart"/>
      <w:r w:rsidRPr="00824ACA">
        <w:rPr>
          <w:rFonts w:ascii="Tw Cen MT" w:eastAsia="Twentieth Century" w:hAnsi="Tw Cen MT" w:cs="Twentieth Century"/>
          <w:bCs/>
          <w:sz w:val="24"/>
          <w:szCs w:val="24"/>
        </w:rPr>
        <w:t>langsung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Gabungan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mengintegrasikan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visualisasi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penjelasan</w:t>
      </w:r>
      <w:proofErr w:type="spellEnd"/>
      <w:r w:rsidRPr="00824ACA">
        <w:rPr>
          <w:rFonts w:ascii="Tw Cen MT" w:eastAsia="Twentieth Century" w:hAnsi="Tw Cen MT" w:cs="Twentieth Century"/>
          <w:bCs/>
          <w:sz w:val="24"/>
          <w:szCs w:val="24"/>
        </w:rPr>
        <w:t xml:space="preserve"> verbal,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keterlibatan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retensi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mengakomodasi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berbagai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belajar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menunjukkan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bahwa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kombinasi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dan video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signifikan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kesehatan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gigi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mulut</w:t>
      </w:r>
      <w:proofErr w:type="spellEnd"/>
      <w:r w:rsidRPr="00824ACA">
        <w:rPr>
          <w:rFonts w:ascii="Tw Cen MT" w:eastAsia="Twentieth Century" w:hAnsi="Tw Cen MT" w:cs="Twentieth Century"/>
          <w:bCs/>
          <w:sz w:val="24"/>
          <w:szCs w:val="24"/>
        </w:rPr>
        <w:t xml:space="preserve"> pada </w:t>
      </w:r>
      <w:proofErr w:type="spellStart"/>
      <w:r w:rsidRPr="00824ACA">
        <w:rPr>
          <w:rFonts w:ascii="Tw Cen MT" w:eastAsia="Twentieth Century" w:hAnsi="Tw Cen MT" w:cs="Twentieth Century"/>
          <w:bCs/>
          <w:sz w:val="24"/>
          <w:szCs w:val="24"/>
        </w:rPr>
        <w:t>ibu-ibu</w:t>
      </w:r>
      <w:proofErr w:type="spellEnd"/>
      <w:r w:rsidRPr="00824ACA">
        <w:rPr>
          <w:rFonts w:ascii="Tw Cen MT" w:eastAsia="Twentieth Century" w:hAnsi="Tw Cen MT" w:cs="Twentieth Century"/>
          <w:bCs/>
          <w:sz w:val="24"/>
          <w:szCs w:val="24"/>
        </w:rPr>
        <w:t xml:space="preserve"> di </w:t>
      </w:r>
      <w:proofErr w:type="spellStart"/>
      <w:r w:rsidRPr="00824ACA">
        <w:rPr>
          <w:rFonts w:ascii="Tw Cen MT" w:eastAsia="Twentieth Century" w:hAnsi="Tw Cen MT" w:cs="Twentieth Century"/>
          <w:bCs/>
          <w:sz w:val="24"/>
          <w:szCs w:val="24"/>
        </w:rPr>
        <w:t>Puskesmas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Purwokerto</w:t>
      </w:r>
      <w:proofErr w:type="spellEnd"/>
      <w:r w:rsidRPr="00824ACA">
        <w:rPr>
          <w:rFonts w:ascii="Tw Cen MT" w:eastAsia="Twentieth Century" w:hAnsi="Tw Cen MT" w:cs="Twentieth Century"/>
          <w:bCs/>
          <w:sz w:val="24"/>
          <w:szCs w:val="24"/>
        </w:rPr>
        <w:t xml:space="preserve"> Utara I,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peningkatan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sebesar</w:t>
      </w:r>
      <w:proofErr w:type="spellEnd"/>
      <w:r w:rsidRPr="00824ACA">
        <w:rPr>
          <w:rFonts w:ascii="Tw Cen MT" w:eastAsia="Twentieth Century" w:hAnsi="Tw Cen MT" w:cs="Twentieth Century"/>
          <w:bCs/>
          <w:sz w:val="24"/>
          <w:szCs w:val="24"/>
        </w:rPr>
        <w:t xml:space="preserve"> 30,3%. </w:t>
      </w:r>
      <w:proofErr w:type="spellStart"/>
      <w:r w:rsidRPr="00824ACA">
        <w:rPr>
          <w:rFonts w:ascii="Tw Cen MT" w:eastAsia="Twentieth Century" w:hAnsi="Tw Cen MT" w:cs="Twentieth Century"/>
          <w:bCs/>
          <w:sz w:val="24"/>
          <w:szCs w:val="24"/>
        </w:rPr>
        <w:t>Penggunaan</w:t>
      </w:r>
      <w:proofErr w:type="spellEnd"/>
      <w:r w:rsidRPr="00824ACA">
        <w:rPr>
          <w:rFonts w:ascii="Tw Cen MT" w:eastAsia="Twentieth Century" w:hAnsi="Tw Cen MT" w:cs="Twentieth Century"/>
          <w:bCs/>
          <w:sz w:val="24"/>
          <w:szCs w:val="24"/>
        </w:rPr>
        <w:t xml:space="preserve"> video </w:t>
      </w:r>
      <w:proofErr w:type="spellStart"/>
      <w:r w:rsidRPr="00824ACA">
        <w:rPr>
          <w:rFonts w:ascii="Tw Cen MT" w:eastAsia="Twentieth Century" w:hAnsi="Tw Cen MT" w:cs="Twentieth Century"/>
          <w:bCs/>
          <w:sz w:val="24"/>
          <w:szCs w:val="24"/>
        </w:rPr>
        <w:t>edukasi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membantu</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memperjelas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membuat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sementara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verbal </w:t>
      </w:r>
      <w:proofErr w:type="spellStart"/>
      <w:r w:rsidRPr="00824ACA">
        <w:rPr>
          <w:rFonts w:ascii="Tw Cen MT" w:eastAsia="Twentieth Century" w:hAnsi="Tw Cen MT" w:cs="Twentieth Century"/>
          <w:bCs/>
          <w:sz w:val="24"/>
          <w:szCs w:val="24"/>
        </w:rPr>
        <w:t>langsung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Gabungan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karena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mengintegrasikan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visualisasi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penjelasan</w:t>
      </w:r>
      <w:proofErr w:type="spellEnd"/>
      <w:r w:rsidRPr="00824ACA">
        <w:rPr>
          <w:rFonts w:ascii="Tw Cen MT" w:eastAsia="Twentieth Century" w:hAnsi="Tw Cen MT" w:cs="Twentieth Century"/>
          <w:bCs/>
          <w:sz w:val="24"/>
          <w:szCs w:val="24"/>
        </w:rPr>
        <w:t xml:space="preserve"> verbal,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keterlibatan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retensi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mengakomodasi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berbagai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gaya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belajar</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{"citationItems":[{"id":"ITEM-1","itemData":{"DOI":"10.36418/syntax-literate.v7i2.6246","ISSN":"2541-0849","abstract":"Kesehatan gigi dan mulut anak di Indonesia masih didominasi oleh penyakit karies gigi. Prevalensi perawatan gigi merupakan hal yang sulit dilakukan oleh anak usia 3-5 tahun karena anak pada usia ini masih harus dibimbing untuk membedakan mana yang benar dan mana yang salah. Faktor yang sangat berpengaruh pada kesehatan gigi dan mulut anak balita yaitu dari tingkat pengetahuan ibu. Pengetahuan dapat ditingkatkan melalui penyuluhan. Penyuluhan dengan metode ceramah dapat mudah diterima dengan dibantu kombinasi tambahan media. Media Audio Visual merupakan salah satu alat peraga yang bersifat dapat didengar dan dapat dilihat yang dapat membantu dalam belajar mengajar yang berfungsi memperjelas atau mempermudah dalam memahami bahasa yang sedang dipelajari. Tujuan penelitian ini untuk mengetahui pengaruh pemberian penyuluhan dengan media video edukasi terhadap pengetahuan kesehatan gigi dan mulut balita pada ibu di wilayah kerja Puskesmas Purwokerto Utara I. Penelitian ini menggunakan jenis penelitian pre eksperimental dengan rancangan penelitian yang digunakan yaitu one group pre and posttest design tanpa dilakukan adanya kelompok pembanding. Sampel dilakukan pada ibu yang datang sambil melakukan imunisasi balitanya di Puskesmas Purwokerto Utara I. Kegiatan penyuluhan dilakukan dengan metode individual kepada ibu yang datang secara bergantian sambil melakukan imunisasi di Puskesmas Purwokerto Utara I. Jumlah ibu yang berkenan mengisi kegiatan hingga akhir dari mulai pre test, penyuluhan, dan post test yaitu sebanyak 20 orang. Berdasarkan hasil penelitian menunjukkan bahwa pemberian penyuluhan kesehatan gigi dan mulut dengan kombinasi metode cerama dan media video edukasi dapat berpengaruh terhadap pengetahuan ibu di wilayah Puskesmas Purwokerto Utara I sebesar 30,3%.","author":[{"dropping-particle":"","family":"Prakosa","given":"Aditya Priagung","non-dropping-particle":"","parse-names":false,"suffix":""},{"dropping-particle":"","family":"Kurniawan","given":"Aris Aji","non-dropping-particle":"","parse-names":false,"suffix":""},{"dropping-particle":"","family":"Laksitasari","given":"Anindita","non-dropping-particle":"","parse-names":false,"suffix":""},{"dropping-particle":"","family":"Triani","given":"Maulina","non-dropping-particle":"","parse-names":false,"suffix":""},{"dropping-particle":"","family":"Ashar","given":"Fadli","non-dropping-particle":"","parse-names":false,"suffix":""}],"container-title":"Syntax Literate ; Jurnal Ilmiah Indonesia","id":"ITEM-1","issue":"2","issued":{"date-parts":[["2022"]]},"page":"2496","title":"Pengaruh Pemberian Penyuluhan dengan Kombinasi Metode Ceramah dan Media Video Edukasi terhadap Pengetahuan Kesehatan Gigi dan Mulut Balita pada Ibu di Wilayah Puskesmas Purwokerto Utara I","type":"article-journal","volume":"7"},"uris":["http://www.mendeley.com/documents/?uuid=beb60d63-504d-4f0d-8c8d-a7e6e43b0195"]}],"mendeley":{"formattedCitation":"[19]","plainTextFormattedCitation":"[19]","previouslyFormattedCitation":"[18]"},"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[19]</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 xml:space="preserve">. </w:t>
      </w:r>
    </w:p>
    <w:p w14:paraId="1CD17CBA" w14:textId="70523BD8" w:rsidR="00766A76" w:rsidRPr="00824ACA" w:rsidRDefault="00824ACA" w:rsidP="00D0082B">
      <w:pPr>
        <w:tabs>
          <w:tab w:val="left" w:pos="426"/>
        </w:tabs>
        <w:spacing w:after="0" w:line="240" w:lineRule="auto"/>
        <w:jc w:val="both"/>
        <w:rPr>
          <w:rFonts w:ascii="Tw Cen MT" w:eastAsia="Twentieth Century" w:hAnsi="Tw Cen MT" w:cs="Twentieth Century"/>
          <w:bCs/>
          <w:sz w:val="24"/>
          <w:szCs w:val="24"/>
        </w:rPr>
      </w:pPr>
      <w:proofErr w:type="spellStart"/>
      <w:r w:rsidRPr="00824ACA">
        <w:rPr>
          <w:rFonts w:ascii="Tw Cen MT" w:eastAsia="Twentieth Century" w:hAnsi="Tw Cen MT" w:cs="Twentieth Century"/>
          <w:bCs/>
          <w:sz w:val="24"/>
          <w:szCs w:val="24"/>
        </w:rPr>
        <w:lastRenderedPageBreak/>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penelitian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tentang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pencegahan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kanker</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serviks</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kombinasi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pemutaran</w:t>
      </w:r>
      <w:proofErr w:type="spellEnd"/>
      <w:r w:rsidRPr="00824ACA">
        <w:rPr>
          <w:rFonts w:ascii="Tw Cen MT" w:eastAsia="Twentieth Century" w:hAnsi="Tw Cen MT" w:cs="Twentieth Century"/>
          <w:bCs/>
          <w:sz w:val="24"/>
          <w:szCs w:val="24"/>
        </w:rPr>
        <w:t xml:space="preserve"> video </w:t>
      </w:r>
      <w:proofErr w:type="spellStart"/>
      <w:r w:rsidRPr="00824ACA">
        <w:rPr>
          <w:rFonts w:ascii="Tw Cen MT" w:eastAsia="Twentieth Century" w:hAnsi="Tw Cen MT" w:cs="Twentieth Century"/>
          <w:bCs/>
          <w:sz w:val="24"/>
          <w:szCs w:val="24"/>
        </w:rPr>
        <w:t>terbukti</w:t>
      </w:r>
      <w:proofErr w:type="spellEnd"/>
      <w:r w:rsidRPr="00824ACA">
        <w:rPr>
          <w:rFonts w:ascii="Tw Cen MT" w:eastAsia="Twentieth Century" w:hAnsi="Tw Cen MT" w:cs="Twentieth Century"/>
          <w:bCs/>
          <w:sz w:val="24"/>
          <w:szCs w:val="24"/>
        </w:rPr>
        <w:t xml:space="preserve"> sangat </w:t>
      </w:r>
      <w:proofErr w:type="spellStart"/>
      <w:r w:rsidRPr="00824ACA">
        <w:rPr>
          <w:rFonts w:ascii="Tw Cen MT" w:eastAsia="Twentieth Century" w:hAnsi="Tw Cen MT" w:cs="Twentieth Century"/>
          <w:bCs/>
          <w:sz w:val="24"/>
          <w:szCs w:val="24"/>
        </w:rPr>
        <w:t>efektif</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dalam</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pengetahuan</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motivasi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mahasiswi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Metode</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ceramah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memberikan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penjelasan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langsung</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dari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penyuluh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sementara</w:t>
      </w:r>
      <w:proofErr w:type="spellEnd"/>
      <w:r w:rsidRPr="00824ACA">
        <w:rPr>
          <w:rFonts w:ascii="Tw Cen MT" w:eastAsia="Twentieth Century" w:hAnsi="Tw Cen MT" w:cs="Twentieth Century"/>
          <w:bCs/>
          <w:sz w:val="24"/>
          <w:szCs w:val="24"/>
        </w:rPr>
        <w:t xml:space="preserve"> video</w:t>
      </w:r>
      <w:r w:rsidR="00816B99">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t xml:space="preserve">audiovisual </w:t>
      </w:r>
      <w:proofErr w:type="spellStart"/>
      <w:r w:rsidRPr="00824ACA">
        <w:rPr>
          <w:rFonts w:ascii="Tw Cen MT" w:eastAsia="Twentieth Century" w:hAnsi="Tw Cen MT" w:cs="Twentieth Century"/>
          <w:bCs/>
          <w:sz w:val="24"/>
          <w:szCs w:val="24"/>
        </w:rPr>
        <w:t>memperjelas</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memperkuat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pesan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visual dan </w:t>
      </w:r>
      <w:proofErr w:type="spellStart"/>
      <w:r w:rsidRPr="00824ACA">
        <w:rPr>
          <w:rFonts w:ascii="Tw Cen MT" w:eastAsia="Twentieth Century" w:hAnsi="Tw Cen MT" w:cs="Twentieth Century"/>
          <w:bCs/>
          <w:sz w:val="24"/>
          <w:szCs w:val="24"/>
        </w:rPr>
        <w:t>suara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Penggunaan</w:t>
      </w:r>
      <w:proofErr w:type="spellEnd"/>
      <w:r w:rsidRPr="00824ACA">
        <w:rPr>
          <w:rFonts w:ascii="Tw Cen MT" w:eastAsia="Twentieth Century" w:hAnsi="Tw Cen MT" w:cs="Twentieth Century"/>
          <w:bCs/>
          <w:sz w:val="24"/>
          <w:szCs w:val="24"/>
        </w:rPr>
        <w:t xml:space="preserve"> media video juga </w:t>
      </w:r>
      <w:proofErr w:type="spellStart"/>
      <w:r w:rsidRPr="00824ACA">
        <w:rPr>
          <w:rFonts w:ascii="Tw Cen MT" w:eastAsia="Twentieth Century" w:hAnsi="Tw Cen MT" w:cs="Twentieth Century"/>
          <w:bCs/>
          <w:sz w:val="24"/>
          <w:szCs w:val="24"/>
        </w:rPr>
        <w:t>meningkatkan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keterlibatan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peserta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dengan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membuat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materi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mudah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dipahami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Kombinasi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memperkuat</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pesan</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disampaikan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menjadikannya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lebih</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berdampak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Secara</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keseluruhan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pendekatan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menawarkan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cara</w:t>
      </w:r>
      <w:proofErr w:type="spellEnd"/>
      <w:r w:rsidRPr="00824ACA">
        <w:rPr>
          <w:rFonts w:ascii="Tw Cen MT" w:eastAsia="Twentieth Century" w:hAnsi="Tw Cen MT" w:cs="Twentieth Century"/>
          <w:bCs/>
          <w:sz w:val="24"/>
          <w:szCs w:val="24"/>
        </w:rPr>
        <w:t xml:space="preserve"> yang </w:t>
      </w:r>
      <w:proofErr w:type="spellStart"/>
      <w:r w:rsidRPr="00824ACA">
        <w:rPr>
          <w:rFonts w:ascii="Tw Cen MT" w:eastAsia="Twentieth Century" w:hAnsi="Tw Cen MT" w:cs="Twentieth Century"/>
          <w:bCs/>
          <w:sz w:val="24"/>
          <w:szCs w:val="24"/>
        </w:rPr>
        <w:t>komprehensif</w:t>
      </w:r>
      <w:proofErr w:type="spellEnd"/>
      <w:r w:rsidRPr="00824ACA">
        <w:rPr>
          <w:rFonts w:ascii="Tw Cen MT" w:eastAsia="Twentieth Century" w:hAnsi="Tw Cen MT" w:cs="Twentieth Century"/>
          <w:bCs/>
          <w:sz w:val="24"/>
          <w:szCs w:val="24"/>
        </w:rPr>
        <w:t xml:space="preserve"> dan </w:t>
      </w:r>
      <w:proofErr w:type="spellStart"/>
      <w:r w:rsidRPr="00824ACA">
        <w:rPr>
          <w:rFonts w:ascii="Tw Cen MT" w:eastAsia="Twentieth Century" w:hAnsi="Tw Cen MT" w:cs="Twentieth Century"/>
          <w:bCs/>
          <w:sz w:val="24"/>
          <w:szCs w:val="24"/>
        </w:rPr>
        <w:t>menarik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untuk</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menyampaikan</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informasi</w:t>
      </w:r>
      <w:proofErr w:type="spellEnd"/>
      <w:r w:rsidRPr="00824ACA">
        <w:rPr>
          <w:rFonts w:ascii="Tw Cen MT" w:eastAsia="Twentieth Century" w:hAnsi="Tw Cen MT" w:cs="Twentieth Century"/>
          <w:bCs/>
          <w:sz w:val="24"/>
          <w:szCs w:val="24"/>
        </w:rPr>
        <w:t xml:space="preserve"> </w:t>
      </w:r>
      <w:proofErr w:type="spellStart"/>
      <w:r w:rsidRPr="00824ACA">
        <w:rPr>
          <w:rFonts w:ascii="Tw Cen MT" w:eastAsia="Twentieth Century" w:hAnsi="Tw Cen MT" w:cs="Twentieth Century"/>
          <w:bCs/>
          <w:sz w:val="24"/>
          <w:szCs w:val="24"/>
        </w:rPr>
        <w:t>penting</w:t>
      </w:r>
      <w:proofErr w:type="spellEnd"/>
      <w:r w:rsidRPr="00824ACA">
        <w:rPr>
          <w:rFonts w:ascii="Tw Cen MT" w:eastAsia="Twentieth Century" w:hAnsi="Tw Cen MT" w:cs="Twentieth Century"/>
          <w:bCs/>
          <w:sz w:val="24"/>
          <w:szCs w:val="24"/>
        </w:rPr>
        <w:t xml:space="preserve"> </w:t>
      </w:r>
      <w:r w:rsidRPr="00824ACA">
        <w:rPr>
          <w:rFonts w:ascii="Tw Cen MT" w:eastAsia="Twentieth Century" w:hAnsi="Tw Cen MT" w:cs="Twentieth Century"/>
          <w:bCs/>
          <w:sz w:val="24"/>
          <w:szCs w:val="24"/>
        </w:rPr>
        <w:fldChar w:fldCharType="begin" w:fldLock="1"/>
      </w:r>
      <w:r w:rsidRPr="00824ACA">
        <w:rPr>
          <w:rFonts w:ascii="Tw Cen MT" w:eastAsia="Twentieth Century" w:hAnsi="Tw Cen MT" w:cs="Twentieth Century"/>
          <w:bCs/>
          <w:sz w:val="24"/>
          <w:szCs w:val="24"/>
        </w:rPr>
        <w:instrText>ADDIN CSL_CITATION {"citationItems":[{"id":"ITEM-1","itemData":{"DOI":"10.56338/mppki.v6i12.3974","abstract":"Latar belakang: Kanker serviks merupakan tumor ganas yang tumbuh di bagian leher Rahim. Di negara berkembang kanker serviks menduduki urutan nomor dua setelah kanker payudara. Salah satu penyebab tingginya persentase kanker serviks di Indonesia adalah rendahnya pemantauan sejak dini. Profil kesehatan Indonesia menunjukkan untuk Provinsi Aceh pemantauan dini kanker serviks pada WUS hanya 2,6%, Hal tesebut membuktikan bahwa pengetahuan dan motivasi terhadap pencegahan dini kanker serviks masih sangat rendah di Aceh.\r Tujuan: Penelitian ini bertujuan untuk mengetahui efektivitas metode ceramah dan pemutaran video terhadap pengetahuan dan motivasi dalam upaya pencegahan kanker serviks pada Mahasiswi Fakultas Hukum Universitas Muhammadiyah Aceh Tahun 2023.\r Metode: Penelitian ini merupakan penelitian kuantitatif dengan desain Pre-Eksperimental one group pretest-posttest. Populasi dalam penelitian ini adalah seluruh mahasiswi Fakultas Hukum Universitas Muhammadiyah Aceh Tahun Angkatan 2022 yaitu sebanyak 67 orang. Pengambilan sampel dilakukan secara total populasi melalui penyebaran angket. Pelaksanaan Pre-Test dan Intervensi dilakukan pada Tanggal 2 Januari, dan pelaksanaan Post- Test dilakukan satu minggu kemudian pada Tanggal 9 Januari 2023. Analisis data menggunakan uji Paired Sampel T Test dengan program computer SPSS 25.\r Hasil: Hasil uji statistik menggunakan T-test Independent dalam penelitian ini menunjukkan bahwa nilai rata-rata pengetahuan responden sebelum dilakukan intervensi pada kelompok ceramah yaitu 9.00, setelah dilakukan intervensi mengalami peningkatan menjadi 11.82. dan nilai rata-rata motivasi responden sebelum dilakukan intervensi pada kelompok ceramah yaitu 8.76 kemudian mengalami peningkatan juga menjadi 13.44. sedangkan pada kelompok pemutaran video nilai rata-rata pengetahuan responden sebelum dilakukan intervensi yaitu 8.87, kemudian meningkat menjadi 13.67. dan nilai rata-rata motivasi responden sebelum di lakukan intervensi dengan metode pemutaran video yaitu 9.15, meningkat menjadi 16.36 setelah intervensi.\r Kesimpulan: Metode pemutaran video diketahui lebih efektif untuk meningkatkan pengetahuan dan motivasi mahasiswi dalam upaya pencegahan kanker serviks pada Mahasisiwi Fakultas Hukum Universitas Muhammadiyah Aceh tahun 2023.","author":[{"dropping-particle":"","family":"Fauzi","given":"Raihanil Fitri","non-dropping-particle":"","parse-names":false,"suffix":""},{"dropping-particle":"","family":"Agustina","given":"","non-dropping-particle":"","parse-names":false,"suffix":""},{"dropping-particle":"","family":"Wardiati","given":"","non-dropping-particle":"","parse-names":false,"suffix":""}],"container-title":"Media Publikasi Promosi Kesehatan Indonesia (MPPKI)","id":"ITEM-1","issue":"12","issued":{"date-parts":[["2023"]]},"page":"2533-2538","title":"Efektivitas Metode Ceramah dan Pemutaran Video terhadap Peningkatan Pengetahuan dan Motivasi dalam Upaya Pencegahan Kanker Serviks pada Mahasiswi Fakultas Hukum Universitas Muhammadiyah Aceh Tahun 2023","type":"article-journal","volume":"6"},"uris":["http://www.mendeley.com/documents/?uuid=01131f57-fb92-46a7-8074-4c3d6e757d16"]}],"mendeley":{"formattedCitation":"[20]","plainTextFormattedCitation":"[20]","previouslyFormattedCitation":"[19]"},"properties":{"noteIndex":0},"schema":"https://github.com/citation-style-language/schema/raw/master/csl-citation.json"}</w:instrText>
      </w:r>
      <w:r w:rsidRPr="00824ACA">
        <w:rPr>
          <w:rFonts w:ascii="Tw Cen MT" w:eastAsia="Twentieth Century" w:hAnsi="Tw Cen MT" w:cs="Twentieth Century"/>
          <w:bCs/>
          <w:sz w:val="24"/>
          <w:szCs w:val="24"/>
        </w:rPr>
        <w:fldChar w:fldCharType="separate"/>
      </w:r>
      <w:r w:rsidRPr="00824ACA">
        <w:rPr>
          <w:rFonts w:ascii="Tw Cen MT" w:eastAsia="Twentieth Century" w:hAnsi="Tw Cen MT" w:cs="Twentieth Century"/>
          <w:bCs/>
          <w:noProof/>
          <w:sz w:val="24"/>
          <w:szCs w:val="24"/>
        </w:rPr>
        <w:t>[20]</w:t>
      </w:r>
      <w:r w:rsidRPr="00824ACA">
        <w:rPr>
          <w:rFonts w:ascii="Tw Cen MT" w:eastAsia="Twentieth Century" w:hAnsi="Tw Cen MT" w:cs="Twentieth Century"/>
          <w:bCs/>
          <w:sz w:val="24"/>
          <w:szCs w:val="24"/>
        </w:rPr>
        <w:fldChar w:fldCharType="end"/>
      </w:r>
      <w:r w:rsidRPr="00824ACA">
        <w:rPr>
          <w:rFonts w:ascii="Tw Cen MT" w:eastAsia="Twentieth Century" w:hAnsi="Tw Cen MT" w:cs="Twentieth Century"/>
          <w:bCs/>
          <w:sz w:val="24"/>
          <w:szCs w:val="24"/>
        </w:rPr>
        <w:t>.</w:t>
      </w:r>
    </w:p>
    <w:p w14:paraId="58F17B69" w14:textId="77777777" w:rsidR="00766A76" w:rsidRPr="00766A76" w:rsidRDefault="00766A76" w:rsidP="00F0256B">
      <w:pPr>
        <w:tabs>
          <w:tab w:val="left" w:pos="426"/>
        </w:tabs>
        <w:spacing w:after="0" w:line="240" w:lineRule="auto"/>
        <w:jc w:val="both"/>
        <w:rPr>
          <w:rFonts w:ascii="Tw Cen MT" w:eastAsia="Twentieth Century" w:hAnsi="Tw Cen MT" w:cs="Twentieth Century"/>
          <w:b/>
          <w:sz w:val="24"/>
          <w:szCs w:val="24"/>
          <w:lang w:val="id-ID"/>
        </w:rPr>
      </w:pPr>
    </w:p>
    <w:p w14:paraId="093D6C66" w14:textId="77777777" w:rsidR="007106F6" w:rsidRPr="0096335E" w:rsidRDefault="007106F6" w:rsidP="00F0256B">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40A9D4A" w14:textId="6C2A0694" w:rsidR="00F000D5" w:rsidRDefault="00816B99" w:rsidP="00816B99">
      <w:pPr>
        <w:spacing w:after="0" w:line="240" w:lineRule="auto"/>
        <w:jc w:val="both"/>
        <w:rPr>
          <w:rFonts w:ascii="Tw Cen MT" w:eastAsia="Twentieth Century" w:hAnsi="Tw Cen MT" w:cs="Twentieth Century"/>
          <w:sz w:val="24"/>
          <w:szCs w:val="24"/>
          <w:lang w:val="id-ID"/>
        </w:rPr>
      </w:pPr>
      <w:proofErr w:type="spellStart"/>
      <w:r w:rsidRPr="00B5447A">
        <w:rPr>
          <w:rFonts w:ascii="Tw Cen MT" w:eastAsia="Twentieth Century" w:hAnsi="Tw Cen MT" w:cs="Twentieth Century"/>
          <w:bCs/>
          <w:sz w:val="24"/>
          <w:szCs w:val="24"/>
        </w:rPr>
        <w:t>Simpulan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dari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penelitian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ini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adalah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penyuluhan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dengan</w:t>
      </w:r>
      <w:proofErr w:type="spellEnd"/>
      <w:r w:rsidRPr="00B5447A">
        <w:rPr>
          <w:rFonts w:ascii="Tw Cen MT" w:eastAsia="Twentieth Century" w:hAnsi="Tw Cen MT" w:cs="Twentieth Century"/>
          <w:bCs/>
          <w:sz w:val="24"/>
          <w:szCs w:val="24"/>
        </w:rPr>
        <w:t xml:space="preserve"> media </w:t>
      </w:r>
      <w:proofErr w:type="spellStart"/>
      <w:r w:rsidRPr="00B5447A">
        <w:rPr>
          <w:rFonts w:ascii="Tw Cen MT" w:eastAsia="Twentieth Century" w:hAnsi="Tw Cen MT" w:cs="Twentieth Century"/>
          <w:bCs/>
          <w:sz w:val="24"/>
          <w:szCs w:val="24"/>
        </w:rPr>
        <w:t>edukatif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powtoon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lebih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efektif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terhadap</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peningkatan</w:t>
      </w:r>
      <w:proofErr w:type="spellEnd"/>
      <w:r w:rsidRPr="003B66E6">
        <w:rPr>
          <w:rFonts w:ascii="Tw Cen MT" w:eastAsia="Twentieth Century" w:hAnsi="Tw Cen MT" w:cs="Twentieth Century"/>
          <w:b/>
          <w:sz w:val="24"/>
          <w:szCs w:val="24"/>
        </w:rPr>
        <w:t xml:space="preserve"> </w:t>
      </w:r>
      <w:proofErr w:type="spellStart"/>
      <w:r w:rsidRPr="00B5447A">
        <w:rPr>
          <w:rFonts w:ascii="Tw Cen MT" w:eastAsia="Twentieth Century" w:hAnsi="Tw Cen MT" w:cs="Twentieth Century"/>
          <w:bCs/>
          <w:sz w:val="24"/>
          <w:szCs w:val="24"/>
        </w:rPr>
        <w:t>pengetahuan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ibu</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mengenai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deteksi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dini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risiko</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kehamilan</w:t>
      </w:r>
      <w:proofErr w:type="spellEnd"/>
      <w:r w:rsidRPr="00B5447A">
        <w:rPr>
          <w:rFonts w:ascii="Tw Cen MT" w:eastAsia="Twentieth Century" w:hAnsi="Tw Cen MT" w:cs="Twentieth Century"/>
          <w:bCs/>
          <w:sz w:val="24"/>
          <w:szCs w:val="24"/>
        </w:rPr>
        <w:t xml:space="preserve"> di Wilayah </w:t>
      </w:r>
      <w:proofErr w:type="spellStart"/>
      <w:r w:rsidRPr="00B5447A">
        <w:rPr>
          <w:rFonts w:ascii="Tw Cen MT" w:eastAsia="Twentieth Century" w:hAnsi="Tw Cen MT" w:cs="Twentieth Century"/>
          <w:bCs/>
          <w:sz w:val="24"/>
          <w:szCs w:val="24"/>
        </w:rPr>
        <w:t>Kerja</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Puskesmas</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Buaran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Kabupaten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Pekalongan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tahun</w:t>
      </w:r>
      <w:proofErr w:type="spellEnd"/>
      <w:r w:rsidRPr="00B5447A">
        <w:rPr>
          <w:rFonts w:ascii="Tw Cen MT" w:eastAsia="Twentieth Century" w:hAnsi="Tw Cen MT" w:cs="Twentieth Century"/>
          <w:bCs/>
          <w:sz w:val="24"/>
          <w:szCs w:val="24"/>
        </w:rPr>
        <w:t xml:space="preserve"> 2023</w:t>
      </w:r>
      <w:r w:rsidR="004721E3" w:rsidRPr="00AF178C">
        <w:rPr>
          <w:rFonts w:ascii="Tw Cen MT" w:eastAsia="Twentieth Century" w:hAnsi="Tw Cen MT" w:cs="Twentieth Century"/>
          <w:sz w:val="24"/>
          <w:szCs w:val="24"/>
          <w:lang w:val="id-ID"/>
        </w:rPr>
        <w:t>.</w:t>
      </w:r>
    </w:p>
    <w:p w14:paraId="3AF57A16" w14:textId="77777777" w:rsidR="00F000D5" w:rsidRPr="00F000D5" w:rsidRDefault="00F000D5" w:rsidP="00F000D5">
      <w:pPr>
        <w:spacing w:after="0" w:line="240" w:lineRule="auto"/>
        <w:jc w:val="both"/>
        <w:rPr>
          <w:rFonts w:ascii="Tw Cen MT" w:eastAsia="Twentieth Century" w:hAnsi="Tw Cen MT" w:cs="Twentieth Century"/>
          <w:sz w:val="24"/>
          <w:szCs w:val="24"/>
          <w:lang w:val="id-ID"/>
        </w:rPr>
      </w:pPr>
    </w:p>
    <w:p w14:paraId="15976F94" w14:textId="77777777" w:rsidR="00B22818" w:rsidRPr="00227851" w:rsidRDefault="00B22818" w:rsidP="00F000D5">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2D91D778" w14:textId="6EC5C0B1" w:rsidR="00B22818" w:rsidRDefault="00816B99" w:rsidP="00B22818">
      <w:pPr>
        <w:tabs>
          <w:tab w:val="left" w:pos="426"/>
        </w:tabs>
        <w:spacing w:after="0" w:line="240" w:lineRule="auto"/>
        <w:jc w:val="both"/>
        <w:rPr>
          <w:rFonts w:ascii="Tw Cen MT" w:eastAsia="Twentieth Century" w:hAnsi="Tw Cen MT" w:cs="Twentieth Century"/>
          <w:b/>
          <w:sz w:val="24"/>
          <w:szCs w:val="24"/>
        </w:rPr>
      </w:pPr>
      <w:proofErr w:type="spellStart"/>
      <w:r>
        <w:rPr>
          <w:rFonts w:ascii="Tw Cen MT" w:eastAsia="Twentieth Century" w:hAnsi="Tw Cen MT" w:cs="Twentieth Century"/>
          <w:bCs/>
          <w:sz w:val="24"/>
          <w:szCs w:val="24"/>
        </w:rPr>
        <w:t>U</w:t>
      </w:r>
      <w:r w:rsidRPr="00BB3DF1">
        <w:rPr>
          <w:rFonts w:ascii="Tw Cen MT" w:eastAsia="Twentieth Century" w:hAnsi="Tw Cen MT" w:cs="Twentieth Century"/>
          <w:bCs/>
          <w:sz w:val="24"/>
          <w:szCs w:val="24"/>
        </w:rPr>
        <w:t>capan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terima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kasih</w:t>
      </w:r>
      <w:proofErr w:type="spellEnd"/>
      <w:r w:rsidRPr="00BB3DF1">
        <w:rPr>
          <w:rFonts w:ascii="Tw Cen MT" w:eastAsia="Twentieth Century" w:hAnsi="Tw Cen MT" w:cs="Twentieth Century"/>
          <w:bCs/>
          <w:sz w:val="24"/>
          <w:szCs w:val="24"/>
        </w:rPr>
        <w:t xml:space="preserve"> yang </w:t>
      </w:r>
      <w:proofErr w:type="spellStart"/>
      <w:r w:rsidRPr="00BB3DF1">
        <w:rPr>
          <w:rFonts w:ascii="Tw Cen MT" w:eastAsia="Twentieth Century" w:hAnsi="Tw Cen MT" w:cs="Twentieth Century"/>
          <w:bCs/>
          <w:sz w:val="24"/>
          <w:szCs w:val="24"/>
        </w:rPr>
        <w:t>tulus</w:t>
      </w:r>
      <w:proofErr w:type="spellEnd"/>
      <w:r w:rsidRPr="00BB3DF1">
        <w:rPr>
          <w:rFonts w:ascii="Tw Cen MT" w:eastAsia="Twentieth Century" w:hAnsi="Tw Cen MT" w:cs="Twentieth Century"/>
          <w:bCs/>
          <w:sz w:val="24"/>
          <w:szCs w:val="24"/>
        </w:rPr>
        <w:t xml:space="preserve"> kami </w:t>
      </w:r>
      <w:proofErr w:type="spellStart"/>
      <w:r w:rsidRPr="00BB3DF1">
        <w:rPr>
          <w:rFonts w:ascii="Tw Cen MT" w:eastAsia="Twentieth Century" w:hAnsi="Tw Cen MT" w:cs="Twentieth Century"/>
          <w:bCs/>
          <w:sz w:val="24"/>
          <w:szCs w:val="24"/>
        </w:rPr>
        <w:t>sampaikan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kepada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Fakultas</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Ilmu</w:t>
      </w:r>
      <w:proofErr w:type="spellEnd"/>
      <w:r w:rsidRPr="00BB3DF1">
        <w:rPr>
          <w:rFonts w:ascii="Tw Cen MT" w:eastAsia="Twentieth Century" w:hAnsi="Tw Cen MT" w:cs="Twentieth Century"/>
          <w:bCs/>
          <w:sz w:val="24"/>
          <w:szCs w:val="24"/>
        </w:rPr>
        <w:t xml:space="preserve"> Kesehatan Universitas Muhammadiyah </w:t>
      </w:r>
      <w:proofErr w:type="spellStart"/>
      <w:r w:rsidRPr="00BB3DF1">
        <w:rPr>
          <w:rFonts w:ascii="Tw Cen MT" w:eastAsia="Twentieth Century" w:hAnsi="Tw Cen MT" w:cs="Twentieth Century"/>
          <w:bCs/>
          <w:sz w:val="24"/>
          <w:szCs w:val="24"/>
        </w:rPr>
        <w:t>Pekajangan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Pekalongan</w:t>
      </w:r>
      <w:proofErr w:type="spellEnd"/>
      <w:r w:rsidRPr="00BB3DF1">
        <w:rPr>
          <w:rFonts w:ascii="Tw Cen MT" w:eastAsia="Twentieth Century" w:hAnsi="Tw Cen MT" w:cs="Twentieth Century"/>
          <w:bCs/>
          <w:sz w:val="24"/>
          <w:szCs w:val="24"/>
        </w:rPr>
        <w:t xml:space="preserve"> atas </w:t>
      </w:r>
      <w:proofErr w:type="spellStart"/>
      <w:r w:rsidRPr="00BB3DF1">
        <w:rPr>
          <w:rFonts w:ascii="Tw Cen MT" w:eastAsia="Twentieth Century" w:hAnsi="Tw Cen MT" w:cs="Twentieth Century"/>
          <w:bCs/>
          <w:sz w:val="24"/>
          <w:szCs w:val="24"/>
        </w:rPr>
        <w:t>dukungan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positifnya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terutama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dalam</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bentuk</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bantuan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biaya</w:t>
      </w:r>
      <w:proofErr w:type="spellEnd"/>
      <w:r w:rsidRPr="00BB3DF1">
        <w:rPr>
          <w:rFonts w:ascii="Tw Cen MT" w:eastAsia="Twentieth Century" w:hAnsi="Tw Cen MT" w:cs="Twentieth Century"/>
          <w:bCs/>
          <w:sz w:val="24"/>
          <w:szCs w:val="24"/>
        </w:rPr>
        <w:t xml:space="preserve"> yang </w:t>
      </w:r>
      <w:proofErr w:type="spellStart"/>
      <w:r w:rsidRPr="00BB3DF1">
        <w:rPr>
          <w:rFonts w:ascii="Tw Cen MT" w:eastAsia="Twentieth Century" w:hAnsi="Tw Cen MT" w:cs="Twentieth Century"/>
          <w:bCs/>
          <w:sz w:val="24"/>
          <w:szCs w:val="24"/>
        </w:rPr>
        <w:t>memungkinkan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pelaksanaan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penelitian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ini</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serta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terbitnya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artikel</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ini</w:t>
      </w:r>
      <w:proofErr w:type="spellEnd"/>
      <w:r w:rsidRPr="00BB3DF1">
        <w:rPr>
          <w:rFonts w:ascii="Tw Cen MT" w:eastAsia="Twentieth Century" w:hAnsi="Tw Cen MT" w:cs="Twentieth Century"/>
          <w:bCs/>
          <w:sz w:val="24"/>
          <w:szCs w:val="24"/>
        </w:rPr>
        <w:t xml:space="preserve">. Kami juga </w:t>
      </w:r>
      <w:proofErr w:type="spellStart"/>
      <w:r w:rsidRPr="00BB3DF1">
        <w:rPr>
          <w:rFonts w:ascii="Tw Cen MT" w:eastAsia="Twentieth Century" w:hAnsi="Tw Cen MT" w:cs="Twentieth Century"/>
          <w:bCs/>
          <w:sz w:val="24"/>
          <w:szCs w:val="24"/>
        </w:rPr>
        <w:t>mengucapkan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terima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kasih</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kepada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semua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pihak</w:t>
      </w:r>
      <w:proofErr w:type="spellEnd"/>
      <w:r w:rsidRPr="00BB3DF1">
        <w:rPr>
          <w:rFonts w:ascii="Tw Cen MT" w:eastAsia="Twentieth Century" w:hAnsi="Tw Cen MT" w:cs="Twentieth Century"/>
          <w:bCs/>
          <w:sz w:val="24"/>
          <w:szCs w:val="24"/>
        </w:rPr>
        <w:t xml:space="preserve"> yang </w:t>
      </w:r>
      <w:proofErr w:type="spellStart"/>
      <w:r w:rsidRPr="00BB3DF1">
        <w:rPr>
          <w:rFonts w:ascii="Tw Cen MT" w:eastAsia="Twentieth Century" w:hAnsi="Tw Cen MT" w:cs="Twentieth Century"/>
          <w:bCs/>
          <w:sz w:val="24"/>
          <w:szCs w:val="24"/>
        </w:rPr>
        <w:t>telah</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berkontribusi</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secara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aktif</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dalam</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mendukung</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pelaksanaan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penelitian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ini</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sehingga</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kegiatan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ini</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dapat</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berjalan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dengan</w:t>
      </w:r>
      <w:proofErr w:type="spellEnd"/>
      <w:r w:rsidRPr="00BB3DF1">
        <w:rPr>
          <w:rFonts w:ascii="Tw Cen MT" w:eastAsia="Twentieth Century" w:hAnsi="Tw Cen MT" w:cs="Twentieth Century"/>
          <w:bCs/>
          <w:sz w:val="24"/>
          <w:szCs w:val="24"/>
        </w:rPr>
        <w:t xml:space="preserve"> </w:t>
      </w:r>
      <w:proofErr w:type="spellStart"/>
      <w:r w:rsidRPr="00BB3DF1">
        <w:rPr>
          <w:rFonts w:ascii="Tw Cen MT" w:eastAsia="Twentieth Century" w:hAnsi="Tw Cen MT" w:cs="Twentieth Century"/>
          <w:bCs/>
          <w:sz w:val="24"/>
          <w:szCs w:val="24"/>
        </w:rPr>
        <w:t>lancar</w:t>
      </w:r>
      <w:proofErr w:type="spellEnd"/>
      <w:r w:rsidRPr="00BB3DF1">
        <w:rPr>
          <w:rFonts w:ascii="Tw Cen MT" w:eastAsia="Twentieth Century" w:hAnsi="Tw Cen MT" w:cs="Twentieth Century"/>
          <w:bCs/>
          <w:sz w:val="24"/>
          <w:szCs w:val="24"/>
        </w:rPr>
        <w:t xml:space="preserve"> dan </w:t>
      </w:r>
      <w:proofErr w:type="spellStart"/>
      <w:r w:rsidRPr="00BB3DF1">
        <w:rPr>
          <w:rFonts w:ascii="Tw Cen MT" w:eastAsia="Twentieth Century" w:hAnsi="Tw Cen MT" w:cs="Twentieth Century"/>
          <w:bCs/>
          <w:sz w:val="24"/>
          <w:szCs w:val="24"/>
        </w:rPr>
        <w:t>sukses</w:t>
      </w:r>
      <w:proofErr w:type="spellEnd"/>
      <w:r w:rsidR="00B22818">
        <w:rPr>
          <w:rFonts w:ascii="Tw Cen MT" w:eastAsia="Twentieth Century" w:hAnsi="Tw Cen MT" w:cs="Twentieth Century"/>
          <w:b/>
          <w:sz w:val="24"/>
          <w:szCs w:val="24"/>
        </w:rPr>
        <w:t>.</w:t>
      </w:r>
    </w:p>
    <w:p w14:paraId="61549039" w14:textId="77777777"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4F03D6CF" w:rsidR="004721E3" w:rsidRDefault="004721E3" w:rsidP="00B22818">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AD9FA84" w14:textId="77777777"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D.</w:t>
      </w:r>
      <w:r w:rsidRPr="00816B99">
        <w:rPr>
          <w:rFonts w:ascii="Arial" w:hAnsi="Arial" w:cs="Arial"/>
          <w:noProof/>
          <w:sz w:val="24"/>
          <w:szCs w:val="24"/>
        </w:rPr>
        <w:t> </w:t>
      </w:r>
      <w:r w:rsidRPr="00816B99">
        <w:rPr>
          <w:rFonts w:ascii="Tw Cen MT" w:hAnsi="Tw Cen MT"/>
          <w:noProof/>
          <w:sz w:val="24"/>
          <w:szCs w:val="24"/>
        </w:rPr>
        <w:t xml:space="preserve">; Y. Dartiwen and Nurhayati, </w:t>
      </w:r>
      <w:r w:rsidRPr="00816B99">
        <w:rPr>
          <w:rFonts w:ascii="Tw Cen MT" w:hAnsi="Tw Cen MT"/>
          <w:i/>
          <w:iCs/>
          <w:noProof/>
          <w:sz w:val="24"/>
          <w:szCs w:val="24"/>
        </w:rPr>
        <w:t>Asuhan Kebidanan Pada Kehamilan</w:t>
      </w:r>
      <w:r w:rsidRPr="00816B99">
        <w:rPr>
          <w:rFonts w:ascii="Tw Cen MT" w:hAnsi="Tw Cen MT"/>
          <w:noProof/>
          <w:sz w:val="24"/>
          <w:szCs w:val="24"/>
        </w:rPr>
        <w:t>, 1st ed. Yogyakarta: ANDI, 2019.</w:t>
      </w:r>
    </w:p>
    <w:p w14:paraId="176C8A6C" w14:textId="39AF82F5"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L. Meliati, “Faktor-Faktor yang Mempengaruhi Kinerja Bidan di Desa dalam Kegiatan Deteksi Dini Resiko Tinggi Ibu Hamil di Wilayah Kerja Dinas </w:t>
      </w:r>
      <w:r w:rsidRPr="00816B99">
        <w:rPr>
          <w:rFonts w:ascii="Tw Cen MT" w:hAnsi="Tw Cen MT"/>
          <w:noProof/>
          <w:sz w:val="24"/>
          <w:szCs w:val="24"/>
        </w:rPr>
        <w:t xml:space="preserve">Kesehatan Kabupaten Lombok Timur Tahun 2011,” </w:t>
      </w:r>
      <w:r w:rsidRPr="00816B99">
        <w:rPr>
          <w:rFonts w:ascii="Tw Cen MT" w:hAnsi="Tw Cen MT"/>
          <w:i/>
          <w:iCs/>
          <w:noProof/>
          <w:sz w:val="24"/>
          <w:szCs w:val="24"/>
        </w:rPr>
        <w:t>Repos. Univ. Diponegoro</w:t>
      </w:r>
      <w:r w:rsidRPr="00816B99">
        <w:rPr>
          <w:rFonts w:ascii="Tw Cen MT" w:hAnsi="Tw Cen MT"/>
          <w:noProof/>
          <w:sz w:val="24"/>
          <w:szCs w:val="24"/>
        </w:rPr>
        <w:t>, 2011.</w:t>
      </w:r>
    </w:p>
    <w:p w14:paraId="3A071D70" w14:textId="4E62563E"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Hulu Victor Trismanjaya dkk, </w:t>
      </w:r>
      <w:r w:rsidRPr="00816B99">
        <w:rPr>
          <w:rFonts w:ascii="Tw Cen MT" w:hAnsi="Tw Cen MT"/>
          <w:i/>
          <w:iCs/>
          <w:noProof/>
          <w:sz w:val="24"/>
          <w:szCs w:val="24"/>
        </w:rPr>
        <w:t>Promosi Kesehatan Masyarakat</w:t>
      </w:r>
      <w:r w:rsidRPr="00816B99">
        <w:rPr>
          <w:rFonts w:ascii="Tw Cen MT" w:hAnsi="Tw Cen MT"/>
          <w:noProof/>
          <w:sz w:val="24"/>
          <w:szCs w:val="24"/>
        </w:rPr>
        <w:t>. Jakarta: Yayasan Kita Menulis, 2020.</w:t>
      </w:r>
    </w:p>
    <w:p w14:paraId="3E01211D" w14:textId="13709B96"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F. N. D. Siti Nurjanah, Nuke Devi Indrawati, “Peningkatan Pengetahuan Dan Sikap Ibu Hamil Resiko Tinggi Dengan Penyuluhan Berbasis Media,” </w:t>
      </w:r>
      <w:r w:rsidRPr="00816B99">
        <w:rPr>
          <w:rFonts w:ascii="Tw Cen MT" w:hAnsi="Tw Cen MT"/>
          <w:i/>
          <w:iCs/>
          <w:noProof/>
          <w:sz w:val="24"/>
          <w:szCs w:val="24"/>
        </w:rPr>
        <w:t>Rakernas AIPKEMA</w:t>
      </w:r>
      <w:r w:rsidRPr="00816B99">
        <w:rPr>
          <w:rFonts w:ascii="Tw Cen MT" w:hAnsi="Tw Cen MT"/>
          <w:noProof/>
          <w:sz w:val="24"/>
          <w:szCs w:val="24"/>
        </w:rPr>
        <w:t>, no. 1, 2016, [Online]. Available: http://jurnal.unimus.ac.id/index.php/psn12012010/article/view/2106</w:t>
      </w:r>
    </w:p>
    <w:p w14:paraId="4C601DB1" w14:textId="3D8E796C"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S. Herlina, “Pemanfaatan Fasilitas Sms Telepon Seluler Sebagai Media Promosi di Daerah Terpencil,” no. November, 2018, doi: 10.13140/RG.2.2.33841.22887.</w:t>
      </w:r>
    </w:p>
    <w:p w14:paraId="1E5FE612" w14:textId="068730D5"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H. Lyons-Burney and J. Godby, “An innovative collaboration between a school of pharmacy and community-based organization for substance misuse prevention education,” </w:t>
      </w:r>
      <w:r w:rsidRPr="00816B99">
        <w:rPr>
          <w:rFonts w:ascii="Tw Cen MT" w:hAnsi="Tw Cen MT"/>
          <w:i/>
          <w:iCs/>
          <w:noProof/>
          <w:sz w:val="24"/>
          <w:szCs w:val="24"/>
        </w:rPr>
        <w:t>J. Am. Pharm. Assoc.</w:t>
      </w:r>
      <w:r w:rsidRPr="00816B99">
        <w:rPr>
          <w:rFonts w:ascii="Tw Cen MT" w:hAnsi="Tw Cen MT"/>
          <w:noProof/>
          <w:sz w:val="24"/>
          <w:szCs w:val="24"/>
        </w:rPr>
        <w:t>, vol. 63, no. 1, pp. 356–360, 2023, doi: 10.1016/j.japh.2022.09.013.</w:t>
      </w:r>
    </w:p>
    <w:p w14:paraId="600A010D" w14:textId="3FB91F80"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S. I. Gejir IN, Kencana IGS, Artawa IMB, </w:t>
      </w:r>
      <w:r w:rsidRPr="00816B99">
        <w:rPr>
          <w:rFonts w:ascii="Tw Cen MT" w:hAnsi="Tw Cen MT"/>
          <w:i/>
          <w:iCs/>
          <w:noProof/>
          <w:sz w:val="24"/>
          <w:szCs w:val="24"/>
        </w:rPr>
        <w:t>Implementasi Proses Pembelajaran dalam Penyuluhan Kesehatan Bagi Tenaga Kesehatan</w:t>
      </w:r>
      <w:r w:rsidRPr="00816B99">
        <w:rPr>
          <w:rFonts w:ascii="Tw Cen MT" w:hAnsi="Tw Cen MT"/>
          <w:noProof/>
          <w:sz w:val="24"/>
          <w:szCs w:val="24"/>
        </w:rPr>
        <w:t>. Malang: Media Nusa Creative (MNC Publishing), 2021. [Online]. Available: https://www.google.co.id/books/edition/Implementasi_Proses_Pembelajaran_dalam_P/mQZMEAAAQBAJ?hl=id&amp;gbpv=0</w:t>
      </w:r>
    </w:p>
    <w:p w14:paraId="7AD7389E" w14:textId="0E2161C2"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F. S. Shafaei, M. Mirghafourvand, and S. Havizari, “The effect of prenatal counseling on breastfeeding self-efficacy and frequency of breastfeeding problems in mothers with previous unsuccessful breastfeeding: A randomized controlled clinical trial,” </w:t>
      </w:r>
      <w:r w:rsidRPr="00816B99">
        <w:rPr>
          <w:rFonts w:ascii="Tw Cen MT" w:hAnsi="Tw Cen MT"/>
          <w:i/>
          <w:iCs/>
          <w:noProof/>
          <w:sz w:val="24"/>
          <w:szCs w:val="24"/>
        </w:rPr>
        <w:t>BMC Womens. Health</w:t>
      </w:r>
      <w:r w:rsidRPr="00816B99">
        <w:rPr>
          <w:rFonts w:ascii="Tw Cen MT" w:hAnsi="Tw Cen MT"/>
          <w:noProof/>
          <w:sz w:val="24"/>
          <w:szCs w:val="24"/>
        </w:rPr>
        <w:t>, vol. 20, no. 1, pp. 1–10, 2020, doi: 10.1186/s12905-020-</w:t>
      </w:r>
      <w:r w:rsidRPr="00816B99">
        <w:rPr>
          <w:rFonts w:ascii="Tw Cen MT" w:hAnsi="Tw Cen MT"/>
          <w:noProof/>
          <w:sz w:val="24"/>
          <w:szCs w:val="24"/>
        </w:rPr>
        <w:lastRenderedPageBreak/>
        <w:t>00947-1.</w:t>
      </w:r>
    </w:p>
    <w:p w14:paraId="2DA410FE" w14:textId="5E09148A"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R. Braun, C. Catalani, J. Wimbush, and D. Israelski, “Community Health Workers and Mobile Technology: A Systematic Review of the Literature,” </w:t>
      </w:r>
      <w:r w:rsidRPr="00816B99">
        <w:rPr>
          <w:rFonts w:ascii="Tw Cen MT" w:hAnsi="Tw Cen MT"/>
          <w:i/>
          <w:iCs/>
          <w:noProof/>
          <w:sz w:val="24"/>
          <w:szCs w:val="24"/>
        </w:rPr>
        <w:t>PLoS One</w:t>
      </w:r>
      <w:r w:rsidRPr="00816B99">
        <w:rPr>
          <w:rFonts w:ascii="Tw Cen MT" w:hAnsi="Tw Cen MT"/>
          <w:noProof/>
          <w:sz w:val="24"/>
          <w:szCs w:val="24"/>
        </w:rPr>
        <w:t>, vol. 8, no. 6, pp. 4–9, 2013, doi: 10.1371/journal.pone.0065772.</w:t>
      </w:r>
    </w:p>
    <w:p w14:paraId="0A2CA30A" w14:textId="0E8935D5"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S. Assaf, “Counseling and Knowledge of Danger Signs of Pregnancy Complications in Haiti, Malawi, and Senegal,” </w:t>
      </w:r>
      <w:r w:rsidRPr="00816B99">
        <w:rPr>
          <w:rFonts w:ascii="Tw Cen MT" w:hAnsi="Tw Cen MT"/>
          <w:i/>
          <w:iCs/>
          <w:noProof/>
          <w:sz w:val="24"/>
          <w:szCs w:val="24"/>
        </w:rPr>
        <w:t>Matern. Child Health J.</w:t>
      </w:r>
      <w:r w:rsidRPr="00816B99">
        <w:rPr>
          <w:rFonts w:ascii="Tw Cen MT" w:hAnsi="Tw Cen MT"/>
          <w:noProof/>
          <w:sz w:val="24"/>
          <w:szCs w:val="24"/>
        </w:rPr>
        <w:t>, vol. 22, no. 11, pp. 1659–1667, 2018, doi: 10.1007/s10995-018-2563-5.</w:t>
      </w:r>
    </w:p>
    <w:p w14:paraId="6D776409" w14:textId="453C7EC1"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D. Metode, C. Tanya, E. Anggeriyane, A. Salsabila, and R. N. Azizah, “Peningkatan Wawasan Mengenai Pengaruh Kecanduan Gadget Bagi Kesehatan Melalui Kegiatan Penyuluhan Kesehatan,” vol. 02, no. 03, pp. 83–90, 2023.</w:t>
      </w:r>
    </w:p>
    <w:p w14:paraId="1845B052" w14:textId="0FC111A9"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A. M. Nor and C. Fuad, “Pengaruh Penyuluhan Kesehatan Dengan Metode Ceramah Terhadap Peningkatan Pengetahuan Dan Sikap Dalam Pencegahan Filariasis,” </w:t>
      </w:r>
      <w:r w:rsidRPr="00816B99">
        <w:rPr>
          <w:rFonts w:ascii="Tw Cen MT" w:hAnsi="Tw Cen MT"/>
          <w:i/>
          <w:iCs/>
          <w:noProof/>
          <w:sz w:val="24"/>
          <w:szCs w:val="24"/>
        </w:rPr>
        <w:t>J. Kesmas (Kesehatan Masyarakat) Khatulistiwa</w:t>
      </w:r>
      <w:r w:rsidRPr="00816B99">
        <w:rPr>
          <w:rFonts w:ascii="Tw Cen MT" w:hAnsi="Tw Cen MT"/>
          <w:noProof/>
          <w:sz w:val="24"/>
          <w:szCs w:val="24"/>
        </w:rPr>
        <w:t>, vol. 1, no. 1, p. 23, 2018, doi: 10.29406/jkmk.v1i1.977.</w:t>
      </w:r>
    </w:p>
    <w:p w14:paraId="448A07CA" w14:textId="1990C6B1"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E. Fitriani, S. Utami, and S. Rahmalia, “Efektifitas Pendidikan Kesehatan Tentang Kehamilan Resiko Tinggi Terhadap Pengetahuan Ibu Hamil,” </w:t>
      </w:r>
      <w:r w:rsidRPr="00816B99">
        <w:rPr>
          <w:rFonts w:ascii="Tw Cen MT" w:hAnsi="Tw Cen MT"/>
          <w:i/>
          <w:iCs/>
          <w:noProof/>
          <w:sz w:val="24"/>
          <w:szCs w:val="24"/>
        </w:rPr>
        <w:t>Jom Psik</w:t>
      </w:r>
      <w:r w:rsidRPr="00816B99">
        <w:rPr>
          <w:rFonts w:ascii="Tw Cen MT" w:hAnsi="Tw Cen MT"/>
          <w:noProof/>
          <w:sz w:val="24"/>
          <w:szCs w:val="24"/>
        </w:rPr>
        <w:t xml:space="preserve">, vol. 1, no. </w:t>
      </w:r>
      <w:r>
        <w:rPr>
          <w:rFonts w:ascii="Tw Cen MT" w:hAnsi="Tw Cen MT"/>
          <w:noProof/>
          <w:sz w:val="24"/>
          <w:szCs w:val="24"/>
        </w:rPr>
        <w:t>Oktober</w:t>
      </w:r>
      <w:r w:rsidRPr="00816B99">
        <w:rPr>
          <w:rFonts w:ascii="Tw Cen MT" w:hAnsi="Tw Cen MT"/>
          <w:noProof/>
          <w:sz w:val="24"/>
          <w:szCs w:val="24"/>
        </w:rPr>
        <w:t>, 2014.</w:t>
      </w:r>
    </w:p>
    <w:p w14:paraId="7E59AD97" w14:textId="0A74648E"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R. S. Primawati, H. Miko, P. K. Tasikmalaya, and M. Powtoon, “Dental Health Education ( Dhe ) Menggunakan Media Powtoon Dalam,” </w:t>
      </w:r>
      <w:r w:rsidRPr="00816B99">
        <w:rPr>
          <w:rFonts w:ascii="Tw Cen MT" w:hAnsi="Tw Cen MT"/>
          <w:i/>
          <w:iCs/>
          <w:noProof/>
          <w:sz w:val="24"/>
          <w:szCs w:val="24"/>
        </w:rPr>
        <w:t>Indones. J. Community Serv.</w:t>
      </w:r>
      <w:r w:rsidRPr="00816B99">
        <w:rPr>
          <w:rFonts w:ascii="Tw Cen MT" w:hAnsi="Tw Cen MT"/>
          <w:noProof/>
          <w:sz w:val="24"/>
          <w:szCs w:val="24"/>
        </w:rPr>
        <w:t>, vol. 2, no. 3, pp. 329–334, 2022.</w:t>
      </w:r>
    </w:p>
    <w:p w14:paraId="5165788F" w14:textId="3BC10EAE"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L. S. Amiludin and M. Mindhaudah, “Powtoon: Learning Media To Teach Difable Learner Powtoon: Media Pembelajaran Untuk Mengajar Mahasiswa Berkebutuhan Khusus,” </w:t>
      </w:r>
      <w:r w:rsidRPr="00816B99">
        <w:rPr>
          <w:rFonts w:ascii="Tw Cen MT" w:hAnsi="Tw Cen MT"/>
          <w:i/>
          <w:iCs/>
          <w:noProof/>
          <w:sz w:val="24"/>
          <w:szCs w:val="24"/>
        </w:rPr>
        <w:t>SASTRANESIA J. Progr. Stud. Pendidik. Bhs. dan Sastra Indones.</w:t>
      </w:r>
      <w:r w:rsidRPr="00816B99">
        <w:rPr>
          <w:rFonts w:ascii="Tw Cen MT" w:hAnsi="Tw Cen MT"/>
          <w:noProof/>
          <w:sz w:val="24"/>
          <w:szCs w:val="24"/>
        </w:rPr>
        <w:t xml:space="preserve">, vol. 8, no. 1, p. </w:t>
      </w:r>
      <w:r w:rsidRPr="00816B99">
        <w:rPr>
          <w:rFonts w:ascii="Tw Cen MT" w:hAnsi="Tw Cen MT"/>
          <w:noProof/>
          <w:sz w:val="24"/>
          <w:szCs w:val="24"/>
        </w:rPr>
        <w:t>56, 2020, doi: 10.32682/sastranesia.v8i1.1426.</w:t>
      </w:r>
    </w:p>
    <w:p w14:paraId="3CCEE5C8" w14:textId="6C022AEB"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A. Kirwan, S. Raftery, and C. Gormley, “Sounds good to me: A qualitative study to explore the use of audio to potentiate the student feedback experience,” </w:t>
      </w:r>
      <w:r w:rsidRPr="00816B99">
        <w:rPr>
          <w:rFonts w:ascii="Tw Cen MT" w:hAnsi="Tw Cen MT"/>
          <w:i/>
          <w:iCs/>
          <w:noProof/>
          <w:sz w:val="24"/>
          <w:szCs w:val="24"/>
        </w:rPr>
        <w:t>J. Prof. Nurs.</w:t>
      </w:r>
      <w:r w:rsidRPr="00816B99">
        <w:rPr>
          <w:rFonts w:ascii="Tw Cen MT" w:hAnsi="Tw Cen MT"/>
          <w:noProof/>
          <w:sz w:val="24"/>
          <w:szCs w:val="24"/>
        </w:rPr>
        <w:t>, vol. 47, no. July 2022, pp. 25–30, 2023, doi: 10.1016/j.profnurs.2023.03.020.</w:t>
      </w:r>
    </w:p>
    <w:p w14:paraId="68520FB5" w14:textId="482100FF"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A. P. Sari, “The Effect of Using Powtoon Interactive Learning Media to Improve Learning Outcomes in Class X Informatics Subjects at SMK Kesehatan Samarinda,” vol. 5, no. 1, pp. 15–23, 2024.</w:t>
      </w:r>
    </w:p>
    <w:p w14:paraId="2F317BBB" w14:textId="3AD234C1"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R. Dewi, IK; Sofya, </w:t>
      </w:r>
      <w:r w:rsidRPr="00816B99">
        <w:rPr>
          <w:rFonts w:ascii="Tw Cen MT" w:hAnsi="Tw Cen MT"/>
          <w:i/>
          <w:iCs/>
          <w:noProof/>
          <w:sz w:val="24"/>
          <w:szCs w:val="24"/>
        </w:rPr>
        <w:t>Membuat Media Pembelajaran Inovatif dengan Aplikasi Articulate Storyline 3</w:t>
      </w:r>
      <w:r w:rsidRPr="00816B99">
        <w:rPr>
          <w:rFonts w:ascii="Tw Cen MT" w:hAnsi="Tw Cen MT"/>
          <w:noProof/>
          <w:sz w:val="24"/>
          <w:szCs w:val="24"/>
        </w:rPr>
        <w:t>, 1st ed. Padang: UNP Press, 2021.</w:t>
      </w:r>
    </w:p>
    <w:p w14:paraId="18647AC5" w14:textId="64D0A515" w:rsidR="00816B99"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hAnsi="Tw Cen MT"/>
          <w:noProof/>
          <w:sz w:val="24"/>
          <w:szCs w:val="24"/>
        </w:rPr>
      </w:pPr>
      <w:r w:rsidRPr="00816B99">
        <w:rPr>
          <w:rFonts w:ascii="Tw Cen MT" w:hAnsi="Tw Cen MT"/>
          <w:noProof/>
          <w:sz w:val="24"/>
          <w:szCs w:val="24"/>
        </w:rPr>
        <w:t xml:space="preserve">A. P. Prakosa, A. A. Kurniawan, A. Laksitasari, M. Triani, and F. Ashar, “Pengaruh Pemberian Penyuluhan dengan Kombinasi Metode Ceramah dan Media Video Edukasi terhadap Pengetahuan Kesehatan Gigi dan Mulut Balita pada Ibu di Wilayah Puskesmas Purwokerto Utara I,” </w:t>
      </w:r>
      <w:r w:rsidRPr="00816B99">
        <w:rPr>
          <w:rFonts w:ascii="Tw Cen MT" w:hAnsi="Tw Cen MT"/>
          <w:i/>
          <w:iCs/>
          <w:noProof/>
          <w:sz w:val="24"/>
          <w:szCs w:val="24"/>
        </w:rPr>
        <w:t>Syntax Lit.</w:t>
      </w:r>
      <w:r w:rsidRPr="00816B99">
        <w:rPr>
          <w:rFonts w:ascii="Arial" w:hAnsi="Arial" w:cs="Arial"/>
          <w:i/>
          <w:iCs/>
          <w:noProof/>
          <w:sz w:val="24"/>
          <w:szCs w:val="24"/>
        </w:rPr>
        <w:t> </w:t>
      </w:r>
      <w:r w:rsidRPr="00816B99">
        <w:rPr>
          <w:rFonts w:ascii="Tw Cen MT" w:hAnsi="Tw Cen MT"/>
          <w:i/>
          <w:iCs/>
          <w:noProof/>
          <w:sz w:val="24"/>
          <w:szCs w:val="24"/>
        </w:rPr>
        <w:t>; J. Ilm. Indones.</w:t>
      </w:r>
      <w:r w:rsidRPr="00816B99">
        <w:rPr>
          <w:rFonts w:ascii="Tw Cen MT" w:hAnsi="Tw Cen MT"/>
          <w:noProof/>
          <w:sz w:val="24"/>
          <w:szCs w:val="24"/>
        </w:rPr>
        <w:t>, vol. 7, no. 2, p. 2496, 2022, doi: 10.36418/syntax-literate.v7i2.6246.</w:t>
      </w:r>
    </w:p>
    <w:p w14:paraId="3F35EB37" w14:textId="2681A8D8" w:rsidR="00F05CBD" w:rsidRPr="00816B99" w:rsidRDefault="00816B99" w:rsidP="00816B99">
      <w:pPr>
        <w:pStyle w:val="DaftarParagraf"/>
        <w:widowControl w:val="0"/>
        <w:numPr>
          <w:ilvl w:val="0"/>
          <w:numId w:val="11"/>
        </w:numPr>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816B99">
        <w:rPr>
          <w:rFonts w:ascii="Tw Cen MT" w:hAnsi="Tw Cen MT"/>
          <w:noProof/>
          <w:sz w:val="24"/>
          <w:szCs w:val="24"/>
        </w:rPr>
        <w:t xml:space="preserve">R. F. Fauzi, Agustina, and Wardiati, “Efektivitas Metode Ceramah dan Pemutaran Video terhadap Peningkatan Pengetahuan dan Motivasi dalam Upaya Pencegahan Kanker Serviks pada Mahasiswi Fakultas Hukum Universitas Muhammadiyah Aceh Tahun 2023,” </w:t>
      </w:r>
      <w:r w:rsidRPr="00816B99">
        <w:rPr>
          <w:rFonts w:ascii="Tw Cen MT" w:hAnsi="Tw Cen MT"/>
          <w:i/>
          <w:iCs/>
          <w:noProof/>
          <w:sz w:val="24"/>
          <w:szCs w:val="24"/>
        </w:rPr>
        <w:t>Media Publ. Promosi Kesehat. Indones.</w:t>
      </w:r>
      <w:r w:rsidRPr="00816B99">
        <w:rPr>
          <w:rFonts w:ascii="Tw Cen MT" w:hAnsi="Tw Cen MT"/>
          <w:noProof/>
          <w:sz w:val="24"/>
          <w:szCs w:val="24"/>
        </w:rPr>
        <w:t>, vol. 6, no. 12, pp. 2533–2538, 2023, doi: 10.56338/mppki.v6i12.3974</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862F33">
      <w:pPr>
        <w:tabs>
          <w:tab w:val="left" w:pos="426"/>
        </w:tabs>
        <w:spacing w:after="0" w:line="240" w:lineRule="auto"/>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9648" w14:textId="77777777" w:rsidR="002B15E3" w:rsidRDefault="002B15E3">
      <w:pPr>
        <w:spacing w:after="0" w:line="240" w:lineRule="auto"/>
      </w:pPr>
      <w:r>
        <w:separator/>
      </w:r>
    </w:p>
  </w:endnote>
  <w:endnote w:type="continuationSeparator" w:id="0">
    <w:p w14:paraId="0A433C51" w14:textId="77777777" w:rsidR="002B15E3" w:rsidRDefault="002B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74ADF50"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862F33">
              <w:rPr>
                <w:rFonts w:ascii="Tw Cen MT" w:hAnsi="Tw Cen MT"/>
                <w:color w:val="000000" w:themeColor="text1"/>
                <w:sz w:val="20"/>
                <w:szCs w:val="24"/>
                <w:lang w:val="en-ID"/>
              </w:rPr>
              <w:t>Sellia</w:t>
            </w:r>
            <w:proofErr w:type="spellEnd"/>
            <w:r w:rsidR="00862F33">
              <w:rPr>
                <w:rFonts w:ascii="Tw Cen MT" w:hAnsi="Tw Cen MT"/>
                <w:color w:val="000000" w:themeColor="text1"/>
                <w:sz w:val="20"/>
                <w:szCs w:val="24"/>
                <w:lang w:val="en-ID"/>
              </w:rPr>
              <w:t xml:space="preserve"> </w:t>
            </w:r>
            <w:proofErr w:type="spellStart"/>
            <w:r w:rsidR="00862F33">
              <w:rPr>
                <w:rFonts w:ascii="Tw Cen MT" w:hAnsi="Tw Cen MT"/>
                <w:color w:val="000000" w:themeColor="text1"/>
                <w:sz w:val="20"/>
                <w:szCs w:val="24"/>
                <w:lang w:val="en-ID"/>
              </w:rPr>
              <w:t>Juwita</w:t>
            </w:r>
            <w:proofErr w:type="spellEnd"/>
            <w:r w:rsidR="00862F33">
              <w:rPr>
                <w:rFonts w:ascii="Tw Cen MT" w:hAnsi="Tw Cen MT"/>
                <w:color w:val="000000" w:themeColor="text1"/>
                <w:sz w:val="20"/>
                <w:szCs w:val="24"/>
                <w:lang w:val="en-ID"/>
              </w:rPr>
              <w:t xml:space="preserve"> </w:t>
            </w:r>
            <w:r w:rsidR="00D3183C">
              <w:rPr>
                <w:rFonts w:ascii="Tw Cen MT" w:hAnsi="Tw Cen MT"/>
                <w:color w:val="000000" w:themeColor="text1"/>
                <w:sz w:val="20"/>
                <w:szCs w:val="24"/>
                <w:lang w:val="en-ID"/>
              </w:rPr>
              <w:t xml:space="preserve">and </w:t>
            </w:r>
            <w:r w:rsidR="00862F33">
              <w:rPr>
                <w:rFonts w:ascii="Tw Cen MT" w:hAnsi="Tw Cen MT"/>
                <w:color w:val="000000" w:themeColor="text1"/>
                <w:sz w:val="20"/>
                <w:szCs w:val="24"/>
                <w:lang w:val="en-ID"/>
              </w:rPr>
              <w:t>sellia.juwit</w:t>
            </w:r>
            <w:r w:rsidR="00D3183C">
              <w:rPr>
                <w:rFonts w:ascii="Tw Cen MT" w:hAnsi="Tw Cen MT"/>
                <w:color w:val="000000" w:themeColor="text1"/>
                <w:sz w:val="20"/>
                <w:szCs w:val="24"/>
                <w:lang w:val="en-ID"/>
              </w:rPr>
              <w:t>a@</w:t>
            </w:r>
            <w:r w:rsidR="00862F33">
              <w:rPr>
                <w:rFonts w:ascii="Tw Cen MT" w:hAnsi="Tw Cen MT"/>
                <w:color w:val="000000" w:themeColor="text1"/>
                <w:sz w:val="20"/>
                <w:szCs w:val="24"/>
                <w:lang w:val="en-ID"/>
              </w:rPr>
              <w:t>univrab.ac.id</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1920" w14:textId="77777777" w:rsidR="002B15E3" w:rsidRDefault="002B15E3">
      <w:pPr>
        <w:spacing w:after="0" w:line="240" w:lineRule="auto"/>
      </w:pPr>
      <w:r>
        <w:separator/>
      </w:r>
    </w:p>
  </w:footnote>
  <w:footnote w:type="continuationSeparator" w:id="0">
    <w:p w14:paraId="320E2428" w14:textId="77777777" w:rsidR="002B15E3" w:rsidRDefault="002B1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74BF316"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862F33">
          <w:rPr>
            <w:rFonts w:ascii="Tw Cen MT" w:hAnsi="Tw Cen MT" w:cstheme="minorBidi"/>
            <w:sz w:val="20"/>
            <w:szCs w:val="20"/>
          </w:rPr>
          <w:t>77</w:t>
        </w:r>
        <w:r>
          <w:rPr>
            <w:rFonts w:ascii="Tw Cen MT" w:hAnsi="Tw Cen MT" w:cstheme="minorBidi"/>
            <w:sz w:val="20"/>
            <w:szCs w:val="20"/>
          </w:rPr>
          <w:t>-</w:t>
        </w:r>
        <w:r w:rsidR="00862F33">
          <w:rPr>
            <w:rFonts w:ascii="Tw Cen MT" w:hAnsi="Tw Cen MT" w:cstheme="minorBidi"/>
            <w:sz w:val="20"/>
            <w:szCs w:val="20"/>
          </w:rPr>
          <w:t>83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5BE22AE"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4F69"/>
    <w:multiLevelType w:val="hybridMultilevel"/>
    <w:tmpl w:val="61E40530"/>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1E40EE"/>
    <w:multiLevelType w:val="hybridMultilevel"/>
    <w:tmpl w:val="3906093C"/>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8"/>
  </w:num>
  <w:num w:numId="2" w16cid:durableId="1501459303">
    <w:abstractNumId w:val="9"/>
  </w:num>
  <w:num w:numId="3" w16cid:durableId="612371167">
    <w:abstractNumId w:val="1"/>
  </w:num>
  <w:num w:numId="4" w16cid:durableId="365718882">
    <w:abstractNumId w:val="0"/>
  </w:num>
  <w:num w:numId="5" w16cid:durableId="601837212">
    <w:abstractNumId w:val="2"/>
  </w:num>
  <w:num w:numId="6" w16cid:durableId="516700404">
    <w:abstractNumId w:val="10"/>
  </w:num>
  <w:num w:numId="7" w16cid:durableId="1287586852">
    <w:abstractNumId w:val="4"/>
  </w:num>
  <w:num w:numId="8" w16cid:durableId="2141260947">
    <w:abstractNumId w:val="7"/>
  </w:num>
  <w:num w:numId="9" w16cid:durableId="221793458">
    <w:abstractNumId w:val="3"/>
  </w:num>
  <w:num w:numId="10" w16cid:durableId="613946755">
    <w:abstractNumId w:val="6"/>
  </w:num>
  <w:num w:numId="11" w16cid:durableId="147039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15E3"/>
    <w:rsid w:val="002B20BA"/>
    <w:rsid w:val="002C3700"/>
    <w:rsid w:val="002C693D"/>
    <w:rsid w:val="002C73F4"/>
    <w:rsid w:val="002C788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7A6A"/>
    <w:rsid w:val="007368A2"/>
    <w:rsid w:val="00750E24"/>
    <w:rsid w:val="00762C0B"/>
    <w:rsid w:val="00765F40"/>
    <w:rsid w:val="00766A76"/>
    <w:rsid w:val="007A1AEF"/>
    <w:rsid w:val="007A770B"/>
    <w:rsid w:val="007D6D9D"/>
    <w:rsid w:val="007D7D47"/>
    <w:rsid w:val="007E655E"/>
    <w:rsid w:val="007E6A66"/>
    <w:rsid w:val="007E716D"/>
    <w:rsid w:val="007F4948"/>
    <w:rsid w:val="00812425"/>
    <w:rsid w:val="0081569B"/>
    <w:rsid w:val="00815AB4"/>
    <w:rsid w:val="00816B99"/>
    <w:rsid w:val="00822EAC"/>
    <w:rsid w:val="00824ACA"/>
    <w:rsid w:val="00862F33"/>
    <w:rsid w:val="0086728C"/>
    <w:rsid w:val="00871BCB"/>
    <w:rsid w:val="008A326F"/>
    <w:rsid w:val="008B5C6C"/>
    <w:rsid w:val="008C48C8"/>
    <w:rsid w:val="008F41C7"/>
    <w:rsid w:val="00942731"/>
    <w:rsid w:val="00943EB9"/>
    <w:rsid w:val="0096335E"/>
    <w:rsid w:val="009634CF"/>
    <w:rsid w:val="00981789"/>
    <w:rsid w:val="00983CEF"/>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2818"/>
    <w:rsid w:val="00B241B6"/>
    <w:rsid w:val="00B25240"/>
    <w:rsid w:val="00B41001"/>
    <w:rsid w:val="00B63555"/>
    <w:rsid w:val="00B674AF"/>
    <w:rsid w:val="00B762AC"/>
    <w:rsid w:val="00BC34CC"/>
    <w:rsid w:val="00BD3FAC"/>
    <w:rsid w:val="00BE4731"/>
    <w:rsid w:val="00BE7B4C"/>
    <w:rsid w:val="00C10CB7"/>
    <w:rsid w:val="00C133E7"/>
    <w:rsid w:val="00C20FA8"/>
    <w:rsid w:val="00C812B9"/>
    <w:rsid w:val="00C96B4B"/>
    <w:rsid w:val="00CB0A6C"/>
    <w:rsid w:val="00CB3237"/>
    <w:rsid w:val="00CC54BA"/>
    <w:rsid w:val="00CD6253"/>
    <w:rsid w:val="00CF5715"/>
    <w:rsid w:val="00D0082B"/>
    <w:rsid w:val="00D0123F"/>
    <w:rsid w:val="00D06530"/>
    <w:rsid w:val="00D2571D"/>
    <w:rsid w:val="00D3183C"/>
    <w:rsid w:val="00D31D13"/>
    <w:rsid w:val="00D37FC1"/>
    <w:rsid w:val="00D428B5"/>
    <w:rsid w:val="00D44301"/>
    <w:rsid w:val="00D466FC"/>
    <w:rsid w:val="00D56013"/>
    <w:rsid w:val="00D56193"/>
    <w:rsid w:val="00D623AA"/>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00D5"/>
    <w:rsid w:val="00F0256B"/>
    <w:rsid w:val="00F05CBD"/>
    <w:rsid w:val="00F1133F"/>
    <w:rsid w:val="00F22660"/>
    <w:rsid w:val="00F5431A"/>
    <w:rsid w:val="00F6187B"/>
    <w:rsid w:val="00F64252"/>
    <w:rsid w:val="00F77802"/>
    <w:rsid w:val="00F803FE"/>
    <w:rsid w:val="00F817F4"/>
    <w:rsid w:val="00F837BF"/>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A20D9"/>
    <w:rsid w:val="003B31E7"/>
    <w:rsid w:val="003B3456"/>
    <w:rsid w:val="003D7BD9"/>
    <w:rsid w:val="0047713B"/>
    <w:rsid w:val="00637CD0"/>
    <w:rsid w:val="00643590"/>
    <w:rsid w:val="00723B24"/>
    <w:rsid w:val="008335A9"/>
    <w:rsid w:val="00A85543"/>
    <w:rsid w:val="00AC7E03"/>
    <w:rsid w:val="00C552ED"/>
    <w:rsid w:val="00C87C49"/>
    <w:rsid w:val="00DF2BBE"/>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C552ED"/>
    <w:rPr>
      <w:color w:val="666666"/>
    </w:rPr>
  </w:style>
  <w:style w:type="paragraph" w:customStyle="1" w:styleId="82DD9AD8166A674B98E22B75E41302FE">
    <w:name w:val="82DD9AD8166A674B98E22B75E41302FE"/>
    <w:rsid w:val="00C552ED"/>
    <w:pPr>
      <w:spacing w:after="160" w:line="278" w:lineRule="auto"/>
    </w:pPr>
    <w:rPr>
      <w:kern w:val="2"/>
      <w:sz w:val="24"/>
      <w:szCs w:val="24"/>
      <w:lang w:val="id-ID" w:eastAsia="ja-JP"/>
      <w14:ligatures w14:val="standardContextual"/>
    </w:rPr>
  </w:style>
  <w:style w:type="paragraph" w:customStyle="1" w:styleId="19153ABB10F2534A9FA299CFFE8D9A2D">
    <w:name w:val="19153ABB10F2534A9FA299CFFE8D9A2D"/>
    <w:rsid w:val="00C552ED"/>
    <w:pPr>
      <w:spacing w:after="160" w:line="278" w:lineRule="auto"/>
    </w:pPr>
    <w:rPr>
      <w:kern w:val="2"/>
      <w:sz w:val="24"/>
      <w:szCs w:val="24"/>
      <w:lang w:val="id-ID"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10947</Words>
  <Characters>62398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77-83		                                                                                                        ISSN 2715-1115 (Online), ISSN 2302 – 8610 (Print)</dc:title>
  <dc:creator>Sellia Juwita and sellia.juwita@univrab.ac.id</dc:creator>
  <cp:lastModifiedBy>iraoktavianirz@gmail.com</cp:lastModifiedBy>
  <cp:revision>2</cp:revision>
  <cp:lastPrinted>2024-08-17T12:24:00Z</cp:lastPrinted>
  <dcterms:created xsi:type="dcterms:W3CDTF">2024-08-17T13:45:00Z</dcterms:created>
  <dcterms:modified xsi:type="dcterms:W3CDTF">2024-08-17T13:45:00Z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