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59BB" w14:textId="77777777" w:rsidR="009957E7" w:rsidRDefault="009957E7" w:rsidP="00995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lang w:val="en"/>
        </w:rPr>
      </w:pPr>
      <w:r w:rsidRPr="005A2579">
        <w:rPr>
          <w:rFonts w:ascii="Tw Cen MT" w:eastAsia="Times New Roman" w:hAnsi="Tw Cen MT" w:cs="Courier New"/>
          <w:b/>
          <w:bCs/>
          <w:sz w:val="32"/>
          <w:szCs w:val="32"/>
          <w:lang w:val="en"/>
        </w:rPr>
        <w:t xml:space="preserve">ANTENATAL SCREENING OF PREGNANCY RISK USING KSPR </w:t>
      </w:r>
    </w:p>
    <w:p w14:paraId="0D2B47BC" w14:textId="77777777" w:rsidR="009957E7" w:rsidRPr="005A2579" w:rsidRDefault="009957E7" w:rsidP="00995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rPr>
      </w:pPr>
      <w:r w:rsidRPr="005A2579">
        <w:rPr>
          <w:rFonts w:ascii="Tw Cen MT" w:eastAsia="Times New Roman" w:hAnsi="Tw Cen MT" w:cs="Courier New"/>
          <w:b/>
          <w:bCs/>
          <w:sz w:val="32"/>
          <w:szCs w:val="32"/>
          <w:lang w:val="en"/>
        </w:rPr>
        <w:t>IN HIGH RISK PREGNANCY WOMEN</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B7AFF36" w14:textId="5059AB2E" w:rsidR="009957E7" w:rsidRPr="005A2579" w:rsidRDefault="009957E7" w:rsidP="009957E7">
      <w:pPr>
        <w:pStyle w:val="NoSpacing"/>
        <w:jc w:val="center"/>
        <w:rPr>
          <w:rFonts w:ascii="Tw Cen MT" w:hAnsi="Tw Cen MT" w:cs="Times New Roman"/>
          <w:b/>
          <w:bCs/>
          <w:sz w:val="32"/>
          <w:szCs w:val="32"/>
        </w:rPr>
      </w:pPr>
      <w:bookmarkStart w:id="0" w:name="_heading=h.ku3htxpixa9v" w:colFirst="0" w:colLast="0"/>
      <w:bookmarkStart w:id="1" w:name="_Hlk72396284"/>
      <w:bookmarkEnd w:id="0"/>
      <w:r w:rsidRPr="005A2579">
        <w:rPr>
          <w:rFonts w:ascii="Tw Cen MT" w:hAnsi="Tw Cen MT" w:cs="Times New Roman"/>
          <w:b/>
          <w:bCs/>
          <w:sz w:val="32"/>
          <w:szCs w:val="32"/>
        </w:rPr>
        <w:t xml:space="preserve">SKRINING ANTENATAL TINGKAT RESIKO KEHAMILAN MENGGUNAKAN KSPR PADA IBU HAMIL   RESIKO TINGGI </w:t>
      </w:r>
    </w:p>
    <w:bookmarkEnd w:id="1"/>
    <w:p w14:paraId="781ACE20" w14:textId="3B732D75" w:rsidR="004721E3" w:rsidRPr="002E23D7" w:rsidRDefault="009957E7"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Elly Susilawati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Yanti</w:t>
      </w:r>
      <w:r w:rsidR="004721E3" w:rsidRPr="002E23D7">
        <w:rPr>
          <w:rFonts w:ascii="Tw Cen MT" w:eastAsia="Twentieth Century" w:hAnsi="Tw Cen MT" w:cs="Twentieth Century"/>
          <w:sz w:val="24"/>
          <w:szCs w:val="24"/>
          <w:vertAlign w:val="superscript"/>
        </w:rPr>
        <w:t xml:space="preserve">2 </w:t>
      </w:r>
    </w:p>
    <w:p w14:paraId="37629F48" w14:textId="5F9DB625" w:rsidR="004721E3" w:rsidRPr="002E23D7" w:rsidRDefault="009957E7"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xml:space="preserve"> City</w:t>
      </w:r>
      <w:r w:rsidRPr="009957E7">
        <w:rPr>
          <w:rFonts w:ascii="Tw Cen MT" w:eastAsia="Twentieth Century" w:hAnsi="Tw Cen MT" w:cs="Twentieth Century"/>
          <w:sz w:val="20"/>
          <w:szCs w:val="20"/>
          <w:vertAlign w:val="superscript"/>
        </w:rPr>
        <w:t>1,</w:t>
      </w:r>
      <w:r w:rsidR="004721E3" w:rsidRPr="002E23D7">
        <w:rPr>
          <w:rFonts w:ascii="Tw Cen MT" w:eastAsia="Twentieth Century" w:hAnsi="Tw Cen MT" w:cs="Twentieth Century"/>
          <w:sz w:val="20"/>
          <w:szCs w:val="20"/>
          <w:vertAlign w:val="superscript"/>
        </w:rPr>
        <w:t>2</w:t>
      </w:r>
    </w:p>
    <w:p w14:paraId="23FA8100" w14:textId="3507C560"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9957E7">
        <w:rPr>
          <w:rFonts w:ascii="Tw Cen MT" w:eastAsia="Twentieth Century" w:hAnsi="Tw Cen MT" w:cs="Twentieth Century"/>
          <w:sz w:val="20"/>
          <w:szCs w:val="20"/>
        </w:rPr>
        <w:t xml:space="preserve"> : </w:t>
      </w:r>
      <w:hyperlink r:id="rId9" w:history="1">
        <w:r w:rsidR="009957E7" w:rsidRPr="00F30733">
          <w:rPr>
            <w:rStyle w:val="Hyperlink"/>
            <w:rFonts w:ascii="Tw Cen MT" w:eastAsia="Twentieth Century" w:hAnsi="Tw Cen MT" w:cs="Twentieth Century"/>
            <w:sz w:val="20"/>
            <w:szCs w:val="20"/>
          </w:rPr>
          <w:t>ellysusilawatiramli@gmail.com</w:t>
        </w:r>
      </w:hyperlink>
      <w:r w:rsidR="009957E7">
        <w:rPr>
          <w:rFonts w:ascii="Tw Cen MT" w:eastAsia="Twentieth Century" w:hAnsi="Tw Cen MT" w:cs="Twentieth Century"/>
          <w:sz w:val="20"/>
          <w:szCs w:val="20"/>
        </w:rPr>
        <w:t xml:space="preserve"> </w:t>
      </w:r>
    </w:p>
    <w:p w14:paraId="5C33921F" w14:textId="1B08EE1D" w:rsidR="007F4948" w:rsidRPr="0096335E" w:rsidRDefault="00C048CB">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98F0B2D">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765E965" w14:textId="1BF76C4D" w:rsidR="00C048CB" w:rsidRPr="00C55F0E" w:rsidRDefault="0027621D" w:rsidP="00C048CB">
      <w:pPr>
        <w:pStyle w:val="NormalWeb"/>
        <w:spacing w:before="0" w:beforeAutospacing="0" w:after="0" w:afterAutospacing="0"/>
        <w:ind w:left="3119"/>
        <w:jc w:val="both"/>
        <w:rPr>
          <w:rFonts w:ascii="Tw Cen MT" w:hAnsi="Tw Cen MT"/>
          <w:i/>
          <w:iCs/>
          <w:sz w:val="20"/>
          <w:szCs w:val="20"/>
        </w:rPr>
      </w:pPr>
      <w:commentRangeStart w:id="2"/>
      <w:r w:rsidRPr="00C55F0E">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F0E" w:rsidRPr="00C55F0E">
        <w:rPr>
          <w:rStyle w:val="Emphasis"/>
          <w:rFonts w:ascii="Tw Cen MT" w:hAnsi="Tw Cen MT"/>
          <w:color w:val="0E101A"/>
          <w:sz w:val="20"/>
          <w:szCs w:val="20"/>
        </w:rPr>
        <w:t xml:space="preserve">Worldwide, 20 million women have high-risk pregnancies, and over 800 die daily from perinatal conditions. The percentage of high-risk pregnancies ranges from 6% to 33% because of the circumstances and conditions of the pregnancies at risk. The high risk of pregnancy in the mother can threaten safety, and even the worst thing can happen, namely the death of the mother and baby, so optimal efforts need to be made to prevent or reduce the frequency of high-risk pregnant women and their handling needs to be done immediately to reduce maternal and child mortality. Efforts are being made to prevent complications by increasing antenatal care coverage. Then, all pregnant women are given antenatal care and screening with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is in the form of a scorecard that is used as a family-based antenatal screening tool to find risk factors for pregnant women, which are then carried out in integrated efforts to avoid and prevent the possibility of obstetric complications at the time of delivery. The purpose of screening with the Poedji </w:t>
      </w:r>
      <w:proofErr w:type="spellStart"/>
      <w:r w:rsidR="00C55F0E" w:rsidRPr="00C55F0E">
        <w:rPr>
          <w:rStyle w:val="Emphasis"/>
          <w:rFonts w:ascii="Tw Cen MT" w:hAnsi="Tw Cen MT"/>
          <w:color w:val="0E101A"/>
          <w:sz w:val="20"/>
          <w:szCs w:val="20"/>
        </w:rPr>
        <w:t>Rochjati</w:t>
      </w:r>
      <w:proofErr w:type="spellEnd"/>
      <w:r w:rsidR="00C55F0E" w:rsidRPr="00C55F0E">
        <w:rPr>
          <w:rStyle w:val="Emphasis"/>
          <w:rFonts w:ascii="Tw Cen MT" w:hAnsi="Tw Cen MT"/>
          <w:color w:val="0E101A"/>
          <w:sz w:val="20"/>
          <w:szCs w:val="20"/>
        </w:rPr>
        <w:t xml:space="preserve"> Score Card (KSPR) is to classify pregnant women with Low-Risk Pregnancy (KRR), High-Risk Pregnancy (KRT), and Very High-Risk Pregnancy (KRST)</w:t>
      </w:r>
      <w:r w:rsidR="00C048CB" w:rsidRPr="00C55F0E">
        <w:rPr>
          <w:rFonts w:ascii="Tw Cen MT" w:hAnsi="Tw Cen MT" w:cs="Arial"/>
          <w:i/>
          <w:iCs/>
          <w:color w:val="000000"/>
          <w:sz w:val="20"/>
          <w:szCs w:val="20"/>
        </w:rPr>
        <w:t>.</w:t>
      </w:r>
      <w:commentRangeEnd w:id="2"/>
      <w:r w:rsidR="00C55F0E" w:rsidRPr="00C55F0E">
        <w:rPr>
          <w:rStyle w:val="CommentReference"/>
          <w:rFonts w:ascii="Tw Cen MT" w:eastAsiaTheme="minorEastAsia" w:hAnsi="Tw Cen MT" w:cs="Calibri"/>
          <w:sz w:val="20"/>
          <w:szCs w:val="20"/>
          <w:lang w:val="en-US" w:eastAsia="en-US"/>
        </w:rPr>
        <w:commentReference w:id="2"/>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AA09BCF" w:rsidR="007F4948" w:rsidRPr="0096335E" w:rsidRDefault="00C048CB"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Antenatal </w:t>
      </w:r>
      <w:proofErr w:type="spellStart"/>
      <w:r>
        <w:rPr>
          <w:rFonts w:ascii="Tw Cen MT" w:eastAsia="Twentieth Century" w:hAnsi="Tw Cen MT" w:cs="Twentieth Century"/>
          <w:i/>
          <w:sz w:val="20"/>
          <w:szCs w:val="20"/>
        </w:rPr>
        <w:t>Screenig</w:t>
      </w:r>
      <w:proofErr w:type="spellEnd"/>
      <w:r w:rsidR="004721E3" w:rsidRPr="002E23D7">
        <w:rPr>
          <w:rFonts w:ascii="Tw Cen MT" w:eastAsia="Twentieth Century" w:hAnsi="Tw Cen MT" w:cs="Twentieth Century"/>
          <w:i/>
          <w:sz w:val="20"/>
          <w:szCs w:val="20"/>
        </w:rPr>
        <w:t xml:space="preserve"> 1; </w:t>
      </w:r>
      <w:r>
        <w:rPr>
          <w:rFonts w:ascii="Tw Cen MT" w:eastAsia="Twentieth Century" w:hAnsi="Tw Cen MT" w:cs="Twentieth Century"/>
          <w:i/>
          <w:sz w:val="20"/>
          <w:szCs w:val="20"/>
        </w:rPr>
        <w:t>High Risk Of Pregnancy</w:t>
      </w:r>
      <w:r w:rsidR="004721E3" w:rsidRPr="002E23D7">
        <w:rPr>
          <w:rFonts w:ascii="Tw Cen MT" w:eastAsia="Twentieth Century" w:hAnsi="Tw Cen MT" w:cs="Twentieth Century"/>
          <w:i/>
          <w:sz w:val="20"/>
          <w:szCs w:val="20"/>
        </w:rPr>
        <w:t xml:space="preserve"> 2; </w:t>
      </w:r>
      <w:r>
        <w:rPr>
          <w:rFonts w:ascii="Tw Cen MT" w:eastAsia="Twentieth Century" w:hAnsi="Tw Cen MT" w:cs="Twentieth Century"/>
          <w:i/>
          <w:sz w:val="20"/>
          <w:szCs w:val="20"/>
        </w:rPr>
        <w:t>KSPR</w:t>
      </w:r>
      <w:r w:rsidR="004721E3" w:rsidRPr="002E23D7">
        <w:rPr>
          <w:rFonts w:ascii="Tw Cen MT" w:eastAsia="Twentieth Century" w:hAnsi="Tw Cen MT" w:cs="Twentieth Century"/>
          <w:i/>
          <w:sz w:val="20"/>
          <w:szCs w:val="20"/>
        </w:rPr>
        <w:t xml:space="preserve"> 3</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559F9DF" w14:textId="7E02861C" w:rsidR="00B40BC9" w:rsidRPr="00D84ADB" w:rsidRDefault="00B40BC9" w:rsidP="00B40BC9">
      <w:pPr>
        <w:pStyle w:val="NoSpacing"/>
        <w:ind w:left="3119"/>
        <w:jc w:val="both"/>
        <w:rPr>
          <w:rFonts w:ascii="Tw Cen MT" w:hAnsi="Tw Cen MT" w:cs="Times New Roman"/>
          <w:sz w:val="20"/>
          <w:szCs w:val="20"/>
        </w:rPr>
      </w:pPr>
      <w:r w:rsidRPr="00D84ADB">
        <w:rPr>
          <w:rFonts w:ascii="Tw Cen MT" w:hAnsi="Tw Cen MT" w:cs="Times New Roman"/>
          <w:sz w:val="20"/>
          <w:szCs w:val="20"/>
        </w:rPr>
        <w:t>Diseluruh dunia</w:t>
      </w:r>
      <w:r w:rsidR="00C55F0E">
        <w:rPr>
          <w:rFonts w:ascii="Tw Cen MT" w:hAnsi="Tw Cen MT" w:cs="Times New Roman"/>
          <w:sz w:val="20"/>
          <w:szCs w:val="20"/>
        </w:rPr>
        <w:t>,</w:t>
      </w:r>
      <w:r w:rsidRPr="00D84ADB">
        <w:rPr>
          <w:rFonts w:ascii="Tw Cen MT" w:hAnsi="Tw Cen MT" w:cs="Times New Roman"/>
          <w:sz w:val="20"/>
          <w:szCs w:val="20"/>
        </w:rPr>
        <w:t xml:space="preserve"> 20 juta Wanita memiliki kehamilan beresiko tinggi dan lebih dari 800 meninggal setiap hari karena kondisi perinatal. Persentase Kehamilan beresiko tinggi berkisar antara 6% sampai 33% karena situasinya dan kondisi kehamilan yang beresiko. Tingginya resiko kehamilan pada ibu dapat mengancam keselamatan bahkan dapat terjadi hal yang paling buruk yaitu kematian ibu dan bayi, maka perlu dilakukan upaya optimal guna mencegah atau menurunkan frekuensi ibu hamil yang berisiko tinggi serta penanganannya perlu segera dilakukan untuk menurunkan angka kematian ibu dan anak. Upaya yang dilakukan untuk mencegah terjadinya komplikasi adalah dengan meningkatkan cakupan pelayanan antenatal, kemudian semua ibu hamil diberikan perawatan dan </w:t>
      </w:r>
      <w:proofErr w:type="spellStart"/>
      <w:r w:rsidRPr="00D84ADB">
        <w:rPr>
          <w:rFonts w:ascii="Tw Cen MT" w:hAnsi="Tw Cen MT" w:cs="Times New Roman"/>
          <w:sz w:val="20"/>
          <w:szCs w:val="20"/>
        </w:rPr>
        <w:t>skrining</w:t>
      </w:r>
      <w:proofErr w:type="spellEnd"/>
      <w:r w:rsidRPr="00D84ADB">
        <w:rPr>
          <w:rFonts w:ascii="Tw Cen MT" w:hAnsi="Tw Cen MT" w:cs="Times New Roman"/>
          <w:sz w:val="20"/>
          <w:szCs w:val="20"/>
        </w:rPr>
        <w:t xml:space="preserve"> antenatal dengan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yaitu berupa kartu skor yang digunakan sebagai alat </w:t>
      </w:r>
      <w:proofErr w:type="spellStart"/>
      <w:r w:rsidRPr="00D84ADB">
        <w:rPr>
          <w:rFonts w:ascii="Tw Cen MT" w:hAnsi="Tw Cen MT" w:cs="Times New Roman"/>
          <w:sz w:val="20"/>
          <w:szCs w:val="20"/>
        </w:rPr>
        <w:t>skrining</w:t>
      </w:r>
      <w:proofErr w:type="spellEnd"/>
      <w:r w:rsidRPr="00D84ADB">
        <w:rPr>
          <w:rFonts w:ascii="Tw Cen MT" w:hAnsi="Tw Cen MT" w:cs="Times New Roman"/>
          <w:sz w:val="20"/>
          <w:szCs w:val="20"/>
        </w:rPr>
        <w:t xml:space="preserve"> antenatal berbasis keluarga guna menemukan factor risiko ibu hamil, yang selanjutnya dilakukan upaya terpadu untuk menghindari dan mencegah kemungkinan terjadinya upaya komplikasi obstetric pada saat persalinan. Tujuan </w:t>
      </w:r>
      <w:proofErr w:type="spellStart"/>
      <w:r w:rsidRPr="00D84ADB">
        <w:rPr>
          <w:rFonts w:ascii="Tw Cen MT" w:hAnsi="Tw Cen MT" w:cs="Times New Roman"/>
          <w:sz w:val="20"/>
          <w:szCs w:val="20"/>
        </w:rPr>
        <w:t>skreening</w:t>
      </w:r>
      <w:proofErr w:type="spellEnd"/>
      <w:r w:rsidRPr="00D84ADB">
        <w:rPr>
          <w:rFonts w:ascii="Tw Cen MT" w:hAnsi="Tw Cen MT" w:cs="Times New Roman"/>
          <w:sz w:val="20"/>
          <w:szCs w:val="20"/>
        </w:rPr>
        <w:t xml:space="preserve"> dengan Kartu Skor Poedji </w:t>
      </w:r>
      <w:proofErr w:type="spellStart"/>
      <w:r w:rsidRPr="00D84ADB">
        <w:rPr>
          <w:rFonts w:ascii="Tw Cen MT" w:hAnsi="Tw Cen MT" w:cs="Times New Roman"/>
          <w:sz w:val="20"/>
          <w:szCs w:val="20"/>
        </w:rPr>
        <w:t>Rochjati</w:t>
      </w:r>
      <w:proofErr w:type="spellEnd"/>
      <w:r w:rsidRPr="00D84ADB">
        <w:rPr>
          <w:rFonts w:ascii="Tw Cen MT" w:hAnsi="Tw Cen MT" w:cs="Times New Roman"/>
          <w:sz w:val="20"/>
          <w:szCs w:val="20"/>
        </w:rPr>
        <w:t xml:space="preserve"> (KSPR) membuat </w:t>
      </w:r>
      <w:proofErr w:type="spellStart"/>
      <w:r w:rsidRPr="00D84ADB">
        <w:rPr>
          <w:rFonts w:ascii="Tw Cen MT" w:hAnsi="Tw Cen MT" w:cs="Times New Roman"/>
          <w:sz w:val="20"/>
          <w:szCs w:val="20"/>
        </w:rPr>
        <w:t>pengelompokkan</w:t>
      </w:r>
      <w:proofErr w:type="spellEnd"/>
      <w:r w:rsidRPr="00D84ADB">
        <w:rPr>
          <w:rFonts w:ascii="Tw Cen MT" w:hAnsi="Tw Cen MT" w:cs="Times New Roman"/>
          <w:sz w:val="20"/>
          <w:szCs w:val="20"/>
        </w:rPr>
        <w:t xml:space="preserve"> dari ibu hamil Kehamilan Resiko Rendah (KRR), Kehamilan Resiko Tinggi (KRT), Kehamilan Resiko Sangat Tinggi (KRST).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2734E4B4"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B40BC9">
        <w:rPr>
          <w:rFonts w:ascii="Tw Cen MT" w:eastAsia="Twentieth Century" w:hAnsi="Tw Cen MT" w:cs="Twentieth Century"/>
          <w:sz w:val="20"/>
          <w:szCs w:val="20"/>
        </w:rPr>
        <w:t>Skrining</w:t>
      </w:r>
      <w:proofErr w:type="spellEnd"/>
      <w:r w:rsidR="00B40BC9">
        <w:rPr>
          <w:rFonts w:ascii="Tw Cen MT" w:eastAsia="Twentieth Century" w:hAnsi="Tw Cen MT" w:cs="Twentieth Century"/>
          <w:sz w:val="20"/>
          <w:szCs w:val="20"/>
        </w:rPr>
        <w:t xml:space="preserve"> Antenatal</w:t>
      </w:r>
      <w:r w:rsidR="004721E3" w:rsidRPr="002E23D7">
        <w:rPr>
          <w:rFonts w:ascii="Tw Cen MT" w:eastAsia="Twentieth Century" w:hAnsi="Tw Cen MT" w:cs="Twentieth Century"/>
          <w:sz w:val="20"/>
          <w:szCs w:val="20"/>
        </w:rPr>
        <w:t xml:space="preserve"> 1, </w:t>
      </w:r>
      <w:r w:rsidR="00B40BC9">
        <w:rPr>
          <w:rFonts w:ascii="Tw Cen MT" w:eastAsia="Twentieth Century" w:hAnsi="Tw Cen MT" w:cs="Twentieth Century"/>
          <w:sz w:val="20"/>
          <w:szCs w:val="20"/>
        </w:rPr>
        <w:t>Resiko Tinggi Kehamilan</w:t>
      </w:r>
      <w:r w:rsidR="004721E3" w:rsidRPr="002E23D7">
        <w:rPr>
          <w:rFonts w:ascii="Tw Cen MT" w:eastAsia="Twentieth Century" w:hAnsi="Tw Cen MT" w:cs="Twentieth Century"/>
          <w:sz w:val="20"/>
          <w:szCs w:val="20"/>
        </w:rPr>
        <w:t xml:space="preserve"> 2, </w:t>
      </w:r>
      <w:r w:rsidR="00B40BC9">
        <w:rPr>
          <w:rFonts w:ascii="Tw Cen MT" w:eastAsia="Twentieth Century" w:hAnsi="Tw Cen MT" w:cs="Twentieth Century"/>
          <w:sz w:val="20"/>
          <w:szCs w:val="20"/>
        </w:rPr>
        <w:t>KSPR</w:t>
      </w:r>
      <w:r w:rsidR="004721E3" w:rsidRPr="002E23D7">
        <w:rPr>
          <w:rFonts w:ascii="Tw Cen MT" w:eastAsia="Twentieth Century" w:hAnsi="Tw Cen MT" w:cs="Twentieth Century"/>
          <w:sz w:val="20"/>
          <w:szCs w:val="20"/>
        </w:rPr>
        <w:t xml:space="preserve"> 3</w:t>
      </w:r>
    </w:p>
    <w:p w14:paraId="42EC1BE9" w14:textId="77777777" w:rsidR="00997349" w:rsidRDefault="00997349" w:rsidP="00997349">
      <w:pPr>
        <w:rPr>
          <w:rFonts w:ascii="Tw Cen MT" w:eastAsia="Twentieth Century" w:hAnsi="Tw Cen MT" w:cs="Twentieth Century"/>
          <w:sz w:val="20"/>
          <w:szCs w:val="20"/>
        </w:rPr>
      </w:pPr>
    </w:p>
    <w:p w14:paraId="0305897E" w14:textId="77777777" w:rsidR="00C222DA" w:rsidRDefault="00C222DA" w:rsidP="00997349">
      <w:pPr>
        <w:rPr>
          <w:rFonts w:ascii="Tw Cen MT" w:eastAsia="Twentieth Century" w:hAnsi="Tw Cen MT" w:cs="Twentieth Century"/>
          <w:sz w:val="20"/>
          <w:szCs w:val="20"/>
        </w:rPr>
      </w:pPr>
    </w:p>
    <w:p w14:paraId="448ACAA7" w14:textId="46832C1D" w:rsidR="00135DCE" w:rsidRPr="0096335E" w:rsidRDefault="00135DCE" w:rsidP="00997349">
      <w:pPr>
        <w:rPr>
          <w:rFonts w:ascii="Tw Cen MT" w:eastAsia="Twentieth Century" w:hAnsi="Tw Cen MT" w:cs="Twentieth Century"/>
          <w:sz w:val="20"/>
          <w:szCs w:val="20"/>
        </w:rPr>
        <w:sectPr w:rsidR="00135DCE" w:rsidRPr="0096335E" w:rsidSect="00D0123F">
          <w:headerReference w:type="default" r:id="rId15"/>
          <w:footerReference w:type="default" r:id="rId16"/>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452483DC" w14:textId="77777777" w:rsidR="008F3C28" w:rsidRDefault="008F3C28" w:rsidP="008F3C28">
      <w:pPr>
        <w:spacing w:after="0" w:line="240" w:lineRule="auto"/>
        <w:ind w:firstLine="720"/>
        <w:jc w:val="both"/>
        <w:rPr>
          <w:rFonts w:ascii="Tw Cen MT" w:hAnsi="Tw Cen MT" w:cs="Times New Roman"/>
          <w:sz w:val="24"/>
          <w:szCs w:val="24"/>
        </w:rPr>
      </w:pPr>
      <w:r w:rsidRPr="004159F9">
        <w:rPr>
          <w:rFonts w:ascii="Tw Cen MT" w:hAnsi="Tw Cen MT" w:cs="Times New Roman"/>
          <w:sz w:val="24"/>
          <w:szCs w:val="24"/>
        </w:rPr>
        <w:t xml:space="preserve">Kehamilan resiko tinggi adalah kehamilan yang mengancam Kesehatan dan kesejahteraan ibu dan janinnya. Kondisi seperti ini mengharuskan untuk mendapatkan perawatan dari tenaga Kesehatan terlatih dan khusus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[1]</w:t>
      </w:r>
      <w:r>
        <w:rPr>
          <w:rFonts w:ascii="Tw Cen MT" w:hAnsi="Tw Cen MT" w:cs="Times New Roman"/>
          <w:sz w:val="24"/>
          <w:szCs w:val="24"/>
        </w:rPr>
        <w:fldChar w:fldCharType="end"/>
      </w:r>
      <w:r w:rsidRPr="004159F9">
        <w:rPr>
          <w:rFonts w:ascii="Tw Cen MT" w:hAnsi="Tw Cen MT" w:cs="Times New Roman"/>
          <w:sz w:val="24"/>
          <w:szCs w:val="24"/>
        </w:rPr>
        <w:t xml:space="preserve">. Kehamilan dianggap beresiko tinggi bila ada potensi komplikasi yang dapat mempengaruhi ibu, bayi, atau keduanya. Kehamilan beresiko tinggi memerlukan penanganan spesialis untuk membantu memastikan hasil terbaik bagi ibu dan bayi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{"citationItems":[{"id":"ITEM-1","itemData":{"URL":"https://www.webmd.com/baby/managing-a-high-risk-pregnancy#1","accessed":{"date-parts":[["2022","4","17"]]},"author":[{"dropping-particle":"","family":"Mary Anne Dunkin, Traci C. Johnson","given":"MD","non-dropping-particle":"","parse-names":false,"suffix":""}],"container-title":"WebMD","id":"ITEM-1","issued":{"date-parts":[["2020"]]},"title":"Managing a High-Risk Pregnancy","type":"webpage"},"uris":["http://www.mendeley.com/documents/?uuid=31d5646e-013c-41a8-87b1-727381e2ba48"]}],"mendeley":{"formattedCitation":"[2]","plainTextFormattedCitation":"[2]","previouslyFormattedCitation":"[2]"},"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[2]</w:t>
      </w:r>
      <w:r>
        <w:rPr>
          <w:rFonts w:ascii="Tw Cen MT" w:hAnsi="Tw Cen MT" w:cs="Times New Roman"/>
          <w:sz w:val="24"/>
          <w:szCs w:val="24"/>
        </w:rPr>
        <w:fldChar w:fldCharType="end"/>
      </w:r>
      <w:r w:rsidRPr="004159F9">
        <w:rPr>
          <w:rFonts w:ascii="Tw Cen MT" w:hAnsi="Tw Cen MT" w:cs="Times New Roman"/>
          <w:sz w:val="24"/>
          <w:szCs w:val="24"/>
        </w:rPr>
        <w:t xml:space="preserve">. Kehamilan beresiko tinggi adalah kehamilan dimana ibu, janinnya, atau keduanya beresiko lebih tinggi mengalami masalah Kesehatan selama kehamilan atau persalinan dibandingkan dengan kehamilan biasa </w:t>
      </w:r>
      <w:r w:rsidRPr="004159F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{"citationItems":[{"id":"ITEM-1","itemData":{"URL":"https://www.nichd.nih.gov/health/topics/pregnancy/conditioninfo/high-risk","accessed":{"date-parts":[["2022","4","17"]]},"author":[{"dropping-particle":"","family":"National Institutes of Health","given":"","non-dropping-particle":"","parse-names":false,"suffix":""}],"container-title":"US Department of Health and Human Services","id":"ITEM-1","issued":{"date-parts":[["2017"]]},"title":"What is a high-risk pregnancy?","type":"webpage"},"uris":["http://www.mendeley.com/documents/?uuid=1807d912-c7f3-4d94-b04a-481b4442cf3d"]}],"mendeley":{"formattedCitation":"[1]","plainTextFormattedCitation":"[1]","previouslyFormattedCitation":"[1]"},"properties":{"noteIndex":0},"schema":"https://github.com/citation-style-language/schema/raw/master/csl-citation.json"}</w:instrText>
      </w:r>
      <w:r w:rsidRPr="004159F9">
        <w:rPr>
          <w:rFonts w:ascii="Tw Cen MT" w:hAnsi="Tw Cen MT" w:cs="Times New Roman"/>
          <w:sz w:val="24"/>
          <w:szCs w:val="24"/>
        </w:rPr>
        <w:fldChar w:fldCharType="separate"/>
      </w:r>
      <w:r w:rsidRPr="00486879">
        <w:rPr>
          <w:rFonts w:ascii="Tw Cen MT" w:hAnsi="Tw Cen MT" w:cs="Times New Roman"/>
          <w:noProof/>
          <w:sz w:val="24"/>
          <w:szCs w:val="24"/>
        </w:rPr>
        <w:t>[1]</w:t>
      </w:r>
      <w:r w:rsidRPr="004159F9">
        <w:rPr>
          <w:rFonts w:ascii="Tw Cen MT" w:hAnsi="Tw Cen MT" w:cs="Times New Roman"/>
          <w:sz w:val="24"/>
          <w:szCs w:val="24"/>
        </w:rPr>
        <w:fldChar w:fldCharType="end"/>
      </w:r>
      <w:r w:rsidRPr="004159F9">
        <w:rPr>
          <w:rFonts w:ascii="Tw Cen MT" w:hAnsi="Tw Cen MT" w:cs="Times New Roman"/>
          <w:sz w:val="24"/>
          <w:szCs w:val="24"/>
        </w:rPr>
        <w:t>.</w:t>
      </w:r>
    </w:p>
    <w:p w14:paraId="24E355F5" w14:textId="54D3425B" w:rsidR="008F3C28" w:rsidRPr="00486879" w:rsidRDefault="008F3C28" w:rsidP="008F3C28">
      <w:pPr>
        <w:spacing w:after="0" w:line="240" w:lineRule="auto"/>
        <w:ind w:firstLine="720"/>
        <w:jc w:val="both"/>
        <w:rPr>
          <w:rFonts w:ascii="Tw Cen MT" w:hAnsi="Tw Cen MT" w:cs="Times New Roman"/>
          <w:sz w:val="24"/>
          <w:szCs w:val="24"/>
        </w:rPr>
      </w:pPr>
      <w:r w:rsidRPr="00486879">
        <w:rPr>
          <w:rFonts w:ascii="Tw Cen MT" w:hAnsi="Tw Cen MT" w:cs="Times New Roman"/>
          <w:sz w:val="24"/>
          <w:szCs w:val="24"/>
        </w:rPr>
        <w:t xml:space="preserve">Kehamilan beresiko tinggi tidak berarti bahwa kehamilan tersebut lebih sulit atau menantang daripada kehamilan dengan resiko rendah. Namun ibu hamil perlu berkonsultasi dengan spesialis </w:t>
      </w:r>
      <w:proofErr w:type="spellStart"/>
      <w:r w:rsidRPr="00486879">
        <w:rPr>
          <w:rFonts w:ascii="Tw Cen MT" w:hAnsi="Tw Cen MT" w:cs="Times New Roman"/>
          <w:sz w:val="24"/>
          <w:szCs w:val="24"/>
        </w:rPr>
        <w:t>Feto</w:t>
      </w:r>
      <w:proofErr w:type="spellEnd"/>
      <w:r w:rsidRPr="00486879">
        <w:rPr>
          <w:rFonts w:ascii="Tw Cen MT" w:hAnsi="Tw Cen MT" w:cs="Times New Roman"/>
          <w:sz w:val="24"/>
          <w:szCs w:val="24"/>
        </w:rPr>
        <w:t xml:space="preserve"> Maternal dan melakukan pemantauan kehamilan lebih sering dibandingkan dengan ibu hamil yang beresiko rendah</w:t>
      </w:r>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URL":"https://www.hopkinsmedicine.org/health/conditions-and-diseases/staying-healthy-during-pregnancy/high-risk-pregnancy-what-you-need-to-know","accessed":{"date-parts":[["2022","4","17"]]},"author":[{"dropping-particle":"","family":"Janice Lynn Henderson","given":"M.D.","non-dropping-particle":"","parse-names":false,"suffix":""}],"container-title":"Janice Lynn Henderson, M.D.","id":"ITEM-1","issued":{"date-parts":[["0"]]},"title":"High-Risk Pregnancy: What You Need to Know","type":"webpage"},"uris":["http://www.mendeley.com/documents/?uuid=fb969f3d-32dc-4551-8e0a-f243f2afb5c8"]}],"mendeley":{"formattedCitation":"[3]","plainTextFormattedCitation":"[3]","previouslyFormattedCitation":"[3]"},"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[3]</w:t>
      </w:r>
      <w:r>
        <w:rPr>
          <w:rFonts w:ascii="Tw Cen MT" w:hAnsi="Tw Cen MT" w:cs="Times New Roman"/>
          <w:sz w:val="24"/>
          <w:szCs w:val="24"/>
        </w:rPr>
        <w:fldChar w:fldCharType="end"/>
      </w:r>
      <w:r w:rsidRPr="00486879">
        <w:rPr>
          <w:rFonts w:ascii="Tw Cen MT" w:hAnsi="Tw Cen MT" w:cs="Times New Roman"/>
          <w:sz w:val="24"/>
          <w:szCs w:val="24"/>
        </w:rPr>
        <w:t xml:space="preserve">. Risiko tinggi adalah bahaya yang lebih besar pada waktu kehamilan maupun  persalinan,  bila dibandingkan dengan ibu hamil normal. Tidak semua kehamilan akan menunjukkan tanda </w:t>
      </w:r>
      <w:proofErr w:type="spellStart"/>
      <w:r w:rsidRPr="00486879">
        <w:rPr>
          <w:rFonts w:ascii="Tw Cen MT" w:hAnsi="Tw Cen MT" w:cs="Times New Roman"/>
          <w:sz w:val="24"/>
          <w:szCs w:val="24"/>
        </w:rPr>
        <w:t>tanda</w:t>
      </w:r>
      <w:proofErr w:type="spellEnd"/>
      <w:r w:rsidRPr="00486879">
        <w:rPr>
          <w:rFonts w:ascii="Tw Cen MT" w:hAnsi="Tw Cen MT" w:cs="Times New Roman"/>
          <w:sz w:val="24"/>
          <w:szCs w:val="24"/>
        </w:rPr>
        <w:t xml:space="preserve"> yang normal. Menghadapi kehamilan risiko harus diambil sikap proaktif,</w:t>
      </w:r>
      <w:r w:rsidR="0084208B">
        <w:rPr>
          <w:rFonts w:ascii="Tw Cen MT" w:hAnsi="Tw Cen MT" w:cs="Times New Roman"/>
          <w:sz w:val="24"/>
          <w:szCs w:val="24"/>
        </w:rPr>
        <w:t xml:space="preserve"> </w:t>
      </w:r>
      <w:r w:rsidRPr="00486879">
        <w:rPr>
          <w:rFonts w:ascii="Tw Cen MT" w:hAnsi="Tw Cen MT" w:cs="Times New Roman"/>
          <w:sz w:val="24"/>
          <w:szCs w:val="24"/>
        </w:rPr>
        <w:t xml:space="preserve">terencana dengan upaya </w:t>
      </w:r>
      <w:proofErr w:type="spellStart"/>
      <w:r w:rsidRPr="00486879">
        <w:rPr>
          <w:rFonts w:ascii="Tw Cen MT" w:hAnsi="Tw Cen MT" w:cs="Times New Roman"/>
          <w:sz w:val="24"/>
          <w:szCs w:val="24"/>
        </w:rPr>
        <w:t>promotif</w:t>
      </w:r>
      <w:proofErr w:type="spellEnd"/>
      <w:r w:rsidRPr="00486879">
        <w:rPr>
          <w:rFonts w:ascii="Tw Cen MT" w:hAnsi="Tw Cen MT" w:cs="Times New Roman"/>
          <w:sz w:val="24"/>
          <w:szCs w:val="24"/>
        </w:rPr>
        <w:t xml:space="preserve"> dan preventif sampai dengan yang harus diambil sikap tegas dan cepat untuk menyelamatkan ibu dan janin. Kesehatan ibu hamil merupakan salah satu aspek yang penting untuk di perhatikan dalam siklus kehidupan seseorang baik perempuan dan janin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{"citationItems":[{"id":"ITEM-1","itemData":{"abstract":"Risiko tinggi adalah bahaya yang lebih besar pada waktu kehamilan maupun persalinan, bila dibandingkan dengan ibu hamil normal. Kehamilan usia remaja merupakan fenomena internasional yang belum terselesaikan hingga sekarang. World Health Organization (WHO) memperkirakan di seluruh Dunia lebih dari 585.000 ibu meninggal tiap tahun saat hamil atau bersalin. Tujuan penelitian ini adalah Untuk menganalisa hubungan pengetahuan dan sikap ibu hamil tentang risiko tinggi dalam kehamilan dengan kejadian risiko tinggi dalam kehamilan. Jenis penelitian ini adalah survei analitik dengan rancangan desain rancangan cross sectional. Populasi dalam penelitian ini adalah seluruh ibu hamil yang ada di wilayah kerja Puskesmas Kampar pada bulan Januari-April tahun 2018 yang berjumlah 226 ibu hamil dengan sampel sebanyak 145 ibu hamil. Teknik pengambilan sampel dalam penelitian ini adalah dengan cara simple random sampling,. Adapun alat ukur yang digunakan adalah kuesioner. Analisa yang digunakan dalam penelitian ini menggunakan uji chi square dengan p &lt; 0,005. Hasil penelitian menunjukkan bahwa ada hubungan antara pengetahuan dan sikap dengan risiko tinggi dalam kehamilan. Diharapkan kepada ibu hamil untuk selalu mengontrol kehamilan agar tidak terjadi kehamilan risiko tinggi.","author":[{"dropping-particle":"","family":"Syahda","given":"Syukrianti","non-dropping-particle":"","parse-names":false,"suffix":""}],"container-title":"Jurnal Doppler Universitas Pahlawan Tuanku Tambusai","id":"ITEM-1","issue":"2","issued":{"date-parts":[["2018"]]},"page":"57-58 (1-6)","title":"Hubungan Pengetahuan dan Sikap Ibu Hamil Tentang Risiko Tinggi dalam Kehamilan Dengan Kejadian Risiko Tinggi Dalam Kehamilan Dengan Kejadian Risiko Tinggi Dalam Kehamilan di Wilayah Kerja Puskesmas Kampar","type":"article-journal","volume":"2"},"uris":["http://www.mendeley.com/documents/?uuid=555fdfc4-cdac-4d16-99b5-07ec75b030f3"]}],"mendeley":{"formattedCitation":"[4]","plainTextFormattedCitation":"[4]","previouslyFormattedCitation":"[4]"},"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[4]</w:t>
      </w:r>
      <w:r w:rsidRPr="00486879">
        <w:rPr>
          <w:rFonts w:ascii="Tw Cen MT" w:hAnsi="Tw Cen MT" w:cs="Times New Roman"/>
          <w:sz w:val="24"/>
          <w:szCs w:val="24"/>
        </w:rPr>
        <w:fldChar w:fldCharType="end"/>
      </w:r>
      <w:r w:rsidRPr="00486879">
        <w:rPr>
          <w:rFonts w:ascii="Tw Cen MT" w:hAnsi="Tw Cen MT" w:cs="Times New Roman"/>
          <w:sz w:val="24"/>
          <w:szCs w:val="24"/>
        </w:rPr>
        <w:t xml:space="preserve">. Dampak yang dapat terjadi pada ibu hamil resiko tinggi yaitu keguguran, persalinan prematur, mudah terjadi </w:t>
      </w:r>
      <w:proofErr w:type="spellStart"/>
      <w:r w:rsidRPr="00486879">
        <w:rPr>
          <w:rFonts w:ascii="Tw Cen MT" w:hAnsi="Tw Cen MT" w:cs="Times New Roman"/>
          <w:sz w:val="24"/>
          <w:szCs w:val="24"/>
        </w:rPr>
        <w:t>infeksi,anemia</w:t>
      </w:r>
      <w:proofErr w:type="spellEnd"/>
      <w:r w:rsidRPr="00486879">
        <w:rPr>
          <w:rFonts w:ascii="Tw Cen MT" w:hAnsi="Tw Cen MT" w:cs="Times New Roman"/>
          <w:sz w:val="24"/>
          <w:szCs w:val="24"/>
        </w:rPr>
        <w:t xml:space="preserve"> pada kehamilan, </w:t>
      </w:r>
      <w:proofErr w:type="spellStart"/>
      <w:r w:rsidRPr="00486879">
        <w:rPr>
          <w:rFonts w:ascii="Tw Cen MT" w:hAnsi="Tw Cen MT" w:cs="Times New Roman"/>
          <w:sz w:val="24"/>
          <w:szCs w:val="24"/>
        </w:rPr>
        <w:t>gestosis</w:t>
      </w:r>
      <w:proofErr w:type="spellEnd"/>
      <w:r w:rsidRPr="00486879">
        <w:rPr>
          <w:rFonts w:ascii="Tw Cen MT" w:hAnsi="Tw Cen MT" w:cs="Times New Roman"/>
          <w:sz w:val="24"/>
          <w:szCs w:val="24"/>
        </w:rPr>
        <w:t xml:space="preserve">, serta kematian ibu yang tinggi </w:t>
      </w:r>
      <w:r w:rsidRPr="00486879">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[5]","plainTextFormattedCitation":"[5]","previouslyFormattedCitation":"[5]"},"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[5]</w:t>
      </w:r>
      <w:r w:rsidRPr="00486879">
        <w:rPr>
          <w:rFonts w:ascii="Tw Cen MT" w:hAnsi="Tw Cen MT" w:cs="Times New Roman"/>
          <w:sz w:val="24"/>
          <w:szCs w:val="24"/>
        </w:rPr>
        <w:fldChar w:fldCharType="end"/>
      </w:r>
      <w:r w:rsidRPr="00486879">
        <w:rPr>
          <w:rFonts w:ascii="Tw Cen MT" w:hAnsi="Tw Cen MT" w:cs="Times New Roman"/>
          <w:sz w:val="24"/>
          <w:szCs w:val="24"/>
        </w:rPr>
        <w:t>.</w:t>
      </w:r>
    </w:p>
    <w:p w14:paraId="406552F9" w14:textId="47A57B3E" w:rsidR="008F3C28" w:rsidRPr="00486879" w:rsidRDefault="008F3C28" w:rsidP="008F3C28">
      <w:pPr>
        <w:spacing w:after="0" w:line="240" w:lineRule="auto"/>
        <w:ind w:firstLine="567"/>
        <w:jc w:val="both"/>
        <w:rPr>
          <w:rFonts w:ascii="Tw Cen MT" w:hAnsi="Tw Cen MT" w:cs="Times New Roman"/>
          <w:sz w:val="24"/>
          <w:szCs w:val="24"/>
        </w:rPr>
      </w:pPr>
      <w:r w:rsidRPr="00486879">
        <w:rPr>
          <w:rFonts w:ascii="Tw Cen MT" w:hAnsi="Tw Cen MT" w:cs="Times New Roman"/>
          <w:sz w:val="24"/>
          <w:szCs w:val="24"/>
        </w:rPr>
        <w:t>Upaya yang dilakukan untuk mencegah</w:t>
      </w:r>
      <w:r w:rsidR="0084208B">
        <w:rPr>
          <w:rFonts w:ascii="Tw Cen MT" w:hAnsi="Tw Cen MT" w:cs="Times New Roman"/>
          <w:sz w:val="24"/>
          <w:szCs w:val="24"/>
        </w:rPr>
        <w:t xml:space="preserve"> </w:t>
      </w:r>
      <w:r w:rsidRPr="00486879">
        <w:rPr>
          <w:rFonts w:ascii="Tw Cen MT" w:hAnsi="Tw Cen MT" w:cs="Times New Roman"/>
          <w:sz w:val="24"/>
          <w:szCs w:val="24"/>
        </w:rPr>
        <w:t xml:space="preserve">terjadinya komplikasi adalah dengan meningkatkan cakupan pelayanan antenatal, kemudian semua ibu hamil diberikan perawatan dan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dengan 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untuk deteksi dini secara pro-aktif, yaitu mengenal masalah </w:t>
      </w:r>
      <w:r w:rsidRPr="00486879">
        <w:rPr>
          <w:rFonts w:ascii="Tw Cen MT" w:hAnsi="Tw Cen MT" w:cs="Times New Roman"/>
          <w:sz w:val="24"/>
          <w:szCs w:val="24"/>
        </w:rPr>
        <w:t xml:space="preserve">yang perlu diwaspadai dan menemukan secara </w:t>
      </w:r>
      <w:proofErr w:type="spellStart"/>
      <w:r w:rsidRPr="00486879">
        <w:rPr>
          <w:rFonts w:ascii="Tw Cen MT" w:hAnsi="Tw Cen MT" w:cs="Times New Roman"/>
          <w:sz w:val="24"/>
          <w:szCs w:val="24"/>
        </w:rPr>
        <w:t>dlni</w:t>
      </w:r>
      <w:proofErr w:type="spellEnd"/>
      <w:r w:rsidRPr="00486879">
        <w:rPr>
          <w:rFonts w:ascii="Tw Cen MT" w:hAnsi="Tw Cen MT" w:cs="Times New Roman"/>
          <w:sz w:val="24"/>
          <w:szCs w:val="24"/>
        </w:rPr>
        <w:t xml:space="preserve"> adanya tanda bahaya dan faktor risiko pada kehamilan sehingga dapat ditemukan faktor risiko yang berkembang pada umur kehamilan lebih lanjut. Deteksi dini gejala dan tanda bahaya selama kehamilan merupakan upaya terbaik untuk mencegah terjadinya gangguan yang serius terhadap kehamilan ataupun keselamatan ibu hamil</w:t>
      </w:r>
      <w:r>
        <w:rPr>
          <w:rFonts w:ascii="Tw Cen MT" w:hAnsi="Tw Cen MT" w:cs="Times New Roman"/>
          <w:sz w:val="24"/>
          <w:szCs w:val="24"/>
        </w:rPr>
        <w:t xml:space="preserve"> </w:t>
      </w:r>
      <w:r>
        <w:rPr>
          <w:rFonts w:ascii="Tw Cen MT" w:hAnsi="Tw Cen MT" w:cs="Times New Roman"/>
          <w:sz w:val="24"/>
          <w:szCs w:val="24"/>
        </w:rPr>
        <w:fldChar w:fldCharType="begin" w:fldLock="1"/>
      </w:r>
      <w:r w:rsidR="003D6097">
        <w:rPr>
          <w:rFonts w:ascii="Tw Cen MT" w:hAnsi="Tw Cen MT" w:cs="Times New Roman"/>
          <w:sz w:val="24"/>
          <w:szCs w:val="24"/>
        </w:rPr>
        <w:instrText>ADDIN CSL_CITATION {"citationItems":[{"id":"ITEM-1","itemData":{"abstract":"kehamilan penting untuk memprediksi kcrnpiikasi yang mungkil terjadi sehingga dapat ,:iiemur&lt;aiiiecara dini faktor risiko yanf Kematian ibu dikarenakan penanganan komplikasi persalinan iidak adekuat, kematian dapat dicegah dan dihindari. Deteksi cini peringkat ke-5 ibu harnil dengan*onrplikasi berkembang pada umur kehamilan lebih lanjut. Kematiin iouili Pus(esrnri s.iion ll pada tanun 2ori meningkat dan menduduki -terbanyak di Bantul penetitiin lni uertujuan untuk mengetahui gambaran tingkat risiko hamil di Puskesmas sewon ll pada bu[annprit2ot s. Dari peirelitian ini miyc,ritas ibu tergolong k(ro\"-n'roa potensi gawatobstetrik. primer yang dikumpulkan dengan angket langsr.rng,lrasilnya dinyataxan d\"ir* p\"r\"\"ntase (%), subyek penelitian adalah 60 ibu kehamilan dengan skrining KSPR di Puskesmas sirwon il bulanAprilibis. lenis p'eneiitianiniaoaian oesr&lt;riptif. Data berupa daia lbu hamil berisiko tinggi pada ibu dengan pendidikan rendah/tidak sexoian, tioat oerGria, irrri r\"r,\"rilan buruk yaitu &lt;2 iahun, berisiko sangat tinggi' Dari hasil skrining kehamilanmenunjukkan ,ryoiilm iou oerisit&lt;o sedangkan ibu hamil di usia &gt;35 tahun, melahirkan lebih dari.ernpat kali, pernah operasiseiar, dan ibu dengan penyakit diabetes perencanaan persalinan yang tepat bagi ibu hamil di puskesmas sewon ll. tini;i'#id;a perlu sistem rujukan dan Kata kunci:deteksi dini kehamilan, KRR, KRT, KRST 2","author":[{"dropping-particle":"","family":"Anggraeni","given":"Lusiana","non-dropping-particle":"","parse-names":false,"suffix":""},{"dropping-particle":"","family":"Theresia","given":"Endah Marianingsih","non-dropping-particle":"","parse-names":false,"suffix":""},{"dropping-particle":"","family":"Wahyuningsih","given":"Heni","non-dropping-particle":"","parse-names":false,"suffix":""}],"container-title":"Kesehatan lbu dan Anak","id":"ITEM-1","issue":"2","issued":{"date-parts":[["2015"]]},"page":"24-29","title":"Gambaran tingkat risiko kehamilan dengan skrining kspr pada ibu h.amil","type":"article-journal","volume":"8"},"uris":["http://www.mendeley.com/documents/?uuid=9e6bd01d-8f32-4674-b2f3-6226025124bc"]}],"mendeley":{"formattedCitation":"[6]","plainTextFormattedCitation":"[6]","previouslyFormattedCitation":"[6]"},"properties":{"noteIndex":0},"schema":"https://github.com/citation-style-language/schema/raw/master/csl-citation.json"}</w:instrText>
      </w:r>
      <w:r>
        <w:rPr>
          <w:rFonts w:ascii="Tw Cen MT" w:hAnsi="Tw Cen MT" w:cs="Times New Roman"/>
          <w:sz w:val="24"/>
          <w:szCs w:val="24"/>
        </w:rPr>
        <w:fldChar w:fldCharType="separate"/>
      </w:r>
      <w:r w:rsidRPr="00486879">
        <w:rPr>
          <w:rFonts w:ascii="Tw Cen MT" w:hAnsi="Tw Cen MT" w:cs="Times New Roman"/>
          <w:noProof/>
          <w:sz w:val="24"/>
          <w:szCs w:val="24"/>
        </w:rPr>
        <w:t>[6]</w:t>
      </w:r>
      <w:r>
        <w:rPr>
          <w:rFonts w:ascii="Tw Cen MT" w:hAnsi="Tw Cen MT" w:cs="Times New Roman"/>
          <w:sz w:val="24"/>
          <w:szCs w:val="24"/>
        </w:rPr>
        <w:fldChar w:fldCharType="end"/>
      </w:r>
      <w:r w:rsidRPr="00486879">
        <w:rPr>
          <w:rFonts w:ascii="Tw Cen MT" w:hAnsi="Tw Cen MT" w:cs="Times New Roman"/>
          <w:sz w:val="24"/>
          <w:szCs w:val="24"/>
        </w:rPr>
        <w:t xml:space="preserve">. Deteksi dini resiko tinggi ibu hamil adalah kegiatan penjaringan terhadap </w:t>
      </w:r>
      <w:proofErr w:type="spellStart"/>
      <w:r w:rsidRPr="00486879">
        <w:rPr>
          <w:rFonts w:ascii="Tw Cen MT" w:hAnsi="Tw Cen MT" w:cs="Times New Roman"/>
          <w:sz w:val="24"/>
          <w:szCs w:val="24"/>
        </w:rPr>
        <w:t>ibu-ibu</w:t>
      </w:r>
      <w:proofErr w:type="spellEnd"/>
      <w:r w:rsidRPr="00486879">
        <w:rPr>
          <w:rFonts w:ascii="Tw Cen MT" w:hAnsi="Tw Cen MT" w:cs="Times New Roman"/>
          <w:sz w:val="24"/>
          <w:szCs w:val="24"/>
        </w:rPr>
        <w:t xml:space="preserve"> hamil yang terdeteksi mengalami kehamilan resiko tinggi pada suatu wilayah tertentu atau kegiatan yang dilakukan untuk menemukan ibu hamil yang mempunyai faktor risiko dan komplikasi kebidanan. Oleh karenanya penanganan yang adekuat sedini mungkin perlu dilakukan, sebagai kunci keberhasilan dalam penurunan angka kematian ibu dan bayi yang dilahirkannya </w:t>
      </w:r>
      <w:r w:rsidRPr="00486879">
        <w:rPr>
          <w:rFonts w:ascii="Tw Cen MT" w:hAnsi="Tw Cen MT" w:cs="Times New Roman"/>
          <w:sz w:val="24"/>
          <w:szCs w:val="24"/>
        </w:rPr>
        <w:fldChar w:fldCharType="begin" w:fldLock="1"/>
      </w:r>
      <w:r w:rsidR="003D6097">
        <w:rPr>
          <w:rFonts w:ascii="Tw Cen MT" w:hAnsi="Tw Cen MT" w:cs="Times New Roman"/>
          <w:sz w:val="24"/>
          <w:szCs w:val="24"/>
        </w:rPr>
        <w:instrText>ADDIN CSL_CITATION {"citationItems":[{"id":"ITEM-1","itemData":{"DOI":"10.30604/jika.v6i3.536","ISSN":"2502-4825","abstract":"The health status has become an indicator to sense the condition of pregnant women by checking it to the health facility. Today, people around the world are suffering from pandemics caused by COVID-19. This phenomenon has caused loss both in material and immaterial. To prevent the transmission, therefore the government is limiting the total visit to the health facility. Most pregnant women feel worried to check their pregnancy condition to the provided facility. Hence, the health workers have difficulty detecting the risk of their pregnancy in this pandemic. The score card from Poedji Rochjati is still being used to detect the risk of pregnancy. Numerous of the risks found in pregnancy are still not included in the card. Based on the research review result that had been done using the scoring by Peodji Rochjati, it shows there is still no development for the research. This research belongs to research development of R&amp;amp;D. Result: The development of how to detect the risk of pregnancy based on Score Card of Peodji Rochjati (KSPR) 23 criteria of pregnant woman, developed into 30 criteria of pregnancy risks by adding 7 more criteria, they are a pregnant woman with HIV/AIDS, kidney disease, autoimmunity, chronic hypertension, phospholipid syndrome, premature rupture of membranes and the pregnant woman confirmed with COVID-19. The development of health screening on how to detect pregnancy risks is an attempt to prevent emergency complications independent for pregnant women.               Abstrak:   Status kesehatan sebagai indikator untuk mengetahui keadaan dan kondisi ibu hamil dengan memeriksakan ke fasilitas kesehatan. Saat ini di seluruh dunia terjadi wabah pandemi yang disebabkan oleh COVID-19.  Pandemik yang terjadi mengakibatkan kerugian secara material dan imaterial. Demi mencegah penularan maka pemerintah membatasi kunjungan pelayanan difasilitas kesehatan. Sebagian besar ibu hamil merasa khawatir untuk memeriksakan kehamilannya di fasiltas pelayanan kesehatan. Tenaga kesehatan kesulitan mendeteksi resiko ibu hamil pada masa pandemik. Pendeteksian resiko kehamil masih menggunakan kartu skor Poedji Rochjati. Banyaknya temuan kasus resiko ibu hamil sebagian belum masuk di kartu tersebut. Berdasarkan hasil review penelitian yang sudah dilakukan dengan menggunakan skoring Poedji Rochjatididapatkan belum ada pengembangan penelitian tersebut. Penelitian ini termasuk dalam jenis penelitian pengembangan R&amp;amp;D (Research &amp;amp; Development). Hasil:  Penge…","author":[{"dropping-particle":"","family":"Herlina","given":"Nina","non-dropping-particle":"","parse-names":false,"suffix":""},{"dropping-particle":"","family":"Nawangsari","given":"Sri","non-dropping-particle":"","parse-names":false,"suffix":""},{"dropping-particle":"","family":"Harahap","given":"Robby Kurniawan","non-dropping-particle":"","parse-names":false,"suffix":""},{"dropping-particle":"","family":"Ekowati","given":"Erik","non-dropping-particle":"","parse-names":false,"suffix":""},{"dropping-particle":"","family":"Asmarany","given":"Anugriaty Indah","non-dropping-particle":"","parse-names":false,"suffix":""}],"container-title":"Jurnal Aisyah : Jurnal Ilmu Kesehatan","id":"ITEM-1","issue":"3","issued":{"date-parts":[["2021"]]},"page":"439-445","title":"Pengembangan Skrining Deteksi Resiko Kehamilan Berdasarkan Kriteria Keadaan dan Kondisi Ibu Hamil","type":"article-journal","volume":"6"},"uris":["http://www.mendeley.com/documents/?uuid=88125bfb-a57d-477e-907c-ed68abc97d7e"]}],"mendeley":{"formattedCitation":"[7]","plainTextFormattedCitation":"[7]","previouslyFormattedCitation":"[7]"},"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[7]</w:t>
      </w:r>
      <w:r w:rsidRPr="00486879">
        <w:rPr>
          <w:rFonts w:ascii="Tw Cen MT" w:hAnsi="Tw Cen MT" w:cs="Times New Roman"/>
          <w:sz w:val="24"/>
          <w:szCs w:val="24"/>
        </w:rPr>
        <w:fldChar w:fldCharType="end"/>
      </w:r>
      <w:r w:rsidRPr="00486879">
        <w:rPr>
          <w:rFonts w:ascii="Tw Cen MT" w:hAnsi="Tw Cen MT" w:cs="Times New Roman"/>
          <w:sz w:val="24"/>
          <w:szCs w:val="24"/>
        </w:rPr>
        <w:t xml:space="preserve">. Deteksi Dini Risiko tinggi dapat dilakukan melalui Kartu Skor </w:t>
      </w:r>
      <w:proofErr w:type="spellStart"/>
      <w:r w:rsidRPr="00486879">
        <w:rPr>
          <w:rFonts w:ascii="Tw Cen MT" w:hAnsi="Tw Cen MT" w:cs="Times New Roman"/>
          <w:sz w:val="24"/>
          <w:szCs w:val="24"/>
        </w:rPr>
        <w:t>Pudji</w:t>
      </w:r>
      <w:proofErr w:type="spellEnd"/>
      <w:r w:rsidRPr="00486879">
        <w:rPr>
          <w:rFonts w:ascii="Tw Cen MT" w:hAnsi="Tw Cen MT" w:cs="Times New Roman"/>
          <w:sz w:val="24"/>
          <w:szCs w:val="24"/>
        </w:rPr>
        <w:t xml:space="preserve"> </w:t>
      </w:r>
      <w:proofErr w:type="spellStart"/>
      <w:r w:rsidRPr="00486879">
        <w:rPr>
          <w:rFonts w:ascii="Tw Cen MT" w:hAnsi="Tw Cen MT" w:cs="Times New Roman"/>
          <w:sz w:val="24"/>
          <w:szCs w:val="24"/>
        </w:rPr>
        <w:t>Rochyati</w:t>
      </w:r>
      <w:proofErr w:type="spellEnd"/>
      <w:r w:rsidRPr="00486879">
        <w:rPr>
          <w:rFonts w:ascii="Tw Cen MT" w:hAnsi="Tw Cen MT" w:cs="Times New Roman"/>
          <w:sz w:val="24"/>
          <w:szCs w:val="24"/>
        </w:rPr>
        <w:t xml:space="preserve"> yang ada di dalam buku KIA </w:t>
      </w:r>
      <w:r w:rsidRPr="00486879">
        <w:rPr>
          <w:rFonts w:ascii="Tw Cen MT" w:hAnsi="Tw Cen MT" w:cs="Times New Roman"/>
          <w:sz w:val="24"/>
          <w:szCs w:val="24"/>
        </w:rPr>
        <w:fldChar w:fldCharType="begin" w:fldLock="1"/>
      </w:r>
      <w:r w:rsidR="003D6097">
        <w:rPr>
          <w:rFonts w:ascii="Tw Cen MT" w:hAnsi="Tw Cen MT" w:cs="Times New Roman"/>
          <w:sz w:val="24"/>
          <w:szCs w:val="24"/>
        </w:rPr>
        <w:instrText>ADDIN CSL_CITATION {"citationItems":[{"id":"ITEM-1","itemData":{"DOI":"10.20473/mog.v23i3.2073","ISSN":"0854-0381","abstract":"  Tujuan: Menganalisis 28 faktor risiko ditambah dengan 4 faktor risiko dari register kohort ibu, yang dominan mengakibatkan peningkatan skor Poedji Rochjati atau peningkatan kategori kehamilan.Bahan dan Metode: Ini adalah penelitian data sekunder secara cross sectional yang dilakukan pada bulan Agustus – November 2014, menggunakan data dari register kohort ibu tahun 2009 – 2013 wilayah Kerja Puskesmas Kebonsari Kabupaten Madiun. Teknik pengumpulan data adalah menggunakan Kartu Skor Poedji Rochjati yang skornya sudah ada pada register kohort ibu. Populasi adalah semua ibu hamil yang ada pada register kohort ibu Puskesmas Kebonsari tahun 2009 – 2013. Sampel diambil dengan rumus penghitungan sampel penelitian survey cross sectional secara proporsi dan sesuai dengan kriteria inklusi sejumlah 147 ibu hamil.Hasil: Dari 32 faktor risiko yang dianalisis, hanya 8 yang mempunyai pengaruh meningkatkan skor Poedji Rochjati, dan hanya 1 yang bermakna secara statistik yaitu kurang darah (anemia). Dari 8 faktor risiko, anemia adalah faktor risiko terbesar yang mempu meningkatkan skor Poedji Rochjati seorang ibu hamil sepanjang kehamilannya. Berikut nilai ke depalan faktor risiko tersebut : anemia (6,737), jumlah Ante Natal Care (3,474), terlalu banyak anak (1,261), terlalu cepat hamil lagi (1,167), terlalu tua (1,146), pernah gagal kehamilan (1,114), Indeks Massa Tubuh (1,107), terlalu lama hamil lagi (1,051).Simpulan: Ibu hamil dengan anemia mempunyai risiko sebesar 6,737 kali untuk mengalami peningkatan skor dibandingkan dengan ibu hamil yang tidak anemia. ","author":[{"dropping-particle":"","family":"Ditaningtias","given":"Siska","non-dropping-particle":"","parse-names":false,"suffix":""},{"dropping-particle":"","family":"Sulistiyono","given":"Agus","non-dropping-particle":"","parse-names":false,"suffix":""},{"dropping-particle":"","family":"Indawati","given":"Rachmah","non-dropping-particle":"","parse-names":false,"suffix":""}],"container-title":"Majalah Obstetri &amp; Ginekologi","id":"ITEM-1","issue":"3","issued":{"date-parts":[["2015"]]},"page":"90","title":"Anemia sebagai Faktor Risiko Peningkatan Skor Kehamilan Berdasarkan Kartu Skor Poedji Rochjati","type":"article-journal","volume":"23"},"uris":["http://www.mendeley.com/documents/?uuid=f2cea700-5a8b-4e16-8ac0-6c9003a378a5"]}],"mendeley":{"formattedCitation":"[8]","plainTextFormattedCitation":"[8]","previouslyFormattedCitation":"[8]"},"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[8]</w:t>
      </w:r>
      <w:r w:rsidRPr="00486879">
        <w:rPr>
          <w:rFonts w:ascii="Tw Cen MT" w:hAnsi="Tw Cen MT" w:cs="Times New Roman"/>
          <w:sz w:val="24"/>
          <w:szCs w:val="24"/>
        </w:rPr>
        <w:fldChar w:fldCharType="end"/>
      </w:r>
      <w:r w:rsidRPr="00486879">
        <w:rPr>
          <w:rFonts w:ascii="Tw Cen MT" w:hAnsi="Tw Cen MT" w:cs="Times New Roman"/>
          <w:sz w:val="24"/>
          <w:szCs w:val="24"/>
        </w:rPr>
        <w:t xml:space="preserve">. </w:t>
      </w:r>
    </w:p>
    <w:p w14:paraId="0A2CF26D" w14:textId="2DBCE0B2" w:rsidR="008F3C28" w:rsidRPr="00486879" w:rsidRDefault="008F3C28" w:rsidP="008F3C28">
      <w:pPr>
        <w:spacing w:after="0" w:line="240" w:lineRule="auto"/>
        <w:ind w:firstLine="567"/>
        <w:jc w:val="both"/>
        <w:rPr>
          <w:rFonts w:ascii="Tw Cen MT" w:hAnsi="Tw Cen MT" w:cs="Times New Roman"/>
          <w:sz w:val="24"/>
          <w:szCs w:val="24"/>
        </w:rPr>
      </w:pPr>
      <w:r w:rsidRPr="00486879">
        <w:rPr>
          <w:rFonts w:ascii="Tw Cen MT" w:hAnsi="Tw Cen MT" w:cs="Times New Roman"/>
          <w:sz w:val="24"/>
          <w:szCs w:val="24"/>
        </w:rPr>
        <w:t xml:space="preserve">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yaitu berupa kartu skor yang digunakan sebagai alat </w:t>
      </w:r>
      <w:proofErr w:type="spellStart"/>
      <w:r w:rsidRPr="00486879">
        <w:rPr>
          <w:rFonts w:ascii="Tw Cen MT" w:hAnsi="Tw Cen MT" w:cs="Times New Roman"/>
          <w:sz w:val="24"/>
          <w:szCs w:val="24"/>
        </w:rPr>
        <w:t>skrining</w:t>
      </w:r>
      <w:proofErr w:type="spellEnd"/>
      <w:r w:rsidRPr="00486879">
        <w:rPr>
          <w:rFonts w:ascii="Tw Cen MT" w:hAnsi="Tw Cen MT" w:cs="Times New Roman"/>
          <w:sz w:val="24"/>
          <w:szCs w:val="24"/>
        </w:rPr>
        <w:t xml:space="preserve"> antenatal berbasis keluarga guna menemukan factor risiko ibu hamil, yang selanjutnya dilakukan upaya terpadu untuk menghindari dan mencegah kemungkinan terjadinya upaya komplikasi obstetric pada saat persalinan. Tujuan </w:t>
      </w:r>
      <w:proofErr w:type="spellStart"/>
      <w:r w:rsidRPr="00486879">
        <w:rPr>
          <w:rFonts w:ascii="Tw Cen MT" w:hAnsi="Tw Cen MT" w:cs="Times New Roman"/>
          <w:sz w:val="24"/>
          <w:szCs w:val="24"/>
        </w:rPr>
        <w:t>skreening</w:t>
      </w:r>
      <w:proofErr w:type="spellEnd"/>
      <w:r w:rsidRPr="00486879">
        <w:rPr>
          <w:rFonts w:ascii="Tw Cen MT" w:hAnsi="Tw Cen MT" w:cs="Times New Roman"/>
          <w:sz w:val="24"/>
          <w:szCs w:val="24"/>
        </w:rPr>
        <w:t xml:space="preserve"> dengan Kartu Skor Poedji </w:t>
      </w:r>
      <w:proofErr w:type="spellStart"/>
      <w:r w:rsidRPr="00486879">
        <w:rPr>
          <w:rFonts w:ascii="Tw Cen MT" w:hAnsi="Tw Cen MT" w:cs="Times New Roman"/>
          <w:sz w:val="24"/>
          <w:szCs w:val="24"/>
        </w:rPr>
        <w:t>Rochjati</w:t>
      </w:r>
      <w:proofErr w:type="spellEnd"/>
      <w:r w:rsidRPr="00486879">
        <w:rPr>
          <w:rFonts w:ascii="Tw Cen MT" w:hAnsi="Tw Cen MT" w:cs="Times New Roman"/>
          <w:sz w:val="24"/>
          <w:szCs w:val="24"/>
        </w:rPr>
        <w:t xml:space="preserve"> (KSPR) membuat </w:t>
      </w:r>
      <w:proofErr w:type="spellStart"/>
      <w:r w:rsidRPr="00486879">
        <w:rPr>
          <w:rFonts w:ascii="Tw Cen MT" w:hAnsi="Tw Cen MT" w:cs="Times New Roman"/>
          <w:sz w:val="24"/>
          <w:szCs w:val="24"/>
        </w:rPr>
        <w:t>pengelompokkan</w:t>
      </w:r>
      <w:proofErr w:type="spellEnd"/>
      <w:r w:rsidRPr="00486879">
        <w:rPr>
          <w:rFonts w:ascii="Tw Cen MT" w:hAnsi="Tw Cen MT" w:cs="Times New Roman"/>
          <w:sz w:val="24"/>
          <w:szCs w:val="24"/>
        </w:rPr>
        <w:t xml:space="preserve"> dari ibu hamil Kehamilan Resiko Rendah (KRR), Kehamilan Resiko Tinggi (KRT), Kehamilan Resiko Sangat Tinggi (KRST), agar berkembang perilaku kebutuhan tempat dan penolong persalinan sesuai dengan kondisi dari ibu hamil dan melakukan pemberdayaan ibu hamil, suami, keluarga dan masyarakat agar peduli dan memberikan dukungan dan bantuan kesiapan mental, biaya dan transportasi untuk melakukan rujukan terencana </w:t>
      </w:r>
      <w:r w:rsidRPr="00486879">
        <w:rPr>
          <w:rFonts w:ascii="Tw Cen MT" w:hAnsi="Tw Cen MT" w:cs="Times New Roman"/>
          <w:sz w:val="24"/>
          <w:szCs w:val="24"/>
        </w:rPr>
        <w:fldChar w:fldCharType="begin" w:fldLock="1"/>
      </w:r>
      <w:r w:rsidR="003D6097">
        <w:rPr>
          <w:rFonts w:ascii="Tw Cen MT" w:hAnsi="Tw Cen MT" w:cs="Times New Roman"/>
          <w:sz w:val="24"/>
          <w:szCs w:val="24"/>
        </w:rPr>
        <w:instrText>ADDIN CSL_CITATION {"citationItems":[{"id":"ITEM-1","itemData":{"DOI":"10.31983/link.v14i2.3710","ISSN":"1829-5754","abstract":"Pengabdian Kepada Masyarakat di Politeknik Kesehatan Kemenkes Semarang adalah kegiatan civitas akademika dengan cara memanfaatkan potensi yang ada di Politeknik Kesehatan Kemenkes Semarang sebagai kontribusi dalam mewujudkan masyarakat yang sehat dan berkeadilan. Bentuk pengabdian masyarakat yang diselenggarakan menyesuaikan dengan kegiatan civitas akademika sehari-hari. Program pengabdian masyarakat yang dilaksanakan adalah pelatihan Skrining Antenatal menggunakan instrument bantu Kartu Skor Poedji Rochjati (KSPR). Kegiatan pengabdian masyarakat bertujuan meningkatkan pengetahuan dan keterampilan Tim Penggerak PKK dalam mendeteksi dini factor risiko pada ibu hamil. pelatihan memakai pendekatan partisipatif serta praktek lapangan. Sasaran kegiatan pengabdian ini adalah anggota dan pengurus tim penggerak PKK Kecamatan Baturraden.Pemahaman tentang alat skrining antenatal berbasis keluarga guna menemukan faktor risiko ibu hamil, yang selanjutnya dilakukan upaya terpadu untuk menghindari dan mencegah kemungkinan terjadinya upaya komplikasi obtetrik pada saat persalinan diharapkan mereka dapat membantu melaksanakan pemantauan tersebut bekerja sama dengan tenaga kesehatan, dan kader posyandu. tim penggerak PKK Kecamatan Baturraden ini tidak merasa kesulitan untuk melakukan Tindaklanjut dari pelatihan adalah pendampingan kepada anggota / pengurus tim penggerak PKK Kecamatan dalam upaya menyebarluaskan hasil pelatihan","author":[{"dropping-particle":"","family":"Hastuti","given":"Puji Hastuti","non-dropping-particle":"","parse-names":false,"suffix":""},{"dropping-particle":"","family":"Suparmi","given":"Separmi","non-dropping-particle":"","parse-names":false,"suffix":""},{"dropping-particle":"","family":"Sumiyati","given":"Sumiyati","non-dropping-particle":"","parse-names":false,"suffix":""},{"dropping-particle":"","family":"Widiastuti","given":"Anita","non-dropping-particle":"","parse-names":false,"suffix":""},{"dropping-particle":"","family":"Yuliani","given":"Diki Retno","non-dropping-particle":"","parse-names":false,"suffix":""}],"container-title":"Link","id":"ITEM-1","issue":"2","issued":{"date-parts":[["2018"]]},"page":"110","title":"Kartu Skor Poedji Rochjati Untuk Skrining Antenatal","type":"article-journal","volume":"14"},"uris":["http://www.mendeley.com/documents/?uuid=158a9b07-0efe-4e98-b862-4b5d97317991"]}],"mendeley":{"formattedCitation":"[9]","plainTextFormattedCitation":"[9]","previouslyFormattedCitation":"[9]"},"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[9]</w:t>
      </w:r>
      <w:r w:rsidRPr="00486879">
        <w:rPr>
          <w:rFonts w:ascii="Tw Cen MT" w:hAnsi="Tw Cen MT" w:cs="Times New Roman"/>
          <w:sz w:val="24"/>
          <w:szCs w:val="24"/>
        </w:rPr>
        <w:fldChar w:fldCharType="end"/>
      </w:r>
      <w:r w:rsidRPr="00486879">
        <w:rPr>
          <w:rFonts w:ascii="Tw Cen MT" w:hAnsi="Tw Cen MT" w:cs="Times New Roman"/>
          <w:sz w:val="24"/>
          <w:szCs w:val="24"/>
        </w:rPr>
        <w:t xml:space="preserve">. </w:t>
      </w:r>
    </w:p>
    <w:p w14:paraId="795CFC83" w14:textId="4B9351B3" w:rsidR="008F3C28" w:rsidRPr="00486879" w:rsidRDefault="008F3C28" w:rsidP="008F3C28">
      <w:pPr>
        <w:spacing w:after="0" w:line="240" w:lineRule="auto"/>
        <w:ind w:firstLine="720"/>
        <w:jc w:val="both"/>
        <w:rPr>
          <w:rFonts w:ascii="Tw Cen MT" w:hAnsi="Tw Cen MT" w:cs="Times New Roman"/>
          <w:sz w:val="24"/>
          <w:szCs w:val="24"/>
        </w:rPr>
      </w:pPr>
      <w:r w:rsidRPr="00486879">
        <w:rPr>
          <w:rFonts w:ascii="Tw Cen MT" w:hAnsi="Tw Cen MT" w:cs="Times New Roman"/>
          <w:sz w:val="24"/>
          <w:szCs w:val="24"/>
        </w:rPr>
        <w:t xml:space="preserve">Sistem skor memudahkan </w:t>
      </w:r>
      <w:proofErr w:type="spellStart"/>
      <w:r w:rsidRPr="00486879">
        <w:rPr>
          <w:rFonts w:ascii="Tw Cen MT" w:hAnsi="Tw Cen MT" w:cs="Times New Roman"/>
          <w:sz w:val="24"/>
          <w:szCs w:val="24"/>
        </w:rPr>
        <w:t>pengedukasian</w:t>
      </w:r>
      <w:proofErr w:type="spellEnd"/>
      <w:r w:rsidRPr="00486879">
        <w:rPr>
          <w:rFonts w:ascii="Tw Cen MT" w:hAnsi="Tw Cen MT" w:cs="Times New Roman"/>
          <w:sz w:val="24"/>
          <w:szCs w:val="24"/>
        </w:rPr>
        <w:t xml:space="preserve"> mengenai berat </w:t>
      </w:r>
      <w:proofErr w:type="spellStart"/>
      <w:r w:rsidRPr="00486879">
        <w:rPr>
          <w:rFonts w:ascii="Tw Cen MT" w:hAnsi="Tw Cen MT" w:cs="Times New Roman"/>
          <w:sz w:val="24"/>
          <w:szCs w:val="24"/>
        </w:rPr>
        <w:t>ringannya</w:t>
      </w:r>
      <w:proofErr w:type="spellEnd"/>
      <w:r w:rsidRPr="00486879">
        <w:rPr>
          <w:rFonts w:ascii="Tw Cen MT" w:hAnsi="Tw Cen MT" w:cs="Times New Roman"/>
          <w:sz w:val="24"/>
          <w:szCs w:val="24"/>
        </w:rPr>
        <w:t xml:space="preserve"> faktor risiko kepada ibu hamil, suami, maupun keluarga. Skor dengan nilai 2, 4, dan 8 merupakan bobot risiko dari tiap faktor risiko. Sedangkan jumlah skor setiap kontak merupakan perkiraan besar risiko persalinan </w:t>
      </w:r>
      <w:r w:rsidRPr="00486879">
        <w:rPr>
          <w:rFonts w:ascii="Tw Cen MT" w:hAnsi="Tw Cen MT" w:cs="Times New Roman"/>
          <w:sz w:val="24"/>
          <w:szCs w:val="24"/>
        </w:rPr>
        <w:lastRenderedPageBreak/>
        <w:t xml:space="preserve">dengan perencanaan pencegahan. Kelompok risiko dibagi menjadi 3 yaitu: 1. Kehamilan Risiko Rendah (KRR) : Skor 2(hijau) 2. Kehamilan Risiko Tinggi (KRT) : Skor 6-10 (kuning) 3. Kehamilan Risiko Sangat Tinggi (KRST) : Skor ≥ 12 (merah) </w:t>
      </w:r>
      <w:r w:rsidRPr="00486879">
        <w:rPr>
          <w:rFonts w:ascii="Tw Cen MT" w:hAnsi="Tw Cen MT" w:cs="Times New Roman"/>
          <w:sz w:val="24"/>
          <w:szCs w:val="24"/>
        </w:rPr>
        <w:fldChar w:fldCharType="begin" w:fldLock="1"/>
      </w:r>
      <w:r w:rsidR="003D6097">
        <w:rPr>
          <w:rFonts w:ascii="Tw Cen MT" w:hAnsi="Tw Cen MT"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3D6097">
        <w:rPr>
          <w:rFonts w:ascii="Arial" w:hAnsi="Arial" w:cs="Arial"/>
          <w:sz w:val="24"/>
          <w:szCs w:val="24"/>
        </w:rPr>
        <w:instrText>−</w:instrText>
      </w:r>
      <w:r w:rsidR="003D6097">
        <w:rPr>
          <w:rFonts w:ascii="Tw Cen MT" w:hAnsi="Tw Cen MT" w:cs="Times New Roman"/>
          <w:sz w:val="24"/>
          <w:szCs w:val="24"/>
        </w:rPr>
        <w:instrText>protein docking tools. Here, we test the small molecule flexible ligand docking program Glide on a set of 19 non-</w:instrText>
      </w:r>
      <w:r w:rsidR="003D6097">
        <w:rPr>
          <w:rFonts w:ascii="Tw Cen MT" w:hAnsi="Tw Cen MT" w:cs="Times New Roman" w:hint="eastAsia"/>
          <w:sz w:val="24"/>
          <w:szCs w:val="24"/>
        </w:rPr>
        <w:instrText>α</w:instrText>
      </w:r>
      <w:r w:rsidR="003D6097">
        <w:rPr>
          <w:rFonts w:ascii="Tw Cen MT" w:hAnsi="Tw Cen MT" w:cs="Times New Roman"/>
          <w:sz w:val="24"/>
          <w:szCs w:val="24"/>
        </w:rPr>
        <w:instrText>-helical peptide and systematically improve pose prediction accuracy by enhancing Glide sampling for flexible polypeptides. In addition, scorisng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approach.","author":[{"dropping-particle":"","family":"Bruno","given":"Latour","non-dropping-particle":"","parse-names":false,"suffix":""}],"container-title":"Journal of Chemical Information and Modeling","id":"ITEM-1","issue":"9","issued":{"date-parts":[["2019"]]},"page":"1689-1699","title":"Skor Pudji Rochyati","type":"article-journal","volume":"53"},"uris":["http://www.mendeley.com/documents/?uuid=f9d70a1c-fd65-4bca-9b52-49a4441969ef"]}],"mendeley":{"formattedCitation":"[10]","plainTextFormattedCitation":"[10]","previouslyFormattedCitation":"[10]"},"properties":{"noteIndex":0},"schema":"https://github.com/citation-style-language/schema/raw/master/csl-citation.json"}</w:instrText>
      </w:r>
      <w:r w:rsidRPr="00486879">
        <w:rPr>
          <w:rFonts w:ascii="Tw Cen MT" w:hAnsi="Tw Cen MT" w:cs="Times New Roman"/>
          <w:sz w:val="24"/>
          <w:szCs w:val="24"/>
        </w:rPr>
        <w:fldChar w:fldCharType="separate"/>
      </w:r>
      <w:r w:rsidRPr="00486879">
        <w:rPr>
          <w:rFonts w:ascii="Tw Cen MT" w:hAnsi="Tw Cen MT" w:cs="Times New Roman"/>
          <w:noProof/>
          <w:sz w:val="24"/>
          <w:szCs w:val="24"/>
        </w:rPr>
        <w:t>[10]</w:t>
      </w:r>
      <w:r w:rsidRPr="00486879">
        <w:rPr>
          <w:rFonts w:ascii="Tw Cen MT" w:hAnsi="Tw Cen MT" w:cs="Times New Roman"/>
          <w:sz w:val="24"/>
          <w:szCs w:val="24"/>
        </w:rPr>
        <w:fldChar w:fldCharType="end"/>
      </w:r>
      <w:r w:rsidRPr="00486879">
        <w:rPr>
          <w:rFonts w:ascii="Tw Cen MT" w:hAnsi="Tw Cen MT" w:cs="Times New Roman"/>
          <w:sz w:val="24"/>
          <w:szCs w:val="24"/>
        </w:rPr>
        <w:t>.</w:t>
      </w:r>
    </w:p>
    <w:p w14:paraId="7F502147" w14:textId="77777777" w:rsidR="008F3C28" w:rsidRPr="004159F9" w:rsidRDefault="008F3C28" w:rsidP="008F3C28">
      <w:pPr>
        <w:spacing w:line="240" w:lineRule="auto"/>
        <w:rPr>
          <w:rFonts w:ascii="Tw Cen MT" w:hAnsi="Tw Cen MT"/>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EBAB3FD" w14:textId="77777777" w:rsidR="00383C21" w:rsidRPr="00383C21" w:rsidRDefault="00383C21" w:rsidP="00383C21">
      <w:pPr>
        <w:spacing w:after="0" w:line="240" w:lineRule="auto"/>
        <w:ind w:firstLine="720"/>
        <w:jc w:val="both"/>
        <w:rPr>
          <w:rFonts w:ascii="Tw Cen MT" w:hAnsi="Tw Cen MT" w:cs="Times New Roman"/>
          <w:sz w:val="24"/>
          <w:szCs w:val="24"/>
        </w:rPr>
      </w:pPr>
      <w:r w:rsidRPr="00383C21">
        <w:rPr>
          <w:rFonts w:ascii="Tw Cen MT" w:hAnsi="Tw Cen MT" w:cs="Times New Roman"/>
          <w:sz w:val="24"/>
          <w:szCs w:val="24"/>
        </w:rPr>
        <w:t xml:space="preserve">Jenis penelitian ini menggunakan desain penelitian berjenis kuantitatif dengan menggunakan metode deskriptif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Deskriptif </w:t>
      </w:r>
      <w:proofErr w:type="spellStart"/>
      <w:r w:rsidRPr="00383C21">
        <w:rPr>
          <w:rFonts w:ascii="Tw Cen MT" w:hAnsi="Tw Cen MT" w:cs="Times New Roman"/>
          <w:sz w:val="24"/>
          <w:szCs w:val="24"/>
        </w:rPr>
        <w:t>analitik</w:t>
      </w:r>
      <w:proofErr w:type="spellEnd"/>
      <w:r w:rsidRPr="00383C21">
        <w:rPr>
          <w:rFonts w:ascii="Tw Cen MT" w:hAnsi="Tw Cen MT" w:cs="Times New Roman"/>
          <w:sz w:val="24"/>
          <w:szCs w:val="24"/>
        </w:rPr>
        <w:t xml:space="preserve"> adalah survey atau penelitian yang mencoba menggali bagaimana dan mengapa fenomena kesehatan itu terjadi. Populasi pada penelitian ini adalah ibu hamil beresiko tinggi yang datang melakukan pemeriksaan kehamilan di Poli Kebidanan RSUD Arifin Achmad Kota </w:t>
      </w:r>
      <w:proofErr w:type="spellStart"/>
      <w:r w:rsidRPr="00383C21">
        <w:rPr>
          <w:rFonts w:ascii="Tw Cen MT" w:hAnsi="Tw Cen MT" w:cs="Times New Roman"/>
          <w:sz w:val="24"/>
          <w:szCs w:val="24"/>
        </w:rPr>
        <w:t>Pekanbaru</w:t>
      </w:r>
      <w:proofErr w:type="spellEnd"/>
      <w:r w:rsidRPr="00383C21">
        <w:rPr>
          <w:rFonts w:ascii="Tw Cen MT" w:hAnsi="Tw Cen MT" w:cs="Times New Roman"/>
          <w:sz w:val="24"/>
          <w:szCs w:val="24"/>
        </w:rPr>
        <w:t>. Teknik pengambilan sampel dalam penelitian ini adalah dengan metode purposive sampling yaitu memilih sampel berdasarkan kriteria spesifik yang ditetapkan oleh peneliti yaitu ibu hamil beresiko yang berkunjung ke Poli Kebidanan RSUD Arifin Achmad. Pengumpulan data dilakukan dengan melakukan wawancara menggunakan lembar observasi KSPR.</w:t>
      </w:r>
    </w:p>
    <w:p w14:paraId="3B97D431" w14:textId="77777777" w:rsidR="00383C21" w:rsidRPr="004159F9" w:rsidRDefault="00383C21" w:rsidP="00383C21">
      <w:pPr>
        <w:spacing w:line="240" w:lineRule="auto"/>
        <w:rPr>
          <w:rFonts w:ascii="Tw Cen MT" w:hAnsi="Tw Cen MT"/>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85213CD" w14:textId="7D8CC9C7" w:rsidR="004721E3" w:rsidRPr="00C40DEF" w:rsidRDefault="00C40DEF" w:rsidP="004721E3">
      <w:pPr>
        <w:tabs>
          <w:tab w:val="left" w:pos="426"/>
        </w:tabs>
        <w:spacing w:after="0" w:line="240" w:lineRule="auto"/>
        <w:jc w:val="both"/>
        <w:rPr>
          <w:rFonts w:ascii="Tw Cen MT" w:eastAsia="Twentieth Century" w:hAnsi="Tw Cen MT" w:cs="Twentieth Century"/>
          <w:sz w:val="24"/>
          <w:szCs w:val="24"/>
        </w:rPr>
      </w:pPr>
      <w:r w:rsidRPr="00C40DEF">
        <w:rPr>
          <w:rFonts w:ascii="Tw Cen MT" w:eastAsia="Twentieth Century" w:hAnsi="Tw Cen MT" w:cs="Twentieth Century"/>
          <w:sz w:val="24"/>
          <w:szCs w:val="24"/>
        </w:rPr>
        <w:t xml:space="preserve">Hasil penelitian tentang </w:t>
      </w:r>
      <w:proofErr w:type="spellStart"/>
      <w:r w:rsidRPr="00C40DEF">
        <w:rPr>
          <w:rFonts w:ascii="Tw Cen MT" w:eastAsia="Twentieth Century" w:hAnsi="Tw Cen MT" w:cs="Twentieth Century"/>
          <w:sz w:val="24"/>
          <w:szCs w:val="24"/>
        </w:rPr>
        <w:t>skrining</w:t>
      </w:r>
      <w:proofErr w:type="spellEnd"/>
      <w:r w:rsidRPr="00C40DEF">
        <w:rPr>
          <w:rFonts w:ascii="Tw Cen MT" w:eastAsia="Twentieth Century" w:hAnsi="Tw Cen MT" w:cs="Twentieth Century"/>
          <w:sz w:val="24"/>
          <w:szCs w:val="24"/>
        </w:rPr>
        <w:t xml:space="preserve"> antenatal tingkat resiko kehamilan menggunakan KSPR dapat dilihat pada tabel dibawah ini :</w:t>
      </w:r>
    </w:p>
    <w:p w14:paraId="6C16CD53" w14:textId="77777777" w:rsidR="00630C32" w:rsidRPr="00630C32" w:rsidRDefault="00630C32" w:rsidP="004721E3">
      <w:pPr>
        <w:tabs>
          <w:tab w:val="left" w:pos="426"/>
        </w:tabs>
        <w:spacing w:after="0" w:line="240" w:lineRule="auto"/>
        <w:jc w:val="both"/>
        <w:rPr>
          <w:rFonts w:ascii="Tw Cen MT" w:eastAsia="Twentieth Century" w:hAnsi="Tw Cen MT" w:cs="Twentieth Century"/>
          <w:color w:val="FF0000"/>
          <w:sz w:val="24"/>
          <w:szCs w:val="24"/>
        </w:rPr>
      </w:pPr>
    </w:p>
    <w:p w14:paraId="4A34C595" w14:textId="3974AEF5"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1. Distribusi Frekuensi Usia Ibu Hamil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658CCD21"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654"/>
        <w:gridCol w:w="1053"/>
        <w:gridCol w:w="1171"/>
      </w:tblGrid>
      <w:tr w:rsidR="00630C32" w:rsidRPr="001D5F0F" w14:paraId="74F645EA" w14:textId="77777777" w:rsidTr="00DC7D11">
        <w:tc>
          <w:tcPr>
            <w:tcW w:w="510" w:type="dxa"/>
          </w:tcPr>
          <w:p w14:paraId="65A64952"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3757C2EE"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Usia Ibu Hamil</w:t>
            </w:r>
          </w:p>
        </w:tc>
        <w:tc>
          <w:tcPr>
            <w:tcW w:w="2015" w:type="dxa"/>
          </w:tcPr>
          <w:p w14:paraId="3CDDECC4"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28D0FFE9"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3F645D32" w14:textId="77777777" w:rsidTr="00DC7D11">
        <w:tc>
          <w:tcPr>
            <w:tcW w:w="510" w:type="dxa"/>
          </w:tcPr>
          <w:p w14:paraId="26E50BA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3BFD0A5E"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20-35 Tahun</w:t>
            </w:r>
          </w:p>
        </w:tc>
        <w:tc>
          <w:tcPr>
            <w:tcW w:w="2015" w:type="dxa"/>
          </w:tcPr>
          <w:p w14:paraId="758385E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150</w:t>
            </w:r>
          </w:p>
        </w:tc>
        <w:tc>
          <w:tcPr>
            <w:tcW w:w="2016" w:type="dxa"/>
            <w:vAlign w:val="center"/>
          </w:tcPr>
          <w:p w14:paraId="51B59D6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84.3</w:t>
            </w:r>
          </w:p>
        </w:tc>
      </w:tr>
      <w:tr w:rsidR="00630C32" w:rsidRPr="001D5F0F" w14:paraId="2ED2BC73" w14:textId="77777777" w:rsidTr="00DC7D11">
        <w:tc>
          <w:tcPr>
            <w:tcW w:w="510" w:type="dxa"/>
          </w:tcPr>
          <w:p w14:paraId="08582CC5"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39BA40BB"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&gt; 35 Tahun</w:t>
            </w:r>
          </w:p>
        </w:tc>
        <w:tc>
          <w:tcPr>
            <w:tcW w:w="2015" w:type="dxa"/>
          </w:tcPr>
          <w:p w14:paraId="3952247E"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28</w:t>
            </w:r>
          </w:p>
        </w:tc>
        <w:tc>
          <w:tcPr>
            <w:tcW w:w="2016" w:type="dxa"/>
            <w:vAlign w:val="center"/>
          </w:tcPr>
          <w:p w14:paraId="1F4ED875"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15.7</w:t>
            </w:r>
          </w:p>
        </w:tc>
      </w:tr>
      <w:tr w:rsidR="00630C32" w:rsidRPr="001D5F0F" w14:paraId="12A24C51" w14:textId="77777777" w:rsidTr="00DC7D11">
        <w:tc>
          <w:tcPr>
            <w:tcW w:w="4015" w:type="dxa"/>
            <w:gridSpan w:val="2"/>
          </w:tcPr>
          <w:p w14:paraId="6594473D"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047DE99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6D773E6A"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775670CD" w14:textId="77777777" w:rsidR="00630C32" w:rsidRPr="001D5F0F" w:rsidRDefault="00630C32" w:rsidP="00630C32">
      <w:pPr>
        <w:spacing w:after="0" w:line="240" w:lineRule="auto"/>
        <w:jc w:val="both"/>
        <w:rPr>
          <w:rFonts w:ascii="Tw Cen MT" w:hAnsi="Tw Cen MT" w:cs="Times New Roman"/>
          <w:sz w:val="24"/>
          <w:szCs w:val="24"/>
        </w:rPr>
      </w:pPr>
    </w:p>
    <w:p w14:paraId="4A325D36" w14:textId="77777777" w:rsidR="00630C32" w:rsidRPr="001D5F0F" w:rsidRDefault="00630C32" w:rsidP="00630C32">
      <w:pPr>
        <w:spacing w:after="0" w:line="240" w:lineRule="auto"/>
        <w:ind w:firstLine="567"/>
        <w:jc w:val="both"/>
        <w:rPr>
          <w:rFonts w:ascii="Tw Cen MT" w:hAnsi="Tw Cen MT" w:cs="Times New Roman"/>
          <w:sz w:val="24"/>
          <w:szCs w:val="24"/>
        </w:rPr>
      </w:pPr>
      <w:r w:rsidRPr="0084208B">
        <w:rPr>
          <w:rFonts w:ascii="Tw Cen MT" w:hAnsi="Tw Cen MT" w:cs="Times New Roman"/>
          <w:color w:val="FF0000"/>
          <w:sz w:val="24"/>
          <w:szCs w:val="24"/>
        </w:rPr>
        <w:t xml:space="preserve">Berdasarkan tabel diatas </w:t>
      </w:r>
      <w:r w:rsidRPr="001D5F0F">
        <w:rPr>
          <w:rFonts w:ascii="Tw Cen MT" w:hAnsi="Tw Cen MT" w:cs="Times New Roman"/>
          <w:sz w:val="24"/>
          <w:szCs w:val="24"/>
        </w:rPr>
        <w:t xml:space="preserve">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ibu berusia 20-35 tahun sebanyak 150 orang (84.3%).</w:t>
      </w:r>
    </w:p>
    <w:p w14:paraId="6FCE5C3D" w14:textId="77777777" w:rsidR="004721E3" w:rsidRPr="002E23D7" w:rsidRDefault="004721E3" w:rsidP="004721E3">
      <w:pPr>
        <w:tabs>
          <w:tab w:val="left" w:pos="426"/>
        </w:tabs>
        <w:spacing w:after="0"/>
        <w:jc w:val="both"/>
        <w:rPr>
          <w:rFonts w:ascii="Tw Cen MT" w:eastAsia="Twentieth Century" w:hAnsi="Tw Cen MT" w:cs="Twentieth Century"/>
          <w:sz w:val="24"/>
          <w:szCs w:val="24"/>
        </w:rPr>
      </w:pPr>
    </w:p>
    <w:p w14:paraId="38311F85" w14:textId="324A09BE"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2. Distribusi Frekuensi Pendidikan Ibu Hamil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4F93022A"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852"/>
        <w:gridCol w:w="947"/>
        <w:gridCol w:w="1079"/>
      </w:tblGrid>
      <w:tr w:rsidR="00630C32" w:rsidRPr="001D5F0F" w14:paraId="51EF4C43" w14:textId="77777777" w:rsidTr="00DC7D11">
        <w:tc>
          <w:tcPr>
            <w:tcW w:w="510" w:type="dxa"/>
          </w:tcPr>
          <w:p w14:paraId="55C6DEB9"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495B346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Pendidikan Ibu Hamil</w:t>
            </w:r>
          </w:p>
        </w:tc>
        <w:tc>
          <w:tcPr>
            <w:tcW w:w="2015" w:type="dxa"/>
          </w:tcPr>
          <w:p w14:paraId="4AF61B0D"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5E788E13"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6B381D81" w14:textId="77777777" w:rsidTr="00DC7D11">
        <w:tc>
          <w:tcPr>
            <w:tcW w:w="510" w:type="dxa"/>
          </w:tcPr>
          <w:p w14:paraId="644D8C9D"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0E1860EB"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SD/SMP</w:t>
            </w:r>
          </w:p>
        </w:tc>
        <w:tc>
          <w:tcPr>
            <w:tcW w:w="2015" w:type="dxa"/>
          </w:tcPr>
          <w:p w14:paraId="584AD0D7"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44</w:t>
            </w:r>
          </w:p>
        </w:tc>
        <w:tc>
          <w:tcPr>
            <w:tcW w:w="2016" w:type="dxa"/>
            <w:vAlign w:val="center"/>
          </w:tcPr>
          <w:p w14:paraId="493AAE28"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24.7</w:t>
            </w:r>
          </w:p>
        </w:tc>
      </w:tr>
      <w:tr w:rsidR="00630C32" w:rsidRPr="001D5F0F" w14:paraId="4F1791CC" w14:textId="77777777" w:rsidTr="00DC7D11">
        <w:tc>
          <w:tcPr>
            <w:tcW w:w="510" w:type="dxa"/>
          </w:tcPr>
          <w:p w14:paraId="62D0CA0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7EE48660"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SMA</w:t>
            </w:r>
          </w:p>
        </w:tc>
        <w:tc>
          <w:tcPr>
            <w:tcW w:w="2015" w:type="dxa"/>
          </w:tcPr>
          <w:p w14:paraId="2004046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98</w:t>
            </w:r>
          </w:p>
        </w:tc>
        <w:tc>
          <w:tcPr>
            <w:tcW w:w="2016" w:type="dxa"/>
            <w:vAlign w:val="center"/>
          </w:tcPr>
          <w:p w14:paraId="552A33F1"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55.1</w:t>
            </w:r>
          </w:p>
        </w:tc>
      </w:tr>
      <w:tr w:rsidR="00630C32" w:rsidRPr="001D5F0F" w14:paraId="625B1880" w14:textId="77777777" w:rsidTr="00DC7D11">
        <w:tc>
          <w:tcPr>
            <w:tcW w:w="510" w:type="dxa"/>
          </w:tcPr>
          <w:p w14:paraId="5641128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3505" w:type="dxa"/>
          </w:tcPr>
          <w:p w14:paraId="196FBF13" w14:textId="77777777" w:rsidR="00630C32" w:rsidRPr="001D5F0F" w:rsidRDefault="00630C32" w:rsidP="00DC7D11">
            <w:pPr>
              <w:jc w:val="both"/>
              <w:rPr>
                <w:rFonts w:ascii="Tw Cen MT" w:hAnsi="Tw Cen MT"/>
                <w:color w:val="000000"/>
                <w:sz w:val="24"/>
                <w:szCs w:val="24"/>
              </w:rPr>
            </w:pPr>
            <w:r w:rsidRPr="001D5F0F">
              <w:rPr>
                <w:rFonts w:ascii="Tw Cen MT" w:hAnsi="Tw Cen MT"/>
                <w:color w:val="000000"/>
                <w:sz w:val="24"/>
                <w:szCs w:val="24"/>
              </w:rPr>
              <w:t>Perguruan Tinggi</w:t>
            </w:r>
          </w:p>
        </w:tc>
        <w:tc>
          <w:tcPr>
            <w:tcW w:w="2015" w:type="dxa"/>
          </w:tcPr>
          <w:p w14:paraId="6F01F81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36</w:t>
            </w:r>
          </w:p>
        </w:tc>
        <w:tc>
          <w:tcPr>
            <w:tcW w:w="2016" w:type="dxa"/>
            <w:vAlign w:val="center"/>
          </w:tcPr>
          <w:p w14:paraId="39969EE9"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20.2</w:t>
            </w:r>
          </w:p>
        </w:tc>
      </w:tr>
      <w:tr w:rsidR="00630C32" w:rsidRPr="001D5F0F" w14:paraId="118FF960" w14:textId="77777777" w:rsidTr="00DC7D11">
        <w:tc>
          <w:tcPr>
            <w:tcW w:w="4015" w:type="dxa"/>
            <w:gridSpan w:val="2"/>
          </w:tcPr>
          <w:p w14:paraId="5BC7C7C1"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1A472E7A"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37CEBF5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5B5EA041" w14:textId="77777777" w:rsidR="00630C32" w:rsidRPr="001D5F0F" w:rsidRDefault="00630C32" w:rsidP="00630C32">
      <w:pPr>
        <w:spacing w:after="0" w:line="240" w:lineRule="auto"/>
        <w:jc w:val="both"/>
        <w:rPr>
          <w:rFonts w:ascii="Tw Cen MT" w:hAnsi="Tw Cen MT" w:cs="Times New Roman"/>
          <w:sz w:val="24"/>
          <w:szCs w:val="24"/>
        </w:rPr>
      </w:pPr>
    </w:p>
    <w:p w14:paraId="5836C949" w14:textId="77777777" w:rsidR="00630C32" w:rsidRDefault="00630C32" w:rsidP="00630C32">
      <w:pPr>
        <w:spacing w:after="0" w:line="240" w:lineRule="auto"/>
        <w:ind w:firstLine="567"/>
        <w:jc w:val="both"/>
        <w:rPr>
          <w:rFonts w:ascii="Tw Cen MT" w:hAnsi="Tw Cen MT" w:cs="Times New Roman"/>
          <w:sz w:val="24"/>
          <w:szCs w:val="24"/>
        </w:rPr>
      </w:pPr>
      <w:r w:rsidRPr="0084208B">
        <w:rPr>
          <w:rFonts w:ascii="Tw Cen MT" w:hAnsi="Tw Cen MT" w:cs="Times New Roman"/>
          <w:color w:val="FF0000"/>
          <w:sz w:val="24"/>
          <w:szCs w:val="24"/>
        </w:rPr>
        <w:t xml:space="preserve">Berdasarkan tabel diatas </w:t>
      </w:r>
      <w:r w:rsidRPr="001D5F0F">
        <w:rPr>
          <w:rFonts w:ascii="Tw Cen MT" w:hAnsi="Tw Cen MT" w:cs="Times New Roman"/>
          <w:sz w:val="24"/>
          <w:szCs w:val="24"/>
        </w:rPr>
        <w:t xml:space="preserve">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ibu berpendidikan SMA sebanyak 98 orang (55.1%).</w:t>
      </w:r>
    </w:p>
    <w:p w14:paraId="6DC5BF60" w14:textId="77777777" w:rsidR="00630C32" w:rsidRPr="001D5F0F" w:rsidRDefault="00630C32" w:rsidP="00630C32">
      <w:pPr>
        <w:spacing w:after="0" w:line="240" w:lineRule="auto"/>
        <w:ind w:firstLine="567"/>
        <w:jc w:val="both"/>
        <w:rPr>
          <w:rFonts w:ascii="Tw Cen MT" w:hAnsi="Tw Cen MT" w:cs="Times New Roman"/>
          <w:sz w:val="24"/>
          <w:szCs w:val="24"/>
        </w:rPr>
      </w:pPr>
    </w:p>
    <w:p w14:paraId="31172EE4" w14:textId="564BA8C8"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3. Distribusi Frekuensi Pekerjaan Ibu Hamil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616EA948"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799"/>
        <w:gridCol w:w="975"/>
        <w:gridCol w:w="1103"/>
      </w:tblGrid>
      <w:tr w:rsidR="00630C32" w:rsidRPr="001D5F0F" w14:paraId="7EC820E8" w14:textId="77777777" w:rsidTr="00DC7D11">
        <w:tc>
          <w:tcPr>
            <w:tcW w:w="510" w:type="dxa"/>
          </w:tcPr>
          <w:p w14:paraId="6D6121CB"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425A6580"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 xml:space="preserve">Pekerjaan </w:t>
            </w:r>
          </w:p>
        </w:tc>
        <w:tc>
          <w:tcPr>
            <w:tcW w:w="2015" w:type="dxa"/>
          </w:tcPr>
          <w:p w14:paraId="20F4C9FA"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69F53391"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4BE5CFF4" w14:textId="77777777" w:rsidTr="00DC7D11">
        <w:tc>
          <w:tcPr>
            <w:tcW w:w="510" w:type="dxa"/>
          </w:tcPr>
          <w:p w14:paraId="5EA35F50"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3C8C63CB"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Tidak Bekerja</w:t>
            </w:r>
          </w:p>
        </w:tc>
        <w:tc>
          <w:tcPr>
            <w:tcW w:w="2015" w:type="dxa"/>
          </w:tcPr>
          <w:p w14:paraId="70DD3384"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158</w:t>
            </w:r>
          </w:p>
        </w:tc>
        <w:tc>
          <w:tcPr>
            <w:tcW w:w="2016" w:type="dxa"/>
            <w:vAlign w:val="center"/>
          </w:tcPr>
          <w:p w14:paraId="710E47CF"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88.8</w:t>
            </w:r>
          </w:p>
        </w:tc>
      </w:tr>
      <w:tr w:rsidR="00630C32" w:rsidRPr="001D5F0F" w14:paraId="0766E54C" w14:textId="77777777" w:rsidTr="00DC7D11">
        <w:tc>
          <w:tcPr>
            <w:tcW w:w="510" w:type="dxa"/>
          </w:tcPr>
          <w:p w14:paraId="4A6791F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02569D47"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Bekerja</w:t>
            </w:r>
          </w:p>
        </w:tc>
        <w:tc>
          <w:tcPr>
            <w:tcW w:w="2015" w:type="dxa"/>
          </w:tcPr>
          <w:p w14:paraId="4FDC4E4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20</w:t>
            </w:r>
          </w:p>
        </w:tc>
        <w:tc>
          <w:tcPr>
            <w:tcW w:w="2016" w:type="dxa"/>
            <w:vAlign w:val="center"/>
          </w:tcPr>
          <w:p w14:paraId="51B427C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11.2</w:t>
            </w:r>
          </w:p>
        </w:tc>
      </w:tr>
      <w:tr w:rsidR="00630C32" w:rsidRPr="001D5F0F" w14:paraId="15D7A033" w14:textId="77777777" w:rsidTr="00DC7D11">
        <w:tc>
          <w:tcPr>
            <w:tcW w:w="4015" w:type="dxa"/>
            <w:gridSpan w:val="2"/>
          </w:tcPr>
          <w:p w14:paraId="11774C95"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28C1BDE8"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2B9F3597"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0C297CCD" w14:textId="77777777" w:rsidR="00630C32" w:rsidRPr="001D5F0F" w:rsidRDefault="00630C32" w:rsidP="00630C32">
      <w:pPr>
        <w:spacing w:after="0" w:line="240" w:lineRule="auto"/>
        <w:jc w:val="both"/>
        <w:rPr>
          <w:rFonts w:ascii="Tw Cen MT" w:hAnsi="Tw Cen MT" w:cs="Times New Roman"/>
          <w:sz w:val="24"/>
          <w:szCs w:val="24"/>
        </w:rPr>
      </w:pPr>
    </w:p>
    <w:p w14:paraId="2EA587C2" w14:textId="77777777" w:rsidR="00630C32" w:rsidRDefault="00630C32" w:rsidP="00630C32">
      <w:pPr>
        <w:spacing w:after="0" w:line="240" w:lineRule="auto"/>
        <w:ind w:firstLine="567"/>
        <w:jc w:val="both"/>
        <w:rPr>
          <w:rFonts w:ascii="Tw Cen MT" w:hAnsi="Tw Cen MT" w:cs="Times New Roman"/>
          <w:sz w:val="24"/>
          <w:szCs w:val="24"/>
        </w:rPr>
      </w:pPr>
      <w:r w:rsidRPr="0084208B">
        <w:rPr>
          <w:rFonts w:ascii="Tw Cen MT" w:hAnsi="Tw Cen MT" w:cs="Times New Roman"/>
          <w:color w:val="FF0000"/>
          <w:sz w:val="24"/>
          <w:szCs w:val="24"/>
        </w:rPr>
        <w:t xml:space="preserve">Berdasarkan tabel diatas </w:t>
      </w:r>
      <w:r w:rsidRPr="001D5F0F">
        <w:rPr>
          <w:rFonts w:ascii="Tw Cen MT" w:hAnsi="Tw Cen MT" w:cs="Times New Roman"/>
          <w:sz w:val="24"/>
          <w:szCs w:val="24"/>
        </w:rPr>
        <w:t xml:space="preserve">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ibu tidak bekerja sebanyak 158 orang (88.8%).</w:t>
      </w:r>
    </w:p>
    <w:p w14:paraId="4CC90CB4" w14:textId="77777777" w:rsidR="00630C32" w:rsidRPr="001D5F0F" w:rsidRDefault="00630C32" w:rsidP="00630C32">
      <w:pPr>
        <w:spacing w:after="0" w:line="240" w:lineRule="auto"/>
        <w:ind w:firstLine="567"/>
        <w:jc w:val="both"/>
        <w:rPr>
          <w:rFonts w:ascii="Tw Cen MT" w:hAnsi="Tw Cen MT" w:cs="Times New Roman"/>
          <w:sz w:val="24"/>
          <w:szCs w:val="24"/>
        </w:rPr>
      </w:pPr>
    </w:p>
    <w:p w14:paraId="6C0413C0" w14:textId="57F92124"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4. Distribusi Frekuensi Usia Kehamilan Ibu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7376A203"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840"/>
        <w:gridCol w:w="954"/>
        <w:gridCol w:w="1084"/>
      </w:tblGrid>
      <w:tr w:rsidR="00630C32" w:rsidRPr="001D5F0F" w14:paraId="2AB04221" w14:textId="77777777" w:rsidTr="00DC7D11">
        <w:tc>
          <w:tcPr>
            <w:tcW w:w="510" w:type="dxa"/>
          </w:tcPr>
          <w:p w14:paraId="29323145"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0598F85D"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Usia Kehamilan</w:t>
            </w:r>
          </w:p>
        </w:tc>
        <w:tc>
          <w:tcPr>
            <w:tcW w:w="2015" w:type="dxa"/>
          </w:tcPr>
          <w:p w14:paraId="587CC88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4625941F"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5C4EA629" w14:textId="77777777" w:rsidTr="00DC7D11">
        <w:tc>
          <w:tcPr>
            <w:tcW w:w="510" w:type="dxa"/>
          </w:tcPr>
          <w:p w14:paraId="46E5AFC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3505" w:type="dxa"/>
          </w:tcPr>
          <w:p w14:paraId="74960DB5"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Trimester I (1-12 Minggu)</w:t>
            </w:r>
          </w:p>
        </w:tc>
        <w:tc>
          <w:tcPr>
            <w:tcW w:w="2015" w:type="dxa"/>
          </w:tcPr>
          <w:p w14:paraId="3B98C879"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w:t>
            </w:r>
          </w:p>
        </w:tc>
        <w:tc>
          <w:tcPr>
            <w:tcW w:w="2016" w:type="dxa"/>
            <w:vAlign w:val="center"/>
          </w:tcPr>
          <w:p w14:paraId="6F4F9D33"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9.6</w:t>
            </w:r>
          </w:p>
        </w:tc>
      </w:tr>
      <w:tr w:rsidR="00630C32" w:rsidRPr="001D5F0F" w14:paraId="26CB6851" w14:textId="77777777" w:rsidTr="00DC7D11">
        <w:tc>
          <w:tcPr>
            <w:tcW w:w="510" w:type="dxa"/>
          </w:tcPr>
          <w:p w14:paraId="50495DD1"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3505" w:type="dxa"/>
          </w:tcPr>
          <w:p w14:paraId="29A0FC7C"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Trimester II (13-27 Minggu)</w:t>
            </w:r>
          </w:p>
        </w:tc>
        <w:tc>
          <w:tcPr>
            <w:tcW w:w="2015" w:type="dxa"/>
          </w:tcPr>
          <w:p w14:paraId="2002E78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38</w:t>
            </w:r>
          </w:p>
        </w:tc>
        <w:tc>
          <w:tcPr>
            <w:tcW w:w="2016" w:type="dxa"/>
            <w:vAlign w:val="center"/>
          </w:tcPr>
          <w:p w14:paraId="2A7A0981"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21.3</w:t>
            </w:r>
          </w:p>
        </w:tc>
      </w:tr>
      <w:tr w:rsidR="00630C32" w:rsidRPr="001D5F0F" w14:paraId="0C4E88DF" w14:textId="77777777" w:rsidTr="00DC7D11">
        <w:tc>
          <w:tcPr>
            <w:tcW w:w="510" w:type="dxa"/>
          </w:tcPr>
          <w:p w14:paraId="646DA5B8"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3505" w:type="dxa"/>
          </w:tcPr>
          <w:p w14:paraId="5D7B69D2" w14:textId="77777777" w:rsidR="00630C32" w:rsidRPr="001D5F0F" w:rsidRDefault="00630C32" w:rsidP="00DC7D11">
            <w:pPr>
              <w:jc w:val="both"/>
              <w:rPr>
                <w:rFonts w:ascii="Tw Cen MT" w:hAnsi="Tw Cen MT"/>
                <w:color w:val="000000"/>
                <w:sz w:val="24"/>
                <w:szCs w:val="24"/>
              </w:rPr>
            </w:pPr>
            <w:r w:rsidRPr="001D5F0F">
              <w:rPr>
                <w:rFonts w:ascii="Tw Cen MT" w:hAnsi="Tw Cen MT"/>
                <w:color w:val="000000"/>
                <w:sz w:val="24"/>
                <w:szCs w:val="24"/>
              </w:rPr>
              <w:t>Trimester III (28-42 Minggu)</w:t>
            </w:r>
          </w:p>
        </w:tc>
        <w:tc>
          <w:tcPr>
            <w:tcW w:w="2015" w:type="dxa"/>
          </w:tcPr>
          <w:p w14:paraId="62977F4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123</w:t>
            </w:r>
          </w:p>
        </w:tc>
        <w:tc>
          <w:tcPr>
            <w:tcW w:w="2016" w:type="dxa"/>
            <w:vAlign w:val="center"/>
          </w:tcPr>
          <w:p w14:paraId="68FB5090"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69.1</w:t>
            </w:r>
          </w:p>
        </w:tc>
      </w:tr>
      <w:tr w:rsidR="00630C32" w:rsidRPr="001D5F0F" w14:paraId="75634B60" w14:textId="77777777" w:rsidTr="00DC7D11">
        <w:tc>
          <w:tcPr>
            <w:tcW w:w="4015" w:type="dxa"/>
            <w:gridSpan w:val="2"/>
          </w:tcPr>
          <w:p w14:paraId="3BE57D59"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6E068ADB"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0C09F75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7D4FA299" w14:textId="77777777" w:rsidR="00630C32" w:rsidRPr="001D5F0F" w:rsidRDefault="00630C32" w:rsidP="00630C32">
      <w:pPr>
        <w:spacing w:after="0" w:line="240" w:lineRule="auto"/>
        <w:jc w:val="both"/>
        <w:rPr>
          <w:rFonts w:ascii="Tw Cen MT" w:hAnsi="Tw Cen MT" w:cs="Times New Roman"/>
          <w:sz w:val="24"/>
          <w:szCs w:val="24"/>
        </w:rPr>
      </w:pPr>
    </w:p>
    <w:p w14:paraId="731DCA2E" w14:textId="77777777" w:rsidR="00630C32" w:rsidRDefault="00630C32" w:rsidP="00630C32">
      <w:pPr>
        <w:spacing w:after="0" w:line="240" w:lineRule="auto"/>
        <w:ind w:firstLine="567"/>
        <w:jc w:val="both"/>
        <w:rPr>
          <w:rFonts w:ascii="Tw Cen MT" w:hAnsi="Tw Cen MT" w:cs="Times New Roman"/>
          <w:sz w:val="24"/>
          <w:szCs w:val="24"/>
        </w:rPr>
      </w:pPr>
      <w:r w:rsidRPr="0084208B">
        <w:rPr>
          <w:rFonts w:ascii="Tw Cen MT" w:hAnsi="Tw Cen MT" w:cs="Times New Roman"/>
          <w:color w:val="FF0000"/>
          <w:sz w:val="24"/>
          <w:szCs w:val="24"/>
        </w:rPr>
        <w:t xml:space="preserve">Berdasarkan tabel diatas </w:t>
      </w:r>
      <w:r w:rsidRPr="001D5F0F">
        <w:rPr>
          <w:rFonts w:ascii="Tw Cen MT" w:hAnsi="Tw Cen MT" w:cs="Times New Roman"/>
          <w:sz w:val="24"/>
          <w:szCs w:val="24"/>
        </w:rPr>
        <w:t xml:space="preserve">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ibu usia kehamilannya antara 28-42 minggu (trimester III) sebanyak 123 orang (69.1%).</w:t>
      </w:r>
    </w:p>
    <w:p w14:paraId="44D0BEF2" w14:textId="77777777" w:rsidR="00630C32" w:rsidRPr="001D5F0F" w:rsidRDefault="00630C32" w:rsidP="00630C32">
      <w:pPr>
        <w:spacing w:after="0" w:line="240" w:lineRule="auto"/>
        <w:jc w:val="both"/>
        <w:rPr>
          <w:rFonts w:ascii="Tw Cen MT" w:hAnsi="Tw Cen MT" w:cs="Times New Roman"/>
          <w:sz w:val="24"/>
          <w:szCs w:val="24"/>
        </w:rPr>
      </w:pPr>
    </w:p>
    <w:p w14:paraId="55BEEA99" w14:textId="511A0EBD" w:rsidR="00630C32" w:rsidRPr="001D5F0F" w:rsidRDefault="00630C32" w:rsidP="00630C32">
      <w:pPr>
        <w:spacing w:after="0" w:line="240" w:lineRule="auto"/>
        <w:jc w:val="both"/>
        <w:rPr>
          <w:rFonts w:ascii="Tw Cen MT" w:hAnsi="Tw Cen MT" w:cs="Times New Roman"/>
          <w:b/>
          <w:sz w:val="24"/>
          <w:szCs w:val="24"/>
        </w:rPr>
      </w:pPr>
      <w:r w:rsidRPr="001D5F0F">
        <w:rPr>
          <w:rFonts w:ascii="Tw Cen MT" w:hAnsi="Tw Cen MT" w:cs="Times New Roman"/>
          <w:b/>
          <w:sz w:val="24"/>
          <w:szCs w:val="24"/>
        </w:rPr>
        <w:lastRenderedPageBreak/>
        <w:t xml:space="preserve">Tabel </w:t>
      </w:r>
      <w:r w:rsidR="003B38A9">
        <w:rPr>
          <w:rFonts w:ascii="Tw Cen MT" w:hAnsi="Tw Cen MT" w:cs="Times New Roman"/>
          <w:b/>
          <w:sz w:val="24"/>
          <w:szCs w:val="24"/>
        </w:rPr>
        <w:t>5</w:t>
      </w:r>
      <w:r w:rsidRPr="001D5F0F">
        <w:rPr>
          <w:rFonts w:ascii="Tw Cen MT" w:hAnsi="Tw Cen MT" w:cs="Times New Roman"/>
          <w:b/>
          <w:sz w:val="24"/>
          <w:szCs w:val="24"/>
        </w:rPr>
        <w:t xml:space="preserve">. Distribusi Frekuensi Kartu Skor Poedji </w:t>
      </w:r>
      <w:proofErr w:type="spellStart"/>
      <w:r w:rsidRPr="001D5F0F">
        <w:rPr>
          <w:rFonts w:ascii="Tw Cen MT" w:hAnsi="Tw Cen MT" w:cs="Times New Roman"/>
          <w:b/>
          <w:sz w:val="24"/>
          <w:szCs w:val="24"/>
        </w:rPr>
        <w:t>Rochjati</w:t>
      </w:r>
      <w:proofErr w:type="spellEnd"/>
      <w:r w:rsidRPr="001D5F0F">
        <w:rPr>
          <w:rFonts w:ascii="Tw Cen MT" w:hAnsi="Tw Cen MT" w:cs="Times New Roman"/>
          <w:b/>
          <w:sz w:val="24"/>
          <w:szCs w:val="24"/>
        </w:rPr>
        <w:t xml:space="preserve"> (KSPR)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183AC60D" w14:textId="77777777" w:rsidR="00630C32" w:rsidRPr="001D5F0F" w:rsidRDefault="00630C32" w:rsidP="00630C32">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2080"/>
        <w:gridCol w:w="894"/>
        <w:gridCol w:w="903"/>
      </w:tblGrid>
      <w:tr w:rsidR="00630C32" w:rsidRPr="001D5F0F" w14:paraId="1121FB34" w14:textId="77777777" w:rsidTr="00DC7D11">
        <w:tc>
          <w:tcPr>
            <w:tcW w:w="510" w:type="dxa"/>
          </w:tcPr>
          <w:p w14:paraId="21CCABBA"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No</w:t>
            </w:r>
          </w:p>
        </w:tc>
        <w:tc>
          <w:tcPr>
            <w:tcW w:w="4593" w:type="dxa"/>
          </w:tcPr>
          <w:p w14:paraId="43E4D197"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KSPR</w:t>
            </w:r>
          </w:p>
        </w:tc>
        <w:tc>
          <w:tcPr>
            <w:tcW w:w="1701" w:type="dxa"/>
          </w:tcPr>
          <w:p w14:paraId="3C497196"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f</w:t>
            </w:r>
          </w:p>
        </w:tc>
        <w:tc>
          <w:tcPr>
            <w:tcW w:w="1242" w:type="dxa"/>
          </w:tcPr>
          <w:p w14:paraId="68975843" w14:textId="77777777" w:rsidR="00630C32" w:rsidRPr="001D5F0F" w:rsidRDefault="00630C32" w:rsidP="00DC7D11">
            <w:pPr>
              <w:jc w:val="center"/>
              <w:rPr>
                <w:rFonts w:ascii="Tw Cen MT" w:hAnsi="Tw Cen MT"/>
                <w:b/>
                <w:sz w:val="24"/>
                <w:szCs w:val="24"/>
              </w:rPr>
            </w:pPr>
            <w:r w:rsidRPr="001D5F0F">
              <w:rPr>
                <w:rFonts w:ascii="Tw Cen MT" w:hAnsi="Tw Cen MT"/>
                <w:b/>
                <w:sz w:val="24"/>
                <w:szCs w:val="24"/>
              </w:rPr>
              <w:t>%</w:t>
            </w:r>
          </w:p>
        </w:tc>
      </w:tr>
      <w:tr w:rsidR="00630C32" w:rsidRPr="001D5F0F" w14:paraId="020AC6DC" w14:textId="77777777" w:rsidTr="00DC7D11">
        <w:tc>
          <w:tcPr>
            <w:tcW w:w="510" w:type="dxa"/>
          </w:tcPr>
          <w:p w14:paraId="5FAEACD7"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w:t>
            </w:r>
          </w:p>
        </w:tc>
        <w:tc>
          <w:tcPr>
            <w:tcW w:w="4593" w:type="dxa"/>
          </w:tcPr>
          <w:p w14:paraId="4B29A1BA" w14:textId="77777777" w:rsidR="00630C32" w:rsidRPr="001D5F0F" w:rsidRDefault="00630C32" w:rsidP="00DC7D11">
            <w:pPr>
              <w:jc w:val="both"/>
              <w:rPr>
                <w:rFonts w:ascii="Tw Cen MT" w:hAnsi="Tw Cen MT"/>
                <w:sz w:val="24"/>
                <w:szCs w:val="24"/>
              </w:rPr>
            </w:pPr>
            <w:r w:rsidRPr="001D5F0F">
              <w:rPr>
                <w:rFonts w:ascii="Tw Cen MT" w:hAnsi="Tw Cen MT"/>
                <w:color w:val="000000"/>
                <w:sz w:val="24"/>
                <w:szCs w:val="24"/>
              </w:rPr>
              <w:t>Kehamilan Resiko Rendah (KRR)</w:t>
            </w:r>
          </w:p>
        </w:tc>
        <w:tc>
          <w:tcPr>
            <w:tcW w:w="1701" w:type="dxa"/>
          </w:tcPr>
          <w:p w14:paraId="172E2C72"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57</w:t>
            </w:r>
          </w:p>
        </w:tc>
        <w:tc>
          <w:tcPr>
            <w:tcW w:w="1242" w:type="dxa"/>
            <w:vAlign w:val="center"/>
          </w:tcPr>
          <w:p w14:paraId="616BDD04"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32</w:t>
            </w:r>
          </w:p>
        </w:tc>
      </w:tr>
      <w:tr w:rsidR="00630C32" w:rsidRPr="001D5F0F" w14:paraId="36979A92" w14:textId="77777777" w:rsidTr="00DC7D11">
        <w:tc>
          <w:tcPr>
            <w:tcW w:w="510" w:type="dxa"/>
          </w:tcPr>
          <w:p w14:paraId="727BA8AE"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2</w:t>
            </w:r>
          </w:p>
        </w:tc>
        <w:tc>
          <w:tcPr>
            <w:tcW w:w="4593" w:type="dxa"/>
          </w:tcPr>
          <w:p w14:paraId="0D03155A" w14:textId="77777777" w:rsidR="00630C32" w:rsidRPr="001D5F0F" w:rsidRDefault="00630C32" w:rsidP="00DC7D11">
            <w:pPr>
              <w:jc w:val="both"/>
              <w:rPr>
                <w:rFonts w:ascii="Tw Cen MT" w:hAnsi="Tw Cen MT"/>
                <w:color w:val="000000"/>
                <w:sz w:val="24"/>
                <w:szCs w:val="24"/>
              </w:rPr>
            </w:pPr>
            <w:r w:rsidRPr="001D5F0F">
              <w:rPr>
                <w:rFonts w:ascii="Tw Cen MT" w:hAnsi="Tw Cen MT"/>
                <w:color w:val="000000"/>
                <w:sz w:val="24"/>
                <w:szCs w:val="24"/>
              </w:rPr>
              <w:t>Kehamilan Resiko Tinggi (KRT)</w:t>
            </w:r>
          </w:p>
        </w:tc>
        <w:tc>
          <w:tcPr>
            <w:tcW w:w="1701" w:type="dxa"/>
          </w:tcPr>
          <w:p w14:paraId="4A56C4BC"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67</w:t>
            </w:r>
          </w:p>
        </w:tc>
        <w:tc>
          <w:tcPr>
            <w:tcW w:w="1242" w:type="dxa"/>
            <w:vAlign w:val="center"/>
          </w:tcPr>
          <w:p w14:paraId="7DC62C1F"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37.6</w:t>
            </w:r>
          </w:p>
        </w:tc>
      </w:tr>
      <w:tr w:rsidR="00630C32" w:rsidRPr="001D5F0F" w14:paraId="169F73EF" w14:textId="77777777" w:rsidTr="00DC7D11">
        <w:tc>
          <w:tcPr>
            <w:tcW w:w="510" w:type="dxa"/>
          </w:tcPr>
          <w:p w14:paraId="7111AFD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3</w:t>
            </w:r>
          </w:p>
        </w:tc>
        <w:tc>
          <w:tcPr>
            <w:tcW w:w="4593" w:type="dxa"/>
          </w:tcPr>
          <w:p w14:paraId="4E95003D" w14:textId="77777777" w:rsidR="00630C32" w:rsidRPr="001D5F0F" w:rsidRDefault="00630C32" w:rsidP="00DC7D11">
            <w:pPr>
              <w:jc w:val="both"/>
              <w:rPr>
                <w:rFonts w:ascii="Tw Cen MT" w:hAnsi="Tw Cen MT"/>
                <w:sz w:val="24"/>
                <w:szCs w:val="24"/>
              </w:rPr>
            </w:pPr>
            <w:r w:rsidRPr="001D5F0F">
              <w:rPr>
                <w:rFonts w:ascii="Tw Cen MT" w:hAnsi="Tw Cen MT"/>
                <w:sz w:val="24"/>
                <w:szCs w:val="24"/>
              </w:rPr>
              <w:t>Kehamilan Resiko Sangat Tinggi (KRST)</w:t>
            </w:r>
          </w:p>
        </w:tc>
        <w:tc>
          <w:tcPr>
            <w:tcW w:w="1701" w:type="dxa"/>
          </w:tcPr>
          <w:p w14:paraId="4536F24F"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54</w:t>
            </w:r>
          </w:p>
        </w:tc>
        <w:tc>
          <w:tcPr>
            <w:tcW w:w="1242" w:type="dxa"/>
            <w:vAlign w:val="center"/>
          </w:tcPr>
          <w:p w14:paraId="67FAABD8"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54</w:t>
            </w:r>
          </w:p>
        </w:tc>
      </w:tr>
      <w:tr w:rsidR="00630C32" w:rsidRPr="001D5F0F" w14:paraId="11EF9E19" w14:textId="77777777" w:rsidTr="00DC7D11">
        <w:tc>
          <w:tcPr>
            <w:tcW w:w="5103" w:type="dxa"/>
            <w:gridSpan w:val="2"/>
          </w:tcPr>
          <w:p w14:paraId="7E2F51F7" w14:textId="77777777" w:rsidR="00630C32" w:rsidRPr="001D5F0F" w:rsidRDefault="00630C32"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1701" w:type="dxa"/>
          </w:tcPr>
          <w:p w14:paraId="78686F22" w14:textId="77777777" w:rsidR="00630C32" w:rsidRPr="001D5F0F" w:rsidRDefault="00630C32" w:rsidP="00DC7D11">
            <w:pPr>
              <w:jc w:val="center"/>
              <w:rPr>
                <w:rFonts w:ascii="Tw Cen MT" w:hAnsi="Tw Cen MT"/>
                <w:sz w:val="24"/>
                <w:szCs w:val="24"/>
              </w:rPr>
            </w:pPr>
            <w:r w:rsidRPr="001D5F0F">
              <w:rPr>
                <w:rFonts w:ascii="Tw Cen MT" w:hAnsi="Tw Cen MT"/>
                <w:sz w:val="24"/>
                <w:szCs w:val="24"/>
              </w:rPr>
              <w:t>178</w:t>
            </w:r>
          </w:p>
        </w:tc>
        <w:tc>
          <w:tcPr>
            <w:tcW w:w="1242" w:type="dxa"/>
            <w:vAlign w:val="center"/>
          </w:tcPr>
          <w:p w14:paraId="597C55AC" w14:textId="77777777" w:rsidR="00630C32" w:rsidRPr="001D5F0F" w:rsidRDefault="00630C32"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3090ED2A" w14:textId="77777777" w:rsidR="00630C32" w:rsidRPr="001D5F0F" w:rsidRDefault="00630C32" w:rsidP="00630C32">
      <w:pPr>
        <w:spacing w:after="0" w:line="240" w:lineRule="auto"/>
        <w:jc w:val="both"/>
        <w:rPr>
          <w:rFonts w:ascii="Tw Cen MT" w:hAnsi="Tw Cen MT" w:cs="Times New Roman"/>
          <w:sz w:val="24"/>
          <w:szCs w:val="24"/>
        </w:rPr>
      </w:pPr>
    </w:p>
    <w:p w14:paraId="42E7340E" w14:textId="77777777" w:rsidR="00630C32" w:rsidRDefault="00630C32" w:rsidP="00630C32">
      <w:pPr>
        <w:spacing w:after="0" w:line="240" w:lineRule="auto"/>
        <w:ind w:firstLine="567"/>
        <w:jc w:val="both"/>
        <w:rPr>
          <w:rFonts w:ascii="Tw Cen MT" w:hAnsi="Tw Cen MT" w:cs="Times New Roman"/>
          <w:sz w:val="24"/>
          <w:szCs w:val="24"/>
        </w:rPr>
      </w:pPr>
      <w:r w:rsidRPr="001D5F0F">
        <w:rPr>
          <w:rFonts w:ascii="Tw Cen MT" w:hAnsi="Tw Cen MT" w:cs="Times New Roman"/>
          <w:sz w:val="24"/>
          <w:szCs w:val="24"/>
        </w:rPr>
        <w:t xml:space="preserve">Berdasarkan tabel diatas 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nilai KSPR ibu hamil berada pada katagori </w:t>
      </w:r>
      <w:r w:rsidRPr="001D5F0F">
        <w:rPr>
          <w:rFonts w:ascii="Tw Cen MT" w:hAnsi="Tw Cen MT" w:cs="Times New Roman"/>
          <w:color w:val="000000"/>
          <w:sz w:val="24"/>
          <w:szCs w:val="24"/>
        </w:rPr>
        <w:t xml:space="preserve">Kehamilan Resiko Tinggi (KRT) </w:t>
      </w:r>
      <w:r w:rsidRPr="001D5F0F">
        <w:rPr>
          <w:rFonts w:ascii="Tw Cen MT" w:hAnsi="Tw Cen MT" w:cs="Times New Roman"/>
          <w:sz w:val="24"/>
          <w:szCs w:val="24"/>
        </w:rPr>
        <w:t>sebanyak 67 orang (37.6%).</w:t>
      </w:r>
    </w:p>
    <w:p w14:paraId="08C99FA1" w14:textId="77777777" w:rsidR="003B38A9" w:rsidRPr="001D5F0F" w:rsidRDefault="003B38A9" w:rsidP="00630C32">
      <w:pPr>
        <w:spacing w:after="0" w:line="240" w:lineRule="auto"/>
        <w:ind w:firstLine="567"/>
        <w:jc w:val="both"/>
        <w:rPr>
          <w:rFonts w:ascii="Tw Cen MT" w:hAnsi="Tw Cen MT" w:cs="Times New Roman"/>
          <w:sz w:val="24"/>
          <w:szCs w:val="24"/>
        </w:rPr>
      </w:pPr>
    </w:p>
    <w:p w14:paraId="208BEE6B" w14:textId="72A42BF1" w:rsidR="003B38A9" w:rsidRPr="001D5F0F" w:rsidRDefault="003B38A9" w:rsidP="003B38A9">
      <w:pPr>
        <w:spacing w:after="0" w:line="240" w:lineRule="auto"/>
        <w:jc w:val="both"/>
        <w:rPr>
          <w:rFonts w:ascii="Tw Cen MT" w:hAnsi="Tw Cen MT" w:cs="Times New Roman"/>
          <w:b/>
          <w:sz w:val="24"/>
          <w:szCs w:val="24"/>
        </w:rPr>
      </w:pPr>
      <w:r w:rsidRPr="001D5F0F">
        <w:rPr>
          <w:rFonts w:ascii="Tw Cen MT" w:hAnsi="Tw Cen MT" w:cs="Times New Roman"/>
          <w:b/>
          <w:sz w:val="24"/>
          <w:szCs w:val="24"/>
        </w:rPr>
        <w:t xml:space="preserve">Tabel </w:t>
      </w:r>
      <w:r>
        <w:rPr>
          <w:rFonts w:ascii="Tw Cen MT" w:hAnsi="Tw Cen MT" w:cs="Times New Roman"/>
          <w:b/>
          <w:sz w:val="24"/>
          <w:szCs w:val="24"/>
        </w:rPr>
        <w:t>6</w:t>
      </w:r>
      <w:r w:rsidRPr="001D5F0F">
        <w:rPr>
          <w:rFonts w:ascii="Tw Cen MT" w:hAnsi="Tw Cen MT" w:cs="Times New Roman"/>
          <w:b/>
          <w:sz w:val="24"/>
          <w:szCs w:val="24"/>
        </w:rPr>
        <w:t xml:space="preserve">. Distribusi Frekuensi Pengetahuan Ibu Hamil Tentang </w:t>
      </w:r>
      <w:proofErr w:type="spellStart"/>
      <w:r w:rsidRPr="001D5F0F">
        <w:rPr>
          <w:rFonts w:ascii="Tw Cen MT" w:hAnsi="Tw Cen MT" w:cs="Times New Roman"/>
          <w:b/>
          <w:sz w:val="24"/>
          <w:szCs w:val="24"/>
        </w:rPr>
        <w:t>Skrining</w:t>
      </w:r>
      <w:proofErr w:type="spellEnd"/>
      <w:r w:rsidRPr="001D5F0F">
        <w:rPr>
          <w:rFonts w:ascii="Tw Cen MT" w:hAnsi="Tw Cen MT" w:cs="Times New Roman"/>
          <w:b/>
          <w:sz w:val="24"/>
          <w:szCs w:val="24"/>
        </w:rPr>
        <w:t xml:space="preserve"> Antenatal Tingkat Resiko Kehamilan Menggunakan KSPR</w:t>
      </w:r>
    </w:p>
    <w:p w14:paraId="33463891" w14:textId="77777777" w:rsidR="003B38A9" w:rsidRPr="001D5F0F" w:rsidRDefault="003B38A9" w:rsidP="003B38A9">
      <w:pPr>
        <w:spacing w:after="0" w:line="240" w:lineRule="auto"/>
        <w:jc w:val="both"/>
        <w:rPr>
          <w:rFonts w:ascii="Tw Cen MT" w:hAnsi="Tw Cen MT" w:cs="Times New Roman"/>
          <w:sz w:val="24"/>
          <w:szCs w:val="24"/>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1935"/>
        <w:gridCol w:w="903"/>
        <w:gridCol w:w="1040"/>
      </w:tblGrid>
      <w:tr w:rsidR="003B38A9" w:rsidRPr="001D5F0F" w14:paraId="2CFA7E95" w14:textId="77777777" w:rsidTr="00DC7D11">
        <w:tc>
          <w:tcPr>
            <w:tcW w:w="510" w:type="dxa"/>
          </w:tcPr>
          <w:p w14:paraId="27F4E746"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No</w:t>
            </w:r>
          </w:p>
        </w:tc>
        <w:tc>
          <w:tcPr>
            <w:tcW w:w="3505" w:type="dxa"/>
          </w:tcPr>
          <w:p w14:paraId="79591EAD"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Pengetahuan</w:t>
            </w:r>
          </w:p>
        </w:tc>
        <w:tc>
          <w:tcPr>
            <w:tcW w:w="2015" w:type="dxa"/>
          </w:tcPr>
          <w:p w14:paraId="6AFAC02A"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f</w:t>
            </w:r>
          </w:p>
        </w:tc>
        <w:tc>
          <w:tcPr>
            <w:tcW w:w="2016" w:type="dxa"/>
          </w:tcPr>
          <w:p w14:paraId="30AB0C10" w14:textId="77777777" w:rsidR="003B38A9" w:rsidRPr="001D5F0F" w:rsidRDefault="003B38A9" w:rsidP="00DC7D11">
            <w:pPr>
              <w:jc w:val="center"/>
              <w:rPr>
                <w:rFonts w:ascii="Tw Cen MT" w:hAnsi="Tw Cen MT"/>
                <w:b/>
                <w:sz w:val="24"/>
                <w:szCs w:val="24"/>
              </w:rPr>
            </w:pPr>
            <w:r w:rsidRPr="001D5F0F">
              <w:rPr>
                <w:rFonts w:ascii="Tw Cen MT" w:hAnsi="Tw Cen MT"/>
                <w:b/>
                <w:sz w:val="24"/>
                <w:szCs w:val="24"/>
              </w:rPr>
              <w:t>%</w:t>
            </w:r>
          </w:p>
        </w:tc>
      </w:tr>
      <w:tr w:rsidR="003B38A9" w:rsidRPr="001D5F0F" w14:paraId="03314AEA" w14:textId="77777777" w:rsidTr="00DC7D11">
        <w:tc>
          <w:tcPr>
            <w:tcW w:w="510" w:type="dxa"/>
          </w:tcPr>
          <w:p w14:paraId="20D6D985"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w:t>
            </w:r>
          </w:p>
        </w:tc>
        <w:tc>
          <w:tcPr>
            <w:tcW w:w="3505" w:type="dxa"/>
          </w:tcPr>
          <w:p w14:paraId="6D63906A" w14:textId="77777777" w:rsidR="003B38A9" w:rsidRPr="001D5F0F" w:rsidRDefault="003B38A9" w:rsidP="00DC7D11">
            <w:pPr>
              <w:jc w:val="both"/>
              <w:rPr>
                <w:rFonts w:ascii="Tw Cen MT" w:hAnsi="Tw Cen MT"/>
                <w:sz w:val="24"/>
                <w:szCs w:val="24"/>
              </w:rPr>
            </w:pPr>
            <w:r w:rsidRPr="001D5F0F">
              <w:rPr>
                <w:rFonts w:ascii="Tw Cen MT" w:hAnsi="Tw Cen MT"/>
                <w:color w:val="000000"/>
                <w:sz w:val="24"/>
                <w:szCs w:val="24"/>
              </w:rPr>
              <w:t>Baik</w:t>
            </w:r>
          </w:p>
        </w:tc>
        <w:tc>
          <w:tcPr>
            <w:tcW w:w="2015" w:type="dxa"/>
          </w:tcPr>
          <w:p w14:paraId="1FA82F31"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161</w:t>
            </w:r>
          </w:p>
        </w:tc>
        <w:tc>
          <w:tcPr>
            <w:tcW w:w="2016" w:type="dxa"/>
            <w:vAlign w:val="center"/>
          </w:tcPr>
          <w:p w14:paraId="122727DF"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90.4</w:t>
            </w:r>
          </w:p>
        </w:tc>
      </w:tr>
      <w:tr w:rsidR="003B38A9" w:rsidRPr="001D5F0F" w14:paraId="51F2BD62" w14:textId="77777777" w:rsidTr="00DC7D11">
        <w:tc>
          <w:tcPr>
            <w:tcW w:w="510" w:type="dxa"/>
          </w:tcPr>
          <w:p w14:paraId="1513AFA1"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2</w:t>
            </w:r>
          </w:p>
        </w:tc>
        <w:tc>
          <w:tcPr>
            <w:tcW w:w="3505" w:type="dxa"/>
          </w:tcPr>
          <w:p w14:paraId="2F4564F2" w14:textId="77777777" w:rsidR="003B38A9" w:rsidRPr="001D5F0F" w:rsidRDefault="003B38A9" w:rsidP="00DC7D11">
            <w:pPr>
              <w:jc w:val="both"/>
              <w:rPr>
                <w:rFonts w:ascii="Tw Cen MT" w:hAnsi="Tw Cen MT"/>
                <w:sz w:val="24"/>
                <w:szCs w:val="24"/>
              </w:rPr>
            </w:pPr>
            <w:r w:rsidRPr="001D5F0F">
              <w:rPr>
                <w:rFonts w:ascii="Tw Cen MT" w:hAnsi="Tw Cen MT"/>
                <w:sz w:val="24"/>
                <w:szCs w:val="24"/>
              </w:rPr>
              <w:t>Kurang</w:t>
            </w:r>
          </w:p>
        </w:tc>
        <w:tc>
          <w:tcPr>
            <w:tcW w:w="2015" w:type="dxa"/>
          </w:tcPr>
          <w:p w14:paraId="143E5DE6"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17</w:t>
            </w:r>
          </w:p>
        </w:tc>
        <w:tc>
          <w:tcPr>
            <w:tcW w:w="2016" w:type="dxa"/>
            <w:vAlign w:val="center"/>
          </w:tcPr>
          <w:p w14:paraId="37A50D0F"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9.6</w:t>
            </w:r>
          </w:p>
        </w:tc>
      </w:tr>
      <w:tr w:rsidR="003B38A9" w:rsidRPr="001D5F0F" w14:paraId="5F230B29" w14:textId="77777777" w:rsidTr="00DC7D11">
        <w:tc>
          <w:tcPr>
            <w:tcW w:w="4015" w:type="dxa"/>
            <w:gridSpan w:val="2"/>
          </w:tcPr>
          <w:p w14:paraId="685836A2" w14:textId="77777777" w:rsidR="003B38A9" w:rsidRPr="001D5F0F" w:rsidRDefault="003B38A9" w:rsidP="00DC7D11">
            <w:pPr>
              <w:jc w:val="center"/>
              <w:rPr>
                <w:rFonts w:ascii="Tw Cen MT" w:hAnsi="Tw Cen MT"/>
                <w:color w:val="000000"/>
                <w:sz w:val="24"/>
                <w:szCs w:val="24"/>
              </w:rPr>
            </w:pPr>
            <w:r w:rsidRPr="001D5F0F">
              <w:rPr>
                <w:rFonts w:ascii="Tw Cen MT" w:hAnsi="Tw Cen MT"/>
                <w:color w:val="000000"/>
                <w:sz w:val="24"/>
                <w:szCs w:val="24"/>
              </w:rPr>
              <w:t>Total</w:t>
            </w:r>
          </w:p>
        </w:tc>
        <w:tc>
          <w:tcPr>
            <w:tcW w:w="2015" w:type="dxa"/>
          </w:tcPr>
          <w:p w14:paraId="1B34E37C" w14:textId="77777777" w:rsidR="003B38A9" w:rsidRPr="001D5F0F" w:rsidRDefault="003B38A9" w:rsidP="00DC7D11">
            <w:pPr>
              <w:jc w:val="center"/>
              <w:rPr>
                <w:rFonts w:ascii="Tw Cen MT" w:hAnsi="Tw Cen MT"/>
                <w:sz w:val="24"/>
                <w:szCs w:val="24"/>
              </w:rPr>
            </w:pPr>
            <w:r w:rsidRPr="001D5F0F">
              <w:rPr>
                <w:rFonts w:ascii="Tw Cen MT" w:hAnsi="Tw Cen MT"/>
                <w:sz w:val="24"/>
                <w:szCs w:val="24"/>
              </w:rPr>
              <w:t>178</w:t>
            </w:r>
          </w:p>
        </w:tc>
        <w:tc>
          <w:tcPr>
            <w:tcW w:w="2016" w:type="dxa"/>
            <w:vAlign w:val="center"/>
          </w:tcPr>
          <w:p w14:paraId="5707BE79" w14:textId="77777777" w:rsidR="003B38A9" w:rsidRPr="001D5F0F" w:rsidRDefault="003B38A9" w:rsidP="00DC7D11">
            <w:pPr>
              <w:autoSpaceDE w:val="0"/>
              <w:autoSpaceDN w:val="0"/>
              <w:adjustRightInd w:val="0"/>
              <w:ind w:left="60" w:right="60"/>
              <w:jc w:val="center"/>
              <w:rPr>
                <w:rFonts w:ascii="Tw Cen MT" w:hAnsi="Tw Cen MT"/>
                <w:color w:val="000000"/>
                <w:sz w:val="24"/>
                <w:szCs w:val="24"/>
              </w:rPr>
            </w:pPr>
            <w:r w:rsidRPr="001D5F0F">
              <w:rPr>
                <w:rFonts w:ascii="Tw Cen MT" w:hAnsi="Tw Cen MT"/>
                <w:color w:val="000000"/>
                <w:sz w:val="24"/>
                <w:szCs w:val="24"/>
              </w:rPr>
              <w:t>100</w:t>
            </w:r>
          </w:p>
        </w:tc>
      </w:tr>
    </w:tbl>
    <w:p w14:paraId="5E70109D" w14:textId="77777777" w:rsidR="003B38A9" w:rsidRPr="001D5F0F" w:rsidRDefault="003B38A9" w:rsidP="003B38A9">
      <w:pPr>
        <w:spacing w:after="0" w:line="240" w:lineRule="auto"/>
        <w:jc w:val="both"/>
        <w:rPr>
          <w:rFonts w:ascii="Tw Cen MT" w:hAnsi="Tw Cen MT" w:cs="Times New Roman"/>
          <w:sz w:val="24"/>
          <w:szCs w:val="24"/>
        </w:rPr>
      </w:pPr>
    </w:p>
    <w:p w14:paraId="0C3A4662" w14:textId="77777777" w:rsidR="003B38A9" w:rsidRPr="001D5F0F" w:rsidRDefault="003B38A9" w:rsidP="003B38A9">
      <w:pPr>
        <w:spacing w:after="0" w:line="240" w:lineRule="auto"/>
        <w:ind w:firstLine="567"/>
        <w:jc w:val="both"/>
        <w:rPr>
          <w:rFonts w:ascii="Tw Cen MT" w:hAnsi="Tw Cen MT" w:cs="Times New Roman"/>
          <w:sz w:val="24"/>
          <w:szCs w:val="24"/>
        </w:rPr>
      </w:pPr>
      <w:commentRangeStart w:id="3"/>
      <w:r w:rsidRPr="0084208B">
        <w:rPr>
          <w:rFonts w:ascii="Tw Cen MT" w:hAnsi="Tw Cen MT" w:cs="Times New Roman"/>
          <w:color w:val="FF0000"/>
          <w:sz w:val="24"/>
          <w:szCs w:val="24"/>
        </w:rPr>
        <w:t xml:space="preserve">Berdasarkan tabel diatas </w:t>
      </w:r>
      <w:commentRangeEnd w:id="3"/>
      <w:r w:rsidR="0084208B">
        <w:rPr>
          <w:rStyle w:val="CommentReference"/>
        </w:rPr>
        <w:commentReference w:id="3"/>
      </w:r>
      <w:r w:rsidRPr="001D5F0F">
        <w:rPr>
          <w:rFonts w:ascii="Tw Cen MT" w:hAnsi="Tw Cen MT" w:cs="Times New Roman"/>
          <w:sz w:val="24"/>
          <w:szCs w:val="24"/>
        </w:rPr>
        <w:t xml:space="preserve">menunjukan bahwa, dari 178 ibu hamil </w:t>
      </w:r>
      <w:proofErr w:type="spellStart"/>
      <w:r w:rsidRPr="001D5F0F">
        <w:rPr>
          <w:rFonts w:ascii="Tw Cen MT" w:hAnsi="Tw Cen MT" w:cs="Times New Roman"/>
          <w:sz w:val="24"/>
          <w:szCs w:val="24"/>
        </w:rPr>
        <w:t>sebahagian</w:t>
      </w:r>
      <w:proofErr w:type="spellEnd"/>
      <w:r w:rsidRPr="001D5F0F">
        <w:rPr>
          <w:rFonts w:ascii="Tw Cen MT" w:hAnsi="Tw Cen MT" w:cs="Times New Roman"/>
          <w:sz w:val="24"/>
          <w:szCs w:val="24"/>
        </w:rPr>
        <w:t xml:space="preserve"> besar ibu memiliki pengetahuan yang baik sebanyak 161 orang (90.4%).</w:t>
      </w:r>
    </w:p>
    <w:p w14:paraId="5B657E7B" w14:textId="7A6F8869" w:rsidR="00F85F33" w:rsidRPr="005039E3" w:rsidRDefault="008A5571" w:rsidP="00494B6E">
      <w:pPr>
        <w:spacing w:after="0" w:line="240" w:lineRule="auto"/>
        <w:ind w:firstLine="567"/>
        <w:jc w:val="both"/>
        <w:rPr>
          <w:rFonts w:ascii="Tw Cen MT" w:hAnsi="Tw Cen MT"/>
          <w:sz w:val="24"/>
          <w:szCs w:val="24"/>
        </w:rPr>
      </w:pPr>
      <w:r>
        <w:rPr>
          <w:rFonts w:ascii="Tw Cen MT" w:hAnsi="Tw Cen MT"/>
          <w:sz w:val="24"/>
          <w:szCs w:val="24"/>
        </w:rPr>
        <w:t>Masa Keh</w:t>
      </w:r>
      <w:r w:rsidRPr="00D2178F">
        <w:rPr>
          <w:rFonts w:ascii="Tw Cen MT" w:hAnsi="Tw Cen MT"/>
          <w:sz w:val="24"/>
          <w:szCs w:val="24"/>
        </w:rPr>
        <w:t>amil</w:t>
      </w:r>
      <w:r>
        <w:rPr>
          <w:rFonts w:ascii="Tw Cen MT" w:hAnsi="Tw Cen MT"/>
          <w:sz w:val="24"/>
          <w:szCs w:val="24"/>
        </w:rPr>
        <w:t>an</w:t>
      </w:r>
      <w:r w:rsidRPr="00D2178F">
        <w:rPr>
          <w:rFonts w:ascii="Tw Cen MT" w:hAnsi="Tw Cen MT"/>
          <w:sz w:val="24"/>
          <w:szCs w:val="24"/>
        </w:rPr>
        <w:t xml:space="preserve"> </w:t>
      </w:r>
      <w:r>
        <w:rPr>
          <w:rFonts w:ascii="Tw Cen MT" w:hAnsi="Tw Cen MT"/>
          <w:sz w:val="24"/>
          <w:szCs w:val="24"/>
        </w:rPr>
        <w:t>dan masa</w:t>
      </w:r>
      <w:r w:rsidRPr="00D2178F">
        <w:rPr>
          <w:rFonts w:ascii="Tw Cen MT" w:hAnsi="Tw Cen MT"/>
          <w:sz w:val="24"/>
          <w:szCs w:val="24"/>
        </w:rPr>
        <w:t xml:space="preserve"> bersalin</w:t>
      </w:r>
      <w:r>
        <w:rPr>
          <w:rFonts w:ascii="Tw Cen MT" w:hAnsi="Tw Cen MT"/>
          <w:sz w:val="24"/>
          <w:szCs w:val="24"/>
        </w:rPr>
        <w:t xml:space="preserve"> pada usia</w:t>
      </w:r>
      <w:r w:rsidRPr="00D2178F">
        <w:rPr>
          <w:rFonts w:ascii="Tw Cen MT" w:hAnsi="Tw Cen MT"/>
          <w:sz w:val="24"/>
          <w:szCs w:val="24"/>
        </w:rPr>
        <w:t xml:space="preserve"> &lt;20 tahun </w:t>
      </w:r>
      <w:r>
        <w:rPr>
          <w:rFonts w:ascii="Tw Cen MT" w:hAnsi="Tw Cen MT"/>
          <w:sz w:val="24"/>
          <w:szCs w:val="24"/>
        </w:rPr>
        <w:t>atau</w:t>
      </w:r>
      <w:r w:rsidRPr="00D2178F">
        <w:rPr>
          <w:rFonts w:ascii="Tw Cen MT" w:hAnsi="Tw Cen MT"/>
          <w:sz w:val="24"/>
          <w:szCs w:val="24"/>
        </w:rPr>
        <w:t xml:space="preserve"> &gt;35 tahun </w:t>
      </w:r>
      <w:r>
        <w:rPr>
          <w:rFonts w:ascii="Tw Cen MT" w:hAnsi="Tw Cen MT"/>
          <w:sz w:val="24"/>
          <w:szCs w:val="24"/>
        </w:rPr>
        <w:t xml:space="preserve">akan mengalami proses </w:t>
      </w:r>
      <w:r w:rsidRPr="00D2178F">
        <w:rPr>
          <w:rFonts w:ascii="Tw Cen MT" w:hAnsi="Tw Cen MT"/>
          <w:sz w:val="24"/>
          <w:szCs w:val="24"/>
        </w:rPr>
        <w:t>fungsi organ reproduksi</w:t>
      </w:r>
      <w:r>
        <w:rPr>
          <w:rFonts w:ascii="Tw Cen MT" w:hAnsi="Tw Cen MT"/>
          <w:sz w:val="24"/>
          <w:szCs w:val="24"/>
        </w:rPr>
        <w:t xml:space="preserve"> yang menurun </w:t>
      </w:r>
      <w:r w:rsidRPr="00D2178F">
        <w:rPr>
          <w:rFonts w:ascii="Tw Cen MT" w:hAnsi="Tw Cen MT"/>
          <w:sz w:val="24"/>
          <w:szCs w:val="24"/>
        </w:rPr>
        <w:t>sehingga</w:t>
      </w:r>
      <w:r>
        <w:rPr>
          <w:rFonts w:ascii="Tw Cen MT" w:hAnsi="Tw Cen MT"/>
          <w:sz w:val="24"/>
          <w:szCs w:val="24"/>
        </w:rPr>
        <w:t xml:space="preserve"> mengakibatkan organ reproduksi tersebut</w:t>
      </w:r>
      <w:r w:rsidRPr="00D2178F">
        <w:rPr>
          <w:rFonts w:ascii="Tw Cen MT" w:hAnsi="Tw Cen MT"/>
          <w:sz w:val="24"/>
          <w:szCs w:val="24"/>
        </w:rPr>
        <w:t xml:space="preserve"> tidak dapat bekerja secara</w:t>
      </w:r>
      <w:r>
        <w:rPr>
          <w:rFonts w:ascii="Tw Cen MT" w:hAnsi="Tw Cen MT"/>
          <w:sz w:val="24"/>
          <w:szCs w:val="24"/>
        </w:rPr>
        <w:t xml:space="preserve"> </w:t>
      </w:r>
      <w:r w:rsidRPr="00D2178F">
        <w:rPr>
          <w:rFonts w:ascii="Tw Cen MT" w:hAnsi="Tw Cen MT"/>
          <w:sz w:val="24"/>
          <w:szCs w:val="24"/>
        </w:rPr>
        <w:t xml:space="preserve">maksimal </w:t>
      </w:r>
      <w:r>
        <w:rPr>
          <w:rFonts w:ascii="Tw Cen MT" w:hAnsi="Tw Cen MT"/>
          <w:sz w:val="24"/>
          <w:szCs w:val="24"/>
        </w:rPr>
        <w:t>akibatnya</w:t>
      </w:r>
      <w:r w:rsidRPr="00D2178F">
        <w:rPr>
          <w:rFonts w:ascii="Tw Cen MT" w:hAnsi="Tw Cen MT"/>
          <w:sz w:val="24"/>
          <w:szCs w:val="24"/>
        </w:rPr>
        <w:t xml:space="preserve"> </w:t>
      </w:r>
      <w:proofErr w:type="spellStart"/>
      <w:r w:rsidRPr="00D2178F">
        <w:rPr>
          <w:rFonts w:ascii="Tw Cen MT" w:hAnsi="Tw Cen MT"/>
          <w:sz w:val="24"/>
          <w:szCs w:val="24"/>
        </w:rPr>
        <w:t>spasme</w:t>
      </w:r>
      <w:proofErr w:type="spellEnd"/>
      <w:r w:rsidRPr="00D2178F">
        <w:rPr>
          <w:rFonts w:ascii="Tw Cen MT" w:hAnsi="Tw Cen MT"/>
          <w:sz w:val="24"/>
          <w:szCs w:val="24"/>
        </w:rPr>
        <w:t xml:space="preserve"> pembuluh darah serta</w:t>
      </w:r>
      <w:r>
        <w:rPr>
          <w:rFonts w:ascii="Tw Cen MT" w:hAnsi="Tw Cen MT"/>
          <w:sz w:val="24"/>
          <w:szCs w:val="24"/>
        </w:rPr>
        <w:t xml:space="preserve"> </w:t>
      </w:r>
      <w:r w:rsidRPr="00D2178F">
        <w:rPr>
          <w:rFonts w:ascii="Tw Cen MT" w:hAnsi="Tw Cen MT"/>
          <w:sz w:val="24"/>
          <w:szCs w:val="24"/>
        </w:rPr>
        <w:t xml:space="preserve">tahanan terhadap garam dan air </w:t>
      </w:r>
      <w:proofErr w:type="spellStart"/>
      <w:r>
        <w:rPr>
          <w:rFonts w:ascii="Tw Cen MT" w:hAnsi="Tw Cen MT"/>
          <w:sz w:val="24"/>
          <w:szCs w:val="24"/>
        </w:rPr>
        <w:t>didalam</w:t>
      </w:r>
      <w:proofErr w:type="spellEnd"/>
      <w:r>
        <w:rPr>
          <w:rFonts w:ascii="Tw Cen MT" w:hAnsi="Tw Cen MT"/>
          <w:sz w:val="24"/>
          <w:szCs w:val="24"/>
        </w:rPr>
        <w:t xml:space="preserve"> tubuh dapat </w:t>
      </w:r>
      <w:r w:rsidRPr="00D2178F">
        <w:rPr>
          <w:rFonts w:ascii="Tw Cen MT" w:hAnsi="Tw Cen MT"/>
          <w:sz w:val="24"/>
          <w:szCs w:val="24"/>
        </w:rPr>
        <w:t xml:space="preserve">mengakibatkan hipertensi </w:t>
      </w:r>
      <w:r>
        <w:rPr>
          <w:rFonts w:ascii="Tw Cen MT" w:hAnsi="Tw Cen MT"/>
          <w:sz w:val="24"/>
          <w:szCs w:val="24"/>
        </w:rPr>
        <w:fldChar w:fldCharType="begin" w:fldLock="1"/>
      </w:r>
      <w:r>
        <w:rPr>
          <w:rFonts w:ascii="Tw Cen MT" w:hAnsi="Tw Cen MT"/>
          <w:sz w:val="24"/>
          <w:szCs w:val="24"/>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Indonesia","id":"ITEM-1","issue":"1","issued":{"date-parts":[["2018"]]},"page":"32","title":"Faktor-Faktor Yang Berhubungan Dengan Kejadian Preeklampsia Di Indonesia","type":"article-journal","volume":"2"},"uris":["http://www.mendeley.com/documents/?uuid=11b5748e-8b7e-4a59-9bb9-140570a127e4"]}],"mendeley":{"formattedCitation":"[11]","plainTextFormattedCitation":"[11]","previouslyFormattedCitation":"[11]"},"properties":{"noteIndex":0},"schema":"https://github.com/citation-style-language/schema/raw/master/csl-citation.json"}</w:instrText>
      </w:r>
      <w:r>
        <w:rPr>
          <w:rFonts w:ascii="Tw Cen MT" w:hAnsi="Tw Cen MT"/>
          <w:sz w:val="24"/>
          <w:szCs w:val="24"/>
        </w:rPr>
        <w:fldChar w:fldCharType="separate"/>
      </w:r>
      <w:r w:rsidRPr="008A5571">
        <w:rPr>
          <w:rFonts w:ascii="Tw Cen MT" w:hAnsi="Tw Cen MT"/>
          <w:noProof/>
          <w:sz w:val="24"/>
          <w:szCs w:val="24"/>
        </w:rPr>
        <w:t>[11]</w:t>
      </w:r>
      <w:r>
        <w:rPr>
          <w:rFonts w:ascii="Tw Cen MT" w:hAnsi="Tw Cen MT"/>
          <w:sz w:val="24"/>
          <w:szCs w:val="24"/>
        </w:rPr>
        <w:fldChar w:fldCharType="end"/>
      </w:r>
      <w:r w:rsidRPr="00D2178F">
        <w:rPr>
          <w:rFonts w:ascii="Tw Cen MT" w:hAnsi="Tw Cen MT"/>
          <w:sz w:val="24"/>
          <w:szCs w:val="24"/>
        </w:rPr>
        <w:t xml:space="preserve">. Usia adalah </w:t>
      </w:r>
      <w:r>
        <w:rPr>
          <w:rFonts w:ascii="Tw Cen MT" w:hAnsi="Tw Cen MT"/>
          <w:sz w:val="24"/>
          <w:szCs w:val="24"/>
        </w:rPr>
        <w:t>batas awal seorang</w:t>
      </w:r>
      <w:r w:rsidRPr="00D2178F">
        <w:rPr>
          <w:rFonts w:ascii="Tw Cen MT" w:hAnsi="Tw Cen MT"/>
          <w:sz w:val="24"/>
          <w:szCs w:val="24"/>
        </w:rPr>
        <w:t xml:space="preserve"> individu </w:t>
      </w:r>
      <w:r>
        <w:rPr>
          <w:rFonts w:ascii="Tw Cen MT" w:hAnsi="Tw Cen MT"/>
          <w:sz w:val="24"/>
          <w:szCs w:val="24"/>
        </w:rPr>
        <w:t xml:space="preserve">yang dihitung </w:t>
      </w:r>
      <w:r w:rsidRPr="00D2178F">
        <w:rPr>
          <w:rFonts w:ascii="Tw Cen MT" w:hAnsi="Tw Cen MT"/>
          <w:sz w:val="24"/>
          <w:szCs w:val="24"/>
        </w:rPr>
        <w:t>mulai</w:t>
      </w:r>
      <w:r>
        <w:rPr>
          <w:rFonts w:ascii="Tw Cen MT" w:hAnsi="Tw Cen MT"/>
          <w:sz w:val="24"/>
          <w:szCs w:val="24"/>
        </w:rPr>
        <w:t xml:space="preserve"> seseorang tersebut</w:t>
      </w:r>
      <w:r w:rsidRPr="00D2178F">
        <w:rPr>
          <w:rFonts w:ascii="Tw Cen MT" w:hAnsi="Tw Cen MT"/>
          <w:sz w:val="24"/>
          <w:szCs w:val="24"/>
        </w:rPr>
        <w:t xml:space="preserve"> dilahirkan sampai saat berulang</w:t>
      </w:r>
      <w:r>
        <w:rPr>
          <w:rFonts w:ascii="Tw Cen MT" w:hAnsi="Tw Cen MT"/>
          <w:sz w:val="24"/>
          <w:szCs w:val="24"/>
        </w:rPr>
        <w:t xml:space="preserve"> </w:t>
      </w:r>
      <w:r w:rsidRPr="00D2178F">
        <w:rPr>
          <w:rFonts w:ascii="Tw Cen MT" w:hAnsi="Tw Cen MT"/>
          <w:sz w:val="24"/>
          <w:szCs w:val="24"/>
        </w:rPr>
        <w:t>tahun. Semakin cukup umur</w:t>
      </w:r>
      <w:r>
        <w:rPr>
          <w:rFonts w:ascii="Tw Cen MT" w:hAnsi="Tw Cen MT"/>
          <w:sz w:val="24"/>
          <w:szCs w:val="24"/>
        </w:rPr>
        <w:t xml:space="preserve"> seseorang</w:t>
      </w:r>
      <w:r w:rsidRPr="00D2178F">
        <w:rPr>
          <w:rFonts w:ascii="Tw Cen MT" w:hAnsi="Tw Cen MT"/>
          <w:sz w:val="24"/>
          <w:szCs w:val="24"/>
        </w:rPr>
        <w:t xml:space="preserve">, </w:t>
      </w:r>
      <w:r>
        <w:rPr>
          <w:rFonts w:ascii="Tw Cen MT" w:hAnsi="Tw Cen MT"/>
          <w:sz w:val="24"/>
          <w:szCs w:val="24"/>
        </w:rPr>
        <w:t xml:space="preserve">maka </w:t>
      </w:r>
      <w:r w:rsidRPr="00D2178F">
        <w:rPr>
          <w:rFonts w:ascii="Tw Cen MT" w:hAnsi="Tw Cen MT"/>
          <w:sz w:val="24"/>
          <w:szCs w:val="24"/>
        </w:rPr>
        <w:t>tingkat</w:t>
      </w:r>
      <w:r>
        <w:rPr>
          <w:rFonts w:ascii="Tw Cen MT" w:hAnsi="Tw Cen MT"/>
          <w:sz w:val="24"/>
          <w:szCs w:val="24"/>
        </w:rPr>
        <w:t xml:space="preserve"> </w:t>
      </w:r>
      <w:r w:rsidRPr="00D2178F">
        <w:rPr>
          <w:rFonts w:ascii="Tw Cen MT" w:hAnsi="Tw Cen MT"/>
          <w:sz w:val="24"/>
          <w:szCs w:val="24"/>
        </w:rPr>
        <w:t>kematangan dan kekuatan</w:t>
      </w:r>
      <w:r>
        <w:rPr>
          <w:rFonts w:ascii="Tw Cen MT" w:hAnsi="Tw Cen MT"/>
          <w:sz w:val="24"/>
          <w:szCs w:val="24"/>
        </w:rPr>
        <w:t xml:space="preserve">nya </w:t>
      </w:r>
      <w:r w:rsidRPr="00D2178F">
        <w:rPr>
          <w:rFonts w:ascii="Tw Cen MT" w:hAnsi="Tw Cen MT"/>
          <w:sz w:val="24"/>
          <w:szCs w:val="24"/>
        </w:rPr>
        <w:t>akan</w:t>
      </w:r>
      <w:r>
        <w:rPr>
          <w:rFonts w:ascii="Tw Cen MT" w:hAnsi="Tw Cen MT"/>
          <w:sz w:val="24"/>
          <w:szCs w:val="24"/>
        </w:rPr>
        <w:t xml:space="preserve"> </w:t>
      </w:r>
      <w:r w:rsidRPr="00D2178F">
        <w:rPr>
          <w:rFonts w:ascii="Tw Cen MT" w:hAnsi="Tw Cen MT"/>
          <w:sz w:val="24"/>
          <w:szCs w:val="24"/>
        </w:rPr>
        <w:t>lebih matang</w:t>
      </w:r>
      <w:r>
        <w:rPr>
          <w:rFonts w:ascii="Tw Cen MT" w:hAnsi="Tw Cen MT"/>
          <w:sz w:val="24"/>
          <w:szCs w:val="24"/>
        </w:rPr>
        <w:t xml:space="preserve"> dan maksimal</w:t>
      </w:r>
      <w:r w:rsidRPr="00D2178F">
        <w:rPr>
          <w:rFonts w:ascii="Tw Cen MT" w:hAnsi="Tw Cen MT"/>
          <w:sz w:val="24"/>
          <w:szCs w:val="24"/>
        </w:rPr>
        <w:t xml:space="preserve"> dalam berfikir dan bekerja.</w:t>
      </w:r>
      <w:r>
        <w:rPr>
          <w:rFonts w:ascii="Tw Cen MT" w:hAnsi="Tw Cen MT"/>
          <w:sz w:val="24"/>
          <w:szCs w:val="24"/>
        </w:rPr>
        <w:t xml:space="preserve"> </w:t>
      </w:r>
      <w:r w:rsidRPr="00D2178F">
        <w:rPr>
          <w:rFonts w:ascii="Tw Cen MT" w:hAnsi="Tw Cen MT"/>
          <w:sz w:val="24"/>
          <w:szCs w:val="24"/>
        </w:rPr>
        <w:t>Usia sangatlah berpengaruh pada</w:t>
      </w:r>
      <w:r>
        <w:rPr>
          <w:rFonts w:ascii="Tw Cen MT" w:hAnsi="Tw Cen MT"/>
          <w:sz w:val="24"/>
          <w:szCs w:val="24"/>
        </w:rPr>
        <w:t xml:space="preserve"> </w:t>
      </w:r>
      <w:r>
        <w:rPr>
          <w:rFonts w:ascii="Tw Cen MT" w:hAnsi="Tw Cen MT"/>
          <w:sz w:val="24"/>
          <w:szCs w:val="24"/>
        </w:rPr>
        <w:t xml:space="preserve">masa </w:t>
      </w:r>
      <w:r w:rsidRPr="00D2178F">
        <w:rPr>
          <w:rFonts w:ascii="Tw Cen MT" w:hAnsi="Tw Cen MT"/>
          <w:sz w:val="24"/>
          <w:szCs w:val="24"/>
        </w:rPr>
        <w:t xml:space="preserve">kehamilan maupun dalam </w:t>
      </w:r>
      <w:r>
        <w:rPr>
          <w:rFonts w:ascii="Tw Cen MT" w:hAnsi="Tw Cen MT"/>
          <w:sz w:val="24"/>
          <w:szCs w:val="24"/>
        </w:rPr>
        <w:t xml:space="preserve">proses </w:t>
      </w:r>
      <w:r w:rsidRPr="00D2178F">
        <w:rPr>
          <w:rFonts w:ascii="Tw Cen MT" w:hAnsi="Tw Cen MT"/>
          <w:sz w:val="24"/>
          <w:szCs w:val="24"/>
        </w:rPr>
        <w:t>persalinan. Pada</w:t>
      </w:r>
      <w:r>
        <w:rPr>
          <w:rFonts w:ascii="Tw Cen MT" w:hAnsi="Tw Cen MT"/>
          <w:sz w:val="24"/>
          <w:szCs w:val="24"/>
        </w:rPr>
        <w:t xml:space="preserve"> </w:t>
      </w:r>
      <w:r w:rsidRPr="00D2178F">
        <w:rPr>
          <w:rFonts w:ascii="Tw Cen MT" w:hAnsi="Tw Cen MT"/>
          <w:sz w:val="24"/>
          <w:szCs w:val="24"/>
        </w:rPr>
        <w:t>usia ibu &lt;20 tahun dan &gt;35 tahun tidak</w:t>
      </w:r>
      <w:r>
        <w:rPr>
          <w:rFonts w:ascii="Tw Cen MT" w:hAnsi="Tw Cen MT"/>
          <w:sz w:val="24"/>
          <w:szCs w:val="24"/>
        </w:rPr>
        <w:t xml:space="preserve"> </w:t>
      </w:r>
      <w:r w:rsidRPr="00D2178F">
        <w:rPr>
          <w:rFonts w:ascii="Tw Cen MT" w:hAnsi="Tw Cen MT"/>
          <w:sz w:val="24"/>
          <w:szCs w:val="24"/>
        </w:rPr>
        <w:t>dianjurkan untuk hamil maupun</w:t>
      </w:r>
      <w:r>
        <w:rPr>
          <w:rFonts w:ascii="Tw Cen MT" w:hAnsi="Tw Cen MT"/>
          <w:sz w:val="24"/>
          <w:szCs w:val="24"/>
        </w:rPr>
        <w:t xml:space="preserve"> </w:t>
      </w:r>
      <w:r w:rsidRPr="00D2178F">
        <w:rPr>
          <w:rFonts w:ascii="Tw Cen MT" w:hAnsi="Tw Cen MT"/>
          <w:sz w:val="24"/>
          <w:szCs w:val="24"/>
        </w:rPr>
        <w:t>melahirkan, dikarenakan usia ibu &lt;20 tahun</w:t>
      </w:r>
      <w:r>
        <w:rPr>
          <w:rFonts w:ascii="Tw Cen MT" w:hAnsi="Tw Cen MT"/>
          <w:sz w:val="24"/>
          <w:szCs w:val="24"/>
        </w:rPr>
        <w:t xml:space="preserve"> Akan mengalami belum</w:t>
      </w:r>
      <w:r w:rsidRPr="00D2178F">
        <w:rPr>
          <w:rFonts w:ascii="Tw Cen MT" w:hAnsi="Tw Cen MT"/>
          <w:sz w:val="24"/>
          <w:szCs w:val="24"/>
        </w:rPr>
        <w:t xml:space="preserve"> </w:t>
      </w:r>
      <w:proofErr w:type="spellStart"/>
      <w:r w:rsidRPr="00D2178F">
        <w:rPr>
          <w:rFonts w:ascii="Tw Cen MT" w:hAnsi="Tw Cen MT"/>
          <w:sz w:val="24"/>
          <w:szCs w:val="24"/>
        </w:rPr>
        <w:t>matangnya</w:t>
      </w:r>
      <w:proofErr w:type="spellEnd"/>
      <w:r w:rsidRPr="00D2178F">
        <w:rPr>
          <w:rFonts w:ascii="Tw Cen MT" w:hAnsi="Tw Cen MT"/>
          <w:sz w:val="24"/>
          <w:szCs w:val="24"/>
        </w:rPr>
        <w:t xml:space="preserve"> alat reproduksi dengan</w:t>
      </w:r>
      <w:r>
        <w:rPr>
          <w:rFonts w:ascii="Tw Cen MT" w:hAnsi="Tw Cen MT"/>
          <w:sz w:val="24"/>
          <w:szCs w:val="24"/>
        </w:rPr>
        <w:t xml:space="preserve"> </w:t>
      </w:r>
      <w:r w:rsidRPr="00D2178F">
        <w:rPr>
          <w:rFonts w:ascii="Tw Cen MT" w:hAnsi="Tw Cen MT"/>
          <w:sz w:val="24"/>
          <w:szCs w:val="24"/>
        </w:rPr>
        <w:t>ukuran uterus yang belum mencapai ukuran</w:t>
      </w:r>
      <w:r>
        <w:rPr>
          <w:rFonts w:ascii="Tw Cen MT" w:hAnsi="Tw Cen MT"/>
          <w:sz w:val="24"/>
          <w:szCs w:val="24"/>
        </w:rPr>
        <w:t xml:space="preserve"> </w:t>
      </w:r>
      <w:r w:rsidRPr="00D2178F">
        <w:rPr>
          <w:rFonts w:ascii="Tw Cen MT" w:hAnsi="Tw Cen MT"/>
          <w:sz w:val="24"/>
          <w:szCs w:val="24"/>
        </w:rPr>
        <w:t>normal</w:t>
      </w:r>
      <w:r>
        <w:rPr>
          <w:rFonts w:ascii="Tw Cen MT" w:hAnsi="Tw Cen MT"/>
          <w:sz w:val="24"/>
          <w:szCs w:val="24"/>
        </w:rPr>
        <w:t xml:space="preserve">, </w:t>
      </w:r>
      <w:r w:rsidRPr="00D2178F">
        <w:rPr>
          <w:rFonts w:ascii="Tw Cen MT" w:hAnsi="Tw Cen MT"/>
          <w:sz w:val="24"/>
          <w:szCs w:val="24"/>
        </w:rPr>
        <w:t>dan usia &gt;35 tahun</w:t>
      </w:r>
      <w:r>
        <w:rPr>
          <w:rFonts w:ascii="Tw Cen MT" w:hAnsi="Tw Cen MT"/>
          <w:sz w:val="24"/>
          <w:szCs w:val="24"/>
        </w:rPr>
        <w:t xml:space="preserve"> </w:t>
      </w:r>
      <w:r w:rsidRPr="00D2178F">
        <w:rPr>
          <w:rFonts w:ascii="Tw Cen MT" w:hAnsi="Tw Cen MT"/>
          <w:sz w:val="24"/>
          <w:szCs w:val="24"/>
        </w:rPr>
        <w:t>fungsi organ tubuh semakin menurun dan</w:t>
      </w:r>
      <w:r>
        <w:rPr>
          <w:rFonts w:ascii="Tw Cen MT" w:hAnsi="Tw Cen MT"/>
          <w:sz w:val="24"/>
          <w:szCs w:val="24"/>
        </w:rPr>
        <w:t xml:space="preserve"> </w:t>
      </w:r>
      <w:r w:rsidRPr="00D2178F">
        <w:rPr>
          <w:rFonts w:ascii="Tw Cen MT" w:hAnsi="Tw Cen MT"/>
          <w:sz w:val="24"/>
          <w:szCs w:val="24"/>
        </w:rPr>
        <w:t>peluang untuk hamil semakin kecil</w:t>
      </w:r>
      <w:r>
        <w:rPr>
          <w:rFonts w:ascii="Tw Cen MT" w:hAnsi="Tw Cen MT"/>
          <w:sz w:val="24"/>
          <w:szCs w:val="24"/>
        </w:rPr>
        <w:t xml:space="preserve"> </w:t>
      </w:r>
      <w:r>
        <w:rPr>
          <w:rFonts w:ascii="Tw Cen MT" w:hAnsi="Tw Cen MT"/>
          <w:sz w:val="24"/>
          <w:szCs w:val="24"/>
        </w:rPr>
        <w:fldChar w:fldCharType="begin" w:fldLock="1"/>
      </w:r>
      <w:r w:rsidR="00F85F33">
        <w:rPr>
          <w:rFonts w:ascii="Tw Cen MT" w:hAnsi="Tw Cen MT"/>
          <w:sz w:val="24"/>
          <w:szCs w:val="24"/>
        </w:rPr>
        <w:instrText>ADDIN CSL_CITATION {"citationItems":[{"id":"ITEM-1","itemData":{"DOI":"10.15294/ujph.v5i2.10106","ISSN":"2252-6781","abstract":"Abstrak\r  \r Kejadian preeklampsia di Kabupaten Brebes meningkat dari tahun ke tahun. Pada tahun 2011 sebanyak 215 kasus (1.547 persalinan), tahun 2012 sebanyak 170 kasus (1.957 persalinan), tahun 2013 sebanyak 225 kasus (1.811 persalinan) dan tahun 2014 sampai dengan bulan September sebanyak 180 kasus (1.316 persalinan). Tujuan penelitian ini adalah mengetahui faktor risiko yang berhubungan dengan kejadian preeklampsia pada ibu hamil di RSUD Kabupaten Brebes tahun 2014. Jenis penelitian ini adalah survey analitik dengan pendekatan case control . Sampel sejumlah 145 orang untuk masing-masing kelompok kasus dan kontrol yang diamb</w:instrText>
      </w:r>
      <w:r w:rsidR="00F85F33">
        <w:rPr>
          <w:rFonts w:ascii="Tw Cen MT" w:hAnsi="Tw Cen MT" w:hint="eastAsia"/>
          <w:sz w:val="24"/>
          <w:szCs w:val="24"/>
        </w:rPr>
        <w:instrText>il dengan teknik simple random sampling. Analisis data menggunakan uji chi square dengan derajat kemaknaan (</w:instrText>
      </w:r>
      <w:r w:rsidR="00F85F33">
        <w:rPr>
          <w:rFonts w:ascii="Tw Cen MT" w:hAnsi="Tw Cen MT" w:hint="eastAsia"/>
          <w:sz w:val="24"/>
          <w:szCs w:val="24"/>
        </w:rPr>
        <w:instrText>α</w:instrText>
      </w:r>
      <w:r w:rsidR="00F85F33">
        <w:rPr>
          <w:rFonts w:ascii="Tw Cen MT" w:hAnsi="Tw Cen MT" w:hint="eastAsia"/>
          <w:sz w:val="24"/>
          <w:szCs w:val="24"/>
        </w:rPr>
        <w:instrText>) = 0,05. Hasil penelitian menunujukan bahwa faktor risiko yang berhubungan dengan kejadian preeklampsia adalah umur (p value = 0,0001; OR = 15,73</w:instrText>
      </w:r>
      <w:r w:rsidR="00F85F33">
        <w:rPr>
          <w:rFonts w:ascii="Tw Cen MT" w:hAnsi="Tw Cen MT"/>
          <w:sz w:val="24"/>
          <w:szCs w:val="24"/>
        </w:rPr>
        <w:instrText>1), status gravida (p value = 0,009; OR = 2,173), riwayat keturunan ( p value = 0,033; OR = 2,618), pemeriksaan antenatal ( p value = 0,0001; OR = 17,111), riwayat preeklampsia (p value = 0,0001; OR = 20,529), riwayat hipertensi ( p value = 0,0001; OR = 6,026). Variabel yang tidak berhubungan adalah jenis pekerjaan, tingkat pendidikan, riwayat diabetes mellitus, dan riwayat kehamilan ganda.\r  \r Abstract\r  \r The incidence of preeclampsia in Brebes District was increasing from year to year. In 2011 there were 215 cases\r (1,547 births), in 2012 there were 170 cases (1,957 births), in 2013 there were 225 cases (1,811 births) and until September 2014 there were 180 cases (2,316 births). The purpose of this research was to determine the risk factors associated with the incidence of preeclampsia in pregnant women from Brebes district hospital in 2014. This research was an analytical survey with case control approach. The total sample was 145 people for each case and control group which was taken with simple</w:instrText>
      </w:r>
      <w:r w:rsidR="00F85F33">
        <w:rPr>
          <w:rFonts w:ascii="Tw Cen MT" w:hAnsi="Tw Cen MT" w:hint="eastAsia"/>
          <w:sz w:val="24"/>
          <w:szCs w:val="24"/>
        </w:rPr>
        <w:instrText xml:space="preserve"> random sampling technique. The data was analyzed using chi-square test with </w:instrText>
      </w:r>
      <w:r w:rsidR="00F85F33">
        <w:rPr>
          <w:rFonts w:ascii="Tw Cen MT" w:hAnsi="Tw Cen MT" w:hint="eastAsia"/>
          <w:sz w:val="24"/>
          <w:szCs w:val="24"/>
        </w:rPr>
        <w:instrText>α</w:instrText>
      </w:r>
      <w:r w:rsidR="00F85F33">
        <w:rPr>
          <w:rFonts w:ascii="Tw Cen MT" w:hAnsi="Tw Cen MT" w:hint="eastAsia"/>
          <w:sz w:val="24"/>
          <w:szCs w:val="24"/>
        </w:rPr>
        <w:instrText xml:space="preserve"> = 0,05. The results of this research showed that the risk factors associated with the incidence of preeclampsia was age (p value = 0,0001; OR = 15,731), gravida status (p value</w:instrText>
      </w:r>
      <w:r w:rsidR="00F85F33">
        <w:rPr>
          <w:rFonts w:ascii="Tw Cen MT" w:hAnsi="Tw Cen MT"/>
          <w:sz w:val="24"/>
          <w:szCs w:val="24"/>
        </w:rPr>
        <w:instrText xml:space="preserve"> = 0,009; OR = 2,173), heredity\r profile (p value = 0,033; OR = 2,618), antenatal examination (p value = 0,0001; OR = 17,111), history of preeclampsia (p value = 0,0001; OR = 20,529), history of hypertension (p value = 0,0001; OR = 6,026). The variables that were not related was the type of work, level of education, history of diabetes…","author":[{"dropping-particle":"","family":"Saraswati","given":"Nuning","non-dropping-particle":"","parse-names":false,"suffix":""},{"dropping-particle":"","family":"Mardiana","given":"Mardiana","non-dropping-particle":"","parse-names":false,"suffix":""}],"container-title":"Unnes Journal of Public Health","id":"ITEM-1","issue":"2","issued":{"date-parts":[["2016"]]},"page":"90","title":"Faktor Risiko Yang Berhubungan Dengan Kejadian Preeklampsia Pada Ibu Hamil (Studi Kasus Di Rsud Kabupaten Brebes Tahun 2014)","type":"article-journal","volume":"5"},"uris":["http://www.mendeley.com/documents/?uuid=4976d3c0-dd1b-4922-8ebe-e167c079430d"]}],"mendeley":{"formattedCitation":"[12]","plainTextFormattedCitation":"[12]","previouslyFormattedCitation":"[12]"},"properties":{"noteIndex":0},"schema":"https://github.com/citation-style-language/schema/raw/master/csl-citation.json"}</w:instrText>
      </w:r>
      <w:r>
        <w:rPr>
          <w:rFonts w:ascii="Tw Cen MT" w:hAnsi="Tw Cen MT"/>
          <w:sz w:val="24"/>
          <w:szCs w:val="24"/>
        </w:rPr>
        <w:fldChar w:fldCharType="separate"/>
      </w:r>
      <w:r w:rsidRPr="008A5571">
        <w:rPr>
          <w:rFonts w:ascii="Tw Cen MT" w:hAnsi="Tw Cen MT"/>
          <w:noProof/>
          <w:sz w:val="24"/>
          <w:szCs w:val="24"/>
        </w:rPr>
        <w:t>[12]</w:t>
      </w:r>
      <w:r>
        <w:rPr>
          <w:rFonts w:ascii="Tw Cen MT" w:hAnsi="Tw Cen MT"/>
          <w:sz w:val="24"/>
          <w:szCs w:val="24"/>
        </w:rPr>
        <w:fldChar w:fldCharType="end"/>
      </w:r>
      <w:r>
        <w:rPr>
          <w:rFonts w:ascii="Tw Cen MT" w:hAnsi="Tw Cen MT"/>
          <w:sz w:val="24"/>
          <w:szCs w:val="24"/>
        </w:rPr>
        <w:t>.</w:t>
      </w:r>
      <w:r w:rsidR="00F85F33">
        <w:rPr>
          <w:rFonts w:ascii="Tw Cen MT" w:hAnsi="Tw Cen MT"/>
          <w:sz w:val="24"/>
          <w:szCs w:val="24"/>
        </w:rPr>
        <w:t xml:space="preserve"> </w:t>
      </w:r>
      <w:r w:rsidR="00F85F33" w:rsidRPr="005039E3">
        <w:rPr>
          <w:rFonts w:ascii="Tw Cen MT" w:hAnsi="Tw Cen MT"/>
          <w:sz w:val="24"/>
          <w:szCs w:val="24"/>
        </w:rPr>
        <w:t>Dengan tingginya kemungkinan terjadinya</w:t>
      </w:r>
      <w:r w:rsidR="00F85F33">
        <w:rPr>
          <w:rFonts w:ascii="Tw Cen MT" w:hAnsi="Tw Cen MT"/>
          <w:sz w:val="24"/>
          <w:szCs w:val="24"/>
        </w:rPr>
        <w:t xml:space="preserve"> </w:t>
      </w:r>
      <w:r w:rsidR="00F85F33" w:rsidRPr="005039E3">
        <w:rPr>
          <w:rFonts w:ascii="Tw Cen MT" w:hAnsi="Tw Cen MT"/>
          <w:sz w:val="24"/>
          <w:szCs w:val="24"/>
        </w:rPr>
        <w:t>kehamilan resiko tinggi pada usia &lt;20</w:t>
      </w:r>
      <w:r w:rsidR="00F85F33">
        <w:rPr>
          <w:rFonts w:ascii="Tw Cen MT" w:hAnsi="Tw Cen MT"/>
          <w:sz w:val="24"/>
          <w:szCs w:val="24"/>
        </w:rPr>
        <w:t xml:space="preserve"> </w:t>
      </w:r>
      <w:r w:rsidR="00F85F33" w:rsidRPr="005039E3">
        <w:rPr>
          <w:rFonts w:ascii="Tw Cen MT" w:hAnsi="Tw Cen MT"/>
          <w:sz w:val="24"/>
          <w:szCs w:val="24"/>
        </w:rPr>
        <w:t>tahun dan &gt;35 tahun maka anjuran untuk</w:t>
      </w:r>
      <w:r w:rsidR="00F85F33">
        <w:rPr>
          <w:rFonts w:ascii="Tw Cen MT" w:hAnsi="Tw Cen MT"/>
          <w:sz w:val="24"/>
          <w:szCs w:val="24"/>
        </w:rPr>
        <w:t xml:space="preserve"> </w:t>
      </w:r>
      <w:r w:rsidR="00F85F33" w:rsidRPr="005039E3">
        <w:rPr>
          <w:rFonts w:ascii="Tw Cen MT" w:hAnsi="Tw Cen MT"/>
          <w:sz w:val="24"/>
          <w:szCs w:val="24"/>
        </w:rPr>
        <w:t xml:space="preserve">hamil </w:t>
      </w:r>
      <w:proofErr w:type="spellStart"/>
      <w:r w:rsidR="00F85F33" w:rsidRPr="005039E3">
        <w:rPr>
          <w:rFonts w:ascii="Tw Cen MT" w:hAnsi="Tw Cen MT"/>
          <w:sz w:val="24"/>
          <w:szCs w:val="24"/>
        </w:rPr>
        <w:t>diusia</w:t>
      </w:r>
      <w:proofErr w:type="spellEnd"/>
      <w:r w:rsidR="00F85F33" w:rsidRPr="005039E3">
        <w:rPr>
          <w:rFonts w:ascii="Tw Cen MT" w:hAnsi="Tw Cen MT"/>
          <w:sz w:val="24"/>
          <w:szCs w:val="24"/>
        </w:rPr>
        <w:t xml:space="preserve"> yang paling aman sangat</w:t>
      </w:r>
      <w:r w:rsidR="00F85F33">
        <w:rPr>
          <w:rFonts w:ascii="Tw Cen MT" w:hAnsi="Tw Cen MT"/>
          <w:sz w:val="24"/>
          <w:szCs w:val="24"/>
        </w:rPr>
        <w:t xml:space="preserve"> </w:t>
      </w:r>
      <w:r w:rsidR="00F85F33" w:rsidRPr="005039E3">
        <w:rPr>
          <w:rFonts w:ascii="Tw Cen MT" w:hAnsi="Tw Cen MT"/>
          <w:sz w:val="24"/>
          <w:szCs w:val="24"/>
        </w:rPr>
        <w:t>diperlukan yaitu pada usia 20-35 tahun.</w:t>
      </w:r>
      <w:r w:rsidR="00F85F33">
        <w:rPr>
          <w:rFonts w:ascii="Tw Cen MT" w:hAnsi="Tw Cen MT"/>
          <w:sz w:val="24"/>
          <w:szCs w:val="24"/>
        </w:rPr>
        <w:t xml:space="preserve"> </w:t>
      </w:r>
      <w:r w:rsidR="00F85F33" w:rsidRPr="005039E3">
        <w:rPr>
          <w:rFonts w:ascii="Tw Cen MT" w:hAnsi="Tw Cen MT"/>
          <w:sz w:val="24"/>
          <w:szCs w:val="24"/>
        </w:rPr>
        <w:t>Tetapi usia 20-35 tahun tetap harus</w:t>
      </w:r>
      <w:r w:rsidR="00F85F33">
        <w:rPr>
          <w:rFonts w:ascii="Tw Cen MT" w:hAnsi="Tw Cen MT"/>
          <w:sz w:val="24"/>
          <w:szCs w:val="24"/>
        </w:rPr>
        <w:t xml:space="preserve"> </w:t>
      </w:r>
      <w:r w:rsidR="00F85F33" w:rsidRPr="005039E3">
        <w:rPr>
          <w:rFonts w:ascii="Tw Cen MT" w:hAnsi="Tw Cen MT"/>
          <w:sz w:val="24"/>
          <w:szCs w:val="24"/>
        </w:rPr>
        <w:t>melakukan deteksi dini karena kehamilan</w:t>
      </w:r>
      <w:r w:rsidR="00F85F33">
        <w:rPr>
          <w:rFonts w:ascii="Tw Cen MT" w:hAnsi="Tw Cen MT"/>
          <w:sz w:val="24"/>
          <w:szCs w:val="24"/>
        </w:rPr>
        <w:t xml:space="preserve"> </w:t>
      </w:r>
      <w:r w:rsidR="00F85F33" w:rsidRPr="005039E3">
        <w:rPr>
          <w:rFonts w:ascii="Tw Cen MT" w:hAnsi="Tw Cen MT"/>
          <w:sz w:val="24"/>
          <w:szCs w:val="24"/>
        </w:rPr>
        <w:t>resiko tinggi banyak faktor yang</w:t>
      </w:r>
      <w:r w:rsidR="00494B6E">
        <w:rPr>
          <w:rFonts w:ascii="Tw Cen MT" w:hAnsi="Tw Cen MT"/>
          <w:sz w:val="24"/>
          <w:szCs w:val="24"/>
        </w:rPr>
        <w:t xml:space="preserve"> </w:t>
      </w:r>
      <w:r w:rsidR="00F85F33" w:rsidRPr="005039E3">
        <w:rPr>
          <w:rFonts w:ascii="Tw Cen MT" w:hAnsi="Tw Cen MT"/>
          <w:sz w:val="24"/>
          <w:szCs w:val="24"/>
        </w:rPr>
        <w:t>mempengaruhi seperti jarak kehamilan,</w:t>
      </w:r>
      <w:r w:rsidR="00F85F33">
        <w:rPr>
          <w:rFonts w:ascii="Tw Cen MT" w:hAnsi="Tw Cen MT"/>
          <w:sz w:val="24"/>
          <w:szCs w:val="24"/>
        </w:rPr>
        <w:t xml:space="preserve"> </w:t>
      </w:r>
      <w:r w:rsidR="00F85F33" w:rsidRPr="005039E3">
        <w:rPr>
          <w:rFonts w:ascii="Tw Cen MT" w:hAnsi="Tw Cen MT"/>
          <w:sz w:val="24"/>
          <w:szCs w:val="24"/>
        </w:rPr>
        <w:t>faktor penyakit penyerta, sosial ekonomi,</w:t>
      </w:r>
      <w:r w:rsidR="00F85F33">
        <w:rPr>
          <w:rFonts w:ascii="Tw Cen MT" w:hAnsi="Tw Cen MT"/>
          <w:sz w:val="24"/>
          <w:szCs w:val="24"/>
        </w:rPr>
        <w:t xml:space="preserve"> </w:t>
      </w:r>
      <w:r w:rsidR="00F85F33" w:rsidRPr="005039E3">
        <w:rPr>
          <w:rFonts w:ascii="Tw Cen MT" w:hAnsi="Tw Cen MT"/>
          <w:sz w:val="24"/>
          <w:szCs w:val="24"/>
        </w:rPr>
        <w:t>riwayat kehamilan sebelumnya</w:t>
      </w:r>
      <w:r w:rsidR="00F85F33">
        <w:rPr>
          <w:rFonts w:ascii="Tw Cen MT" w:hAnsi="Tw Cen MT"/>
          <w:sz w:val="24"/>
          <w:szCs w:val="24"/>
        </w:rPr>
        <w:t xml:space="preserve"> </w:t>
      </w:r>
      <w:r w:rsidR="00F85F33">
        <w:rPr>
          <w:rFonts w:ascii="Tw Cen MT" w:hAnsi="Tw Cen MT"/>
          <w:sz w:val="24"/>
          <w:szCs w:val="24"/>
        </w:rPr>
        <w:fldChar w:fldCharType="begin" w:fldLock="1"/>
      </w:r>
      <w:r w:rsidR="00FB41E7">
        <w:rPr>
          <w:rFonts w:ascii="Tw Cen MT" w:hAnsi="Tw Cen MT"/>
          <w:sz w:val="24"/>
          <w:szCs w:val="24"/>
        </w:rPr>
        <w:instrText>ADDIN CSL_CITATION {"citationItems":[{"id":"ITEM-1","itemData":{"author":[{"dropping-particle":"","family":"Hartati","given":"Nurita","non-dropping-particle":"","parse-names":false,"suffix":""}],"id":"ITEM-1","issue":"3","issued":{"date-parts":[["2018"]]},"page":"34-41","title":"FAKTOR-FAKTOR YANG BERHUBUNGAN DENGAN RESIKO TINGGI DALAM KEHAMILAN PADA IBU HAMIL DI PUSKESMAS SUNGAI PANAS KOTA BATAM TAHUN 2017","type":"article-journal","volume":"8"},"uris":["http://www.mendeley.com/documents/?uuid=2bdf692a-aa45-4c62-b7ae-a9a5fa81dd1c"]}],"mendeley":{"formattedCitation":"[5]","plainTextFormattedCitation":"[5]","previouslyFormattedCitation":"[5]"},"properties":{"noteIndex":0},"schema":"https://github.com/citation-style-language/schema/raw/master/csl-citation.json"}</w:instrText>
      </w:r>
      <w:r w:rsidR="00F85F33">
        <w:rPr>
          <w:rFonts w:ascii="Tw Cen MT" w:hAnsi="Tw Cen MT"/>
          <w:sz w:val="24"/>
          <w:szCs w:val="24"/>
        </w:rPr>
        <w:fldChar w:fldCharType="separate"/>
      </w:r>
      <w:r w:rsidR="00F85F33" w:rsidRPr="00F85F33">
        <w:rPr>
          <w:rFonts w:ascii="Tw Cen MT" w:hAnsi="Tw Cen MT"/>
          <w:noProof/>
          <w:sz w:val="24"/>
          <w:szCs w:val="24"/>
        </w:rPr>
        <w:t>[5]</w:t>
      </w:r>
      <w:r w:rsidR="00F85F33">
        <w:rPr>
          <w:rFonts w:ascii="Tw Cen MT" w:hAnsi="Tw Cen MT"/>
          <w:sz w:val="24"/>
          <w:szCs w:val="24"/>
        </w:rPr>
        <w:fldChar w:fldCharType="end"/>
      </w:r>
      <w:r w:rsidR="00F85F33">
        <w:rPr>
          <w:rFonts w:ascii="Tw Cen MT" w:hAnsi="Tw Cen MT"/>
          <w:sz w:val="24"/>
          <w:szCs w:val="24"/>
        </w:rPr>
        <w:t>.</w:t>
      </w:r>
    </w:p>
    <w:p w14:paraId="72FFC295" w14:textId="5606F1CD" w:rsidR="00FB41E7" w:rsidRPr="005E2C5A" w:rsidRDefault="00FB41E7" w:rsidP="00FB41E7">
      <w:pPr>
        <w:spacing w:after="0" w:line="240" w:lineRule="auto"/>
        <w:ind w:firstLine="567"/>
        <w:jc w:val="both"/>
        <w:rPr>
          <w:rFonts w:ascii="Tw Cen MT" w:hAnsi="Tw Cen MT"/>
          <w:sz w:val="24"/>
          <w:szCs w:val="24"/>
        </w:rPr>
      </w:pPr>
      <w:r w:rsidRPr="005E2C5A">
        <w:rPr>
          <w:rFonts w:ascii="Tw Cen MT" w:hAnsi="Tw Cen MT"/>
          <w:sz w:val="24"/>
          <w:szCs w:val="24"/>
        </w:rPr>
        <w:t>Semakin banyak pendidikan yang didapat</w:t>
      </w:r>
      <w:r>
        <w:rPr>
          <w:rFonts w:ascii="Tw Cen MT" w:hAnsi="Tw Cen MT"/>
          <w:sz w:val="24"/>
          <w:szCs w:val="24"/>
        </w:rPr>
        <w:t xml:space="preserve"> </w:t>
      </w:r>
      <w:r w:rsidRPr="005E2C5A">
        <w:rPr>
          <w:rFonts w:ascii="Tw Cen MT" w:hAnsi="Tw Cen MT"/>
          <w:sz w:val="24"/>
          <w:szCs w:val="24"/>
        </w:rPr>
        <w:t>seseorang, maka kedewasaannya semakin matang,</w:t>
      </w:r>
      <w:r>
        <w:rPr>
          <w:rFonts w:ascii="Tw Cen MT" w:hAnsi="Tw Cen MT"/>
          <w:sz w:val="24"/>
          <w:szCs w:val="24"/>
        </w:rPr>
        <w:t xml:space="preserve"> </w:t>
      </w:r>
      <w:r w:rsidRPr="005E2C5A">
        <w:rPr>
          <w:rFonts w:ascii="Tw Cen MT" w:hAnsi="Tw Cen MT"/>
          <w:sz w:val="24"/>
          <w:szCs w:val="24"/>
        </w:rPr>
        <w:t>mereka dengan mudah untuk menerima dan</w:t>
      </w:r>
      <w:r>
        <w:rPr>
          <w:rFonts w:ascii="Tw Cen MT" w:hAnsi="Tw Cen MT"/>
          <w:sz w:val="24"/>
          <w:szCs w:val="24"/>
        </w:rPr>
        <w:t xml:space="preserve"> </w:t>
      </w:r>
      <w:r w:rsidRPr="005E2C5A">
        <w:rPr>
          <w:rFonts w:ascii="Tw Cen MT" w:hAnsi="Tw Cen MT"/>
          <w:sz w:val="24"/>
          <w:szCs w:val="24"/>
        </w:rPr>
        <w:t>memahami suatu informasi yang positif. Kaitannya</w:t>
      </w:r>
      <w:r>
        <w:rPr>
          <w:rFonts w:ascii="Tw Cen MT" w:hAnsi="Tw Cen MT"/>
          <w:sz w:val="24"/>
          <w:szCs w:val="24"/>
        </w:rPr>
        <w:t xml:space="preserve"> </w:t>
      </w:r>
      <w:r w:rsidRPr="005E2C5A">
        <w:rPr>
          <w:rFonts w:ascii="Tw Cen MT" w:hAnsi="Tw Cen MT"/>
          <w:sz w:val="24"/>
          <w:szCs w:val="24"/>
        </w:rPr>
        <w:t>dengan masalah kesehatan, dari buku safe motherhood</w:t>
      </w:r>
      <w:r>
        <w:rPr>
          <w:rFonts w:ascii="Tw Cen MT" w:hAnsi="Tw Cen MT"/>
          <w:sz w:val="24"/>
          <w:szCs w:val="24"/>
        </w:rPr>
        <w:t xml:space="preserve"> </w:t>
      </w:r>
      <w:r w:rsidRPr="005E2C5A">
        <w:rPr>
          <w:rFonts w:ascii="Tw Cen MT" w:hAnsi="Tw Cen MT"/>
          <w:sz w:val="24"/>
          <w:szCs w:val="24"/>
        </w:rPr>
        <w:t>menyebutkan bahwa wanita yang mempunyai</w:t>
      </w:r>
      <w:r>
        <w:rPr>
          <w:rFonts w:ascii="Tw Cen MT" w:hAnsi="Tw Cen MT"/>
          <w:sz w:val="24"/>
          <w:szCs w:val="24"/>
        </w:rPr>
        <w:t xml:space="preserve"> </w:t>
      </w:r>
      <w:r w:rsidRPr="005E2C5A">
        <w:rPr>
          <w:rFonts w:ascii="Tw Cen MT" w:hAnsi="Tw Cen MT"/>
          <w:sz w:val="24"/>
          <w:szCs w:val="24"/>
        </w:rPr>
        <w:t xml:space="preserve">pendidikan </w:t>
      </w:r>
      <w:r>
        <w:rPr>
          <w:rFonts w:ascii="Tw Cen MT" w:hAnsi="Tw Cen MT"/>
          <w:sz w:val="24"/>
          <w:szCs w:val="24"/>
        </w:rPr>
        <w:t xml:space="preserve"> </w:t>
      </w:r>
      <w:r w:rsidRPr="005E2C5A">
        <w:rPr>
          <w:rFonts w:ascii="Tw Cen MT" w:hAnsi="Tw Cen MT"/>
          <w:sz w:val="24"/>
          <w:szCs w:val="24"/>
        </w:rPr>
        <w:t xml:space="preserve">lebih </w:t>
      </w:r>
      <w:r>
        <w:rPr>
          <w:rFonts w:ascii="Tw Cen MT" w:hAnsi="Tw Cen MT"/>
          <w:sz w:val="24"/>
          <w:szCs w:val="24"/>
        </w:rPr>
        <w:t xml:space="preserve"> </w:t>
      </w:r>
      <w:r w:rsidRPr="005E2C5A">
        <w:rPr>
          <w:rFonts w:ascii="Tw Cen MT" w:hAnsi="Tw Cen MT"/>
          <w:sz w:val="24"/>
          <w:szCs w:val="24"/>
        </w:rPr>
        <w:t xml:space="preserve">tinggi cenderung </w:t>
      </w:r>
      <w:r>
        <w:rPr>
          <w:rFonts w:ascii="Tw Cen MT" w:hAnsi="Tw Cen MT"/>
          <w:sz w:val="24"/>
          <w:szCs w:val="24"/>
        </w:rPr>
        <w:t xml:space="preserve"> </w:t>
      </w:r>
      <w:r w:rsidRPr="005E2C5A">
        <w:rPr>
          <w:rFonts w:ascii="Tw Cen MT" w:hAnsi="Tw Cen MT"/>
          <w:sz w:val="24"/>
          <w:szCs w:val="24"/>
        </w:rPr>
        <w:t xml:space="preserve">lebih </w:t>
      </w:r>
      <w:r>
        <w:rPr>
          <w:rFonts w:ascii="Tw Cen MT" w:hAnsi="Tw Cen MT"/>
          <w:sz w:val="24"/>
          <w:szCs w:val="24"/>
        </w:rPr>
        <w:t xml:space="preserve"> </w:t>
      </w:r>
      <w:r w:rsidRPr="005E2C5A">
        <w:rPr>
          <w:rFonts w:ascii="Tw Cen MT" w:hAnsi="Tw Cen MT"/>
          <w:sz w:val="24"/>
          <w:szCs w:val="24"/>
        </w:rPr>
        <w:t xml:space="preserve">memperhatikan kesehatan dirinya. Tingkat </w:t>
      </w:r>
      <w:r>
        <w:rPr>
          <w:rFonts w:ascii="Tw Cen MT" w:hAnsi="Tw Cen MT"/>
          <w:sz w:val="24"/>
          <w:szCs w:val="24"/>
        </w:rPr>
        <w:t xml:space="preserve">Pendidikan </w:t>
      </w:r>
      <w:r w:rsidRPr="005E2C5A">
        <w:rPr>
          <w:rFonts w:ascii="Tw Cen MT" w:hAnsi="Tw Cen MT"/>
          <w:sz w:val="24"/>
          <w:szCs w:val="24"/>
        </w:rPr>
        <w:t>sangat mempengaruhi bagaimana seseorang untuk</w:t>
      </w:r>
      <w:r>
        <w:rPr>
          <w:rFonts w:ascii="Tw Cen MT" w:hAnsi="Tw Cen MT"/>
          <w:sz w:val="24"/>
          <w:szCs w:val="24"/>
        </w:rPr>
        <w:t xml:space="preserve"> </w:t>
      </w:r>
      <w:r w:rsidRPr="005E2C5A">
        <w:rPr>
          <w:rFonts w:ascii="Tw Cen MT" w:hAnsi="Tw Cen MT"/>
          <w:sz w:val="24"/>
          <w:szCs w:val="24"/>
        </w:rPr>
        <w:t>bertindak dan mencari penyebab serta solusi dalam</w:t>
      </w:r>
      <w:r>
        <w:rPr>
          <w:rFonts w:ascii="Tw Cen MT" w:hAnsi="Tw Cen MT"/>
          <w:sz w:val="24"/>
          <w:szCs w:val="24"/>
        </w:rPr>
        <w:t xml:space="preserve"> </w:t>
      </w:r>
      <w:r w:rsidRPr="005E2C5A">
        <w:rPr>
          <w:rFonts w:ascii="Tw Cen MT" w:hAnsi="Tw Cen MT"/>
          <w:sz w:val="24"/>
          <w:szCs w:val="24"/>
        </w:rPr>
        <w:t>hidupnya. Orang yang berpendidikan tinggi biasanya</w:t>
      </w:r>
      <w:r>
        <w:rPr>
          <w:rFonts w:ascii="Tw Cen MT" w:hAnsi="Tw Cen MT"/>
          <w:sz w:val="24"/>
          <w:szCs w:val="24"/>
        </w:rPr>
        <w:t xml:space="preserve"> </w:t>
      </w:r>
      <w:r w:rsidRPr="005E2C5A">
        <w:rPr>
          <w:rFonts w:ascii="Tw Cen MT" w:hAnsi="Tw Cen MT"/>
          <w:sz w:val="24"/>
          <w:szCs w:val="24"/>
        </w:rPr>
        <w:t>akan bertindak lebih rasional. Oleh karena itu orang</w:t>
      </w:r>
      <w:r>
        <w:rPr>
          <w:rFonts w:ascii="Tw Cen MT" w:hAnsi="Tw Cen MT"/>
          <w:sz w:val="24"/>
          <w:szCs w:val="24"/>
        </w:rPr>
        <w:t xml:space="preserve"> </w:t>
      </w:r>
      <w:r w:rsidRPr="005E2C5A">
        <w:rPr>
          <w:rFonts w:ascii="Tw Cen MT" w:hAnsi="Tw Cen MT"/>
          <w:sz w:val="24"/>
          <w:szCs w:val="24"/>
        </w:rPr>
        <w:t>yang berpendidikan akan lebih mudah menerima</w:t>
      </w:r>
      <w:r>
        <w:rPr>
          <w:rFonts w:ascii="Tw Cen MT" w:hAnsi="Tw Cen MT"/>
          <w:sz w:val="24"/>
          <w:szCs w:val="24"/>
        </w:rPr>
        <w:t xml:space="preserve"> </w:t>
      </w:r>
      <w:r w:rsidRPr="005E2C5A">
        <w:rPr>
          <w:rFonts w:ascii="Tw Cen MT" w:hAnsi="Tw Cen MT"/>
          <w:sz w:val="24"/>
          <w:szCs w:val="24"/>
        </w:rPr>
        <w:t>gagasan baru</w:t>
      </w:r>
      <w:r>
        <w:rPr>
          <w:rFonts w:ascii="Tw Cen MT" w:hAnsi="Tw Cen MT"/>
          <w:sz w:val="24"/>
          <w:szCs w:val="24"/>
        </w:rPr>
        <w:t xml:space="preserve"> </w:t>
      </w:r>
      <w:r>
        <w:rPr>
          <w:rFonts w:ascii="Tw Cen MT" w:hAnsi="Tw Cen MT"/>
          <w:sz w:val="24"/>
          <w:szCs w:val="24"/>
        </w:rPr>
        <w:fldChar w:fldCharType="begin" w:fldLock="1"/>
      </w:r>
      <w:r w:rsidR="00664174">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[13]","plainTextFormattedCitation":"[13]","previouslyFormattedCitation":"[13]"},"properties":{"noteIndex":0},"schema":"https://github.com/citation-style-language/schema/raw/master/csl-citation.json"}</w:instrText>
      </w:r>
      <w:r>
        <w:rPr>
          <w:rFonts w:ascii="Tw Cen MT" w:hAnsi="Tw Cen MT"/>
          <w:sz w:val="24"/>
          <w:szCs w:val="24"/>
        </w:rPr>
        <w:fldChar w:fldCharType="separate"/>
      </w:r>
      <w:r w:rsidRPr="00FB41E7">
        <w:rPr>
          <w:rFonts w:ascii="Tw Cen MT" w:hAnsi="Tw Cen MT"/>
          <w:noProof/>
          <w:sz w:val="24"/>
          <w:szCs w:val="24"/>
        </w:rPr>
        <w:t>[13]</w:t>
      </w:r>
      <w:r>
        <w:rPr>
          <w:rFonts w:ascii="Tw Cen MT" w:hAnsi="Tw Cen MT"/>
          <w:sz w:val="24"/>
          <w:szCs w:val="24"/>
        </w:rPr>
        <w:fldChar w:fldCharType="end"/>
      </w:r>
      <w:r>
        <w:rPr>
          <w:rFonts w:ascii="Tw Cen MT" w:hAnsi="Tw Cen MT"/>
          <w:sz w:val="24"/>
          <w:szCs w:val="24"/>
        </w:rPr>
        <w:t>.</w:t>
      </w:r>
    </w:p>
    <w:p w14:paraId="68256CF0" w14:textId="79580AC9" w:rsidR="00664174" w:rsidRPr="005E2C5A" w:rsidRDefault="00664174" w:rsidP="00664174">
      <w:pPr>
        <w:tabs>
          <w:tab w:val="left" w:pos="567"/>
        </w:tabs>
        <w:spacing w:after="0" w:line="240" w:lineRule="auto"/>
        <w:ind w:firstLine="567"/>
        <w:jc w:val="both"/>
        <w:rPr>
          <w:rFonts w:ascii="Tw Cen MT" w:hAnsi="Tw Cen MT"/>
          <w:sz w:val="24"/>
          <w:szCs w:val="24"/>
        </w:rPr>
      </w:pPr>
      <w:r w:rsidRPr="000B5D15">
        <w:rPr>
          <w:rFonts w:ascii="Tw Cen MT" w:hAnsi="Tw Cen MT"/>
          <w:sz w:val="24"/>
          <w:szCs w:val="24"/>
        </w:rPr>
        <w:t>Aktifitas</w:t>
      </w:r>
      <w:r>
        <w:rPr>
          <w:rFonts w:ascii="Tw Cen MT" w:hAnsi="Tw Cen MT"/>
          <w:sz w:val="24"/>
          <w:szCs w:val="24"/>
        </w:rPr>
        <w:t xml:space="preserve"> </w:t>
      </w:r>
      <w:r w:rsidRPr="000B5D15">
        <w:rPr>
          <w:rFonts w:ascii="Tw Cen MT" w:hAnsi="Tw Cen MT"/>
          <w:sz w:val="24"/>
          <w:szCs w:val="24"/>
        </w:rPr>
        <w:t>pekerjaan seseorang dapat mempengaruhi kerja otot</w:t>
      </w:r>
      <w:r>
        <w:rPr>
          <w:rFonts w:ascii="Tw Cen MT" w:hAnsi="Tw Cen MT"/>
          <w:sz w:val="24"/>
          <w:szCs w:val="24"/>
        </w:rPr>
        <w:t xml:space="preserve"> </w:t>
      </w:r>
      <w:r w:rsidRPr="000B5D15">
        <w:rPr>
          <w:rFonts w:ascii="Tw Cen MT" w:hAnsi="Tw Cen MT"/>
          <w:sz w:val="24"/>
          <w:szCs w:val="24"/>
        </w:rPr>
        <w:t>dan peredaran darah. Begitu juga bila terjadi pada</w:t>
      </w:r>
      <w:r>
        <w:rPr>
          <w:rFonts w:ascii="Tw Cen MT" w:hAnsi="Tw Cen MT"/>
          <w:sz w:val="24"/>
          <w:szCs w:val="24"/>
        </w:rPr>
        <w:t xml:space="preserve"> </w:t>
      </w:r>
      <w:r w:rsidRPr="000B5D15">
        <w:rPr>
          <w:rFonts w:ascii="Tw Cen MT" w:hAnsi="Tw Cen MT"/>
          <w:sz w:val="24"/>
          <w:szCs w:val="24"/>
        </w:rPr>
        <w:t>seorang ibu hamil, dimana peredaran darah dalam</w:t>
      </w:r>
      <w:r>
        <w:rPr>
          <w:rFonts w:ascii="Tw Cen MT" w:hAnsi="Tw Cen MT"/>
          <w:sz w:val="24"/>
          <w:szCs w:val="24"/>
        </w:rPr>
        <w:t xml:space="preserve"> </w:t>
      </w:r>
      <w:r w:rsidRPr="000B5D15">
        <w:rPr>
          <w:rFonts w:ascii="Tw Cen MT" w:hAnsi="Tw Cen MT"/>
          <w:sz w:val="24"/>
          <w:szCs w:val="24"/>
        </w:rPr>
        <w:t>tubuh dapat terjadi perubahan seiring dengan</w:t>
      </w:r>
      <w:r>
        <w:rPr>
          <w:rFonts w:ascii="Tw Cen MT" w:hAnsi="Tw Cen MT"/>
          <w:sz w:val="24"/>
          <w:szCs w:val="24"/>
        </w:rPr>
        <w:t xml:space="preserve"> </w:t>
      </w:r>
      <w:r w:rsidRPr="000B5D15">
        <w:rPr>
          <w:rFonts w:ascii="Tw Cen MT" w:hAnsi="Tw Cen MT"/>
          <w:sz w:val="24"/>
          <w:szCs w:val="24"/>
        </w:rPr>
        <w:t>bertambahnya usia kehamilan akibat adanya tekanan</w:t>
      </w:r>
      <w:r>
        <w:rPr>
          <w:rFonts w:ascii="Tw Cen MT" w:hAnsi="Tw Cen MT"/>
          <w:sz w:val="24"/>
          <w:szCs w:val="24"/>
        </w:rPr>
        <w:t xml:space="preserve"> </w:t>
      </w:r>
      <w:r w:rsidRPr="000B5D15">
        <w:rPr>
          <w:rFonts w:ascii="Tw Cen MT" w:hAnsi="Tw Cen MT"/>
          <w:sz w:val="24"/>
          <w:szCs w:val="24"/>
        </w:rPr>
        <w:t>dari pembesaran rahim. Semakin bertambahnya usia</w:t>
      </w:r>
      <w:r>
        <w:rPr>
          <w:rFonts w:ascii="Tw Cen MT" w:hAnsi="Tw Cen MT"/>
          <w:sz w:val="24"/>
          <w:szCs w:val="24"/>
        </w:rPr>
        <w:t xml:space="preserve"> </w:t>
      </w:r>
      <w:r w:rsidRPr="000B5D15">
        <w:rPr>
          <w:rFonts w:ascii="Tw Cen MT" w:hAnsi="Tw Cen MT"/>
          <w:sz w:val="24"/>
          <w:szCs w:val="24"/>
        </w:rPr>
        <w:t>kehamilan akan berdampak pada konsekuensi kerja</w:t>
      </w:r>
      <w:r>
        <w:rPr>
          <w:rFonts w:ascii="Tw Cen MT" w:hAnsi="Tw Cen MT"/>
          <w:sz w:val="24"/>
          <w:szCs w:val="24"/>
        </w:rPr>
        <w:t xml:space="preserve"> </w:t>
      </w:r>
      <w:r w:rsidRPr="000B5D15">
        <w:rPr>
          <w:rFonts w:ascii="Tw Cen MT" w:hAnsi="Tw Cen MT"/>
          <w:sz w:val="24"/>
          <w:szCs w:val="24"/>
        </w:rPr>
        <w:t>jantung yang semakin bertambah dalam rangka</w:t>
      </w:r>
      <w:r>
        <w:rPr>
          <w:rFonts w:ascii="Tw Cen MT" w:hAnsi="Tw Cen MT"/>
          <w:sz w:val="24"/>
          <w:szCs w:val="24"/>
        </w:rPr>
        <w:t xml:space="preserve"> </w:t>
      </w:r>
      <w:r w:rsidRPr="000B5D15">
        <w:rPr>
          <w:rFonts w:ascii="Tw Cen MT" w:hAnsi="Tw Cen MT"/>
          <w:sz w:val="24"/>
          <w:szCs w:val="24"/>
        </w:rPr>
        <w:t>memenuhi kebutuhan selama proses kehamilan</w:t>
      </w:r>
      <w:r>
        <w:rPr>
          <w:rFonts w:ascii="Tw Cen MT" w:hAnsi="Tw Cen MT"/>
          <w:sz w:val="24"/>
          <w:szCs w:val="24"/>
        </w:rPr>
        <w:t xml:space="preserve">. </w:t>
      </w:r>
      <w:r w:rsidRPr="000B5D15">
        <w:rPr>
          <w:rFonts w:ascii="Tw Cen MT" w:hAnsi="Tw Cen MT"/>
          <w:sz w:val="24"/>
          <w:szCs w:val="24"/>
        </w:rPr>
        <w:t>Hal ini perlu direkomendasikan agar ibu hamil</w:t>
      </w:r>
      <w:r>
        <w:rPr>
          <w:rFonts w:ascii="Tw Cen MT" w:hAnsi="Tw Cen MT"/>
          <w:sz w:val="24"/>
          <w:szCs w:val="24"/>
        </w:rPr>
        <w:t xml:space="preserve"> </w:t>
      </w:r>
      <w:r w:rsidRPr="000B5D15">
        <w:rPr>
          <w:rFonts w:ascii="Tw Cen MT" w:hAnsi="Tw Cen MT"/>
          <w:sz w:val="24"/>
          <w:szCs w:val="24"/>
        </w:rPr>
        <w:t>yang bekerja, disamping melakukan kontrol yang ketat</w:t>
      </w:r>
      <w:r>
        <w:rPr>
          <w:rFonts w:ascii="Tw Cen MT" w:hAnsi="Tw Cen MT"/>
          <w:sz w:val="24"/>
          <w:szCs w:val="24"/>
        </w:rPr>
        <w:t xml:space="preserve"> </w:t>
      </w:r>
      <w:r w:rsidRPr="000B5D15">
        <w:rPr>
          <w:rFonts w:ascii="Tw Cen MT" w:hAnsi="Tw Cen MT"/>
          <w:sz w:val="24"/>
          <w:szCs w:val="24"/>
        </w:rPr>
        <w:t xml:space="preserve">selama kehamilan juga perlu </w:t>
      </w:r>
      <w:r w:rsidRPr="000B5D15">
        <w:rPr>
          <w:rFonts w:ascii="Tw Cen MT" w:hAnsi="Tw Cen MT"/>
          <w:sz w:val="24"/>
          <w:szCs w:val="24"/>
        </w:rPr>
        <w:lastRenderedPageBreak/>
        <w:t xml:space="preserve">mendapatkan </w:t>
      </w:r>
      <w:r>
        <w:rPr>
          <w:rFonts w:ascii="Tw Cen MT" w:hAnsi="Tw Cen MT"/>
          <w:sz w:val="24"/>
          <w:szCs w:val="24"/>
        </w:rPr>
        <w:t xml:space="preserve">Pendidikan </w:t>
      </w:r>
      <w:r w:rsidRPr="000B5D15">
        <w:rPr>
          <w:rFonts w:ascii="Tw Cen MT" w:hAnsi="Tw Cen MT"/>
          <w:sz w:val="24"/>
          <w:szCs w:val="24"/>
        </w:rPr>
        <w:t xml:space="preserve">kesehatan/ KIE tentang prilaku sehat </w:t>
      </w:r>
      <w:r>
        <w:rPr>
          <w:rFonts w:ascii="Tw Cen MT" w:hAnsi="Tw Cen MT"/>
          <w:sz w:val="24"/>
          <w:szCs w:val="24"/>
        </w:rPr>
        <w:t xml:space="preserve">sehingga dapat mencegah terjadinya resiko tinggi dalam kehamilan </w:t>
      </w:r>
      <w:r>
        <w:rPr>
          <w:rFonts w:ascii="Tw Cen MT" w:hAnsi="Tw Cen MT"/>
          <w:sz w:val="24"/>
          <w:szCs w:val="24"/>
        </w:rPr>
        <w:fldChar w:fldCharType="begin" w:fldLock="1"/>
      </w:r>
      <w:r w:rsidR="00082516">
        <w:rPr>
          <w:rFonts w:ascii="Tw Cen MT" w:hAnsi="Tw Cen MT"/>
          <w:sz w:val="24"/>
          <w:szCs w:val="24"/>
        </w:rPr>
        <w:instrText>ADDIN CSL_CITATION {"citationItems":[{"id":"ITEM-1","itemData":{"DOI":"10.25311/keskom.vol2.iss1.38","ISSN":"2088-7612","abstract":"Angka Kematian Ibu di Indonesia masih tinggi. Penyebab kematian ibu di Indonesia yaitu perdarahan (60-70 %), eklampsia (10-20 %), persalinan macet (5 %) dan infeksi (8 %). Pre-eklampsia merupakan awal terjadinya eklampsia. Preeklampsia adalah penyakit dengan tanda-tanda hipertensi, edema, dan proteinuria yang timbul karena kehamilan pre-eklampsia bisa terjadi karena beberapa faktor resiko antara lain primigravida, janin besar, kehamilan dengan janin lebih satu. Penelitian ini bertujuan untuk mengetahui faktor-faktor yang berhubungan dengan kejadian pre-eklampsia di RSUD Arifin Achmad Provinsi Riau Tahun 2010-2011. Disain penelitian adalah Studi Kasus Kontrol. Kasus pada penelitian ini seluruh wanita yang mengalami pre-eklampsia pada tahun 2010-2011. Kontrol pada penelitian ini seluruh wanita yang tidak mengalami preeklampsia pada tahun 2010-2011. Hasil penelitian didapatkan bahwa ibu yang memiliki riwayat pre-eklampsia 5 kali (CI 95% 2.3-10.8) lebih beresiko menyebabkan terjadinya pre-eklampsia, ibu yang bekerja 3.5 kali (CI 95% 2.4-5.2) lebih beresiko menyebabkan terjadinya pre-eklampsia, ibu yang berumur &lt;20 atau &gt; 35 tahun 3,2 kali (CI 95% 2.2-4.8) lebih beresiko menyebabkan terjadi pre-eklampsia, Ibu primigravida 3.2 kali (CI 95% 2.1-4.7) lebih beresiko menyebabkan terjadinya preeklampsia, ibu dengan pendidikan SLTP 2,3 kali (CI 95% 1.6-3.3) lebih beresiko menyebabkan terjadinya pre-eklampsia dibandingkan dengan pendidikan SLTA keatas. Kesimpulan yaitu variabel independen yang memiliki hubungan sebab akibat dengan kejadian pre-eklampsia adalah riwayat pre-eklampsia, pekerjaan, umur, status gravida dan pendidikan. Saran ditujukan bagi tenaga kesehatan untuk melakukan pemeriksaan secara komprehensif, dalam melakukan pengkajian serta pemeriksaan fisik, dan bagi ibu untuk dapat melakukan pemeriksaan ANC secara intensif, serta meningkatkan frekuensi pemeriksaan selama kehamilan.","author":[{"dropping-particle":"","family":"Andriyani","given":"Rika","non-dropping-particle":"","parse-names":false,"suffix":""}],"container-title":"Jurnal Kesehatan Komunitas","id":"ITEM-1","issue":"1","issued":{"date-parts":[["2012"]]},"page":"26-30","title":"Faktor Risiko Kejadian Pre-Eklampsia di RSUD Arifin Achmad","type":"article-journal","volume":"2"},"uris":["http://www.mendeley.com/documents/?uuid=2429de26-c1af-47a6-9c1e-f50a3cb7a196"]}],"mendeley":{"formattedCitation":"[13]","plainTextFormattedCitation":"[13]","previouslyFormattedCitation":"[13]"},"properties":{"noteIndex":0},"schema":"https://github.com/citation-style-language/schema/raw/master/csl-citation.json"}</w:instrText>
      </w:r>
      <w:r>
        <w:rPr>
          <w:rFonts w:ascii="Tw Cen MT" w:hAnsi="Tw Cen MT"/>
          <w:sz w:val="24"/>
          <w:szCs w:val="24"/>
        </w:rPr>
        <w:fldChar w:fldCharType="separate"/>
      </w:r>
      <w:r w:rsidRPr="00664174">
        <w:rPr>
          <w:rFonts w:ascii="Tw Cen MT" w:hAnsi="Tw Cen MT"/>
          <w:noProof/>
          <w:sz w:val="24"/>
          <w:szCs w:val="24"/>
        </w:rPr>
        <w:t>[13]</w:t>
      </w:r>
      <w:r>
        <w:rPr>
          <w:rFonts w:ascii="Tw Cen MT" w:hAnsi="Tw Cen MT"/>
          <w:sz w:val="24"/>
          <w:szCs w:val="24"/>
        </w:rPr>
        <w:fldChar w:fldCharType="end"/>
      </w:r>
      <w:r>
        <w:rPr>
          <w:rFonts w:ascii="Tw Cen MT" w:hAnsi="Tw Cen MT"/>
          <w:sz w:val="24"/>
          <w:szCs w:val="24"/>
        </w:rPr>
        <w:t>.</w:t>
      </w:r>
    </w:p>
    <w:p w14:paraId="773651C0" w14:textId="1106598B" w:rsidR="00082516" w:rsidRPr="008B50A0" w:rsidRDefault="00082516" w:rsidP="00082516">
      <w:pPr>
        <w:spacing w:after="0" w:line="240" w:lineRule="auto"/>
        <w:ind w:firstLine="567"/>
        <w:jc w:val="both"/>
        <w:rPr>
          <w:rFonts w:ascii="Tw Cen MT" w:hAnsi="Tw Cen MT"/>
          <w:sz w:val="24"/>
          <w:szCs w:val="24"/>
        </w:rPr>
      </w:pPr>
      <w:r>
        <w:rPr>
          <w:rFonts w:ascii="Tw Cen MT" w:hAnsi="Tw Cen MT"/>
          <w:sz w:val="24"/>
          <w:szCs w:val="24"/>
        </w:rPr>
        <w:t xml:space="preserve">Berdasarkan data yang didapatkan bahwa pengetahuan ibu hamil dengan kategori baik. </w:t>
      </w:r>
      <w:r w:rsidRPr="008B50A0">
        <w:rPr>
          <w:rFonts w:ascii="Tw Cen MT" w:hAnsi="Tw Cen MT"/>
          <w:sz w:val="24"/>
          <w:szCs w:val="24"/>
        </w:rPr>
        <w:t>Semakin tinggi pengetahuan ibu maka akan semakin tinggi</w:t>
      </w:r>
      <w:r>
        <w:rPr>
          <w:rFonts w:ascii="Tw Cen MT" w:hAnsi="Tw Cen MT"/>
          <w:sz w:val="24"/>
          <w:szCs w:val="24"/>
        </w:rPr>
        <w:t xml:space="preserve"> </w:t>
      </w:r>
      <w:r w:rsidRPr="008B50A0">
        <w:rPr>
          <w:rFonts w:ascii="Tw Cen MT" w:hAnsi="Tw Cen MT"/>
          <w:sz w:val="24"/>
          <w:szCs w:val="24"/>
        </w:rPr>
        <w:t>kesadaran ibu mengenai resiko tinggi kehamilan, begitupun sebaliknya semakin</w:t>
      </w:r>
      <w:r>
        <w:rPr>
          <w:rFonts w:ascii="Tw Cen MT" w:hAnsi="Tw Cen MT"/>
          <w:sz w:val="24"/>
          <w:szCs w:val="24"/>
        </w:rPr>
        <w:t xml:space="preserve"> </w:t>
      </w:r>
      <w:r w:rsidRPr="008B50A0">
        <w:rPr>
          <w:rFonts w:ascii="Tw Cen MT" w:hAnsi="Tw Cen MT"/>
          <w:sz w:val="24"/>
          <w:szCs w:val="24"/>
        </w:rPr>
        <w:t>kurang baik pengetahuan ibu, maka semakin rendah kesadaran ibu mengenai resiko</w:t>
      </w:r>
      <w:r>
        <w:rPr>
          <w:rFonts w:ascii="Tw Cen MT" w:hAnsi="Tw Cen MT"/>
          <w:sz w:val="24"/>
          <w:szCs w:val="24"/>
        </w:rPr>
        <w:t xml:space="preserve"> </w:t>
      </w:r>
      <w:r w:rsidRPr="008B50A0">
        <w:rPr>
          <w:rFonts w:ascii="Tw Cen MT" w:hAnsi="Tw Cen MT"/>
          <w:sz w:val="24"/>
          <w:szCs w:val="24"/>
        </w:rPr>
        <w:t>tinggi kehamilan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{"citationItems":[{"id":"ITEM-1","itemData":{"abstract":"Maternal Mortality Rate (AKI) by Indonesia Demographic and Health Survey in 2017,shows an AKI of 359 / 100,000 live births. Efforts to reduce MMR basically refers to strategic intervention Four Pillars of Save Motherhood, where one of them is access to pregnancy screening services whose quality still needs to be improved continuously. This study aims to determine Factors Associated With High Risk in Pregnant Women In Puskesmas Cibatu Bekasi Regency of West Java Province in 2017. The study was conducted using Cross Sectional approach. The population in this study is pregnant women, the sample used is the total sampling of 55 pregnant women. The data collected in this research is using primary data with questionnaire. The research analysis was done by univariate and bivariate technique using Chi Square Test. The result of the research was obtained by high knowledge pregnant women as much as 36 respondents (65,5%), pregnant mother earn &lt;UMR counted 35 people (63,6%), pregnant mother who get family support as much as 33 person (60,0%), pregnant mother Did not get information about high risk knowledge from health workers as many as 31 people (56.4%) and pregnant women are not high risk</w:instrText>
      </w:r>
      <w:r>
        <w:rPr>
          <w:rFonts w:ascii="Tw Cen MT" w:hAnsi="Tw Cen MT" w:hint="eastAsia"/>
          <w:sz w:val="24"/>
          <w:szCs w:val="24"/>
        </w:rPr>
        <w:instrText xml:space="preserve"> that is as much as 29 respondents (52,7%). Conclusion There is a significant relationship between knowledge variables (</w:instrText>
      </w:r>
      <w:r>
        <w:rPr>
          <w:rFonts w:ascii="Tw Cen MT" w:hAnsi="Tw Cen MT" w:hint="eastAsia"/>
          <w:sz w:val="24"/>
          <w:szCs w:val="24"/>
        </w:rPr>
        <w:instrText>ρ</w:instrText>
      </w:r>
      <w:r>
        <w:rPr>
          <w:rFonts w:ascii="Tw Cen MT" w:hAnsi="Tw Cen MT" w:hint="eastAsia"/>
          <w:sz w:val="24"/>
          <w:szCs w:val="24"/>
        </w:rPr>
        <w:instrText xml:space="preserve"> Value = 0,000: OR = 25,500), health worker (</w:instrText>
      </w:r>
      <w:r>
        <w:rPr>
          <w:rFonts w:ascii="Tw Cen MT" w:hAnsi="Tw Cen MT" w:hint="eastAsia"/>
          <w:sz w:val="24"/>
          <w:szCs w:val="24"/>
        </w:rPr>
        <w:instrText>ρ</w:instrText>
      </w:r>
      <w:r>
        <w:rPr>
          <w:rFonts w:ascii="Tw Cen MT" w:hAnsi="Tw Cen MT" w:hint="eastAsia"/>
          <w:sz w:val="24"/>
          <w:szCs w:val="24"/>
        </w:rPr>
        <w:instrText xml:space="preserve"> Value = 0,000: OR = 20,125), education (</w:instrText>
      </w:r>
      <w:r>
        <w:rPr>
          <w:rFonts w:ascii="Tw Cen MT" w:hAnsi="Tw Cen MT" w:hint="eastAsia"/>
          <w:sz w:val="24"/>
          <w:szCs w:val="24"/>
        </w:rPr>
        <w:instrText>ρ</w:instrText>
      </w:r>
      <w:r>
        <w:rPr>
          <w:rFonts w:ascii="Tw Cen MT" w:hAnsi="Tw Cen MT" w:hint="eastAsia"/>
          <w:sz w:val="24"/>
          <w:szCs w:val="24"/>
        </w:rPr>
        <w:instrText xml:space="preserve"> Value = 0,022: OR = 0,224) and family support (</w:instrText>
      </w:r>
      <w:r>
        <w:rPr>
          <w:rFonts w:ascii="Tw Cen MT" w:hAnsi="Tw Cen MT" w:hint="eastAsia"/>
          <w:sz w:val="24"/>
          <w:szCs w:val="24"/>
        </w:rPr>
        <w:instrText>ρ</w:instrText>
      </w:r>
      <w:r>
        <w:rPr>
          <w:rFonts w:ascii="Tw Cen MT" w:hAnsi="Tw Cen MT" w:hint="eastAsia"/>
          <w:sz w:val="24"/>
          <w:szCs w:val="24"/>
        </w:rPr>
        <w:instrText xml:space="preserve"> Value = 0,000: OR = 0.071). There was no significant association between income (</w:instrText>
      </w:r>
      <w:r>
        <w:rPr>
          <w:rFonts w:ascii="Tw Cen MT" w:hAnsi="Tw Cen MT" w:hint="eastAsia"/>
          <w:sz w:val="24"/>
          <w:szCs w:val="24"/>
        </w:rPr>
        <w:instrText>ρ</w:instrText>
      </w:r>
      <w:r>
        <w:rPr>
          <w:rFonts w:ascii="Tw Cen MT" w:hAnsi="Tw Cen MT" w:hint="eastAsia"/>
          <w:sz w:val="24"/>
          <w:szCs w:val="24"/>
        </w:rPr>
        <w:instrText xml:space="preserve"> Value = 0,000: OR = 25,500) at high risk for pregnant women. Suggestions for officers, make plans for the formation of pregnant women's classes and cooperate with posya</w:instrText>
      </w:r>
      <w:r>
        <w:rPr>
          <w:rFonts w:ascii="Tw Cen MT" w:hAnsi="Tw Cen MT"/>
          <w:sz w:val="24"/>
          <w:szCs w:val="24"/>
        </w:rPr>
        <w:instrText>ndu cadres and community leaders to increase the knowledge of pregnant women.","author":[{"dropping-particle":"","family":"Nurmawati","given":"","non-dropping-particle":"","parse-names":false,"suffix":""}],"container-title":"Jurnal Ilmu dan Budaya","id":"ITEM-1","issued":{"date-parts":[["2017"]]},"page":"6678","title":"Faktor-Faktor Yang Berhubungan Dengan Kehamilan Resiko Tinggi Di Puskesmas Cibatu Kabupaten Bekasi Provinsi Jawa Barat Tahun 2017","type":"article-journal","volume":"40, Nomor "},"uris":["http://www.mendeley.com/documents/?uuid=6b44cbc8-4b9b-412b-afc4-11e91e0d3de0"]}],"mendeley":{"formattedCitation":"[14]","plainTextFormattedCitation":"[14]"},"properties":{"noteIndex":0},"schema":"https://github.com/citation-style-language/schema/raw/master/csl-citation.json"}</w:instrText>
      </w:r>
      <w:r>
        <w:rPr>
          <w:rFonts w:ascii="Tw Cen MT" w:hAnsi="Tw Cen MT"/>
          <w:sz w:val="24"/>
          <w:szCs w:val="24"/>
        </w:rPr>
        <w:fldChar w:fldCharType="separate"/>
      </w:r>
      <w:r w:rsidRPr="00082516">
        <w:rPr>
          <w:rFonts w:ascii="Tw Cen MT" w:hAnsi="Tw Cen MT"/>
          <w:noProof/>
          <w:sz w:val="24"/>
          <w:szCs w:val="24"/>
        </w:rPr>
        <w:t>[14]</w:t>
      </w:r>
      <w:r>
        <w:rPr>
          <w:rFonts w:ascii="Tw Cen MT" w:hAnsi="Tw Cen MT"/>
          <w:sz w:val="24"/>
          <w:szCs w:val="24"/>
        </w:rPr>
        <w:fldChar w:fldCharType="end"/>
      </w:r>
      <w:r>
        <w:rPr>
          <w:rFonts w:ascii="Tw Cen MT" w:hAnsi="Tw Cen MT"/>
          <w:sz w:val="24"/>
          <w:szCs w:val="24"/>
        </w:rPr>
        <w:t>.</w:t>
      </w:r>
    </w:p>
    <w:p w14:paraId="0887C3B5" w14:textId="5FB20CF3" w:rsidR="008A5571" w:rsidRPr="00D2178F" w:rsidRDefault="008A5571" w:rsidP="008A5571">
      <w:pPr>
        <w:spacing w:after="0" w:line="240" w:lineRule="auto"/>
        <w:ind w:firstLine="567"/>
        <w:jc w:val="both"/>
        <w:rPr>
          <w:rFonts w:ascii="Tw Cen MT" w:hAnsi="Tw Cen MT"/>
          <w:sz w:val="24"/>
          <w:szCs w:val="24"/>
        </w:rPr>
      </w:pPr>
    </w:p>
    <w:p w14:paraId="093D6C66" w14:textId="77777777" w:rsidR="007106F6" w:rsidRPr="0084208B" w:rsidRDefault="007106F6" w:rsidP="004721E3">
      <w:pPr>
        <w:spacing w:after="0" w:line="240" w:lineRule="auto"/>
        <w:jc w:val="both"/>
        <w:rPr>
          <w:rFonts w:ascii="Tw Cen MT" w:eastAsia="Twentieth Century" w:hAnsi="Tw Cen MT" w:cs="Twentieth Century"/>
          <w:color w:val="FF0000"/>
        </w:rPr>
      </w:pPr>
      <w:r w:rsidRPr="0084208B">
        <w:rPr>
          <w:rFonts w:ascii="Tw Cen MT" w:eastAsia="Twentieth Century" w:hAnsi="Tw Cen MT" w:cs="Twentieth Century"/>
          <w:b/>
          <w:color w:val="FF0000"/>
          <w:sz w:val="24"/>
          <w:szCs w:val="24"/>
        </w:rPr>
        <w:t>SIMPULAN</w:t>
      </w:r>
    </w:p>
    <w:p w14:paraId="14744AF7" w14:textId="5877F136" w:rsidR="007106F6" w:rsidRPr="0084208B" w:rsidRDefault="004721E3" w:rsidP="004721E3">
      <w:pPr>
        <w:spacing w:line="240" w:lineRule="auto"/>
        <w:jc w:val="both"/>
        <w:rPr>
          <w:rFonts w:ascii="Tw Cen MT" w:eastAsia="Twentieth Century" w:hAnsi="Tw Cen MT" w:cs="Twentieth Century"/>
          <w:color w:val="FF0000"/>
          <w:sz w:val="24"/>
          <w:szCs w:val="24"/>
        </w:rPr>
      </w:pPr>
      <w:r w:rsidRPr="0084208B">
        <w:rPr>
          <w:rFonts w:ascii="Tw Cen MT" w:eastAsia="Twentieth Century" w:hAnsi="Tw Cen MT" w:cs="Twentieth Century"/>
          <w:color w:val="FF0000"/>
          <w:sz w:val="24"/>
          <w:szCs w:val="24"/>
        </w:rPr>
        <w:t>Kesimpulan berisi rangkuman singkat atas hasil penelitian dan pembahasan. Simpulan hendaknya merupakan jawaban atas tujuan/pertanyaan penelitian, dan diungkap bukan dalam kalimat statistik. Ditulis sepanjang satu paragraf dalam bentuk esai, tidak dalam bentuk numerical. Penulisan menggunakan Tw Cen MT, 12, spasi 1.</w:t>
      </w:r>
    </w:p>
    <w:p w14:paraId="329AEF6D" w14:textId="77777777" w:rsidR="001E2345" w:rsidRDefault="001E2345" w:rsidP="004721E3">
      <w:pPr>
        <w:spacing w:line="240" w:lineRule="auto"/>
        <w:jc w:val="both"/>
        <w:rPr>
          <w:rFonts w:ascii="Tw Cen MT" w:eastAsia="Twentieth Century" w:hAnsi="Tw Cen MT" w:cs="Twentieth Century"/>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77BA9225" w14:textId="77777777" w:rsidR="001E2345" w:rsidRDefault="001E2345" w:rsidP="001E23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Arial" w:hAnsi="Tw Cen MT" w:cs="Arial"/>
          <w:color w:val="000000"/>
          <w:sz w:val="24"/>
          <w:szCs w:val="24"/>
        </w:rPr>
      </w:pPr>
      <w:r w:rsidRPr="000C1BC5">
        <w:rPr>
          <w:rFonts w:ascii="Tw Cen MT" w:eastAsia="Arial" w:hAnsi="Tw Cen MT" w:cs="Arial"/>
          <w:color w:val="000000"/>
          <w:sz w:val="24"/>
          <w:szCs w:val="24"/>
        </w:rPr>
        <w:t xml:space="preserve">Ucapan terima kasih penulis sampaikan Kepada Direktur </w:t>
      </w:r>
      <w:proofErr w:type="spellStart"/>
      <w:r w:rsidRPr="000C1BC5">
        <w:rPr>
          <w:rFonts w:ascii="Tw Cen MT" w:eastAsia="Arial" w:hAnsi="Tw Cen MT" w:cs="Arial"/>
          <w:color w:val="000000"/>
          <w:sz w:val="24"/>
          <w:szCs w:val="24"/>
        </w:rPr>
        <w:t>Poltekkes</w:t>
      </w:r>
      <w:proofErr w:type="spellEnd"/>
      <w:r w:rsidRPr="000C1BC5">
        <w:rPr>
          <w:rFonts w:ascii="Tw Cen MT" w:eastAsia="Arial" w:hAnsi="Tw Cen MT" w:cs="Arial"/>
          <w:color w:val="000000"/>
          <w:sz w:val="24"/>
          <w:szCs w:val="24"/>
        </w:rPr>
        <w:t xml:space="preserve"> </w:t>
      </w:r>
      <w:proofErr w:type="spellStart"/>
      <w:r w:rsidRPr="000C1BC5">
        <w:rPr>
          <w:rFonts w:ascii="Tw Cen MT" w:eastAsia="Arial" w:hAnsi="Tw Cen MT" w:cs="Arial"/>
          <w:color w:val="000000"/>
          <w:sz w:val="24"/>
          <w:szCs w:val="24"/>
        </w:rPr>
        <w:t>Kemenkes</w:t>
      </w:r>
      <w:proofErr w:type="spellEnd"/>
      <w:r w:rsidRPr="000C1BC5">
        <w:rPr>
          <w:rFonts w:ascii="Tw Cen MT" w:eastAsia="Arial" w:hAnsi="Tw Cen MT" w:cs="Arial"/>
          <w:color w:val="000000"/>
          <w:sz w:val="24"/>
          <w:szCs w:val="24"/>
        </w:rPr>
        <w:t xml:space="preserve"> Riau, </w:t>
      </w:r>
      <w:r>
        <w:rPr>
          <w:rFonts w:ascii="Tw Cen MT" w:eastAsia="Arial" w:hAnsi="Tw Cen MT" w:cs="Arial"/>
          <w:color w:val="000000"/>
          <w:sz w:val="24"/>
          <w:szCs w:val="24"/>
        </w:rPr>
        <w:t xml:space="preserve">Direktur RSUD Arifin Achmad </w:t>
      </w:r>
      <w:proofErr w:type="spellStart"/>
      <w:r>
        <w:rPr>
          <w:rFonts w:ascii="Tw Cen MT" w:eastAsia="Arial" w:hAnsi="Tw Cen MT" w:cs="Arial"/>
          <w:color w:val="000000"/>
          <w:sz w:val="24"/>
          <w:szCs w:val="24"/>
        </w:rPr>
        <w:t>Pekanbaru</w:t>
      </w:r>
      <w:proofErr w:type="spellEnd"/>
      <w:r>
        <w:rPr>
          <w:rFonts w:ascii="Tw Cen MT" w:eastAsia="Arial" w:hAnsi="Tw Cen MT" w:cs="Arial"/>
          <w:color w:val="000000"/>
          <w:sz w:val="24"/>
          <w:szCs w:val="24"/>
        </w:rPr>
        <w:t xml:space="preserve">, Kepala Puskesmas Rumbai, Pimpinan PMB </w:t>
      </w:r>
      <w:proofErr w:type="spellStart"/>
      <w:r>
        <w:rPr>
          <w:rFonts w:ascii="Tw Cen MT" w:eastAsia="Arial" w:hAnsi="Tw Cen MT" w:cs="Arial"/>
          <w:color w:val="000000"/>
          <w:sz w:val="24"/>
          <w:szCs w:val="24"/>
        </w:rPr>
        <w:t>Dince</w:t>
      </w:r>
      <w:proofErr w:type="spellEnd"/>
      <w:r>
        <w:rPr>
          <w:rFonts w:ascii="Tw Cen MT" w:eastAsia="Arial" w:hAnsi="Tw Cen MT" w:cs="Arial"/>
          <w:color w:val="000000"/>
          <w:sz w:val="24"/>
          <w:szCs w:val="24"/>
        </w:rPr>
        <w:t xml:space="preserve"> </w:t>
      </w:r>
      <w:proofErr w:type="spellStart"/>
      <w:r>
        <w:rPr>
          <w:rFonts w:ascii="Tw Cen MT" w:eastAsia="Arial" w:hAnsi="Tw Cen MT" w:cs="Arial"/>
          <w:color w:val="000000"/>
          <w:sz w:val="24"/>
          <w:szCs w:val="24"/>
        </w:rPr>
        <w:t>Safrina</w:t>
      </w:r>
      <w:proofErr w:type="spellEnd"/>
      <w:r>
        <w:rPr>
          <w:rFonts w:ascii="Tw Cen MT" w:eastAsia="Arial" w:hAnsi="Tw Cen MT" w:cs="Arial"/>
          <w:color w:val="000000"/>
          <w:sz w:val="24"/>
          <w:szCs w:val="24"/>
        </w:rPr>
        <w:t xml:space="preserve">, Pimpinan PMB Rosita yang </w:t>
      </w:r>
      <w:r w:rsidRPr="000C1BC5">
        <w:rPr>
          <w:rFonts w:ascii="Tw Cen MT" w:eastAsia="Arial" w:hAnsi="Tw Cen MT" w:cs="Arial"/>
          <w:color w:val="000000"/>
          <w:sz w:val="24"/>
          <w:szCs w:val="24"/>
        </w:rPr>
        <w:t xml:space="preserve">telah mengijinkan dan bekerjasama dalam pelaksanaan </w:t>
      </w:r>
      <w:r>
        <w:rPr>
          <w:rFonts w:ascii="Tw Cen MT" w:eastAsia="Arial" w:hAnsi="Tw Cen MT" w:cs="Arial"/>
          <w:color w:val="000000"/>
          <w:sz w:val="24"/>
          <w:szCs w:val="24"/>
        </w:rPr>
        <w:t>penelitian</w:t>
      </w:r>
      <w:r w:rsidRPr="000C1BC5">
        <w:rPr>
          <w:rFonts w:ascii="Tw Cen MT" w:eastAsia="Arial" w:hAnsi="Tw Cen MT" w:cs="Arial"/>
          <w:color w:val="000000"/>
          <w:sz w:val="24"/>
          <w:szCs w:val="24"/>
        </w:rPr>
        <w:t xml:space="preserve"> ini. Terima kasih tak terhingga kepada tim </w:t>
      </w:r>
      <w:r>
        <w:rPr>
          <w:rFonts w:ascii="Tw Cen MT" w:eastAsia="Arial" w:hAnsi="Tw Cen MT" w:cs="Arial"/>
          <w:color w:val="000000"/>
          <w:sz w:val="24"/>
          <w:szCs w:val="24"/>
        </w:rPr>
        <w:t>penelitian</w:t>
      </w:r>
      <w:r w:rsidRPr="000C1BC5">
        <w:rPr>
          <w:rFonts w:ascii="Tw Cen MT" w:eastAsia="Arial" w:hAnsi="Tw Cen MT" w:cs="Arial"/>
          <w:color w:val="000000"/>
          <w:sz w:val="24"/>
          <w:szCs w:val="24"/>
        </w:rPr>
        <w:t xml:space="preserve"> yang telah berkoordinasi dan bekerjasama dalam pelaksanaan </w:t>
      </w:r>
      <w:r>
        <w:rPr>
          <w:rFonts w:ascii="Tw Cen MT" w:eastAsia="Arial" w:hAnsi="Tw Cen MT" w:cs="Arial"/>
          <w:color w:val="000000"/>
          <w:sz w:val="24"/>
          <w:szCs w:val="24"/>
        </w:rPr>
        <w:t>penelitian</w:t>
      </w:r>
      <w:r w:rsidRPr="000C1BC5">
        <w:rPr>
          <w:rFonts w:ascii="Tw Cen MT" w:eastAsia="Arial" w:hAnsi="Tw Cen MT" w:cs="Arial"/>
          <w:color w:val="000000"/>
          <w:sz w:val="24"/>
          <w:szCs w:val="24"/>
        </w:rPr>
        <w:t xml:space="preserve"> ini sehingga dapat selesai tepat waktu.</w:t>
      </w:r>
    </w:p>
    <w:p w14:paraId="02F42111" w14:textId="77777777" w:rsidR="001E2345" w:rsidRPr="000C1BC5" w:rsidRDefault="001E2345" w:rsidP="001E234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Arial" w:hAnsi="Tw Cen MT" w:cs="Arial"/>
          <w:color w:val="000000"/>
          <w:sz w:val="24"/>
          <w:szCs w:val="24"/>
        </w:rPr>
      </w:pPr>
    </w:p>
    <w:p w14:paraId="7E4B783F" w14:textId="77777777" w:rsidR="004721E3" w:rsidRPr="0084208B" w:rsidRDefault="004721E3" w:rsidP="004721E3">
      <w:pPr>
        <w:tabs>
          <w:tab w:val="left" w:pos="426"/>
        </w:tabs>
        <w:spacing w:after="0" w:line="240" w:lineRule="auto"/>
        <w:jc w:val="both"/>
        <w:rPr>
          <w:rFonts w:ascii="Tw Cen MT" w:eastAsia="Twentieth Century" w:hAnsi="Tw Cen MT" w:cs="Twentieth Century"/>
          <w:b/>
          <w:color w:val="FF0000"/>
          <w:sz w:val="24"/>
          <w:szCs w:val="24"/>
        </w:rPr>
      </w:pPr>
      <w:r w:rsidRPr="0084208B">
        <w:rPr>
          <w:rFonts w:ascii="Tw Cen MT" w:eastAsia="Twentieth Century" w:hAnsi="Tw Cen MT" w:cs="Twentieth Century"/>
          <w:b/>
          <w:color w:val="FF0000"/>
          <w:sz w:val="24"/>
          <w:szCs w:val="24"/>
        </w:rPr>
        <w:t xml:space="preserve">DAFTAR </w:t>
      </w:r>
      <w:commentRangeStart w:id="4"/>
      <w:r w:rsidRPr="0084208B">
        <w:rPr>
          <w:rFonts w:ascii="Tw Cen MT" w:eastAsia="Twentieth Century" w:hAnsi="Tw Cen MT" w:cs="Twentieth Century"/>
          <w:b/>
          <w:color w:val="FF0000"/>
          <w:sz w:val="24"/>
          <w:szCs w:val="24"/>
        </w:rPr>
        <w:t>PUSTAKA</w:t>
      </w:r>
      <w:commentRangeEnd w:id="4"/>
      <w:r w:rsidR="0084208B" w:rsidRPr="0084208B">
        <w:rPr>
          <w:rStyle w:val="CommentReference"/>
          <w:color w:val="FF0000"/>
        </w:rPr>
        <w:commentReference w:id="4"/>
      </w:r>
    </w:p>
    <w:p w14:paraId="264E857C" w14:textId="43F45FA7" w:rsidR="00082516" w:rsidRPr="00082516" w:rsidRDefault="003D6097" w:rsidP="00082516">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082516" w:rsidRPr="00082516">
        <w:rPr>
          <w:rFonts w:ascii="Tw Cen MT" w:hAnsi="Tw Cen MT" w:cs="Times New Roman"/>
          <w:noProof/>
          <w:sz w:val="24"/>
          <w:szCs w:val="24"/>
        </w:rPr>
        <w:t>[1]</w:t>
      </w:r>
      <w:r w:rsidR="00082516" w:rsidRPr="00082516">
        <w:rPr>
          <w:rFonts w:ascii="Tw Cen MT" w:hAnsi="Tw Cen MT" w:cs="Times New Roman"/>
          <w:noProof/>
          <w:sz w:val="24"/>
          <w:szCs w:val="24"/>
        </w:rPr>
        <w:tab/>
        <w:t xml:space="preserve">National Institutes of Health, “What is a high-risk pregnancy?,” </w:t>
      </w:r>
      <w:r w:rsidR="00082516" w:rsidRPr="00082516">
        <w:rPr>
          <w:rFonts w:ascii="Tw Cen MT" w:hAnsi="Tw Cen MT" w:cs="Times New Roman"/>
          <w:i/>
          <w:iCs/>
          <w:noProof/>
          <w:sz w:val="24"/>
          <w:szCs w:val="24"/>
        </w:rPr>
        <w:t>US Department of Health and Human Services</w:t>
      </w:r>
      <w:r w:rsidR="00082516" w:rsidRPr="00082516">
        <w:rPr>
          <w:rFonts w:ascii="Tw Cen MT" w:hAnsi="Tw Cen MT" w:cs="Times New Roman"/>
          <w:noProof/>
          <w:sz w:val="24"/>
          <w:szCs w:val="24"/>
        </w:rPr>
        <w:t>, 2017. https://www.nichd.nih.gov/health/topics/pregnancy/conditioninfo/high-risk (accessed Apr. 17, 2022).</w:t>
      </w:r>
    </w:p>
    <w:p w14:paraId="2D63A104"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[2]</w:t>
      </w:r>
      <w:r w:rsidRPr="00082516">
        <w:rPr>
          <w:rFonts w:ascii="Tw Cen MT" w:hAnsi="Tw Cen MT" w:cs="Times New Roman"/>
          <w:noProof/>
          <w:sz w:val="24"/>
          <w:szCs w:val="24"/>
        </w:rPr>
        <w:tab/>
        <w:t xml:space="preserve">M. Mary Anne Dunkin, Traci C. Johnson, “Managing a High-Risk Pregnancy,” </w:t>
      </w:r>
      <w:r w:rsidRPr="00082516">
        <w:rPr>
          <w:rFonts w:ascii="Tw Cen MT" w:hAnsi="Tw Cen MT" w:cs="Times New Roman"/>
          <w:i/>
          <w:iCs/>
          <w:noProof/>
          <w:sz w:val="24"/>
          <w:szCs w:val="24"/>
        </w:rPr>
        <w:t>WebMD</w:t>
      </w:r>
      <w:r w:rsidRPr="00082516">
        <w:rPr>
          <w:rFonts w:ascii="Tw Cen MT" w:hAnsi="Tw Cen MT" w:cs="Times New Roman"/>
          <w:noProof/>
          <w:sz w:val="24"/>
          <w:szCs w:val="24"/>
        </w:rPr>
        <w:t xml:space="preserve">, 2020. https://www.webmd.com/baby/managing-a-high-risk-pregnancy#1 (accessed </w:t>
      </w:r>
      <w:r w:rsidRPr="00082516">
        <w:rPr>
          <w:rFonts w:ascii="Tw Cen MT" w:hAnsi="Tw Cen MT" w:cs="Times New Roman"/>
          <w:noProof/>
          <w:sz w:val="24"/>
          <w:szCs w:val="24"/>
        </w:rPr>
        <w:t>Apr. 17, 2022).</w:t>
      </w:r>
    </w:p>
    <w:p w14:paraId="6224EE6B"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[3]</w:t>
      </w:r>
      <w:r w:rsidRPr="00082516">
        <w:rPr>
          <w:rFonts w:ascii="Tw Cen MT" w:hAnsi="Tw Cen MT" w:cs="Times New Roman"/>
          <w:noProof/>
          <w:sz w:val="24"/>
          <w:szCs w:val="24"/>
        </w:rPr>
        <w:tab/>
        <w:t xml:space="preserve">M. D. Janice Lynn Henderson, “High-Risk Pregnancy: What You Need to Know,” </w:t>
      </w:r>
      <w:r w:rsidRPr="00082516">
        <w:rPr>
          <w:rFonts w:ascii="Tw Cen MT" w:hAnsi="Tw Cen MT" w:cs="Times New Roman"/>
          <w:i/>
          <w:iCs/>
          <w:noProof/>
          <w:sz w:val="24"/>
          <w:szCs w:val="24"/>
        </w:rPr>
        <w:t>Janice Lynn Henderson, M.D.</w:t>
      </w:r>
      <w:r w:rsidRPr="00082516">
        <w:rPr>
          <w:rFonts w:ascii="Tw Cen MT" w:hAnsi="Tw Cen MT" w:cs="Times New Roman"/>
          <w:noProof/>
          <w:sz w:val="24"/>
          <w:szCs w:val="24"/>
        </w:rPr>
        <w:t xml:space="preserve"> https://www.hopkinsmedicine.org/health/conditions-and-diseases/staying-healthy-during-pregnancy/high-risk-pregnancy-what-you-need-to-know (accessed Apr. 17, 2022).</w:t>
      </w:r>
    </w:p>
    <w:p w14:paraId="3DDB6227"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[4]</w:t>
      </w:r>
      <w:r w:rsidRPr="00082516">
        <w:rPr>
          <w:rFonts w:ascii="Tw Cen MT" w:hAnsi="Tw Cen MT" w:cs="Times New Roman"/>
          <w:noProof/>
          <w:sz w:val="24"/>
          <w:szCs w:val="24"/>
        </w:rPr>
        <w:tab/>
        <w:t xml:space="preserve">S. Syahda, “Hubungan Pengetahuan dan Sikap Ibu Hamil Tentang Risiko Tinggi dalam Kehamilan Dengan Kejadian Risiko Tinggi Dalam Kehamilan Dengan Kejadian Risiko Tinggi Dalam Kehamilan di Wilayah Kerja Puskesmas Kampar,” </w:t>
      </w:r>
      <w:r w:rsidRPr="00082516">
        <w:rPr>
          <w:rFonts w:ascii="Tw Cen MT" w:hAnsi="Tw Cen MT" w:cs="Times New Roman"/>
          <w:i/>
          <w:iCs/>
          <w:noProof/>
          <w:sz w:val="24"/>
          <w:szCs w:val="24"/>
        </w:rPr>
        <w:t>J. Doppler Univ. Pahlawan Tuanku Tambusai</w:t>
      </w:r>
      <w:r w:rsidRPr="00082516">
        <w:rPr>
          <w:rFonts w:ascii="Tw Cen MT" w:hAnsi="Tw Cen MT" w:cs="Times New Roman"/>
          <w:noProof/>
          <w:sz w:val="24"/>
          <w:szCs w:val="24"/>
        </w:rPr>
        <w:t>, vol. 2, no. 2, pp. 57-58 (1–6), 2018.</w:t>
      </w:r>
    </w:p>
    <w:p w14:paraId="24513F7F" w14:textId="39E0D7EE"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[5]</w:t>
      </w:r>
      <w:r w:rsidRPr="00082516">
        <w:rPr>
          <w:rFonts w:ascii="Tw Cen MT" w:hAnsi="Tw Cen MT" w:cs="Times New Roman"/>
          <w:noProof/>
          <w:sz w:val="24"/>
          <w:szCs w:val="24"/>
        </w:rPr>
        <w:tab/>
        <w:t>N. Hartati, “</w:t>
      </w:r>
      <w:r w:rsidR="001E01E2" w:rsidRPr="00082516">
        <w:rPr>
          <w:rFonts w:ascii="Tw Cen MT" w:hAnsi="Tw Cen MT" w:cs="Times New Roman"/>
          <w:noProof/>
          <w:sz w:val="24"/>
          <w:szCs w:val="24"/>
        </w:rPr>
        <w:t>Faktor-Faktor Yang Berhubungan Dengan Resiko Tinggi Dalam Kehamilan Pada Ibu Hamil Di Puskesmas Sungai Panas Kota Batam Tahun</w:t>
      </w:r>
      <w:r w:rsidRPr="00082516">
        <w:rPr>
          <w:rFonts w:ascii="Tw Cen MT" w:hAnsi="Tw Cen MT" w:cs="Times New Roman"/>
          <w:noProof/>
          <w:sz w:val="24"/>
          <w:szCs w:val="24"/>
        </w:rPr>
        <w:t xml:space="preserve"> 2017,” vol. 8, no. 3, pp. 34–41, 2018.</w:t>
      </w:r>
    </w:p>
    <w:p w14:paraId="5BFDAFFF"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[6]</w:t>
      </w:r>
      <w:r w:rsidRPr="00082516">
        <w:rPr>
          <w:rFonts w:ascii="Tw Cen MT" w:hAnsi="Tw Cen MT" w:cs="Times New Roman"/>
          <w:noProof/>
          <w:sz w:val="24"/>
          <w:szCs w:val="24"/>
        </w:rPr>
        <w:tab/>
        <w:t xml:space="preserve">L. Anggraeni, E. M. Theresia, and H. Wahyuningsih, “Gambaran tingkat risiko kehamilan dengan skrining kspr pada ibu h.amil,” </w:t>
      </w:r>
      <w:r w:rsidRPr="00082516">
        <w:rPr>
          <w:rFonts w:ascii="Tw Cen MT" w:hAnsi="Tw Cen MT" w:cs="Times New Roman"/>
          <w:i/>
          <w:iCs/>
          <w:noProof/>
          <w:sz w:val="24"/>
          <w:szCs w:val="24"/>
        </w:rPr>
        <w:t>Kesehat. lbu dan Anak</w:t>
      </w:r>
      <w:r w:rsidRPr="00082516">
        <w:rPr>
          <w:rFonts w:ascii="Tw Cen MT" w:hAnsi="Tw Cen MT" w:cs="Times New Roman"/>
          <w:noProof/>
          <w:sz w:val="24"/>
          <w:szCs w:val="24"/>
        </w:rPr>
        <w:t>, vol. 8, no. 2, pp. 24–29, 2015.</w:t>
      </w:r>
    </w:p>
    <w:p w14:paraId="2E55A0B4"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[7]</w:t>
      </w:r>
      <w:r w:rsidRPr="00082516">
        <w:rPr>
          <w:rFonts w:ascii="Tw Cen MT" w:hAnsi="Tw Cen MT" w:cs="Times New Roman"/>
          <w:noProof/>
          <w:sz w:val="24"/>
          <w:szCs w:val="24"/>
        </w:rPr>
        <w:tab/>
        <w:t xml:space="preserve">N. Herlina, S. Nawangsari, R. K. Harahap, E. Ekowati, and A. I. Asmarany, “Pengembangan Skrining Deteksi Resiko Kehamilan Berdasarkan Kriteria Keadaan dan Kondisi Ibu Hamil,” </w:t>
      </w:r>
      <w:r w:rsidRPr="00082516">
        <w:rPr>
          <w:rFonts w:ascii="Tw Cen MT" w:hAnsi="Tw Cen MT" w:cs="Times New Roman"/>
          <w:i/>
          <w:iCs/>
          <w:noProof/>
          <w:sz w:val="24"/>
          <w:szCs w:val="24"/>
        </w:rPr>
        <w:t>J. Aisyah  J. Ilmu Kesehat.</w:t>
      </w:r>
      <w:r w:rsidRPr="00082516">
        <w:rPr>
          <w:rFonts w:ascii="Tw Cen MT" w:hAnsi="Tw Cen MT" w:cs="Times New Roman"/>
          <w:noProof/>
          <w:sz w:val="24"/>
          <w:szCs w:val="24"/>
        </w:rPr>
        <w:t>, vol. 6, no. 3, pp. 439–445, 2021, doi: 10.30604/jika.v6i3.536.</w:t>
      </w:r>
    </w:p>
    <w:p w14:paraId="2602F5C7"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[8]</w:t>
      </w:r>
      <w:r w:rsidRPr="00082516">
        <w:rPr>
          <w:rFonts w:ascii="Tw Cen MT" w:hAnsi="Tw Cen MT" w:cs="Times New Roman"/>
          <w:noProof/>
          <w:sz w:val="24"/>
          <w:szCs w:val="24"/>
        </w:rPr>
        <w:tab/>
        <w:t xml:space="preserve">S. Ditaningtias, A. Sulistiyono, and R. Indawati, “Anemia sebagai Faktor Risiko Peningkatan Skor Kehamilan Berdasarkan Kartu Skor Poedji Rochjati,” </w:t>
      </w:r>
      <w:r w:rsidRPr="00082516">
        <w:rPr>
          <w:rFonts w:ascii="Tw Cen MT" w:hAnsi="Tw Cen MT" w:cs="Times New Roman"/>
          <w:i/>
          <w:iCs/>
          <w:noProof/>
          <w:sz w:val="24"/>
          <w:szCs w:val="24"/>
        </w:rPr>
        <w:t>Maj. Obstet. Ginekol.</w:t>
      </w:r>
      <w:r w:rsidRPr="00082516">
        <w:rPr>
          <w:rFonts w:ascii="Tw Cen MT" w:hAnsi="Tw Cen MT" w:cs="Times New Roman"/>
          <w:noProof/>
          <w:sz w:val="24"/>
          <w:szCs w:val="24"/>
        </w:rPr>
        <w:t>, vol. 23, no. 3, p. 90, 2015, doi: 10.20473/mog.v23i3.2073.</w:t>
      </w:r>
    </w:p>
    <w:p w14:paraId="5A9BABB5"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[9]</w:t>
      </w:r>
      <w:r w:rsidRPr="00082516">
        <w:rPr>
          <w:rFonts w:ascii="Tw Cen MT" w:hAnsi="Tw Cen MT" w:cs="Times New Roman"/>
          <w:noProof/>
          <w:sz w:val="24"/>
          <w:szCs w:val="24"/>
        </w:rPr>
        <w:tab/>
        <w:t xml:space="preserve">P. H. Hastuti, S. Suparmi, S. Sumiyati, A. Widiastuti, and D. R. Yuliani, “Kartu Skor Poedji Rochjati Untuk Skrining Antenatal,” </w:t>
      </w:r>
      <w:r w:rsidRPr="00082516">
        <w:rPr>
          <w:rFonts w:ascii="Tw Cen MT" w:hAnsi="Tw Cen MT" w:cs="Times New Roman"/>
          <w:i/>
          <w:iCs/>
          <w:noProof/>
          <w:sz w:val="24"/>
          <w:szCs w:val="24"/>
        </w:rPr>
        <w:t>Link</w:t>
      </w:r>
      <w:r w:rsidRPr="00082516">
        <w:rPr>
          <w:rFonts w:ascii="Tw Cen MT" w:hAnsi="Tw Cen MT" w:cs="Times New Roman"/>
          <w:noProof/>
          <w:sz w:val="24"/>
          <w:szCs w:val="24"/>
        </w:rPr>
        <w:t>, vol. 14, no. 2, p. 110, 2018, doi: 10.31983/link.v14i2.3710.</w:t>
      </w:r>
    </w:p>
    <w:p w14:paraId="2117257C"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lastRenderedPageBreak/>
        <w:t>[10]</w:t>
      </w:r>
      <w:r w:rsidRPr="00082516">
        <w:rPr>
          <w:rFonts w:ascii="Tw Cen MT" w:hAnsi="Tw Cen MT" w:cs="Times New Roman"/>
          <w:noProof/>
          <w:sz w:val="24"/>
          <w:szCs w:val="24"/>
        </w:rPr>
        <w:tab/>
        <w:t xml:space="preserve">L. Bruno, “Skor Pudji Rochyati,” </w:t>
      </w:r>
      <w:r w:rsidRPr="00082516">
        <w:rPr>
          <w:rFonts w:ascii="Tw Cen MT" w:hAnsi="Tw Cen MT" w:cs="Times New Roman"/>
          <w:i/>
          <w:iCs/>
          <w:noProof/>
          <w:sz w:val="24"/>
          <w:szCs w:val="24"/>
        </w:rPr>
        <w:t>J. Chem. Inf. Model.</w:t>
      </w:r>
      <w:r w:rsidRPr="00082516">
        <w:rPr>
          <w:rFonts w:ascii="Tw Cen MT" w:hAnsi="Tw Cen MT" w:cs="Times New Roman"/>
          <w:noProof/>
          <w:sz w:val="24"/>
          <w:szCs w:val="24"/>
        </w:rPr>
        <w:t>, vol. 53, no. 9, pp. 1689–1699, 2019.</w:t>
      </w:r>
    </w:p>
    <w:p w14:paraId="1005BAA6"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[11]</w:t>
      </w:r>
      <w:r w:rsidRPr="00082516">
        <w:rPr>
          <w:rFonts w:ascii="Tw Cen MT" w:hAnsi="Tw Cen MT" w:cs="Times New Roman"/>
          <w:noProof/>
          <w:sz w:val="24"/>
          <w:szCs w:val="24"/>
        </w:rPr>
        <w:tab/>
        <w:t xml:space="preserve">A. Setyawati, R. Widiasih, and E. Ermiati, “Faktor-Faktor Yang Berhubungan Dengan Kejadian Preeklampsia Di Indonesia,” </w:t>
      </w:r>
      <w:r w:rsidRPr="00082516">
        <w:rPr>
          <w:rFonts w:ascii="Tw Cen MT" w:hAnsi="Tw Cen MT" w:cs="Times New Roman"/>
          <w:i/>
          <w:iCs/>
          <w:noProof/>
          <w:sz w:val="24"/>
          <w:szCs w:val="24"/>
        </w:rPr>
        <w:t>J. Perawat Indones.</w:t>
      </w:r>
      <w:r w:rsidRPr="00082516">
        <w:rPr>
          <w:rFonts w:ascii="Tw Cen MT" w:hAnsi="Tw Cen MT" w:cs="Times New Roman"/>
          <w:noProof/>
          <w:sz w:val="24"/>
          <w:szCs w:val="24"/>
        </w:rPr>
        <w:t>, vol. 2, no. 1, p. 32, 2018, doi: 10.32584/jpi.v2i1.38.</w:t>
      </w:r>
    </w:p>
    <w:p w14:paraId="46D63969"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[12]</w:t>
      </w:r>
      <w:r w:rsidRPr="00082516">
        <w:rPr>
          <w:rFonts w:ascii="Tw Cen MT" w:hAnsi="Tw Cen MT" w:cs="Times New Roman"/>
          <w:noProof/>
          <w:sz w:val="24"/>
          <w:szCs w:val="24"/>
        </w:rPr>
        <w:tab/>
        <w:t xml:space="preserve">N. Saraswati and M. Mardiana, “Faktor Risiko Yang Berhubungan Dengan Kejadian Preeklampsia Pada Ibu Hamil (Studi Kasus Di Rsud Kabupaten Brebes Tahun 2014),” </w:t>
      </w:r>
      <w:r w:rsidRPr="00082516">
        <w:rPr>
          <w:rFonts w:ascii="Tw Cen MT" w:hAnsi="Tw Cen MT" w:cs="Times New Roman"/>
          <w:i/>
          <w:iCs/>
          <w:noProof/>
          <w:sz w:val="24"/>
          <w:szCs w:val="24"/>
        </w:rPr>
        <w:t>Unnes J. Public Heal.</w:t>
      </w:r>
      <w:r w:rsidRPr="00082516">
        <w:rPr>
          <w:rFonts w:ascii="Tw Cen MT" w:hAnsi="Tw Cen MT" w:cs="Times New Roman"/>
          <w:noProof/>
          <w:sz w:val="24"/>
          <w:szCs w:val="24"/>
        </w:rPr>
        <w:t>, vol. 5, no. 2, p. 90, 2016, doi: 10.15294/ujph.v5i2.10106.</w:t>
      </w:r>
    </w:p>
    <w:p w14:paraId="23655972"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cs="Times New Roman"/>
          <w:noProof/>
          <w:sz w:val="24"/>
          <w:szCs w:val="24"/>
        </w:rPr>
      </w:pPr>
      <w:r w:rsidRPr="00082516">
        <w:rPr>
          <w:rFonts w:ascii="Tw Cen MT" w:hAnsi="Tw Cen MT" w:cs="Times New Roman"/>
          <w:noProof/>
          <w:sz w:val="24"/>
          <w:szCs w:val="24"/>
        </w:rPr>
        <w:t>[13]</w:t>
      </w:r>
      <w:r w:rsidRPr="00082516">
        <w:rPr>
          <w:rFonts w:ascii="Tw Cen MT" w:hAnsi="Tw Cen MT" w:cs="Times New Roman"/>
          <w:noProof/>
          <w:sz w:val="24"/>
          <w:szCs w:val="24"/>
        </w:rPr>
        <w:tab/>
        <w:t xml:space="preserve">R. Andriyani, “Faktor Risiko Kejadian Pre-Eklampsia di RSUD Arifin Achmad,” </w:t>
      </w:r>
      <w:r w:rsidRPr="00082516">
        <w:rPr>
          <w:rFonts w:ascii="Tw Cen MT" w:hAnsi="Tw Cen MT" w:cs="Times New Roman"/>
          <w:i/>
          <w:iCs/>
          <w:noProof/>
          <w:sz w:val="24"/>
          <w:szCs w:val="24"/>
        </w:rPr>
        <w:t>J. Kesehat. Komunitas</w:t>
      </w:r>
      <w:r w:rsidRPr="00082516">
        <w:rPr>
          <w:rFonts w:ascii="Tw Cen MT" w:hAnsi="Tw Cen MT" w:cs="Times New Roman"/>
          <w:noProof/>
          <w:sz w:val="24"/>
          <w:szCs w:val="24"/>
        </w:rPr>
        <w:t>, vol. 2, no. 1, pp. 26–30, 2012, doi: 10.25311/keskom.vol2.iss1.38.</w:t>
      </w:r>
    </w:p>
    <w:p w14:paraId="02253E43" w14:textId="77777777" w:rsidR="00082516" w:rsidRPr="00082516" w:rsidRDefault="00082516" w:rsidP="00082516">
      <w:pPr>
        <w:widowControl w:val="0"/>
        <w:autoSpaceDE w:val="0"/>
        <w:autoSpaceDN w:val="0"/>
        <w:adjustRightInd w:val="0"/>
        <w:spacing w:after="0" w:line="240" w:lineRule="auto"/>
        <w:ind w:left="640" w:hanging="640"/>
        <w:rPr>
          <w:rFonts w:ascii="Tw Cen MT" w:hAnsi="Tw Cen MT"/>
          <w:noProof/>
          <w:sz w:val="24"/>
        </w:rPr>
      </w:pPr>
      <w:r w:rsidRPr="00082516">
        <w:rPr>
          <w:rFonts w:ascii="Tw Cen MT" w:hAnsi="Tw Cen MT" w:cs="Times New Roman"/>
          <w:noProof/>
          <w:sz w:val="24"/>
          <w:szCs w:val="24"/>
        </w:rPr>
        <w:t>[14]</w:t>
      </w:r>
      <w:r w:rsidRPr="00082516">
        <w:rPr>
          <w:rFonts w:ascii="Tw Cen MT" w:hAnsi="Tw Cen MT" w:cs="Times New Roman"/>
          <w:noProof/>
          <w:sz w:val="24"/>
          <w:szCs w:val="24"/>
        </w:rPr>
        <w:tab/>
        <w:t xml:space="preserve">Nurmawati, “Faktor-Faktor Yang Berhubungan Dengan Kehamilan Resiko Tinggi Di Puskesmas Cibatu Kabupaten Bekasi Provinsi Jawa Barat Tahun 2017,” </w:t>
      </w:r>
      <w:r w:rsidRPr="00082516">
        <w:rPr>
          <w:rFonts w:ascii="Tw Cen MT" w:hAnsi="Tw Cen MT" w:cs="Times New Roman"/>
          <w:i/>
          <w:iCs/>
          <w:noProof/>
          <w:sz w:val="24"/>
          <w:szCs w:val="24"/>
        </w:rPr>
        <w:t>J. Ilmu dan Budaya</w:t>
      </w:r>
      <w:r w:rsidRPr="00082516">
        <w:rPr>
          <w:rFonts w:ascii="Tw Cen MT" w:hAnsi="Tw Cen MT" w:cs="Times New Roman"/>
          <w:noProof/>
          <w:sz w:val="24"/>
          <w:szCs w:val="24"/>
        </w:rPr>
        <w:t>, vol. 40, Nomor, p. 6678, 2017, [Online]. Available: http://journal.unas.ac.id/ilmu-budaya/article/view/430/331.</w:t>
      </w:r>
    </w:p>
    <w:p w14:paraId="6859A3B4" w14:textId="4BFE521E" w:rsidR="004721E3" w:rsidRPr="002E23D7" w:rsidRDefault="003D6097" w:rsidP="004721E3">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bookmarkStart w:id="5" w:name="_heading=h.gjdgxs" w:colFirst="0" w:colLast="0"/>
      <w:bookmarkEnd w:id="5"/>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cer Swift3" w:date="2023-10-13T10:40:00Z" w:initials="AS">
    <w:p w14:paraId="4D0C5A50" w14:textId="46357138" w:rsidR="00C55F0E" w:rsidRDefault="00C55F0E">
      <w:pPr>
        <w:pStyle w:val="CommentText"/>
      </w:pPr>
      <w:r>
        <w:rPr>
          <w:rStyle w:val="CommentReference"/>
        </w:rPr>
        <w:annotationRef/>
      </w:r>
    </w:p>
  </w:comment>
  <w:comment w:id="3" w:author="Acer Swift3" w:date="2023-10-13T11:05:00Z" w:initials="AS">
    <w:p w14:paraId="1125AF47" w14:textId="2B7C263A" w:rsidR="0084208B" w:rsidRDefault="0084208B">
      <w:pPr>
        <w:pStyle w:val="CommentText"/>
      </w:pPr>
      <w:r>
        <w:rPr>
          <w:rStyle w:val="CommentReference"/>
        </w:rPr>
        <w:annotationRef/>
      </w:r>
      <w:r>
        <w:t xml:space="preserve">Buat nama </w:t>
      </w:r>
      <w:proofErr w:type="spellStart"/>
      <w:r>
        <w:t>tabelnya</w:t>
      </w:r>
      <w:proofErr w:type="spellEnd"/>
      <w:r>
        <w:t>, jangan hanya tabel di atas</w:t>
      </w:r>
    </w:p>
  </w:comment>
  <w:comment w:id="4" w:author="Acer Swift3" w:date="2023-10-13T11:04:00Z" w:initials="AS">
    <w:p w14:paraId="3B959B67" w14:textId="35923AEE" w:rsidR="0084208B" w:rsidRDefault="0084208B">
      <w:pPr>
        <w:pStyle w:val="CommentText"/>
      </w:pPr>
      <w:r>
        <w:rPr>
          <w:rStyle w:val="CommentReference"/>
        </w:rPr>
        <w:annotationRef/>
      </w:r>
      <w:r>
        <w:t>Daftar pustaka minimal ada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C5A50" w15:done="1"/>
  <w15:commentEx w15:paraId="1125AF47" w15:done="0"/>
  <w15:commentEx w15:paraId="3B959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33953" w16cex:dateUtc="2023-10-13T03:40:00Z"/>
  <w16cex:commentExtensible w16cex:durableId="4303FE1C" w16cex:dateUtc="2023-10-13T04:05:00Z"/>
  <w16cex:commentExtensible w16cex:durableId="770A1560" w16cex:dateUtc="2023-10-13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C5A50" w16cid:durableId="31133953"/>
  <w16cid:commentId w16cid:paraId="1125AF47" w16cid:durableId="4303FE1C"/>
  <w16cid:commentId w16cid:paraId="3B959B67" w16cid:durableId="770A1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8581" w14:textId="77777777" w:rsidR="00154D17" w:rsidRDefault="00154D17">
      <w:pPr>
        <w:spacing w:after="0" w:line="240" w:lineRule="auto"/>
      </w:pPr>
      <w:r>
        <w:separator/>
      </w:r>
    </w:p>
  </w:endnote>
  <w:endnote w:type="continuationSeparator" w:id="0">
    <w:p w14:paraId="1AF33363" w14:textId="77777777" w:rsidR="00154D17" w:rsidRDefault="0015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547E" w14:textId="77777777" w:rsidR="00154D17" w:rsidRDefault="00154D17">
      <w:pPr>
        <w:spacing w:after="0" w:line="240" w:lineRule="auto"/>
      </w:pPr>
      <w:r>
        <w:separator/>
      </w:r>
    </w:p>
  </w:footnote>
  <w:footnote w:type="continuationSeparator" w:id="0">
    <w:p w14:paraId="3C784C34" w14:textId="77777777" w:rsidR="00154D17" w:rsidRDefault="0015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3880"/>
    <w:rsid w:val="000330CD"/>
    <w:rsid w:val="00035A37"/>
    <w:rsid w:val="00046906"/>
    <w:rsid w:val="00082516"/>
    <w:rsid w:val="00082EFF"/>
    <w:rsid w:val="00096D8F"/>
    <w:rsid w:val="000A46F4"/>
    <w:rsid w:val="000B1F81"/>
    <w:rsid w:val="000B75DE"/>
    <w:rsid w:val="000C4719"/>
    <w:rsid w:val="000D0DFF"/>
    <w:rsid w:val="00106CE2"/>
    <w:rsid w:val="00106D4F"/>
    <w:rsid w:val="0011263D"/>
    <w:rsid w:val="00113901"/>
    <w:rsid w:val="00135DCE"/>
    <w:rsid w:val="00136E70"/>
    <w:rsid w:val="001545D6"/>
    <w:rsid w:val="00154D17"/>
    <w:rsid w:val="00160FDD"/>
    <w:rsid w:val="0016328E"/>
    <w:rsid w:val="00163BA7"/>
    <w:rsid w:val="0016482E"/>
    <w:rsid w:val="00165829"/>
    <w:rsid w:val="00166BFA"/>
    <w:rsid w:val="00194C11"/>
    <w:rsid w:val="00196C16"/>
    <w:rsid w:val="001B6776"/>
    <w:rsid w:val="001E01E2"/>
    <w:rsid w:val="001E2345"/>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371F7"/>
    <w:rsid w:val="00360085"/>
    <w:rsid w:val="00361BBD"/>
    <w:rsid w:val="00372502"/>
    <w:rsid w:val="00380121"/>
    <w:rsid w:val="00383C21"/>
    <w:rsid w:val="003B38A9"/>
    <w:rsid w:val="003D6097"/>
    <w:rsid w:val="003F6489"/>
    <w:rsid w:val="003F6B0D"/>
    <w:rsid w:val="00413D75"/>
    <w:rsid w:val="00420F93"/>
    <w:rsid w:val="00431AAB"/>
    <w:rsid w:val="00463B9A"/>
    <w:rsid w:val="0046541C"/>
    <w:rsid w:val="004721E3"/>
    <w:rsid w:val="00494B6E"/>
    <w:rsid w:val="004A3EFA"/>
    <w:rsid w:val="004A7ACB"/>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0C32"/>
    <w:rsid w:val="006334E1"/>
    <w:rsid w:val="006431BA"/>
    <w:rsid w:val="00655189"/>
    <w:rsid w:val="00664174"/>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4208B"/>
    <w:rsid w:val="0086728C"/>
    <w:rsid w:val="008A326F"/>
    <w:rsid w:val="008A5571"/>
    <w:rsid w:val="008F3C28"/>
    <w:rsid w:val="00942731"/>
    <w:rsid w:val="00943EB9"/>
    <w:rsid w:val="0096335E"/>
    <w:rsid w:val="009957E7"/>
    <w:rsid w:val="00997349"/>
    <w:rsid w:val="009A70E3"/>
    <w:rsid w:val="009D73CD"/>
    <w:rsid w:val="009F5E84"/>
    <w:rsid w:val="009F6554"/>
    <w:rsid w:val="00A343E3"/>
    <w:rsid w:val="00A36329"/>
    <w:rsid w:val="00A71279"/>
    <w:rsid w:val="00AB2BCC"/>
    <w:rsid w:val="00AE2862"/>
    <w:rsid w:val="00B057E2"/>
    <w:rsid w:val="00B241B6"/>
    <w:rsid w:val="00B25240"/>
    <w:rsid w:val="00B40BC9"/>
    <w:rsid w:val="00B41001"/>
    <w:rsid w:val="00B63555"/>
    <w:rsid w:val="00B674AF"/>
    <w:rsid w:val="00BC34CC"/>
    <w:rsid w:val="00BE7B4C"/>
    <w:rsid w:val="00C048CB"/>
    <w:rsid w:val="00C133E7"/>
    <w:rsid w:val="00C20FA8"/>
    <w:rsid w:val="00C222DA"/>
    <w:rsid w:val="00C40DEF"/>
    <w:rsid w:val="00C55F0E"/>
    <w:rsid w:val="00C812B9"/>
    <w:rsid w:val="00C96B4B"/>
    <w:rsid w:val="00CB0A6C"/>
    <w:rsid w:val="00CB3237"/>
    <w:rsid w:val="00CD6253"/>
    <w:rsid w:val="00CF5715"/>
    <w:rsid w:val="00D0123F"/>
    <w:rsid w:val="00D05C14"/>
    <w:rsid w:val="00D06530"/>
    <w:rsid w:val="00D2571D"/>
    <w:rsid w:val="00D31D13"/>
    <w:rsid w:val="00D37FC1"/>
    <w:rsid w:val="00D428B5"/>
    <w:rsid w:val="00D44301"/>
    <w:rsid w:val="00D466FC"/>
    <w:rsid w:val="00D56013"/>
    <w:rsid w:val="00D70D6D"/>
    <w:rsid w:val="00D7278B"/>
    <w:rsid w:val="00D9262D"/>
    <w:rsid w:val="00D9785A"/>
    <w:rsid w:val="00DB156A"/>
    <w:rsid w:val="00DB7592"/>
    <w:rsid w:val="00DC2BB5"/>
    <w:rsid w:val="00DE3780"/>
    <w:rsid w:val="00DF0B65"/>
    <w:rsid w:val="00DF6E07"/>
    <w:rsid w:val="00E00E3E"/>
    <w:rsid w:val="00E03962"/>
    <w:rsid w:val="00E067A8"/>
    <w:rsid w:val="00E37E90"/>
    <w:rsid w:val="00E477A6"/>
    <w:rsid w:val="00E81E13"/>
    <w:rsid w:val="00EA4466"/>
    <w:rsid w:val="00EA57B9"/>
    <w:rsid w:val="00ED0E10"/>
    <w:rsid w:val="00F1133F"/>
    <w:rsid w:val="00F5431A"/>
    <w:rsid w:val="00F6187B"/>
    <w:rsid w:val="00F64252"/>
    <w:rsid w:val="00F817F4"/>
    <w:rsid w:val="00F841D1"/>
    <w:rsid w:val="00F85F33"/>
    <w:rsid w:val="00F9233C"/>
    <w:rsid w:val="00FB41E7"/>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9957E7"/>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957E7"/>
    <w:rPr>
      <w:color w:val="605E5C"/>
      <w:shd w:val="clear" w:color="auto" w:fill="E1DFDD"/>
    </w:rPr>
  </w:style>
  <w:style w:type="character" w:styleId="Emphasis">
    <w:name w:val="Emphasis"/>
    <w:basedOn w:val="DefaultParagraphFont"/>
    <w:uiPriority w:val="20"/>
    <w:qFormat/>
    <w:rsid w:val="00C55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llysusilawatiramli@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7967</Words>
  <Characters>45415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53276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Acer Swift3</cp:lastModifiedBy>
  <cp:revision>19</cp:revision>
  <cp:lastPrinted>2023-05-02T07:00:00Z</cp:lastPrinted>
  <dcterms:created xsi:type="dcterms:W3CDTF">2023-08-18T08:51:00Z</dcterms:created>
  <dcterms:modified xsi:type="dcterms:W3CDTF">2023-10-13T04:09:00Z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57f260f1-fc75-3b2b-b526-62cdba964f85</vt:lpwstr>
  </property>
  <property fmtid="{D5CDD505-2E9C-101B-9397-08002B2CF9AE}" pid="24" name="Mendeley Citation Style_1">
    <vt:lpwstr>http://www.zotero.org/styles/ieee</vt:lpwstr>
  </property>
</Properties>
</file>