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0876F" w14:textId="77777777" w:rsidR="0048291F" w:rsidRDefault="0048291F" w:rsidP="0027621D">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Antioxidant Activity of Tahongai Leaves (</w:t>
      </w:r>
      <w:r w:rsidRPr="0048291F">
        <w:rPr>
          <w:rFonts w:ascii="Tw Cen MT" w:eastAsia="Twentieth Century" w:hAnsi="Tw Cen MT" w:cs="Twentieth Century"/>
          <w:b/>
          <w:i/>
          <w:sz w:val="32"/>
          <w:szCs w:val="32"/>
        </w:rPr>
        <w:t>Klenhovia hospital</w:t>
      </w:r>
      <w:r>
        <w:rPr>
          <w:rFonts w:ascii="Tw Cen MT" w:eastAsia="Twentieth Century" w:hAnsi="Tw Cen MT" w:cs="Twentieth Century"/>
          <w:b/>
          <w:sz w:val="32"/>
          <w:szCs w:val="32"/>
        </w:rPr>
        <w:t xml:space="preserve"> L.) </w:t>
      </w:r>
    </w:p>
    <w:p w14:paraId="04F79038" w14:textId="2FA8830B" w:rsidR="0027621D" w:rsidRPr="0096335E" w:rsidRDefault="0048291F"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Infusa Using DPPH Methode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1C3E83C7" w14:textId="77777777" w:rsidR="0048291F" w:rsidRDefault="0048291F"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 xml:space="preserve">Uji Aktivitas Antioksidan Infusa Daun Tahongai </w:t>
      </w:r>
    </w:p>
    <w:p w14:paraId="2E7DDF99" w14:textId="25522CE1" w:rsidR="007F4948" w:rsidRPr="0096335E" w:rsidRDefault="0048291F" w:rsidP="004721E3">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rPr>
        <w:t>(</w:t>
      </w:r>
      <w:r w:rsidRPr="0048291F">
        <w:rPr>
          <w:rFonts w:ascii="Tw Cen MT" w:eastAsia="Twentieth Century" w:hAnsi="Tw Cen MT" w:cs="Twentieth Century"/>
          <w:b/>
          <w:i/>
          <w:sz w:val="32"/>
          <w:szCs w:val="32"/>
        </w:rPr>
        <w:t>Klenhovia hospital</w:t>
      </w:r>
      <w:r>
        <w:rPr>
          <w:rFonts w:ascii="Tw Cen MT" w:eastAsia="Twentieth Century" w:hAnsi="Tw Cen MT" w:cs="Twentieth Century"/>
          <w:b/>
          <w:sz w:val="32"/>
          <w:szCs w:val="32"/>
        </w:rPr>
        <w:t xml:space="preserve"> L.) Menggunakan Metode DPPH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3C0F311" w:rsidR="004721E3" w:rsidRPr="002E23D7" w:rsidRDefault="0048291F"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Nurillahi Febria Leswana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Sister Sianturi</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37629F48" w14:textId="40E6EFFC" w:rsidR="004721E3" w:rsidRPr="002E23D7" w:rsidRDefault="0048291F"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48291F">
        <w:rPr>
          <w:rFonts w:ascii="Tw Cen MT" w:eastAsia="Twentieth Century" w:hAnsi="Tw Cen MT" w:cs="Twentieth Century"/>
          <w:sz w:val="20"/>
          <w:szCs w:val="20"/>
        </w:rPr>
        <w:t>Program Studi S-1 Farmasi STIKES Dirgahayu Samarinda</w:t>
      </w:r>
      <w:r w:rsidRPr="0048291F">
        <w:rPr>
          <w:rFonts w:ascii="Tw Cen MT" w:eastAsia="Twentieth Century" w:hAnsi="Tw Cen MT" w:cs="Twentieth Century"/>
          <w:sz w:val="20"/>
          <w:szCs w:val="20"/>
          <w:vertAlign w:val="superscript"/>
        </w:rPr>
        <w:t xml:space="preserve"> </w:t>
      </w:r>
      <w:r w:rsidR="004721E3" w:rsidRPr="002E23D7">
        <w:rPr>
          <w:rFonts w:ascii="Tw Cen MT" w:eastAsia="Twentieth Century" w:hAnsi="Tw Cen MT" w:cs="Twentieth Century"/>
          <w:sz w:val="20"/>
          <w:szCs w:val="20"/>
          <w:vertAlign w:val="superscript"/>
        </w:rPr>
        <w:t>2</w:t>
      </w:r>
    </w:p>
    <w:p w14:paraId="23FA8100" w14:textId="34E00363" w:rsidR="007F4948" w:rsidRPr="0096335E" w:rsidRDefault="0048291F"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nfleswana@gmail.com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859B1FD"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79D752FD"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E9C" w:rsidRPr="00AE1E9C">
        <w:rPr>
          <w:rFonts w:ascii="Tw Cen MT" w:eastAsia="Twentieth Century" w:hAnsi="Tw Cen MT" w:cs="Twentieth Century"/>
          <w:i/>
          <w:noProof/>
          <w:color w:val="000000"/>
          <w:sz w:val="20"/>
          <w:szCs w:val="20"/>
          <w:lang w:val="id-ID"/>
        </w:rPr>
        <w:t>Tahongai plant (Kleinhovia hospita Linn.) is a plant that grows naturally on the edge of Indonesian rivers, especially in East Kalimantan. Tahongai plants are used as medicine by the Dayak people in Kalimantan, namely that empirically the use of tahongai plants is effective as a medicine that can treat various diseases such as jaundice, hypertension, diabetes, and cholesterol by drinking the boiled water. The active substances contained in tahongai leaves are saponins, flavonoids, and alkaloids</w:t>
      </w:r>
      <w:r w:rsidR="00AE1E9C" w:rsidRPr="00AE1E9C">
        <w:rPr>
          <w:rFonts w:ascii="Tw Cen MT" w:eastAsia="Twentieth Century" w:hAnsi="Tw Cen MT" w:cs="Twentieth Century"/>
          <w:i/>
          <w:noProof/>
          <w:color w:val="000000"/>
          <w:sz w:val="20"/>
          <w:szCs w:val="20"/>
        </w:rPr>
        <w:t xml:space="preserve"> are </w:t>
      </w:r>
      <w:r w:rsidR="00AE1E9C" w:rsidRPr="00AE1E9C">
        <w:rPr>
          <w:rFonts w:ascii="Tw Cen MT" w:eastAsia="Twentieth Century" w:hAnsi="Tw Cen MT" w:cs="Twentieth Century"/>
          <w:i/>
          <w:noProof/>
          <w:color w:val="000000"/>
          <w:sz w:val="20"/>
          <w:szCs w:val="20"/>
          <w:lang w:val="id-ID"/>
        </w:rPr>
        <w:t>expected to have antioxidant activity. The purpose of this study was to measure the antioxidant activity of tahongai leaf infusa. The extraction method used in this study was infusa while the radical specimen used was DPPH with Vitamin C as the comparison. Phytochemical screening was also carried out on</w:t>
      </w:r>
      <w:r w:rsidR="00AE1E9C">
        <w:rPr>
          <w:rFonts w:ascii="Tw Cen MT" w:eastAsia="Twentieth Century" w:hAnsi="Tw Cen MT" w:cs="Twentieth Century"/>
          <w:i/>
          <w:noProof/>
          <w:color w:val="000000"/>
          <w:sz w:val="20"/>
          <w:szCs w:val="20"/>
        </w:rPr>
        <w:t xml:space="preserve"> </w:t>
      </w:r>
      <w:r w:rsidR="00AE1E9C" w:rsidRPr="00AE1E9C">
        <w:rPr>
          <w:rFonts w:ascii="Tw Cen MT" w:eastAsia="Twentieth Century" w:hAnsi="Tw Cen MT" w:cs="Twentieth Century"/>
          <w:i/>
          <w:noProof/>
          <w:color w:val="000000"/>
          <w:sz w:val="20"/>
          <w:szCs w:val="20"/>
          <w:lang w:val="id-ID"/>
        </w:rPr>
        <w:t xml:space="preserve">tahongai leaf infusa extract positively containing flavonoids, </w:t>
      </w:r>
      <w:r w:rsidR="00AE1E9C">
        <w:rPr>
          <w:rFonts w:ascii="Tw Cen MT" w:eastAsia="Twentieth Century" w:hAnsi="Tw Cen MT" w:cs="Twentieth Century"/>
          <w:i/>
          <w:noProof/>
          <w:color w:val="000000"/>
          <w:sz w:val="20"/>
          <w:szCs w:val="20"/>
          <w:lang w:val="id-ID"/>
        </w:rPr>
        <w:t>tannins, saponins and phenols</w:t>
      </w:r>
      <w:r w:rsidR="00AE1E9C" w:rsidRPr="00AE1E9C">
        <w:rPr>
          <w:rFonts w:ascii="Tw Cen MT" w:eastAsia="Twentieth Century" w:hAnsi="Tw Cen MT" w:cs="Twentieth Century"/>
          <w:i/>
          <w:noProof/>
          <w:color w:val="000000"/>
          <w:sz w:val="20"/>
          <w:szCs w:val="20"/>
          <w:lang w:val="id-ID"/>
        </w:rPr>
        <w:t>. Based on the results of the DPPH radical scavenging analysis of Tahongai leaf infusion, the IC</w:t>
      </w:r>
      <w:r w:rsidR="00AE1E9C" w:rsidRPr="00AE1E9C">
        <w:rPr>
          <w:rFonts w:ascii="Tw Cen MT" w:eastAsia="Twentieth Century" w:hAnsi="Tw Cen MT" w:cs="Twentieth Century"/>
          <w:i/>
          <w:noProof/>
          <w:color w:val="000000"/>
          <w:sz w:val="20"/>
          <w:szCs w:val="20"/>
          <w:vertAlign w:val="subscript"/>
          <w:lang w:val="id-ID"/>
        </w:rPr>
        <w:t>50</w:t>
      </w:r>
      <w:r w:rsidR="00AE1E9C" w:rsidRPr="00AE1E9C">
        <w:rPr>
          <w:rFonts w:ascii="Tw Cen MT" w:eastAsia="Twentieth Century" w:hAnsi="Tw Cen MT" w:cs="Twentieth Century"/>
          <w:i/>
          <w:noProof/>
          <w:color w:val="000000"/>
          <w:sz w:val="20"/>
          <w:szCs w:val="20"/>
          <w:lang w:val="id-ID"/>
        </w:rPr>
        <w:t xml:space="preserve"> value was 139.51 mg/L with the medium antioxidant activity</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4BAE212A" w:rsidR="007F4948" w:rsidRPr="0096335E" w:rsidRDefault="00AE1E9C" w:rsidP="0027621D">
      <w:pPr>
        <w:tabs>
          <w:tab w:val="left" w:pos="426"/>
        </w:tabs>
        <w:spacing w:after="0" w:line="240" w:lineRule="auto"/>
        <w:ind w:left="3150"/>
        <w:jc w:val="both"/>
        <w:rPr>
          <w:rFonts w:ascii="Tw Cen MT" w:eastAsia="Twentieth Century" w:hAnsi="Tw Cen MT" w:cs="Twentieth Century"/>
          <w:i/>
          <w:sz w:val="20"/>
          <w:szCs w:val="20"/>
        </w:rPr>
      </w:pPr>
      <w:r w:rsidRPr="00AE1E9C">
        <w:rPr>
          <w:rFonts w:ascii="Tw Cen MT" w:eastAsia="Twentieth Century" w:hAnsi="Tw Cen MT" w:cs="Twentieth Century"/>
          <w:i/>
          <w:sz w:val="20"/>
          <w:szCs w:val="20"/>
          <w:lang w:val="id-ID"/>
        </w:rPr>
        <w:t xml:space="preserve">Infusa, Kleinhovia hospita Linn, </w:t>
      </w:r>
      <w:r w:rsidRPr="00AE1E9C">
        <w:rPr>
          <w:rFonts w:ascii="Tw Cen MT" w:eastAsia="Twentieth Century" w:hAnsi="Tw Cen MT" w:cs="Twentieth Century"/>
          <w:i/>
          <w:sz w:val="20"/>
          <w:szCs w:val="20"/>
        </w:rPr>
        <w:t>A</w:t>
      </w:r>
      <w:r w:rsidRPr="00AE1E9C">
        <w:rPr>
          <w:rFonts w:ascii="Tw Cen MT" w:eastAsia="Twentieth Century" w:hAnsi="Tw Cen MT" w:cs="Twentieth Century"/>
          <w:i/>
          <w:sz w:val="20"/>
          <w:szCs w:val="20"/>
          <w:lang w:val="id-ID"/>
        </w:rPr>
        <w:t xml:space="preserve">ntioxidant, </w:t>
      </w:r>
      <w:r w:rsidRPr="00AE1E9C">
        <w:rPr>
          <w:rFonts w:ascii="Tw Cen MT" w:eastAsia="Twentieth Century" w:hAnsi="Tw Cen MT" w:cs="Twentieth Century"/>
          <w:i/>
          <w:sz w:val="20"/>
          <w:szCs w:val="20"/>
        </w:rPr>
        <w:t xml:space="preserve">Tahongai leaves, </w:t>
      </w:r>
      <w:r w:rsidRPr="00AE1E9C">
        <w:rPr>
          <w:rFonts w:ascii="Tw Cen MT" w:eastAsia="Twentieth Century" w:hAnsi="Tw Cen MT" w:cs="Twentieth Century"/>
          <w:i/>
          <w:sz w:val="20"/>
          <w:szCs w:val="20"/>
          <w:lang w:val="id-ID"/>
        </w:rPr>
        <w:t>DPPH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10C3D844" w:rsidR="007F4948" w:rsidRPr="004721E3" w:rsidRDefault="00AE1E9C" w:rsidP="00314849">
      <w:pPr>
        <w:tabs>
          <w:tab w:val="left" w:pos="426"/>
        </w:tabs>
        <w:spacing w:after="0" w:line="240" w:lineRule="auto"/>
        <w:ind w:left="3150"/>
        <w:jc w:val="both"/>
        <w:rPr>
          <w:rFonts w:ascii="Tw Cen MT" w:eastAsia="Twentieth Century" w:hAnsi="Tw Cen MT" w:cs="Twentieth Century"/>
          <w:iCs/>
          <w:sz w:val="20"/>
          <w:szCs w:val="20"/>
        </w:rPr>
      </w:pPr>
      <w:r w:rsidRPr="00AE1E9C">
        <w:rPr>
          <w:rFonts w:ascii="Tw Cen MT" w:eastAsia="Twentieth Century" w:hAnsi="Tw Cen MT" w:cs="Twentieth Century"/>
          <w:iCs/>
          <w:color w:val="000000"/>
          <w:sz w:val="20"/>
          <w:szCs w:val="20"/>
          <w:lang w:val="id-ID"/>
        </w:rPr>
        <w:t>Tanaman Tahongai (</w:t>
      </w:r>
      <w:r w:rsidRPr="00AE1E9C">
        <w:rPr>
          <w:rFonts w:ascii="Tw Cen MT" w:eastAsia="Twentieth Century" w:hAnsi="Tw Cen MT" w:cs="Twentieth Century"/>
          <w:i/>
          <w:iCs/>
          <w:color w:val="000000"/>
          <w:sz w:val="20"/>
          <w:szCs w:val="20"/>
          <w:lang w:val="id-ID"/>
        </w:rPr>
        <w:t>Kleinhovia hospita</w:t>
      </w:r>
      <w:r w:rsidRPr="00AE1E9C">
        <w:rPr>
          <w:rFonts w:ascii="Tw Cen MT" w:eastAsia="Twentieth Century" w:hAnsi="Tw Cen MT" w:cs="Twentieth Century"/>
          <w:iCs/>
          <w:color w:val="000000"/>
          <w:sz w:val="20"/>
          <w:szCs w:val="20"/>
          <w:lang w:val="id-ID"/>
        </w:rPr>
        <w:t xml:space="preserve"> Linn.) merupakan suatu tanaman yang tumbuh alami di pinggiran aliran sungai Indonesia, khususnya di Kalimantan Timur. Tanaman tahongai dijadikan obat oleh suku Dayak di Kalimantan yaitu secara empiris penggunaan tanaman tahongai berkhasiat sebagai obat yang mampu mengobati berbagai penyakit seperti penyakit kuning, hipertensi, diabetes, dan kolesterol dengan cara meminum air rebusannya. Zat aktif yang terkandung dalam daun tahongai </w:t>
      </w:r>
      <w:r w:rsidRPr="00AE1E9C">
        <w:rPr>
          <w:rFonts w:ascii="Tw Cen MT" w:eastAsia="Twentieth Century" w:hAnsi="Tw Cen MT" w:cs="Twentieth Century"/>
          <w:iCs/>
          <w:color w:val="000000"/>
          <w:sz w:val="20"/>
          <w:szCs w:val="20"/>
        </w:rPr>
        <w:t xml:space="preserve">seperti </w:t>
      </w:r>
      <w:r w:rsidRPr="00AE1E9C">
        <w:rPr>
          <w:rFonts w:ascii="Tw Cen MT" w:eastAsia="Twentieth Century" w:hAnsi="Tw Cen MT" w:cs="Twentieth Century"/>
          <w:iCs/>
          <w:color w:val="000000"/>
          <w:sz w:val="20"/>
          <w:szCs w:val="20"/>
          <w:lang w:val="id-ID"/>
        </w:rPr>
        <w:t>saponin, flavonoid, dan alkaloid</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 xml:space="preserve">diharapkan memiliki aktivitas antioksidan. </w:t>
      </w:r>
      <w:r w:rsidRPr="00AE1E9C">
        <w:rPr>
          <w:rFonts w:ascii="Tw Cen MT" w:eastAsia="Twentieth Century" w:hAnsi="Tw Cen MT" w:cs="Twentieth Century"/>
          <w:iCs/>
          <w:color w:val="000000"/>
          <w:sz w:val="20"/>
          <w:szCs w:val="20"/>
        </w:rPr>
        <w:t>Tujuan penelitian ini adalah mengetahui aktivitas antioksidan dari infusa daun tahongai.</w:t>
      </w:r>
      <w:r w:rsidRPr="00AE1E9C">
        <w:rPr>
          <w:rFonts w:ascii="Tw Cen MT" w:eastAsia="Twentieth Century" w:hAnsi="Tw Cen MT" w:cs="Twentieth Century"/>
          <w:iCs/>
          <w:color w:val="000000"/>
          <w:sz w:val="20"/>
          <w:szCs w:val="20"/>
          <w:lang w:val="id-ID"/>
        </w:rPr>
        <w:t xml:space="preserve"> Metode ekstraksi yang digunakan pada penelitian ini adalah infusa sedangkan spesi radikal yang digunakan adalah DPPH dengan pembandingan Vitamin C. Skrining fitokimia juga dilakukan pada ekstrak infusa daun tahongai positif mengandung flavonoid, tannin, saponin dan fenol. Berdasarkan hasil uji peredaman radikal DPPH dari infusa daun Tahongai menunjuk</w:t>
      </w:r>
      <w:r w:rsidRPr="00AE1E9C">
        <w:rPr>
          <w:rFonts w:ascii="Tw Cen MT" w:eastAsia="Twentieth Century" w:hAnsi="Tw Cen MT" w:cs="Twentieth Century"/>
          <w:iCs/>
          <w:color w:val="000000"/>
          <w:sz w:val="20"/>
          <w:szCs w:val="20"/>
        </w:rPr>
        <w:t>k</w:t>
      </w:r>
      <w:r w:rsidRPr="00AE1E9C">
        <w:rPr>
          <w:rFonts w:ascii="Tw Cen MT" w:eastAsia="Twentieth Century" w:hAnsi="Tw Cen MT" w:cs="Twentieth Century"/>
          <w:iCs/>
          <w:color w:val="000000"/>
          <w:sz w:val="20"/>
          <w:szCs w:val="20"/>
          <w:lang w:val="id-ID"/>
        </w:rPr>
        <w:t>an nilai IC</w:t>
      </w:r>
      <w:r w:rsidRPr="00AE1E9C">
        <w:rPr>
          <w:rFonts w:ascii="Tw Cen MT" w:eastAsia="Twentieth Century" w:hAnsi="Tw Cen MT" w:cs="Twentieth Century"/>
          <w:iCs/>
          <w:color w:val="000000"/>
          <w:sz w:val="20"/>
          <w:szCs w:val="20"/>
          <w:vertAlign w:val="subscript"/>
          <w:lang w:val="id-ID"/>
        </w:rPr>
        <w:t>50</w:t>
      </w:r>
      <w:r w:rsidRPr="00AE1E9C">
        <w:rPr>
          <w:rFonts w:ascii="Tw Cen MT" w:eastAsia="Twentieth Century" w:hAnsi="Tw Cen MT" w:cs="Twentieth Century"/>
          <w:iCs/>
          <w:color w:val="000000"/>
          <w:sz w:val="20"/>
          <w:szCs w:val="20"/>
          <w:lang w:val="id-ID"/>
        </w:rPr>
        <w:t xml:space="preserve"> sebesar 139,51 mg/L dengan</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aktivitas antioksidan sedang</w:t>
      </w:r>
      <w:r w:rsidR="004721E3" w:rsidRPr="004721E3">
        <w:rPr>
          <w:rFonts w:ascii="Tw Cen MT" w:eastAsia="Twentieth Century" w:hAnsi="Tw Cen MT" w:cs="Twentieth Century"/>
          <w:iCs/>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53A54FDE"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3F04F41"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AE1E9C" w:rsidRPr="00AE1E9C">
        <w:rPr>
          <w:rFonts w:ascii="Tw Cen MT" w:eastAsia="Twentieth Century" w:hAnsi="Tw Cen MT" w:cs="Twentieth Century"/>
          <w:sz w:val="20"/>
          <w:szCs w:val="20"/>
          <w:lang w:val="id-ID"/>
        </w:rPr>
        <w:t xml:space="preserve">Infusa, </w:t>
      </w:r>
      <w:r w:rsidR="00AE1E9C" w:rsidRPr="00AE1E9C">
        <w:rPr>
          <w:rFonts w:ascii="Tw Cen MT" w:eastAsia="Twentieth Century" w:hAnsi="Tw Cen MT" w:cs="Twentieth Century"/>
          <w:i/>
          <w:sz w:val="20"/>
          <w:szCs w:val="20"/>
          <w:lang w:val="id-ID"/>
        </w:rPr>
        <w:t>Kleinhovia hospita</w:t>
      </w:r>
      <w:r w:rsidR="00AE1E9C" w:rsidRPr="00AE1E9C">
        <w:rPr>
          <w:rFonts w:ascii="Tw Cen MT" w:eastAsia="Twentieth Century" w:hAnsi="Tw Cen MT" w:cs="Twentieth Century"/>
          <w:sz w:val="20"/>
          <w:szCs w:val="20"/>
          <w:lang w:val="id-ID"/>
        </w:rPr>
        <w:t xml:space="preserve"> Linn, Antioksidan, Daun Tahongai, DPPH</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FB335D1" w14:textId="1A9278FC" w:rsidR="00F77802" w:rsidRPr="00F77802" w:rsidRDefault="00F77802" w:rsidP="00F77802">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 xml:space="preserve">Kalimantan Timur memiliki sumber daya alam keanekaragam hayati yang dapat </w:t>
      </w:r>
      <w:r w:rsidRPr="00F77802">
        <w:rPr>
          <w:rFonts w:ascii="Tw Cen MT" w:eastAsia="Twentieth Century" w:hAnsi="Tw Cen MT" w:cs="Twentieth Century"/>
          <w:sz w:val="24"/>
          <w:szCs w:val="24"/>
          <w:lang w:val="id-ID"/>
        </w:rPr>
        <w:t xml:space="preserve">dimanfaatkan dalam berbagai produk pangan dan non pangan. Salah satu diantara keanekaragaman hayati hasil hutan non kayu </w:t>
      </w:r>
      <w:r w:rsidRPr="00F77802">
        <w:rPr>
          <w:rFonts w:ascii="Tw Cen MT" w:eastAsia="Twentieth Century" w:hAnsi="Tw Cen MT" w:cs="Twentieth Century"/>
          <w:sz w:val="24"/>
          <w:szCs w:val="24"/>
          <w:lang w:val="id-ID"/>
        </w:rPr>
        <w:lastRenderedPageBreak/>
        <w:t>adalah daun tanaman tahongai (</w:t>
      </w:r>
      <w:r w:rsidRPr="00F77802">
        <w:rPr>
          <w:rFonts w:ascii="Tw Cen MT" w:eastAsia="Twentieth Century" w:hAnsi="Tw Cen MT" w:cs="Twentieth Century"/>
          <w:i/>
          <w:sz w:val="24"/>
          <w:szCs w:val="24"/>
          <w:lang w:val="id-ID"/>
        </w:rPr>
        <w:t>Kleinhovia hospita</w:t>
      </w:r>
      <w:r w:rsidRPr="00F77802">
        <w:rPr>
          <w:rFonts w:ascii="Tw Cen MT" w:eastAsia="Twentieth Century" w:hAnsi="Tw Cen MT" w:cs="Twentieth Century"/>
          <w:sz w:val="24"/>
          <w:szCs w:val="24"/>
          <w:lang w:val="id-ID"/>
        </w:rPr>
        <w:t xml:space="preserve"> L)</w:t>
      </w:r>
      <w:r w:rsidR="00E73AF6">
        <w:rPr>
          <w:rFonts w:ascii="Tw Cen MT" w:eastAsia="Twentieth Century" w:hAnsi="Tw Cen MT" w:cs="Twentieth Century"/>
          <w:sz w:val="24"/>
          <w:szCs w:val="24"/>
        </w:rPr>
        <w:t xml:space="preserve"> [1]</w:t>
      </w:r>
      <w:r w:rsidRPr="00F77802">
        <w:rPr>
          <w:rFonts w:ascii="Tw Cen MT" w:eastAsia="Twentieth Century" w:hAnsi="Tw Cen MT" w:cs="Twentieth Century"/>
          <w:sz w:val="24"/>
          <w:szCs w:val="24"/>
          <w:lang w:val="id-ID"/>
        </w:rPr>
        <w:t>. Tanaman tahongai (</w:t>
      </w:r>
      <w:r w:rsidRPr="00F77802">
        <w:rPr>
          <w:rFonts w:ascii="Tw Cen MT" w:eastAsia="Twentieth Century" w:hAnsi="Tw Cen MT" w:cs="Twentieth Century"/>
          <w:i/>
          <w:sz w:val="24"/>
          <w:szCs w:val="24"/>
          <w:lang w:val="id-ID"/>
        </w:rPr>
        <w:t>Kleinhovia hospita</w:t>
      </w:r>
      <w:r w:rsidRPr="00F77802">
        <w:rPr>
          <w:rFonts w:ascii="Tw Cen MT" w:eastAsia="Twentieth Century" w:hAnsi="Tw Cen MT" w:cs="Twentieth Century"/>
          <w:sz w:val="24"/>
          <w:szCs w:val="24"/>
          <w:lang w:val="id-ID"/>
        </w:rPr>
        <w:t xml:space="preserve"> Linn.) tumbuh alami di pinggiran aliran sungai Indonesia, khususnya di Kalimantan T</w:t>
      </w:r>
      <w:r w:rsidRPr="00F77802">
        <w:rPr>
          <w:rFonts w:ascii="Tw Cen MT" w:eastAsia="Twentieth Century" w:hAnsi="Tw Cen MT" w:cs="Twentieth Century"/>
          <w:sz w:val="24"/>
          <w:szCs w:val="24"/>
        </w:rPr>
        <w:t>imur</w:t>
      </w:r>
      <w:r w:rsidRPr="00F77802">
        <w:rPr>
          <w:rFonts w:ascii="Tw Cen MT" w:eastAsia="Twentieth Century" w:hAnsi="Tw Cen MT" w:cs="Twentieth Century"/>
          <w:sz w:val="24"/>
          <w:szCs w:val="24"/>
          <w:lang w:val="id-ID"/>
        </w:rPr>
        <w:t>. Sejak lama, tanaman tahongai dijadikan obat oleh suku Dayak di Kalimantan. Suku Dayak percaya bahwa secara empiris penggunaan tanaman tahongai berkhasiat sebagai obat yang mampu mengobati berbagai penyakit seperti penyakit kuning, hipertensi, diabetes, dan kolesterol deng</w:t>
      </w:r>
      <w:r w:rsidR="00E73AF6">
        <w:rPr>
          <w:rFonts w:ascii="Tw Cen MT" w:eastAsia="Twentieth Century" w:hAnsi="Tw Cen MT" w:cs="Twentieth Century"/>
          <w:sz w:val="24"/>
          <w:szCs w:val="24"/>
          <w:lang w:val="id-ID"/>
        </w:rPr>
        <w:t>an cara meminum air rebusannya</w:t>
      </w:r>
      <w:r w:rsidR="00E73AF6" w:rsidRPr="00E73AF6">
        <w:rPr>
          <w:rFonts w:ascii="Tw Cen MT" w:eastAsia="Twentieth Century" w:hAnsi="Tw Cen MT" w:cs="Twentieth Century"/>
          <w:sz w:val="24"/>
          <w:szCs w:val="24"/>
          <w:lang w:val="id-ID"/>
        </w:rPr>
        <w:t xml:space="preserve"> </w:t>
      </w:r>
      <w:r w:rsidR="00BD3FAC" w:rsidRPr="00BD3FAC">
        <w:rPr>
          <w:rFonts w:ascii="Tw Cen MT" w:eastAsia="Twentieth Century" w:hAnsi="Tw Cen MT" w:cs="Twentieth Century"/>
          <w:sz w:val="24"/>
          <w:szCs w:val="24"/>
          <w:lang w:val="id-ID"/>
        </w:rPr>
        <w:t>[2]</w:t>
      </w:r>
      <w:r w:rsidRPr="00F77802">
        <w:rPr>
          <w:rFonts w:ascii="Tw Cen MT" w:eastAsia="Twentieth Century" w:hAnsi="Tw Cen MT" w:cs="Twentieth Century"/>
          <w:sz w:val="24"/>
          <w:szCs w:val="24"/>
          <w:lang w:val="id-ID"/>
        </w:rPr>
        <w:t xml:space="preserve">. </w:t>
      </w:r>
      <w:r w:rsidR="00015444">
        <w:rPr>
          <w:rFonts w:ascii="Tw Cen MT" w:eastAsia="Twentieth Century" w:hAnsi="Tw Cen MT" w:cs="Twentieth Century"/>
          <w:sz w:val="24"/>
          <w:szCs w:val="24"/>
        </w:rPr>
        <w:t>Metabolit sekunder</w:t>
      </w:r>
      <w:r w:rsidRPr="00F77802">
        <w:rPr>
          <w:rFonts w:ascii="Tw Cen MT" w:eastAsia="Twentieth Century" w:hAnsi="Tw Cen MT" w:cs="Twentieth Century"/>
          <w:sz w:val="24"/>
          <w:szCs w:val="24"/>
          <w:lang w:val="id-ID"/>
        </w:rPr>
        <w:t xml:space="preserve"> yang terkandung dalam daun tahongai </w:t>
      </w:r>
      <w:r w:rsidR="00015444">
        <w:rPr>
          <w:rFonts w:ascii="Tw Cen MT" w:eastAsia="Twentieth Century" w:hAnsi="Tw Cen MT" w:cs="Twentieth Century"/>
          <w:sz w:val="24"/>
          <w:szCs w:val="24"/>
        </w:rPr>
        <w:t>yaitu</w:t>
      </w:r>
      <w:r w:rsidRPr="00F77802">
        <w:rPr>
          <w:rFonts w:ascii="Tw Cen MT" w:eastAsia="Twentieth Century" w:hAnsi="Tw Cen MT" w:cs="Twentieth Century"/>
          <w:sz w:val="24"/>
          <w:szCs w:val="24"/>
          <w:lang w:val="id-ID"/>
        </w:rPr>
        <w:t xml:space="preserve"> saponin, flavonoid, dan alkaloid. Kandungan flavonoid dan saponin tanaman tahongai diharapkan memiliki aktivitas antioksidan. Antioksidan alami merupakan senyawa antioksidan yang terdapat secara alami dalam tubuh sebagai mekanisme pertahanan tubuh normal maupun berasal dari asupan luar tubuh. Salah satu sumber senyawa antioksidan adalah tanaman dengan kandungan senyawa polifenol yang tinggi </w:t>
      </w:r>
      <w:r w:rsidRPr="00F77802">
        <w:rPr>
          <w:rFonts w:ascii="Tw Cen MT" w:eastAsia="Twentieth Century" w:hAnsi="Tw Cen MT" w:cs="Twentieth Century"/>
          <w:sz w:val="24"/>
          <w:szCs w:val="24"/>
        </w:rPr>
        <w:t xml:space="preserve">yang dapat menangkal radikal bebas </w:t>
      </w:r>
      <w:r w:rsidR="00BD3FAC">
        <w:rPr>
          <w:rFonts w:ascii="Tw Cen MT" w:eastAsia="Twentieth Century" w:hAnsi="Tw Cen MT" w:cs="Twentieth Century"/>
          <w:sz w:val="24"/>
          <w:szCs w:val="24"/>
        </w:rPr>
        <w:t>[3].</w:t>
      </w:r>
    </w:p>
    <w:p w14:paraId="79248723" w14:textId="27CA5952" w:rsidR="00F77802" w:rsidRPr="00CC54BA" w:rsidRDefault="00F77802" w:rsidP="00F77802">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Penyakit degeneratif diantaranya seperti stroke, jantung koroner, kanker, hipertensi, dan penuaan dini yang disebabkan karena adanya radikal bebas</w:t>
      </w:r>
      <w:r w:rsidR="00CC54BA">
        <w:rPr>
          <w:rFonts w:ascii="Tw Cen MT" w:eastAsia="Twentieth Century" w:hAnsi="Tw Cen MT" w:cs="Twentieth Century"/>
          <w:sz w:val="24"/>
          <w:szCs w:val="24"/>
        </w:rPr>
        <w:t xml:space="preserve"> [4]</w:t>
      </w:r>
      <w:r w:rsidRPr="00F77802">
        <w:rPr>
          <w:rFonts w:ascii="Tw Cen MT" w:eastAsia="Twentieth Century" w:hAnsi="Tw Cen MT" w:cs="Twentieth Century"/>
          <w:sz w:val="24"/>
          <w:szCs w:val="24"/>
          <w:lang w:val="id-ID"/>
        </w:rPr>
        <w:t xml:space="preserve">. Radikal bebas sering kita jumpai, baik di luar tubuh maupun di dalam tubuh. </w:t>
      </w:r>
      <w:r w:rsidR="00015444">
        <w:rPr>
          <w:rFonts w:ascii="Tw Cen MT" w:eastAsia="Twentieth Century" w:hAnsi="Tw Cen MT" w:cs="Twentieth Century"/>
          <w:sz w:val="24"/>
          <w:szCs w:val="24"/>
        </w:rPr>
        <w:t>S</w:t>
      </w:r>
      <w:r w:rsidRPr="00F77802">
        <w:rPr>
          <w:rFonts w:ascii="Tw Cen MT" w:eastAsia="Twentieth Century" w:hAnsi="Tw Cen MT" w:cs="Twentieth Century"/>
          <w:sz w:val="24"/>
          <w:szCs w:val="24"/>
          <w:lang w:val="id-ID"/>
        </w:rPr>
        <w:t xml:space="preserve">umber radikal bebas eksogen (dari luar tubuh) </w:t>
      </w:r>
      <w:r w:rsidR="00015444">
        <w:rPr>
          <w:rFonts w:ascii="Tw Cen MT" w:eastAsia="Twentieth Century" w:hAnsi="Tw Cen MT" w:cs="Twentieth Century"/>
          <w:sz w:val="24"/>
          <w:szCs w:val="24"/>
        </w:rPr>
        <w:t>dapat berasal dari</w:t>
      </w:r>
      <w:r w:rsidRPr="00F77802">
        <w:rPr>
          <w:rFonts w:ascii="Tw Cen MT" w:eastAsia="Twentieth Century" w:hAnsi="Tw Cen MT" w:cs="Twentieth Century"/>
          <w:sz w:val="24"/>
          <w:szCs w:val="24"/>
          <w:lang w:val="id-ID"/>
        </w:rPr>
        <w:t xml:space="preserve"> polusi udara, radiasi UV, sinar-X, asap rokok dan makanan yang mengandung pestisida. Radikal bebas dibutuhkan tubuh dalam jumlah normal untuk kesehatan, sementara dalam jumlah berlebih akan menyebabkan stress oksidatif. Keadaan tersebut dapat menyebabkan kerusakan oksidatif mulai dari sel, jaringan, hingga ke organ tubuh yang mempercepat terjadinya proses penuaan dan munculnya berbagai penyakit</w:t>
      </w:r>
      <w:r w:rsidR="00015444">
        <w:rPr>
          <w:rFonts w:ascii="Tw Cen MT" w:eastAsia="Twentieth Century" w:hAnsi="Tw Cen MT" w:cs="Twentieth Century"/>
          <w:sz w:val="24"/>
          <w:szCs w:val="24"/>
        </w:rPr>
        <w:t xml:space="preserve"> yang berbahaya bagi tubuh manusia</w:t>
      </w:r>
      <w:r w:rsidRPr="00F77802">
        <w:rPr>
          <w:rFonts w:ascii="Tw Cen MT" w:eastAsia="Twentieth Century" w:hAnsi="Tw Cen MT" w:cs="Twentieth Century"/>
          <w:sz w:val="24"/>
          <w:szCs w:val="24"/>
          <w:lang w:val="id-ID"/>
        </w:rPr>
        <w:t>. Oleh sebab itu, antioksidan dibutuhkan untuk dapat menunda atau menghambat reaksi oksidasi oleh radikal bebas</w:t>
      </w:r>
      <w:r w:rsidR="00CC54BA">
        <w:rPr>
          <w:rFonts w:ascii="Tw Cen MT" w:eastAsia="Twentieth Century" w:hAnsi="Tw Cen MT" w:cs="Twentieth Century"/>
          <w:sz w:val="24"/>
          <w:szCs w:val="24"/>
        </w:rPr>
        <w:t xml:space="preserve"> [5]</w:t>
      </w:r>
      <w:r w:rsidRPr="00F77802">
        <w:rPr>
          <w:rFonts w:ascii="Tw Cen MT" w:eastAsia="Twentieth Century" w:hAnsi="Tw Cen MT" w:cs="Twentieth Century"/>
          <w:sz w:val="24"/>
          <w:szCs w:val="24"/>
          <w:lang w:val="id-ID"/>
        </w:rPr>
        <w:t xml:space="preserve">. Senyawa antioksidan </w:t>
      </w:r>
      <w:r w:rsidRPr="00F77802">
        <w:rPr>
          <w:rFonts w:ascii="Tw Cen MT" w:eastAsia="Twentieth Century" w:hAnsi="Tw Cen MT" w:cs="Twentieth Century"/>
          <w:sz w:val="24"/>
          <w:szCs w:val="24"/>
          <w:lang w:val="id-ID"/>
        </w:rPr>
        <w:t>dapat menjadi substansi untuk menetralisir radikal bebas dan mencegah kerusakan yang ditimbulkan oleh radikal bebas dengan melengkapi kekurangan elektron yang dimiliki radikal bebas dan menghambat berlangsungnya reaksi pembentukan radikal bebas</w:t>
      </w:r>
      <w:r w:rsidR="00CC54BA" w:rsidRPr="00CC54BA">
        <w:rPr>
          <w:rFonts w:ascii="Tw Cen MT" w:eastAsia="Twentieth Century" w:hAnsi="Tw Cen MT" w:cs="Twentieth Century"/>
          <w:sz w:val="24"/>
          <w:szCs w:val="24"/>
          <w:lang w:val="id-ID"/>
        </w:rPr>
        <w:t xml:space="preserve"> [6]</w:t>
      </w:r>
      <w:r w:rsidRPr="00F77802">
        <w:rPr>
          <w:rFonts w:ascii="Tw Cen MT" w:eastAsia="Twentieth Century" w:hAnsi="Tw Cen MT" w:cs="Twentieth Century"/>
          <w:sz w:val="24"/>
          <w:szCs w:val="24"/>
          <w:lang w:val="id-ID"/>
        </w:rPr>
        <w:t xml:space="preserve">. Aktivitas antioksidan dapat ditentukan dengan beberapa metode. Salah satunya adalah metode peredaman radikal bebas DPPH </w:t>
      </w:r>
      <w:r w:rsidR="00CC54BA">
        <w:rPr>
          <w:rFonts w:ascii="Tw Cen MT" w:eastAsia="Twentieth Century" w:hAnsi="Tw Cen MT" w:cs="Twentieth Century"/>
          <w:sz w:val="24"/>
          <w:szCs w:val="24"/>
        </w:rPr>
        <w:t>[7].</w:t>
      </w:r>
    </w:p>
    <w:p w14:paraId="09613F5B" w14:textId="135BC291" w:rsidR="00F77802" w:rsidRPr="0009030B" w:rsidRDefault="00F77802" w:rsidP="00F77802">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Metode pengukuran aktivitas antioksidan menggunakan DPPH merupakan metode yang relatif sederhana. Komponen ekstrak dicampur dengan larutan DPPH lalu absorbansinya diukur setelah waktu inkubasi yaitu 30 – 40 menit. Keuntungan metode DPPH ini yaitu dapat direaksikan dengan sampel apapun dan dapat mendeteksi kadar antioksidan walaupun aktivitasnya lemah. Kelemahannya ialah DPPH mudah terdegradasi, sehingga proses pengerjaannya haruslah cepat dan hati-hati. perubahan absorbansi pada panjang gelombang maksimum DPPH yang diukur menggunakan spekrtofotometer UV-Vis sehingga akan diketahui aktivitas antoksidan yang dinyatakan dengan IC</w:t>
      </w:r>
      <w:r w:rsidRPr="00F77802">
        <w:rPr>
          <w:rFonts w:ascii="Tw Cen MT" w:eastAsia="Twentieth Century" w:hAnsi="Tw Cen MT" w:cs="Twentieth Century"/>
          <w:sz w:val="24"/>
          <w:szCs w:val="24"/>
          <w:vertAlign w:val="subscript"/>
          <w:lang w:val="id-ID"/>
        </w:rPr>
        <w:t>50</w:t>
      </w:r>
      <w:r w:rsidRPr="00F77802">
        <w:rPr>
          <w:rFonts w:ascii="Tw Cen MT" w:eastAsia="Twentieth Century" w:hAnsi="Tw Cen MT" w:cs="Twentieth Century"/>
          <w:sz w:val="24"/>
          <w:szCs w:val="24"/>
          <w:lang w:val="id-ID"/>
        </w:rPr>
        <w:t xml:space="preserve"> </w:t>
      </w:r>
      <w:r w:rsidR="0009030B" w:rsidRPr="0009030B">
        <w:rPr>
          <w:rFonts w:ascii="Tw Cen MT" w:eastAsia="Twentieth Century" w:hAnsi="Tw Cen MT" w:cs="Twentieth Century"/>
          <w:sz w:val="24"/>
          <w:szCs w:val="24"/>
          <w:lang w:val="id-ID"/>
        </w:rPr>
        <w:t>[8].</w:t>
      </w:r>
    </w:p>
    <w:p w14:paraId="7981B5D7" w14:textId="77777777" w:rsidR="00CC54BA" w:rsidRDefault="00F77802" w:rsidP="00F77802">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 xml:space="preserve">Tanaman daun tahongai secara tradisional digunakan masyarakat dalam bentuk </w:t>
      </w:r>
      <w:r w:rsidRPr="00F77802">
        <w:rPr>
          <w:rFonts w:ascii="Tw Cen MT" w:eastAsia="Twentieth Century" w:hAnsi="Tw Cen MT" w:cs="Twentieth Century"/>
          <w:sz w:val="24"/>
          <w:szCs w:val="24"/>
        </w:rPr>
        <w:t xml:space="preserve">air </w:t>
      </w:r>
      <w:r w:rsidRPr="00F77802">
        <w:rPr>
          <w:rFonts w:ascii="Tw Cen MT" w:eastAsia="Twentieth Century" w:hAnsi="Tw Cen MT" w:cs="Twentieth Century"/>
          <w:sz w:val="24"/>
          <w:szCs w:val="24"/>
          <w:lang w:val="id-ID"/>
        </w:rPr>
        <w:t>rebusan untuk diminum sebagai obat yang dapat mengobati berbagai macam penyakit, sehingga metode infusa dipilih sebagai metode ekstraksi daun tahongai</w:t>
      </w:r>
      <w:r w:rsidRPr="00F77802">
        <w:rPr>
          <w:rFonts w:ascii="Tw Cen MT" w:eastAsia="Twentieth Century" w:hAnsi="Tw Cen MT" w:cs="Twentieth Century"/>
          <w:sz w:val="24"/>
          <w:szCs w:val="24"/>
        </w:rPr>
        <w:t xml:space="preserve"> dalam penelitian ini</w:t>
      </w:r>
      <w:r w:rsidRPr="00F77802">
        <w:rPr>
          <w:rFonts w:ascii="Tw Cen MT" w:eastAsia="Twentieth Century" w:hAnsi="Tw Cen MT" w:cs="Twentieth Century"/>
          <w:sz w:val="24"/>
          <w:szCs w:val="24"/>
          <w:lang w:val="id-ID"/>
        </w:rPr>
        <w:t xml:space="preserve">. </w:t>
      </w:r>
      <w:r w:rsidRPr="00F77802">
        <w:rPr>
          <w:rFonts w:ascii="Tw Cen MT" w:eastAsia="Twentieth Century" w:hAnsi="Tw Cen MT" w:cs="Twentieth Century"/>
          <w:sz w:val="24"/>
          <w:szCs w:val="24"/>
        </w:rPr>
        <w:t xml:space="preserve">Metode infusa diketahui dapat menarik zat aktif atau metabolit sekunder pada tanaman, metode pengerjaannya relative sederhana atau mudah dilakukan. </w:t>
      </w:r>
      <w:r w:rsidRPr="00F77802">
        <w:rPr>
          <w:rFonts w:ascii="Tw Cen MT" w:eastAsia="Twentieth Century" w:hAnsi="Tw Cen MT" w:cs="Twentieth Century"/>
          <w:sz w:val="24"/>
          <w:szCs w:val="24"/>
          <w:lang w:val="id-ID"/>
        </w:rPr>
        <w:t xml:space="preserve">Infusa merupakan metode ekstraksi menggunakan pemanasan dengan pelarut </w:t>
      </w:r>
      <w:r w:rsidRPr="00F77802">
        <w:rPr>
          <w:rFonts w:ascii="Tw Cen MT" w:eastAsia="Twentieth Century" w:hAnsi="Tw Cen MT" w:cs="Twentieth Century"/>
          <w:sz w:val="24"/>
          <w:szCs w:val="24"/>
        </w:rPr>
        <w:t>air</w:t>
      </w:r>
      <w:r w:rsidRPr="00F77802">
        <w:rPr>
          <w:rFonts w:ascii="Tw Cen MT" w:eastAsia="Twentieth Century" w:hAnsi="Tw Cen MT" w:cs="Twentieth Century"/>
          <w:sz w:val="24"/>
          <w:szCs w:val="24"/>
          <w:lang w:val="id-ID"/>
        </w:rPr>
        <w:t xml:space="preserve"> dengan tujuan untuk mendapatkan zat aktif yang bersifat polar dapat tersari dengan optimal. Zat aktif yang dimaksud seperti Polifenol dan flavonoid yang bersifat sebagai antioksidan dimana flavonoid terdapat dalam tanaman kebanyakan dalam bentuk glikosida flavonoid yang bersifat polar sehingga penyariannya dapat dilakukakan dengan air </w:t>
      </w:r>
      <w:r w:rsidRPr="00F77802">
        <w:rPr>
          <w:rFonts w:ascii="Tw Cen MT" w:eastAsia="Twentieth Century" w:hAnsi="Tw Cen MT" w:cs="Twentieth Century"/>
          <w:sz w:val="24"/>
          <w:szCs w:val="24"/>
          <w:lang w:val="id-ID"/>
        </w:rPr>
        <w:lastRenderedPageBreak/>
        <w:t>panas</w:t>
      </w:r>
      <w:r w:rsidR="00CC54BA">
        <w:rPr>
          <w:rFonts w:ascii="Tw Cen MT" w:eastAsia="Twentieth Century" w:hAnsi="Tw Cen MT" w:cs="Twentieth Century"/>
          <w:sz w:val="24"/>
          <w:szCs w:val="24"/>
        </w:rPr>
        <w:t xml:space="preserve"> [9]</w:t>
      </w:r>
      <w:r w:rsidRPr="00F77802">
        <w:rPr>
          <w:rFonts w:ascii="Tw Cen MT" w:eastAsia="Twentieth Century" w:hAnsi="Tw Cen MT" w:cs="Twentieth Century"/>
          <w:sz w:val="24"/>
          <w:szCs w:val="24"/>
        </w:rPr>
        <w:t>. Berdasarkan latar belakang tersebut sehingga perlu dilakukan uji aktivitas antioksidan terhadap ekstrak infusa daun tahongai dengan metode DPPH</w:t>
      </w:r>
      <w:r w:rsidR="00CC54BA">
        <w:rPr>
          <w:rFonts w:ascii="Tw Cen MT" w:eastAsia="Twentieth Century" w:hAnsi="Tw Cen MT" w:cs="Twentieth Century"/>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3057487" w14:textId="77777777" w:rsidR="0009216C" w:rsidRPr="0009216C" w:rsidRDefault="0009216C" w:rsidP="0009216C">
      <w:pPr>
        <w:tabs>
          <w:tab w:val="left" w:pos="426"/>
        </w:tabs>
        <w:spacing w:after="0"/>
        <w:jc w:val="both"/>
        <w:rPr>
          <w:rFonts w:ascii="Tw Cen MT" w:eastAsia="Twentieth Century" w:hAnsi="Tw Cen MT" w:cs="Twentieth Century"/>
          <w:sz w:val="24"/>
          <w:szCs w:val="24"/>
          <w:lang w:eastAsia="en-GB"/>
        </w:rPr>
      </w:pPr>
    </w:p>
    <w:p w14:paraId="23543763" w14:textId="19D9AC3C" w:rsidR="0009216C" w:rsidRPr="0009216C" w:rsidRDefault="0009216C" w:rsidP="00AC7CBD">
      <w:pPr>
        <w:tabs>
          <w:tab w:val="left" w:pos="709"/>
        </w:tabs>
        <w:spacing w:after="0" w:line="240" w:lineRule="auto"/>
        <w:jc w:val="both"/>
        <w:rPr>
          <w:rFonts w:ascii="Tw Cen MT" w:eastAsia="Twentieth Century" w:hAnsi="Tw Cen MT" w:cs="Twentieth Century"/>
          <w:b/>
          <w:sz w:val="24"/>
          <w:szCs w:val="24"/>
          <w:lang w:val="id-ID" w:eastAsia="en-GB"/>
        </w:rPr>
      </w:pPr>
      <w:r w:rsidRPr="0009216C">
        <w:rPr>
          <w:rFonts w:ascii="Tw Cen MT" w:eastAsia="Twentieth Century" w:hAnsi="Tw Cen MT" w:cs="Twentieth Century"/>
          <w:b/>
          <w:sz w:val="24"/>
          <w:szCs w:val="24"/>
          <w:lang w:eastAsia="en-GB"/>
        </w:rPr>
        <w:t xml:space="preserve">Alat </w:t>
      </w:r>
      <w:r w:rsidRPr="0009216C">
        <w:rPr>
          <w:rFonts w:ascii="Tw Cen MT" w:eastAsia="Twentieth Century" w:hAnsi="Tw Cen MT" w:cs="Twentieth Century"/>
          <w:b/>
          <w:sz w:val="24"/>
          <w:szCs w:val="24"/>
        </w:rPr>
        <w:t>dan bahan</w:t>
      </w:r>
    </w:p>
    <w:p w14:paraId="3E02A5DD" w14:textId="0CD1E443" w:rsidR="0009216C" w:rsidRPr="0009216C" w:rsidRDefault="0009216C" w:rsidP="00AC7CBD">
      <w:pPr>
        <w:spacing w:after="0" w:line="240" w:lineRule="auto"/>
        <w:jc w:val="both"/>
        <w:rPr>
          <w:rFonts w:ascii="Tw Cen MT" w:eastAsia="Twentieth Century" w:hAnsi="Tw Cen MT" w:cs="Twentieth Century"/>
          <w:sz w:val="24"/>
          <w:szCs w:val="24"/>
          <w:lang w:eastAsia="en-GB"/>
        </w:rPr>
      </w:pPr>
      <w:r w:rsidRPr="0009216C">
        <w:rPr>
          <w:rFonts w:ascii="Tw Cen MT" w:eastAsia="Twentieth Century" w:hAnsi="Tw Cen MT" w:cs="Twentieth Century"/>
          <w:sz w:val="24"/>
          <w:szCs w:val="24"/>
          <w:lang w:eastAsia="en-GB"/>
        </w:rPr>
        <w:t xml:space="preserve">Alat yang digunakan dalam penelitian ini adalah timbangan analitik, </w:t>
      </w:r>
      <w:r w:rsidRPr="0009216C">
        <w:rPr>
          <w:rFonts w:ascii="Tw Cen MT" w:eastAsia="Twentieth Century" w:hAnsi="Tw Cen MT" w:cs="Twentieth Century"/>
          <w:i/>
          <w:sz w:val="24"/>
          <w:szCs w:val="24"/>
          <w:lang w:eastAsia="en-GB"/>
        </w:rPr>
        <w:t>Waterbath</w:t>
      </w:r>
      <w:r w:rsidRPr="0009216C">
        <w:rPr>
          <w:rFonts w:ascii="Tw Cen MT" w:eastAsia="Twentieth Century" w:hAnsi="Tw Cen MT" w:cs="Twentieth Century"/>
          <w:sz w:val="24"/>
          <w:szCs w:val="24"/>
          <w:lang w:eastAsia="en-GB"/>
        </w:rPr>
        <w:t>, oven, alat-alat gelas, Spektrofotometer UV- Vis.</w:t>
      </w:r>
      <w:r>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eastAsia="en-GB"/>
        </w:rPr>
        <w:t>Bahan yang digunakan pada penelitian ini adalah daun Tahongai (K. hospita L.) yang  didapatkan dari perkebunan lempake Kota Samarinda, radikal DPPH (sigma), etanol 96% (teknis), etanol 96% (pro analisis), metanol 96% (teknis), n-heksan (teknis), Vitamin C (Pro Analisis), reagen dragendorf, reagen mayer, larutan FeCl</w:t>
      </w:r>
      <w:r w:rsidRPr="0009216C">
        <w:rPr>
          <w:rFonts w:ascii="Tw Cen MT" w:eastAsia="Twentieth Century" w:hAnsi="Tw Cen MT" w:cs="Twentieth Century"/>
          <w:sz w:val="24"/>
          <w:szCs w:val="24"/>
          <w:vertAlign w:val="subscript"/>
          <w:lang w:eastAsia="en-GB"/>
        </w:rPr>
        <w:t>3</w:t>
      </w:r>
      <w:r w:rsidRPr="0009216C">
        <w:rPr>
          <w:rFonts w:ascii="Tw Cen MT" w:eastAsia="Twentieth Century" w:hAnsi="Tw Cen MT" w:cs="Twentieth Century"/>
          <w:sz w:val="24"/>
          <w:szCs w:val="24"/>
          <w:lang w:eastAsia="en-GB"/>
        </w:rPr>
        <w:t>, dan aquadest.</w:t>
      </w:r>
    </w:p>
    <w:p w14:paraId="581043A4" w14:textId="77777777" w:rsidR="00766A76" w:rsidRDefault="00766A76" w:rsidP="00AC7CBD">
      <w:pPr>
        <w:tabs>
          <w:tab w:val="left" w:pos="426"/>
        </w:tabs>
        <w:spacing w:after="0" w:line="240" w:lineRule="auto"/>
        <w:jc w:val="both"/>
        <w:rPr>
          <w:rFonts w:ascii="Tw Cen MT" w:eastAsia="Twentieth Century" w:hAnsi="Tw Cen MT" w:cs="Twentieth Century"/>
          <w:b/>
          <w:sz w:val="24"/>
          <w:szCs w:val="24"/>
        </w:rPr>
      </w:pPr>
    </w:p>
    <w:p w14:paraId="03D892DE" w14:textId="2686FAB5" w:rsidR="00D3183C" w:rsidRPr="0009216C" w:rsidRDefault="0009216C" w:rsidP="00AC7CBD">
      <w:pPr>
        <w:tabs>
          <w:tab w:val="left" w:pos="426"/>
        </w:tabs>
        <w:spacing w:after="0" w:line="240" w:lineRule="auto"/>
        <w:jc w:val="both"/>
        <w:rPr>
          <w:rFonts w:ascii="Tw Cen MT" w:eastAsia="Twentieth Century" w:hAnsi="Tw Cen MT" w:cs="Twentieth Century"/>
          <w:b/>
          <w:sz w:val="24"/>
          <w:szCs w:val="24"/>
        </w:rPr>
      </w:pPr>
      <w:r w:rsidRPr="0009216C">
        <w:rPr>
          <w:rFonts w:ascii="Tw Cen MT" w:eastAsia="Twentieth Century" w:hAnsi="Tw Cen MT" w:cs="Twentieth Century"/>
          <w:b/>
          <w:sz w:val="24"/>
          <w:szCs w:val="24"/>
        </w:rPr>
        <w:t>Prosedur Kerja</w:t>
      </w:r>
    </w:p>
    <w:p w14:paraId="0D1A3B0F" w14:textId="77777777"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i/>
          <w:sz w:val="24"/>
          <w:szCs w:val="24"/>
          <w:lang w:eastAsia="en-GB"/>
        </w:rPr>
        <w:t>Pembuatan Simplisia</w:t>
      </w:r>
    </w:p>
    <w:p w14:paraId="53895494" w14:textId="73B7A61E" w:rsidR="0009216C" w:rsidRDefault="0009216C" w:rsidP="00AC7CBD">
      <w:pPr>
        <w:tabs>
          <w:tab w:val="left" w:pos="426"/>
        </w:tabs>
        <w:spacing w:after="0" w:line="240" w:lineRule="auto"/>
        <w:jc w:val="both"/>
        <w:rPr>
          <w:rFonts w:ascii="Tw Cen MT" w:eastAsia="Twentieth Century" w:hAnsi="Tw Cen MT" w:cs="Twentieth Century"/>
          <w:sz w:val="24"/>
          <w:szCs w:val="24"/>
          <w:lang w:eastAsia="en-GB"/>
        </w:rPr>
      </w:pPr>
      <w:r w:rsidRPr="0009216C">
        <w:rPr>
          <w:rFonts w:ascii="Tw Cen MT" w:eastAsia="Twentieth Century" w:hAnsi="Tw Cen MT" w:cs="Twentieth Century"/>
          <w:sz w:val="24"/>
          <w:szCs w:val="24"/>
          <w:lang w:eastAsia="en-GB"/>
        </w:rPr>
        <w:t>Daun tahongai yang digunakan dalam penelitian ini diambil dari perkebunan tanaman Tahongai di Kelurahan Lempake Samarinda Kalimantan Timur. Daun Tahongai yang digunakan ialah daun yang tidak terlalu muda. Sampel yang telah dikumpulkan dilakukan penyortiran untuk mendapatkan bagian dari tanaman daun tahongai yang tidak cacat fisik, daun kemudian dicuci bersih dengan air mengalir untuk menghilangkan kotoran yang menempel. Setelah itu sampel di</w:t>
      </w:r>
      <w:r w:rsidR="00AE387B">
        <w:rPr>
          <w:rFonts w:ascii="Tw Cen MT" w:eastAsia="Twentieth Century" w:hAnsi="Tw Cen MT" w:cs="Twentieth Century"/>
          <w:sz w:val="24"/>
          <w:szCs w:val="24"/>
          <w:lang w:eastAsia="en-GB"/>
        </w:rPr>
        <w:t>potong-potong</w:t>
      </w:r>
      <w:r w:rsidRPr="0009216C">
        <w:rPr>
          <w:rFonts w:ascii="Tw Cen MT" w:eastAsia="Twentieth Century" w:hAnsi="Tw Cen MT" w:cs="Twentieth Century"/>
          <w:sz w:val="24"/>
          <w:szCs w:val="24"/>
          <w:lang w:eastAsia="en-GB"/>
        </w:rPr>
        <w:t xml:space="preserve"> untuk memperluas permukaan sampel sehingga lebih cepat kering tanpa pemanasan berlebih. </w:t>
      </w:r>
      <w:r w:rsidR="00AE387B">
        <w:rPr>
          <w:rFonts w:ascii="Tw Cen MT" w:eastAsia="Twentieth Century" w:hAnsi="Tw Cen MT" w:cs="Twentieth Century"/>
          <w:sz w:val="24"/>
          <w:szCs w:val="24"/>
          <w:lang w:eastAsia="en-GB"/>
        </w:rPr>
        <w:t xml:space="preserve">Setelah itu daun tahongai </w:t>
      </w:r>
      <w:r w:rsidRPr="0009216C">
        <w:rPr>
          <w:rFonts w:ascii="Tw Cen MT" w:eastAsia="Twentieth Century" w:hAnsi="Tw Cen MT" w:cs="Twentieth Century"/>
          <w:sz w:val="24"/>
          <w:szCs w:val="24"/>
          <w:lang w:eastAsia="en-GB"/>
        </w:rPr>
        <w:t>dijemur di bawah sinar matahari dan ditutupi oleh kain hitam</w:t>
      </w:r>
      <w:r w:rsidR="00AE387B">
        <w:rPr>
          <w:rFonts w:ascii="Tw Cen MT" w:eastAsia="Twentieth Century" w:hAnsi="Tw Cen MT" w:cs="Twentieth Century"/>
          <w:sz w:val="24"/>
          <w:szCs w:val="24"/>
          <w:lang w:eastAsia="en-GB"/>
        </w:rPr>
        <w:t xml:space="preserve"> sebaagai bagian dari tahap pengeringan</w:t>
      </w:r>
      <w:r w:rsidRPr="0009216C">
        <w:rPr>
          <w:rFonts w:ascii="Tw Cen MT" w:eastAsia="Twentieth Century" w:hAnsi="Tw Cen MT" w:cs="Twentieth Century"/>
          <w:sz w:val="24"/>
          <w:szCs w:val="24"/>
          <w:lang w:eastAsia="en-GB"/>
        </w:rPr>
        <w:t xml:space="preserve">. Sampel yang telah kering merata kemudian dihaluskan dengan menggunakan </w:t>
      </w:r>
      <w:r w:rsidR="00AE387B" w:rsidRPr="00AE387B">
        <w:rPr>
          <w:rFonts w:ascii="Tw Cen MT" w:eastAsia="Twentieth Century" w:hAnsi="Tw Cen MT" w:cs="Twentieth Century"/>
          <w:i/>
          <w:sz w:val="24"/>
          <w:szCs w:val="24"/>
          <w:lang w:eastAsia="en-GB"/>
        </w:rPr>
        <w:t>grinder</w:t>
      </w:r>
      <w:r w:rsidRPr="0009216C">
        <w:rPr>
          <w:rFonts w:ascii="Tw Cen MT" w:eastAsia="Twentieth Century" w:hAnsi="Tw Cen MT" w:cs="Twentieth Century"/>
          <w:sz w:val="24"/>
          <w:szCs w:val="24"/>
          <w:lang w:eastAsia="en-GB"/>
        </w:rPr>
        <w:t>. Simplisia daun Tahongai yang telah halus disimpan dalam toples kaca dan kedap udara, tidak lembab, dan terhindar dari sinar matahari langsung.</w:t>
      </w:r>
    </w:p>
    <w:p w14:paraId="33742F64"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eastAsia="en-GB"/>
        </w:rPr>
      </w:pPr>
    </w:p>
    <w:p w14:paraId="567E9E7C" w14:textId="77777777"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i/>
          <w:sz w:val="24"/>
          <w:szCs w:val="24"/>
          <w:lang w:eastAsia="en-GB"/>
        </w:rPr>
        <w:t>Pembuatan Infusa Daun Tahongai</w:t>
      </w:r>
    </w:p>
    <w:p w14:paraId="6936D505" w14:textId="5477347E" w:rsidR="0009216C" w:rsidRPr="006B3B70" w:rsidRDefault="0009216C" w:rsidP="00AC7CBD">
      <w:pPr>
        <w:tabs>
          <w:tab w:val="left" w:pos="426"/>
        </w:tabs>
        <w:spacing w:after="0" w:line="240" w:lineRule="auto"/>
        <w:jc w:val="both"/>
        <w:rPr>
          <w:rFonts w:ascii="Tw Cen MT" w:eastAsia="Twentieth Century" w:hAnsi="Tw Cen MT" w:cs="Twentieth Century"/>
          <w:sz w:val="24"/>
          <w:szCs w:val="24"/>
          <w:lang w:val="id-ID" w:eastAsia="en-GB"/>
        </w:rPr>
      </w:pPr>
      <w:r w:rsidRPr="0009216C">
        <w:rPr>
          <w:rFonts w:ascii="Tw Cen MT" w:eastAsia="Twentieth Century" w:hAnsi="Tw Cen MT" w:cs="Twentieth Century"/>
          <w:sz w:val="24"/>
          <w:szCs w:val="24"/>
          <w:lang w:val="id-ID" w:eastAsia="en-GB"/>
        </w:rPr>
        <w:t xml:space="preserve">Daun </w:t>
      </w:r>
      <w:r w:rsidR="00D3183C">
        <w:rPr>
          <w:rFonts w:ascii="Tw Cen MT" w:eastAsia="Twentieth Century" w:hAnsi="Tw Cen MT" w:cs="Twentieth Century"/>
          <w:sz w:val="24"/>
          <w:szCs w:val="24"/>
          <w:lang w:eastAsia="en-GB"/>
        </w:rPr>
        <w:t>t</w:t>
      </w:r>
      <w:r w:rsidRPr="0009216C">
        <w:rPr>
          <w:rFonts w:ascii="Tw Cen MT" w:eastAsia="Twentieth Century" w:hAnsi="Tw Cen MT" w:cs="Twentieth Century"/>
          <w:sz w:val="24"/>
          <w:szCs w:val="24"/>
          <w:lang w:eastAsia="en-GB"/>
        </w:rPr>
        <w:t xml:space="preserve">ahongai </w:t>
      </w:r>
      <w:r w:rsidRPr="0009216C">
        <w:rPr>
          <w:rFonts w:ascii="Tw Cen MT" w:eastAsia="Twentieth Century" w:hAnsi="Tw Cen MT" w:cs="Twentieth Century"/>
          <w:sz w:val="24"/>
          <w:szCs w:val="24"/>
          <w:lang w:val="id-ID" w:eastAsia="en-GB"/>
        </w:rPr>
        <w:t xml:space="preserve">segar yang akan digunakan sebanyak </w:t>
      </w:r>
      <w:smartTag w:uri="urn:schemas-microsoft-com:office:smarttags" w:element="metricconverter">
        <w:smartTagPr>
          <w:attr w:name="ProductID" w:val="75 gram"/>
        </w:smartTagPr>
        <w:r w:rsidRPr="0009216C">
          <w:rPr>
            <w:rFonts w:ascii="Tw Cen MT" w:eastAsia="Twentieth Century" w:hAnsi="Tw Cen MT" w:cs="Twentieth Century"/>
            <w:sz w:val="24"/>
            <w:szCs w:val="24"/>
            <w:lang w:val="id-ID" w:eastAsia="en-GB"/>
          </w:rPr>
          <w:t>75 gram</w:t>
        </w:r>
      </w:smartTag>
      <w:r w:rsidRPr="0009216C">
        <w:rPr>
          <w:rFonts w:ascii="Tw Cen MT" w:eastAsia="Twentieth Century" w:hAnsi="Tw Cen MT" w:cs="Twentieth Century"/>
          <w:sz w:val="24"/>
          <w:szCs w:val="24"/>
          <w:lang w:val="id-ID" w:eastAsia="en-GB"/>
        </w:rPr>
        <w:t xml:space="preserve"> dibuat infusa dengan replikasi masing-masing sebanyak </w:t>
      </w:r>
      <w:smartTag w:uri="urn:schemas-microsoft-com:office:smarttags" w:element="metricconverter">
        <w:smartTagPr>
          <w:attr w:name="ProductID" w:val="25 gram"/>
        </w:smartTagPr>
        <w:r w:rsidRPr="0009216C">
          <w:rPr>
            <w:rFonts w:ascii="Tw Cen MT" w:eastAsia="Twentieth Century" w:hAnsi="Tw Cen MT" w:cs="Twentieth Century"/>
            <w:sz w:val="24"/>
            <w:szCs w:val="24"/>
            <w:lang w:val="id-ID" w:eastAsia="en-GB"/>
          </w:rPr>
          <w:t>25</w:t>
        </w:r>
        <w:r w:rsidRPr="0009216C">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val="id-ID" w:eastAsia="en-GB"/>
          </w:rPr>
          <w:t>gram</w:t>
        </w:r>
      </w:smartTag>
      <w:r w:rsidRPr="0009216C">
        <w:rPr>
          <w:rFonts w:ascii="Tw Cen MT" w:eastAsia="Twentieth Century" w:hAnsi="Tw Cen MT" w:cs="Twentieth Century"/>
          <w:sz w:val="24"/>
          <w:szCs w:val="24"/>
          <w:lang w:val="id-ID" w:eastAsia="en-GB"/>
        </w:rPr>
        <w:t xml:space="preserve"> ditambah air dua kali bobot bahannya yaitu 50 mL untuk membasahi daun </w:t>
      </w:r>
      <w:r w:rsidRPr="0009216C">
        <w:rPr>
          <w:rFonts w:ascii="Tw Cen MT" w:eastAsia="Twentieth Century" w:hAnsi="Tw Cen MT" w:cs="Twentieth Century"/>
          <w:sz w:val="24"/>
          <w:szCs w:val="24"/>
          <w:lang w:eastAsia="en-GB"/>
        </w:rPr>
        <w:t>tahongai</w:t>
      </w:r>
      <w:r w:rsidRPr="0009216C">
        <w:rPr>
          <w:rFonts w:ascii="Tw Cen MT" w:eastAsia="Twentieth Century" w:hAnsi="Tw Cen MT" w:cs="Twentieth Century"/>
          <w:sz w:val="24"/>
          <w:szCs w:val="24"/>
          <w:lang w:val="id-ID" w:eastAsia="en-GB"/>
        </w:rPr>
        <w:t xml:space="preserve">, </w:t>
      </w:r>
      <w:r w:rsidR="00AE387B">
        <w:rPr>
          <w:rFonts w:ascii="Tw Cen MT" w:eastAsia="Twentieth Century" w:hAnsi="Tw Cen MT" w:cs="Twentieth Century"/>
          <w:sz w:val="24"/>
          <w:szCs w:val="24"/>
          <w:lang w:eastAsia="en-GB"/>
        </w:rPr>
        <w:t>detelah itu</w:t>
      </w:r>
      <w:r w:rsidRPr="0009216C">
        <w:rPr>
          <w:rFonts w:ascii="Tw Cen MT" w:eastAsia="Twentieth Century" w:hAnsi="Tw Cen MT" w:cs="Twentieth Century"/>
          <w:sz w:val="24"/>
          <w:szCs w:val="24"/>
          <w:lang w:val="id-ID" w:eastAsia="en-GB"/>
        </w:rPr>
        <w:t xml:space="preserve"> ditambahkan air sebanyak 100 mL. Proses infusa dilakukan selama 15 menit terhitung </w:t>
      </w:r>
      <w:r w:rsidR="00AE387B" w:rsidRPr="00AE387B">
        <w:rPr>
          <w:rFonts w:ascii="Tw Cen MT" w:eastAsia="Twentieth Century" w:hAnsi="Tw Cen MT" w:cs="Twentieth Century"/>
          <w:sz w:val="24"/>
          <w:szCs w:val="24"/>
          <w:lang w:val="id-ID" w:eastAsia="en-GB"/>
        </w:rPr>
        <w:t xml:space="preserve">pada </w:t>
      </w:r>
      <w:r w:rsidRPr="0009216C">
        <w:rPr>
          <w:rFonts w:ascii="Tw Cen MT" w:eastAsia="Twentieth Century" w:hAnsi="Tw Cen MT" w:cs="Twentieth Century"/>
          <w:sz w:val="24"/>
          <w:szCs w:val="24"/>
          <w:lang w:val="id-ID" w:eastAsia="en-GB"/>
        </w:rPr>
        <w:t xml:space="preserve">saat suhu telah mencapai </w:t>
      </w:r>
      <w:smartTag w:uri="urn:schemas-microsoft-com:office:smarttags" w:element="metricconverter">
        <w:smartTagPr>
          <w:attr w:name="ProductID" w:val="90°C"/>
        </w:smartTagPr>
        <w:r w:rsidRPr="0009216C">
          <w:rPr>
            <w:rFonts w:ascii="Tw Cen MT" w:eastAsia="Twentieth Century" w:hAnsi="Tw Cen MT" w:cs="Twentieth Century"/>
            <w:sz w:val="24"/>
            <w:szCs w:val="24"/>
            <w:lang w:val="id-ID" w:eastAsia="en-GB"/>
          </w:rPr>
          <w:t>90°C</w:t>
        </w:r>
      </w:smartTag>
      <w:r w:rsidRPr="0009216C">
        <w:rPr>
          <w:rFonts w:ascii="Tw Cen MT" w:eastAsia="Twentieth Century" w:hAnsi="Tw Cen MT" w:cs="Twentieth Century"/>
          <w:sz w:val="24"/>
          <w:szCs w:val="24"/>
          <w:lang w:val="id-ID" w:eastAsia="en-GB"/>
        </w:rPr>
        <w:t xml:space="preserve"> dengan sesekali diaduk (maksimal sebanyak 4 kali) Infusa yang diperoleh kemudian diserkai dengan kain flanel selagi panas dan dilewati dengan aquadest yang sebelumnya telah dipanaskan hingga </w:t>
      </w:r>
      <w:r w:rsidR="00AE387B" w:rsidRPr="00AE387B">
        <w:rPr>
          <w:rFonts w:ascii="Tw Cen MT" w:eastAsia="Twentieth Century" w:hAnsi="Tw Cen MT" w:cs="Twentieth Century"/>
          <w:sz w:val="24"/>
          <w:szCs w:val="24"/>
          <w:lang w:val="id-ID" w:eastAsia="en-GB"/>
        </w:rPr>
        <w:t xml:space="preserve">volemenya </w:t>
      </w:r>
      <w:r w:rsidRPr="0009216C">
        <w:rPr>
          <w:rFonts w:ascii="Tw Cen MT" w:eastAsia="Twentieth Century" w:hAnsi="Tw Cen MT" w:cs="Twentieth Century"/>
          <w:sz w:val="24"/>
          <w:szCs w:val="24"/>
          <w:lang w:val="id-ID" w:eastAsia="en-GB"/>
        </w:rPr>
        <w:t>mencapai 100 mL</w:t>
      </w:r>
    </w:p>
    <w:p w14:paraId="0B4AEAF8" w14:textId="77777777" w:rsidR="00766A76" w:rsidRPr="006B3B70" w:rsidRDefault="00766A76" w:rsidP="00AC7CBD">
      <w:pPr>
        <w:tabs>
          <w:tab w:val="left" w:pos="426"/>
        </w:tabs>
        <w:spacing w:after="0" w:line="240" w:lineRule="auto"/>
        <w:jc w:val="both"/>
        <w:rPr>
          <w:rFonts w:ascii="Tw Cen MT" w:eastAsia="Twentieth Century" w:hAnsi="Tw Cen MT" w:cs="Twentieth Century"/>
          <w:sz w:val="24"/>
          <w:szCs w:val="24"/>
          <w:lang w:val="id-ID" w:eastAsia="en-GB"/>
        </w:rPr>
      </w:pPr>
    </w:p>
    <w:p w14:paraId="5424E530" w14:textId="4243E348" w:rsidR="00766A76"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Skrining Fitokimia Infusa Daun Tahongai </w:t>
      </w:r>
      <w:r w:rsidR="0009030B" w:rsidRPr="0009030B">
        <w:rPr>
          <w:rFonts w:ascii="Tw Cen MT" w:eastAsia="Twentieth Century" w:hAnsi="Tw Cen MT" w:cs="Twentieth Century"/>
          <w:sz w:val="24"/>
          <w:szCs w:val="24"/>
          <w:lang w:val="id" w:eastAsia="en-GB"/>
        </w:rPr>
        <w:t>[10]</w:t>
      </w:r>
    </w:p>
    <w:p w14:paraId="2393A141"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Alkaloid </w:t>
      </w:r>
    </w:p>
    <w:p w14:paraId="5453480D" w14:textId="18BA031A" w:rsidR="0009216C" w:rsidRDefault="00D3183C" w:rsidP="00AC7CBD">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S</w:t>
      </w:r>
      <w:r w:rsidR="0009216C" w:rsidRPr="0009216C">
        <w:rPr>
          <w:rFonts w:ascii="Tw Cen MT" w:eastAsia="Twentieth Century" w:hAnsi="Tw Cen MT" w:cs="Twentieth Century"/>
          <w:sz w:val="24"/>
          <w:szCs w:val="24"/>
          <w:lang w:val="id" w:eastAsia="en-GB"/>
        </w:rPr>
        <w:t xml:space="preserve">ebanyak 2 mL </w:t>
      </w:r>
      <w:r>
        <w:rPr>
          <w:rFonts w:ascii="Tw Cen MT" w:eastAsia="Twentieth Century" w:hAnsi="Tw Cen MT" w:cs="Twentieth Century"/>
          <w:sz w:val="24"/>
          <w:szCs w:val="24"/>
          <w:lang w:val="id" w:eastAsia="en-GB"/>
        </w:rPr>
        <w:t xml:space="preserve">larutan uji </w:t>
      </w:r>
      <w:r w:rsidR="0009216C" w:rsidRPr="0009216C">
        <w:rPr>
          <w:rFonts w:ascii="Tw Cen MT" w:eastAsia="Twentieth Century" w:hAnsi="Tw Cen MT" w:cs="Twentieth Century"/>
          <w:sz w:val="24"/>
          <w:szCs w:val="24"/>
          <w:lang w:val="id" w:eastAsia="en-GB"/>
        </w:rPr>
        <w:t xml:space="preserve">diuapkan diatas cawan porselin hingga diperoleh residu. Residu kemudian dilarutkan dengan 5 mL HCl 2 N. Larutan yang didapat di bagi ke dalam 3 tabung reaksi. Tabung pertama ditambahkan dengan asam encer yang berfungsi sebagai blanko. Tabung kedua ditambahkan 3 tetes pereaksi Dragendroff dan tabung ketiga ditambahkan 3 tetes pereaksi Mayer. Terbentuknya endapan jingga pada tabung kedua dan endapan kuning pada tabung ketiga menunjukkan adanya alkaloid </w:t>
      </w:r>
    </w:p>
    <w:p w14:paraId="26794C03"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19FFF6D0"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Saponin</w:t>
      </w:r>
    </w:p>
    <w:p w14:paraId="6B0A4AA7" w14:textId="7EFC3EF4"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Larutan uji sebanyak 10 mL dalam tabung reaksi dikocok vertikal selama 10 detik kemudian dibiarkan selama 10 detik. Pembentukan busa setinggi 1-10 cm yang stabil selama tidak kurang dari 10 menit menunjukkan adanya saponin. Pada penambahan 1 tetes HCl 2 N, busa tidak hilang.</w:t>
      </w:r>
    </w:p>
    <w:p w14:paraId="1665E64F"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04DEE880"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Tannin dan Polifenol</w:t>
      </w:r>
    </w:p>
    <w:p w14:paraId="2CCCB541" w14:textId="2E081D10"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eastAsia="en-GB"/>
        </w:rPr>
        <w:t xml:space="preserve">Larutan uji sebanyak 2 mL dibagi kedalam 2 bagian. Tabung A digunakan sebagai blanko dan tabung B direaksikan dengan larutan besi </w:t>
      </w:r>
      <w:r w:rsidRPr="0009216C">
        <w:rPr>
          <w:rFonts w:ascii="Tw Cen MT" w:eastAsia="Twentieth Century" w:hAnsi="Tw Cen MT" w:cs="Twentieth Century"/>
          <w:sz w:val="24"/>
          <w:szCs w:val="24"/>
          <w:lang w:eastAsia="en-GB"/>
        </w:rPr>
        <w:lastRenderedPageBreak/>
        <w:t xml:space="preserve">(III) klorida 10%, </w:t>
      </w:r>
      <w:r w:rsidRPr="0009216C">
        <w:rPr>
          <w:rFonts w:ascii="Tw Cen MT" w:eastAsia="Twentieth Century" w:hAnsi="Tw Cen MT" w:cs="Twentieth Century"/>
          <w:sz w:val="24"/>
          <w:szCs w:val="24"/>
          <w:lang w:val="id" w:eastAsia="en-GB"/>
        </w:rPr>
        <w:t>warna biru tua atau hitam kehijauan menunjukkan adanya tanin dan polifenol.</w:t>
      </w:r>
    </w:p>
    <w:p w14:paraId="5E4128A8"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445242DF"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Flavonoid </w:t>
      </w:r>
    </w:p>
    <w:p w14:paraId="29A90856" w14:textId="41731A3F" w:rsidR="00766A76"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Pemeriksaan flavonoid Larutan uji sebanyak 1 mL dibasahkan dengan aseton, ditambahkan sedikit serbuk halus asam bora</w:t>
      </w:r>
      <w:r w:rsidR="00766A76">
        <w:rPr>
          <w:rFonts w:ascii="Tw Cen MT" w:eastAsia="Twentieth Century" w:hAnsi="Tw Cen MT" w:cs="Twentieth Century"/>
          <w:sz w:val="24"/>
          <w:szCs w:val="24"/>
          <w:lang w:val="id" w:eastAsia="en-GB"/>
        </w:rPr>
        <w:t>t dan serbuk halus asam oksalat</w:t>
      </w:r>
      <w:r w:rsidRPr="0009216C">
        <w:rPr>
          <w:rFonts w:ascii="Tw Cen MT" w:eastAsia="Twentieth Century" w:hAnsi="Tw Cen MT" w:cs="Twentieth Century"/>
          <w:sz w:val="24"/>
          <w:szCs w:val="24"/>
          <w:lang w:val="id" w:eastAsia="en-GB"/>
        </w:rPr>
        <w:t>, dipanaskan diatas tangas air dan dihindari pemanasan berlebihan. Sisa yang diperoleh dicampur dengan 10 mL eter P kemudian diamati dengan sinar UV 366 nm. Larutan berfluoresensi kuning intensif menunjukkan adanya flavonoid.</w:t>
      </w:r>
    </w:p>
    <w:p w14:paraId="1DB5D8A1" w14:textId="77777777" w:rsidR="0009030B" w:rsidRPr="0009030B" w:rsidRDefault="0009030B" w:rsidP="00AC7CBD">
      <w:pPr>
        <w:tabs>
          <w:tab w:val="left" w:pos="426"/>
        </w:tabs>
        <w:spacing w:after="0" w:line="240" w:lineRule="auto"/>
        <w:jc w:val="both"/>
        <w:rPr>
          <w:rFonts w:ascii="Tw Cen MT" w:eastAsia="Twentieth Century" w:hAnsi="Tw Cen MT" w:cs="Twentieth Century"/>
          <w:sz w:val="24"/>
          <w:szCs w:val="24"/>
          <w:lang w:val="id" w:eastAsia="en-GB"/>
        </w:rPr>
      </w:pPr>
    </w:p>
    <w:p w14:paraId="2F5903E8" w14:textId="77777777" w:rsidR="0009030B"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Steroid dan Triterpenoid</w:t>
      </w:r>
    </w:p>
    <w:p w14:paraId="3CB2E721" w14:textId="04F7A9CF"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Larutan Uji sebanyak 2 mL diuapkan dengan cawan porselin. Residu dilarutkan dengan 0,5 mL kloroform, ditambahkan 0,5 mL asam asetat anhidrat dan 2 mL asam sulfat pekat melalui dinding tabung terbentuk cincin kecoklatan atau violet pada perbatasan larutan menunjukkan adanya triterpenoid, sedangkan bila muncul cincin biru kehijauan menunjukkan adanya steroid</w:t>
      </w:r>
    </w:p>
    <w:p w14:paraId="3659C357"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3A5AB112" w14:textId="77777777" w:rsidR="0009216C" w:rsidRPr="006B3B70" w:rsidRDefault="0009216C" w:rsidP="00AC7CBD">
      <w:pPr>
        <w:tabs>
          <w:tab w:val="left" w:pos="426"/>
        </w:tabs>
        <w:spacing w:after="0" w:line="240" w:lineRule="auto"/>
        <w:jc w:val="both"/>
        <w:rPr>
          <w:rFonts w:ascii="Tw Cen MT" w:eastAsia="Twentieth Century" w:hAnsi="Tw Cen MT" w:cs="Twentieth Century"/>
          <w:bCs/>
          <w:i/>
          <w:sz w:val="24"/>
          <w:szCs w:val="24"/>
          <w:lang w:val="id" w:eastAsia="en-GB"/>
        </w:rPr>
      </w:pPr>
      <w:r w:rsidRPr="006B3B70">
        <w:rPr>
          <w:rFonts w:ascii="Tw Cen MT" w:eastAsia="Twentieth Century" w:hAnsi="Tw Cen MT" w:cs="Twentieth Century"/>
          <w:bCs/>
          <w:i/>
          <w:sz w:val="24"/>
          <w:szCs w:val="24"/>
          <w:lang w:val="id" w:eastAsia="en-GB"/>
        </w:rPr>
        <w:t>Pembuatan larutan DPPH 0,05 mM</w:t>
      </w:r>
    </w:p>
    <w:p w14:paraId="4447BF9A" w14:textId="7739A40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19,7 mg DPPH dilarutkan dengan etanol absolut dalam labu ukur 100 mL, kemudian dicukupkan volumenya dengan etanol absolut sampai garis tanda, kemudian dimasukkan dalam botol gelap agar terbebas dari cahaya matahari sehingga diperoleh larutan DPPH 0,5 mM</w:t>
      </w:r>
      <w:r w:rsidR="00822EAC">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Kemudian Sebanyak 10 mL larutan DPPH 0,5 mM diencerkan menjadi 0,05 mM dengan etanol absolut dalam labu ukur 100 mL dan dicukupkan volumenya sampai garis tanda, kemudian dimasukkan kedalam botol gelap agar terhindar dari cahaya matahari. Larutan DPPH 0,05 mM dipipet sebanyak 4 ml digunakan sebagai blanko, kemudian dimasukkan kedalam kuvet dan diukur absorbansinya menggunakan Spektrofotometri UV-Vis</w:t>
      </w:r>
    </w:p>
    <w:p w14:paraId="00D7E216" w14:textId="77777777" w:rsidR="00766A76" w:rsidRDefault="00766A76"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18D16B5E" w14:textId="77777777" w:rsidR="00015444" w:rsidRDefault="00015444"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0F8E5C67"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Penentuan Panjang Gelombang Maksimum </w:t>
      </w:r>
    </w:p>
    <w:p w14:paraId="637B8CA5" w14:textId="069C9A10" w:rsidR="0009216C" w:rsidRPr="0009216C" w:rsidRDefault="00822EAC" w:rsidP="00AC7CBD">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 xml:space="preserve">Sebanyak </w:t>
      </w:r>
      <w:r w:rsidR="0009216C" w:rsidRPr="0009216C">
        <w:rPr>
          <w:rFonts w:ascii="Tw Cen MT" w:eastAsia="Twentieth Century" w:hAnsi="Tw Cen MT" w:cs="Twentieth Century"/>
          <w:sz w:val="24"/>
          <w:szCs w:val="24"/>
          <w:lang w:val="id" w:eastAsia="en-GB"/>
        </w:rPr>
        <w:t xml:space="preserve">1   mL   larutan  DPPH  0,5 mM ditambahkan   4   mL etanol dikocok   homogen dan     diukur     serapannya yang diperoleh pada rentang  </w:t>
      </w:r>
      <w:r w:rsidR="0009216C" w:rsidRPr="0009216C">
        <w:rPr>
          <w:rFonts w:ascii="Arial" w:eastAsia="Twentieth Century" w:hAnsi="Arial" w:cs="Arial"/>
          <w:sz w:val="24"/>
          <w:szCs w:val="24"/>
          <w:lang w:val="id" w:eastAsia="en-GB"/>
        </w:rPr>
        <w:t>λ</w:t>
      </w:r>
      <w:r w:rsidR="0009216C" w:rsidRPr="0009216C">
        <w:rPr>
          <w:rFonts w:ascii="Tw Cen MT" w:eastAsia="Twentieth Century" w:hAnsi="Tw Cen MT" w:cs="Twentieth Century"/>
          <w:sz w:val="24"/>
          <w:szCs w:val="24"/>
          <w:lang w:val="id" w:eastAsia="en-GB"/>
        </w:rPr>
        <w:t xml:space="preserve">  510 -520  nm dengan blanko etanol</w:t>
      </w:r>
      <w:r>
        <w:rPr>
          <w:rFonts w:ascii="Tw Cen MT" w:eastAsia="Twentieth Century" w:hAnsi="Tw Cen MT" w:cs="Twentieth Century"/>
          <w:sz w:val="24"/>
          <w:szCs w:val="24"/>
          <w:lang w:val="id" w:eastAsia="en-GB"/>
        </w:rPr>
        <w:t>.</w:t>
      </w:r>
    </w:p>
    <w:p w14:paraId="6701C916" w14:textId="77777777" w:rsidR="00766A76" w:rsidRPr="006B3B70" w:rsidRDefault="00766A76"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15CF7CBF"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eastAsia="en-GB"/>
        </w:rPr>
        <w:t>Pembuatan Larutan uji ekstrak etanol daun Tahongai (Kleinhovia hospital L.)</w:t>
      </w:r>
    </w:p>
    <w:p w14:paraId="53F166F4"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Sebanyak 25 mg ekstrak daun Tahongai dimasukkan ke dalam buah labu ukur 25 mL. Labu ukur kemudian dicukupkan volumenya dengan etanol absolut sampai tanda batas sehingga diperoleh larutan induk ekstrak daun Tahongai 1000 ppm. Selanjutnya larutan induk tersebut dibuat seri konsentrasi 30 ppm, 60 ppm, 90 ppm dan 120 ppm, dan 150 ppm. </w:t>
      </w:r>
    </w:p>
    <w:p w14:paraId="4A8C3B9D" w14:textId="77777777" w:rsidR="00766A76" w:rsidRDefault="00766A76" w:rsidP="00AC7CBD">
      <w:pPr>
        <w:tabs>
          <w:tab w:val="left" w:pos="426"/>
        </w:tabs>
        <w:spacing w:after="0" w:line="240" w:lineRule="auto"/>
        <w:jc w:val="both"/>
        <w:rPr>
          <w:rFonts w:ascii="Tw Cen MT" w:eastAsia="Twentieth Century" w:hAnsi="Tw Cen MT" w:cs="Twentieth Century"/>
          <w:bCs/>
          <w:i/>
          <w:sz w:val="24"/>
          <w:szCs w:val="24"/>
          <w:lang w:eastAsia="en-GB"/>
        </w:rPr>
      </w:pPr>
    </w:p>
    <w:p w14:paraId="6F0787FD" w14:textId="78B5A72E"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Pengukuran serapan larutan uji dengan menggunakan Spektrofotometer UV-VIS</w:t>
      </w:r>
      <w:r w:rsidR="00766A76">
        <w:rPr>
          <w:rFonts w:ascii="Tw Cen MT" w:eastAsia="Twentieth Century" w:hAnsi="Tw Cen MT" w:cs="Twentieth Century"/>
          <w:bCs/>
          <w:i/>
          <w:sz w:val="24"/>
          <w:szCs w:val="24"/>
          <w:lang w:eastAsia="en-GB"/>
        </w:rPr>
        <w:t>.</w:t>
      </w:r>
    </w:p>
    <w:p w14:paraId="0EF8DD97" w14:textId="4C09E2F0"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Masing-masing seri konsentrasi larutan uji di pipet sebanyak 1 mL kemudian dimasukkan kedalam tabung reaksi dan ditambahkan 3 mL larutan DPPH. Masing-masing larutan kemudian divortex selama 30 detik dan didiamkan selama 30 menit, s</w:t>
      </w:r>
      <w:r w:rsidR="00822EAC">
        <w:rPr>
          <w:rFonts w:ascii="Tw Cen MT" w:eastAsia="Twentieth Century" w:hAnsi="Tw Cen MT" w:cs="Twentieth Century"/>
          <w:sz w:val="24"/>
          <w:szCs w:val="24"/>
          <w:lang w:val="id" w:eastAsia="en-GB"/>
        </w:rPr>
        <w:t xml:space="preserve">elanjutnya diukur absorbansi larutannya </w:t>
      </w:r>
      <w:r w:rsidRPr="0009216C">
        <w:rPr>
          <w:rFonts w:ascii="Tw Cen MT" w:eastAsia="Twentieth Century" w:hAnsi="Tw Cen MT" w:cs="Twentieth Century"/>
          <w:sz w:val="24"/>
          <w:szCs w:val="24"/>
          <w:lang w:val="id" w:eastAsia="en-GB"/>
        </w:rPr>
        <w:t xml:space="preserve">menggunakan spektrofotometer UV-Vis pada panjang gelombang 515 nm. </w:t>
      </w:r>
      <w:r w:rsidR="00822EAC">
        <w:rPr>
          <w:rFonts w:ascii="Tw Cen MT" w:eastAsia="Twentieth Century" w:hAnsi="Tw Cen MT" w:cs="Twentieth Century"/>
          <w:sz w:val="24"/>
          <w:szCs w:val="24"/>
          <w:lang w:val="id" w:eastAsia="en-GB"/>
        </w:rPr>
        <w:t>Seluruh</w:t>
      </w:r>
      <w:r w:rsidRPr="0009216C">
        <w:rPr>
          <w:rFonts w:ascii="Tw Cen MT" w:eastAsia="Twentieth Century" w:hAnsi="Tw Cen MT" w:cs="Twentieth Century"/>
          <w:sz w:val="24"/>
          <w:szCs w:val="24"/>
          <w:lang w:val="id" w:eastAsia="en-GB"/>
        </w:rPr>
        <w:t xml:space="preserve"> pengerjaan  dilakukan dalam ruangan yang terhindar dari cahaya matahari.</w:t>
      </w:r>
    </w:p>
    <w:p w14:paraId="6BDB77C9"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7C5993E3"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Pembuatan larutan pembanding vitamin C</w:t>
      </w:r>
    </w:p>
    <w:p w14:paraId="138B67D9" w14:textId="77777777"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Sebanyak 25 mg vitamin C dimasukkan ke dalam buah labu ukur 25 mL. Labu ukur kemudian dicukupkan volumenya dengan etanol absolut sampai tanda batas sehingga diperoleh larutan induk vitamin C 1000 ppm. Selanjutnya  larutan induk tersebut dibuat seri konsentrasi 30 ppm, 60 ppm, 90 ppm dan 120 ppm, dan 150 ppm.</w:t>
      </w:r>
    </w:p>
    <w:p w14:paraId="3253EB2D" w14:textId="77777777" w:rsidR="00822EAC" w:rsidRPr="0009216C" w:rsidRDefault="00822EAC" w:rsidP="00AC7CBD">
      <w:pPr>
        <w:tabs>
          <w:tab w:val="left" w:pos="426"/>
        </w:tabs>
        <w:spacing w:after="0" w:line="240" w:lineRule="auto"/>
        <w:jc w:val="both"/>
        <w:rPr>
          <w:rFonts w:ascii="Tw Cen MT" w:eastAsia="Twentieth Century" w:hAnsi="Tw Cen MT" w:cs="Twentieth Century"/>
          <w:sz w:val="24"/>
          <w:szCs w:val="24"/>
          <w:lang w:val="id" w:eastAsia="en-GB"/>
        </w:rPr>
      </w:pPr>
    </w:p>
    <w:p w14:paraId="5D8F3F65" w14:textId="77777777" w:rsidR="00766A76" w:rsidRDefault="00766A76" w:rsidP="00AC7CBD">
      <w:pPr>
        <w:tabs>
          <w:tab w:val="left" w:pos="426"/>
        </w:tabs>
        <w:spacing w:after="0" w:line="240" w:lineRule="auto"/>
        <w:jc w:val="both"/>
        <w:rPr>
          <w:rFonts w:ascii="Tw Cen MT" w:eastAsia="Twentieth Century" w:hAnsi="Tw Cen MT" w:cs="Twentieth Century"/>
          <w:bCs/>
          <w:i/>
          <w:sz w:val="24"/>
          <w:szCs w:val="24"/>
          <w:lang w:eastAsia="en-GB"/>
        </w:rPr>
      </w:pPr>
    </w:p>
    <w:p w14:paraId="661BB763"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lastRenderedPageBreak/>
        <w:t>Pengukuran serapan Larutan Pembanding Vitamin C menggunakan spektrofotometer UV-Vis</w:t>
      </w:r>
    </w:p>
    <w:p w14:paraId="50573CB6" w14:textId="12C76BAC"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Masing-masing seri konsentrasi larutan pembanding dipipet sebanyak 1 mL kemudian dimasukkan kedalam tabung reaksi dan ditambahkan 3 mL larutan DPPH. Masing-masing larutan kemudian divortex selama 30 detik untuk menghomogenkan larutan dan diinkubasi selama 30 menit dalam keadaan gelap dan pada suhu ruang. Hal ini bertujuan untuk memberikan waktu senyawa antioksidan yang terkandung didalam larutan untuk bereaksi sempurna dengan DPPH. Selanjutnya diukur absorbansinya menggunakan spektrofotometer UV-Vis pada panjang gelombang 517 nm. Semua pengerjaan dilakukan dalam ruangan yang terhindar dari cahaya matahari </w:t>
      </w:r>
      <w:r w:rsidR="0009030B">
        <w:rPr>
          <w:rFonts w:ascii="Tw Cen MT" w:eastAsia="Twentieth Century" w:hAnsi="Tw Cen MT" w:cs="Twentieth Century"/>
          <w:sz w:val="24"/>
          <w:szCs w:val="24"/>
          <w:lang w:val="id" w:eastAsia="en-GB"/>
        </w:rPr>
        <w:t>[11]</w:t>
      </w:r>
    </w:p>
    <w:p w14:paraId="5B7FFCC0" w14:textId="77777777" w:rsidR="00766A76" w:rsidRDefault="00766A76" w:rsidP="00AC7CBD">
      <w:pPr>
        <w:tabs>
          <w:tab w:val="left" w:pos="426"/>
        </w:tabs>
        <w:spacing w:after="0" w:line="240" w:lineRule="auto"/>
        <w:jc w:val="both"/>
        <w:rPr>
          <w:rFonts w:ascii="Tw Cen MT" w:eastAsia="Twentieth Century" w:hAnsi="Tw Cen MT" w:cs="Twentieth Century"/>
          <w:b/>
          <w:bCs/>
          <w:sz w:val="24"/>
          <w:szCs w:val="24"/>
          <w:lang w:eastAsia="en-GB"/>
        </w:rPr>
      </w:pPr>
    </w:p>
    <w:p w14:paraId="3DC0F399" w14:textId="77777777" w:rsidR="0009216C" w:rsidRPr="0009216C" w:rsidRDefault="0009216C" w:rsidP="00AC7CBD">
      <w:pPr>
        <w:tabs>
          <w:tab w:val="left" w:pos="426"/>
        </w:tabs>
        <w:spacing w:after="0" w:line="240" w:lineRule="auto"/>
        <w:jc w:val="both"/>
        <w:rPr>
          <w:rFonts w:ascii="Tw Cen MT" w:eastAsia="Twentieth Century" w:hAnsi="Tw Cen MT" w:cs="Twentieth Century"/>
          <w:b/>
          <w:bCs/>
          <w:sz w:val="24"/>
          <w:szCs w:val="24"/>
          <w:lang w:eastAsia="en-GB"/>
        </w:rPr>
      </w:pPr>
      <w:r w:rsidRPr="0009216C">
        <w:rPr>
          <w:rFonts w:ascii="Tw Cen MT" w:eastAsia="Twentieth Century" w:hAnsi="Tw Cen MT" w:cs="Twentieth Century"/>
          <w:b/>
          <w:bCs/>
          <w:sz w:val="24"/>
          <w:szCs w:val="24"/>
          <w:lang w:eastAsia="en-GB"/>
        </w:rPr>
        <w:t>Analisis Data</w:t>
      </w:r>
    </w:p>
    <w:p w14:paraId="2E4E1A7C"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Uji Aktivitas Antioksidan</w:t>
      </w:r>
    </w:p>
    <w:p w14:paraId="055AE217" w14:textId="7DCF5893"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Penentuan nilai persentase inhibisi terhadap radikal bebas dari masing- masing konsentrasi larutan sampel dapat dihitung dengan rumus </w:t>
      </w:r>
      <w:r w:rsidR="0009030B">
        <w:rPr>
          <w:rFonts w:ascii="Tw Cen MT" w:eastAsia="Twentieth Century" w:hAnsi="Tw Cen MT" w:cs="Twentieth Century"/>
          <w:sz w:val="24"/>
          <w:szCs w:val="24"/>
          <w:lang w:val="id" w:eastAsia="en-GB"/>
        </w:rPr>
        <w:t>[12]</w:t>
      </w:r>
      <w:r w:rsidRPr="0009216C">
        <w:rPr>
          <w:rFonts w:ascii="Tw Cen MT" w:eastAsia="Twentieth Century" w:hAnsi="Tw Cen MT" w:cs="Twentieth Century"/>
          <w:sz w:val="24"/>
          <w:szCs w:val="24"/>
          <w:lang w:val="id" w:eastAsia="en-GB"/>
        </w:rPr>
        <w:t>:</w:t>
      </w:r>
    </w:p>
    <w:p w14:paraId="0AA03412"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3EFA545B" w14:textId="63BF4462" w:rsidR="0009216C" w:rsidRPr="0009216C" w:rsidRDefault="0009216C" w:rsidP="00AC7CBD">
      <w:pPr>
        <w:tabs>
          <w:tab w:val="left" w:pos="426"/>
        </w:tabs>
        <w:spacing w:after="0" w:line="240" w:lineRule="auto"/>
        <w:rPr>
          <w:rFonts w:ascii="Tw Cen MT" w:eastAsia="Twentieth Century" w:hAnsi="Tw Cen MT" w:cs="Twentieth Century"/>
          <w:sz w:val="24"/>
          <w:szCs w:val="24"/>
          <w:lang w:val="id" w:eastAsia="en-GB"/>
        </w:rPr>
      </w:pPr>
      <w:r w:rsidRPr="00766A76">
        <w:rPr>
          <w:rFonts w:ascii="Tw Cen MT" w:eastAsia="Twentieth Century" w:hAnsi="Tw Cen MT" w:cs="Twentieth Century"/>
          <w:sz w:val="20"/>
          <w:szCs w:val="20"/>
          <w:lang w:val="id" w:eastAsia="en-GB"/>
        </w:rPr>
        <w:t xml:space="preserve">% </w:t>
      </w:r>
      <w:r w:rsidRPr="00766A76">
        <w:rPr>
          <w:rFonts w:ascii="Cambria Math" w:eastAsia="Twentieth Century" w:hAnsi="Cambria Math" w:cs="Cambria Math"/>
          <w:sz w:val="20"/>
          <w:szCs w:val="20"/>
          <w:lang w:val="id" w:eastAsia="en-GB"/>
        </w:rPr>
        <w:t>𝑎𝑘𝑡𝑖𝑣𝑖𝑡𝑎𝑠</w:t>
      </w:r>
      <w:r w:rsidRPr="00766A76">
        <w:rPr>
          <w:rFonts w:ascii="Tw Cen MT" w:eastAsia="Twentieth Century" w:hAnsi="Tw Cen MT" w:cs="Twentieth Century"/>
          <w:sz w:val="20"/>
          <w:szCs w:val="20"/>
          <w:lang w:val="id" w:eastAsia="en-GB"/>
        </w:rPr>
        <w:t xml:space="preserve"> </w:t>
      </w:r>
      <w:r w:rsidRPr="00766A76">
        <w:rPr>
          <w:rFonts w:ascii="Cambria Math" w:eastAsia="Twentieth Century" w:hAnsi="Cambria Math" w:cs="Cambria Math"/>
          <w:sz w:val="20"/>
          <w:szCs w:val="20"/>
          <w:lang w:val="id" w:eastAsia="en-GB"/>
        </w:rPr>
        <w:t>𝑎𝑛𝑡𝑖𝑜𝑘𝑠𝑖𝑑𝑎𝑛</w:t>
      </w:r>
      <w:r w:rsidRPr="0009216C">
        <w:rPr>
          <w:rFonts w:ascii="Tw Cen MT" w:eastAsia="Twentieth Century" w:hAnsi="Tw Cen MT" w:cs="Twentieth Century"/>
          <w:sz w:val="24"/>
          <w:szCs w:val="24"/>
          <w:lang w:val="id" w:eastAsia="en-GB"/>
        </w:rPr>
        <w:t xml:space="preserve"> =</w:t>
      </w:r>
      <m:oMath>
        <m:r>
          <w:rPr>
            <w:rFonts w:ascii="Cambria Math" w:eastAsia="Twentieth Century" w:hAnsi="Cambria Math" w:cs="Twentieth Century"/>
            <w:sz w:val="24"/>
            <w:szCs w:val="24"/>
            <w:lang w:val="id" w:eastAsia="en-GB"/>
          </w:rPr>
          <m:t xml:space="preserve"> </m:t>
        </m:r>
        <m:f>
          <m:fPr>
            <m:ctrlPr>
              <w:rPr>
                <w:rFonts w:ascii="Cambria Math" w:eastAsia="Twentieth Century" w:hAnsi="Cambria Math" w:cs="Twentieth Century"/>
                <w:i/>
                <w:sz w:val="24"/>
                <w:szCs w:val="24"/>
                <w:lang w:val="id" w:eastAsia="en-GB"/>
              </w:rPr>
            </m:ctrlPr>
          </m:fPr>
          <m:num>
            <m:r>
              <w:rPr>
                <w:rFonts w:ascii="Cambria Math" w:eastAsia="Twentieth Century" w:hAnsi="Cambria Math" w:cs="Twentieth Century"/>
                <w:sz w:val="24"/>
                <w:szCs w:val="24"/>
                <w:lang w:val="id" w:eastAsia="en-GB"/>
              </w:rPr>
              <m:t>Absorbansi kontrol-Absorbansi sampel</m:t>
            </m:r>
          </m:num>
          <m:den>
            <m:r>
              <w:rPr>
                <w:rFonts w:ascii="Cambria Math" w:eastAsia="Twentieth Century" w:hAnsi="Cambria Math" w:cs="Twentieth Century"/>
                <w:sz w:val="24"/>
                <w:szCs w:val="24"/>
                <w:lang w:val="id" w:eastAsia="en-GB"/>
              </w:rPr>
              <m:t>Absorbansi kontrol</m:t>
            </m:r>
          </m:den>
        </m:f>
      </m:oMath>
    </w:p>
    <w:p w14:paraId="2482FB48"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4FEEB2ED" w14:textId="3E0310BC"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Setelah diperoleh persen inhibisi kemudian dilakukan penentuan nilai probit dengan menggunakan</w:t>
      </w:r>
      <w:r w:rsidR="007017A9">
        <w:rPr>
          <w:rFonts w:ascii="Tw Cen MT" w:eastAsia="Twentieth Century" w:hAnsi="Tw Cen MT" w:cs="Twentieth Century"/>
          <w:sz w:val="24"/>
          <w:szCs w:val="24"/>
          <w:lang w:val="id" w:eastAsia="en-GB"/>
        </w:rPr>
        <w:t xml:space="preserve"> rumus sebagai berikut</w:t>
      </w:r>
      <w:r w:rsidRPr="0009216C">
        <w:rPr>
          <w:rFonts w:ascii="Tw Cen MT" w:eastAsia="Twentieth Century" w:hAnsi="Tw Cen MT" w:cs="Twentieth Century"/>
          <w:sz w:val="24"/>
          <w:szCs w:val="24"/>
          <w:lang w:val="id" w:eastAsia="en-GB"/>
        </w:rPr>
        <w:t xml:space="preserve"> </w:t>
      </w:r>
      <w:r w:rsidR="0009030B">
        <w:rPr>
          <w:rFonts w:ascii="Tw Cen MT" w:eastAsia="Twentieth Century" w:hAnsi="Tw Cen MT" w:cs="Twentieth Century"/>
          <w:sz w:val="24"/>
          <w:szCs w:val="24"/>
          <w:lang w:val="id" w:eastAsia="en-GB"/>
        </w:rPr>
        <w:t>[11]</w:t>
      </w:r>
      <w:r w:rsidR="007017A9">
        <w:rPr>
          <w:rFonts w:ascii="Tw Cen MT" w:eastAsia="Twentieth Century" w:hAnsi="Tw Cen MT" w:cs="Twentieth Century"/>
          <w:sz w:val="24"/>
          <w:szCs w:val="24"/>
          <w:lang w:val="id" w:eastAsia="en-GB"/>
        </w:rPr>
        <w:t>:</w:t>
      </w:r>
    </w:p>
    <w:p w14:paraId="135309AA"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53457BCC" w14:textId="7622E33A"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sz w:val="24"/>
          <w:szCs w:val="24"/>
          <w:lang w:eastAsia="en-GB"/>
        </w:rPr>
        <w:t>Probit = (</w:t>
      </w:r>
      <w:r w:rsidRPr="0009216C">
        <w:rPr>
          <w:rFonts w:ascii="Tw Cen MT" w:eastAsia="Twentieth Century" w:hAnsi="Tw Cen MT" w:cs="Twentieth Century"/>
          <w:i/>
          <w:sz w:val="24"/>
          <w:szCs w:val="24"/>
          <w:lang w:eastAsia="en-GB"/>
        </w:rPr>
        <w:t>Harga probit tertinggi – Harga probit terendah</w:t>
      </w:r>
      <w:r w:rsidRPr="0009216C">
        <w:rPr>
          <w:rFonts w:ascii="Tw Cen MT" w:eastAsia="Twentieth Century" w:hAnsi="Tw Cen MT" w:cs="Twentieth Century"/>
          <w:sz w:val="24"/>
          <w:szCs w:val="24"/>
          <w:lang w:eastAsia="en-GB"/>
        </w:rPr>
        <w:t>) x (</w:t>
      </w:r>
      <w:r w:rsidRPr="0009216C">
        <w:rPr>
          <w:rFonts w:ascii="Tw Cen MT" w:eastAsia="Twentieth Century" w:hAnsi="Tw Cen MT" w:cs="Twentieth Century"/>
          <w:i/>
          <w:sz w:val="24"/>
          <w:szCs w:val="24"/>
          <w:lang w:eastAsia="en-GB"/>
        </w:rPr>
        <w:t>Daya Antioksidan (%) – Probit terendah</w:t>
      </w:r>
      <w:r w:rsidRPr="0009216C">
        <w:rPr>
          <w:rFonts w:ascii="Tw Cen MT" w:eastAsia="Twentieth Century" w:hAnsi="Tw Cen MT" w:cs="Twentieth Century"/>
          <w:sz w:val="24"/>
          <w:szCs w:val="24"/>
          <w:lang w:eastAsia="en-GB"/>
        </w:rPr>
        <w:t xml:space="preserve">) +  </w:t>
      </w:r>
      <w:r w:rsidRPr="0009216C">
        <w:rPr>
          <w:rFonts w:ascii="Tw Cen MT" w:eastAsia="Twentieth Century" w:hAnsi="Tw Cen MT" w:cs="Twentieth Century"/>
          <w:i/>
          <w:sz w:val="24"/>
          <w:szCs w:val="24"/>
          <w:lang w:eastAsia="en-GB"/>
        </w:rPr>
        <w:t>Harga Probit terendah</w:t>
      </w:r>
    </w:p>
    <w:p w14:paraId="2BAB17F4" w14:textId="6FB6752F"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Uji antioksidan dalam penelitian ini menggunakan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(Inhibition concentration) untuk menginterpretasikan hasil aktivitas antioksidan dari suatu sampel.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diperoleh melalui beberapa tahapan yaitu menghitung nilai log konsentrasi dan nilai probit untuk masing-masing persentase inhibisi (daya antioksidan) radikal bebas DPPH dari </w:t>
      </w:r>
      <w:r w:rsidRPr="0009216C">
        <w:rPr>
          <w:rFonts w:ascii="Tw Cen MT" w:eastAsia="Twentieth Century" w:hAnsi="Tw Cen MT" w:cs="Twentieth Century"/>
          <w:sz w:val="24"/>
          <w:szCs w:val="24"/>
          <w:lang w:val="id" w:eastAsia="en-GB"/>
        </w:rPr>
        <w:t>ekstrak daun Tahongai dan vitamin C. Selanjutnya menghubungkan nilai probit dan nilai log konsentrasi yang diperoleh dalam 1 grafik utuh, dimana nilai log konsentrasi dijadikan sebagai sumbu X dan nilai probit digunakan sebagai sumbu Y. Melalui persamaan regresi yang diperoleh, nilai X dapat ditentukan setelah mengganti nilai Y=5 yang merupakan harga probit dari 50%. Selanjutnya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ditentukan dengan menggunakan rumus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 A Log X</w:t>
      </w:r>
      <w:r w:rsidR="007017A9">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Kriteria sebagai antioksidan adalah sangat kuat jika nilai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kurang dari 50, kuat untuk</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50-100, sedang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100-150, dan lemah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adalah 151-200</w:t>
      </w:r>
      <w:r w:rsidRPr="0009216C">
        <w:rPr>
          <w:rFonts w:ascii="Tw Cen MT" w:eastAsia="Twentieth Century" w:hAnsi="Tw Cen MT" w:cs="Twentieth Century"/>
          <w:sz w:val="24"/>
          <w:szCs w:val="24"/>
          <w:lang w:val="id" w:eastAsia="en-GB"/>
        </w:rPr>
        <w:t>.</w:t>
      </w:r>
    </w:p>
    <w:p w14:paraId="6A2FB3A1" w14:textId="77777777" w:rsidR="004721E3" w:rsidRPr="0009216C" w:rsidRDefault="004721E3" w:rsidP="00AC7CBD">
      <w:pPr>
        <w:tabs>
          <w:tab w:val="left" w:pos="426"/>
        </w:tabs>
        <w:spacing w:after="0" w:line="240" w:lineRule="auto"/>
        <w:jc w:val="both"/>
        <w:rPr>
          <w:rFonts w:ascii="Tw Cen MT" w:eastAsia="Twentieth Century" w:hAnsi="Tw Cen MT" w:cs="Twentieth Century"/>
          <w:sz w:val="24"/>
          <w:szCs w:val="24"/>
          <w:lang w:val="id"/>
        </w:rPr>
      </w:pPr>
    </w:p>
    <w:p w14:paraId="73FB8D1E" w14:textId="77777777" w:rsidR="007106F6" w:rsidRDefault="007106F6" w:rsidP="00AC7CBD">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57FE27CD" w14:textId="31320482" w:rsidR="00766A76" w:rsidRPr="00766A76"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 xml:space="preserve">Metode ekstraksi yang digunakan pada penelitian ini adalah metode infusa. Simplisia kering yang diperoleh dipanaskan menggunakan pelarut </w:t>
      </w:r>
      <w:r w:rsidRPr="00766A76">
        <w:rPr>
          <w:rFonts w:ascii="Tw Cen MT" w:eastAsia="Twentieth Century" w:hAnsi="Tw Cen MT" w:cs="Twentieth Century"/>
          <w:bCs/>
          <w:i/>
          <w:sz w:val="24"/>
          <w:szCs w:val="24"/>
        </w:rPr>
        <w:t>aquadest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ID"/>
        </w:rPr>
        <w:t>selama 15 menit terhitung saat suhu telah mencapai 90°C</w:t>
      </w:r>
      <w:r w:rsidRPr="00766A76">
        <w:rPr>
          <w:rFonts w:ascii="Tw Cen MT" w:eastAsia="Twentieth Century" w:hAnsi="Tw Cen MT" w:cs="Twentieth Century"/>
          <w:bCs/>
          <w:sz w:val="24"/>
          <w:szCs w:val="24"/>
        </w:rPr>
        <w:t>. P</w:t>
      </w:r>
      <w:r w:rsidRPr="00766A76">
        <w:rPr>
          <w:rFonts w:ascii="Tw Cen MT" w:eastAsia="Twentieth Century" w:hAnsi="Tw Cen MT" w:cs="Twentieth Century"/>
          <w:bCs/>
          <w:sz w:val="24"/>
          <w:szCs w:val="24"/>
          <w:lang w:val="id-ID"/>
        </w:rPr>
        <w:t>eningkatan suhu dapat meningkatkan hasil ekstraksi karena terjadinya peningkatan kelarutan senyawa metabolit s</w:t>
      </w:r>
      <w:r w:rsidRPr="00766A76">
        <w:rPr>
          <w:rFonts w:ascii="Tw Cen MT" w:eastAsia="Twentieth Century" w:hAnsi="Tw Cen MT" w:cs="Twentieth Century"/>
          <w:bCs/>
          <w:sz w:val="24"/>
          <w:szCs w:val="24"/>
        </w:rPr>
        <w:t>e</w:t>
      </w:r>
      <w:r w:rsidRPr="00766A76">
        <w:rPr>
          <w:rFonts w:ascii="Tw Cen MT" w:eastAsia="Twentieth Century" w:hAnsi="Tw Cen MT" w:cs="Twentieth Century"/>
          <w:bCs/>
          <w:sz w:val="24"/>
          <w:szCs w:val="24"/>
          <w:lang w:val="id-ID"/>
        </w:rPr>
        <w:t>kunder dalam simplisia tanaman</w:t>
      </w:r>
      <w:r w:rsidR="007017A9">
        <w:rPr>
          <w:rFonts w:ascii="Tw Cen MT" w:eastAsia="Twentieth Century" w:hAnsi="Tw Cen MT" w:cs="Twentieth Century"/>
          <w:bCs/>
          <w:sz w:val="24"/>
          <w:szCs w:val="24"/>
        </w:rPr>
        <w:t xml:space="preserve"> [13]</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Infusa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merupakan metode ekstraksi yang</w:t>
      </w:r>
      <w:r w:rsidRPr="00766A76">
        <w:rPr>
          <w:rFonts w:ascii="Tw Cen MT" w:eastAsia="Twentieth Century" w:hAnsi="Tw Cen MT" w:cs="Twentieth Century"/>
          <w:bCs/>
          <w:sz w:val="24"/>
          <w:szCs w:val="24"/>
        </w:rPr>
        <w:t xml:space="preserve"> menggunakan </w:t>
      </w:r>
      <w:r w:rsidRPr="00766A76">
        <w:rPr>
          <w:rFonts w:ascii="Tw Cen MT" w:eastAsia="Twentieth Century" w:hAnsi="Tw Cen MT" w:cs="Twentieth Century"/>
          <w:bCs/>
          <w:i/>
          <w:sz w:val="24"/>
          <w:szCs w:val="24"/>
          <w:lang w:val="id-ID"/>
        </w:rPr>
        <w:t>aquadest</w:t>
      </w:r>
      <w:r w:rsidRPr="00766A76">
        <w:rPr>
          <w:rFonts w:ascii="Tw Cen MT" w:eastAsia="Twentieth Century" w:hAnsi="Tw Cen MT" w:cs="Twentieth Century"/>
          <w:bCs/>
          <w:sz w:val="24"/>
          <w:szCs w:val="24"/>
        </w:rPr>
        <w:t xml:space="preserve"> sebagai pelarut yaitu</w:t>
      </w:r>
      <w:r w:rsidRPr="00766A76">
        <w:rPr>
          <w:rFonts w:ascii="Tw Cen MT" w:eastAsia="Twentieth Century" w:hAnsi="Tw Cen MT" w:cs="Twentieth Century"/>
          <w:bCs/>
          <w:sz w:val="24"/>
          <w:szCs w:val="24"/>
          <w:lang w:val="id-ID"/>
        </w:rPr>
        <w:t xml:space="preserve"> bertujuan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untuk</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mendapatka</w:t>
      </w:r>
      <w:r w:rsidRPr="00766A76">
        <w:rPr>
          <w:rFonts w:ascii="Tw Cen MT" w:eastAsia="Twentieth Century" w:hAnsi="Tw Cen MT" w:cs="Twentieth Century"/>
          <w:bCs/>
          <w:sz w:val="24"/>
          <w:szCs w:val="24"/>
        </w:rPr>
        <w:t>n</w:t>
      </w:r>
      <w:r w:rsidRPr="00766A76">
        <w:rPr>
          <w:rFonts w:ascii="Tw Cen MT" w:eastAsia="Twentieth Century" w:hAnsi="Tw Cen MT" w:cs="Twentieth Century"/>
          <w:bCs/>
          <w:sz w:val="24"/>
          <w:szCs w:val="24"/>
          <w:lang w:val="id-ID"/>
        </w:rPr>
        <w:t xml:space="preserve"> zat aktif  yan</w:t>
      </w:r>
      <w:r w:rsidRPr="00766A76">
        <w:rPr>
          <w:rFonts w:ascii="Tw Cen MT" w:eastAsia="Twentieth Century" w:hAnsi="Tw Cen MT" w:cs="Twentieth Century"/>
          <w:bCs/>
          <w:sz w:val="24"/>
          <w:szCs w:val="24"/>
        </w:rPr>
        <w:t xml:space="preserve">g </w:t>
      </w:r>
      <w:r w:rsidRPr="00766A76">
        <w:rPr>
          <w:rFonts w:ascii="Tw Cen MT" w:eastAsia="Twentieth Century" w:hAnsi="Tw Cen MT" w:cs="Twentieth Century"/>
          <w:bCs/>
          <w:sz w:val="24"/>
          <w:szCs w:val="24"/>
          <w:lang w:val="id-ID"/>
        </w:rPr>
        <w:t>bersifat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 xml:space="preserve">polar </w:t>
      </w:r>
      <w:r w:rsidRPr="00766A76">
        <w:rPr>
          <w:rFonts w:ascii="Tw Cen MT" w:eastAsia="Twentieth Century" w:hAnsi="Tw Cen MT" w:cs="Twentieth Century"/>
          <w:bCs/>
          <w:sz w:val="24"/>
          <w:szCs w:val="24"/>
        </w:rPr>
        <w:t>agar dapat</w:t>
      </w:r>
      <w:r w:rsidRPr="00766A76">
        <w:rPr>
          <w:rFonts w:ascii="Tw Cen MT" w:eastAsia="Twentieth Century" w:hAnsi="Tw Cen MT" w:cs="Twentieth Century"/>
          <w:bCs/>
          <w:sz w:val="24"/>
          <w:szCs w:val="24"/>
          <w:lang w:val="id-ID"/>
        </w:rPr>
        <w:t xml:space="preserve">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dengan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optimal</w:t>
      </w:r>
      <w:r w:rsidRPr="00766A76">
        <w:rPr>
          <w:rFonts w:ascii="Tw Cen MT" w:eastAsia="Twentieth Century" w:hAnsi="Tw Cen MT" w:cs="Twentieth Century"/>
          <w:bCs/>
          <w:sz w:val="24"/>
          <w:szCs w:val="24"/>
        </w:rPr>
        <w:t>. Z</w:t>
      </w:r>
      <w:r w:rsidRPr="00766A76">
        <w:rPr>
          <w:rFonts w:ascii="Tw Cen MT" w:eastAsia="Twentieth Century" w:hAnsi="Tw Cen MT" w:cs="Twentieth Century"/>
          <w:bCs/>
          <w:sz w:val="24"/>
          <w:szCs w:val="24"/>
          <w:lang w:val="id-ID"/>
        </w:rPr>
        <w:t>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aktif 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dimaksud</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seperti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flavonoid dan  fenol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memiliki kontribusi</w:t>
      </w:r>
      <w:r w:rsidRPr="00766A76">
        <w:rPr>
          <w:rFonts w:ascii="Tw Cen MT" w:eastAsia="Twentieth Century" w:hAnsi="Tw Cen MT" w:cs="Twentieth Century"/>
          <w:bCs/>
          <w:sz w:val="24"/>
          <w:szCs w:val="24"/>
          <w:lang w:val="id-ID"/>
        </w:rPr>
        <w:t xml:space="preserve"> </w:t>
      </w:r>
      <w:r w:rsidRPr="00766A76">
        <w:rPr>
          <w:rFonts w:ascii="Tw Cen MT" w:eastAsia="Twentieth Century" w:hAnsi="Tw Cen MT" w:cs="Twentieth Century"/>
          <w:bCs/>
          <w:sz w:val="24"/>
          <w:szCs w:val="24"/>
        </w:rPr>
        <w:t xml:space="preserve">terhadap aktivitas </w:t>
      </w:r>
      <w:r w:rsidRPr="00766A76">
        <w:rPr>
          <w:rFonts w:ascii="Tw Cen MT" w:eastAsia="Twentieth Century" w:hAnsi="Tw Cen MT" w:cs="Twentieth Century"/>
          <w:bCs/>
          <w:sz w:val="24"/>
          <w:szCs w:val="24"/>
          <w:lang w:val="id-ID"/>
        </w:rPr>
        <w:t>antioksidan</w:t>
      </w:r>
      <w:r w:rsidRPr="00766A76">
        <w:rPr>
          <w:rFonts w:ascii="Tw Cen MT" w:eastAsia="Twentieth Century" w:hAnsi="Tw Cen MT" w:cs="Twentieth Century"/>
          <w:bCs/>
          <w:sz w:val="24"/>
          <w:szCs w:val="24"/>
        </w:rPr>
        <w:t xml:space="preserve"> suatu sampel </w:t>
      </w:r>
      <w:r w:rsidR="007017A9">
        <w:rPr>
          <w:rFonts w:ascii="Tw Cen MT" w:eastAsia="Twentieth Century" w:hAnsi="Tw Cen MT" w:cs="Twentieth Century"/>
          <w:bCs/>
          <w:sz w:val="24"/>
          <w:szCs w:val="24"/>
        </w:rPr>
        <w:t>[14]</w:t>
      </w:r>
      <w:r w:rsidRPr="00766A76">
        <w:rPr>
          <w:rFonts w:ascii="Tw Cen MT" w:eastAsia="Twentieth Century" w:hAnsi="Tw Cen MT" w:cs="Twentieth Century"/>
          <w:bCs/>
          <w:sz w:val="24"/>
          <w:szCs w:val="24"/>
        </w:rPr>
        <w:t>. M</w:t>
      </w:r>
      <w:r w:rsidRPr="00766A76">
        <w:rPr>
          <w:rFonts w:ascii="Tw Cen MT" w:eastAsia="Twentieth Century" w:hAnsi="Tw Cen MT" w:cs="Twentieth Century"/>
          <w:bCs/>
          <w:sz w:val="24"/>
          <w:szCs w:val="24"/>
          <w:lang w:val="id-ID"/>
        </w:rPr>
        <w:t>etode ini dipilih karena cara ini sangat sederhana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dan mendekati pembuatan obat tradisional di masyarakat.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Cairan penyari yang digunakan pada metode ini adalah air,</w:t>
      </w:r>
      <w:r w:rsidR="007017A9">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dikarenakan pelarut yang digunakan untuk obat tradisional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adalah air sehingga diharapkan senyawa aktif yang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sesuai dengan yang biasa dikonsumsi</w:t>
      </w:r>
      <w:r w:rsidR="00DC7B09">
        <w:rPr>
          <w:rFonts w:ascii="Tw Cen MT" w:eastAsia="Twentieth Century" w:hAnsi="Tw Cen MT" w:cs="Twentieth Century"/>
          <w:bCs/>
          <w:sz w:val="24"/>
          <w:szCs w:val="24"/>
        </w:rPr>
        <w:t xml:space="preserve"> [15]</w:t>
      </w:r>
      <w:r w:rsidRPr="00766A76">
        <w:rPr>
          <w:rFonts w:ascii="Tw Cen MT" w:eastAsia="Twentieth Century" w:hAnsi="Tw Cen MT" w:cs="Twentieth Century"/>
          <w:bCs/>
          <w:sz w:val="24"/>
          <w:szCs w:val="24"/>
          <w:lang w:val="id-ID"/>
        </w:rPr>
        <w:t>.</w:t>
      </w:r>
      <w:r w:rsidRPr="00766A76">
        <w:rPr>
          <w:rFonts w:ascii="Tw Cen MT" w:eastAsia="Twentieth Century" w:hAnsi="Tw Cen MT" w:cs="Twentieth Century"/>
          <w:bCs/>
          <w:sz w:val="24"/>
          <w:szCs w:val="24"/>
        </w:rPr>
        <w:t xml:space="preserve"> </w:t>
      </w:r>
    </w:p>
    <w:p w14:paraId="613E1517" w14:textId="3EB31533" w:rsidR="0009030B"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bCs/>
          <w:sz w:val="24"/>
          <w:szCs w:val="24"/>
        </w:rPr>
        <w:t xml:space="preserve">Skrining fitokimia dilakukan terhadap simplisia daun tahongai dan infusa daun tahongai. Hasil skrining fitokimia ditampilkan pada tabel 1, yaitu pada infusa daun tahongai positif </w:t>
      </w:r>
      <w:r w:rsidRPr="00766A76">
        <w:rPr>
          <w:rFonts w:ascii="Tw Cen MT" w:eastAsia="Twentieth Century" w:hAnsi="Tw Cen MT" w:cs="Twentieth Century"/>
          <w:bCs/>
          <w:sz w:val="24"/>
          <w:szCs w:val="24"/>
        </w:rPr>
        <w:lastRenderedPageBreak/>
        <w:t xml:space="preserve">mengandung fenol, flavonoid, saponin, tannin, dan positif mengandung alkaloid menggunakan reagen </w:t>
      </w:r>
      <w:r w:rsidRPr="00766A76">
        <w:rPr>
          <w:rFonts w:ascii="Tw Cen MT" w:eastAsia="Twentieth Century" w:hAnsi="Tw Cen MT" w:cs="Twentieth Century"/>
          <w:sz w:val="24"/>
          <w:szCs w:val="24"/>
          <w:lang w:val="id"/>
        </w:rPr>
        <w:t xml:space="preserve">Bouchardat. </w:t>
      </w:r>
    </w:p>
    <w:p w14:paraId="159D2A47" w14:textId="66E3B43C" w:rsidR="0009030B" w:rsidRDefault="0009030B" w:rsidP="00822EAC">
      <w:pPr>
        <w:tabs>
          <w:tab w:val="left" w:pos="993"/>
        </w:tabs>
        <w:spacing w:after="0" w:line="240" w:lineRule="auto"/>
        <w:ind w:left="993" w:hanging="993"/>
        <w:jc w:val="both"/>
        <w:rPr>
          <w:rFonts w:ascii="Tw Cen MT" w:eastAsia="Twentieth Century" w:hAnsi="Tw Cen MT" w:cs="Twentieth Century"/>
          <w:sz w:val="24"/>
          <w:szCs w:val="24"/>
          <w:lang w:val="id"/>
        </w:rPr>
      </w:pPr>
      <w:r w:rsidRPr="0009030B">
        <w:rPr>
          <w:rFonts w:ascii="Tw Cen MT" w:eastAsia="Twentieth Century" w:hAnsi="Tw Cen MT" w:cs="Twentieth Century"/>
          <w:sz w:val="24"/>
          <w:szCs w:val="24"/>
          <w:lang w:val="id"/>
        </w:rPr>
        <w:t>Tabel 1</w:t>
      </w:r>
      <w:r w:rsidRPr="0009030B">
        <w:rPr>
          <w:rFonts w:ascii="Tw Cen MT" w:eastAsia="Twentieth Century" w:hAnsi="Tw Cen MT" w:cs="Twentieth Century"/>
          <w:b/>
          <w:sz w:val="24"/>
          <w:szCs w:val="24"/>
          <w:lang w:val="id"/>
        </w:rPr>
        <w:t xml:space="preserve">. </w:t>
      </w:r>
      <w:r w:rsidRPr="0009030B">
        <w:rPr>
          <w:rFonts w:ascii="Tw Cen MT" w:eastAsia="Twentieth Century" w:hAnsi="Tw Cen MT" w:cs="Twentieth Century"/>
          <w:sz w:val="24"/>
          <w:szCs w:val="24"/>
          <w:lang w:val="id"/>
        </w:rPr>
        <w:t>Skrining Fitokimia simplisia daun tahongai dan infusa daun tahongai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381"/>
      </w:tblGrid>
      <w:tr w:rsidR="0009030B" w:rsidRPr="0009030B" w14:paraId="137BE63B" w14:textId="77777777" w:rsidTr="00DC7B09">
        <w:tc>
          <w:tcPr>
            <w:tcW w:w="1526" w:type="dxa"/>
            <w:tcBorders>
              <w:top w:val="single" w:sz="4" w:space="0" w:color="auto"/>
              <w:bottom w:val="single" w:sz="4" w:space="0" w:color="auto"/>
            </w:tcBorders>
          </w:tcPr>
          <w:p w14:paraId="2E152E9E" w14:textId="1E073586" w:rsidR="0009030B" w:rsidRPr="00D56193" w:rsidRDefault="0009030B" w:rsidP="00AC7CBD">
            <w:pPr>
              <w:tabs>
                <w:tab w:val="left" w:pos="426"/>
              </w:tabs>
              <w:jc w:val="center"/>
              <w:rPr>
                <w:rFonts w:ascii="Tw Cen MT" w:eastAsia="Twentieth Century" w:hAnsi="Tw Cen MT" w:cs="Twentieth Century"/>
                <w:b/>
                <w:lang w:val="id"/>
              </w:rPr>
            </w:pPr>
            <w:commentRangeStart w:id="1"/>
            <w:r w:rsidRPr="00D56193">
              <w:rPr>
                <w:rFonts w:ascii="Tw Cen MT" w:eastAsia="Twentieth Century" w:hAnsi="Tw Cen MT" w:cs="Twentieth Century"/>
                <w:b/>
                <w:lang w:val="id"/>
              </w:rPr>
              <w:t>Skrining</w:t>
            </w:r>
            <w:commentRangeEnd w:id="1"/>
            <w:r w:rsidR="008B5C6C">
              <w:rPr>
                <w:rStyle w:val="CommentReference"/>
                <w:rFonts w:cs="Calibri"/>
              </w:rPr>
              <w:commentReference w:id="1"/>
            </w:r>
            <w:r w:rsidRPr="00D56193">
              <w:rPr>
                <w:rFonts w:ascii="Tw Cen MT" w:eastAsia="Twentieth Century" w:hAnsi="Tw Cen MT" w:cs="Twentieth Century"/>
                <w:b/>
                <w:lang w:val="id"/>
              </w:rPr>
              <w:t xml:space="preserve"> Fitokimia</w:t>
            </w:r>
          </w:p>
        </w:tc>
        <w:tc>
          <w:tcPr>
            <w:tcW w:w="1559" w:type="dxa"/>
            <w:tcBorders>
              <w:top w:val="single" w:sz="4" w:space="0" w:color="auto"/>
              <w:bottom w:val="single" w:sz="4" w:space="0" w:color="auto"/>
            </w:tcBorders>
          </w:tcPr>
          <w:p w14:paraId="7DAA3152" w14:textId="77777777" w:rsidR="0009030B" w:rsidRPr="00D56193" w:rsidRDefault="0009030B" w:rsidP="00AC7CBD">
            <w:pPr>
              <w:tabs>
                <w:tab w:val="left" w:pos="426"/>
              </w:tabs>
              <w:jc w:val="center"/>
              <w:rPr>
                <w:rFonts w:ascii="Tw Cen MT" w:eastAsia="Twentieth Century" w:hAnsi="Tw Cen MT" w:cs="Twentieth Century"/>
                <w:b/>
                <w:lang w:val="id"/>
              </w:rPr>
            </w:pPr>
            <w:r w:rsidRPr="00D56193">
              <w:rPr>
                <w:rFonts w:ascii="Tw Cen MT" w:eastAsia="Twentieth Century" w:hAnsi="Tw Cen MT" w:cs="Twentieth Century"/>
                <w:b/>
                <w:lang w:val="id"/>
              </w:rPr>
              <w:t>Simplisia Daun Tahongai</w:t>
            </w:r>
          </w:p>
        </w:tc>
        <w:tc>
          <w:tcPr>
            <w:tcW w:w="1381" w:type="dxa"/>
            <w:tcBorders>
              <w:top w:val="single" w:sz="4" w:space="0" w:color="auto"/>
              <w:bottom w:val="single" w:sz="4" w:space="0" w:color="auto"/>
            </w:tcBorders>
          </w:tcPr>
          <w:p w14:paraId="05331366" w14:textId="77777777" w:rsidR="0009030B" w:rsidRPr="00D56193" w:rsidRDefault="0009030B" w:rsidP="00AC7CBD">
            <w:pPr>
              <w:tabs>
                <w:tab w:val="left" w:pos="426"/>
              </w:tabs>
              <w:jc w:val="center"/>
              <w:rPr>
                <w:rFonts w:ascii="Tw Cen MT" w:eastAsia="Twentieth Century" w:hAnsi="Tw Cen MT" w:cs="Twentieth Century"/>
                <w:b/>
                <w:lang w:val="id"/>
              </w:rPr>
            </w:pPr>
            <w:r w:rsidRPr="00D56193">
              <w:rPr>
                <w:rFonts w:ascii="Tw Cen MT" w:eastAsia="Twentieth Century" w:hAnsi="Tw Cen MT" w:cs="Twentieth Century"/>
                <w:b/>
                <w:lang w:val="id"/>
              </w:rPr>
              <w:t>Infusa Daun Tahongai</w:t>
            </w:r>
          </w:p>
        </w:tc>
      </w:tr>
      <w:tr w:rsidR="0009030B" w:rsidRPr="0009030B" w14:paraId="44A31203" w14:textId="77777777" w:rsidTr="00DC7B09">
        <w:tc>
          <w:tcPr>
            <w:tcW w:w="1526" w:type="dxa"/>
            <w:tcBorders>
              <w:top w:val="single" w:sz="4" w:space="0" w:color="auto"/>
            </w:tcBorders>
          </w:tcPr>
          <w:p w14:paraId="133C256D"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Alkaloida</w:t>
            </w:r>
          </w:p>
        </w:tc>
        <w:tc>
          <w:tcPr>
            <w:tcW w:w="1559" w:type="dxa"/>
            <w:tcBorders>
              <w:top w:val="single" w:sz="4" w:space="0" w:color="auto"/>
            </w:tcBorders>
          </w:tcPr>
          <w:p w14:paraId="05747EB9" w14:textId="77777777" w:rsidR="0009030B" w:rsidRPr="00D56193" w:rsidRDefault="0009030B" w:rsidP="00AC7CBD">
            <w:pPr>
              <w:tabs>
                <w:tab w:val="left" w:pos="426"/>
              </w:tabs>
              <w:jc w:val="center"/>
              <w:rPr>
                <w:rFonts w:ascii="Tw Cen MT" w:eastAsia="Twentieth Century" w:hAnsi="Tw Cen MT" w:cs="Twentieth Century"/>
                <w:lang w:val="id"/>
              </w:rPr>
            </w:pPr>
          </w:p>
        </w:tc>
        <w:tc>
          <w:tcPr>
            <w:tcW w:w="1381" w:type="dxa"/>
            <w:tcBorders>
              <w:top w:val="single" w:sz="4" w:space="0" w:color="auto"/>
            </w:tcBorders>
          </w:tcPr>
          <w:p w14:paraId="612E348E" w14:textId="77777777" w:rsidR="0009030B" w:rsidRPr="00D56193" w:rsidRDefault="0009030B" w:rsidP="00AC7CBD">
            <w:pPr>
              <w:tabs>
                <w:tab w:val="left" w:pos="426"/>
              </w:tabs>
              <w:jc w:val="center"/>
              <w:rPr>
                <w:rFonts w:ascii="Tw Cen MT" w:eastAsia="Twentieth Century" w:hAnsi="Tw Cen MT" w:cs="Twentieth Century"/>
                <w:lang w:val="id"/>
              </w:rPr>
            </w:pPr>
          </w:p>
        </w:tc>
      </w:tr>
      <w:tr w:rsidR="0009030B" w:rsidRPr="0009030B" w14:paraId="3647EDAE" w14:textId="77777777" w:rsidTr="00DC7B09">
        <w:tc>
          <w:tcPr>
            <w:tcW w:w="1526" w:type="dxa"/>
          </w:tcPr>
          <w:p w14:paraId="3EF6E28B"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Mayer+HCl</w:t>
            </w:r>
          </w:p>
        </w:tc>
        <w:tc>
          <w:tcPr>
            <w:tcW w:w="1559" w:type="dxa"/>
          </w:tcPr>
          <w:p w14:paraId="205DC61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488520CB"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3800FF7A" w14:textId="77777777" w:rsidTr="00DC7B09">
        <w:tc>
          <w:tcPr>
            <w:tcW w:w="1526" w:type="dxa"/>
          </w:tcPr>
          <w:p w14:paraId="0075EF33"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 xml:space="preserve">      Dragendodd</w:t>
            </w:r>
          </w:p>
        </w:tc>
        <w:tc>
          <w:tcPr>
            <w:tcW w:w="1559" w:type="dxa"/>
          </w:tcPr>
          <w:p w14:paraId="476639D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37C5BD6E"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73706161" w14:textId="77777777" w:rsidTr="00DC7B09">
        <w:tc>
          <w:tcPr>
            <w:tcW w:w="1526" w:type="dxa"/>
          </w:tcPr>
          <w:p w14:paraId="1955AEFC"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 xml:space="preserve">      Bouchardat</w:t>
            </w:r>
          </w:p>
        </w:tc>
        <w:tc>
          <w:tcPr>
            <w:tcW w:w="1559" w:type="dxa"/>
          </w:tcPr>
          <w:p w14:paraId="0726ADDA"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71E82F6D"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F77796D" w14:textId="77777777" w:rsidTr="00DC7B09">
        <w:tc>
          <w:tcPr>
            <w:tcW w:w="1526" w:type="dxa"/>
          </w:tcPr>
          <w:p w14:paraId="3954BEF3"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Fenol</w:t>
            </w:r>
          </w:p>
        </w:tc>
        <w:tc>
          <w:tcPr>
            <w:tcW w:w="1559" w:type="dxa"/>
          </w:tcPr>
          <w:p w14:paraId="032E3BBC"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1FB64B6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61AB5C5" w14:textId="77777777" w:rsidTr="00DC7B09">
        <w:tc>
          <w:tcPr>
            <w:tcW w:w="1526" w:type="dxa"/>
          </w:tcPr>
          <w:p w14:paraId="157A0E43"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Flavonoid</w:t>
            </w:r>
          </w:p>
        </w:tc>
        <w:tc>
          <w:tcPr>
            <w:tcW w:w="1559" w:type="dxa"/>
          </w:tcPr>
          <w:p w14:paraId="0681D4A5"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3DC7692D"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C13C96E" w14:textId="77777777" w:rsidTr="00DC7B09">
        <w:tc>
          <w:tcPr>
            <w:tcW w:w="1526" w:type="dxa"/>
          </w:tcPr>
          <w:p w14:paraId="69BC18E9"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Saponin</w:t>
            </w:r>
          </w:p>
        </w:tc>
        <w:tc>
          <w:tcPr>
            <w:tcW w:w="1559" w:type="dxa"/>
          </w:tcPr>
          <w:p w14:paraId="70149462"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608D6976"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4E03926" w14:textId="77777777" w:rsidTr="00DC7B09">
        <w:tc>
          <w:tcPr>
            <w:tcW w:w="1526" w:type="dxa"/>
          </w:tcPr>
          <w:p w14:paraId="0E235A94"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Tanin</w:t>
            </w:r>
          </w:p>
        </w:tc>
        <w:tc>
          <w:tcPr>
            <w:tcW w:w="1559" w:type="dxa"/>
          </w:tcPr>
          <w:p w14:paraId="7D569C8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7EBFF328"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56BADB65" w14:textId="77777777" w:rsidTr="00DC7B09">
        <w:tc>
          <w:tcPr>
            <w:tcW w:w="1526" w:type="dxa"/>
          </w:tcPr>
          <w:p w14:paraId="48FD24C5"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Terpenoid dan steroid</w:t>
            </w:r>
          </w:p>
        </w:tc>
        <w:tc>
          <w:tcPr>
            <w:tcW w:w="1559" w:type="dxa"/>
          </w:tcPr>
          <w:p w14:paraId="32787BB9"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532F4019"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bl>
    <w:p w14:paraId="377E8935" w14:textId="77777777" w:rsidR="0009030B" w:rsidRDefault="0009030B" w:rsidP="00AC7CBD">
      <w:pPr>
        <w:tabs>
          <w:tab w:val="left" w:pos="426"/>
        </w:tabs>
        <w:spacing w:after="0" w:line="240" w:lineRule="auto"/>
        <w:jc w:val="both"/>
        <w:rPr>
          <w:rFonts w:ascii="Tw Cen MT" w:eastAsia="Twentieth Century" w:hAnsi="Tw Cen MT" w:cs="Twentieth Century"/>
          <w:sz w:val="24"/>
          <w:szCs w:val="24"/>
          <w:lang w:val="id"/>
        </w:rPr>
      </w:pPr>
    </w:p>
    <w:p w14:paraId="4C49B6DE" w14:textId="3C4AFD6B" w:rsidR="00766A76" w:rsidRPr="00766A76" w:rsidRDefault="0009030B"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sz w:val="24"/>
          <w:szCs w:val="24"/>
          <w:lang w:val="id"/>
        </w:rPr>
        <w:t xml:space="preserve">Sedangkan untuk simplisianya positif mengandung alkaloida, flavonoid, saponin, tanin, serta steroid dan triterpenoid. </w:t>
      </w:r>
      <w:r w:rsidR="00766A76" w:rsidRPr="00766A76">
        <w:rPr>
          <w:rFonts w:ascii="Tw Cen MT" w:eastAsia="Twentieth Century" w:hAnsi="Tw Cen MT" w:cs="Twentieth Century"/>
          <w:sz w:val="24"/>
          <w:szCs w:val="24"/>
          <w:lang w:val="id"/>
        </w:rPr>
        <w:t xml:space="preserve">Hal tersebut sejalan dengan penelitian </w:t>
      </w:r>
      <w:r w:rsidR="006B3B70">
        <w:rPr>
          <w:rFonts w:ascii="Tw Cen MT" w:eastAsia="Twentieth Century" w:hAnsi="Tw Cen MT" w:cs="Twentieth Century"/>
          <w:sz w:val="24"/>
          <w:szCs w:val="24"/>
          <w:lang w:val="id"/>
        </w:rPr>
        <w:t xml:space="preserve">sebelumnya </w:t>
      </w:r>
      <w:r w:rsidR="00766A76" w:rsidRPr="00766A76">
        <w:rPr>
          <w:rFonts w:ascii="Tw Cen MT" w:eastAsia="Twentieth Century" w:hAnsi="Tw Cen MT" w:cs="Twentieth Century"/>
          <w:sz w:val="24"/>
          <w:szCs w:val="24"/>
          <w:lang w:val="id"/>
        </w:rPr>
        <w:t>dimana pada ekstrak air daun tahongai mengandung metabolit sekunder saponin dan triterpenoid</w:t>
      </w:r>
      <w:r w:rsidR="006B3B70">
        <w:rPr>
          <w:rFonts w:ascii="Tw Cen MT" w:eastAsia="Twentieth Century" w:hAnsi="Tw Cen MT" w:cs="Twentieth Century"/>
          <w:sz w:val="24"/>
          <w:szCs w:val="24"/>
          <w:lang w:val="id"/>
        </w:rPr>
        <w:t xml:space="preserve"> [15]</w:t>
      </w:r>
      <w:r w:rsidR="00766A76" w:rsidRPr="00766A76">
        <w:rPr>
          <w:rFonts w:ascii="Tw Cen MT" w:eastAsia="Twentieth Century" w:hAnsi="Tw Cen MT" w:cs="Twentieth Century"/>
          <w:sz w:val="24"/>
          <w:szCs w:val="24"/>
          <w:lang w:val="id"/>
        </w:rPr>
        <w:t xml:space="preserve">. Hasil infusa yang diperoleh pada penelitian ini mengandung alkaloid, </w:t>
      </w:r>
      <w:r w:rsidR="00766A76" w:rsidRPr="00766A76">
        <w:rPr>
          <w:rFonts w:ascii="Tw Cen MT" w:eastAsia="Twentieth Century" w:hAnsi="Tw Cen MT" w:cs="Twentieth Century"/>
          <w:bCs/>
          <w:sz w:val="24"/>
          <w:szCs w:val="24"/>
        </w:rPr>
        <w:t xml:space="preserve">fenol, flavonoid, saponin, tannin yang merupakan metabolit sekunder yang bertanggung jawab pada aktivitas antioksidan suatu tanaman. </w:t>
      </w:r>
    </w:p>
    <w:p w14:paraId="3C3EC85E" w14:textId="77777777" w:rsidR="00750E24"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 xml:space="preserve">Penentuan panjang gelombang maksimum dilakukan </w:t>
      </w:r>
      <w:r w:rsidRPr="00766A76">
        <w:rPr>
          <w:rFonts w:ascii="Tw Cen MT" w:eastAsia="Twentieth Century" w:hAnsi="Tw Cen MT" w:cs="Twentieth Century"/>
          <w:bCs/>
          <w:sz w:val="24"/>
          <w:szCs w:val="24"/>
          <w:lang w:val="id-ID"/>
        </w:rPr>
        <w:t>untuk meminimalkan  kesalahan  sehingga didapatkan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akurasi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baik</w:t>
      </w:r>
      <w:r w:rsidRPr="00766A76">
        <w:rPr>
          <w:rFonts w:ascii="Tw Cen MT" w:eastAsia="Twentieth Century" w:hAnsi="Tw Cen MT" w:cs="Twentieth Century"/>
          <w:bCs/>
          <w:sz w:val="24"/>
          <w:szCs w:val="24"/>
        </w:rPr>
        <w:t xml:space="preserve">. Penentuan panjang gelombang maksimum DPPH dilakukan pada rentang panjang gelombang 510-520 nm. </w:t>
      </w:r>
    </w:p>
    <w:p w14:paraId="52AD937A" w14:textId="07BE084A" w:rsidR="00750E24" w:rsidRDefault="00750E24" w:rsidP="00AC7CBD">
      <w:pPr>
        <w:tabs>
          <w:tab w:val="left" w:pos="426"/>
        </w:tabs>
        <w:spacing w:after="0" w:line="240" w:lineRule="auto"/>
        <w:jc w:val="both"/>
        <w:rPr>
          <w:rFonts w:ascii="Tw Cen MT" w:eastAsia="Twentieth Century" w:hAnsi="Tw Cen MT" w:cs="Twentieth Century"/>
          <w:bCs/>
          <w:sz w:val="24"/>
          <w:szCs w:val="24"/>
        </w:rPr>
      </w:pPr>
      <w:r>
        <w:rPr>
          <w:noProof/>
        </w:rPr>
        <w:drawing>
          <wp:inline distT="0" distB="0" distL="0" distR="0" wp14:anchorId="5468EE50" wp14:editId="461D39A0">
            <wp:extent cx="2743200" cy="19050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AD24F8" w14:textId="778232EB" w:rsidR="006F759A" w:rsidRDefault="006F759A" w:rsidP="00AC7CBD">
      <w:pPr>
        <w:tabs>
          <w:tab w:val="left" w:pos="426"/>
        </w:tabs>
        <w:spacing w:after="0" w:line="240" w:lineRule="auto"/>
        <w:ind w:left="1276" w:hanging="1276"/>
        <w:jc w:val="both"/>
        <w:rPr>
          <w:rFonts w:ascii="Tw Cen MT" w:eastAsia="Twentieth Century" w:hAnsi="Tw Cen MT" w:cs="Twentieth Century"/>
          <w:bCs/>
          <w:sz w:val="24"/>
          <w:szCs w:val="24"/>
        </w:rPr>
      </w:pPr>
      <w:r w:rsidRPr="006F759A">
        <w:rPr>
          <w:rFonts w:ascii="Tw Cen MT" w:eastAsia="Twentieth Century" w:hAnsi="Tw Cen MT" w:cs="Twentieth Century"/>
          <w:bCs/>
          <w:sz w:val="24"/>
          <w:szCs w:val="24"/>
          <w:lang w:val="id"/>
        </w:rPr>
        <w:t>Gambar 1. Panjang gelombang maksimum DPPH 0,5 mM</w:t>
      </w:r>
    </w:p>
    <w:p w14:paraId="5D8BFC06" w14:textId="55AEC2DC" w:rsidR="003D7082" w:rsidRPr="00D3183C"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Panjang gelombang maksimum (</w:t>
      </w:r>
      <w:r w:rsidRPr="00766A76">
        <w:rPr>
          <w:rFonts w:ascii="Arial" w:eastAsia="Twentieth Century" w:hAnsi="Arial" w:cs="Arial"/>
          <w:bCs/>
          <w:sz w:val="24"/>
          <w:szCs w:val="24"/>
        </w:rPr>
        <w:t>λ</w:t>
      </w:r>
      <w:r w:rsidRPr="00766A76">
        <w:rPr>
          <w:rFonts w:ascii="Tw Cen MT" w:eastAsia="Twentieth Century" w:hAnsi="Tw Cen MT" w:cs="Twentieth Century"/>
          <w:bCs/>
          <w:sz w:val="24"/>
          <w:szCs w:val="24"/>
        </w:rPr>
        <w:t xml:space="preserve"> max) merupakan  panjang gelombang dengan intensitas absorbsi tertinggi. </w:t>
      </w:r>
      <w:r w:rsidRPr="00766A76">
        <w:rPr>
          <w:rFonts w:ascii="Tw Cen MT" w:eastAsia="Twentieth Century" w:hAnsi="Tw Cen MT" w:cs="Twentieth Century"/>
          <w:bCs/>
          <w:sz w:val="24"/>
          <w:szCs w:val="24"/>
          <w:lang w:val="id-ID"/>
        </w:rPr>
        <w:t>Hasil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pengukuran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panjang gelombang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maksimum</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DPPH</w:t>
      </w:r>
      <w:r w:rsidRPr="00766A76">
        <w:rPr>
          <w:rFonts w:ascii="Tw Cen MT" w:eastAsia="Twentieth Century" w:hAnsi="Tw Cen MT" w:cs="Twentieth Century"/>
          <w:bCs/>
          <w:sz w:val="24"/>
          <w:szCs w:val="24"/>
        </w:rPr>
        <w:t xml:space="preserve"> 0,5 mM</w:t>
      </w:r>
      <w:r w:rsidRPr="00766A76">
        <w:rPr>
          <w:rFonts w:ascii="Tw Cen MT" w:eastAsia="Twentieth Century" w:hAnsi="Tw Cen MT" w:cs="Twentieth Century"/>
          <w:bCs/>
          <w:sz w:val="24"/>
          <w:szCs w:val="24"/>
          <w:lang w:val="id-ID"/>
        </w:rPr>
        <w:t xml:space="preserve">  </w:t>
      </w:r>
      <w:r w:rsidR="00D3183C">
        <w:rPr>
          <w:rFonts w:ascii="Tw Cen MT" w:eastAsia="Twentieth Century" w:hAnsi="Tw Cen MT" w:cs="Twentieth Century"/>
          <w:bCs/>
          <w:sz w:val="24"/>
          <w:szCs w:val="24"/>
        </w:rPr>
        <w:t>diperoleh</w:t>
      </w:r>
      <w:r w:rsidRPr="00766A76">
        <w:rPr>
          <w:rFonts w:ascii="Tw Cen MT" w:eastAsia="Twentieth Century" w:hAnsi="Tw Cen MT" w:cs="Twentieth Century"/>
          <w:bCs/>
          <w:sz w:val="24"/>
          <w:szCs w:val="24"/>
          <w:lang w:val="id-ID"/>
        </w:rPr>
        <w:t xml:space="preserve">  </w:t>
      </w:r>
      <w:r w:rsidRPr="00766A76">
        <w:rPr>
          <w:rFonts w:ascii="Arial" w:eastAsia="Twentieth Century" w:hAnsi="Arial" w:cs="Arial"/>
          <w:bCs/>
          <w:sz w:val="24"/>
          <w:szCs w:val="24"/>
          <w:lang w:val="id-ID"/>
        </w:rPr>
        <w:t>λ</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max</w:t>
      </w:r>
      <w:r w:rsidRPr="00766A76">
        <w:rPr>
          <w:rFonts w:ascii="Tw Cen MT" w:eastAsia="Twentieth Century" w:hAnsi="Tw Cen MT" w:cs="Twentieth Century"/>
          <w:bCs/>
          <w:sz w:val="24"/>
          <w:szCs w:val="24"/>
        </w:rPr>
        <w:t xml:space="preserve"> </w:t>
      </w:r>
      <w:r w:rsidR="00D3183C">
        <w:rPr>
          <w:rFonts w:ascii="Tw Cen MT" w:eastAsia="Twentieth Century" w:hAnsi="Tw Cen MT" w:cs="Twentieth Century"/>
          <w:bCs/>
          <w:sz w:val="24"/>
          <w:szCs w:val="24"/>
        </w:rPr>
        <w:t xml:space="preserve">yaitu </w:t>
      </w:r>
      <w:r w:rsidRPr="00766A76">
        <w:rPr>
          <w:rFonts w:ascii="Tw Cen MT" w:eastAsia="Twentieth Century" w:hAnsi="Tw Cen MT" w:cs="Twentieth Century"/>
          <w:bCs/>
          <w:sz w:val="24"/>
          <w:szCs w:val="24"/>
          <w:lang w:val="id-ID"/>
        </w:rPr>
        <w:t>51</w:t>
      </w:r>
      <w:r w:rsidRPr="00766A76">
        <w:rPr>
          <w:rFonts w:ascii="Tw Cen MT" w:eastAsia="Twentieth Century" w:hAnsi="Tw Cen MT" w:cs="Twentieth Century"/>
          <w:bCs/>
          <w:sz w:val="24"/>
          <w:szCs w:val="24"/>
        </w:rPr>
        <w:t xml:space="preserve">5 </w:t>
      </w:r>
      <w:r w:rsidRPr="00766A76">
        <w:rPr>
          <w:rFonts w:ascii="Tw Cen MT" w:eastAsia="Twentieth Century" w:hAnsi="Tw Cen MT" w:cs="Twentieth Century"/>
          <w:bCs/>
          <w:sz w:val="24"/>
          <w:szCs w:val="24"/>
          <w:lang w:val="id-ID"/>
        </w:rPr>
        <w:t>nm dengan absorbansi 0,</w:t>
      </w:r>
      <w:r w:rsidRPr="00766A76">
        <w:rPr>
          <w:rFonts w:ascii="Tw Cen MT" w:eastAsia="Twentieth Century" w:hAnsi="Tw Cen MT" w:cs="Twentieth Century"/>
          <w:bCs/>
          <w:sz w:val="24"/>
          <w:szCs w:val="24"/>
        </w:rPr>
        <w:t xml:space="preserve">423 </w:t>
      </w:r>
      <w:r w:rsidR="00D3183C">
        <w:rPr>
          <w:rFonts w:ascii="Tw Cen MT" w:eastAsia="Twentieth Century" w:hAnsi="Tw Cen MT" w:cs="Twentieth Century"/>
          <w:bCs/>
          <w:sz w:val="24"/>
          <w:szCs w:val="24"/>
        </w:rPr>
        <w:t xml:space="preserve">yang ditunjukkan pada gambar 1. </w:t>
      </w:r>
      <w:r w:rsidRPr="00766A76">
        <w:rPr>
          <w:rFonts w:ascii="Tw Cen MT" w:eastAsia="Twentieth Century" w:hAnsi="Tw Cen MT" w:cs="Twentieth Century"/>
          <w:bCs/>
          <w:sz w:val="24"/>
          <w:szCs w:val="24"/>
        </w:rPr>
        <w:t xml:space="preserve">Uji aktivitas antioksidan vitamin C juga dilakukan pada penelitian ini sebagai data pembanding kemampuan penangkalan radikal bebas infusa daun tahongai terhadap DPPH. </w:t>
      </w:r>
      <w:r w:rsidRPr="00766A76">
        <w:rPr>
          <w:rFonts w:ascii="Tw Cen MT" w:eastAsia="Twentieth Century" w:hAnsi="Tw Cen MT" w:cs="Twentieth Century"/>
          <w:sz w:val="24"/>
          <w:szCs w:val="24"/>
        </w:rPr>
        <w:t>D</w:t>
      </w:r>
      <w:r w:rsidRPr="00766A76">
        <w:rPr>
          <w:rFonts w:ascii="Tw Cen MT" w:eastAsia="Twentieth Century" w:hAnsi="Tw Cen MT" w:cs="Twentieth Century"/>
          <w:sz w:val="24"/>
          <w:szCs w:val="24"/>
          <w:lang w:val="id"/>
        </w:rPr>
        <w:t xml:space="preserve">ibuat seri konsentrasi 30 ppm, 60 ppm, 90 ppm dan 120 ppm, dan 150 ppm vitamin C yang dicampurkan dengan 3 mL DPPH 0,05 mM. Larutan tersebut kemudian diinkubasi selama 30 menit ditempat yang terlindung dari cahaya. </w:t>
      </w:r>
      <w:r w:rsidRPr="00766A76">
        <w:rPr>
          <w:rFonts w:ascii="Tw Cen MT" w:eastAsia="Twentieth Century" w:hAnsi="Tw Cen MT" w:cs="Twentieth Century"/>
          <w:sz w:val="24"/>
          <w:szCs w:val="24"/>
          <w:lang w:val="id-ID"/>
        </w:rPr>
        <w:t xml:space="preserve">Tujuan dilakukan </w:t>
      </w:r>
      <w:r w:rsidRPr="00766A76">
        <w:rPr>
          <w:rFonts w:ascii="Tw Cen MT" w:eastAsia="Twentieth Century" w:hAnsi="Tw Cen MT" w:cs="Twentieth Century"/>
          <w:sz w:val="24"/>
          <w:szCs w:val="24"/>
          <w:lang w:val="id"/>
        </w:rPr>
        <w:t>inkubasi</w:t>
      </w:r>
      <w:r w:rsidRPr="00766A76">
        <w:rPr>
          <w:rFonts w:ascii="Tw Cen MT" w:eastAsia="Twentieth Century" w:hAnsi="Tw Cen MT" w:cs="Twentieth Century"/>
          <w:sz w:val="24"/>
          <w:szCs w:val="24"/>
          <w:lang w:val="id-ID"/>
        </w:rPr>
        <w:t xml:space="preserve"> di ruang </w:t>
      </w:r>
      <w:r w:rsidRPr="00766A76">
        <w:rPr>
          <w:rFonts w:ascii="Tw Cen MT" w:eastAsia="Twentieth Century" w:hAnsi="Tw Cen MT" w:cs="Twentieth Century"/>
          <w:sz w:val="24"/>
          <w:szCs w:val="24"/>
          <w:lang w:val="id"/>
        </w:rPr>
        <w:t>yang terlindung dari cahaya atau tempat gelap</w:t>
      </w:r>
      <w:r w:rsidRPr="00766A76">
        <w:rPr>
          <w:rFonts w:ascii="Tw Cen MT" w:eastAsia="Twentieth Century" w:hAnsi="Tw Cen MT" w:cs="Twentieth Century"/>
          <w:sz w:val="24"/>
          <w:szCs w:val="24"/>
          <w:lang w:val="id-ID"/>
        </w:rPr>
        <w:t xml:space="preserve"> ini adalah agar tidak ada radikal yang terbentuk selain radikal bebas DPPH yang sengaja ditambahkan. </w:t>
      </w:r>
      <w:r w:rsidRPr="00766A76">
        <w:rPr>
          <w:rFonts w:ascii="Tw Cen MT" w:eastAsia="Twentieth Century" w:hAnsi="Tw Cen MT" w:cs="Twentieth Century"/>
          <w:sz w:val="24"/>
          <w:szCs w:val="24"/>
        </w:rPr>
        <w:t>Sehingga spesi yang terukur</w:t>
      </w:r>
      <w:r w:rsidRPr="00766A76">
        <w:rPr>
          <w:rFonts w:ascii="Tw Cen MT" w:eastAsia="Twentieth Century" w:hAnsi="Tw Cen MT" w:cs="Twentieth Century"/>
          <w:sz w:val="24"/>
          <w:szCs w:val="24"/>
          <w:lang w:val="id-ID"/>
        </w:rPr>
        <w:t xml:space="preserve"> pada penelitian ini adalah konsentrasi DPPH yang tersisa setelah </w:t>
      </w:r>
      <w:r w:rsidRPr="00766A76">
        <w:rPr>
          <w:rFonts w:ascii="Tw Cen MT" w:eastAsia="Twentieth Century" w:hAnsi="Tw Cen MT" w:cs="Twentieth Century"/>
          <w:sz w:val="24"/>
          <w:szCs w:val="24"/>
        </w:rPr>
        <w:t xml:space="preserve">bereaksi </w:t>
      </w:r>
      <w:r w:rsidRPr="00766A76">
        <w:rPr>
          <w:rFonts w:ascii="Tw Cen MT" w:eastAsia="Twentieth Century" w:hAnsi="Tw Cen MT" w:cs="Twentieth Century"/>
          <w:sz w:val="24"/>
          <w:szCs w:val="24"/>
          <w:lang w:val="id-ID"/>
        </w:rPr>
        <w:t>dengan sampel</w:t>
      </w:r>
      <w:r w:rsidRPr="00766A76">
        <w:rPr>
          <w:rFonts w:ascii="Tw Cen MT" w:eastAsia="Twentieth Century" w:hAnsi="Tw Cen MT" w:cs="Twentieth Century"/>
          <w:sz w:val="24"/>
          <w:szCs w:val="24"/>
        </w:rPr>
        <w:t xml:space="preserve"> yang akan diukur kemampuan antioksidannya</w:t>
      </w:r>
      <w:r w:rsidRPr="00766A76">
        <w:rPr>
          <w:rFonts w:ascii="Tw Cen MT" w:eastAsia="Twentieth Century" w:hAnsi="Tw Cen MT" w:cs="Twentieth Century"/>
          <w:sz w:val="24"/>
          <w:szCs w:val="24"/>
          <w:lang w:val="id-ID"/>
        </w:rPr>
        <w:t xml:space="preserve">. Vitamin C digunakan sebagai pembanding karena vitamin C berfungsi sebagai antioksidan sekunder yang berasal dari alam. </w:t>
      </w:r>
    </w:p>
    <w:p w14:paraId="27BF31FD"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6CED8462"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78B5A16F"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rPr>
      </w:pPr>
    </w:p>
    <w:p w14:paraId="6AFF0FDD"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rPr>
      </w:pPr>
    </w:p>
    <w:p w14:paraId="6EFC9CC2" w14:textId="77777777" w:rsidR="002C3700" w:rsidRP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49111288" w14:textId="2050AD7E" w:rsidR="003D7082" w:rsidRDefault="003D7082" w:rsidP="00AC7CBD">
      <w:pPr>
        <w:tabs>
          <w:tab w:val="left" w:pos="426"/>
        </w:tabs>
        <w:spacing w:after="0" w:line="240" w:lineRule="auto"/>
        <w:jc w:val="both"/>
        <w:rPr>
          <w:rFonts w:ascii="Tw Cen MT" w:eastAsia="Twentieth Century" w:hAnsi="Tw Cen MT" w:cs="Twentieth Century"/>
          <w:sz w:val="24"/>
          <w:szCs w:val="24"/>
        </w:rPr>
      </w:pPr>
      <w:r>
        <w:rPr>
          <w:noProof/>
        </w:rPr>
        <w:lastRenderedPageBreak/>
        <w:drawing>
          <wp:anchor distT="0" distB="0" distL="114300" distR="114300" simplePos="0" relativeHeight="251668480" behindDoc="1" locked="0" layoutInCell="1" allowOverlap="1" wp14:anchorId="65624BFB" wp14:editId="15C47129">
            <wp:simplePos x="0" y="0"/>
            <wp:positionH relativeFrom="column">
              <wp:posOffset>0</wp:posOffset>
            </wp:positionH>
            <wp:positionV relativeFrom="paragraph">
              <wp:posOffset>43180</wp:posOffset>
            </wp:positionV>
            <wp:extent cx="2781300" cy="1828800"/>
            <wp:effectExtent l="0" t="0" r="19050"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15918B9"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566B54E4"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6EA4A30A"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D0FAC45"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1D50B3CD"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C0E860E"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1439A4F9"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027AAECA"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790360D"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6C16B3BD"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3DFA3DD7"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3276732F" w14:textId="208D1A67" w:rsidR="003D7082" w:rsidRDefault="003D7082" w:rsidP="00AC7CBD">
      <w:pPr>
        <w:tabs>
          <w:tab w:val="left" w:pos="426"/>
        </w:tabs>
        <w:spacing w:after="0" w:line="240" w:lineRule="auto"/>
        <w:ind w:left="1276" w:hanging="1276"/>
        <w:jc w:val="both"/>
        <w:rPr>
          <w:rFonts w:ascii="Tw Cen MT" w:eastAsia="Twentieth Century" w:hAnsi="Tw Cen MT" w:cs="Twentieth Century"/>
          <w:sz w:val="24"/>
          <w:szCs w:val="24"/>
        </w:rPr>
      </w:pPr>
      <w:r w:rsidRPr="003D7082">
        <w:rPr>
          <w:rFonts w:ascii="Tw Cen MT" w:eastAsia="Twentieth Century" w:hAnsi="Tw Cen MT" w:cs="Twentieth Century"/>
          <w:bCs/>
          <w:sz w:val="24"/>
          <w:szCs w:val="24"/>
        </w:rPr>
        <w:t>Gambar 2. Grafik persentase peredaman radikal vitamin C</w:t>
      </w:r>
    </w:p>
    <w:p w14:paraId="4596A286" w14:textId="77777777" w:rsidR="003D7082" w:rsidRDefault="00766A76" w:rsidP="00AC7CBD">
      <w:pPr>
        <w:tabs>
          <w:tab w:val="left" w:pos="426"/>
        </w:tabs>
        <w:spacing w:after="0" w:line="240" w:lineRule="auto"/>
        <w:jc w:val="both"/>
        <w:rPr>
          <w:rFonts w:ascii="Tw Cen MT" w:eastAsia="Twentieth Century" w:hAnsi="Tw Cen MT" w:cs="Twentieth Century"/>
          <w:sz w:val="24"/>
          <w:szCs w:val="24"/>
        </w:rPr>
      </w:pPr>
      <w:r w:rsidRPr="00766A76">
        <w:rPr>
          <w:rFonts w:ascii="Tw Cen MT" w:eastAsia="Twentieth Century" w:hAnsi="Tw Cen MT" w:cs="Twentieth Century"/>
          <w:sz w:val="24"/>
          <w:szCs w:val="24"/>
          <w:lang w:val="id-ID"/>
        </w:rPr>
        <w:t>Besarnya aktivitas peredaman radikal bebas DPPH ditandai dengan 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(50% </w:t>
      </w:r>
      <w:r w:rsidRPr="00766A76">
        <w:rPr>
          <w:rFonts w:ascii="Tw Cen MT" w:eastAsia="Twentieth Century" w:hAnsi="Tw Cen MT" w:cs="Twentieth Century"/>
          <w:i/>
          <w:sz w:val="24"/>
          <w:szCs w:val="24"/>
          <w:lang w:val="id-ID"/>
        </w:rPr>
        <w:t>Inhibitory Concentration</w:t>
      </w:r>
      <w:r w:rsidRPr="00766A76">
        <w:rPr>
          <w:rFonts w:ascii="Tw Cen MT" w:eastAsia="Twentieth Century" w:hAnsi="Tw Cen MT" w:cs="Twentieth Century"/>
          <w:sz w:val="24"/>
          <w:szCs w:val="24"/>
          <w:lang w:val="id-ID"/>
        </w:rPr>
        <w:t>)</w:t>
      </w:r>
      <w:r w:rsidRPr="00766A76">
        <w:rPr>
          <w:rFonts w:ascii="Tw Cen MT" w:eastAsia="Twentieth Century" w:hAnsi="Tw Cen MT" w:cs="Twentieth Century"/>
          <w:sz w:val="24"/>
          <w:szCs w:val="24"/>
        </w:rPr>
        <w:t>. Grafik persentase peredaman (% inhibisi) terhadap variasi konsentrasi Vitamin C ditampilkan pada gambar 2. Pada grafik tersebut terlihat bahwa</w:t>
      </w:r>
      <w:r w:rsidRPr="00766A76">
        <w:rPr>
          <w:rFonts w:ascii="Tw Cen MT" w:eastAsia="Twentieth Century" w:hAnsi="Tw Cen MT" w:cs="Twentieth Century"/>
          <w:sz w:val="24"/>
          <w:szCs w:val="24"/>
          <w:lang w:val="id-ID"/>
        </w:rPr>
        <w:t xml:space="preserve"> </w:t>
      </w:r>
      <w:r w:rsidRPr="00766A76">
        <w:rPr>
          <w:rFonts w:ascii="Tw Cen MT" w:eastAsia="Twentieth Century" w:hAnsi="Tw Cen MT" w:cs="Twentieth Century"/>
          <w:sz w:val="24"/>
          <w:szCs w:val="24"/>
        </w:rPr>
        <w:t>n</w:t>
      </w:r>
      <w:r w:rsidRPr="00766A76">
        <w:rPr>
          <w:rFonts w:ascii="Tw Cen MT" w:eastAsia="Twentieth Century" w:hAnsi="Tw Cen MT" w:cs="Twentieth Century"/>
          <w:sz w:val="24"/>
          <w:szCs w:val="24"/>
          <w:lang w:val="id-ID"/>
        </w:rPr>
        <w:t>ilai persen inhibisi semakin bertambah se</w:t>
      </w:r>
      <w:r w:rsidRPr="00766A76">
        <w:rPr>
          <w:rFonts w:ascii="Tw Cen MT" w:eastAsia="Twentieth Century" w:hAnsi="Tw Cen MT" w:cs="Twentieth Century"/>
          <w:sz w:val="24"/>
          <w:szCs w:val="24"/>
        </w:rPr>
        <w:t>i</w:t>
      </w:r>
      <w:r w:rsidRPr="00766A76">
        <w:rPr>
          <w:rFonts w:ascii="Tw Cen MT" w:eastAsia="Twentieth Century" w:hAnsi="Tw Cen MT" w:cs="Twentieth Century"/>
          <w:sz w:val="24"/>
          <w:szCs w:val="24"/>
          <w:lang w:val="id-ID"/>
        </w:rPr>
        <w:t>ring dengan meningkatnya konsentrasi. Hal ini dikarenakan semakin besar konsentrasi vitamin C maka semakin banyak partikel-partikel yang dapat mengoksidasi partikel-partikel dari radikal bebas DPPH yang ada</w:t>
      </w:r>
      <w:r w:rsidR="006B3B70">
        <w:rPr>
          <w:rFonts w:ascii="Tw Cen MT" w:eastAsia="Twentieth Century" w:hAnsi="Tw Cen MT" w:cs="Twentieth Century"/>
          <w:sz w:val="24"/>
          <w:szCs w:val="24"/>
          <w:lang w:val="id"/>
        </w:rPr>
        <w:t xml:space="preserve"> [11]</w:t>
      </w:r>
      <w:r w:rsidRPr="00766A76">
        <w:rPr>
          <w:rFonts w:ascii="Tw Cen MT" w:eastAsia="Twentieth Century" w:hAnsi="Tw Cen MT" w:cs="Twentieth Century"/>
          <w:sz w:val="24"/>
          <w:szCs w:val="24"/>
        </w:rPr>
        <w:t xml:space="preserve">. </w:t>
      </w:r>
    </w:p>
    <w:p w14:paraId="4C1F899A" w14:textId="03D52E1F" w:rsidR="003D7082" w:rsidRDefault="003D7082" w:rsidP="00AC7CBD">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2457085F" wp14:editId="75E11D04">
            <wp:extent cx="2743200" cy="18923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EEAAC4" w14:textId="121C6CC4" w:rsidR="003D7082" w:rsidRDefault="003D7082" w:rsidP="00AC7CBD">
      <w:pPr>
        <w:tabs>
          <w:tab w:val="left" w:pos="426"/>
        </w:tabs>
        <w:spacing w:after="0" w:line="240" w:lineRule="auto"/>
        <w:ind w:left="1134" w:hanging="1134"/>
        <w:jc w:val="both"/>
        <w:rPr>
          <w:rFonts w:ascii="Tw Cen MT" w:eastAsia="Twentieth Century" w:hAnsi="Tw Cen MT" w:cs="Twentieth Century"/>
          <w:sz w:val="24"/>
          <w:szCs w:val="24"/>
        </w:rPr>
      </w:pPr>
      <w:r w:rsidRPr="003D7082">
        <w:rPr>
          <w:rFonts w:ascii="Tw Cen MT" w:eastAsia="Twentieth Century" w:hAnsi="Tw Cen MT" w:cs="Twentieth Century"/>
          <w:bCs/>
          <w:sz w:val="24"/>
          <w:szCs w:val="24"/>
        </w:rPr>
        <w:t>Gambar 3. Grafik nilai probit terhadap log konsentrasi infusa daun tahongai</w:t>
      </w:r>
    </w:p>
    <w:p w14:paraId="678559C4" w14:textId="516D54F0" w:rsidR="003D7082"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sz w:val="24"/>
          <w:szCs w:val="24"/>
          <w:lang w:val="id-ID"/>
        </w:rPr>
        <w:t>DP</w:t>
      </w:r>
      <w:r w:rsidRPr="00766A76">
        <w:rPr>
          <w:rFonts w:ascii="Tw Cen MT" w:eastAsia="Twentieth Century" w:hAnsi="Tw Cen MT" w:cs="Twentieth Century"/>
          <w:bCs/>
          <w:sz w:val="24"/>
          <w:szCs w:val="24"/>
          <w:lang w:val="id-ID"/>
        </w:rPr>
        <w:t xml:space="preserve">PH adalah radikal bebas yang stabil pada suhu kamar dan berwarna ungu. Apabila DPPH direaksikan dengan senyawa peredam radikal bebas, misalnya flavonoid maka intensitas warna ungu akan berkurang dan </w:t>
      </w:r>
      <w:r w:rsidRPr="00766A76">
        <w:rPr>
          <w:rFonts w:ascii="Tw Cen MT" w:eastAsia="Twentieth Century" w:hAnsi="Tw Cen MT" w:cs="Twentieth Century"/>
          <w:bCs/>
          <w:sz w:val="24"/>
          <w:szCs w:val="24"/>
          <w:lang w:val="id-ID"/>
        </w:rPr>
        <w:t>bila senyawa peredam radikal bebas yang bereaksi jumlahnya besar, maka DPPH dapat berubah warna menjadi kuning. Perubahan warna ini dapat diukur absorbansinya dengan spektrofotometer UV-Vis.</w:t>
      </w:r>
      <w:r w:rsidRPr="00766A76">
        <w:rPr>
          <w:rFonts w:ascii="Tw Cen MT" w:eastAsia="Twentieth Century" w:hAnsi="Tw Cen MT" w:cs="Twentieth Century"/>
          <w:bCs/>
          <w:sz w:val="24"/>
          <w:szCs w:val="24"/>
        </w:rPr>
        <w:t xml:space="preserve"> Gambar 3 </w:t>
      </w:r>
      <w:r w:rsidRPr="00766A76">
        <w:rPr>
          <w:rFonts w:ascii="Tw Cen MT" w:eastAsia="Twentieth Century" w:hAnsi="Tw Cen MT" w:cs="Twentieth Century"/>
          <w:bCs/>
          <w:sz w:val="24"/>
          <w:szCs w:val="24"/>
          <w:lang w:val="id-ID"/>
        </w:rPr>
        <w:t>menjelaskan hubungan antara probit dengan log konsentrasi</w:t>
      </w:r>
      <w:r w:rsidRPr="00766A76">
        <w:rPr>
          <w:rFonts w:ascii="Tw Cen MT" w:eastAsia="Twentieth Century" w:hAnsi="Tw Cen MT" w:cs="Twentieth Century"/>
          <w:bCs/>
          <w:sz w:val="24"/>
          <w:szCs w:val="24"/>
        </w:rPr>
        <w:t xml:space="preserve"> vitamin C</w:t>
      </w:r>
      <w:r w:rsidRPr="00766A76">
        <w:rPr>
          <w:rFonts w:ascii="Tw Cen MT" w:eastAsia="Twentieth Century" w:hAnsi="Tw Cen MT" w:cs="Twentieth Century"/>
          <w:bCs/>
          <w:sz w:val="24"/>
          <w:szCs w:val="24"/>
          <w:lang w:val="id-ID"/>
        </w:rPr>
        <w:t>, memberikan nilai persamaan regresi linear yang membentuk garis lurus</w:t>
      </w:r>
      <w:r w:rsidRPr="00766A76">
        <w:rPr>
          <w:rFonts w:ascii="Tw Cen MT" w:eastAsia="Twentieth Century" w:hAnsi="Tw Cen MT" w:cs="Twentieth Century"/>
          <w:bCs/>
          <w:sz w:val="24"/>
          <w:szCs w:val="24"/>
        </w:rPr>
        <w:t xml:space="preserve"> yaitu </w:t>
      </w:r>
      <w:r w:rsidRPr="00766A76">
        <w:rPr>
          <w:rFonts w:ascii="Tw Cen MT" w:eastAsia="Twentieth Century" w:hAnsi="Tw Cen MT" w:cs="Twentieth Century"/>
          <w:bCs/>
          <w:sz w:val="24"/>
          <w:szCs w:val="24"/>
          <w:lang w:val="id-ID"/>
        </w:rPr>
        <w:t>y = 0,7089x + 4.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w:t>
      </w:r>
      <w:r w:rsidRPr="00766A76">
        <w:rPr>
          <w:rFonts w:ascii="Tw Cen MT" w:eastAsia="Twentieth Century" w:hAnsi="Tw Cen MT" w:cs="Twentieth Century"/>
          <w:bCs/>
          <w:sz w:val="24"/>
          <w:szCs w:val="24"/>
        </w:rPr>
        <w:t xml:space="preserve">vitamin C </w:t>
      </w:r>
      <w:r w:rsidRPr="00766A76">
        <w:rPr>
          <w:rFonts w:ascii="Tw Cen MT" w:eastAsia="Twentieth Century" w:hAnsi="Tw Cen MT" w:cs="Twentieth Century"/>
          <w:bCs/>
          <w:sz w:val="24"/>
          <w:szCs w:val="24"/>
          <w:lang w:val="id-ID"/>
        </w:rPr>
        <w:t xml:space="preserve">adalah sebesar </w:t>
      </w:r>
      <w:r w:rsidRPr="00766A76">
        <w:rPr>
          <w:rFonts w:ascii="Tw Cen MT" w:eastAsia="Twentieth Century" w:hAnsi="Tw Cen MT" w:cs="Twentieth Century"/>
          <w:sz w:val="24"/>
          <w:szCs w:val="24"/>
          <w:lang w:val="id-ID"/>
        </w:rPr>
        <w:t xml:space="preserve">3,359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2. </w:t>
      </w:r>
      <w:r w:rsidRPr="00766A76">
        <w:rPr>
          <w:rFonts w:ascii="Tw Cen MT" w:eastAsia="Twentieth Century" w:hAnsi="Tw Cen MT" w:cs="Twentieth Century"/>
          <w:bCs/>
          <w:sz w:val="24"/>
          <w:szCs w:val="24"/>
        </w:rPr>
        <w:t>Nilai tersebut</w:t>
      </w:r>
      <w:r w:rsidRPr="00766A76">
        <w:rPr>
          <w:rFonts w:ascii="Tw Cen MT" w:eastAsia="Twentieth Century" w:hAnsi="Tw Cen MT" w:cs="Twentieth Century"/>
          <w:bCs/>
          <w:sz w:val="24"/>
          <w:szCs w:val="24"/>
          <w:lang w:val="id-ID"/>
        </w:rPr>
        <w:t xml:space="preserve"> tergolong antioksidan sangat kuat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dibawah 50 ppm. </w:t>
      </w:r>
    </w:p>
    <w:p w14:paraId="652F573B" w14:textId="5767D915" w:rsidR="00D56193" w:rsidRPr="00D56193" w:rsidRDefault="00D56193" w:rsidP="00AC7CBD">
      <w:pPr>
        <w:tabs>
          <w:tab w:val="left" w:pos="426"/>
        </w:tabs>
        <w:spacing w:after="0" w:line="240" w:lineRule="auto"/>
        <w:ind w:left="1134" w:hanging="1134"/>
        <w:jc w:val="both"/>
        <w:rPr>
          <w:rFonts w:ascii="Tw Cen MT" w:eastAsia="Twentieth Century" w:hAnsi="Tw Cen MT" w:cs="Twentieth Century"/>
          <w:bCs/>
          <w:sz w:val="24"/>
          <w:szCs w:val="24"/>
          <w:lang w:val="id"/>
        </w:rPr>
      </w:pPr>
      <w:r w:rsidRPr="00D56193">
        <w:rPr>
          <w:rFonts w:ascii="Tw Cen MT" w:eastAsia="Twentieth Century" w:hAnsi="Tw Cen MT" w:cs="Twentieth Century"/>
          <w:bCs/>
          <w:sz w:val="24"/>
          <w:szCs w:val="24"/>
          <w:lang w:val="id"/>
        </w:rPr>
        <w:t>Tabel 2</w:t>
      </w:r>
      <w:r w:rsidRPr="00D56193">
        <w:rPr>
          <w:rFonts w:ascii="Tw Cen MT" w:eastAsia="Twentieth Century" w:hAnsi="Tw Cen MT" w:cs="Twentieth Century"/>
          <w:b/>
          <w:bCs/>
          <w:sz w:val="24"/>
          <w:szCs w:val="24"/>
          <w:lang w:val="id"/>
        </w:rPr>
        <w:t xml:space="preserve">. </w:t>
      </w:r>
      <w:r w:rsidRPr="00D56193">
        <w:rPr>
          <w:rFonts w:ascii="Tw Cen MT" w:eastAsia="Twentieth Century" w:hAnsi="Tw Cen MT" w:cs="Twentieth Century"/>
          <w:bCs/>
          <w:sz w:val="24"/>
          <w:szCs w:val="24"/>
          <w:lang w:val="id"/>
        </w:rPr>
        <w:t>Hasil uji aktivitas antioksidan Vitamin C</w:t>
      </w:r>
    </w:p>
    <w:tbl>
      <w:tblPr>
        <w:tblW w:w="4126" w:type="dxa"/>
        <w:tblInd w:w="93" w:type="dxa"/>
        <w:tblLayout w:type="fixed"/>
        <w:tblLook w:val="04A0" w:firstRow="1" w:lastRow="0" w:firstColumn="1" w:lastColumn="0" w:noHBand="0" w:noVBand="1"/>
      </w:tblPr>
      <w:tblGrid>
        <w:gridCol w:w="1008"/>
        <w:gridCol w:w="709"/>
        <w:gridCol w:w="605"/>
        <w:gridCol w:w="670"/>
        <w:gridCol w:w="1134"/>
      </w:tblGrid>
      <w:tr w:rsidR="00D56193" w:rsidRPr="003D7082" w14:paraId="1B8EB18F" w14:textId="77777777" w:rsidTr="00D56193">
        <w:trPr>
          <w:trHeight w:val="870"/>
        </w:trPr>
        <w:tc>
          <w:tcPr>
            <w:tcW w:w="1008" w:type="dxa"/>
            <w:tcBorders>
              <w:top w:val="single" w:sz="4" w:space="0" w:color="auto"/>
              <w:left w:val="nil"/>
              <w:bottom w:val="single" w:sz="4" w:space="0" w:color="auto"/>
              <w:right w:val="nil"/>
            </w:tcBorders>
            <w:shd w:val="clear" w:color="auto" w:fill="auto"/>
            <w:vAlign w:val="center"/>
            <w:hideMark/>
          </w:tcPr>
          <w:p w14:paraId="6C5B8068"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Konsentrasi (ppm)</w:t>
            </w:r>
          </w:p>
        </w:tc>
        <w:tc>
          <w:tcPr>
            <w:tcW w:w="709" w:type="dxa"/>
            <w:tcBorders>
              <w:top w:val="single" w:sz="4" w:space="0" w:color="auto"/>
              <w:left w:val="nil"/>
              <w:bottom w:val="single" w:sz="4" w:space="0" w:color="auto"/>
              <w:right w:val="nil"/>
            </w:tcBorders>
            <w:shd w:val="clear" w:color="auto" w:fill="auto"/>
            <w:vAlign w:val="center"/>
            <w:hideMark/>
          </w:tcPr>
          <w:p w14:paraId="510D98B2"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Persen inhibisi (%)</w:t>
            </w:r>
          </w:p>
        </w:tc>
        <w:tc>
          <w:tcPr>
            <w:tcW w:w="605" w:type="dxa"/>
            <w:tcBorders>
              <w:top w:val="single" w:sz="4" w:space="0" w:color="auto"/>
              <w:left w:val="nil"/>
              <w:bottom w:val="single" w:sz="4" w:space="0" w:color="auto"/>
              <w:right w:val="nil"/>
            </w:tcBorders>
            <w:shd w:val="clear" w:color="auto" w:fill="auto"/>
            <w:vAlign w:val="center"/>
            <w:hideMark/>
          </w:tcPr>
          <w:p w14:paraId="11A7B4B1"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Probit</w:t>
            </w:r>
          </w:p>
        </w:tc>
        <w:tc>
          <w:tcPr>
            <w:tcW w:w="670" w:type="dxa"/>
            <w:tcBorders>
              <w:top w:val="single" w:sz="4" w:space="0" w:color="auto"/>
              <w:left w:val="nil"/>
              <w:bottom w:val="single" w:sz="4" w:space="0" w:color="auto"/>
              <w:right w:val="nil"/>
            </w:tcBorders>
            <w:shd w:val="clear" w:color="auto" w:fill="auto"/>
            <w:vAlign w:val="center"/>
            <w:hideMark/>
          </w:tcPr>
          <w:p w14:paraId="69CB9D79" w14:textId="77777777" w:rsidR="00D56193" w:rsidRPr="00D56193" w:rsidRDefault="00D56193" w:rsidP="00AC7CBD">
            <w:pPr>
              <w:tabs>
                <w:tab w:val="left" w:pos="426"/>
              </w:tabs>
              <w:spacing w:after="0" w:line="240" w:lineRule="auto"/>
              <w:jc w:val="both"/>
              <w:rPr>
                <w:rFonts w:ascii="Tw Cen MT" w:eastAsia="Twentieth Century" w:hAnsi="Tw Cen MT" w:cs="Twentieth Century"/>
                <w:b/>
                <w:bCs/>
                <w:sz w:val="16"/>
                <w:szCs w:val="16"/>
              </w:rPr>
            </w:pPr>
            <w:r w:rsidRPr="00D56193">
              <w:rPr>
                <w:rFonts w:ascii="Tw Cen MT" w:eastAsia="Twentieth Century" w:hAnsi="Tw Cen MT" w:cs="Twentieth Century"/>
                <w:b/>
                <w:bCs/>
                <w:sz w:val="16"/>
                <w:szCs w:val="16"/>
              </w:rPr>
              <w:t>IC</w:t>
            </w:r>
            <w:r w:rsidRPr="00D56193">
              <w:rPr>
                <w:rFonts w:ascii="Tw Cen MT" w:eastAsia="Twentieth Century" w:hAnsi="Tw Cen MT" w:cs="Twentieth Century"/>
                <w:b/>
                <w:bCs/>
                <w:sz w:val="16"/>
                <w:szCs w:val="16"/>
                <w:vertAlign w:val="subscript"/>
              </w:rPr>
              <w:t>50</w:t>
            </w:r>
            <w:r w:rsidRPr="00D56193">
              <w:rPr>
                <w:rFonts w:ascii="Tw Cen MT" w:eastAsia="Twentieth Century" w:hAnsi="Tw Cen MT" w:cs="Twentieth Century"/>
                <w:b/>
                <w:bCs/>
                <w:sz w:val="16"/>
                <w:szCs w:val="16"/>
              </w:rPr>
              <w:t xml:space="preserve"> (ppm)</w:t>
            </w:r>
          </w:p>
        </w:tc>
        <w:tc>
          <w:tcPr>
            <w:tcW w:w="1134" w:type="dxa"/>
            <w:tcBorders>
              <w:top w:val="single" w:sz="4" w:space="0" w:color="auto"/>
              <w:left w:val="nil"/>
              <w:bottom w:val="single" w:sz="4" w:space="0" w:color="auto"/>
              <w:right w:val="nil"/>
            </w:tcBorders>
            <w:shd w:val="clear" w:color="auto" w:fill="auto"/>
            <w:vAlign w:val="center"/>
            <w:hideMark/>
          </w:tcPr>
          <w:p w14:paraId="43652D7B" w14:textId="77777777" w:rsidR="00D56193" w:rsidRPr="00D56193" w:rsidRDefault="00D56193" w:rsidP="00AC7CBD">
            <w:pPr>
              <w:tabs>
                <w:tab w:val="left" w:pos="426"/>
              </w:tabs>
              <w:spacing w:after="0" w:line="240" w:lineRule="auto"/>
              <w:jc w:val="both"/>
              <w:rPr>
                <w:rFonts w:ascii="Tw Cen MT" w:eastAsia="Twentieth Century" w:hAnsi="Tw Cen MT" w:cs="Twentieth Century"/>
                <w:b/>
                <w:bCs/>
                <w:sz w:val="16"/>
                <w:szCs w:val="16"/>
              </w:rPr>
            </w:pPr>
            <w:r w:rsidRPr="00D56193">
              <w:rPr>
                <w:rFonts w:ascii="Tw Cen MT" w:eastAsia="Twentieth Century" w:hAnsi="Tw Cen MT" w:cs="Twentieth Century"/>
                <w:b/>
                <w:bCs/>
                <w:sz w:val="16"/>
                <w:szCs w:val="16"/>
              </w:rPr>
              <w:t>Aktivitas Antioksidan</w:t>
            </w:r>
          </w:p>
        </w:tc>
      </w:tr>
      <w:tr w:rsidR="00D56193" w:rsidRPr="003D7082" w14:paraId="06DCBED6" w14:textId="77777777" w:rsidTr="00D56193">
        <w:trPr>
          <w:trHeight w:val="290"/>
        </w:trPr>
        <w:tc>
          <w:tcPr>
            <w:tcW w:w="1008" w:type="dxa"/>
            <w:tcBorders>
              <w:top w:val="nil"/>
              <w:left w:val="nil"/>
              <w:bottom w:val="nil"/>
              <w:right w:val="nil"/>
            </w:tcBorders>
            <w:shd w:val="clear" w:color="auto" w:fill="auto"/>
            <w:noWrap/>
            <w:vAlign w:val="bottom"/>
            <w:hideMark/>
          </w:tcPr>
          <w:p w14:paraId="4C3E87AD"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30</w:t>
            </w:r>
          </w:p>
        </w:tc>
        <w:tc>
          <w:tcPr>
            <w:tcW w:w="709" w:type="dxa"/>
            <w:tcBorders>
              <w:top w:val="nil"/>
              <w:left w:val="nil"/>
              <w:bottom w:val="nil"/>
              <w:right w:val="nil"/>
            </w:tcBorders>
            <w:shd w:val="clear" w:color="auto" w:fill="auto"/>
            <w:noWrap/>
            <w:vAlign w:val="bottom"/>
            <w:hideMark/>
          </w:tcPr>
          <w:p w14:paraId="79641E9B"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76,784</w:t>
            </w:r>
          </w:p>
        </w:tc>
        <w:tc>
          <w:tcPr>
            <w:tcW w:w="605" w:type="dxa"/>
            <w:tcBorders>
              <w:top w:val="nil"/>
              <w:left w:val="nil"/>
              <w:bottom w:val="nil"/>
              <w:right w:val="nil"/>
            </w:tcBorders>
            <w:shd w:val="clear" w:color="auto" w:fill="auto"/>
            <w:noWrap/>
            <w:vAlign w:val="bottom"/>
            <w:hideMark/>
          </w:tcPr>
          <w:p w14:paraId="10F72011"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5,734</w:t>
            </w:r>
          </w:p>
        </w:tc>
        <w:tc>
          <w:tcPr>
            <w:tcW w:w="670" w:type="dxa"/>
            <w:vMerge w:val="restart"/>
            <w:tcBorders>
              <w:top w:val="nil"/>
              <w:left w:val="nil"/>
              <w:bottom w:val="single" w:sz="4" w:space="0" w:color="000000"/>
              <w:right w:val="nil"/>
            </w:tcBorders>
            <w:shd w:val="clear" w:color="auto" w:fill="auto"/>
            <w:noWrap/>
            <w:vAlign w:val="center"/>
            <w:hideMark/>
          </w:tcPr>
          <w:p w14:paraId="7395D41C" w14:textId="77777777" w:rsidR="00D56193" w:rsidRPr="00D56193" w:rsidRDefault="00D56193" w:rsidP="00AC7CBD">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3,359</w:t>
            </w:r>
          </w:p>
        </w:tc>
        <w:tc>
          <w:tcPr>
            <w:tcW w:w="1134" w:type="dxa"/>
            <w:vMerge w:val="restart"/>
            <w:tcBorders>
              <w:top w:val="nil"/>
              <w:left w:val="nil"/>
              <w:bottom w:val="single" w:sz="4" w:space="0" w:color="000000"/>
              <w:right w:val="nil"/>
            </w:tcBorders>
            <w:shd w:val="clear" w:color="auto" w:fill="auto"/>
            <w:noWrap/>
            <w:vAlign w:val="center"/>
            <w:hideMark/>
          </w:tcPr>
          <w:p w14:paraId="55F72F41" w14:textId="77777777" w:rsidR="00D56193" w:rsidRPr="00D56193" w:rsidRDefault="00D56193" w:rsidP="00AC7CBD">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Sangat Kuat</w:t>
            </w:r>
          </w:p>
        </w:tc>
      </w:tr>
      <w:tr w:rsidR="00D56193" w:rsidRPr="003D7082" w14:paraId="11516FC0" w14:textId="77777777" w:rsidTr="00D56193">
        <w:trPr>
          <w:trHeight w:val="290"/>
        </w:trPr>
        <w:tc>
          <w:tcPr>
            <w:tcW w:w="1008" w:type="dxa"/>
            <w:tcBorders>
              <w:top w:val="nil"/>
              <w:left w:val="nil"/>
              <w:bottom w:val="nil"/>
              <w:right w:val="nil"/>
            </w:tcBorders>
            <w:shd w:val="clear" w:color="auto" w:fill="auto"/>
            <w:noWrap/>
            <w:vAlign w:val="bottom"/>
            <w:hideMark/>
          </w:tcPr>
          <w:p w14:paraId="5D91D2A2"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w:t>
            </w:r>
          </w:p>
        </w:tc>
        <w:tc>
          <w:tcPr>
            <w:tcW w:w="709" w:type="dxa"/>
            <w:tcBorders>
              <w:top w:val="nil"/>
              <w:left w:val="nil"/>
              <w:bottom w:val="nil"/>
              <w:right w:val="nil"/>
            </w:tcBorders>
            <w:shd w:val="clear" w:color="auto" w:fill="auto"/>
            <w:noWrap/>
            <w:vAlign w:val="bottom"/>
            <w:hideMark/>
          </w:tcPr>
          <w:p w14:paraId="4C58670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79,615</w:t>
            </w:r>
          </w:p>
        </w:tc>
        <w:tc>
          <w:tcPr>
            <w:tcW w:w="605" w:type="dxa"/>
            <w:tcBorders>
              <w:top w:val="nil"/>
              <w:left w:val="nil"/>
              <w:bottom w:val="nil"/>
              <w:right w:val="nil"/>
            </w:tcBorders>
            <w:shd w:val="clear" w:color="auto" w:fill="auto"/>
            <w:noWrap/>
            <w:vAlign w:val="bottom"/>
            <w:hideMark/>
          </w:tcPr>
          <w:p w14:paraId="7674F7C4"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5,828</w:t>
            </w:r>
          </w:p>
        </w:tc>
        <w:tc>
          <w:tcPr>
            <w:tcW w:w="670" w:type="dxa"/>
            <w:vMerge/>
            <w:tcBorders>
              <w:top w:val="nil"/>
              <w:left w:val="nil"/>
              <w:bottom w:val="single" w:sz="4" w:space="0" w:color="000000"/>
              <w:right w:val="nil"/>
            </w:tcBorders>
            <w:vAlign w:val="center"/>
            <w:hideMark/>
          </w:tcPr>
          <w:p w14:paraId="005208F4"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left w:val="nil"/>
              <w:bottom w:val="single" w:sz="4" w:space="0" w:color="000000"/>
              <w:right w:val="nil"/>
            </w:tcBorders>
            <w:vAlign w:val="center"/>
            <w:hideMark/>
          </w:tcPr>
          <w:p w14:paraId="662E17B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0B97C7F1" w14:textId="77777777" w:rsidTr="00D56193">
        <w:trPr>
          <w:trHeight w:val="290"/>
        </w:trPr>
        <w:tc>
          <w:tcPr>
            <w:tcW w:w="1008" w:type="dxa"/>
            <w:tcBorders>
              <w:top w:val="nil"/>
              <w:left w:val="nil"/>
              <w:bottom w:val="nil"/>
              <w:right w:val="nil"/>
            </w:tcBorders>
            <w:shd w:val="clear" w:color="auto" w:fill="auto"/>
            <w:noWrap/>
            <w:vAlign w:val="bottom"/>
            <w:hideMark/>
          </w:tcPr>
          <w:p w14:paraId="7C38E28D"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90</w:t>
            </w:r>
          </w:p>
        </w:tc>
        <w:tc>
          <w:tcPr>
            <w:tcW w:w="709" w:type="dxa"/>
            <w:tcBorders>
              <w:top w:val="nil"/>
              <w:left w:val="nil"/>
              <w:bottom w:val="nil"/>
              <w:right w:val="nil"/>
            </w:tcBorders>
            <w:shd w:val="clear" w:color="auto" w:fill="auto"/>
            <w:noWrap/>
            <w:vAlign w:val="bottom"/>
            <w:hideMark/>
          </w:tcPr>
          <w:p w14:paraId="2C70FBD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83,012</w:t>
            </w:r>
          </w:p>
        </w:tc>
        <w:tc>
          <w:tcPr>
            <w:tcW w:w="605" w:type="dxa"/>
            <w:tcBorders>
              <w:top w:val="nil"/>
              <w:left w:val="nil"/>
              <w:bottom w:val="nil"/>
              <w:right w:val="nil"/>
            </w:tcBorders>
            <w:shd w:val="clear" w:color="auto" w:fill="auto"/>
            <w:noWrap/>
            <w:vAlign w:val="bottom"/>
            <w:hideMark/>
          </w:tcPr>
          <w:p w14:paraId="0579E529"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5,950</w:t>
            </w:r>
          </w:p>
        </w:tc>
        <w:tc>
          <w:tcPr>
            <w:tcW w:w="670" w:type="dxa"/>
            <w:vMerge/>
            <w:tcBorders>
              <w:top w:val="nil"/>
              <w:left w:val="nil"/>
              <w:bottom w:val="single" w:sz="4" w:space="0" w:color="000000"/>
              <w:right w:val="nil"/>
            </w:tcBorders>
            <w:vAlign w:val="center"/>
            <w:hideMark/>
          </w:tcPr>
          <w:p w14:paraId="30591403"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left w:val="nil"/>
              <w:bottom w:val="single" w:sz="4" w:space="0" w:color="000000"/>
              <w:right w:val="nil"/>
            </w:tcBorders>
            <w:vAlign w:val="center"/>
            <w:hideMark/>
          </w:tcPr>
          <w:p w14:paraId="646180D1"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2068BB93" w14:textId="77777777" w:rsidTr="00D56193">
        <w:trPr>
          <w:trHeight w:val="290"/>
        </w:trPr>
        <w:tc>
          <w:tcPr>
            <w:tcW w:w="1008" w:type="dxa"/>
            <w:tcBorders>
              <w:top w:val="nil"/>
              <w:left w:val="nil"/>
              <w:bottom w:val="nil"/>
              <w:right w:val="nil"/>
            </w:tcBorders>
            <w:shd w:val="clear" w:color="auto" w:fill="auto"/>
            <w:noWrap/>
            <w:vAlign w:val="bottom"/>
            <w:hideMark/>
          </w:tcPr>
          <w:p w14:paraId="58DE1F3F"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120</w:t>
            </w:r>
          </w:p>
        </w:tc>
        <w:tc>
          <w:tcPr>
            <w:tcW w:w="709" w:type="dxa"/>
            <w:tcBorders>
              <w:top w:val="nil"/>
              <w:left w:val="nil"/>
              <w:bottom w:val="nil"/>
              <w:right w:val="nil"/>
            </w:tcBorders>
            <w:shd w:val="clear" w:color="auto" w:fill="auto"/>
            <w:noWrap/>
            <w:vAlign w:val="bottom"/>
            <w:hideMark/>
          </w:tcPr>
          <w:p w14:paraId="28F682A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85,391</w:t>
            </w:r>
          </w:p>
        </w:tc>
        <w:tc>
          <w:tcPr>
            <w:tcW w:w="605" w:type="dxa"/>
            <w:tcBorders>
              <w:top w:val="nil"/>
              <w:left w:val="nil"/>
              <w:bottom w:val="nil"/>
              <w:right w:val="nil"/>
            </w:tcBorders>
            <w:shd w:val="clear" w:color="auto" w:fill="auto"/>
            <w:noWrap/>
            <w:vAlign w:val="bottom"/>
            <w:hideMark/>
          </w:tcPr>
          <w:p w14:paraId="13FFB87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6,056</w:t>
            </w:r>
          </w:p>
        </w:tc>
        <w:tc>
          <w:tcPr>
            <w:tcW w:w="670" w:type="dxa"/>
            <w:vMerge/>
            <w:tcBorders>
              <w:top w:val="nil"/>
              <w:left w:val="nil"/>
              <w:bottom w:val="single" w:sz="4" w:space="0" w:color="000000"/>
              <w:right w:val="nil"/>
            </w:tcBorders>
            <w:vAlign w:val="center"/>
            <w:hideMark/>
          </w:tcPr>
          <w:p w14:paraId="54542E47"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left w:val="nil"/>
              <w:bottom w:val="single" w:sz="4" w:space="0" w:color="000000"/>
              <w:right w:val="nil"/>
            </w:tcBorders>
            <w:vAlign w:val="center"/>
            <w:hideMark/>
          </w:tcPr>
          <w:p w14:paraId="3C804876"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39B127D8" w14:textId="77777777" w:rsidTr="00D56193">
        <w:trPr>
          <w:trHeight w:val="290"/>
        </w:trPr>
        <w:tc>
          <w:tcPr>
            <w:tcW w:w="1008" w:type="dxa"/>
            <w:tcBorders>
              <w:top w:val="nil"/>
              <w:left w:val="nil"/>
              <w:bottom w:val="single" w:sz="4" w:space="0" w:color="auto"/>
              <w:right w:val="nil"/>
            </w:tcBorders>
            <w:shd w:val="clear" w:color="auto" w:fill="auto"/>
            <w:noWrap/>
            <w:vAlign w:val="bottom"/>
            <w:hideMark/>
          </w:tcPr>
          <w:p w14:paraId="6CF0AEA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150</w:t>
            </w:r>
          </w:p>
        </w:tc>
        <w:tc>
          <w:tcPr>
            <w:tcW w:w="709" w:type="dxa"/>
            <w:tcBorders>
              <w:top w:val="nil"/>
              <w:left w:val="nil"/>
              <w:bottom w:val="single" w:sz="4" w:space="0" w:color="auto"/>
              <w:right w:val="nil"/>
            </w:tcBorders>
            <w:shd w:val="clear" w:color="auto" w:fill="auto"/>
            <w:noWrap/>
            <w:vAlign w:val="bottom"/>
            <w:hideMark/>
          </w:tcPr>
          <w:p w14:paraId="41AE84B0"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89,921</w:t>
            </w:r>
          </w:p>
        </w:tc>
        <w:tc>
          <w:tcPr>
            <w:tcW w:w="605" w:type="dxa"/>
            <w:tcBorders>
              <w:top w:val="nil"/>
              <w:left w:val="nil"/>
              <w:bottom w:val="single" w:sz="4" w:space="0" w:color="auto"/>
              <w:right w:val="nil"/>
            </w:tcBorders>
            <w:shd w:val="clear" w:color="auto" w:fill="auto"/>
            <w:noWrap/>
            <w:vAlign w:val="bottom"/>
            <w:hideMark/>
          </w:tcPr>
          <w:p w14:paraId="5F2521B6"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6,276</w:t>
            </w:r>
          </w:p>
        </w:tc>
        <w:tc>
          <w:tcPr>
            <w:tcW w:w="670" w:type="dxa"/>
            <w:vMerge/>
            <w:tcBorders>
              <w:top w:val="nil"/>
              <w:left w:val="nil"/>
              <w:bottom w:val="single" w:sz="4" w:space="0" w:color="000000"/>
              <w:right w:val="nil"/>
            </w:tcBorders>
            <w:vAlign w:val="center"/>
            <w:hideMark/>
          </w:tcPr>
          <w:p w14:paraId="2E8B31CA"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left w:val="nil"/>
              <w:bottom w:val="single" w:sz="4" w:space="0" w:color="000000"/>
              <w:right w:val="nil"/>
            </w:tcBorders>
            <w:vAlign w:val="center"/>
            <w:hideMark/>
          </w:tcPr>
          <w:p w14:paraId="2D01D0BA"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bl>
    <w:p w14:paraId="631D014F" w14:textId="77777777" w:rsidR="003D7082" w:rsidRDefault="003D7082" w:rsidP="00AC7CBD">
      <w:pPr>
        <w:tabs>
          <w:tab w:val="left" w:pos="426"/>
        </w:tabs>
        <w:spacing w:after="0" w:line="240" w:lineRule="auto"/>
        <w:jc w:val="both"/>
        <w:rPr>
          <w:rFonts w:ascii="Tw Cen MT" w:eastAsia="Twentieth Century" w:hAnsi="Tw Cen MT" w:cs="Twentieth Century"/>
          <w:bCs/>
          <w:sz w:val="24"/>
          <w:szCs w:val="24"/>
        </w:rPr>
      </w:pPr>
    </w:p>
    <w:p w14:paraId="057DAF21" w14:textId="2401EF3A" w:rsidR="00D56193"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bCs/>
          <w:sz w:val="24"/>
          <w:szCs w:val="24"/>
          <w:lang w:val="id-ID"/>
        </w:rPr>
        <w:t>Vitamin C dijadikan pembanding pada penelitian ini karena vitamin C merupakan zat antioksidan alami yang sangat kuat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
        </w:rPr>
        <w:t>Uji aktivitas antioksidan ekstrak infusa daun tahongai dilakukan dengan membuat variasi konsentrasi infusa yang sama dengan vitamin C yaitu pada konsentrasi 30 ppm, 60 ppm, 90 ppm dan 120 ppm, dan 150 ppm. Grafik persentase peredaman (% inhibisi) terhadap variasi konsentrasi infusa daun ta</w:t>
      </w:r>
      <w:r w:rsidR="002C3700">
        <w:rPr>
          <w:rFonts w:ascii="Tw Cen MT" w:eastAsia="Twentieth Century" w:hAnsi="Tw Cen MT" w:cs="Twentieth Century"/>
          <w:sz w:val="24"/>
          <w:szCs w:val="24"/>
          <w:lang w:val="id"/>
        </w:rPr>
        <w:t>hongai ditampilkan pada gambar 4</w:t>
      </w:r>
      <w:r w:rsidRPr="00766A76">
        <w:rPr>
          <w:rFonts w:ascii="Tw Cen MT" w:eastAsia="Twentieth Century" w:hAnsi="Tw Cen MT" w:cs="Twentieth Century"/>
          <w:sz w:val="24"/>
          <w:szCs w:val="24"/>
          <w:lang w:val="id"/>
        </w:rPr>
        <w:t xml:space="preserve"> yaitu terjadi peningkatan % inhibisi seiring dengan bertambahnya konsentrasi infusa.</w:t>
      </w:r>
    </w:p>
    <w:p w14:paraId="2C35E2F9"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2A514353"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0A908AF7"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662FE7F7"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56E2DE73"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22ECFD14"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lang w:val="id"/>
        </w:rPr>
      </w:pPr>
    </w:p>
    <w:p w14:paraId="587CB4F2"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37C4D77A" w14:textId="6A60503B"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0528" behindDoc="1" locked="0" layoutInCell="1" allowOverlap="1" wp14:anchorId="24071136" wp14:editId="3710EF9F">
            <wp:simplePos x="0" y="0"/>
            <wp:positionH relativeFrom="column">
              <wp:posOffset>12700</wp:posOffset>
            </wp:positionH>
            <wp:positionV relativeFrom="paragraph">
              <wp:posOffset>31115</wp:posOffset>
            </wp:positionV>
            <wp:extent cx="2673350" cy="1708150"/>
            <wp:effectExtent l="0" t="0" r="12700" b="2540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68A0FEF"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799203CF"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71A9210B"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0065A527"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567D69E9"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2454F7F3"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6AB8E125"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51A2274D"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43369995" w14:textId="1CC1AFF6"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20AEB1A9"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54CA8D2A" w14:textId="43D9EF4C" w:rsidR="00D56193" w:rsidRDefault="00D56193" w:rsidP="00AC7CBD">
      <w:pPr>
        <w:tabs>
          <w:tab w:val="left" w:pos="426"/>
        </w:tabs>
        <w:spacing w:after="0" w:line="240" w:lineRule="auto"/>
        <w:ind w:left="1276" w:hanging="1276"/>
        <w:jc w:val="both"/>
        <w:rPr>
          <w:rFonts w:ascii="Tw Cen MT" w:eastAsia="Twentieth Century" w:hAnsi="Tw Cen MT" w:cs="Twentieth Century"/>
          <w:sz w:val="24"/>
          <w:szCs w:val="24"/>
          <w:lang w:val="id"/>
        </w:rPr>
      </w:pPr>
      <w:r w:rsidRPr="00D56193">
        <w:rPr>
          <w:rFonts w:ascii="Tw Cen MT" w:eastAsia="Twentieth Century" w:hAnsi="Tw Cen MT" w:cs="Twentieth Century"/>
          <w:bCs/>
          <w:sz w:val="24"/>
          <w:szCs w:val="24"/>
        </w:rPr>
        <w:t>Gambar 4. Grafik persentase peredaman radikal infusa daun tahongai</w:t>
      </w:r>
    </w:p>
    <w:p w14:paraId="7C260DC8" w14:textId="77777777" w:rsidR="00015444"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sz w:val="24"/>
          <w:szCs w:val="24"/>
          <w:lang w:val="id"/>
        </w:rPr>
        <w:t>Hal tersebut menunjukkan infusa daun tahongai mampu meredam radikal bebas dengan baik, sedangkan untuk nilai IC</w:t>
      </w:r>
      <w:r w:rsidRPr="00766A76">
        <w:rPr>
          <w:rFonts w:ascii="Tw Cen MT" w:eastAsia="Twentieth Century" w:hAnsi="Tw Cen MT" w:cs="Twentieth Century"/>
          <w:sz w:val="24"/>
          <w:szCs w:val="24"/>
          <w:vertAlign w:val="subscript"/>
          <w:lang w:val="id"/>
        </w:rPr>
        <w:t>50</w:t>
      </w:r>
      <w:r w:rsidRPr="00766A76">
        <w:rPr>
          <w:rFonts w:ascii="Tw Cen MT" w:eastAsia="Twentieth Century" w:hAnsi="Tw Cen MT" w:cs="Twentieth Century"/>
          <w:sz w:val="24"/>
          <w:szCs w:val="24"/>
          <w:lang w:val="id"/>
        </w:rPr>
        <w:t xml:space="preserve"> infusa daun tahongai dihitung dengan menentukan persamaan regresi linier antara hubungan nilai probit dan log konsentrasi infusa daun tahongai</w:t>
      </w:r>
      <w:r w:rsidR="002C3700">
        <w:rPr>
          <w:rFonts w:ascii="Tw Cen MT" w:eastAsia="Twentieth Century" w:hAnsi="Tw Cen MT" w:cs="Twentieth Century"/>
          <w:sz w:val="24"/>
          <w:szCs w:val="24"/>
          <w:lang w:val="id"/>
        </w:rPr>
        <w:t xml:space="preserve"> yang ditunjukkan pada gambar 5</w:t>
      </w:r>
      <w:r w:rsidRPr="00766A76">
        <w:rPr>
          <w:rFonts w:ascii="Tw Cen MT" w:eastAsia="Twentieth Century" w:hAnsi="Tw Cen MT" w:cs="Twentieth Century"/>
          <w:sz w:val="24"/>
          <w:szCs w:val="24"/>
          <w:lang w:val="id"/>
        </w:rPr>
        <w:t xml:space="preserve">. </w:t>
      </w:r>
    </w:p>
    <w:p w14:paraId="1E441FFC" w14:textId="1EDFC4F2"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6672" behindDoc="1" locked="0" layoutInCell="1" allowOverlap="1" wp14:anchorId="099333C9" wp14:editId="798858DE">
            <wp:simplePos x="0" y="0"/>
            <wp:positionH relativeFrom="column">
              <wp:posOffset>152400</wp:posOffset>
            </wp:positionH>
            <wp:positionV relativeFrom="paragraph">
              <wp:posOffset>-4445</wp:posOffset>
            </wp:positionV>
            <wp:extent cx="2749550" cy="1733550"/>
            <wp:effectExtent l="0" t="0" r="12700"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68BB65A"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45C7E683"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0E3175E"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43043A94"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144819E8"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D16A077"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5816BE22"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7B89146F"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8DF7031"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7EC639DA" w14:textId="77777777" w:rsidR="00015444" w:rsidRDefault="00015444" w:rsidP="00AC7CBD">
      <w:pPr>
        <w:tabs>
          <w:tab w:val="left" w:pos="426"/>
        </w:tabs>
        <w:spacing w:after="0" w:line="240" w:lineRule="auto"/>
        <w:jc w:val="both"/>
        <w:rPr>
          <w:rFonts w:ascii="Tw Cen MT" w:eastAsia="Twentieth Century" w:hAnsi="Tw Cen MT" w:cs="Twentieth Century"/>
          <w:bCs/>
          <w:sz w:val="24"/>
          <w:szCs w:val="24"/>
          <w:lang w:val="id"/>
        </w:rPr>
      </w:pPr>
    </w:p>
    <w:p w14:paraId="33C48CCB" w14:textId="16564EFB" w:rsidR="00822EAC" w:rsidRDefault="00822EAC" w:rsidP="00822EAC">
      <w:pPr>
        <w:tabs>
          <w:tab w:val="left" w:pos="426"/>
        </w:tabs>
        <w:spacing w:after="0" w:line="240" w:lineRule="auto"/>
        <w:ind w:left="1276" w:hanging="1276"/>
        <w:jc w:val="both"/>
        <w:rPr>
          <w:rFonts w:ascii="Tw Cen MT" w:eastAsia="Twentieth Century" w:hAnsi="Tw Cen MT" w:cs="Twentieth Century"/>
          <w:bCs/>
          <w:sz w:val="24"/>
          <w:szCs w:val="24"/>
          <w:lang w:val="id"/>
        </w:rPr>
      </w:pPr>
      <w:r w:rsidRPr="00D56193">
        <w:rPr>
          <w:rFonts w:ascii="Tw Cen MT" w:eastAsia="Twentieth Century" w:hAnsi="Tw Cen MT" w:cs="Twentieth Century"/>
          <w:bCs/>
          <w:sz w:val="24"/>
          <w:szCs w:val="24"/>
        </w:rPr>
        <w:t>Gambar 5. Grafik nilai probit terhadap log konsentrasi infusa daun tahongai</w:t>
      </w:r>
    </w:p>
    <w:p w14:paraId="650BACA6" w14:textId="5AEBAC76" w:rsidR="00D56193"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
        </w:rPr>
        <w:t>P</w:t>
      </w:r>
      <w:r w:rsidRPr="00766A76">
        <w:rPr>
          <w:rFonts w:ascii="Tw Cen MT" w:eastAsia="Twentieth Century" w:hAnsi="Tw Cen MT" w:cs="Twentieth Century"/>
          <w:bCs/>
          <w:sz w:val="24"/>
          <w:szCs w:val="24"/>
          <w:lang w:val="id-ID"/>
        </w:rPr>
        <w:t xml:space="preserve">ersamaan regresi linear </w:t>
      </w:r>
      <w:r w:rsidRPr="00766A76">
        <w:rPr>
          <w:rFonts w:ascii="Tw Cen MT" w:eastAsia="Twentieth Century" w:hAnsi="Tw Cen MT" w:cs="Twentieth Century"/>
          <w:bCs/>
          <w:sz w:val="24"/>
          <w:szCs w:val="24"/>
        </w:rPr>
        <w:t xml:space="preserve">yang diperoleh yaitu </w:t>
      </w:r>
      <w:r w:rsidRPr="00766A76">
        <w:rPr>
          <w:rFonts w:ascii="Tw Cen MT" w:eastAsia="Twentieth Century" w:hAnsi="Tw Cen MT" w:cs="Twentieth Century"/>
          <w:bCs/>
          <w:sz w:val="24"/>
          <w:szCs w:val="24"/>
          <w:lang w:val="id-ID"/>
        </w:rPr>
        <w:t>y = 1,0393x + 2,7711.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infusa daun tahongai adalah sebesar </w:t>
      </w:r>
      <w:r w:rsidRPr="00766A76">
        <w:rPr>
          <w:rFonts w:ascii="Tw Cen MT" w:eastAsia="Twentieth Century" w:hAnsi="Tw Cen MT" w:cs="Twentieth Century"/>
          <w:sz w:val="24"/>
          <w:szCs w:val="24"/>
          <w:lang w:val="id-ID"/>
        </w:rPr>
        <w:t xml:space="preserve">139,514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3. </w:t>
      </w:r>
    </w:p>
    <w:p w14:paraId="2FC2BA18" w14:textId="7B989B9D"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5C69F6FF"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68356B07"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6457D5F0"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18B755B2"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4C5F4AA8" w14:textId="3D33F098" w:rsidR="00D56193" w:rsidRDefault="00822EAC" w:rsidP="00822EAC">
      <w:pPr>
        <w:tabs>
          <w:tab w:val="left" w:pos="426"/>
        </w:tabs>
        <w:spacing w:after="0" w:line="240" w:lineRule="auto"/>
        <w:ind w:left="993" w:hanging="993"/>
        <w:jc w:val="both"/>
        <w:rPr>
          <w:rFonts w:ascii="Tw Cen MT" w:eastAsia="Twentieth Century" w:hAnsi="Tw Cen MT" w:cs="Twentieth Century"/>
          <w:bCs/>
          <w:sz w:val="24"/>
          <w:szCs w:val="24"/>
        </w:rPr>
      </w:pPr>
      <w:r w:rsidRPr="00822EAC">
        <w:rPr>
          <w:rFonts w:ascii="Tw Cen MT" w:eastAsia="Twentieth Century" w:hAnsi="Tw Cen MT" w:cs="Twentieth Century"/>
          <w:bCs/>
          <w:sz w:val="24"/>
          <w:szCs w:val="24"/>
          <w:lang w:val="id"/>
        </w:rPr>
        <w:t>Tabel 3. Hasil uji aktivitas antioksidan ektrak infusa daun tahongai</w:t>
      </w:r>
    </w:p>
    <w:tbl>
      <w:tblPr>
        <w:tblW w:w="4268" w:type="dxa"/>
        <w:tblInd w:w="93" w:type="dxa"/>
        <w:tblLook w:val="04A0" w:firstRow="1" w:lastRow="0" w:firstColumn="1" w:lastColumn="0" w:noHBand="0" w:noVBand="1"/>
      </w:tblPr>
      <w:tblGrid>
        <w:gridCol w:w="1008"/>
        <w:gridCol w:w="709"/>
        <w:gridCol w:w="708"/>
        <w:gridCol w:w="781"/>
        <w:gridCol w:w="1062"/>
      </w:tblGrid>
      <w:tr w:rsidR="00822EAC" w:rsidRPr="00822EAC" w14:paraId="6616FCFC" w14:textId="77777777" w:rsidTr="00822EAC">
        <w:trPr>
          <w:trHeight w:val="870"/>
        </w:trPr>
        <w:tc>
          <w:tcPr>
            <w:tcW w:w="1008" w:type="dxa"/>
            <w:tcBorders>
              <w:top w:val="single" w:sz="4" w:space="0" w:color="auto"/>
              <w:left w:val="nil"/>
              <w:bottom w:val="single" w:sz="4" w:space="0" w:color="auto"/>
              <w:right w:val="nil"/>
            </w:tcBorders>
            <w:shd w:val="clear" w:color="auto" w:fill="auto"/>
            <w:vAlign w:val="center"/>
            <w:hideMark/>
          </w:tcPr>
          <w:p w14:paraId="299E85F4"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Konsentrasi (ppm)</w:t>
            </w:r>
          </w:p>
        </w:tc>
        <w:tc>
          <w:tcPr>
            <w:tcW w:w="709" w:type="dxa"/>
            <w:tcBorders>
              <w:top w:val="single" w:sz="4" w:space="0" w:color="auto"/>
              <w:left w:val="nil"/>
              <w:bottom w:val="single" w:sz="4" w:space="0" w:color="auto"/>
              <w:right w:val="nil"/>
            </w:tcBorders>
            <w:shd w:val="clear" w:color="auto" w:fill="auto"/>
            <w:vAlign w:val="center"/>
            <w:hideMark/>
          </w:tcPr>
          <w:p w14:paraId="419BB92F"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Persen inhibisi (%)</w:t>
            </w:r>
          </w:p>
        </w:tc>
        <w:tc>
          <w:tcPr>
            <w:tcW w:w="708" w:type="dxa"/>
            <w:tcBorders>
              <w:top w:val="single" w:sz="4" w:space="0" w:color="auto"/>
              <w:left w:val="nil"/>
              <w:bottom w:val="single" w:sz="4" w:space="0" w:color="auto"/>
              <w:right w:val="nil"/>
            </w:tcBorders>
            <w:shd w:val="clear" w:color="auto" w:fill="auto"/>
            <w:vAlign w:val="center"/>
            <w:hideMark/>
          </w:tcPr>
          <w:p w14:paraId="0E1C1FC3"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Probit</w:t>
            </w:r>
          </w:p>
        </w:tc>
        <w:tc>
          <w:tcPr>
            <w:tcW w:w="781" w:type="dxa"/>
            <w:tcBorders>
              <w:top w:val="single" w:sz="4" w:space="0" w:color="auto"/>
              <w:left w:val="nil"/>
              <w:bottom w:val="single" w:sz="4" w:space="0" w:color="auto"/>
              <w:right w:val="nil"/>
            </w:tcBorders>
            <w:shd w:val="clear" w:color="auto" w:fill="auto"/>
            <w:vAlign w:val="center"/>
            <w:hideMark/>
          </w:tcPr>
          <w:p w14:paraId="67FB2D97"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IC</w:t>
            </w:r>
            <w:r w:rsidRPr="00822EAC">
              <w:rPr>
                <w:rFonts w:ascii="Tw Cen MT" w:eastAsia="Twentieth Century" w:hAnsi="Tw Cen MT" w:cs="Twentieth Century"/>
                <w:b/>
                <w:bCs/>
                <w:sz w:val="16"/>
                <w:szCs w:val="16"/>
                <w:vertAlign w:val="subscript"/>
              </w:rPr>
              <w:t>50</w:t>
            </w:r>
            <w:r w:rsidRPr="00822EAC">
              <w:rPr>
                <w:rFonts w:ascii="Tw Cen MT" w:eastAsia="Twentieth Century" w:hAnsi="Tw Cen MT" w:cs="Twentieth Century"/>
                <w:b/>
                <w:bCs/>
                <w:sz w:val="16"/>
                <w:szCs w:val="16"/>
              </w:rPr>
              <w:t xml:space="preserve"> (ppm)</w:t>
            </w:r>
          </w:p>
        </w:tc>
        <w:tc>
          <w:tcPr>
            <w:tcW w:w="1062" w:type="dxa"/>
            <w:tcBorders>
              <w:top w:val="single" w:sz="4" w:space="0" w:color="auto"/>
              <w:left w:val="nil"/>
              <w:bottom w:val="single" w:sz="4" w:space="0" w:color="auto"/>
              <w:right w:val="nil"/>
            </w:tcBorders>
            <w:shd w:val="clear" w:color="auto" w:fill="auto"/>
            <w:vAlign w:val="center"/>
            <w:hideMark/>
          </w:tcPr>
          <w:p w14:paraId="2A10EB13"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Aktivitas Antioksidan</w:t>
            </w:r>
          </w:p>
        </w:tc>
      </w:tr>
      <w:tr w:rsidR="00822EAC" w:rsidRPr="00822EAC" w14:paraId="6D5B0829" w14:textId="77777777" w:rsidTr="00822EAC">
        <w:trPr>
          <w:trHeight w:val="290"/>
        </w:trPr>
        <w:tc>
          <w:tcPr>
            <w:tcW w:w="1008" w:type="dxa"/>
            <w:tcBorders>
              <w:top w:val="nil"/>
              <w:left w:val="nil"/>
              <w:bottom w:val="nil"/>
              <w:right w:val="nil"/>
            </w:tcBorders>
            <w:shd w:val="clear" w:color="auto" w:fill="auto"/>
            <w:noWrap/>
            <w:vAlign w:val="bottom"/>
            <w:hideMark/>
          </w:tcPr>
          <w:p w14:paraId="1AF43B85"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30</w:t>
            </w:r>
          </w:p>
        </w:tc>
        <w:tc>
          <w:tcPr>
            <w:tcW w:w="709" w:type="dxa"/>
            <w:tcBorders>
              <w:top w:val="nil"/>
              <w:left w:val="nil"/>
              <w:bottom w:val="nil"/>
              <w:right w:val="nil"/>
            </w:tcBorders>
            <w:shd w:val="clear" w:color="auto" w:fill="auto"/>
            <w:noWrap/>
            <w:vAlign w:val="bottom"/>
            <w:hideMark/>
          </w:tcPr>
          <w:p w14:paraId="50843C25"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25,255</w:t>
            </w:r>
          </w:p>
        </w:tc>
        <w:tc>
          <w:tcPr>
            <w:tcW w:w="708" w:type="dxa"/>
            <w:tcBorders>
              <w:top w:val="nil"/>
              <w:left w:val="nil"/>
              <w:bottom w:val="nil"/>
              <w:right w:val="nil"/>
            </w:tcBorders>
            <w:shd w:val="clear" w:color="auto" w:fill="auto"/>
            <w:noWrap/>
            <w:vAlign w:val="bottom"/>
            <w:hideMark/>
          </w:tcPr>
          <w:p w14:paraId="7C04339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4,338</w:t>
            </w:r>
          </w:p>
        </w:tc>
        <w:tc>
          <w:tcPr>
            <w:tcW w:w="781" w:type="dxa"/>
            <w:vMerge w:val="restart"/>
            <w:tcBorders>
              <w:top w:val="nil"/>
              <w:left w:val="nil"/>
              <w:bottom w:val="single" w:sz="4" w:space="0" w:color="000000"/>
              <w:right w:val="nil"/>
            </w:tcBorders>
            <w:shd w:val="clear" w:color="auto" w:fill="auto"/>
            <w:noWrap/>
            <w:vAlign w:val="center"/>
            <w:hideMark/>
          </w:tcPr>
          <w:p w14:paraId="483C84D2"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139,514</w:t>
            </w:r>
          </w:p>
        </w:tc>
        <w:tc>
          <w:tcPr>
            <w:tcW w:w="1062" w:type="dxa"/>
            <w:vMerge w:val="restart"/>
            <w:tcBorders>
              <w:top w:val="nil"/>
              <w:left w:val="nil"/>
              <w:bottom w:val="single" w:sz="4" w:space="0" w:color="000000"/>
              <w:right w:val="nil"/>
            </w:tcBorders>
            <w:shd w:val="clear" w:color="auto" w:fill="auto"/>
            <w:noWrap/>
            <w:vAlign w:val="center"/>
            <w:hideMark/>
          </w:tcPr>
          <w:p w14:paraId="54C0391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Sedang</w:t>
            </w:r>
          </w:p>
        </w:tc>
      </w:tr>
      <w:tr w:rsidR="00822EAC" w:rsidRPr="00822EAC" w14:paraId="0FDDC944" w14:textId="77777777" w:rsidTr="00822EAC">
        <w:trPr>
          <w:trHeight w:val="290"/>
        </w:trPr>
        <w:tc>
          <w:tcPr>
            <w:tcW w:w="1008" w:type="dxa"/>
            <w:tcBorders>
              <w:top w:val="nil"/>
              <w:left w:val="nil"/>
              <w:bottom w:val="nil"/>
              <w:right w:val="nil"/>
            </w:tcBorders>
            <w:shd w:val="clear" w:color="auto" w:fill="auto"/>
            <w:noWrap/>
            <w:vAlign w:val="bottom"/>
            <w:hideMark/>
          </w:tcPr>
          <w:p w14:paraId="585500C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60</w:t>
            </w:r>
          </w:p>
        </w:tc>
        <w:tc>
          <w:tcPr>
            <w:tcW w:w="709" w:type="dxa"/>
            <w:tcBorders>
              <w:top w:val="nil"/>
              <w:left w:val="nil"/>
              <w:bottom w:val="nil"/>
              <w:right w:val="nil"/>
            </w:tcBorders>
            <w:shd w:val="clear" w:color="auto" w:fill="auto"/>
            <w:noWrap/>
            <w:vAlign w:val="bottom"/>
            <w:hideMark/>
          </w:tcPr>
          <w:p w14:paraId="18D5544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34,315</w:t>
            </w:r>
          </w:p>
        </w:tc>
        <w:tc>
          <w:tcPr>
            <w:tcW w:w="708" w:type="dxa"/>
            <w:tcBorders>
              <w:top w:val="nil"/>
              <w:left w:val="nil"/>
              <w:bottom w:val="nil"/>
              <w:right w:val="nil"/>
            </w:tcBorders>
            <w:shd w:val="clear" w:color="auto" w:fill="auto"/>
            <w:noWrap/>
            <w:vAlign w:val="bottom"/>
            <w:hideMark/>
          </w:tcPr>
          <w:p w14:paraId="4B100DB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4,596</w:t>
            </w:r>
          </w:p>
        </w:tc>
        <w:tc>
          <w:tcPr>
            <w:tcW w:w="781" w:type="dxa"/>
            <w:vMerge/>
            <w:tcBorders>
              <w:top w:val="nil"/>
              <w:left w:val="nil"/>
              <w:bottom w:val="single" w:sz="4" w:space="0" w:color="000000"/>
              <w:right w:val="nil"/>
            </w:tcBorders>
            <w:vAlign w:val="center"/>
            <w:hideMark/>
          </w:tcPr>
          <w:p w14:paraId="41EB66C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left w:val="nil"/>
              <w:bottom w:val="single" w:sz="4" w:space="0" w:color="000000"/>
              <w:right w:val="nil"/>
            </w:tcBorders>
            <w:vAlign w:val="center"/>
            <w:hideMark/>
          </w:tcPr>
          <w:p w14:paraId="7ED36BD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2CC3900" w14:textId="77777777" w:rsidTr="00822EAC">
        <w:trPr>
          <w:trHeight w:val="290"/>
        </w:trPr>
        <w:tc>
          <w:tcPr>
            <w:tcW w:w="1008" w:type="dxa"/>
            <w:tcBorders>
              <w:top w:val="nil"/>
              <w:left w:val="nil"/>
              <w:bottom w:val="nil"/>
              <w:right w:val="nil"/>
            </w:tcBorders>
            <w:shd w:val="clear" w:color="auto" w:fill="auto"/>
            <w:noWrap/>
            <w:vAlign w:val="bottom"/>
            <w:hideMark/>
          </w:tcPr>
          <w:p w14:paraId="4A7EF05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90</w:t>
            </w:r>
          </w:p>
        </w:tc>
        <w:tc>
          <w:tcPr>
            <w:tcW w:w="709" w:type="dxa"/>
            <w:tcBorders>
              <w:top w:val="nil"/>
              <w:left w:val="nil"/>
              <w:bottom w:val="nil"/>
              <w:right w:val="nil"/>
            </w:tcBorders>
            <w:shd w:val="clear" w:color="auto" w:fill="auto"/>
            <w:noWrap/>
            <w:vAlign w:val="bottom"/>
            <w:hideMark/>
          </w:tcPr>
          <w:p w14:paraId="3F5A4D7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40,091</w:t>
            </w:r>
          </w:p>
        </w:tc>
        <w:tc>
          <w:tcPr>
            <w:tcW w:w="708" w:type="dxa"/>
            <w:tcBorders>
              <w:top w:val="nil"/>
              <w:left w:val="nil"/>
              <w:bottom w:val="nil"/>
              <w:right w:val="nil"/>
            </w:tcBorders>
            <w:shd w:val="clear" w:color="auto" w:fill="auto"/>
            <w:noWrap/>
            <w:vAlign w:val="bottom"/>
            <w:hideMark/>
          </w:tcPr>
          <w:p w14:paraId="065BCCF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4,752</w:t>
            </w:r>
          </w:p>
        </w:tc>
        <w:tc>
          <w:tcPr>
            <w:tcW w:w="781" w:type="dxa"/>
            <w:vMerge/>
            <w:tcBorders>
              <w:top w:val="nil"/>
              <w:left w:val="nil"/>
              <w:bottom w:val="single" w:sz="4" w:space="0" w:color="000000"/>
              <w:right w:val="nil"/>
            </w:tcBorders>
            <w:vAlign w:val="center"/>
            <w:hideMark/>
          </w:tcPr>
          <w:p w14:paraId="0AD309A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left w:val="nil"/>
              <w:bottom w:val="single" w:sz="4" w:space="0" w:color="000000"/>
              <w:right w:val="nil"/>
            </w:tcBorders>
            <w:vAlign w:val="center"/>
            <w:hideMark/>
          </w:tcPr>
          <w:p w14:paraId="5D272BE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1AF9B2E" w14:textId="77777777" w:rsidTr="00822EAC">
        <w:trPr>
          <w:trHeight w:val="290"/>
        </w:trPr>
        <w:tc>
          <w:tcPr>
            <w:tcW w:w="1008" w:type="dxa"/>
            <w:tcBorders>
              <w:top w:val="nil"/>
              <w:left w:val="nil"/>
              <w:bottom w:val="nil"/>
              <w:right w:val="nil"/>
            </w:tcBorders>
            <w:shd w:val="clear" w:color="auto" w:fill="auto"/>
            <w:noWrap/>
            <w:vAlign w:val="bottom"/>
            <w:hideMark/>
          </w:tcPr>
          <w:p w14:paraId="2FB3870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120</w:t>
            </w:r>
          </w:p>
        </w:tc>
        <w:tc>
          <w:tcPr>
            <w:tcW w:w="709" w:type="dxa"/>
            <w:tcBorders>
              <w:top w:val="nil"/>
              <w:left w:val="nil"/>
              <w:bottom w:val="nil"/>
              <w:right w:val="nil"/>
            </w:tcBorders>
            <w:shd w:val="clear" w:color="auto" w:fill="auto"/>
            <w:noWrap/>
            <w:vAlign w:val="bottom"/>
            <w:hideMark/>
          </w:tcPr>
          <w:p w14:paraId="53126A0D"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46,772</w:t>
            </w:r>
          </w:p>
        </w:tc>
        <w:tc>
          <w:tcPr>
            <w:tcW w:w="708" w:type="dxa"/>
            <w:tcBorders>
              <w:top w:val="nil"/>
              <w:left w:val="nil"/>
              <w:bottom w:val="nil"/>
              <w:right w:val="nil"/>
            </w:tcBorders>
            <w:shd w:val="clear" w:color="auto" w:fill="auto"/>
            <w:noWrap/>
            <w:vAlign w:val="bottom"/>
            <w:hideMark/>
          </w:tcPr>
          <w:p w14:paraId="047B68B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4,915</w:t>
            </w:r>
          </w:p>
        </w:tc>
        <w:tc>
          <w:tcPr>
            <w:tcW w:w="781" w:type="dxa"/>
            <w:vMerge/>
            <w:tcBorders>
              <w:top w:val="nil"/>
              <w:left w:val="nil"/>
              <w:bottom w:val="single" w:sz="4" w:space="0" w:color="000000"/>
              <w:right w:val="nil"/>
            </w:tcBorders>
            <w:vAlign w:val="center"/>
            <w:hideMark/>
          </w:tcPr>
          <w:p w14:paraId="0D6CEED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left w:val="nil"/>
              <w:bottom w:val="single" w:sz="4" w:space="0" w:color="000000"/>
              <w:right w:val="nil"/>
            </w:tcBorders>
            <w:vAlign w:val="center"/>
            <w:hideMark/>
          </w:tcPr>
          <w:p w14:paraId="2713E7C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5498B0B" w14:textId="77777777" w:rsidTr="00822EAC">
        <w:trPr>
          <w:trHeight w:val="290"/>
        </w:trPr>
        <w:tc>
          <w:tcPr>
            <w:tcW w:w="1008" w:type="dxa"/>
            <w:tcBorders>
              <w:top w:val="nil"/>
              <w:left w:val="nil"/>
              <w:bottom w:val="single" w:sz="4" w:space="0" w:color="auto"/>
              <w:right w:val="nil"/>
            </w:tcBorders>
            <w:shd w:val="clear" w:color="auto" w:fill="auto"/>
            <w:noWrap/>
            <w:vAlign w:val="bottom"/>
            <w:hideMark/>
          </w:tcPr>
          <w:p w14:paraId="08E0FE0B"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150</w:t>
            </w:r>
          </w:p>
        </w:tc>
        <w:tc>
          <w:tcPr>
            <w:tcW w:w="709" w:type="dxa"/>
            <w:tcBorders>
              <w:top w:val="nil"/>
              <w:left w:val="nil"/>
              <w:bottom w:val="single" w:sz="4" w:space="0" w:color="auto"/>
              <w:right w:val="nil"/>
            </w:tcBorders>
            <w:shd w:val="clear" w:color="auto" w:fill="auto"/>
            <w:noWrap/>
            <w:vAlign w:val="bottom"/>
            <w:hideMark/>
          </w:tcPr>
          <w:p w14:paraId="27CCAA3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53,567</w:t>
            </w:r>
          </w:p>
        </w:tc>
        <w:tc>
          <w:tcPr>
            <w:tcW w:w="708" w:type="dxa"/>
            <w:tcBorders>
              <w:top w:val="nil"/>
              <w:left w:val="nil"/>
              <w:bottom w:val="single" w:sz="4" w:space="0" w:color="auto"/>
              <w:right w:val="nil"/>
            </w:tcBorders>
            <w:shd w:val="clear" w:color="auto" w:fill="auto"/>
            <w:noWrap/>
            <w:vAlign w:val="bottom"/>
            <w:hideMark/>
          </w:tcPr>
          <w:p w14:paraId="71AACD61"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5,091</w:t>
            </w:r>
          </w:p>
        </w:tc>
        <w:tc>
          <w:tcPr>
            <w:tcW w:w="781" w:type="dxa"/>
            <w:vMerge/>
            <w:tcBorders>
              <w:top w:val="nil"/>
              <w:left w:val="nil"/>
              <w:bottom w:val="single" w:sz="4" w:space="0" w:color="000000"/>
              <w:right w:val="nil"/>
            </w:tcBorders>
            <w:vAlign w:val="center"/>
            <w:hideMark/>
          </w:tcPr>
          <w:p w14:paraId="4095F46E"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left w:val="nil"/>
              <w:bottom w:val="single" w:sz="4" w:space="0" w:color="000000"/>
              <w:right w:val="nil"/>
            </w:tcBorders>
            <w:vAlign w:val="center"/>
            <w:hideMark/>
          </w:tcPr>
          <w:p w14:paraId="53CEF2E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bl>
    <w:p w14:paraId="7EBFE352"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5A746B9B" w14:textId="77777777" w:rsidR="002C3700"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tersebut</w:t>
      </w:r>
      <w:r w:rsidRPr="00766A76">
        <w:rPr>
          <w:rFonts w:ascii="Tw Cen MT" w:eastAsia="Twentieth Century" w:hAnsi="Tw Cen MT" w:cs="Twentieth Century"/>
          <w:bCs/>
          <w:sz w:val="24"/>
          <w:szCs w:val="24"/>
          <w:lang w:val="id-ID"/>
        </w:rPr>
        <w:t xml:space="preserve"> tergolong antioksidan sedang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pada rentang 101-150 ppm</w:t>
      </w:r>
      <w:r w:rsidRPr="00766A76">
        <w:rPr>
          <w:rFonts w:ascii="Tw Cen MT" w:eastAsia="Twentieth Century" w:hAnsi="Tw Cen MT" w:cs="Twentieth Century"/>
          <w:bCs/>
          <w:sz w:val="24"/>
          <w:szCs w:val="24"/>
        </w:rPr>
        <w:t>. 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tersebut lebih kecil dibandingkan penelitian sebelumnya yaitu ekstrak etanol daun tahongai yang memiliki 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sebesar 1</w:t>
      </w:r>
      <w:r w:rsidRPr="00766A76">
        <w:rPr>
          <w:rFonts w:ascii="Tw Cen MT" w:eastAsia="Twentieth Century" w:hAnsi="Tw Cen MT" w:cs="Twentieth Century"/>
          <w:bCs/>
          <w:sz w:val="24"/>
          <w:szCs w:val="24"/>
          <w:lang w:val="id-ID"/>
        </w:rPr>
        <w:t>45</w:t>
      </w:r>
      <w:r w:rsidRPr="00766A76">
        <w:rPr>
          <w:rFonts w:ascii="Tw Cen MT" w:eastAsia="Twentieth Century" w:hAnsi="Tw Cen MT" w:cs="Twentieth Century"/>
          <w:bCs/>
          <w:sz w:val="24"/>
          <w:szCs w:val="24"/>
        </w:rPr>
        <w:t>,</w:t>
      </w:r>
      <w:r w:rsidRPr="00766A76">
        <w:rPr>
          <w:rFonts w:ascii="Tw Cen MT" w:eastAsia="Twentieth Century" w:hAnsi="Tw Cen MT" w:cs="Twentieth Century"/>
          <w:bCs/>
          <w:sz w:val="24"/>
          <w:szCs w:val="24"/>
          <w:lang w:val="id-ID"/>
        </w:rPr>
        <w:t>211 p</w:t>
      </w:r>
      <w:r w:rsidRPr="00766A76">
        <w:rPr>
          <w:rFonts w:ascii="Tw Cen MT" w:eastAsia="Twentieth Century" w:hAnsi="Tw Cen MT" w:cs="Twentieth Century"/>
          <w:bCs/>
          <w:sz w:val="24"/>
          <w:szCs w:val="24"/>
        </w:rPr>
        <w:t>pm</w:t>
      </w:r>
      <w:r w:rsidR="00AC7CBD">
        <w:rPr>
          <w:rFonts w:ascii="Tw Cen MT" w:eastAsia="Twentieth Century" w:hAnsi="Tw Cen MT" w:cs="Twentieth Century"/>
          <w:bCs/>
          <w:sz w:val="24"/>
          <w:szCs w:val="24"/>
        </w:rPr>
        <w:t xml:space="preserve"> </w:t>
      </w:r>
      <w:r w:rsidR="00037809">
        <w:rPr>
          <w:rFonts w:ascii="Tw Cen MT" w:eastAsia="Twentieth Century" w:hAnsi="Tw Cen MT" w:cs="Twentieth Century"/>
          <w:bCs/>
          <w:sz w:val="24"/>
          <w:szCs w:val="24"/>
        </w:rPr>
        <w:t>[</w:t>
      </w:r>
      <w:r w:rsidR="00AC7CBD">
        <w:rPr>
          <w:rFonts w:ascii="Tw Cen MT" w:eastAsia="Twentieth Century" w:hAnsi="Tw Cen MT" w:cs="Twentieth Century"/>
          <w:bCs/>
          <w:sz w:val="24"/>
          <w:szCs w:val="24"/>
        </w:rPr>
        <w:t>16]</w:t>
      </w:r>
      <w:r w:rsidRPr="00766A76">
        <w:rPr>
          <w:rFonts w:ascii="Tw Cen MT" w:eastAsia="Twentieth Century" w:hAnsi="Tw Cen MT" w:cs="Twentieth Century"/>
          <w:bCs/>
          <w:sz w:val="24"/>
          <w:szCs w:val="24"/>
        </w:rPr>
        <w:t xml:space="preserve">. Hal tersebut menunjukkan bahwa infusa daun tahongai memiliki aktivitas antioksidan yang lebih baik dibandingkan ekstrak etanolnya. Perbandingan persen inhibisi DPPH dari infusa daun tahongai dan vitamin C dapat dilihat pada gambar 6. </w:t>
      </w:r>
    </w:p>
    <w:p w14:paraId="43B842CF" w14:textId="4D8824F7" w:rsidR="002C3700" w:rsidRDefault="002C3700" w:rsidP="00AC7CBD">
      <w:pPr>
        <w:tabs>
          <w:tab w:val="left" w:pos="426"/>
        </w:tabs>
        <w:spacing w:after="0" w:line="240" w:lineRule="auto"/>
        <w:jc w:val="both"/>
        <w:rPr>
          <w:rFonts w:ascii="Tw Cen MT" w:eastAsia="Twentieth Century" w:hAnsi="Tw Cen MT" w:cs="Twentieth Century"/>
          <w:bCs/>
          <w:sz w:val="24"/>
          <w:szCs w:val="24"/>
        </w:rPr>
      </w:pPr>
      <w:r>
        <w:rPr>
          <w:noProof/>
        </w:rPr>
        <w:drawing>
          <wp:anchor distT="0" distB="0" distL="114300" distR="114300" simplePos="0" relativeHeight="251674624" behindDoc="1" locked="0" layoutInCell="1" allowOverlap="1" wp14:anchorId="0EA98C97" wp14:editId="67853FBD">
            <wp:simplePos x="0" y="0"/>
            <wp:positionH relativeFrom="column">
              <wp:posOffset>12700</wp:posOffset>
            </wp:positionH>
            <wp:positionV relativeFrom="paragraph">
              <wp:posOffset>90170</wp:posOffset>
            </wp:positionV>
            <wp:extent cx="2800350" cy="1943100"/>
            <wp:effectExtent l="0" t="0" r="19050" b="1905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EE7C4F6"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C7BC8F6"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3D97D0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299E5288"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39D0EED8"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1F679A3B"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494810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3026E134"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5E9A64CD"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419EF4D"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51FE4D3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1E9E3537" w14:textId="357BD0BE"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D8C889A" w14:textId="284E4721" w:rsidR="002C3700" w:rsidRPr="002C3700" w:rsidRDefault="002C3700" w:rsidP="002C3700">
      <w:pPr>
        <w:tabs>
          <w:tab w:val="left" w:pos="426"/>
        </w:tabs>
        <w:spacing w:after="0" w:line="240" w:lineRule="auto"/>
        <w:ind w:left="993" w:right="-358" w:hanging="1135"/>
        <w:rPr>
          <w:rFonts w:ascii="Tw Cen MT" w:eastAsia="Twentieth Century" w:hAnsi="Tw Cen MT" w:cs="Twentieth Century"/>
          <w:bCs/>
          <w:sz w:val="24"/>
          <w:szCs w:val="24"/>
          <w:lang w:val="id"/>
        </w:rPr>
      </w:pPr>
      <w:r>
        <w:rPr>
          <w:rFonts w:ascii="Tw Cen MT" w:eastAsia="Twentieth Century" w:hAnsi="Tw Cen MT" w:cs="Twentieth Century"/>
          <w:bCs/>
          <w:sz w:val="24"/>
          <w:szCs w:val="24"/>
          <w:lang w:val="id"/>
        </w:rPr>
        <w:t xml:space="preserve">Gambar </w:t>
      </w:r>
      <w:r w:rsidRPr="002C3700">
        <w:rPr>
          <w:rFonts w:ascii="Tw Cen MT" w:eastAsia="Twentieth Century" w:hAnsi="Tw Cen MT" w:cs="Twentieth Century"/>
          <w:bCs/>
          <w:sz w:val="24"/>
          <w:szCs w:val="24"/>
          <w:lang w:val="id"/>
        </w:rPr>
        <w:t>6.</w:t>
      </w:r>
      <w:r>
        <w:rPr>
          <w:rFonts w:ascii="Tw Cen MT" w:eastAsia="Twentieth Century" w:hAnsi="Tw Cen MT" w:cs="Twentieth Century"/>
          <w:bCs/>
          <w:sz w:val="24"/>
          <w:szCs w:val="24"/>
          <w:lang w:val="id"/>
        </w:rPr>
        <w:t xml:space="preserve"> </w:t>
      </w:r>
      <w:r w:rsidRPr="002C3700">
        <w:rPr>
          <w:rFonts w:ascii="Tw Cen MT" w:eastAsia="Twentieth Century" w:hAnsi="Tw Cen MT" w:cs="Twentieth Century"/>
          <w:bCs/>
          <w:sz w:val="24"/>
          <w:szCs w:val="24"/>
          <w:lang w:val="id"/>
        </w:rPr>
        <w:t>Perbandingan aktivitas penangkalan radikal bebas vitamin C dan infusa daun tahongai</w:t>
      </w:r>
    </w:p>
    <w:p w14:paraId="1CD17CBA" w14:textId="550505C7" w:rsidR="00766A76"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ID"/>
        </w:rPr>
        <w:t xml:space="preserve">Sampel </w:t>
      </w:r>
      <w:r w:rsidRPr="002C3700">
        <w:rPr>
          <w:rFonts w:ascii="Tw Cen MT" w:eastAsia="Twentieth Century" w:hAnsi="Tw Cen MT" w:cs="Twentieth Century"/>
          <w:bCs/>
          <w:sz w:val="24"/>
          <w:szCs w:val="24"/>
          <w:lang w:val="id"/>
        </w:rPr>
        <w:t>infusa</w:t>
      </w:r>
      <w:r w:rsidRPr="00766A76">
        <w:rPr>
          <w:rFonts w:ascii="Tw Cen MT" w:eastAsia="Twentieth Century" w:hAnsi="Tw Cen MT" w:cs="Twentieth Century"/>
          <w:bCs/>
          <w:sz w:val="24"/>
          <w:szCs w:val="24"/>
          <w:lang w:val="id-ID"/>
        </w:rPr>
        <w:t xml:space="preserve"> daun </w:t>
      </w:r>
      <w:r w:rsidRPr="002C3700">
        <w:rPr>
          <w:rFonts w:ascii="Tw Cen MT" w:eastAsia="Twentieth Century" w:hAnsi="Tw Cen MT" w:cs="Twentieth Century"/>
          <w:bCs/>
          <w:sz w:val="24"/>
          <w:szCs w:val="24"/>
          <w:lang w:val="id"/>
        </w:rPr>
        <w:t xml:space="preserve">tahongai </w:t>
      </w:r>
      <w:r w:rsidRPr="00766A76">
        <w:rPr>
          <w:rFonts w:ascii="Tw Cen MT" w:eastAsia="Twentieth Century" w:hAnsi="Tw Cen MT" w:cs="Twentieth Century"/>
          <w:bCs/>
          <w:sz w:val="24"/>
          <w:szCs w:val="24"/>
          <w:lang w:val="id-ID"/>
        </w:rPr>
        <w:t xml:space="preserve">memiliki </w:t>
      </w:r>
      <w:r w:rsidRPr="002C3700">
        <w:rPr>
          <w:rFonts w:ascii="Tw Cen MT" w:eastAsia="Twentieth Century" w:hAnsi="Tw Cen MT" w:cs="Twentieth Century"/>
          <w:bCs/>
          <w:sz w:val="24"/>
          <w:szCs w:val="24"/>
          <w:lang w:val="id"/>
        </w:rPr>
        <w:t>persen</w:t>
      </w:r>
      <w:r w:rsidR="00D3183C">
        <w:rPr>
          <w:rFonts w:ascii="Tw Cen MT" w:eastAsia="Twentieth Century" w:hAnsi="Tw Cen MT" w:cs="Twentieth Century"/>
          <w:bCs/>
          <w:sz w:val="24"/>
          <w:szCs w:val="24"/>
          <w:lang w:val="id"/>
        </w:rPr>
        <w:t>tase</w:t>
      </w:r>
      <w:r w:rsidRPr="002C3700">
        <w:rPr>
          <w:rFonts w:ascii="Tw Cen MT" w:eastAsia="Twentieth Century" w:hAnsi="Tw Cen MT" w:cs="Twentieth Century"/>
          <w:bCs/>
          <w:sz w:val="24"/>
          <w:szCs w:val="24"/>
          <w:lang w:val="id"/>
        </w:rPr>
        <w:t xml:space="preserve"> inhibisi</w:t>
      </w:r>
      <w:r w:rsidRPr="00766A76">
        <w:rPr>
          <w:rFonts w:ascii="Tw Cen MT" w:eastAsia="Twentieth Century" w:hAnsi="Tw Cen MT" w:cs="Twentieth Century"/>
          <w:bCs/>
          <w:sz w:val="24"/>
          <w:szCs w:val="24"/>
          <w:lang w:val="id-ID"/>
        </w:rPr>
        <w:t xml:space="preserve"> yang lebih kecil jika dibandingkan dengan </w:t>
      </w:r>
      <w:r w:rsidR="00D3183C" w:rsidRPr="00D3183C">
        <w:rPr>
          <w:rFonts w:ascii="Tw Cen MT" w:eastAsia="Twentieth Century" w:hAnsi="Tw Cen MT" w:cs="Twentieth Century"/>
          <w:bCs/>
          <w:sz w:val="24"/>
          <w:szCs w:val="24"/>
          <w:lang w:val="id"/>
        </w:rPr>
        <w:t xml:space="preserve">pembanding </w:t>
      </w:r>
      <w:r w:rsidRPr="00766A76">
        <w:rPr>
          <w:rFonts w:ascii="Tw Cen MT" w:eastAsia="Twentieth Century" w:hAnsi="Tw Cen MT" w:cs="Twentieth Century"/>
          <w:bCs/>
          <w:sz w:val="24"/>
          <w:szCs w:val="24"/>
          <w:lang w:val="id-ID"/>
        </w:rPr>
        <w:t>vitamin C. Hasil yang dip</w:t>
      </w:r>
      <w:r w:rsidR="00AC7CBD">
        <w:rPr>
          <w:rFonts w:ascii="Tw Cen MT" w:eastAsia="Twentieth Century" w:hAnsi="Tw Cen MT" w:cs="Twentieth Century"/>
          <w:bCs/>
          <w:sz w:val="24"/>
          <w:szCs w:val="24"/>
          <w:lang w:val="id-ID"/>
        </w:rPr>
        <w:t>eroleh sesuai dengan penelitian</w:t>
      </w:r>
      <w:r w:rsidR="00D3183C">
        <w:rPr>
          <w:rFonts w:ascii="Tw Cen MT" w:eastAsia="Twentieth Century" w:hAnsi="Tw Cen MT" w:cs="Twentieth Century"/>
          <w:bCs/>
          <w:sz w:val="24"/>
          <w:szCs w:val="24"/>
          <w:lang w:val="id"/>
        </w:rPr>
        <w:t xml:space="preserve"> sebelumnya</w:t>
      </w:r>
      <w:r w:rsidR="00AC7CBD" w:rsidRPr="002C3700">
        <w:rPr>
          <w:rFonts w:ascii="Tw Cen MT" w:eastAsia="Twentieth Century" w:hAnsi="Tw Cen MT" w:cs="Twentieth Century"/>
          <w:bCs/>
          <w:sz w:val="24"/>
          <w:szCs w:val="24"/>
          <w:lang w:val="id"/>
        </w:rPr>
        <w:t xml:space="preserve"> menggunakan ekstrak daun </w:t>
      </w:r>
      <w:r w:rsidR="00AC7CBD" w:rsidRPr="002C3700">
        <w:rPr>
          <w:rFonts w:ascii="Tw Cen MT" w:eastAsia="Twentieth Century" w:hAnsi="Tw Cen MT" w:cs="Twentieth Century"/>
          <w:bCs/>
          <w:sz w:val="24"/>
          <w:szCs w:val="24"/>
          <w:lang w:val="id"/>
        </w:rPr>
        <w:lastRenderedPageBreak/>
        <w:t>tahongai [16,17]</w:t>
      </w:r>
      <w:r w:rsidRPr="002C3700">
        <w:rPr>
          <w:rFonts w:ascii="Tw Cen MT" w:eastAsia="Twentieth Century" w:hAnsi="Tw Cen MT" w:cs="Twentieth Century"/>
          <w:bCs/>
          <w:sz w:val="24"/>
          <w:szCs w:val="24"/>
          <w:lang w:val="id"/>
        </w:rPr>
        <w:t>,</w:t>
      </w:r>
      <w:r w:rsidRPr="00766A76">
        <w:rPr>
          <w:rFonts w:ascii="Tw Cen MT" w:eastAsia="Twentieth Century" w:hAnsi="Tw Cen MT" w:cs="Twentieth Century"/>
          <w:bCs/>
          <w:sz w:val="24"/>
          <w:szCs w:val="24"/>
          <w:lang w:val="id-ID"/>
        </w:rPr>
        <w:t xml:space="preserve"> dimana aktivitas antioksidan vitamin C lebih tinggi dibandingkan dengan ekstrak </w:t>
      </w:r>
      <w:r w:rsidRPr="002C3700">
        <w:rPr>
          <w:rFonts w:ascii="Tw Cen MT" w:eastAsia="Twentieth Century" w:hAnsi="Tw Cen MT" w:cs="Twentieth Century"/>
          <w:bCs/>
          <w:sz w:val="24"/>
          <w:szCs w:val="24"/>
          <w:lang w:val="id"/>
        </w:rPr>
        <w:t xml:space="preserve">etanol </w:t>
      </w:r>
      <w:r w:rsidRPr="00766A76">
        <w:rPr>
          <w:rFonts w:ascii="Tw Cen MT" w:eastAsia="Twentieth Century" w:hAnsi="Tw Cen MT" w:cs="Twentieth Century"/>
          <w:bCs/>
          <w:sz w:val="24"/>
          <w:szCs w:val="24"/>
          <w:lang w:val="id-ID"/>
        </w:rPr>
        <w:t xml:space="preserve">daun </w:t>
      </w:r>
      <w:r w:rsidRPr="002C3700">
        <w:rPr>
          <w:rFonts w:ascii="Tw Cen MT" w:eastAsia="Twentieth Century" w:hAnsi="Tw Cen MT" w:cs="Twentieth Century"/>
          <w:bCs/>
          <w:sz w:val="24"/>
          <w:szCs w:val="24"/>
          <w:lang w:val="id"/>
        </w:rPr>
        <w:t xml:space="preserve">tahongai. </w:t>
      </w:r>
      <w:r w:rsidRPr="00766A76">
        <w:rPr>
          <w:rFonts w:ascii="Tw Cen MT" w:eastAsia="Twentieth Century" w:hAnsi="Tw Cen MT" w:cs="Twentieth Century"/>
          <w:bCs/>
          <w:sz w:val="24"/>
          <w:szCs w:val="24"/>
        </w:rPr>
        <w:t>Hal tersebut dikarenakan</w:t>
      </w:r>
      <w:r w:rsidRPr="00766A76">
        <w:rPr>
          <w:rFonts w:ascii="Tw Cen MT" w:eastAsia="Twentieth Century" w:hAnsi="Tw Cen MT" w:cs="Twentieth Century"/>
          <w:bCs/>
          <w:sz w:val="24"/>
          <w:szCs w:val="24"/>
          <w:lang w:val="id-ID"/>
        </w:rPr>
        <w:t xml:space="preserve"> vitamin C merupakan zat antioksidan alami yang sangat kuat.</w:t>
      </w:r>
      <w:r w:rsidRPr="00766A76">
        <w:rPr>
          <w:rFonts w:ascii="Tw Cen MT" w:eastAsia="Twentieth Century" w:hAnsi="Tw Cen MT" w:cs="Twentieth Century"/>
          <w:bCs/>
          <w:sz w:val="24"/>
          <w:szCs w:val="24"/>
        </w:rPr>
        <w:t xml:space="preserve"> Aktivitas antioksidan infusa daun tahongai yang tergolong sedang tersebut disebabkan oleh kehadiran kandungan metabolit sekunder</w:t>
      </w:r>
      <w:r w:rsidR="00AC7CBD">
        <w:rPr>
          <w:rFonts w:ascii="Tw Cen MT" w:eastAsia="Twentieth Century" w:hAnsi="Tw Cen MT" w:cs="Twentieth Century"/>
          <w:bCs/>
          <w:sz w:val="24"/>
          <w:szCs w:val="24"/>
        </w:rPr>
        <w:t xml:space="preserve"> yang bertanggung jawab terhadap kemampuan penangkalan radikal bebas ekstrak tersebut</w:t>
      </w:r>
      <w:r w:rsidRPr="00766A76">
        <w:rPr>
          <w:rFonts w:ascii="Tw Cen MT" w:eastAsia="Twentieth Century" w:hAnsi="Tw Cen MT" w:cs="Twentieth Century"/>
          <w:bCs/>
          <w:sz w:val="24"/>
          <w:szCs w:val="24"/>
        </w:rPr>
        <w:t xml:space="preserve"> seperti </w:t>
      </w:r>
      <w:r w:rsidRPr="00766A76">
        <w:rPr>
          <w:rFonts w:ascii="Tw Cen MT" w:eastAsia="Twentieth Century" w:hAnsi="Tw Cen MT" w:cs="Twentieth Century"/>
          <w:sz w:val="24"/>
          <w:szCs w:val="24"/>
          <w:lang w:val="id"/>
        </w:rPr>
        <w:t xml:space="preserve">alkaloid, </w:t>
      </w:r>
      <w:r w:rsidRPr="00766A76">
        <w:rPr>
          <w:rFonts w:ascii="Tw Cen MT" w:eastAsia="Twentieth Century" w:hAnsi="Tw Cen MT" w:cs="Twentieth Century"/>
          <w:bCs/>
          <w:sz w:val="24"/>
          <w:szCs w:val="24"/>
        </w:rPr>
        <w:t>fenol, flavonoid, saponin, tanin pada infusa daun tahongai yang dibuktikan dengan skrining fitokimia pada awal penelitian.</w:t>
      </w:r>
    </w:p>
    <w:p w14:paraId="3CBB8945" w14:textId="77777777" w:rsidR="00D3183C" w:rsidRPr="00766A76" w:rsidRDefault="00D3183C" w:rsidP="00AC7CBD">
      <w:pPr>
        <w:tabs>
          <w:tab w:val="left" w:pos="426"/>
        </w:tabs>
        <w:spacing w:after="0" w:line="240" w:lineRule="auto"/>
        <w:jc w:val="both"/>
        <w:rPr>
          <w:rFonts w:ascii="Tw Cen MT" w:eastAsia="Twentieth Century" w:hAnsi="Tw Cen MT" w:cs="Twentieth Century"/>
          <w:bCs/>
          <w:sz w:val="24"/>
          <w:szCs w:val="24"/>
        </w:rPr>
      </w:pPr>
    </w:p>
    <w:p w14:paraId="2BAAB36E" w14:textId="77777777" w:rsidR="00766A76" w:rsidRPr="00766A76"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ID"/>
        </w:rPr>
        <w:t xml:space="preserve"> </w:t>
      </w:r>
    </w:p>
    <w:p w14:paraId="4EB23DDB" w14:textId="77777777" w:rsidR="00766A76" w:rsidRPr="00766A76" w:rsidRDefault="00766A76" w:rsidP="00AC7CBD">
      <w:pPr>
        <w:tabs>
          <w:tab w:val="left" w:pos="426"/>
        </w:tabs>
        <w:spacing w:after="0" w:line="240" w:lineRule="auto"/>
        <w:jc w:val="both"/>
        <w:rPr>
          <w:rFonts w:ascii="Tw Cen MT" w:eastAsia="Twentieth Century" w:hAnsi="Tw Cen MT" w:cs="Twentieth Century"/>
          <w:sz w:val="24"/>
          <w:szCs w:val="24"/>
          <w:lang w:val="id-ID"/>
        </w:rPr>
      </w:pPr>
      <w:r w:rsidRPr="00766A76">
        <w:rPr>
          <w:rFonts w:ascii="Tw Cen MT" w:eastAsia="Twentieth Century" w:hAnsi="Tw Cen MT" w:cs="Twentieth Century"/>
          <w:sz w:val="24"/>
          <w:szCs w:val="24"/>
          <w:lang w:val="id-ID"/>
        </w:rPr>
        <w:t xml:space="preserve">KESIMPULAN </w:t>
      </w:r>
    </w:p>
    <w:p w14:paraId="26FBCB8F" w14:textId="77777777" w:rsidR="00766A76" w:rsidRPr="00766A76" w:rsidRDefault="00766A76" w:rsidP="00AC7CBD">
      <w:pPr>
        <w:tabs>
          <w:tab w:val="left" w:pos="426"/>
        </w:tabs>
        <w:spacing w:after="0" w:line="240" w:lineRule="auto"/>
        <w:jc w:val="both"/>
        <w:rPr>
          <w:rFonts w:ascii="Tw Cen MT" w:eastAsia="Twentieth Century" w:hAnsi="Tw Cen MT" w:cs="Twentieth Century"/>
          <w:sz w:val="24"/>
          <w:szCs w:val="24"/>
          <w:lang w:val="id-ID"/>
        </w:rPr>
      </w:pPr>
      <w:r w:rsidRPr="00766A76">
        <w:rPr>
          <w:rFonts w:ascii="Tw Cen MT" w:eastAsia="Twentieth Century" w:hAnsi="Tw Cen MT" w:cs="Twentieth Century"/>
          <w:sz w:val="24"/>
          <w:szCs w:val="24"/>
          <w:lang w:val="id-ID"/>
        </w:rPr>
        <w:t>Skrining fitokimia juga dilakukan pada simplisia dan ekstrak infusa daun tahongai dengan hasil positif mengandung Alkaloid, flavonoid, tannin, saponin pada simplisia daun tahongai, dan positif mengandung flavonoid, tannin, saponin dan fenol pada ekstrak infusa daun tahongai. Berdasarkan hasil uji peredaman radikal DPPH dari infusa daun Tahongai menunjukkan 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sebesar 139,51 mg/L dengan aktivitas antioksidan sedang jika dibandingkan </w:t>
      </w:r>
      <w:r w:rsidRPr="00766A76">
        <w:rPr>
          <w:rFonts w:ascii="Tw Cen MT" w:eastAsia="Twentieth Century" w:hAnsi="Tw Cen MT" w:cs="Twentieth Century"/>
          <w:bCs/>
          <w:sz w:val="24"/>
          <w:szCs w:val="24"/>
          <w:lang w:val="id-ID"/>
        </w:rPr>
        <w:t xml:space="preserve">vitamin C dengan </w:t>
      </w:r>
      <w:r w:rsidRPr="00766A76">
        <w:rPr>
          <w:rFonts w:ascii="Tw Cen MT" w:eastAsia="Twentieth Century" w:hAnsi="Tw Cen MT" w:cs="Twentieth Century"/>
          <w:sz w:val="24"/>
          <w:szCs w:val="24"/>
          <w:lang w:val="id-ID"/>
        </w:rPr>
        <w:t>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sebesar 3,359 </w:t>
      </w:r>
      <w:r w:rsidRPr="00766A76">
        <w:rPr>
          <w:rFonts w:ascii="Tw Cen MT" w:eastAsia="Twentieth Century" w:hAnsi="Tw Cen MT" w:cs="Twentieth Century"/>
          <w:bCs/>
          <w:sz w:val="24"/>
          <w:szCs w:val="24"/>
          <w:lang w:val="id-ID"/>
        </w:rPr>
        <w:t>ppm yang tergolong aktivitas antioksidan sangat kuat</w:t>
      </w:r>
      <w:r w:rsidRPr="00766A76">
        <w:rPr>
          <w:rFonts w:ascii="Tw Cen MT" w:eastAsia="Twentieth Century" w:hAnsi="Tw Cen MT" w:cs="Twentieth Century"/>
          <w:sz w:val="24"/>
          <w:szCs w:val="24"/>
          <w:lang w:val="id-ID"/>
        </w:rPr>
        <w:t>.</w:t>
      </w:r>
    </w:p>
    <w:p w14:paraId="58F17B69" w14:textId="77777777" w:rsidR="00766A76" w:rsidRPr="00766A76" w:rsidRDefault="00766A76" w:rsidP="007106F6">
      <w:pPr>
        <w:tabs>
          <w:tab w:val="left" w:pos="426"/>
        </w:tabs>
        <w:spacing w:after="0"/>
        <w:jc w:val="both"/>
        <w:rPr>
          <w:rFonts w:ascii="Tw Cen MT" w:eastAsia="Twentieth Century" w:hAnsi="Tw Cen MT" w:cs="Twentieth Century"/>
          <w:b/>
          <w:sz w:val="24"/>
          <w:szCs w:val="24"/>
          <w:lang w:val="id-ID"/>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71CFCBC9" w:rsidR="007106F6" w:rsidRPr="00AF178C" w:rsidRDefault="00AF178C" w:rsidP="004721E3">
      <w:pPr>
        <w:spacing w:line="240" w:lineRule="auto"/>
        <w:jc w:val="both"/>
        <w:rPr>
          <w:rFonts w:ascii="Tw Cen MT" w:eastAsia="Twentieth Century" w:hAnsi="Tw Cen MT" w:cs="Twentieth Century"/>
          <w:sz w:val="24"/>
          <w:szCs w:val="24"/>
          <w:lang w:val="id-ID"/>
        </w:rPr>
      </w:pPr>
      <w:r w:rsidRPr="00AF178C">
        <w:rPr>
          <w:rFonts w:ascii="Tw Cen MT" w:eastAsia="Twentieth Century" w:hAnsi="Tw Cen MT" w:cs="Twentieth Century"/>
          <w:sz w:val="24"/>
          <w:szCs w:val="24"/>
          <w:lang w:val="id-ID"/>
        </w:rPr>
        <w:t>Skrining fitokimia juga dilakukan pada simplisia dan ekstrak infusa daun tahongai dengan hasil positif mengandung Alkaloid, flavonoid, tannin, saponin pada simplisia daun tahongai, dan positif mengandung flavonoid, tannin, saponin dan fenol pada ekstrak infusa daun tahongai. Berdasarkan hasil uji peredaman radikal DPPH dari infusa daun Tahongai menunjukkan 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139,51 mg/L dengan aktivitas antioksidan sedang jika dibandingkan </w:t>
      </w:r>
      <w:r w:rsidRPr="00AF178C">
        <w:rPr>
          <w:rFonts w:ascii="Tw Cen MT" w:eastAsia="Twentieth Century" w:hAnsi="Tw Cen MT" w:cs="Twentieth Century"/>
          <w:bCs/>
          <w:sz w:val="24"/>
          <w:szCs w:val="24"/>
          <w:lang w:val="id-ID"/>
        </w:rPr>
        <w:t xml:space="preserve">vitamin C dengan </w:t>
      </w:r>
      <w:r w:rsidRPr="00AF178C">
        <w:rPr>
          <w:rFonts w:ascii="Tw Cen MT" w:eastAsia="Twentieth Century" w:hAnsi="Tw Cen MT" w:cs="Twentieth Century"/>
          <w:sz w:val="24"/>
          <w:szCs w:val="24"/>
          <w:lang w:val="id-ID"/>
        </w:rPr>
        <w:t>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3,359 </w:t>
      </w:r>
      <w:r w:rsidRPr="00AF178C">
        <w:rPr>
          <w:rFonts w:ascii="Tw Cen MT" w:eastAsia="Twentieth Century" w:hAnsi="Tw Cen MT" w:cs="Twentieth Century"/>
          <w:bCs/>
          <w:sz w:val="24"/>
          <w:szCs w:val="24"/>
          <w:lang w:val="id-ID"/>
        </w:rPr>
        <w:t>ppm yang tergolong aktivitas antioksidan sangat kuat</w:t>
      </w:r>
      <w:r w:rsidR="004721E3" w:rsidRPr="00AF178C">
        <w:rPr>
          <w:rFonts w:ascii="Tw Cen MT" w:eastAsia="Twentieth Century" w:hAnsi="Tw Cen MT" w:cs="Twentieth Century"/>
          <w:sz w:val="24"/>
          <w:szCs w:val="24"/>
          <w:lang w:val="id-ID"/>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2"/>
      <w:r w:rsidRPr="002E23D7">
        <w:rPr>
          <w:rFonts w:ascii="Tw Cen MT" w:eastAsia="Twentieth Century" w:hAnsi="Tw Cen MT" w:cs="Twentieth Century"/>
          <w:b/>
          <w:sz w:val="24"/>
          <w:szCs w:val="24"/>
        </w:rPr>
        <w:t>PUSTAKA</w:t>
      </w:r>
      <w:commentRangeEnd w:id="2"/>
      <w:r w:rsidR="008B5C6C">
        <w:rPr>
          <w:rStyle w:val="CommentReference"/>
        </w:rPr>
        <w:commentReference w:id="2"/>
      </w:r>
    </w:p>
    <w:p w14:paraId="2821426D" w14:textId="67D1099D" w:rsidR="00E73AF6" w:rsidRDefault="00E73AF6" w:rsidP="00E73AF6">
      <w:pPr>
        <w:tabs>
          <w:tab w:val="left" w:pos="426"/>
        </w:tabs>
        <w:spacing w:after="0" w:line="240" w:lineRule="auto"/>
        <w:ind w:left="426" w:hanging="426"/>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[1]</w:t>
      </w:r>
      <w:r>
        <w:rPr>
          <w:rFonts w:ascii="Tw Cen MT" w:eastAsia="Twentieth Century" w:hAnsi="Tw Cen MT" w:cs="Twentieth Century"/>
          <w:b/>
          <w:sz w:val="24"/>
          <w:szCs w:val="24"/>
        </w:rPr>
        <w:tab/>
      </w:r>
      <w:r w:rsidRPr="00E73AF6">
        <w:rPr>
          <w:rFonts w:ascii="Tw Cen MT" w:eastAsia="Twentieth Century" w:hAnsi="Tw Cen MT" w:cs="Twentieth Century"/>
          <w:sz w:val="24"/>
          <w:szCs w:val="24"/>
        </w:rPr>
        <w:t xml:space="preserve">Saputra, H. S., dan Sampepana, E., </w:t>
      </w:r>
      <w:r>
        <w:rPr>
          <w:rFonts w:ascii="Tw Cen MT" w:eastAsia="Twentieth Century" w:hAnsi="Tw Cen MT" w:cs="Twentieth Century"/>
          <w:sz w:val="24"/>
          <w:szCs w:val="24"/>
        </w:rPr>
        <w:t>“</w:t>
      </w:r>
      <w:r w:rsidRPr="00E73AF6">
        <w:rPr>
          <w:rFonts w:ascii="Tw Cen MT" w:eastAsia="Twentieth Century" w:hAnsi="Tw Cen MT" w:cs="Twentieth Century"/>
          <w:sz w:val="24"/>
          <w:szCs w:val="24"/>
        </w:rPr>
        <w:t>Pembuatan Sirup Dari Ekstrak Tahongai (</w:t>
      </w:r>
      <w:r w:rsidRPr="00E73AF6">
        <w:rPr>
          <w:rFonts w:ascii="Tw Cen MT" w:eastAsia="Twentieth Century" w:hAnsi="Tw Cen MT" w:cs="Twentieth Century"/>
          <w:i/>
          <w:sz w:val="24"/>
          <w:szCs w:val="24"/>
        </w:rPr>
        <w:t>Klienhovia hospital</w:t>
      </w:r>
      <w:r w:rsidRPr="00E73AF6">
        <w:rPr>
          <w:rFonts w:ascii="Tw Cen MT" w:eastAsia="Twentieth Century" w:hAnsi="Tw Cen MT" w:cs="Twentieth Century"/>
          <w:sz w:val="24"/>
          <w:szCs w:val="24"/>
        </w:rPr>
        <w:t xml:space="preserve"> Linn.)</w:t>
      </w:r>
      <w:r>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w:t>
      </w:r>
      <w:r w:rsidRPr="00E73AF6">
        <w:rPr>
          <w:rFonts w:ascii="Tw Cen MT" w:eastAsia="Twentieth Century" w:hAnsi="Tw Cen MT" w:cs="Twentieth Century"/>
          <w:i/>
          <w:sz w:val="24"/>
          <w:szCs w:val="24"/>
        </w:rPr>
        <w:t>Proseding Seminar Nasional Hasil Riset dan Standardisasi Industri VI</w:t>
      </w:r>
      <w:r w:rsidR="00AF178C">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Hal. 63-70. Balai Riset dan St</w:t>
      </w:r>
      <w:r w:rsidR="00AF178C">
        <w:rPr>
          <w:rFonts w:ascii="Tw Cen MT" w:eastAsia="Twentieth Century" w:hAnsi="Tw Cen MT" w:cs="Twentieth Century"/>
          <w:sz w:val="24"/>
          <w:szCs w:val="24"/>
        </w:rPr>
        <w:t xml:space="preserve">andardisasi Industri Banda Aceh, </w:t>
      </w:r>
      <w:r w:rsidR="00AF178C" w:rsidRPr="00E73AF6">
        <w:rPr>
          <w:rFonts w:ascii="Tw Cen MT" w:eastAsia="Twentieth Century" w:hAnsi="Tw Cen MT" w:cs="Twentieth Century"/>
          <w:sz w:val="24"/>
          <w:szCs w:val="24"/>
        </w:rPr>
        <w:t>2016</w:t>
      </w:r>
    </w:p>
    <w:p w14:paraId="14318B65" w14:textId="25B83B71" w:rsidR="00E73AF6" w:rsidRDefault="00E73AF6" w:rsidP="00BD3FAC">
      <w:pPr>
        <w:tabs>
          <w:tab w:val="left" w:pos="426"/>
        </w:tabs>
        <w:spacing w:after="0" w:line="240" w:lineRule="auto"/>
        <w:ind w:left="426" w:hanging="426"/>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[2]</w:t>
      </w:r>
      <w:r>
        <w:rPr>
          <w:rFonts w:ascii="Tw Cen MT" w:eastAsia="Twentieth Century" w:hAnsi="Tw Cen MT" w:cs="Twentieth Century"/>
          <w:sz w:val="24"/>
          <w:szCs w:val="24"/>
        </w:rPr>
        <w:tab/>
      </w:r>
      <w:r w:rsidR="00427348" w:rsidRPr="00427348">
        <w:rPr>
          <w:rFonts w:ascii="Tw Cen MT" w:eastAsia="Twentieth Century" w:hAnsi="Tw Cen MT" w:cs="Twentieth Century"/>
          <w:sz w:val="24"/>
          <w:szCs w:val="24"/>
        </w:rPr>
        <w:t>Khairul. Amry, Formulasi dan Uji Stabilitas Fisik Sediaan Sirup Kombinasi Ekstrak Air Daun Tahongai (Kleinhovia hospita L.) dan Rimpang Temulawak (Curcuma xanthorriza Roxb.), Universitas</w:t>
      </w:r>
      <w:r w:rsidR="00AF178C">
        <w:rPr>
          <w:rFonts w:ascii="Tw Cen MT" w:eastAsia="Twentieth Century" w:hAnsi="Tw Cen MT" w:cs="Twentieth Century"/>
          <w:sz w:val="24"/>
          <w:szCs w:val="24"/>
        </w:rPr>
        <w:t xml:space="preserve"> Hasanuddin, Makassar, Hlm. 6–7, 2014</w:t>
      </w:r>
    </w:p>
    <w:p w14:paraId="4ED5F839" w14:textId="0AA94F05" w:rsidR="00427348" w:rsidRDefault="00427348" w:rsidP="00427348">
      <w:pPr>
        <w:tabs>
          <w:tab w:val="left" w:pos="426"/>
        </w:tabs>
        <w:spacing w:after="0" w:line="240" w:lineRule="auto"/>
        <w:ind w:left="426" w:hanging="426"/>
        <w:jc w:val="both"/>
        <w:rPr>
          <w:rFonts w:ascii="Tw Cen MT" w:eastAsia="Twentieth Century" w:hAnsi="Tw Cen MT" w:cs="Twentieth Century"/>
          <w:i/>
          <w:sz w:val="24"/>
          <w:szCs w:val="24"/>
        </w:rPr>
      </w:pPr>
      <w:r>
        <w:rPr>
          <w:rFonts w:ascii="Tw Cen MT" w:eastAsia="Twentieth Century" w:hAnsi="Tw Cen MT" w:cs="Twentieth Century"/>
          <w:sz w:val="24"/>
          <w:szCs w:val="24"/>
        </w:rPr>
        <w:t>[3]</w:t>
      </w:r>
      <w:r>
        <w:rPr>
          <w:rFonts w:ascii="Tw Cen MT" w:eastAsia="Twentieth Century" w:hAnsi="Tw Cen MT" w:cs="Twentieth Century"/>
          <w:sz w:val="24"/>
          <w:szCs w:val="24"/>
        </w:rPr>
        <w:tab/>
      </w:r>
      <w:r w:rsidRPr="00427348">
        <w:rPr>
          <w:rFonts w:ascii="Tw Cen MT" w:eastAsia="Twentieth Century" w:hAnsi="Tw Cen MT" w:cs="Twentieth Century"/>
          <w:sz w:val="24"/>
          <w:szCs w:val="24"/>
        </w:rPr>
        <w:t>Tristantini, D., Ismawati, A., Pradana, B. T., Jonathan, J. G.</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427348">
        <w:rPr>
          <w:rFonts w:ascii="Tw Cen MT" w:eastAsia="Twentieth Century" w:hAnsi="Tw Cen MT" w:cs="Twentieth Century"/>
          <w:sz w:val="24"/>
          <w:szCs w:val="24"/>
        </w:rPr>
        <w:t>Pengujian Aktivitas Antioksidan Menggunakan Metode DPPH pada Daun Tanjung (Mimusops elengi L)</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r w:rsidRPr="00427348">
        <w:rPr>
          <w:rFonts w:ascii="Tw Cen MT" w:eastAsia="Twentieth Century" w:hAnsi="Tw Cen MT" w:cs="Twentieth Century"/>
          <w:i/>
          <w:sz w:val="24"/>
          <w:szCs w:val="24"/>
        </w:rPr>
        <w:t>Prosiding Seminar Nasional</w:t>
      </w:r>
      <w:r w:rsidRPr="00427348">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rPr>
        <w:t>Teknik Kimia</w:t>
      </w:r>
      <w:r w:rsidR="00AF178C">
        <w:rPr>
          <w:rFonts w:ascii="Tw Cen MT" w:eastAsia="Twentieth Century" w:hAnsi="Tw Cen MT" w:cs="Twentieth Century"/>
          <w:i/>
          <w:sz w:val="24"/>
          <w:szCs w:val="24"/>
        </w:rPr>
        <w:t xml:space="preserve">, </w:t>
      </w:r>
      <w:r w:rsidR="00AF178C">
        <w:rPr>
          <w:rFonts w:ascii="Tw Cen MT" w:eastAsia="Twentieth Century" w:hAnsi="Tw Cen MT" w:cs="Twentieth Century"/>
          <w:sz w:val="24"/>
          <w:szCs w:val="24"/>
        </w:rPr>
        <w:t>2016</w:t>
      </w:r>
    </w:p>
    <w:p w14:paraId="407CF193" w14:textId="01E466F7"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[4]</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Sie, J. O.</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Daya Antioksidan Ekstrak Etanol Kulit Manggis (Gracinia mangostana Linn) Hasil Pengadukan dan Refluk</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Jurnal Ilmiah Mahasiswa</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sz w:val="24"/>
          <w:szCs w:val="24"/>
        </w:rPr>
        <w:t>2(1)</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2013</w:t>
      </w:r>
    </w:p>
    <w:p w14:paraId="2B685602" w14:textId="32B53DA1"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[5]</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Widiastuti, N.</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Pengukuran Aktivitas Antioksidan dengan Metode CUPRAC, DPPH, &amp; FRAP Serta Kolerasinya dengan Fenol dan Flavonoid pada Enam Tanaman</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Skripsi</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sz w:val="24"/>
          <w:szCs w:val="24"/>
          <w:lang w:val="id-ID"/>
        </w:rPr>
        <w:t xml:space="preserve"> </w:t>
      </w:r>
      <w:r w:rsidR="00AF178C">
        <w:rPr>
          <w:rFonts w:ascii="Tw Cen MT" w:eastAsia="Twentieth Century" w:hAnsi="Tw Cen MT" w:cs="Twentieth Century"/>
          <w:sz w:val="24"/>
          <w:szCs w:val="24"/>
          <w:lang w:val="id-ID"/>
        </w:rPr>
        <w:t>FMIPA Institut Pertanian, Bogor</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2010</w:t>
      </w:r>
    </w:p>
    <w:p w14:paraId="21391DE8" w14:textId="741BF41C"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[6] </w:t>
      </w:r>
      <w:r>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Pamungkas</w:t>
      </w:r>
      <w:r w:rsidR="00AF178C">
        <w:rPr>
          <w:rFonts w:ascii="Tw Cen MT" w:eastAsia="Twentieth Century" w:hAnsi="Tw Cen MT" w:cs="Twentieth Century"/>
          <w:sz w:val="24"/>
          <w:szCs w:val="24"/>
          <w:lang w:val="id-ID"/>
        </w:rPr>
        <w:t>, J. D., Anam, K., &amp; Kusrini, D</w:t>
      </w:r>
      <w:r w:rsidRPr="00CC54BA">
        <w:rPr>
          <w:rFonts w:ascii="Tw Cen MT" w:eastAsia="Twentieth Century" w:hAnsi="Tw Cen MT" w:cs="Twentieth Century"/>
          <w:sz w:val="24"/>
          <w:szCs w:val="24"/>
          <w:lang w:val="id-ID"/>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Penentuan Total Kadar Fenol dari Daun Kersen Segar, Kering dan Rontok (Muntingia calabura L.) serta Uji Aktivitas Antioksidan dengan Metode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Jurnal Kimia Sains Dan Aplikasi</w:t>
      </w:r>
      <w:r w:rsidRPr="00CC54BA">
        <w:rPr>
          <w:rFonts w:ascii="Tw Cen MT" w:eastAsia="Twentieth Century" w:hAnsi="Tw Cen MT" w:cs="Twentieth Century"/>
          <w:sz w:val="24"/>
          <w:szCs w:val="24"/>
          <w:lang w:val="id-ID"/>
        </w:rPr>
        <w:t>, 19(1), 15–20</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lang w:val="id-ID"/>
        </w:rPr>
        <w:t>2016</w:t>
      </w:r>
    </w:p>
    <w:p w14:paraId="5816983C" w14:textId="38ACA4B6" w:rsid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[7]</w:t>
      </w:r>
      <w:r>
        <w:rPr>
          <w:rFonts w:ascii="Tw Cen MT" w:eastAsia="Twentieth Century" w:hAnsi="Tw Cen MT" w:cs="Twentieth Century"/>
          <w:sz w:val="24"/>
          <w:szCs w:val="24"/>
        </w:rPr>
        <w:tab/>
      </w:r>
      <w:r w:rsidRPr="00CC54BA">
        <w:rPr>
          <w:rFonts w:ascii="Tw Cen MT" w:eastAsia="Twentieth Century" w:hAnsi="Tw Cen MT" w:cs="Twentieth Century"/>
          <w:sz w:val="24"/>
          <w:szCs w:val="24"/>
        </w:rPr>
        <w:t>Megawati, Aswad, M., Y</w:t>
      </w:r>
      <w:r w:rsidR="00AF178C">
        <w:rPr>
          <w:rFonts w:ascii="Tw Cen MT" w:eastAsia="Twentieth Century" w:hAnsi="Tw Cen MT" w:cs="Twentieth Century"/>
          <w:sz w:val="24"/>
          <w:szCs w:val="24"/>
        </w:rPr>
        <w:t>ohanes D.P., Embu, A., Khadijah</w:t>
      </w:r>
      <w:r w:rsidRPr="00CC54BA">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Uji Aktivitas Antioksidan Ekstrak Etanol Daun Murbei (Morrus alba L) Asal Kupang, Nusa Tenggara Timur dengan Metode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rPr>
        <w:t>TECHNO</w:t>
      </w:r>
      <w:r w:rsidRPr="00CC54BA">
        <w:rPr>
          <w:rFonts w:ascii="Tw Cen MT" w:eastAsia="Twentieth Century" w:hAnsi="Tw Cen MT" w:cs="Twentieth Century"/>
          <w:sz w:val="24"/>
          <w:szCs w:val="24"/>
        </w:rPr>
        <w:t>: Jurnal Penelitian, 08(1)</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rPr>
        <w:t>2019</w:t>
      </w:r>
    </w:p>
    <w:p w14:paraId="28CD85D1" w14:textId="7CD6EEF4" w:rsid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[8]</w:t>
      </w:r>
      <w:r>
        <w:rPr>
          <w:rFonts w:ascii="Tw Cen MT" w:eastAsia="Twentieth Century" w:hAnsi="Tw Cen MT" w:cs="Twentieth Century"/>
          <w:sz w:val="24"/>
          <w:szCs w:val="24"/>
        </w:rPr>
        <w:tab/>
      </w:r>
      <w:r w:rsidRPr="00CC54BA">
        <w:rPr>
          <w:rFonts w:ascii="Tw Cen MT" w:eastAsia="Twentieth Century" w:hAnsi="Tw Cen MT" w:cs="Twentieth Century"/>
          <w:sz w:val="24"/>
          <w:szCs w:val="24"/>
        </w:rPr>
        <w:t>Nurmiati,</w:t>
      </w:r>
      <w:r w:rsidRPr="00CC54BA">
        <w:rPr>
          <w:rFonts w:ascii="Tw Cen MT" w:eastAsia="Twentieth Century" w:hAnsi="Tw Cen MT" w:cs="Twentieth Century"/>
          <w:i/>
          <w:sz w:val="24"/>
          <w:szCs w:val="24"/>
        </w:rPr>
        <w:t xml:space="preserve"> </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 xml:space="preserve">Uji Aktivitas Antioksidan Ekstrak Etanol dan Ekatrak Air dari Seledri (Aplum </w:t>
      </w:r>
      <w:r w:rsidRPr="00CC54BA">
        <w:rPr>
          <w:rFonts w:ascii="Tw Cen MT" w:eastAsia="Twentieth Century" w:hAnsi="Tw Cen MT" w:cs="Twentieth Century"/>
          <w:i/>
          <w:sz w:val="24"/>
          <w:szCs w:val="24"/>
        </w:rPr>
        <w:lastRenderedPageBreak/>
        <w:t>Graviolens L.)</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 xml:space="preserve">. </w:t>
      </w:r>
      <w:r w:rsidRPr="00CC54BA">
        <w:rPr>
          <w:rFonts w:ascii="Tw Cen MT" w:eastAsia="Twentieth Century" w:hAnsi="Tw Cen MT" w:cs="Twentieth Century"/>
          <w:sz w:val="24"/>
          <w:szCs w:val="24"/>
        </w:rPr>
        <w:t>Skripsi. Palu Universitas Tadulako</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rPr>
        <w:t>2018</w:t>
      </w:r>
    </w:p>
    <w:p w14:paraId="3C2F8BF9" w14:textId="2B74303D"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[9]</w:t>
      </w:r>
      <w:r>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 xml:space="preserve">Widyani, M., Ulfa, M., &amp; Wirasisya, D. G.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Efek Penghambatan Radikal Bebas Infusa dan Ekstrak Etanol Herba Pegagan (Centella Asiatica (L.) Urb) Dengan Metode DPPH</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Jurnal Pijar Mipa</w:t>
      </w:r>
      <w:r w:rsidR="00AF178C">
        <w:rPr>
          <w:rFonts w:ascii="Tw Cen MT" w:eastAsia="Twentieth Century" w:hAnsi="Tw Cen MT" w:cs="Twentieth Century"/>
          <w:sz w:val="24"/>
          <w:szCs w:val="24"/>
          <w:lang w:val="id-ID"/>
        </w:rPr>
        <w:t>, 14(1), 100- 106</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2019</w:t>
      </w:r>
    </w:p>
    <w:p w14:paraId="67ACFCF3" w14:textId="6673018D" w:rsid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[10]</w:t>
      </w:r>
      <w:r>
        <w:rPr>
          <w:rFonts w:ascii="Tw Cen MT" w:eastAsia="Twentieth Century" w:hAnsi="Tw Cen MT" w:cs="Twentieth Century"/>
          <w:sz w:val="24"/>
          <w:szCs w:val="24"/>
        </w:rPr>
        <w:tab/>
        <w:t xml:space="preserve"> </w:t>
      </w:r>
      <w:r w:rsidRPr="0009030B">
        <w:rPr>
          <w:rFonts w:ascii="Tw Cen MT" w:eastAsia="Twentieth Century" w:hAnsi="Tw Cen MT" w:cs="Twentieth Century"/>
          <w:sz w:val="24"/>
          <w:szCs w:val="24"/>
        </w:rPr>
        <w:t>Ergina, Nuryanti, S. dan Pursitasar</w:t>
      </w:r>
      <w:r w:rsidR="00AF178C">
        <w:rPr>
          <w:rFonts w:ascii="Tw Cen MT" w:eastAsia="Twentieth Century" w:hAnsi="Tw Cen MT" w:cs="Twentieth Century"/>
          <w:sz w:val="24"/>
          <w:szCs w:val="24"/>
        </w:rPr>
        <w:t xml:space="preserve">i, D., </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Uji Kualitatif Senyawa Metabolit Sekunder Pada Daun Palado (Agave Angustifolia) Yang Diekstraksi Dengan Pelarut Air Dan Etanol Qualitative Test of Secondary Metabolites Compounds in Palado Leaves ( Agave Angustifolia ) Extracted With Water and Ethanol</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 xml:space="preserve">, </w:t>
      </w:r>
      <w:r w:rsidRPr="0009030B">
        <w:rPr>
          <w:rFonts w:ascii="Tw Cen MT" w:eastAsia="Twentieth Century" w:hAnsi="Tw Cen MT" w:cs="Twentieth Century"/>
          <w:i/>
          <w:sz w:val="24"/>
          <w:szCs w:val="24"/>
        </w:rPr>
        <w:t>Akademika Kimia</w:t>
      </w:r>
      <w:r w:rsidRPr="0009030B">
        <w:rPr>
          <w:rFonts w:ascii="Tw Cen MT" w:eastAsia="Twentieth Century" w:hAnsi="Tw Cen MT" w:cs="Twentieth Century"/>
          <w:sz w:val="24"/>
          <w:szCs w:val="24"/>
        </w:rPr>
        <w:t>, 3 (8): 165–172</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rPr>
        <w:t>2014.</w:t>
      </w:r>
    </w:p>
    <w:p w14:paraId="68A14972" w14:textId="4FED026B" w:rsidR="0009030B" w:rsidRPr="00AF178C"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[11] </w:t>
      </w:r>
      <w:r w:rsidRPr="0009030B">
        <w:rPr>
          <w:rFonts w:ascii="Tw Cen MT" w:eastAsia="Twentieth Century" w:hAnsi="Tw Cen MT" w:cs="Twentieth Century"/>
          <w:sz w:val="24"/>
          <w:szCs w:val="24"/>
          <w:lang w:val="id-ID"/>
        </w:rPr>
        <w:t>Rizkayanti</w:t>
      </w:r>
      <w:r w:rsidR="00AF178C">
        <w:rPr>
          <w:rFonts w:ascii="Tw Cen MT" w:eastAsia="Twentieth Century" w:hAnsi="Tw Cen MT" w:cs="Twentieth Century"/>
          <w:sz w:val="24"/>
          <w:szCs w:val="24"/>
          <w:lang w:val="id-ID"/>
        </w:rPr>
        <w:t>, Diah, A. W. M., &amp; Jura, M. R.</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Uji Aktivitas Antioksidan Ekstrak Air dan Ekstrak Etanol Daun Kelor (Moringa Oleifera LAM)</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w:t>
      </w:r>
      <w:r w:rsidRPr="0009030B">
        <w:rPr>
          <w:rFonts w:ascii="Tw Cen MT" w:eastAsia="Twentieth Century" w:hAnsi="Tw Cen MT" w:cs="Twentieth Century"/>
          <w:i/>
          <w:sz w:val="24"/>
          <w:szCs w:val="24"/>
          <w:lang w:val="id-ID"/>
        </w:rPr>
        <w:t>Jurnal Akademika Kimia</w:t>
      </w:r>
      <w:r w:rsidRPr="0009030B">
        <w:rPr>
          <w:rFonts w:ascii="Tw Cen MT" w:eastAsia="Twentieth Century" w:hAnsi="Tw Cen MT" w:cs="Twentieth Century"/>
          <w:sz w:val="24"/>
          <w:szCs w:val="24"/>
          <w:lang w:val="id-ID"/>
        </w:rPr>
        <w:t>, 6(2), 125–131</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lang w:val="id-ID"/>
        </w:rPr>
        <w:t>2017.</w:t>
      </w:r>
    </w:p>
    <w:p w14:paraId="78B38B9A" w14:textId="73A346EC" w:rsidR="0009030B" w:rsidRPr="00AF178C"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[12]</w:t>
      </w:r>
      <w:r>
        <w:rPr>
          <w:rFonts w:ascii="Tw Cen MT" w:eastAsia="Twentieth Century" w:hAnsi="Tw Cen MT" w:cs="Twentieth Century"/>
          <w:sz w:val="24"/>
          <w:szCs w:val="24"/>
        </w:rPr>
        <w:tab/>
      </w:r>
      <w:r w:rsidRPr="0009030B">
        <w:rPr>
          <w:rFonts w:ascii="Tw Cen MT" w:eastAsia="Twentieth Century" w:hAnsi="Tw Cen MT" w:cs="Twentieth Century"/>
          <w:sz w:val="24"/>
          <w:szCs w:val="24"/>
          <w:lang w:val="id-ID"/>
        </w:rPr>
        <w:t>Yati, J. S., Sumpono, &amp; Candra, N. I.</w:t>
      </w:r>
      <w:r w:rsidR="00AF178C">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Potensi Aktivitas Antioksidan Metabolit Sekunder dari Bakteri Endofit pada Daun Moringa oleifera L. </w:t>
      </w:r>
      <w:r w:rsidRPr="0009030B">
        <w:rPr>
          <w:rFonts w:ascii="Tw Cen MT" w:eastAsia="Twentieth Century" w:hAnsi="Tw Cen MT" w:cs="Twentieth Century"/>
          <w:i/>
          <w:sz w:val="24"/>
          <w:szCs w:val="24"/>
          <w:lang w:val="id-ID"/>
        </w:rPr>
        <w:t>Jurnal Pendidikan Dan Ilmu Kimia</w:t>
      </w:r>
      <w:r w:rsidRPr="0009030B">
        <w:rPr>
          <w:rFonts w:ascii="Tw Cen MT" w:eastAsia="Twentieth Century" w:hAnsi="Tw Cen MT" w:cs="Twentieth Century"/>
          <w:sz w:val="24"/>
          <w:szCs w:val="24"/>
          <w:lang w:val="id-ID"/>
        </w:rPr>
        <w:t>, 2(1)</w:t>
      </w:r>
      <w:r w:rsidRPr="0009030B">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82–87</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lang w:val="id-ID"/>
        </w:rPr>
        <w:t>2018.</w:t>
      </w:r>
    </w:p>
    <w:p w14:paraId="1C20C588" w14:textId="366D38E6" w:rsidR="007017A9" w:rsidRPr="00AF178C"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[13]</w:t>
      </w:r>
      <w:r>
        <w:rPr>
          <w:rFonts w:ascii="Tw Cen MT" w:eastAsia="Twentieth Century" w:hAnsi="Tw Cen MT" w:cs="Twentieth Century"/>
          <w:sz w:val="24"/>
          <w:szCs w:val="24"/>
        </w:rPr>
        <w:tab/>
      </w:r>
      <w:r w:rsidRPr="007017A9">
        <w:rPr>
          <w:rFonts w:ascii="Tw Cen MT" w:eastAsia="Twentieth Century" w:hAnsi="Tw Cen MT" w:cs="Twentieth Century"/>
          <w:sz w:val="24"/>
          <w:szCs w:val="24"/>
          <w:lang w:val="id-ID"/>
        </w:rPr>
        <w:t>Sulaiman ISC, Basri M, Masoumi HRF</w:t>
      </w:r>
      <w:r w:rsidR="00AF178C">
        <w:rPr>
          <w:rFonts w:ascii="Tw Cen MT" w:eastAsia="Twentieth Century" w:hAnsi="Tw Cen MT" w:cs="Twentieth Century"/>
          <w:sz w:val="24"/>
          <w:szCs w:val="24"/>
          <w:lang w:val="id-ID"/>
        </w:rPr>
        <w:t>, Chee WJ, Ashari SE, Ismail M.</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Effects of temperature, time, and solvent ratio on the extraction of phenolic compounds and the anti-radical activity of Clinacanthus nutans Lindau leaves by response surface methodology</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r w:rsidRPr="007017A9">
        <w:rPr>
          <w:rFonts w:ascii="Tw Cen MT" w:eastAsia="Twentieth Century" w:hAnsi="Tw Cen MT" w:cs="Twentieth Century"/>
          <w:i/>
          <w:sz w:val="24"/>
          <w:szCs w:val="24"/>
          <w:lang w:val="id-ID"/>
        </w:rPr>
        <w:t>Chem Cent J</w:t>
      </w:r>
      <w:r w:rsidRPr="007017A9">
        <w:rPr>
          <w:rFonts w:ascii="Tw Cen MT" w:eastAsia="Twentieth Century" w:hAnsi="Tw Cen MT" w:cs="Twentieth Century"/>
          <w:sz w:val="24"/>
          <w:szCs w:val="24"/>
          <w:lang w:val="id-ID"/>
        </w:rPr>
        <w:t>.</w:t>
      </w:r>
      <w:r w:rsidRPr="007017A9">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 xml:space="preserve">11:54, </w:t>
      </w:r>
      <w:r w:rsidR="00AF178C" w:rsidRPr="007017A9">
        <w:rPr>
          <w:rFonts w:ascii="Tw Cen MT" w:eastAsia="Twentieth Century" w:hAnsi="Tw Cen MT" w:cs="Twentieth Century"/>
          <w:sz w:val="24"/>
          <w:szCs w:val="24"/>
        </w:rPr>
        <w:t>2017.</w:t>
      </w:r>
    </w:p>
    <w:p w14:paraId="448E81C3" w14:textId="2E574EDD" w:rsidR="007017A9" w:rsidRPr="00AF178C"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[14]</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Yuliani, N.N. dan Dienina, D.P.</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Uji Aktivitas Antioksidan Infusa Daun Kelor (</w:t>
      </w:r>
      <w:r w:rsidRPr="007017A9">
        <w:rPr>
          <w:rFonts w:ascii="Tw Cen MT" w:eastAsia="Twentieth Century" w:hAnsi="Tw Cen MT" w:cs="Twentieth Century"/>
          <w:i/>
          <w:iCs/>
          <w:sz w:val="24"/>
          <w:szCs w:val="24"/>
          <w:lang w:val="id-ID"/>
        </w:rPr>
        <w:t>Moringa oleifera</w:t>
      </w:r>
      <w:r w:rsidRPr="007017A9">
        <w:rPr>
          <w:rFonts w:ascii="Tw Cen MT" w:eastAsia="Twentieth Century" w:hAnsi="Tw Cen MT" w:cs="Twentieth Century"/>
          <w:sz w:val="24"/>
          <w:szCs w:val="24"/>
          <w:lang w:val="id-ID"/>
        </w:rPr>
        <w:t> Lamk) Dengan Metode DPPH</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r w:rsidRPr="007017A9">
        <w:rPr>
          <w:rFonts w:ascii="Tw Cen MT" w:eastAsia="Twentieth Century" w:hAnsi="Tw Cen MT" w:cs="Twentieth Century"/>
          <w:i/>
          <w:sz w:val="24"/>
          <w:szCs w:val="24"/>
          <w:lang w:val="id-ID"/>
        </w:rPr>
        <w:t>Jurnal Info Kesehatan</w:t>
      </w:r>
      <w:r w:rsidRPr="007017A9">
        <w:rPr>
          <w:rFonts w:ascii="Tw Cen MT" w:eastAsia="Twentieth Century" w:hAnsi="Tw Cen MT" w:cs="Twentieth Century"/>
          <w:sz w:val="24"/>
          <w:szCs w:val="24"/>
          <w:lang w:val="id-ID"/>
        </w:rPr>
        <w:t>. 14(2): 1060-1082</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2015</w:t>
      </w:r>
    </w:p>
    <w:p w14:paraId="7C90C8A4" w14:textId="0D9DFB59" w:rsidR="007017A9"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[15] Kuncoro, H., </w:t>
      </w:r>
      <w:r w:rsidR="00DC7B09">
        <w:rPr>
          <w:rFonts w:ascii="Tw Cen MT" w:eastAsia="Twentieth Century" w:hAnsi="Tw Cen MT" w:cs="Twentieth Century"/>
          <w:sz w:val="24"/>
          <w:szCs w:val="24"/>
        </w:rPr>
        <w:t>Mutia N. S., Hifdzur, R. R., Risna A., “</w:t>
      </w:r>
      <w:r w:rsidRPr="007017A9">
        <w:rPr>
          <w:rFonts w:ascii="Tw Cen MT" w:eastAsia="Twentieth Century" w:hAnsi="Tw Cen MT" w:cs="Twentieth Century"/>
          <w:sz w:val="24"/>
          <w:szCs w:val="24"/>
        </w:rPr>
        <w:t>Evaluasi Parameter Mutu Ekstrak Air Daun Tahongai (</w:t>
      </w:r>
      <w:r w:rsidRPr="00DC7B09">
        <w:rPr>
          <w:rFonts w:ascii="Tw Cen MT" w:eastAsia="Twentieth Century" w:hAnsi="Tw Cen MT" w:cs="Twentieth Century"/>
          <w:i/>
          <w:sz w:val="24"/>
          <w:szCs w:val="24"/>
        </w:rPr>
        <w:t>Kleinhovia hospita</w:t>
      </w:r>
      <w:r w:rsidRPr="007017A9">
        <w:rPr>
          <w:rFonts w:ascii="Tw Cen MT" w:eastAsia="Twentieth Century" w:hAnsi="Tw Cen MT" w:cs="Twentieth Century"/>
          <w:sz w:val="24"/>
          <w:szCs w:val="24"/>
        </w:rPr>
        <w:t xml:space="preserve"> Linn)</w:t>
      </w:r>
      <w:r w:rsidR="00DC7B09">
        <w:rPr>
          <w:rFonts w:ascii="Tw Cen MT" w:eastAsia="Twentieth Century" w:hAnsi="Tw Cen MT" w:cs="Twentieth Century"/>
          <w:sz w:val="24"/>
          <w:szCs w:val="24"/>
        </w:rPr>
        <w:t xml:space="preserve">”, Pharmaceutical Journal of Indonesia, </w:t>
      </w:r>
      <w:r w:rsidR="00DC7B09" w:rsidRPr="00DC7B09">
        <w:rPr>
          <w:rFonts w:ascii="Tw Cen MT" w:eastAsia="Twentieth Century" w:hAnsi="Tw Cen MT" w:cs="Twentieth Century"/>
          <w:sz w:val="24"/>
          <w:szCs w:val="24"/>
        </w:rPr>
        <w:t xml:space="preserve">7(2): 115 </w:t>
      </w:r>
      <w:r w:rsidR="00DC7B09">
        <w:rPr>
          <w:rFonts w:ascii="Tw Cen MT" w:eastAsia="Twentieth Century" w:hAnsi="Tw Cen MT" w:cs="Twentieth Century"/>
          <w:sz w:val="24"/>
          <w:szCs w:val="24"/>
        </w:rPr>
        <w:t>–</w:t>
      </w:r>
      <w:r w:rsidR="00DC7B09" w:rsidRPr="00DC7B09">
        <w:rPr>
          <w:rFonts w:ascii="Tw Cen MT" w:eastAsia="Twentieth Century" w:hAnsi="Tw Cen MT" w:cs="Twentieth Century"/>
          <w:sz w:val="24"/>
          <w:szCs w:val="24"/>
        </w:rPr>
        <w:t xml:space="preserve"> 122</w:t>
      </w:r>
      <w:r w:rsidR="00AF178C">
        <w:rPr>
          <w:rFonts w:ascii="Tw Cen MT" w:eastAsia="Twentieth Century" w:hAnsi="Tw Cen MT" w:cs="Twentieth Century"/>
          <w:sz w:val="24"/>
          <w:szCs w:val="24"/>
        </w:rPr>
        <w:t>, 2022</w:t>
      </w:r>
    </w:p>
    <w:p w14:paraId="6B98195F" w14:textId="6AE8D6E8" w:rsidR="00D56193" w:rsidRPr="00AF178C" w:rsidRDefault="00D56193" w:rsidP="00D56193">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[16] </w:t>
      </w:r>
      <w:r w:rsidRPr="00D56193">
        <w:rPr>
          <w:rFonts w:ascii="Tw Cen MT" w:eastAsia="Twentieth Century" w:hAnsi="Tw Cen MT" w:cs="Twentieth Century"/>
          <w:sz w:val="24"/>
          <w:szCs w:val="24"/>
        </w:rPr>
        <w:t xml:space="preserve">Edy, U., Supriadi, Anang, W. D, Jura, M. R., </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 xml:space="preserve">Uji Aktivitas Antioksidan Ekstrak Etanol </w:t>
      </w:r>
      <w:r w:rsidRPr="00D56193">
        <w:rPr>
          <w:rFonts w:ascii="Tw Cen MT" w:eastAsia="Twentieth Century" w:hAnsi="Tw Cen MT" w:cs="Twentieth Century"/>
          <w:sz w:val="24"/>
          <w:szCs w:val="24"/>
        </w:rPr>
        <w:t>Daun Balaroa (Kleinhovia hospita L.) Menggunakan DPPH</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i/>
          <w:sz w:val="24"/>
          <w:szCs w:val="24"/>
        </w:rPr>
        <w:t>Media Eksakta</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sz w:val="24"/>
          <w:szCs w:val="24"/>
          <w:lang w:val="id-ID"/>
        </w:rPr>
        <w:t xml:space="preserve">19 </w:t>
      </w:r>
      <w:r w:rsidRPr="00D56193">
        <w:rPr>
          <w:rFonts w:ascii="Tw Cen MT" w:eastAsia="Twentieth Century" w:hAnsi="Tw Cen MT" w:cs="Twentieth Century"/>
          <w:sz w:val="24"/>
          <w:szCs w:val="24"/>
        </w:rPr>
        <w:t>(</w:t>
      </w:r>
      <w:r w:rsidRPr="00D56193">
        <w:rPr>
          <w:rFonts w:ascii="Tw Cen MT" w:eastAsia="Twentieth Century" w:hAnsi="Tw Cen MT" w:cs="Twentieth Century"/>
          <w:sz w:val="24"/>
          <w:szCs w:val="24"/>
          <w:lang w:val="id-ID"/>
        </w:rPr>
        <w:t>1</w:t>
      </w:r>
      <w:r w:rsidRPr="00D56193">
        <w:rPr>
          <w:rFonts w:ascii="Tw Cen MT" w:eastAsia="Twentieth Century" w:hAnsi="Tw Cen MT" w:cs="Twentieth Century"/>
          <w:sz w:val="24"/>
          <w:szCs w:val="24"/>
        </w:rPr>
        <w:t>)</w:t>
      </w:r>
      <w:r w:rsidRPr="00D56193">
        <w:rPr>
          <w:rFonts w:ascii="Tw Cen MT" w:eastAsia="Twentieth Century" w:hAnsi="Tw Cen MT" w:cs="Twentieth Century"/>
          <w:sz w:val="24"/>
          <w:szCs w:val="24"/>
          <w:lang w:val="id-ID"/>
        </w:rPr>
        <w:t>: 83-89</w:t>
      </w:r>
      <w:r w:rsidR="00AF178C">
        <w:rPr>
          <w:rFonts w:ascii="Tw Cen MT" w:eastAsia="Twentieth Century" w:hAnsi="Tw Cen MT" w:cs="Twentieth Century"/>
          <w:sz w:val="24"/>
          <w:szCs w:val="24"/>
        </w:rPr>
        <w:t>, 2023</w:t>
      </w:r>
    </w:p>
    <w:p w14:paraId="4308C957" w14:textId="074D8005" w:rsidR="00D56193" w:rsidRPr="00AF178C" w:rsidRDefault="00AC7CBD" w:rsidP="00D56193">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[17] </w:t>
      </w:r>
      <w:r w:rsidRPr="00AC7CBD">
        <w:rPr>
          <w:rFonts w:ascii="Tw Cen MT" w:eastAsia="Twentieth Century" w:hAnsi="Tw Cen MT" w:cs="Twentieth Century"/>
          <w:sz w:val="24"/>
          <w:szCs w:val="24"/>
          <w:lang w:val="id-ID"/>
        </w:rPr>
        <w:t>Hasanuddin, S., &amp; Andini, C.</w:t>
      </w:r>
      <w:r w:rsidR="00AF178C">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Uji Aktivitas Antiradikal Bebas Ekstrak Daun Paliasa (Kleinhovia hospita</w:t>
      </w:r>
      <w:r w:rsidRPr="00AC7CBD">
        <w:rPr>
          <w:rFonts w:ascii="Tw Cen MT" w:eastAsia="Twentieth Century" w:hAnsi="Tw Cen MT" w:cs="Twentieth Century"/>
          <w:i/>
          <w:sz w:val="24"/>
          <w:szCs w:val="24"/>
          <w:lang w:val="id-ID"/>
        </w:rPr>
        <w:t xml:space="preserve"> </w:t>
      </w:r>
      <w:r w:rsidRPr="00AC7CBD">
        <w:rPr>
          <w:rFonts w:ascii="Tw Cen MT" w:eastAsia="Twentieth Century" w:hAnsi="Tw Cen MT" w:cs="Twentieth Century"/>
          <w:sz w:val="24"/>
          <w:szCs w:val="24"/>
          <w:lang w:val="id-ID"/>
        </w:rPr>
        <w:t>Linn.)</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sidRPr="00AC7CBD">
        <w:rPr>
          <w:rFonts w:ascii="Tw Cen MT" w:eastAsia="Twentieth Century" w:hAnsi="Tw Cen MT" w:cs="Twentieth Century"/>
          <w:i/>
          <w:sz w:val="24"/>
          <w:szCs w:val="24"/>
          <w:lang w:val="id-ID"/>
        </w:rPr>
        <w:t>Jurnal Mandala Pharmacon Indonesia</w:t>
      </w:r>
      <w:r w:rsidRPr="00AC7CBD">
        <w:rPr>
          <w:rFonts w:ascii="Tw Cen MT" w:eastAsia="Twentieth Century" w:hAnsi="Tw Cen MT" w:cs="Twentieth Century"/>
          <w:sz w:val="24"/>
          <w:szCs w:val="24"/>
          <w:lang w:val="id-ID"/>
        </w:rPr>
        <w:t>, 3(02)</w:t>
      </w:r>
      <w:r w:rsidRPr="00AC7CBD">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119–126</w:t>
      </w:r>
      <w:r w:rsidR="00AF178C">
        <w:rPr>
          <w:rFonts w:ascii="Tw Cen MT" w:eastAsia="Twentieth Century" w:hAnsi="Tw Cen MT" w:cs="Twentieth Century"/>
          <w:sz w:val="24"/>
          <w:szCs w:val="24"/>
        </w:rPr>
        <w:t xml:space="preserve">, </w:t>
      </w:r>
      <w:r w:rsidR="00AF178C" w:rsidRPr="00AC7CBD">
        <w:rPr>
          <w:rFonts w:ascii="Tw Cen MT" w:eastAsia="Twentieth Century" w:hAnsi="Tw Cen MT" w:cs="Twentieth Century"/>
          <w:sz w:val="24"/>
          <w:szCs w:val="24"/>
          <w:lang w:val="id-ID"/>
        </w:rPr>
        <w:t>2017.</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66B4315F" w14:textId="77777777" w:rsidR="00DC7B09" w:rsidRPr="007017A9" w:rsidRDefault="00DC7B09" w:rsidP="0009030B">
      <w:pPr>
        <w:tabs>
          <w:tab w:val="left" w:pos="426"/>
        </w:tabs>
        <w:spacing w:after="0" w:line="240" w:lineRule="auto"/>
        <w:ind w:left="426" w:hanging="426"/>
        <w:jc w:val="both"/>
        <w:rPr>
          <w:rFonts w:ascii="Tw Cen MT" w:eastAsia="Twentieth Century" w:hAnsi="Tw Cen MT" w:cs="Twentieth Century"/>
          <w:sz w:val="24"/>
          <w:szCs w:val="24"/>
        </w:rPr>
      </w:pPr>
    </w:p>
    <w:p w14:paraId="7DCD2EDA" w14:textId="438B5D94"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4634A585" w14:textId="4EA22FB9"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591680CC" w14:textId="4F57F850" w:rsidR="0009030B" w:rsidRPr="0009030B" w:rsidRDefault="0009030B" w:rsidP="00CC54BA">
      <w:pPr>
        <w:tabs>
          <w:tab w:val="left" w:pos="426"/>
        </w:tabs>
        <w:spacing w:after="0" w:line="240" w:lineRule="auto"/>
        <w:ind w:left="426" w:hanging="426"/>
        <w:jc w:val="both"/>
        <w:rPr>
          <w:rFonts w:ascii="Tw Cen MT" w:eastAsia="Twentieth Century" w:hAnsi="Tw Cen MT" w:cs="Twentieth Century"/>
          <w:sz w:val="24"/>
          <w:szCs w:val="24"/>
        </w:rPr>
      </w:pPr>
    </w:p>
    <w:p w14:paraId="3FB21C85" w14:textId="2EFCFE7F"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82684BA"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60BBC419"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athul Jannah" w:date="2024-05-17T10:55:00Z" w:initials="FJ">
    <w:p w14:paraId="4D73595E" w14:textId="77777777" w:rsidR="008B5C6C" w:rsidRDefault="008B5C6C" w:rsidP="008B5C6C">
      <w:pPr>
        <w:pStyle w:val="CommentText"/>
      </w:pPr>
      <w:r>
        <w:rPr>
          <w:rStyle w:val="CommentReference"/>
        </w:rPr>
        <w:annotationRef/>
      </w:r>
      <w:r>
        <w:t>Penulisan tabel silahkan disesuaikan dengan template</w:t>
      </w:r>
    </w:p>
  </w:comment>
  <w:comment w:id="2" w:author="Fathul Jannah" w:date="2024-05-17T10:59:00Z" w:initials="FJ">
    <w:p w14:paraId="11CF7B80" w14:textId="77777777" w:rsidR="008B5C6C" w:rsidRDefault="008B5C6C" w:rsidP="008B5C6C">
      <w:pPr>
        <w:pStyle w:val="CommentText"/>
      </w:pPr>
      <w:r>
        <w:rPr>
          <w:rStyle w:val="CommentReference"/>
        </w:rPr>
        <w:annotationRef/>
      </w:r>
      <w:r>
        <w:t>Daftar pustaka minimal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73595E" w15:done="0"/>
  <w15:commentEx w15:paraId="11CF7B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65E464" w16cex:dateUtc="2024-05-17T03:55:00Z"/>
  <w16cex:commentExtensible w16cex:durableId="254AE7B9" w16cex:dateUtc="2024-05-17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73595E" w16cid:durableId="4E65E464"/>
  <w16cid:commentId w16cid:paraId="11CF7B80" w16cid:durableId="254AE7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68A0" w14:textId="77777777" w:rsidR="007E716D" w:rsidRDefault="007E716D">
      <w:pPr>
        <w:spacing w:after="0" w:line="240" w:lineRule="auto"/>
      </w:pPr>
      <w:r>
        <w:separator/>
      </w:r>
    </w:p>
  </w:endnote>
  <w:endnote w:type="continuationSeparator" w:id="0">
    <w:p w14:paraId="24655110" w14:textId="77777777" w:rsidR="007E716D" w:rsidRDefault="007E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6F57BAFC"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84CFC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3183C">
              <w:rPr>
                <w:rFonts w:ascii="Tw Cen MT" w:hAnsi="Tw Cen MT"/>
                <w:color w:val="000000" w:themeColor="text1"/>
                <w:sz w:val="20"/>
                <w:szCs w:val="24"/>
                <w:lang w:val="en-ID"/>
              </w:rPr>
              <w:t>Nurillahi Febria Leswana and nfleswana@gmail.com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E750B">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697C5" w14:textId="77777777" w:rsidR="007E716D" w:rsidRDefault="007E716D">
      <w:pPr>
        <w:spacing w:after="0" w:line="240" w:lineRule="auto"/>
      </w:pPr>
      <w:r>
        <w:separator/>
      </w:r>
    </w:p>
  </w:footnote>
  <w:footnote w:type="continuationSeparator" w:id="0">
    <w:p w14:paraId="7DA0F3C2" w14:textId="77777777" w:rsidR="007E716D" w:rsidRDefault="007E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037809" w:rsidRDefault="0003780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8FE4D09"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107365">
    <w:abstractNumId w:val="3"/>
  </w:num>
  <w:num w:numId="2" w16cid:durableId="581259507">
    <w:abstractNumId w:val="4"/>
  </w:num>
  <w:num w:numId="3" w16cid:durableId="669404039">
    <w:abstractNumId w:val="1"/>
  </w:num>
  <w:num w:numId="4" w16cid:durableId="1234506561">
    <w:abstractNumId w:val="0"/>
  </w:num>
  <w:num w:numId="5" w16cid:durableId="1901742991">
    <w:abstractNumId w:val="2"/>
  </w:num>
  <w:num w:numId="6" w16cid:durableId="9860147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20BA"/>
    <w:rsid w:val="002C3700"/>
    <w:rsid w:val="002C693D"/>
    <w:rsid w:val="002C73F4"/>
    <w:rsid w:val="002D30A7"/>
    <w:rsid w:val="002E7BE2"/>
    <w:rsid w:val="00301611"/>
    <w:rsid w:val="00302292"/>
    <w:rsid w:val="003069B5"/>
    <w:rsid w:val="00306DA7"/>
    <w:rsid w:val="00307CDB"/>
    <w:rsid w:val="00314849"/>
    <w:rsid w:val="00360085"/>
    <w:rsid w:val="00361BBD"/>
    <w:rsid w:val="00372502"/>
    <w:rsid w:val="00380121"/>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B3B70"/>
    <w:rsid w:val="006D261F"/>
    <w:rsid w:val="006F759A"/>
    <w:rsid w:val="007006B9"/>
    <w:rsid w:val="007017A9"/>
    <w:rsid w:val="007106F6"/>
    <w:rsid w:val="007368A2"/>
    <w:rsid w:val="00750E24"/>
    <w:rsid w:val="00762C0B"/>
    <w:rsid w:val="00765F40"/>
    <w:rsid w:val="00766A76"/>
    <w:rsid w:val="007A1AEF"/>
    <w:rsid w:val="007A770B"/>
    <w:rsid w:val="007D6D9D"/>
    <w:rsid w:val="007E655E"/>
    <w:rsid w:val="007E6A66"/>
    <w:rsid w:val="007E716D"/>
    <w:rsid w:val="007F4948"/>
    <w:rsid w:val="00812425"/>
    <w:rsid w:val="0081569B"/>
    <w:rsid w:val="00822EAC"/>
    <w:rsid w:val="0086728C"/>
    <w:rsid w:val="008A326F"/>
    <w:rsid w:val="008B5C6C"/>
    <w:rsid w:val="008F41C7"/>
    <w:rsid w:val="00942731"/>
    <w:rsid w:val="00943EB9"/>
    <w:rsid w:val="0096335E"/>
    <w:rsid w:val="00997349"/>
    <w:rsid w:val="009A70E3"/>
    <w:rsid w:val="009D73CD"/>
    <w:rsid w:val="009F5E84"/>
    <w:rsid w:val="009F6554"/>
    <w:rsid w:val="00A343E3"/>
    <w:rsid w:val="00A36329"/>
    <w:rsid w:val="00A71279"/>
    <w:rsid w:val="00AB2BCC"/>
    <w:rsid w:val="00AB3448"/>
    <w:rsid w:val="00AC7CBD"/>
    <w:rsid w:val="00AE1E9C"/>
    <w:rsid w:val="00AE2862"/>
    <w:rsid w:val="00AE387B"/>
    <w:rsid w:val="00AF178C"/>
    <w:rsid w:val="00B007AD"/>
    <w:rsid w:val="00B057E2"/>
    <w:rsid w:val="00B241B6"/>
    <w:rsid w:val="00B25240"/>
    <w:rsid w:val="00B41001"/>
    <w:rsid w:val="00B63555"/>
    <w:rsid w:val="00B674AF"/>
    <w:rsid w:val="00BC34CC"/>
    <w:rsid w:val="00BD3FAC"/>
    <w:rsid w:val="00BE7B4C"/>
    <w:rsid w:val="00C133E7"/>
    <w:rsid w:val="00C20FA8"/>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1133F"/>
    <w:rsid w:val="00F5431A"/>
    <w:rsid w:val="00F6187B"/>
    <w:rsid w:val="00F64252"/>
    <w:rsid w:val="00F77802"/>
    <w:rsid w:val="00F803FE"/>
    <w:rsid w:val="00F817F4"/>
    <w:rsid w:val="00F841D1"/>
    <w:rsid w:val="00F9233C"/>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1625E4"/>
  <w15:docId w15:val="{ADE1F4AD-7761-40F5-8F6A-4E77EBE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XIOO\Downloads\Penelitian%20Tahongai%202023\olah%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151647710704"/>
          <c:y val="8.2278357739219252E-2"/>
          <c:w val="0.72627624671916013"/>
          <c:h val="0.67374173228346457"/>
        </c:manualLayout>
      </c:layout>
      <c:scatterChart>
        <c:scatterStyle val="smoothMarker"/>
        <c:varyColors val="0"/>
        <c:ser>
          <c:idx val="0"/>
          <c:order val="0"/>
          <c:spPr>
            <a:ln w="12700">
              <a:solidFill>
                <a:schemeClr val="tx1"/>
              </a:solidFill>
            </a:ln>
          </c:spPr>
          <c:marker>
            <c:symbol val="none"/>
          </c:marker>
          <c:dPt>
            <c:idx val="3"/>
            <c:marker>
              <c:symbol val="diamond"/>
              <c:size val="3"/>
              <c:spPr>
                <a:solidFill>
                  <a:schemeClr val="tx1"/>
                </a:solidFill>
              </c:spPr>
            </c:marker>
            <c:bubble3D val="0"/>
            <c:extLst>
              <c:ext xmlns:c16="http://schemas.microsoft.com/office/drawing/2014/chart" uri="{C3380CC4-5D6E-409C-BE32-E72D297353CC}">
                <c16:uniqueId val="{00000000-9568-476F-B324-19FC4EA36A08}"/>
              </c:ext>
            </c:extLst>
          </c:dPt>
          <c:dLbls>
            <c:dLbl>
              <c:idx val="3"/>
              <c:layout>
                <c:manualLayout>
                  <c:x val="-1.9257801108194809E-2"/>
                  <c:y val="-3.9324934383202101E-2"/>
                </c:manualLayout>
              </c:layout>
              <c:tx>
                <c:rich>
                  <a:bodyPr/>
                  <a:lstStyle/>
                  <a:p>
                    <a:r>
                      <a:rPr lang="en-US" sz="800">
                        <a:latin typeface="Tw Cen MT" pitchFamily="34" charset="0"/>
                        <a:cs typeface="Times New Roman" pitchFamily="18" charset="0"/>
                      </a:rPr>
                      <a:t>515</a:t>
                    </a:r>
                    <a:r>
                      <a:rPr lang="en-US" sz="800" baseline="0">
                        <a:latin typeface="Tw Cen MT" pitchFamily="34" charset="0"/>
                        <a:cs typeface="Times New Roman" pitchFamily="18" charset="0"/>
                      </a:rPr>
                      <a:t> nm</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568-476F-B324-19FC4EA36A08}"/>
                </c:ext>
              </c:extLst>
            </c:dLbl>
            <c:spPr>
              <a:noFill/>
              <a:ln>
                <a:noFill/>
              </a:ln>
              <a:effectLst/>
            </c:spPr>
            <c:txPr>
              <a:bodyPr/>
              <a:lstStyle/>
              <a:p>
                <a:pPr>
                  <a:defRPr sz="800">
                    <a:latin typeface="Tw Cen MT" pitchFamily="34" charset="0"/>
                    <a:cs typeface="Times New Roman"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Sheet3!$B$4:$B$10</c:f>
              <c:numCache>
                <c:formatCode>General</c:formatCode>
                <c:ptCount val="7"/>
                <c:pt idx="0">
                  <c:v>510</c:v>
                </c:pt>
                <c:pt idx="1">
                  <c:v>511</c:v>
                </c:pt>
                <c:pt idx="2">
                  <c:v>512</c:v>
                </c:pt>
                <c:pt idx="3">
                  <c:v>515</c:v>
                </c:pt>
                <c:pt idx="4">
                  <c:v>518</c:v>
                </c:pt>
                <c:pt idx="5">
                  <c:v>519</c:v>
                </c:pt>
                <c:pt idx="6">
                  <c:v>520</c:v>
                </c:pt>
              </c:numCache>
            </c:numRef>
          </c:xVal>
          <c:yVal>
            <c:numRef>
              <c:f>Sheet3!$C$4:$C$10</c:f>
              <c:numCache>
                <c:formatCode>General</c:formatCode>
                <c:ptCount val="7"/>
                <c:pt idx="0">
                  <c:v>0.41499999999999998</c:v>
                </c:pt>
                <c:pt idx="1">
                  <c:v>0.41699999999999998</c:v>
                </c:pt>
                <c:pt idx="2">
                  <c:v>0.41799999999999998</c:v>
                </c:pt>
                <c:pt idx="3">
                  <c:v>0.42299999999999999</c:v>
                </c:pt>
                <c:pt idx="4">
                  <c:v>0.42</c:v>
                </c:pt>
                <c:pt idx="5">
                  <c:v>0.41799999999999998</c:v>
                </c:pt>
                <c:pt idx="6">
                  <c:v>0.41699999999999998</c:v>
                </c:pt>
              </c:numCache>
            </c:numRef>
          </c:yVal>
          <c:smooth val="1"/>
          <c:extLst>
            <c:ext xmlns:c16="http://schemas.microsoft.com/office/drawing/2014/chart" uri="{C3380CC4-5D6E-409C-BE32-E72D297353CC}">
              <c16:uniqueId val="{00000001-9568-476F-B324-19FC4EA36A08}"/>
            </c:ext>
          </c:extLst>
        </c:ser>
        <c:dLbls>
          <c:showLegendKey val="0"/>
          <c:showVal val="0"/>
          <c:showCatName val="0"/>
          <c:showSerName val="0"/>
          <c:showPercent val="0"/>
          <c:showBubbleSize val="0"/>
        </c:dLbls>
        <c:axId val="169591936"/>
        <c:axId val="169592512"/>
      </c:scatterChart>
      <c:valAx>
        <c:axId val="169591936"/>
        <c:scaling>
          <c:orientation val="minMax"/>
          <c:max val="520"/>
          <c:min val="510"/>
        </c:scaling>
        <c:delete val="0"/>
        <c:axPos val="b"/>
        <c:title>
          <c:tx>
            <c:rich>
              <a:bodyPr/>
              <a:lstStyle/>
              <a:p>
                <a:pPr>
                  <a:defRPr b="0">
                    <a:latin typeface="Times New Roman" pitchFamily="18" charset="0"/>
                    <a:cs typeface="Times New Roman" pitchFamily="18" charset="0"/>
                  </a:defRPr>
                </a:pPr>
                <a:r>
                  <a:rPr lang="en-US" b="0">
                    <a:latin typeface="Tw Cen MT" pitchFamily="34" charset="0"/>
                    <a:cs typeface="Times New Roman" pitchFamily="18" charset="0"/>
                  </a:rPr>
                  <a:t>Panjang Gelombang (nm)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169592512"/>
        <c:crosses val="autoZero"/>
        <c:crossBetween val="midCat"/>
      </c:valAx>
      <c:valAx>
        <c:axId val="169592512"/>
        <c:scaling>
          <c:orientation val="minMax"/>
          <c:max val="0.43000000000000005"/>
          <c:min val="0.41000000000000003"/>
        </c:scaling>
        <c:delete val="0"/>
        <c:axPos val="l"/>
        <c:title>
          <c:tx>
            <c:rich>
              <a:bodyPr rot="-5400000" vert="horz"/>
              <a:lstStyle/>
              <a:p>
                <a:pPr>
                  <a:defRPr b="0">
                    <a:latin typeface="Times New Roman" pitchFamily="18" charset="0"/>
                    <a:cs typeface="Times New Roman" pitchFamily="18" charset="0"/>
                  </a:defRPr>
                </a:pPr>
                <a:r>
                  <a:rPr lang="en-US" b="0">
                    <a:latin typeface="Tw Cen MT" pitchFamily="34" charset="0"/>
                    <a:cs typeface="Times New Roman" pitchFamily="18" charset="0"/>
                  </a:rPr>
                  <a:t>Absorbansi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169591936"/>
        <c:crosses val="autoZero"/>
        <c:crossBetween val="midCat"/>
        <c:majorUnit val="1.0000000000000002E-2"/>
      </c:valAx>
      <c:spPr>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'Vitamin C'!$B$5:$B$9</c:f>
              <c:numCache>
                <c:formatCode>General</c:formatCode>
                <c:ptCount val="5"/>
                <c:pt idx="0">
                  <c:v>30</c:v>
                </c:pt>
                <c:pt idx="1">
                  <c:v>60</c:v>
                </c:pt>
                <c:pt idx="2">
                  <c:v>90</c:v>
                </c:pt>
                <c:pt idx="3">
                  <c:v>120</c:v>
                </c:pt>
                <c:pt idx="4">
                  <c:v>150</c:v>
                </c:pt>
              </c:numCache>
            </c:numRef>
          </c:xVal>
          <c:yVal>
            <c:numRef>
              <c:f>'Vitamin C'!$D$5:$D$9</c:f>
              <c:numCache>
                <c:formatCode>General</c:formatCode>
                <c:ptCount val="5"/>
                <c:pt idx="0">
                  <c:v>76.783691959229898</c:v>
                </c:pt>
                <c:pt idx="1">
                  <c:v>79.614949037372597</c:v>
                </c:pt>
                <c:pt idx="2">
                  <c:v>83.012457531143824</c:v>
                </c:pt>
                <c:pt idx="3">
                  <c:v>85.390713476783688</c:v>
                </c:pt>
                <c:pt idx="4">
                  <c:v>89.920724801812014</c:v>
                </c:pt>
              </c:numCache>
            </c:numRef>
          </c:yVal>
          <c:smooth val="1"/>
          <c:extLst>
            <c:ext xmlns:c16="http://schemas.microsoft.com/office/drawing/2014/chart" uri="{C3380CC4-5D6E-409C-BE32-E72D297353CC}">
              <c16:uniqueId val="{00000001-5B8E-4069-9722-637D1EDCA477}"/>
            </c:ext>
          </c:extLst>
        </c:ser>
        <c:dLbls>
          <c:showLegendKey val="0"/>
          <c:showVal val="0"/>
          <c:showCatName val="0"/>
          <c:showSerName val="0"/>
          <c:showPercent val="0"/>
          <c:showBubbleSize val="0"/>
        </c:dLbls>
        <c:axId val="169597120"/>
        <c:axId val="169597696"/>
      </c:scatterChart>
      <c:valAx>
        <c:axId val="169597120"/>
        <c:scaling>
          <c:orientation val="minMax"/>
        </c:scaling>
        <c:delete val="0"/>
        <c:axPos val="b"/>
        <c:title>
          <c:tx>
            <c:rich>
              <a:bodyPr/>
              <a:lstStyle/>
              <a:p>
                <a:pPr>
                  <a:defRPr b="0">
                    <a:latin typeface="Tw Cen MT Condensed" pitchFamily="34" charset="0"/>
                  </a:defRPr>
                </a:pPr>
                <a:r>
                  <a:rPr lang="en-US" b="0">
                    <a:latin typeface="Tw Cen MT Condensed" pitchFamily="34" charset="0"/>
                  </a:rPr>
                  <a:t>Konsentrasi</a:t>
                </a:r>
                <a:r>
                  <a:rPr lang="en-US" b="0" baseline="0">
                    <a:latin typeface="Tw Cen MT Condensed" pitchFamily="34" charset="0"/>
                  </a:rPr>
                  <a:t> (ppm)</a:t>
                </a:r>
                <a:endParaRPr lang="en-US" b="0">
                  <a:latin typeface="Tw Cen MT Condensed"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169597696"/>
        <c:crosses val="autoZero"/>
        <c:crossBetween val="midCat"/>
      </c:valAx>
      <c:valAx>
        <c:axId val="169597696"/>
        <c:scaling>
          <c:orientation val="minMax"/>
          <c:max val="100"/>
          <c:min val="70"/>
        </c:scaling>
        <c:delete val="0"/>
        <c:axPos val="l"/>
        <c:title>
          <c:tx>
            <c:rich>
              <a:bodyPr rot="-5400000" vert="horz"/>
              <a:lstStyle/>
              <a:p>
                <a:pPr>
                  <a:defRPr b="0">
                    <a:latin typeface="Tw Cen MT" pitchFamily="34" charset="0"/>
                  </a:defRPr>
                </a:pPr>
                <a:r>
                  <a:rPr lang="en-US" b="0">
                    <a:latin typeface="Tw Cen MT" pitchFamily="34" charset="0"/>
                  </a:rPr>
                  <a:t>Inhibisi (%)</a:t>
                </a: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169597120"/>
        <c:crosses val="autoZero"/>
        <c:crossBetween val="midCat"/>
        <c:majorUnit val="10"/>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8431029454652"/>
          <c:y val="7.2512815092744279E-2"/>
          <c:w val="0.70406969962088073"/>
          <c:h val="0.66111081752364842"/>
        </c:manualLayout>
      </c:layout>
      <c:scatterChart>
        <c:scatterStyle val="smoothMarker"/>
        <c:varyColors val="0"/>
        <c:ser>
          <c:idx val="0"/>
          <c:order val="0"/>
          <c:tx>
            <c:strRef>
              <c:f>'Vitamin C'!$K$17</c:f>
              <c:strCache>
                <c:ptCount val="1"/>
                <c:pt idx="0">
                  <c:v>Probit</c:v>
                </c:pt>
              </c:strCache>
            </c:strRef>
          </c:tx>
          <c:trendline>
            <c:trendlineType val="linear"/>
            <c:dispRSqr val="1"/>
            <c:dispEq val="1"/>
            <c:trendlineLbl>
              <c:layout>
                <c:manualLayout>
                  <c:x val="0.2415256758416463"/>
                  <c:y val="0.20281816012667839"/>
                </c:manualLayout>
              </c:layout>
              <c:tx>
                <c:rich>
                  <a:bodyPr/>
                  <a:lstStyle/>
                  <a:p>
                    <a:pPr>
                      <a:defRPr sz="800">
                        <a:latin typeface="Tw Cen MT" pitchFamily="34" charset="0"/>
                      </a:defRPr>
                    </a:pPr>
                    <a:r>
                      <a:rPr lang="en-US" sz="800" baseline="0">
                        <a:latin typeface="Tw Cen MT" pitchFamily="34" charset="0"/>
                      </a:rPr>
                      <a:t>y = 0,7089x + 4,627
</a:t>
                    </a:r>
                    <a:endParaRPr lang="en-US" sz="800">
                      <a:latin typeface="Tw Cen MT" pitchFamily="34" charset="0"/>
                    </a:endParaRPr>
                  </a:p>
                </c:rich>
              </c:tx>
              <c:numFmt formatCode="General" sourceLinked="0"/>
            </c:trendlineLbl>
          </c:trendline>
          <c:xVal>
            <c:numRef>
              <c:f>'Vitamin C'!$J$18:$J$22</c:f>
              <c:numCache>
                <c:formatCode>General</c:formatCode>
                <c:ptCount val="5"/>
                <c:pt idx="0">
                  <c:v>1.4771212547196624</c:v>
                </c:pt>
                <c:pt idx="1">
                  <c:v>1.7781512503836436</c:v>
                </c:pt>
                <c:pt idx="2">
                  <c:v>1.954242509439325</c:v>
                </c:pt>
                <c:pt idx="3">
                  <c:v>2.0791812460476247</c:v>
                </c:pt>
                <c:pt idx="4">
                  <c:v>2.1760912590556813</c:v>
                </c:pt>
              </c:numCache>
            </c:numRef>
          </c:xVal>
          <c:yVal>
            <c:numRef>
              <c:f>'Vitamin C'!$K$18:$K$22</c:f>
              <c:numCache>
                <c:formatCode>General</c:formatCode>
                <c:ptCount val="5"/>
                <c:pt idx="0">
                  <c:v>5.7335107587768972</c:v>
                </c:pt>
                <c:pt idx="1">
                  <c:v>5.8284484711211775</c:v>
                </c:pt>
                <c:pt idx="2">
                  <c:v>5.9504983012457533</c:v>
                </c:pt>
                <c:pt idx="3">
                  <c:v>6.0556285390713471</c:v>
                </c:pt>
                <c:pt idx="4">
                  <c:v>6.2760362400906011</c:v>
                </c:pt>
              </c:numCache>
            </c:numRef>
          </c:yVal>
          <c:smooth val="1"/>
          <c:extLst>
            <c:ext xmlns:c16="http://schemas.microsoft.com/office/drawing/2014/chart" uri="{C3380CC4-5D6E-409C-BE32-E72D297353CC}">
              <c16:uniqueId val="{00000001-E015-4F33-BD6D-E8481F2376FB}"/>
            </c:ext>
          </c:extLst>
        </c:ser>
        <c:dLbls>
          <c:showLegendKey val="0"/>
          <c:showVal val="0"/>
          <c:showCatName val="0"/>
          <c:showSerName val="0"/>
          <c:showPercent val="0"/>
          <c:showBubbleSize val="0"/>
        </c:dLbls>
        <c:axId val="169594816"/>
        <c:axId val="232583104"/>
      </c:scatterChart>
      <c:valAx>
        <c:axId val="169594816"/>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32692731116943713"/>
              <c:y val="0.86638640807482969"/>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32583104"/>
        <c:crosses val="autoZero"/>
        <c:crossBetween val="midCat"/>
      </c:valAx>
      <c:valAx>
        <c:axId val="232583104"/>
        <c:scaling>
          <c:orientation val="minMax"/>
          <c:max val="6.5"/>
          <c:min val="5"/>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2.692548848060659E-2"/>
              <c:y val="0.27800084553189242"/>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169594816"/>
        <c:crosses val="autoZero"/>
        <c:crossBetween val="midCat"/>
        <c:minorUnit val="0.5"/>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'Daun Tahongai'!$B$5:$B$9</c:f>
              <c:numCache>
                <c:formatCode>General</c:formatCode>
                <c:ptCount val="5"/>
                <c:pt idx="0">
                  <c:v>30</c:v>
                </c:pt>
                <c:pt idx="1">
                  <c:v>60</c:v>
                </c:pt>
                <c:pt idx="2">
                  <c:v>90</c:v>
                </c:pt>
                <c:pt idx="3">
                  <c:v>120</c:v>
                </c:pt>
                <c:pt idx="4">
                  <c:v>150</c:v>
                </c:pt>
              </c:numCache>
            </c:numRef>
          </c:xVal>
          <c:yVal>
            <c:numRef>
              <c:f>'Daun Tahongai'!$D$5:$D$9</c:f>
              <c:numCache>
                <c:formatCode>General</c:formatCode>
                <c:ptCount val="5"/>
                <c:pt idx="0">
                  <c:v>25.254813137032841</c:v>
                </c:pt>
                <c:pt idx="1">
                  <c:v>34.314835787089471</c:v>
                </c:pt>
                <c:pt idx="2">
                  <c:v>40.090600226500563</c:v>
                </c:pt>
                <c:pt idx="3">
                  <c:v>46.772366930917329</c:v>
                </c:pt>
                <c:pt idx="4">
                  <c:v>53.567383918459797</c:v>
                </c:pt>
              </c:numCache>
            </c:numRef>
          </c:yVal>
          <c:smooth val="1"/>
          <c:extLst>
            <c:ext xmlns:c16="http://schemas.microsoft.com/office/drawing/2014/chart" uri="{C3380CC4-5D6E-409C-BE32-E72D297353CC}">
              <c16:uniqueId val="{00000001-C69D-4F3C-83D5-3751CF0D5B5A}"/>
            </c:ext>
          </c:extLst>
        </c:ser>
        <c:dLbls>
          <c:showLegendKey val="0"/>
          <c:showVal val="0"/>
          <c:showCatName val="0"/>
          <c:showSerName val="0"/>
          <c:showPercent val="0"/>
          <c:showBubbleSize val="0"/>
        </c:dLbls>
        <c:axId val="231095616"/>
        <c:axId val="282591808"/>
      </c:scatterChart>
      <c:valAx>
        <c:axId val="231095616"/>
        <c:scaling>
          <c:orientation val="minMax"/>
        </c:scaling>
        <c:delete val="0"/>
        <c:axPos val="b"/>
        <c:title>
          <c:tx>
            <c:rich>
              <a:bodyPr/>
              <a:lstStyle/>
              <a:p>
                <a:pPr>
                  <a:defRPr b="0">
                    <a:latin typeface="Tw Cen MT" pitchFamily="34" charset="0"/>
                    <a:cs typeface="Times New Roman" pitchFamily="18" charset="0"/>
                  </a:defRPr>
                </a:pPr>
                <a:r>
                  <a:rPr lang="en-US" b="0">
                    <a:latin typeface="Tw Cen MT" pitchFamily="34" charset="0"/>
                    <a:cs typeface="Times New Roman" pitchFamily="18" charset="0"/>
                  </a:rPr>
                  <a:t>Konsentrasi (ppm)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282591808"/>
        <c:crosses val="autoZero"/>
        <c:crossBetween val="midCat"/>
      </c:valAx>
      <c:valAx>
        <c:axId val="282591808"/>
        <c:scaling>
          <c:orientation val="minMax"/>
        </c:scaling>
        <c:delete val="0"/>
        <c:axPos val="l"/>
        <c:title>
          <c:tx>
            <c:rich>
              <a:bodyPr rot="-5400000" vert="horz"/>
              <a:lstStyle/>
              <a:p>
                <a:pPr>
                  <a:defRPr b="0">
                    <a:latin typeface="Tw Cen MT" pitchFamily="34" charset="0"/>
                    <a:cs typeface="Times New Roman" pitchFamily="18" charset="0"/>
                  </a:defRPr>
                </a:pPr>
                <a:r>
                  <a:rPr lang="en-US" b="0">
                    <a:latin typeface="Tw Cen MT" pitchFamily="34" charset="0"/>
                    <a:cs typeface="Times New Roman" pitchFamily="18" charset="0"/>
                  </a:rPr>
                  <a:t>Inhibisi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231095616"/>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2031059627939"/>
          <c:y val="8.5722374590816608E-2"/>
          <c:w val="0.72427888199887258"/>
          <c:h val="0.67873109043187785"/>
        </c:manualLayout>
      </c:layout>
      <c:scatterChart>
        <c:scatterStyle val="smoothMarker"/>
        <c:varyColors val="0"/>
        <c:ser>
          <c:idx val="0"/>
          <c:order val="0"/>
          <c:tx>
            <c:strRef>
              <c:f>'Daun Tahongai'!$K$17</c:f>
              <c:strCache>
                <c:ptCount val="1"/>
                <c:pt idx="0">
                  <c:v>Probit</c:v>
                </c:pt>
              </c:strCache>
            </c:strRef>
          </c:tx>
          <c:trendline>
            <c:trendlineType val="linear"/>
            <c:dispRSqr val="1"/>
            <c:dispEq val="1"/>
            <c:trendlineLbl>
              <c:layout>
                <c:manualLayout>
                  <c:x val="-1.0962504686914136E-2"/>
                  <c:y val="-5.7224846894138237E-3"/>
                </c:manualLayout>
              </c:layout>
              <c:tx>
                <c:rich>
                  <a:bodyPr/>
                  <a:lstStyle/>
                  <a:p>
                    <a:pPr>
                      <a:defRPr sz="800">
                        <a:latin typeface="Tw Cen MT" pitchFamily="34" charset="0"/>
                      </a:defRPr>
                    </a:pPr>
                    <a:r>
                      <a:rPr lang="en-US" sz="800" baseline="0">
                        <a:latin typeface="Tw Cen MT" pitchFamily="34" charset="0"/>
                      </a:rPr>
                      <a:t>y = 1,0393x + 2,7711
</a:t>
                    </a:r>
                    <a:endParaRPr lang="en-US" sz="800">
                      <a:latin typeface="Tw Cen MT" pitchFamily="34" charset="0"/>
                    </a:endParaRPr>
                  </a:p>
                </c:rich>
              </c:tx>
              <c:numFmt formatCode="General" sourceLinked="0"/>
            </c:trendlineLbl>
          </c:trendline>
          <c:xVal>
            <c:numRef>
              <c:f>'Daun Tahongai'!$J$18:$J$22</c:f>
              <c:numCache>
                <c:formatCode>General</c:formatCode>
                <c:ptCount val="5"/>
                <c:pt idx="0">
                  <c:v>1.4771212547196624</c:v>
                </c:pt>
                <c:pt idx="1">
                  <c:v>1.7781512503836436</c:v>
                </c:pt>
                <c:pt idx="2">
                  <c:v>1.954242509439325</c:v>
                </c:pt>
                <c:pt idx="3">
                  <c:v>2.0791812460476247</c:v>
                </c:pt>
                <c:pt idx="4">
                  <c:v>2.1760912590556813</c:v>
                </c:pt>
              </c:numCache>
            </c:numRef>
          </c:xVal>
          <c:yVal>
            <c:numRef>
              <c:f>'Daun Tahongai'!$K$18:$K$22</c:f>
              <c:numCache>
                <c:formatCode>General</c:formatCode>
                <c:ptCount val="5"/>
                <c:pt idx="0">
                  <c:v>4.3376443941109857</c:v>
                </c:pt>
                <c:pt idx="1">
                  <c:v>4.5962967157417891</c:v>
                </c:pt>
                <c:pt idx="2">
                  <c:v>4.7518120045300112</c:v>
                </c:pt>
                <c:pt idx="3">
                  <c:v>4.915447338618347</c:v>
                </c:pt>
                <c:pt idx="4">
                  <c:v>5.0913476783691953</c:v>
                </c:pt>
              </c:numCache>
            </c:numRef>
          </c:yVal>
          <c:smooth val="1"/>
          <c:extLst>
            <c:ext xmlns:c16="http://schemas.microsoft.com/office/drawing/2014/chart" uri="{C3380CC4-5D6E-409C-BE32-E72D297353CC}">
              <c16:uniqueId val="{00000001-5429-48A7-BF57-F2B3659FA57B}"/>
            </c:ext>
          </c:extLst>
        </c:ser>
        <c:dLbls>
          <c:showLegendKey val="0"/>
          <c:showVal val="0"/>
          <c:showCatName val="0"/>
          <c:showSerName val="0"/>
          <c:showPercent val="0"/>
          <c:showBubbleSize val="0"/>
        </c:dLbls>
        <c:axId val="234779712"/>
        <c:axId val="282594112"/>
      </c:scatterChart>
      <c:valAx>
        <c:axId val="234779712"/>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29903147787819823"/>
              <c:y val="0.86893772893772891"/>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82594112"/>
        <c:crosses val="autoZero"/>
        <c:crossBetween val="midCat"/>
      </c:valAx>
      <c:valAx>
        <c:axId val="282594112"/>
        <c:scaling>
          <c:orientation val="minMax"/>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3.2112170189252651E-2"/>
              <c:y val="0.31063363708749892"/>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34779712"/>
        <c:crosses val="autoZero"/>
        <c:crossBetween val="midCat"/>
        <c:majorUnit val="0.2"/>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7462817147858"/>
          <c:y val="8.0567220764071162E-2"/>
          <c:w val="0.76339810555858723"/>
          <c:h val="0.70528142315543896"/>
        </c:manualLayout>
      </c:layout>
      <c:scatterChart>
        <c:scatterStyle val="smoothMarker"/>
        <c:varyColors val="0"/>
        <c:ser>
          <c:idx val="0"/>
          <c:order val="0"/>
          <c:tx>
            <c:v>Infusa Daun Tahongai</c:v>
          </c:tx>
          <c:xVal>
            <c:numRef>
              <c:f>Sheet2!$B$15:$B$19</c:f>
              <c:numCache>
                <c:formatCode>General</c:formatCode>
                <c:ptCount val="5"/>
                <c:pt idx="0">
                  <c:v>30</c:v>
                </c:pt>
                <c:pt idx="1">
                  <c:v>60</c:v>
                </c:pt>
                <c:pt idx="2">
                  <c:v>90</c:v>
                </c:pt>
                <c:pt idx="3">
                  <c:v>120</c:v>
                </c:pt>
                <c:pt idx="4">
                  <c:v>150</c:v>
                </c:pt>
              </c:numCache>
            </c:numRef>
          </c:xVal>
          <c:yVal>
            <c:numRef>
              <c:f>Sheet2!$D$15:$D$19</c:f>
              <c:numCache>
                <c:formatCode>0.000</c:formatCode>
                <c:ptCount val="5"/>
                <c:pt idx="0">
                  <c:v>25.254813137032841</c:v>
                </c:pt>
                <c:pt idx="1">
                  <c:v>34.314835787089471</c:v>
                </c:pt>
                <c:pt idx="2">
                  <c:v>40.090600226500563</c:v>
                </c:pt>
                <c:pt idx="3">
                  <c:v>46.772366930917329</c:v>
                </c:pt>
                <c:pt idx="4">
                  <c:v>53.567383918459797</c:v>
                </c:pt>
              </c:numCache>
            </c:numRef>
          </c:yVal>
          <c:smooth val="1"/>
          <c:extLst>
            <c:ext xmlns:c16="http://schemas.microsoft.com/office/drawing/2014/chart" uri="{C3380CC4-5D6E-409C-BE32-E72D297353CC}">
              <c16:uniqueId val="{00000000-F149-423F-B881-8EB19F8876C7}"/>
            </c:ext>
          </c:extLst>
        </c:ser>
        <c:ser>
          <c:idx val="1"/>
          <c:order val="1"/>
          <c:tx>
            <c:v>Vitamin C</c:v>
          </c:tx>
          <c:xVal>
            <c:numRef>
              <c:f>Sheet2!$B$6:$B$10</c:f>
              <c:numCache>
                <c:formatCode>General</c:formatCode>
                <c:ptCount val="5"/>
                <c:pt idx="0">
                  <c:v>30</c:v>
                </c:pt>
                <c:pt idx="1">
                  <c:v>60</c:v>
                </c:pt>
                <c:pt idx="2">
                  <c:v>90</c:v>
                </c:pt>
                <c:pt idx="3">
                  <c:v>120</c:v>
                </c:pt>
                <c:pt idx="4">
                  <c:v>150</c:v>
                </c:pt>
              </c:numCache>
            </c:numRef>
          </c:xVal>
          <c:yVal>
            <c:numRef>
              <c:f>Sheet2!$D$6:$D$10</c:f>
              <c:numCache>
                <c:formatCode>0.000</c:formatCode>
                <c:ptCount val="5"/>
                <c:pt idx="0">
                  <c:v>76.783691959229898</c:v>
                </c:pt>
                <c:pt idx="1">
                  <c:v>79.614949037372597</c:v>
                </c:pt>
                <c:pt idx="2">
                  <c:v>83.012457531143824</c:v>
                </c:pt>
                <c:pt idx="3">
                  <c:v>85.390713476783688</c:v>
                </c:pt>
                <c:pt idx="4">
                  <c:v>89.920724801812014</c:v>
                </c:pt>
              </c:numCache>
            </c:numRef>
          </c:yVal>
          <c:smooth val="1"/>
          <c:extLst>
            <c:ext xmlns:c16="http://schemas.microsoft.com/office/drawing/2014/chart" uri="{C3380CC4-5D6E-409C-BE32-E72D297353CC}">
              <c16:uniqueId val="{00000001-F149-423F-B881-8EB19F8876C7}"/>
            </c:ext>
          </c:extLst>
        </c:ser>
        <c:dLbls>
          <c:showLegendKey val="0"/>
          <c:showVal val="0"/>
          <c:showCatName val="0"/>
          <c:showSerName val="0"/>
          <c:showPercent val="0"/>
          <c:showBubbleSize val="0"/>
        </c:dLbls>
        <c:axId val="282592960"/>
        <c:axId val="282596992"/>
      </c:scatterChart>
      <c:valAx>
        <c:axId val="282592960"/>
        <c:scaling>
          <c:orientation val="minMax"/>
        </c:scaling>
        <c:delete val="0"/>
        <c:axPos val="b"/>
        <c:title>
          <c:tx>
            <c:rich>
              <a:bodyPr/>
              <a:lstStyle/>
              <a:p>
                <a:pPr>
                  <a:defRPr sz="800">
                    <a:latin typeface="Tw Cen MT" pitchFamily="34" charset="0"/>
                  </a:defRPr>
                </a:pPr>
                <a:r>
                  <a:rPr lang="en-US" sz="800">
                    <a:latin typeface="Tw Cen MT" pitchFamily="34" charset="0"/>
                  </a:rPr>
                  <a:t>Konsentrasi</a:t>
                </a:r>
                <a:r>
                  <a:rPr lang="en-US" sz="800" baseline="0">
                    <a:latin typeface="Tw Cen MT" pitchFamily="34" charset="0"/>
                  </a:rPr>
                  <a:t> (ppm)</a:t>
                </a:r>
                <a:endParaRPr lang="en-US" sz="800">
                  <a:latin typeface="Tw Cen MT"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282596992"/>
        <c:crosses val="autoZero"/>
        <c:crossBetween val="midCat"/>
      </c:valAx>
      <c:valAx>
        <c:axId val="282596992"/>
        <c:scaling>
          <c:orientation val="minMax"/>
          <c:max val="100"/>
          <c:min val="0"/>
        </c:scaling>
        <c:delete val="0"/>
        <c:axPos val="l"/>
        <c:title>
          <c:tx>
            <c:rich>
              <a:bodyPr rot="-5400000" vert="horz"/>
              <a:lstStyle/>
              <a:p>
                <a:pPr>
                  <a:defRPr sz="900">
                    <a:latin typeface="Tw Cen MT" pitchFamily="34" charset="0"/>
                  </a:defRPr>
                </a:pPr>
                <a:r>
                  <a:rPr lang="en-US" sz="900">
                    <a:latin typeface="Tw Cen MT" pitchFamily="34" charset="0"/>
                  </a:rPr>
                  <a:t>% Inhibisi</a:t>
                </a:r>
              </a:p>
            </c:rich>
          </c:tx>
          <c:overlay val="0"/>
        </c:title>
        <c:numFmt formatCode="General" sourceLinked="0"/>
        <c:majorTickMark val="out"/>
        <c:minorTickMark val="none"/>
        <c:tickLblPos val="nextTo"/>
        <c:txPr>
          <a:bodyPr/>
          <a:lstStyle/>
          <a:p>
            <a:pPr>
              <a:defRPr sz="800">
                <a:latin typeface="Tw Cen MT" pitchFamily="34" charset="0"/>
              </a:defRPr>
            </a:pPr>
            <a:endParaRPr lang="en-US"/>
          </a:p>
        </c:txPr>
        <c:crossAx val="282592960"/>
        <c:crosses val="autoZero"/>
        <c:crossBetween val="midCat"/>
        <c:majorUnit val="20"/>
        <c:minorUnit val="2"/>
      </c:valAx>
    </c:plotArea>
    <c:legend>
      <c:legendPos val="r"/>
      <c:layout>
        <c:manualLayout>
          <c:xMode val="edge"/>
          <c:yMode val="edge"/>
          <c:x val="0.64876966321560137"/>
          <c:y val="0.48478771035973445"/>
          <c:w val="0.32936466644551915"/>
          <c:h val="0.21972209356183417"/>
        </c:manualLayout>
      </c:layout>
      <c:overlay val="0"/>
      <c:txPr>
        <a:bodyPr/>
        <a:lstStyle/>
        <a:p>
          <a:pPr>
            <a:defRPr sz="800">
              <a:latin typeface="Tw Cen MT" pitchFamily="34" charset="0"/>
            </a:defRPr>
          </a:pPr>
          <a:endParaRPr lang="en-US"/>
        </a:p>
      </c:txPr>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B3456"/>
    <w:rsid w:val="003D7BD9"/>
    <w:rsid w:val="00637CD0"/>
    <w:rsid w:val="00643590"/>
    <w:rsid w:val="00A85543"/>
    <w:rsid w:val="00C87C49"/>
    <w:rsid w:val="00DF2BBE"/>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F551CDB4-F989-48D2-8F59-B560B916E5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Nurillahi Febria Leswana and nfleswana@gmail.com</dc:creator>
  <cp:lastModifiedBy>Fathul Jannah</cp:lastModifiedBy>
  <cp:revision>2</cp:revision>
  <cp:lastPrinted>2023-05-02T07:00:00Z</cp:lastPrinted>
  <dcterms:created xsi:type="dcterms:W3CDTF">2024-05-17T04:00:00Z</dcterms:created>
  <dcterms:modified xsi:type="dcterms:W3CDTF">2024-05-17T04:00:00Z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