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AA917" w14:textId="4BB4ED49" w:rsidR="00FC4544" w:rsidRPr="00227851" w:rsidRDefault="002A3827" w:rsidP="00227851">
      <w:pPr>
        <w:pStyle w:val="Default"/>
        <w:jc w:val="center"/>
        <w:rPr>
          <w:rFonts w:ascii="Tw Cen MT" w:hAnsi="Tw Cen MT"/>
          <w:bCs/>
          <w:color w:val="auto"/>
          <w:sz w:val="32"/>
          <w:szCs w:val="32"/>
        </w:rPr>
      </w:pPr>
      <w:commentRangeStart w:id="0"/>
      <w:r w:rsidRPr="00227851">
        <w:rPr>
          <w:rFonts w:ascii="Tw Cen MT" w:hAnsi="Tw Cen MT"/>
          <w:bCs/>
          <w:color w:val="auto"/>
          <w:sz w:val="32"/>
          <w:szCs w:val="32"/>
        </w:rPr>
        <w:t xml:space="preserve">Analysis of Differences in Diagnostic Reference Level Based </w:t>
      </w:r>
      <w:r w:rsidR="00A37390" w:rsidRPr="00227851">
        <w:rPr>
          <w:rFonts w:ascii="Tw Cen MT" w:hAnsi="Tw Cen MT"/>
          <w:bCs/>
          <w:color w:val="auto"/>
          <w:sz w:val="32"/>
          <w:szCs w:val="32"/>
        </w:rPr>
        <w:t xml:space="preserve">on </w:t>
      </w:r>
      <w:r w:rsidRPr="00227851">
        <w:rPr>
          <w:rFonts w:ascii="Tw Cen MT" w:hAnsi="Tw Cen MT"/>
          <w:bCs/>
          <w:color w:val="auto"/>
          <w:sz w:val="32"/>
          <w:szCs w:val="32"/>
        </w:rPr>
        <w:t>Size Specific Dose Estimate Between Manual Measurement and Software</w:t>
      </w:r>
      <w:commentRangeEnd w:id="0"/>
      <w:r w:rsidR="00996660">
        <w:rPr>
          <w:rStyle w:val="CommentReference"/>
          <w:rFonts w:ascii="Calibri" w:eastAsiaTheme="minorEastAsia" w:hAnsi="Calibri" w:cs="Calibri"/>
          <w:color w:val="auto"/>
        </w:rPr>
        <w:commentReference w:id="0"/>
      </w:r>
    </w:p>
    <w:p w14:paraId="2D71662A" w14:textId="77777777" w:rsidR="0027621D" w:rsidRPr="00227851" w:rsidRDefault="0027621D" w:rsidP="00227851">
      <w:pPr>
        <w:spacing w:after="0" w:line="240" w:lineRule="auto"/>
        <w:jc w:val="center"/>
        <w:rPr>
          <w:rFonts w:ascii="Tw Cen MT" w:eastAsia="Twentieth Century" w:hAnsi="Tw Cen MT" w:cs="Twentieth Century"/>
          <w:b/>
          <w:sz w:val="32"/>
          <w:szCs w:val="32"/>
        </w:rPr>
      </w:pPr>
    </w:p>
    <w:p w14:paraId="160F13DB" w14:textId="3C9358AE" w:rsidR="00FC4544" w:rsidRPr="00227851" w:rsidRDefault="002A3827" w:rsidP="00227851">
      <w:pPr>
        <w:pStyle w:val="Heading1"/>
        <w:tabs>
          <w:tab w:val="left" w:pos="7938"/>
        </w:tabs>
        <w:spacing w:before="90" w:line="240" w:lineRule="auto"/>
        <w:ind w:right="3"/>
        <w:jc w:val="center"/>
        <w:rPr>
          <w:rFonts w:ascii="Tw Cen MT" w:hAnsi="Tw Cen MT"/>
          <w:b w:val="0"/>
          <w:sz w:val="32"/>
          <w:szCs w:val="32"/>
        </w:rPr>
      </w:pPr>
      <w:bookmarkStart w:id="1" w:name="_heading=h.ku3htxpixa9v" w:colFirst="0" w:colLast="0"/>
      <w:bookmarkEnd w:id="1"/>
      <w:commentRangeStart w:id="2"/>
      <w:r w:rsidRPr="00227851">
        <w:rPr>
          <w:rFonts w:ascii="Tw Cen MT" w:hAnsi="Tw Cen MT"/>
          <w:b w:val="0"/>
          <w:sz w:val="32"/>
          <w:szCs w:val="32"/>
        </w:rPr>
        <w:t xml:space="preserve">Analisis Perbedaan </w:t>
      </w:r>
      <w:r w:rsidRPr="00227851">
        <w:rPr>
          <w:rFonts w:ascii="Tw Cen MT" w:hAnsi="Tw Cen MT"/>
          <w:b w:val="0"/>
          <w:i/>
          <w:sz w:val="32"/>
          <w:szCs w:val="32"/>
        </w:rPr>
        <w:t>Diagnostic Reference Level</w:t>
      </w:r>
      <w:r w:rsidRPr="00227851">
        <w:rPr>
          <w:rFonts w:ascii="Tw Cen MT" w:hAnsi="Tw Cen MT"/>
          <w:b w:val="0"/>
          <w:sz w:val="32"/>
          <w:szCs w:val="32"/>
        </w:rPr>
        <w:t xml:space="preserve"> Berdasarkan </w:t>
      </w:r>
      <w:r w:rsidRPr="00227851">
        <w:rPr>
          <w:rFonts w:ascii="Tw Cen MT" w:hAnsi="Tw Cen MT"/>
          <w:b w:val="0"/>
          <w:i/>
          <w:sz w:val="32"/>
          <w:szCs w:val="32"/>
        </w:rPr>
        <w:t>Size Specific Dose Estimate</w:t>
      </w:r>
      <w:r w:rsidRPr="00227851">
        <w:rPr>
          <w:rFonts w:ascii="Tw Cen MT" w:hAnsi="Tw Cen MT"/>
          <w:b w:val="0"/>
          <w:sz w:val="32"/>
          <w:szCs w:val="32"/>
        </w:rPr>
        <w:t xml:space="preserve"> Antara Pengukuran Manual dan </w:t>
      </w:r>
      <w:r w:rsidRPr="00227851">
        <w:rPr>
          <w:rFonts w:ascii="Tw Cen MT" w:hAnsi="Tw Cen MT"/>
          <w:b w:val="0"/>
          <w:i/>
          <w:sz w:val="32"/>
          <w:szCs w:val="32"/>
        </w:rPr>
        <w:t>Software</w:t>
      </w:r>
      <w:commentRangeEnd w:id="2"/>
      <w:r w:rsidR="00996660">
        <w:rPr>
          <w:rStyle w:val="CommentReference"/>
          <w:b w:val="0"/>
        </w:rPr>
        <w:commentReference w:id="2"/>
      </w:r>
    </w:p>
    <w:p w14:paraId="4184BDE4" w14:textId="77777777" w:rsidR="0027621D" w:rsidRPr="00227851" w:rsidRDefault="0027621D" w:rsidP="00227851">
      <w:pPr>
        <w:spacing w:after="0" w:line="240" w:lineRule="auto"/>
        <w:jc w:val="both"/>
        <w:rPr>
          <w:rFonts w:ascii="Tw Cen MT" w:hAnsi="Tw Cen MT" w:cs="Times New Roman"/>
          <w:b/>
          <w:bCs/>
          <w:iCs/>
          <w:sz w:val="32"/>
          <w:szCs w:val="32"/>
        </w:rPr>
      </w:pPr>
    </w:p>
    <w:p w14:paraId="781ACE20" w14:textId="71D9CF1D" w:rsidR="004721E3" w:rsidRPr="00227851" w:rsidRDefault="00370DA4" w:rsidP="00227851">
      <w:pPr>
        <w:widowControl w:val="0"/>
        <w:spacing w:after="0" w:line="240" w:lineRule="auto"/>
        <w:ind w:left="7" w:right="-20"/>
        <w:jc w:val="center"/>
        <w:rPr>
          <w:rFonts w:ascii="Tw Cen MT" w:eastAsia="Twentieth Century" w:hAnsi="Tw Cen MT" w:cs="Twentieth Century"/>
          <w:sz w:val="24"/>
          <w:szCs w:val="24"/>
        </w:rPr>
      </w:pPr>
      <w:r w:rsidRPr="00227851">
        <w:rPr>
          <w:rFonts w:ascii="Tw Cen MT" w:eastAsia="Twentieth Century" w:hAnsi="Tw Cen MT" w:cs="Twentieth Century"/>
          <w:sz w:val="24"/>
          <w:szCs w:val="24"/>
        </w:rPr>
        <w:t>Muh. Kasman</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w:t>
      </w:r>
      <w:r w:rsidR="00D95556">
        <w:rPr>
          <w:rFonts w:ascii="Tw Cen MT" w:eastAsia="Twentieth Century" w:hAnsi="Tw Cen MT" w:cs="Twentieth Century"/>
          <w:sz w:val="24"/>
          <w:szCs w:val="24"/>
        </w:rPr>
        <w:t xml:space="preserve"> </w:t>
      </w:r>
      <w:r w:rsidR="00FC4544" w:rsidRPr="00227851">
        <w:rPr>
          <w:rFonts w:ascii="Tw Cen MT" w:eastAsia="Twentieth Century" w:hAnsi="Tw Cen MT" w:cs="Twentieth Century"/>
          <w:sz w:val="24"/>
          <w:szCs w:val="24"/>
        </w:rPr>
        <w:t>Nurbaiti</w:t>
      </w:r>
      <w:r>
        <w:rPr>
          <w:rFonts w:ascii="Tw Cen MT" w:eastAsia="Twentieth Century" w:hAnsi="Tw Cen MT" w:cs="Twentieth Century"/>
          <w:sz w:val="24"/>
          <w:szCs w:val="24"/>
          <w:vertAlign w:val="superscript"/>
        </w:rPr>
        <w:t>2</w:t>
      </w:r>
      <w:r w:rsidR="00611B8B" w:rsidRPr="00227851">
        <w:rPr>
          <w:rFonts w:ascii="Tw Cen MT" w:eastAsia="Twentieth Century" w:hAnsi="Tw Cen MT" w:cs="Twentieth Century"/>
          <w:sz w:val="24"/>
          <w:szCs w:val="24"/>
        </w:rPr>
        <w:t>,</w:t>
      </w:r>
      <w:r w:rsidR="00FC4544" w:rsidRPr="00227851">
        <w:rPr>
          <w:rFonts w:ascii="Tw Cen MT" w:eastAsia="Twentieth Century" w:hAnsi="Tw Cen MT" w:cs="Twentieth Century"/>
          <w:sz w:val="24"/>
          <w:szCs w:val="24"/>
          <w:vertAlign w:val="superscript"/>
        </w:rPr>
        <w:t xml:space="preserve"> </w:t>
      </w:r>
      <w:r w:rsidR="00D95556">
        <w:rPr>
          <w:rFonts w:ascii="Tw Cen MT" w:eastAsia="Twentieth Century" w:hAnsi="Tw Cen MT" w:cs="Twentieth Century"/>
          <w:sz w:val="24"/>
          <w:szCs w:val="24"/>
        </w:rPr>
        <w:t xml:space="preserve"> </w:t>
      </w:r>
      <w:r w:rsidRPr="00227851">
        <w:rPr>
          <w:rFonts w:ascii="Tw Cen MT" w:eastAsia="Twentieth Century" w:hAnsi="Tw Cen MT" w:cs="Twentieth Century"/>
          <w:sz w:val="24"/>
          <w:szCs w:val="24"/>
        </w:rPr>
        <w:t>Nursama Heru</w:t>
      </w:r>
      <w:r w:rsidR="00996625">
        <w:rPr>
          <w:rFonts w:ascii="Tw Cen MT" w:eastAsia="Twentieth Century" w:hAnsi="Tw Cen MT" w:cs="Twentieth Century"/>
          <w:sz w:val="24"/>
          <w:szCs w:val="24"/>
        </w:rPr>
        <w:t xml:space="preserve"> Apriantoro</w:t>
      </w:r>
      <w:r>
        <w:rPr>
          <w:rFonts w:ascii="Tw Cen MT" w:eastAsia="Twentieth Century" w:hAnsi="Tw Cen MT" w:cs="Twentieth Century"/>
          <w:sz w:val="24"/>
          <w:szCs w:val="24"/>
          <w:vertAlign w:val="superscript"/>
        </w:rPr>
        <w:t>3</w:t>
      </w:r>
    </w:p>
    <w:p w14:paraId="37629F48" w14:textId="53ABC279" w:rsidR="004721E3" w:rsidRPr="00227851" w:rsidRDefault="002A3827" w:rsidP="00227851">
      <w:pPr>
        <w:widowControl w:val="0"/>
        <w:spacing w:after="0" w:line="240" w:lineRule="auto"/>
        <w:ind w:left="7" w:right="-20"/>
        <w:jc w:val="center"/>
        <w:rPr>
          <w:rFonts w:ascii="Tw Cen MT" w:eastAsia="Twentieth Century" w:hAnsi="Tw Cen MT" w:cs="Twentieth Century"/>
          <w:sz w:val="20"/>
          <w:szCs w:val="20"/>
        </w:rPr>
      </w:pPr>
      <w:r w:rsidRPr="00227851">
        <w:rPr>
          <w:rFonts w:ascii="Tw Cen MT" w:eastAsia="Twentieth Century" w:hAnsi="Tw Cen MT" w:cs="Twentieth Century"/>
          <w:sz w:val="20"/>
          <w:szCs w:val="20"/>
          <w:vertAlign w:val="superscript"/>
        </w:rPr>
        <w:t>1</w:t>
      </w:r>
      <w:r w:rsidR="00AF291F">
        <w:rPr>
          <w:rFonts w:ascii="Tw Cen MT" w:eastAsia="Twentieth Century" w:hAnsi="Tw Cen MT" w:cs="Twentieth Century"/>
          <w:sz w:val="20"/>
          <w:szCs w:val="20"/>
          <w:vertAlign w:val="superscript"/>
        </w:rPr>
        <w:t>,</w:t>
      </w:r>
      <w:r w:rsidR="004721E3" w:rsidRPr="00227851">
        <w:rPr>
          <w:rFonts w:ascii="Tw Cen MT" w:eastAsia="Twentieth Century" w:hAnsi="Tw Cen MT" w:cs="Twentieth Century"/>
          <w:sz w:val="20"/>
          <w:szCs w:val="20"/>
          <w:vertAlign w:val="superscript"/>
        </w:rPr>
        <w:t>2</w:t>
      </w:r>
      <w:r w:rsidR="00AF291F">
        <w:rPr>
          <w:rFonts w:ascii="Tw Cen MT" w:eastAsia="Twentieth Century" w:hAnsi="Tw Cen MT" w:cs="Twentieth Century"/>
          <w:sz w:val="20"/>
          <w:szCs w:val="20"/>
          <w:vertAlign w:val="superscript"/>
        </w:rPr>
        <w:t>,</w:t>
      </w:r>
      <w:r w:rsidRPr="00227851">
        <w:rPr>
          <w:rFonts w:ascii="Tw Cen MT" w:eastAsia="Twentieth Century" w:hAnsi="Tw Cen MT" w:cs="Twentieth Century"/>
          <w:sz w:val="20"/>
          <w:szCs w:val="20"/>
          <w:vertAlign w:val="superscript"/>
        </w:rPr>
        <w:t>3</w:t>
      </w:r>
      <w:r w:rsidRPr="00227851">
        <w:rPr>
          <w:rFonts w:ascii="Tw Cen MT" w:eastAsia="Twentieth Century" w:hAnsi="Tw Cen MT" w:cs="Twentieth Century"/>
          <w:sz w:val="20"/>
          <w:szCs w:val="20"/>
        </w:rPr>
        <w:t>Politeknik Kesehatan Kemenkes Jakarta II, Jakarta, Indonesia</w:t>
      </w:r>
    </w:p>
    <w:p w14:paraId="23FA8100" w14:textId="14D94232" w:rsidR="007F4948" w:rsidRPr="00227851" w:rsidRDefault="004721E3" w:rsidP="00227851">
      <w:pPr>
        <w:widowControl w:val="0"/>
        <w:spacing w:after="0" w:line="240" w:lineRule="auto"/>
        <w:ind w:right="-20"/>
        <w:jc w:val="center"/>
        <w:rPr>
          <w:rFonts w:ascii="Tw Cen MT" w:eastAsia="Twentieth Century" w:hAnsi="Tw Cen MT" w:cs="Twentieth Century"/>
          <w:sz w:val="20"/>
          <w:szCs w:val="20"/>
        </w:rPr>
      </w:pPr>
      <w:r w:rsidRPr="00227851">
        <w:rPr>
          <w:rFonts w:ascii="Tw Cen MT" w:eastAsia="Twentieth Century" w:hAnsi="Tw Cen MT" w:cs="Twentieth Century"/>
          <w:sz w:val="20"/>
          <w:szCs w:val="20"/>
        </w:rPr>
        <w:t xml:space="preserve">Email </w:t>
      </w:r>
      <w:r w:rsidR="002A3827" w:rsidRPr="00227851">
        <w:rPr>
          <w:rFonts w:ascii="Tw Cen MT" w:eastAsia="Twentieth Century" w:hAnsi="Tw Cen MT" w:cs="Twentieth Century"/>
          <w:sz w:val="20"/>
          <w:szCs w:val="20"/>
        </w:rPr>
        <w:t xml:space="preserve">: </w:t>
      </w:r>
      <w:r w:rsidR="009B575D" w:rsidRPr="00227851">
        <w:rPr>
          <w:rFonts w:ascii="Tw Cen MT" w:eastAsia="Twentieth Century" w:hAnsi="Tw Cen MT" w:cs="Twentieth Century"/>
          <w:sz w:val="20"/>
          <w:szCs w:val="20"/>
        </w:rPr>
        <w:t>nurbaiti@poltekkesjkt2.ac.id</w:t>
      </w:r>
    </w:p>
    <w:p w14:paraId="5C33921F" w14:textId="2062BDBA" w:rsidR="007F4948" w:rsidRPr="00227851" w:rsidRDefault="0027621D" w:rsidP="00227851">
      <w:pPr>
        <w:spacing w:after="0" w:line="240" w:lineRule="auto"/>
        <w:jc w:val="both"/>
        <w:rPr>
          <w:rFonts w:ascii="Tw Cen MT" w:eastAsia="Twentieth Century" w:hAnsi="Tw Cen MT" w:cs="Twentieth Century"/>
        </w:rPr>
      </w:pPr>
      <w:r w:rsidRPr="00227851">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40C013" id="Rectangle 7" o:spid="_x0000_s1026" style="position:absolute;left:0;text-align:left;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227851">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46DF8D"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p>
    <w:p w14:paraId="4179A726" w14:textId="401B73B5" w:rsidR="007F4948" w:rsidRPr="00227851" w:rsidRDefault="0086728C" w:rsidP="00227851">
      <w:pPr>
        <w:spacing w:after="0" w:line="240" w:lineRule="auto"/>
        <w:ind w:left="2399" w:firstLine="719"/>
        <w:jc w:val="both"/>
        <w:rPr>
          <w:rFonts w:ascii="Tw Cen MT" w:eastAsia="Twentieth Century" w:hAnsi="Tw Cen MT" w:cs="Twentieth Century"/>
        </w:rPr>
      </w:pPr>
      <w:r w:rsidRPr="00227851">
        <w:rPr>
          <w:rFonts w:ascii="Tw Cen MT" w:eastAsia="Twentieth Century" w:hAnsi="Tw Cen MT" w:cs="Twentieth Century"/>
          <w:b/>
          <w:i/>
          <w:sz w:val="20"/>
          <w:szCs w:val="20"/>
        </w:rPr>
        <w:t>Abstract</w:t>
      </w:r>
    </w:p>
    <w:p w14:paraId="2971948B" w14:textId="075B3C81" w:rsidR="00A448B7" w:rsidRDefault="00A448B7" w:rsidP="00A448B7">
      <w:pPr>
        <w:widowControl w:val="0"/>
        <w:spacing w:after="0" w:line="240" w:lineRule="auto"/>
        <w:ind w:left="3150" w:right="-19"/>
        <w:jc w:val="both"/>
        <w:rPr>
          <w:rFonts w:ascii="Tw Cen MT" w:eastAsia="Twentieth Century" w:hAnsi="Tw Cen MT" w:cs="Twentieth Century"/>
          <w:noProof/>
          <w:color w:val="000000"/>
          <w:sz w:val="20"/>
          <w:szCs w:val="20"/>
        </w:rPr>
      </w:pPr>
      <w:commentRangeStart w:id="3"/>
      <w:r w:rsidRPr="00A448B7">
        <w:rPr>
          <w:rFonts w:ascii="Tw Cen MT" w:eastAsia="Twentieth Century" w:hAnsi="Tw Cen MT" w:cs="Twentieth Century"/>
          <w:i/>
          <w:noProof/>
          <w:color w:val="000000"/>
          <w:sz w:val="20"/>
          <w:szCs w:val="20"/>
        </w:rPr>
        <w:t xml:space="preserve">Diagnostic </w:t>
      </w:r>
      <w:r w:rsidR="00CD7B93">
        <w:rPr>
          <w:rFonts w:ascii="Tw Cen MT" w:eastAsia="Twentieth Century" w:hAnsi="Tw Cen MT" w:cs="Twentieth Century"/>
          <w:i/>
          <w:noProof/>
          <w:color w:val="000000"/>
          <w:sz w:val="20"/>
          <w:szCs w:val="20"/>
        </w:rPr>
        <w:t>R</w:t>
      </w:r>
      <w:r w:rsidR="003E3A18" w:rsidRPr="00A448B7">
        <w:rPr>
          <w:rFonts w:ascii="Tw Cen MT" w:eastAsia="Twentieth Century" w:hAnsi="Tw Cen MT" w:cs="Twentieth Century"/>
          <w:i/>
          <w:noProof/>
          <w:color w:val="000000"/>
          <w:sz w:val="20"/>
          <w:szCs w:val="20"/>
        </w:rPr>
        <w:t>eference level</w:t>
      </w:r>
      <w:r w:rsidR="003E3A18" w:rsidRPr="00A448B7">
        <w:rPr>
          <w:rFonts w:ascii="Tw Cen MT" w:eastAsia="Twentieth Century" w:hAnsi="Tw Cen MT" w:cs="Twentieth Century"/>
          <w:noProof/>
          <w:color w:val="000000"/>
          <w:sz w:val="20"/>
          <w:szCs w:val="20"/>
        </w:rPr>
        <w:t xml:space="preserve"> </w:t>
      </w:r>
      <w:r w:rsidRPr="00A448B7">
        <w:rPr>
          <w:rFonts w:ascii="Tw Cen MT" w:eastAsia="Twentieth Century" w:hAnsi="Tw Cen MT" w:cs="Twentieth Century"/>
          <w:noProof/>
          <w:color w:val="000000"/>
          <w:sz w:val="20"/>
          <w:szCs w:val="20"/>
        </w:rPr>
        <w:t>(DRL) is one</w:t>
      </w:r>
      <w:r>
        <w:rPr>
          <w:rFonts w:ascii="Tw Cen MT" w:eastAsia="Twentieth Century" w:hAnsi="Tw Cen MT" w:cs="Twentieth Century"/>
          <w:noProof/>
          <w:color w:val="000000"/>
          <w:sz w:val="20"/>
          <w:szCs w:val="20"/>
        </w:rPr>
        <w:t xml:space="preserve"> of the efforts in implementing </w:t>
      </w:r>
      <w:r w:rsidRPr="00A448B7">
        <w:rPr>
          <w:rFonts w:ascii="Tw Cen MT" w:eastAsia="Twentieth Century" w:hAnsi="Tw Cen MT" w:cs="Twentieth Century"/>
          <w:noProof/>
          <w:color w:val="000000"/>
          <w:sz w:val="20"/>
          <w:szCs w:val="20"/>
        </w:rPr>
        <w:t xml:space="preserve">optimization of medical exposure radiation protection </w:t>
      </w:r>
      <w:r>
        <w:rPr>
          <w:rFonts w:ascii="Tw Cen MT" w:eastAsia="Twentieth Century" w:hAnsi="Tw Cen MT" w:cs="Twentieth Century"/>
          <w:noProof/>
          <w:color w:val="000000"/>
          <w:sz w:val="20"/>
          <w:szCs w:val="20"/>
        </w:rPr>
        <w:t xml:space="preserve">and safety in x-ray modalities, </w:t>
      </w:r>
      <w:r w:rsidRPr="00A448B7">
        <w:rPr>
          <w:rFonts w:ascii="Tw Cen MT" w:eastAsia="Twentieth Century" w:hAnsi="Tw Cen MT" w:cs="Twentieth Century"/>
          <w:noProof/>
          <w:color w:val="000000"/>
          <w:sz w:val="20"/>
          <w:szCs w:val="20"/>
        </w:rPr>
        <w:t>CT Scan an</w:t>
      </w:r>
      <w:r>
        <w:rPr>
          <w:rFonts w:ascii="Tw Cen MT" w:eastAsia="Twentieth Century" w:hAnsi="Tw Cen MT" w:cs="Twentieth Century"/>
          <w:noProof/>
          <w:color w:val="000000"/>
          <w:sz w:val="20"/>
          <w:szCs w:val="20"/>
        </w:rPr>
        <w:t xml:space="preserve">d general Radiography. </w:t>
      </w:r>
      <w:r w:rsidR="003E3A18">
        <w:rPr>
          <w:rFonts w:ascii="Tw Cen MT" w:eastAsia="Twentieth Century" w:hAnsi="Tw Cen MT" w:cs="Twentieth Century"/>
          <w:i/>
          <w:noProof/>
          <w:color w:val="000000"/>
          <w:sz w:val="20"/>
          <w:szCs w:val="20"/>
        </w:rPr>
        <w:t>S</w:t>
      </w:r>
      <w:r w:rsidR="003E3A18" w:rsidRPr="00A448B7">
        <w:rPr>
          <w:rFonts w:ascii="Tw Cen MT" w:eastAsia="Twentieth Century" w:hAnsi="Tw Cen MT" w:cs="Twentieth Century"/>
          <w:i/>
          <w:noProof/>
          <w:color w:val="000000"/>
          <w:sz w:val="20"/>
          <w:szCs w:val="20"/>
        </w:rPr>
        <w:t>ize specific dose estimates</w:t>
      </w:r>
      <w:r w:rsidR="003E3A18" w:rsidRPr="00A448B7">
        <w:rPr>
          <w:rFonts w:ascii="Tw Cen MT" w:eastAsia="Twentieth Century" w:hAnsi="Tw Cen MT" w:cs="Twentieth Century"/>
          <w:noProof/>
          <w:color w:val="000000"/>
          <w:sz w:val="20"/>
          <w:szCs w:val="20"/>
        </w:rPr>
        <w:t xml:space="preserve"> </w:t>
      </w:r>
      <w:r w:rsidRPr="00A448B7">
        <w:rPr>
          <w:rFonts w:ascii="Tw Cen MT" w:eastAsia="Twentieth Century" w:hAnsi="Tw Cen MT" w:cs="Twentieth Century"/>
          <w:noProof/>
          <w:color w:val="000000"/>
          <w:sz w:val="20"/>
          <w:szCs w:val="20"/>
        </w:rPr>
        <w:t>(SSDE) is the dose value of an area received by the pa</w:t>
      </w:r>
      <w:r>
        <w:rPr>
          <w:rFonts w:ascii="Tw Cen MT" w:eastAsia="Twentieth Century" w:hAnsi="Tw Cen MT" w:cs="Twentieth Century"/>
          <w:noProof/>
          <w:color w:val="000000"/>
          <w:sz w:val="20"/>
          <w:szCs w:val="20"/>
        </w:rPr>
        <w:t xml:space="preserve">tient on a CT Scan examination. </w:t>
      </w:r>
      <w:r w:rsidRPr="00A448B7">
        <w:rPr>
          <w:rFonts w:ascii="Tw Cen MT" w:eastAsia="Twentieth Century" w:hAnsi="Tw Cen MT" w:cs="Twentieth Century"/>
          <w:noProof/>
          <w:color w:val="000000"/>
          <w:sz w:val="20"/>
          <w:szCs w:val="20"/>
        </w:rPr>
        <w:t xml:space="preserve">Meanwhile, DLPc (DLP correction) is the total dose received by the patient which is obtained from the multiplication of SSDE and </w:t>
      </w:r>
      <w:r w:rsidRPr="00FF7B87">
        <w:rPr>
          <w:rFonts w:ascii="Tw Cen MT" w:eastAsia="Twentieth Century" w:hAnsi="Tw Cen MT" w:cs="Twentieth Century"/>
          <w:i/>
          <w:noProof/>
          <w:color w:val="000000"/>
          <w:sz w:val="20"/>
          <w:szCs w:val="20"/>
        </w:rPr>
        <w:t>Scan Lenght</w:t>
      </w:r>
      <w:r w:rsidRPr="00A448B7">
        <w:rPr>
          <w:rFonts w:ascii="Tw Cen MT" w:eastAsia="Twentieth Century" w:hAnsi="Tw Cen MT" w:cs="Twentieth Century"/>
          <w:noProof/>
          <w:color w:val="000000"/>
          <w:sz w:val="20"/>
          <w:szCs w:val="20"/>
        </w:rPr>
        <w:t>. The purpose of the study is t</w:t>
      </w:r>
      <w:r>
        <w:rPr>
          <w:rFonts w:ascii="Tw Cen MT" w:eastAsia="Twentieth Century" w:hAnsi="Tw Cen MT" w:cs="Twentieth Century"/>
          <w:noProof/>
          <w:color w:val="000000"/>
          <w:sz w:val="20"/>
          <w:szCs w:val="20"/>
        </w:rPr>
        <w:t xml:space="preserve">o analyze the difference of DRL </w:t>
      </w:r>
      <w:r w:rsidRPr="00A448B7">
        <w:rPr>
          <w:rFonts w:ascii="Tw Cen MT" w:eastAsia="Twentieth Century" w:hAnsi="Tw Cen MT" w:cs="Twentieth Century"/>
          <w:noProof/>
          <w:color w:val="000000"/>
          <w:sz w:val="20"/>
          <w:szCs w:val="20"/>
        </w:rPr>
        <w:t>based on SSDE betwee</w:t>
      </w:r>
      <w:r w:rsidR="003E3A18">
        <w:rPr>
          <w:rFonts w:ascii="Tw Cen MT" w:eastAsia="Twentieth Century" w:hAnsi="Tw Cen MT" w:cs="Twentieth Century"/>
          <w:noProof/>
          <w:color w:val="000000"/>
          <w:sz w:val="20"/>
          <w:szCs w:val="20"/>
        </w:rPr>
        <w:t>n manual measurement and using i</w:t>
      </w:r>
      <w:r w:rsidRPr="00A448B7">
        <w:rPr>
          <w:rFonts w:ascii="Tw Cen MT" w:eastAsia="Twentieth Century" w:hAnsi="Tw Cen MT" w:cs="Twentieth Century"/>
          <w:noProof/>
          <w:color w:val="000000"/>
          <w:sz w:val="20"/>
          <w:szCs w:val="20"/>
        </w:rPr>
        <w:t xml:space="preserve">ndoseCT v.20.b </w:t>
      </w:r>
      <w:r w:rsidRPr="00FF7B87">
        <w:rPr>
          <w:rFonts w:ascii="Tw Cen MT" w:eastAsia="Twentieth Century" w:hAnsi="Tw Cen MT" w:cs="Twentieth Century"/>
          <w:i/>
          <w:noProof/>
          <w:color w:val="000000"/>
          <w:sz w:val="20"/>
          <w:szCs w:val="20"/>
        </w:rPr>
        <w:t>software</w:t>
      </w:r>
      <w:r>
        <w:rPr>
          <w:rFonts w:ascii="Tw Cen MT" w:eastAsia="Twentieth Century" w:hAnsi="Tw Cen MT" w:cs="Twentieth Century"/>
          <w:noProof/>
          <w:color w:val="000000"/>
          <w:sz w:val="20"/>
          <w:szCs w:val="20"/>
        </w:rPr>
        <w:t xml:space="preserve">. This research is descriptive </w:t>
      </w:r>
      <w:r w:rsidRPr="00A448B7">
        <w:rPr>
          <w:rFonts w:ascii="Tw Cen MT" w:eastAsia="Twentieth Century" w:hAnsi="Tw Cen MT" w:cs="Twentieth Century"/>
          <w:noProof/>
          <w:color w:val="000000"/>
          <w:sz w:val="20"/>
          <w:szCs w:val="20"/>
        </w:rPr>
        <w:t>quantitative, by collecting DICOM CT Scan imag</w:t>
      </w:r>
      <w:r>
        <w:rPr>
          <w:rFonts w:ascii="Tw Cen MT" w:eastAsia="Twentieth Century" w:hAnsi="Tw Cen MT" w:cs="Twentieth Century"/>
          <w:noProof/>
          <w:color w:val="000000"/>
          <w:sz w:val="20"/>
          <w:szCs w:val="20"/>
        </w:rPr>
        <w:t xml:space="preserve">e data of the head. The results showed that the </w:t>
      </w:r>
      <w:r w:rsidR="003E3A18" w:rsidRPr="00FF7B87">
        <w:rPr>
          <w:rFonts w:ascii="Tw Cen MT" w:eastAsia="Twentieth Century" w:hAnsi="Tw Cen MT" w:cs="Twentieth Century"/>
          <w:i/>
          <w:noProof/>
          <w:color w:val="000000"/>
          <w:sz w:val="20"/>
          <w:szCs w:val="20"/>
        </w:rPr>
        <w:t>diagnostic reference level</w:t>
      </w:r>
      <w:r w:rsidR="003E3A18">
        <w:rPr>
          <w:rFonts w:ascii="Tw Cen MT" w:eastAsia="Twentieth Century" w:hAnsi="Tw Cen MT" w:cs="Twentieth Century"/>
          <w:noProof/>
          <w:color w:val="000000"/>
          <w:sz w:val="20"/>
          <w:szCs w:val="20"/>
        </w:rPr>
        <w:t xml:space="preserve"> </w:t>
      </w:r>
      <w:r>
        <w:rPr>
          <w:rFonts w:ascii="Tw Cen MT" w:eastAsia="Twentieth Century" w:hAnsi="Tw Cen MT" w:cs="Twentieth Century"/>
          <w:noProof/>
          <w:color w:val="000000"/>
          <w:sz w:val="20"/>
          <w:szCs w:val="20"/>
        </w:rPr>
        <w:t xml:space="preserve">(DRL) </w:t>
      </w:r>
      <w:r w:rsidRPr="00A448B7">
        <w:rPr>
          <w:rFonts w:ascii="Tw Cen MT" w:eastAsia="Twentieth Century" w:hAnsi="Tw Cen MT" w:cs="Twentieth Century"/>
          <w:noProof/>
          <w:color w:val="000000"/>
          <w:sz w:val="20"/>
          <w:szCs w:val="20"/>
        </w:rPr>
        <w:t>manual me</w:t>
      </w:r>
      <w:r>
        <w:rPr>
          <w:rFonts w:ascii="Tw Cen MT" w:eastAsia="Twentieth Century" w:hAnsi="Tw Cen MT" w:cs="Twentieth Century"/>
          <w:noProof/>
          <w:color w:val="000000"/>
          <w:sz w:val="20"/>
          <w:szCs w:val="20"/>
        </w:rPr>
        <w:t xml:space="preserve">asurement amounted to 59.62 mGy </w:t>
      </w:r>
      <w:r w:rsidRPr="00A448B7">
        <w:rPr>
          <w:rFonts w:ascii="Tw Cen MT" w:eastAsia="Twentieth Century" w:hAnsi="Tw Cen MT" w:cs="Twentieth Century"/>
          <w:noProof/>
          <w:color w:val="000000"/>
          <w:sz w:val="20"/>
          <w:szCs w:val="20"/>
        </w:rPr>
        <w:t>(SSDE) and 1492.86 mGy.cm (DLPc). Meanwhile,</w:t>
      </w:r>
      <w:r>
        <w:rPr>
          <w:rFonts w:ascii="Tw Cen MT" w:eastAsia="Twentieth Century" w:hAnsi="Tw Cen MT" w:cs="Twentieth Century"/>
          <w:noProof/>
          <w:color w:val="000000"/>
          <w:sz w:val="20"/>
          <w:szCs w:val="20"/>
        </w:rPr>
        <w:t xml:space="preserve"> the </w:t>
      </w:r>
      <w:r w:rsidR="003E3A18" w:rsidRPr="00FF7B87">
        <w:rPr>
          <w:rFonts w:ascii="Tw Cen MT" w:eastAsia="Twentieth Century" w:hAnsi="Tw Cen MT" w:cs="Twentieth Century"/>
          <w:i/>
          <w:noProof/>
          <w:color w:val="000000"/>
          <w:sz w:val="20"/>
          <w:szCs w:val="20"/>
        </w:rPr>
        <w:t xml:space="preserve">diagnostic reference level </w:t>
      </w:r>
      <w:r w:rsidR="003E3A18">
        <w:rPr>
          <w:rFonts w:ascii="Tw Cen MT" w:eastAsia="Twentieth Century" w:hAnsi="Tw Cen MT" w:cs="Twentieth Century"/>
          <w:noProof/>
          <w:color w:val="000000"/>
          <w:sz w:val="20"/>
          <w:szCs w:val="20"/>
        </w:rPr>
        <w:t>measurement using i</w:t>
      </w:r>
      <w:r w:rsidRPr="00A448B7">
        <w:rPr>
          <w:rFonts w:ascii="Tw Cen MT" w:eastAsia="Twentieth Century" w:hAnsi="Tw Cen MT" w:cs="Twentieth Century"/>
          <w:noProof/>
          <w:color w:val="000000"/>
          <w:sz w:val="20"/>
          <w:szCs w:val="20"/>
        </w:rPr>
        <w:t xml:space="preserve">ndoseCT v.20.b </w:t>
      </w:r>
      <w:r w:rsidRPr="00FF7B87">
        <w:rPr>
          <w:rFonts w:ascii="Tw Cen MT" w:eastAsia="Twentieth Century" w:hAnsi="Tw Cen MT" w:cs="Twentieth Century"/>
          <w:i/>
          <w:noProof/>
          <w:color w:val="000000"/>
          <w:sz w:val="20"/>
          <w:szCs w:val="20"/>
        </w:rPr>
        <w:t>software</w:t>
      </w:r>
      <w:r w:rsidRPr="00A448B7">
        <w:rPr>
          <w:rFonts w:ascii="Tw Cen MT" w:eastAsia="Twentieth Century" w:hAnsi="Tw Cen MT" w:cs="Twentieth Century"/>
          <w:noProof/>
          <w:color w:val="000000"/>
          <w:sz w:val="20"/>
          <w:szCs w:val="20"/>
        </w:rPr>
        <w:t xml:space="preserve"> </w:t>
      </w:r>
      <w:r>
        <w:rPr>
          <w:rFonts w:ascii="Tw Cen MT" w:eastAsia="Twentieth Century" w:hAnsi="Tw Cen MT" w:cs="Twentieth Century"/>
          <w:noProof/>
          <w:color w:val="000000"/>
          <w:sz w:val="20"/>
          <w:szCs w:val="20"/>
        </w:rPr>
        <w:t xml:space="preserve">is 66.65 mGy (SSDE) and 1551.56 </w:t>
      </w:r>
      <w:r w:rsidRPr="00A448B7">
        <w:rPr>
          <w:rFonts w:ascii="Tw Cen MT" w:eastAsia="Twentieth Century" w:hAnsi="Tw Cen MT" w:cs="Twentieth Century"/>
          <w:noProof/>
          <w:color w:val="000000"/>
          <w:sz w:val="20"/>
          <w:szCs w:val="20"/>
        </w:rPr>
        <w:t xml:space="preserve">mGy.cm (DLPc). There was no significant difference in the </w:t>
      </w:r>
      <w:r w:rsidR="003E3A18" w:rsidRPr="00FF7B87">
        <w:rPr>
          <w:rFonts w:ascii="Tw Cen MT" w:eastAsia="Twentieth Century" w:hAnsi="Tw Cen MT" w:cs="Twentieth Century"/>
          <w:i/>
          <w:noProof/>
          <w:color w:val="000000"/>
          <w:sz w:val="20"/>
          <w:szCs w:val="20"/>
        </w:rPr>
        <w:t>diagnostic reference level</w:t>
      </w:r>
      <w:r w:rsidR="003E3A18">
        <w:rPr>
          <w:rFonts w:ascii="Tw Cen MT" w:eastAsia="Twentieth Century" w:hAnsi="Tw Cen MT" w:cs="Twentieth Century"/>
          <w:noProof/>
          <w:color w:val="000000"/>
          <w:sz w:val="20"/>
          <w:szCs w:val="20"/>
        </w:rPr>
        <w:t xml:space="preserve"> </w:t>
      </w:r>
      <w:r>
        <w:rPr>
          <w:rFonts w:ascii="Tw Cen MT" w:eastAsia="Twentieth Century" w:hAnsi="Tw Cen MT" w:cs="Twentieth Century"/>
          <w:noProof/>
          <w:color w:val="000000"/>
          <w:sz w:val="20"/>
          <w:szCs w:val="20"/>
        </w:rPr>
        <w:t xml:space="preserve">(DRL) values </w:t>
      </w:r>
      <w:r w:rsidRPr="00A448B7">
        <w:rPr>
          <w:rFonts w:ascii="Tw Cen MT" w:eastAsia="Twentieth Century" w:hAnsi="Tw Cen MT" w:cs="Twentieth Century"/>
          <w:noProof/>
          <w:color w:val="000000"/>
          <w:sz w:val="20"/>
          <w:szCs w:val="20"/>
        </w:rPr>
        <w:t>based on the SSDE of the two methods based on stati</w:t>
      </w:r>
      <w:r>
        <w:rPr>
          <w:rFonts w:ascii="Tw Cen MT" w:eastAsia="Twentieth Century" w:hAnsi="Tw Cen MT" w:cs="Twentieth Century"/>
          <w:noProof/>
          <w:color w:val="000000"/>
          <w:sz w:val="20"/>
          <w:szCs w:val="20"/>
        </w:rPr>
        <w:t xml:space="preserve">stical tests and looking at the </w:t>
      </w:r>
      <w:r w:rsidRPr="00A448B7">
        <w:rPr>
          <w:rFonts w:ascii="Tw Cen MT" w:eastAsia="Twentieth Century" w:hAnsi="Tw Cen MT" w:cs="Twentieth Century"/>
          <w:noProof/>
          <w:color w:val="000000"/>
          <w:sz w:val="20"/>
          <w:szCs w:val="20"/>
        </w:rPr>
        <w:t>distribution of SSDE and DLPc values</w:t>
      </w:r>
      <w:commentRangeEnd w:id="3"/>
      <w:r w:rsidR="00996660">
        <w:rPr>
          <w:rStyle w:val="CommentReference"/>
        </w:rPr>
        <w:commentReference w:id="3"/>
      </w:r>
    </w:p>
    <w:p w14:paraId="012B4273" w14:textId="055C64DA" w:rsidR="007F4948" w:rsidRPr="00A448B7" w:rsidRDefault="0086728C" w:rsidP="00A448B7">
      <w:pPr>
        <w:widowControl w:val="0"/>
        <w:spacing w:after="0" w:line="240" w:lineRule="auto"/>
        <w:ind w:left="3150" w:right="-19"/>
        <w:jc w:val="both"/>
        <w:rPr>
          <w:rFonts w:ascii="Tw Cen MT" w:eastAsia="Twentieth Century" w:hAnsi="Tw Cen MT" w:cs="Twentieth Century"/>
          <w:noProof/>
          <w:color w:val="000000"/>
          <w:sz w:val="20"/>
          <w:szCs w:val="20"/>
        </w:rPr>
      </w:pPr>
      <w:r w:rsidRPr="00A448B7">
        <w:rPr>
          <w:rFonts w:ascii="Tw Cen MT" w:eastAsia="Twentieth Century" w:hAnsi="Tw Cen MT" w:cs="Twentieth Century"/>
          <w:b/>
          <w:sz w:val="20"/>
          <w:szCs w:val="20"/>
        </w:rPr>
        <w:t>Keywords:</w:t>
      </w:r>
    </w:p>
    <w:p w14:paraId="7CEDCDA1" w14:textId="082E432A" w:rsidR="007F4948" w:rsidRPr="00D95556" w:rsidRDefault="00CC6020" w:rsidP="00CC6020">
      <w:pPr>
        <w:spacing w:line="240" w:lineRule="auto"/>
        <w:ind w:left="3150"/>
        <w:jc w:val="both"/>
        <w:rPr>
          <w:rFonts w:ascii="Tw Cen MT" w:eastAsia="Twentieth Century" w:hAnsi="Tw Cen MT" w:cs="Twentieth Century"/>
          <w:i/>
          <w:iCs/>
          <w:sz w:val="20"/>
          <w:szCs w:val="20"/>
        </w:rPr>
      </w:pPr>
      <w:r w:rsidRPr="00D95556">
        <w:rPr>
          <w:rFonts w:ascii="Tw Cen MT" w:eastAsia="Twentieth Century" w:hAnsi="Tw Cen MT" w:cs="Twentieth Century"/>
          <w:i/>
          <w:iCs/>
          <w:sz w:val="20"/>
          <w:szCs w:val="20"/>
        </w:rPr>
        <w:t>DRL, SSDE,</w:t>
      </w:r>
      <w:r w:rsidR="00265248" w:rsidRPr="00D95556">
        <w:rPr>
          <w:rFonts w:ascii="Tw Cen MT" w:eastAsia="Twentieth Century" w:hAnsi="Tw Cen MT" w:cs="Twentieth Century"/>
          <w:i/>
          <w:iCs/>
          <w:sz w:val="20"/>
          <w:szCs w:val="20"/>
        </w:rPr>
        <w:t xml:space="preserve"> DLPc, </w:t>
      </w:r>
      <w:r w:rsidRPr="00D95556">
        <w:rPr>
          <w:rFonts w:ascii="Tw Cen MT" w:eastAsia="Twentieth Century" w:hAnsi="Tw Cen MT" w:cs="Twentieth Century"/>
          <w:i/>
          <w:iCs/>
          <w:sz w:val="20"/>
          <w:szCs w:val="20"/>
        </w:rPr>
        <w:t xml:space="preserve"> </w:t>
      </w:r>
      <w:r w:rsidR="00265248" w:rsidRPr="00D95556">
        <w:rPr>
          <w:rFonts w:ascii="Tw Cen MT" w:hAnsi="Tw Cen MT"/>
          <w:i/>
          <w:iCs/>
          <w:sz w:val="20"/>
          <w:szCs w:val="20"/>
        </w:rPr>
        <w:t>IndoseCT v20.b</w:t>
      </w:r>
    </w:p>
    <w:p w14:paraId="49F6A6E1" w14:textId="77777777" w:rsidR="007F4948" w:rsidRPr="00227851" w:rsidRDefault="0086728C" w:rsidP="00227851">
      <w:pPr>
        <w:tabs>
          <w:tab w:val="left" w:pos="426"/>
        </w:tabs>
        <w:spacing w:after="0" w:line="240" w:lineRule="auto"/>
        <w:ind w:left="3150"/>
        <w:jc w:val="both"/>
        <w:rPr>
          <w:rFonts w:ascii="Tw Cen MT" w:eastAsia="Twentieth Century" w:hAnsi="Tw Cen MT" w:cs="Twentieth Century"/>
          <w:b/>
          <w:sz w:val="20"/>
          <w:szCs w:val="20"/>
        </w:rPr>
      </w:pPr>
      <w:r w:rsidRPr="00227851">
        <w:rPr>
          <w:rFonts w:ascii="Tw Cen MT" w:eastAsia="Twentieth Century" w:hAnsi="Tw Cen MT" w:cs="Twentieth Century"/>
          <w:b/>
          <w:sz w:val="20"/>
          <w:szCs w:val="20"/>
        </w:rPr>
        <w:t>Abstrak</w:t>
      </w:r>
    </w:p>
    <w:p w14:paraId="72617899" w14:textId="6A6BC80F" w:rsidR="00CC6020" w:rsidRPr="009C16D2" w:rsidRDefault="00CC6020" w:rsidP="00CC6020">
      <w:pPr>
        <w:pStyle w:val="ListParagraph"/>
        <w:widowControl w:val="0"/>
        <w:autoSpaceDE w:val="0"/>
        <w:autoSpaceDN w:val="0"/>
        <w:spacing w:before="1" w:after="0" w:line="240" w:lineRule="auto"/>
        <w:ind w:left="3119"/>
        <w:contextualSpacing w:val="0"/>
        <w:jc w:val="both"/>
        <w:rPr>
          <w:rFonts w:ascii="Tw Cen MT" w:hAnsi="Tw Cen MT"/>
          <w:sz w:val="20"/>
          <w:szCs w:val="20"/>
        </w:rPr>
      </w:pPr>
      <w:commentRangeStart w:id="4"/>
      <w:r w:rsidRPr="009C16D2">
        <w:rPr>
          <w:rFonts w:ascii="Tw Cen MT" w:hAnsi="Tw Cen MT"/>
          <w:i/>
          <w:sz w:val="20"/>
          <w:szCs w:val="20"/>
        </w:rPr>
        <w:t xml:space="preserve">Diagnostic </w:t>
      </w:r>
      <w:r w:rsidR="00CD7B93">
        <w:rPr>
          <w:rFonts w:ascii="Tw Cen MT" w:hAnsi="Tw Cen MT"/>
          <w:i/>
          <w:sz w:val="20"/>
          <w:szCs w:val="20"/>
        </w:rPr>
        <w:t>R</w:t>
      </w:r>
      <w:r w:rsidR="003E3A18" w:rsidRPr="009C16D2">
        <w:rPr>
          <w:rFonts w:ascii="Tw Cen MT" w:hAnsi="Tw Cen MT"/>
          <w:i/>
          <w:sz w:val="20"/>
          <w:szCs w:val="20"/>
        </w:rPr>
        <w:t xml:space="preserve">eference </w:t>
      </w:r>
      <w:r w:rsidR="00CD7B93">
        <w:rPr>
          <w:rFonts w:ascii="Tw Cen MT" w:hAnsi="Tw Cen MT"/>
          <w:i/>
          <w:sz w:val="20"/>
          <w:szCs w:val="20"/>
        </w:rPr>
        <w:t>L</w:t>
      </w:r>
      <w:r w:rsidR="003E3A18" w:rsidRPr="009C16D2">
        <w:rPr>
          <w:rFonts w:ascii="Tw Cen MT" w:hAnsi="Tw Cen MT"/>
          <w:i/>
          <w:sz w:val="20"/>
          <w:szCs w:val="20"/>
        </w:rPr>
        <w:t>evel</w:t>
      </w:r>
      <w:r w:rsidR="003E3A18" w:rsidRPr="009C16D2">
        <w:rPr>
          <w:rFonts w:ascii="Tw Cen MT" w:hAnsi="Tw Cen MT"/>
          <w:sz w:val="20"/>
          <w:szCs w:val="20"/>
        </w:rPr>
        <w:t xml:space="preserve"> </w:t>
      </w:r>
      <w:r w:rsidRPr="009C16D2">
        <w:rPr>
          <w:rFonts w:ascii="Tw Cen MT" w:hAnsi="Tw Cen MT"/>
          <w:sz w:val="20"/>
          <w:szCs w:val="20"/>
        </w:rPr>
        <w:t xml:space="preserve">(DRL) merupakan </w:t>
      </w:r>
      <w:r w:rsidR="008E4977" w:rsidRPr="008E4977">
        <w:rPr>
          <w:rFonts w:ascii="Tw Cen MT" w:hAnsi="Tw Cen MT"/>
          <w:sz w:val="20"/>
          <w:szCs w:val="20"/>
        </w:rPr>
        <w:t>salah satu upaya dalam penerapan optimisasi prote</w:t>
      </w:r>
      <w:r w:rsidR="008E4977">
        <w:rPr>
          <w:rFonts w:ascii="Tw Cen MT" w:hAnsi="Tw Cen MT"/>
          <w:sz w:val="20"/>
          <w:szCs w:val="20"/>
        </w:rPr>
        <w:t>ksi dan keselamatan radiasi</w:t>
      </w:r>
      <w:r w:rsidR="008E4977" w:rsidRPr="008E4977">
        <w:rPr>
          <w:rFonts w:ascii="Tw Cen MT" w:hAnsi="Tw Cen MT"/>
          <w:sz w:val="20"/>
          <w:szCs w:val="20"/>
        </w:rPr>
        <w:t xml:space="preserve"> paparan </w:t>
      </w:r>
      <w:r w:rsidR="008E4977">
        <w:rPr>
          <w:rFonts w:ascii="Tw Cen MT" w:hAnsi="Tw Cen MT"/>
          <w:sz w:val="20"/>
          <w:szCs w:val="20"/>
        </w:rPr>
        <w:t>medik pada modalitas sinar x, CT Scan dan Radiografi umum</w:t>
      </w:r>
      <w:r w:rsidR="00EE2944">
        <w:rPr>
          <w:rFonts w:ascii="Tw Cen MT" w:hAnsi="Tw Cen MT"/>
          <w:sz w:val="20"/>
          <w:szCs w:val="20"/>
        </w:rPr>
        <w:t xml:space="preserve">. </w:t>
      </w:r>
      <w:r w:rsidR="003E3A18" w:rsidRPr="003E3A18">
        <w:rPr>
          <w:rFonts w:ascii="Tw Cen MT" w:hAnsi="Tw Cen MT"/>
          <w:i/>
          <w:sz w:val="20"/>
          <w:szCs w:val="20"/>
        </w:rPr>
        <w:t>Size</w:t>
      </w:r>
      <w:r w:rsidR="003E3A18">
        <w:rPr>
          <w:rFonts w:ascii="Tw Cen MT" w:hAnsi="Tw Cen MT"/>
          <w:sz w:val="20"/>
          <w:szCs w:val="20"/>
        </w:rPr>
        <w:t xml:space="preserve"> </w:t>
      </w:r>
      <w:r w:rsidR="003E3A18">
        <w:rPr>
          <w:rFonts w:ascii="Tw Cen MT" w:hAnsi="Tw Cen MT"/>
          <w:i/>
          <w:sz w:val="20"/>
          <w:szCs w:val="20"/>
        </w:rPr>
        <w:t>specific dose estimates</w:t>
      </w:r>
      <w:r w:rsidR="003E3A18" w:rsidRPr="009C16D2">
        <w:rPr>
          <w:rFonts w:ascii="Tw Cen MT" w:hAnsi="Tw Cen MT"/>
          <w:sz w:val="20"/>
          <w:szCs w:val="20"/>
        </w:rPr>
        <w:t xml:space="preserve"> </w:t>
      </w:r>
      <w:r w:rsidRPr="009C16D2">
        <w:rPr>
          <w:rFonts w:ascii="Tw Cen MT" w:hAnsi="Tw Cen MT"/>
          <w:sz w:val="20"/>
          <w:szCs w:val="20"/>
        </w:rPr>
        <w:t xml:space="preserve">(SSDE) </w:t>
      </w:r>
      <w:r w:rsidR="00265248">
        <w:rPr>
          <w:rFonts w:ascii="Tw Cen MT" w:hAnsi="Tw Cen MT"/>
          <w:sz w:val="20"/>
          <w:szCs w:val="20"/>
        </w:rPr>
        <w:t xml:space="preserve">merupakan </w:t>
      </w:r>
      <w:r w:rsidR="00A448B7">
        <w:rPr>
          <w:rFonts w:ascii="Tw Cen MT" w:hAnsi="Tw Cen MT"/>
          <w:sz w:val="20"/>
          <w:szCs w:val="20"/>
        </w:rPr>
        <w:t xml:space="preserve">nilai </w:t>
      </w:r>
      <w:r w:rsidRPr="009C16D2">
        <w:rPr>
          <w:rFonts w:ascii="Tw Cen MT" w:hAnsi="Tw Cen MT"/>
          <w:sz w:val="20"/>
          <w:szCs w:val="20"/>
        </w:rPr>
        <w:t xml:space="preserve">dosis </w:t>
      </w:r>
      <w:r w:rsidR="00BD4BB4">
        <w:rPr>
          <w:rFonts w:ascii="Tw Cen MT" w:hAnsi="Tw Cen MT"/>
          <w:sz w:val="20"/>
          <w:szCs w:val="20"/>
        </w:rPr>
        <w:t xml:space="preserve">suatu area </w:t>
      </w:r>
      <w:r w:rsidRPr="009C16D2">
        <w:rPr>
          <w:rFonts w:ascii="Tw Cen MT" w:hAnsi="Tw Cen MT"/>
          <w:sz w:val="20"/>
          <w:szCs w:val="20"/>
        </w:rPr>
        <w:t>yang diterima pasien</w:t>
      </w:r>
      <w:r w:rsidR="00265248">
        <w:rPr>
          <w:rFonts w:ascii="Tw Cen MT" w:hAnsi="Tw Cen MT"/>
          <w:sz w:val="20"/>
          <w:szCs w:val="20"/>
        </w:rPr>
        <w:t xml:space="preserve"> </w:t>
      </w:r>
      <w:r w:rsidR="008E4977">
        <w:rPr>
          <w:rFonts w:ascii="Tw Cen MT" w:hAnsi="Tw Cen MT"/>
          <w:sz w:val="20"/>
          <w:szCs w:val="20"/>
        </w:rPr>
        <w:t>pada pemeriksaan CT Scan</w:t>
      </w:r>
      <w:r w:rsidRPr="009C16D2">
        <w:rPr>
          <w:rFonts w:ascii="Tw Cen MT" w:hAnsi="Tw Cen MT"/>
          <w:sz w:val="20"/>
          <w:szCs w:val="20"/>
        </w:rPr>
        <w:t>.</w:t>
      </w:r>
      <w:r w:rsidR="00265248">
        <w:rPr>
          <w:rFonts w:ascii="Tw Cen MT" w:hAnsi="Tw Cen MT"/>
          <w:sz w:val="20"/>
          <w:szCs w:val="20"/>
        </w:rPr>
        <w:t xml:space="preserve"> Sedangkan, DLPc (DLP koreksi)</w:t>
      </w:r>
      <w:r w:rsidRPr="009C16D2">
        <w:rPr>
          <w:rFonts w:ascii="Tw Cen MT" w:hAnsi="Tw Cen MT"/>
          <w:sz w:val="20"/>
          <w:szCs w:val="20"/>
        </w:rPr>
        <w:t xml:space="preserve"> </w:t>
      </w:r>
      <w:r w:rsidR="00265248">
        <w:rPr>
          <w:rFonts w:ascii="Tw Cen MT" w:hAnsi="Tw Cen MT"/>
          <w:sz w:val="20"/>
          <w:szCs w:val="20"/>
        </w:rPr>
        <w:t xml:space="preserve">merupakan dosis total yang diterima pasien </w:t>
      </w:r>
      <w:r w:rsidR="008E4977">
        <w:rPr>
          <w:rFonts w:ascii="Tw Cen MT" w:hAnsi="Tw Cen MT"/>
          <w:sz w:val="20"/>
          <w:szCs w:val="20"/>
        </w:rPr>
        <w:t xml:space="preserve">yang didapatkan dari perkalian SSDE dan </w:t>
      </w:r>
      <w:r w:rsidR="003E3A18" w:rsidRPr="003E3A18">
        <w:rPr>
          <w:rFonts w:ascii="Tw Cen MT" w:hAnsi="Tw Cen MT"/>
          <w:i/>
          <w:sz w:val="20"/>
          <w:szCs w:val="20"/>
        </w:rPr>
        <w:t>scan lenght.</w:t>
      </w:r>
      <w:r w:rsidR="003E3A18">
        <w:rPr>
          <w:rFonts w:ascii="Tw Cen MT" w:hAnsi="Tw Cen MT"/>
          <w:sz w:val="20"/>
          <w:szCs w:val="20"/>
        </w:rPr>
        <w:t xml:space="preserve"> </w:t>
      </w:r>
      <w:r w:rsidRPr="009C16D2">
        <w:rPr>
          <w:rFonts w:ascii="Tw Cen MT" w:hAnsi="Tw Cen MT"/>
          <w:sz w:val="20"/>
          <w:szCs w:val="20"/>
        </w:rPr>
        <w:t xml:space="preserve">Tujuan penelitian adalah Menganalisis perbedaan DRL berdasarkan SSDE antara pengukuran manual dan menggunakan </w:t>
      </w:r>
      <w:r w:rsidRPr="009C16D2">
        <w:rPr>
          <w:rFonts w:ascii="Tw Cen MT" w:hAnsi="Tw Cen MT"/>
          <w:i/>
          <w:sz w:val="20"/>
          <w:szCs w:val="20"/>
        </w:rPr>
        <w:t>software</w:t>
      </w:r>
      <w:r w:rsidR="003E3A18">
        <w:rPr>
          <w:rFonts w:ascii="Tw Cen MT" w:hAnsi="Tw Cen MT"/>
          <w:sz w:val="20"/>
          <w:szCs w:val="20"/>
        </w:rPr>
        <w:t xml:space="preserve"> i</w:t>
      </w:r>
      <w:r w:rsidRPr="009C16D2">
        <w:rPr>
          <w:rFonts w:ascii="Tw Cen MT" w:hAnsi="Tw Cen MT"/>
          <w:sz w:val="20"/>
          <w:szCs w:val="20"/>
        </w:rPr>
        <w:t>ndoseCT v.20.b. Penelitian</w:t>
      </w:r>
      <w:r w:rsidRPr="009C16D2">
        <w:rPr>
          <w:rFonts w:ascii="Tw Cen MT" w:hAnsi="Tw Cen MT"/>
          <w:spacing w:val="1"/>
          <w:sz w:val="20"/>
          <w:szCs w:val="20"/>
        </w:rPr>
        <w:t xml:space="preserve"> </w:t>
      </w:r>
      <w:r w:rsidRPr="009C16D2">
        <w:rPr>
          <w:rFonts w:ascii="Tw Cen MT" w:hAnsi="Tw Cen MT"/>
          <w:sz w:val="20"/>
          <w:szCs w:val="20"/>
        </w:rPr>
        <w:t>ini bersifat deskriptif</w:t>
      </w:r>
      <w:r w:rsidRPr="009C16D2">
        <w:rPr>
          <w:rFonts w:ascii="Tw Cen MT" w:hAnsi="Tw Cen MT"/>
          <w:spacing w:val="1"/>
          <w:sz w:val="20"/>
          <w:szCs w:val="20"/>
        </w:rPr>
        <w:t xml:space="preserve"> kuantitatif</w:t>
      </w:r>
      <w:r>
        <w:rPr>
          <w:rFonts w:ascii="Tw Cen MT" w:hAnsi="Tw Cen MT"/>
          <w:spacing w:val="1"/>
          <w:sz w:val="20"/>
          <w:szCs w:val="20"/>
        </w:rPr>
        <w:t xml:space="preserve">, </w:t>
      </w:r>
      <w:r w:rsidR="00A448B7">
        <w:rPr>
          <w:rFonts w:ascii="Tw Cen MT" w:hAnsi="Tw Cen MT"/>
          <w:spacing w:val="1"/>
          <w:sz w:val="20"/>
          <w:szCs w:val="20"/>
        </w:rPr>
        <w:t xml:space="preserve">dengan </w:t>
      </w:r>
      <w:r>
        <w:rPr>
          <w:rFonts w:ascii="Tw Cen MT" w:hAnsi="Tw Cen MT"/>
          <w:spacing w:val="1"/>
          <w:sz w:val="20"/>
          <w:szCs w:val="20"/>
        </w:rPr>
        <w:t>mengumpulkan data citra DICOM CT Scan kepala.</w:t>
      </w:r>
      <w:r w:rsidRPr="009C16D2">
        <w:rPr>
          <w:rFonts w:ascii="Tw Cen MT" w:hAnsi="Tw Cen MT"/>
          <w:sz w:val="20"/>
          <w:szCs w:val="20"/>
        </w:rPr>
        <w:t xml:space="preserve"> </w:t>
      </w:r>
      <w:r>
        <w:rPr>
          <w:rFonts w:ascii="Tw Cen MT" w:hAnsi="Tw Cen MT"/>
          <w:sz w:val="20"/>
          <w:szCs w:val="20"/>
        </w:rPr>
        <w:t>Hasil penelitian menunjukan bahwa n</w:t>
      </w:r>
      <w:r w:rsidRPr="009C16D2">
        <w:rPr>
          <w:rFonts w:ascii="Tw Cen MT" w:hAnsi="Tw Cen MT"/>
          <w:sz w:val="20"/>
          <w:szCs w:val="20"/>
        </w:rPr>
        <w:t>ilai</w:t>
      </w:r>
      <w:r w:rsidRPr="009C16D2">
        <w:rPr>
          <w:rFonts w:ascii="Tw Cen MT" w:hAnsi="Tw Cen MT"/>
          <w:spacing w:val="1"/>
          <w:sz w:val="20"/>
          <w:szCs w:val="20"/>
        </w:rPr>
        <w:t xml:space="preserve"> </w:t>
      </w:r>
      <w:r w:rsidR="003E3A18" w:rsidRPr="009C16D2">
        <w:rPr>
          <w:rFonts w:ascii="Tw Cen MT" w:hAnsi="Tw Cen MT"/>
          <w:i/>
          <w:sz w:val="20"/>
          <w:szCs w:val="20"/>
        </w:rPr>
        <w:t>diagnostic</w:t>
      </w:r>
      <w:r w:rsidR="003E3A18" w:rsidRPr="009C16D2">
        <w:rPr>
          <w:rFonts w:ascii="Tw Cen MT" w:hAnsi="Tw Cen MT"/>
          <w:i/>
          <w:spacing w:val="1"/>
          <w:sz w:val="20"/>
          <w:szCs w:val="20"/>
        </w:rPr>
        <w:t xml:space="preserve"> </w:t>
      </w:r>
      <w:r w:rsidR="003E3A18" w:rsidRPr="009C16D2">
        <w:rPr>
          <w:rFonts w:ascii="Tw Cen MT" w:hAnsi="Tw Cen MT"/>
          <w:i/>
          <w:sz w:val="20"/>
          <w:szCs w:val="20"/>
        </w:rPr>
        <w:t>reference</w:t>
      </w:r>
      <w:r w:rsidR="003E3A18" w:rsidRPr="009C16D2">
        <w:rPr>
          <w:rFonts w:ascii="Tw Cen MT" w:hAnsi="Tw Cen MT"/>
          <w:i/>
          <w:spacing w:val="1"/>
          <w:sz w:val="20"/>
          <w:szCs w:val="20"/>
        </w:rPr>
        <w:t xml:space="preserve"> </w:t>
      </w:r>
      <w:r w:rsidR="003E3A18" w:rsidRPr="009C16D2">
        <w:rPr>
          <w:rFonts w:ascii="Tw Cen MT" w:hAnsi="Tw Cen MT"/>
          <w:i/>
          <w:sz w:val="20"/>
          <w:szCs w:val="20"/>
        </w:rPr>
        <w:t>level</w:t>
      </w:r>
      <w:r w:rsidR="003E3A18" w:rsidRPr="009C16D2">
        <w:rPr>
          <w:rFonts w:ascii="Tw Cen MT" w:hAnsi="Tw Cen MT"/>
          <w:i/>
          <w:spacing w:val="1"/>
          <w:sz w:val="20"/>
          <w:szCs w:val="20"/>
        </w:rPr>
        <w:t xml:space="preserve"> </w:t>
      </w:r>
      <w:r w:rsidRPr="009C16D2">
        <w:rPr>
          <w:rFonts w:ascii="Tw Cen MT" w:hAnsi="Tw Cen MT"/>
          <w:sz w:val="20"/>
          <w:szCs w:val="20"/>
        </w:rPr>
        <w:t>(DRL)</w:t>
      </w:r>
      <w:r w:rsidRPr="009C16D2">
        <w:rPr>
          <w:rFonts w:ascii="Tw Cen MT" w:hAnsi="Tw Cen MT"/>
          <w:spacing w:val="1"/>
          <w:sz w:val="20"/>
          <w:szCs w:val="20"/>
        </w:rPr>
        <w:t xml:space="preserve"> pengukuran manual </w:t>
      </w:r>
      <w:r w:rsidRPr="009C16D2">
        <w:rPr>
          <w:rFonts w:ascii="Tw Cen MT" w:hAnsi="Tw Cen MT"/>
          <w:sz w:val="20"/>
          <w:szCs w:val="20"/>
        </w:rPr>
        <w:t>sebesar</w:t>
      </w:r>
      <w:r w:rsidRPr="009C16D2">
        <w:rPr>
          <w:rFonts w:ascii="Tw Cen MT" w:hAnsi="Tw Cen MT"/>
          <w:spacing w:val="1"/>
          <w:sz w:val="20"/>
          <w:szCs w:val="20"/>
        </w:rPr>
        <w:t xml:space="preserve"> 59,62 </w:t>
      </w:r>
      <w:r w:rsidRPr="009C16D2">
        <w:rPr>
          <w:rFonts w:ascii="Tw Cen MT" w:hAnsi="Tw Cen MT"/>
          <w:sz w:val="20"/>
          <w:szCs w:val="20"/>
        </w:rPr>
        <w:t xml:space="preserve">mGy (SSDE) dan </w:t>
      </w:r>
      <w:r w:rsidRPr="009C16D2">
        <w:rPr>
          <w:rFonts w:ascii="Tw Cen MT" w:hAnsi="Tw Cen MT"/>
          <w:color w:val="010205"/>
          <w:sz w:val="20"/>
          <w:szCs w:val="20"/>
        </w:rPr>
        <w:t xml:space="preserve">1492,86 </w:t>
      </w:r>
      <w:r w:rsidRPr="009C16D2">
        <w:rPr>
          <w:rFonts w:ascii="Tw Cen MT" w:hAnsi="Tw Cen MT"/>
          <w:sz w:val="20"/>
          <w:szCs w:val="20"/>
        </w:rPr>
        <w:t>mGy.cm (DLPc)</w:t>
      </w:r>
      <w:r w:rsidR="00A448B7">
        <w:rPr>
          <w:rFonts w:ascii="Tw Cen MT" w:hAnsi="Tw Cen MT"/>
          <w:sz w:val="20"/>
          <w:szCs w:val="20"/>
        </w:rPr>
        <w:t>.</w:t>
      </w:r>
      <w:r w:rsidRPr="009C16D2">
        <w:rPr>
          <w:rFonts w:ascii="Tw Cen MT" w:hAnsi="Tw Cen MT"/>
          <w:sz w:val="20"/>
          <w:szCs w:val="20"/>
        </w:rPr>
        <w:t xml:space="preserve"> </w:t>
      </w:r>
      <w:r w:rsidRPr="009C16D2">
        <w:rPr>
          <w:rFonts w:ascii="Tw Cen MT" w:hAnsi="Tw Cen MT"/>
          <w:spacing w:val="1"/>
          <w:sz w:val="20"/>
          <w:szCs w:val="20"/>
        </w:rPr>
        <w:t xml:space="preserve">Sedangkan, </w:t>
      </w:r>
      <w:r w:rsidRPr="009C16D2">
        <w:rPr>
          <w:rFonts w:ascii="Tw Cen MT" w:hAnsi="Tw Cen MT"/>
          <w:sz w:val="20"/>
          <w:szCs w:val="20"/>
        </w:rPr>
        <w:t>Nilai</w:t>
      </w:r>
      <w:r w:rsidRPr="009C16D2">
        <w:rPr>
          <w:rFonts w:ascii="Tw Cen MT" w:hAnsi="Tw Cen MT"/>
          <w:spacing w:val="1"/>
          <w:sz w:val="20"/>
          <w:szCs w:val="20"/>
        </w:rPr>
        <w:t xml:space="preserve"> </w:t>
      </w:r>
      <w:r w:rsidR="003E3A18" w:rsidRPr="009C16D2">
        <w:rPr>
          <w:rFonts w:ascii="Tw Cen MT" w:hAnsi="Tw Cen MT"/>
          <w:i/>
          <w:sz w:val="20"/>
          <w:szCs w:val="20"/>
        </w:rPr>
        <w:t>diagnostic</w:t>
      </w:r>
      <w:r w:rsidR="003E3A18" w:rsidRPr="009C16D2">
        <w:rPr>
          <w:rFonts w:ascii="Tw Cen MT" w:hAnsi="Tw Cen MT"/>
          <w:i/>
          <w:spacing w:val="1"/>
          <w:sz w:val="20"/>
          <w:szCs w:val="20"/>
        </w:rPr>
        <w:t xml:space="preserve"> </w:t>
      </w:r>
      <w:r w:rsidR="003E3A18" w:rsidRPr="009C16D2">
        <w:rPr>
          <w:rFonts w:ascii="Tw Cen MT" w:hAnsi="Tw Cen MT"/>
          <w:i/>
          <w:sz w:val="20"/>
          <w:szCs w:val="20"/>
        </w:rPr>
        <w:t>reference</w:t>
      </w:r>
      <w:r w:rsidR="003E3A18" w:rsidRPr="009C16D2">
        <w:rPr>
          <w:rFonts w:ascii="Tw Cen MT" w:hAnsi="Tw Cen MT"/>
          <w:i/>
          <w:spacing w:val="1"/>
          <w:sz w:val="20"/>
          <w:szCs w:val="20"/>
        </w:rPr>
        <w:t xml:space="preserve"> </w:t>
      </w:r>
      <w:r w:rsidR="003E3A18" w:rsidRPr="009C16D2">
        <w:rPr>
          <w:rFonts w:ascii="Tw Cen MT" w:hAnsi="Tw Cen MT"/>
          <w:i/>
          <w:sz w:val="20"/>
          <w:szCs w:val="20"/>
        </w:rPr>
        <w:t>level</w:t>
      </w:r>
      <w:r w:rsidR="003E3A18" w:rsidRPr="009C16D2">
        <w:rPr>
          <w:rFonts w:ascii="Tw Cen MT" w:hAnsi="Tw Cen MT"/>
          <w:i/>
          <w:spacing w:val="1"/>
          <w:sz w:val="20"/>
          <w:szCs w:val="20"/>
        </w:rPr>
        <w:t xml:space="preserve"> </w:t>
      </w:r>
      <w:r w:rsidRPr="009C16D2">
        <w:rPr>
          <w:rFonts w:ascii="Tw Cen MT" w:hAnsi="Tw Cen MT"/>
          <w:spacing w:val="1"/>
          <w:sz w:val="20"/>
          <w:szCs w:val="20"/>
        </w:rPr>
        <w:t xml:space="preserve">pengukuran menggunakan </w:t>
      </w:r>
      <w:r w:rsidRPr="00A448B7">
        <w:rPr>
          <w:rFonts w:ascii="Tw Cen MT" w:hAnsi="Tw Cen MT"/>
          <w:i/>
          <w:spacing w:val="1"/>
          <w:sz w:val="20"/>
          <w:szCs w:val="20"/>
        </w:rPr>
        <w:t xml:space="preserve">software </w:t>
      </w:r>
      <w:r w:rsidR="003E3A18">
        <w:rPr>
          <w:rFonts w:ascii="Tw Cen MT" w:hAnsi="Tw Cen MT"/>
          <w:spacing w:val="1"/>
          <w:sz w:val="20"/>
          <w:szCs w:val="20"/>
        </w:rPr>
        <w:t>i</w:t>
      </w:r>
      <w:r w:rsidRPr="009C16D2">
        <w:rPr>
          <w:rFonts w:ascii="Tw Cen MT" w:hAnsi="Tw Cen MT"/>
          <w:spacing w:val="1"/>
          <w:sz w:val="20"/>
          <w:szCs w:val="20"/>
        </w:rPr>
        <w:t xml:space="preserve">ndoseCT v.20.b </w:t>
      </w:r>
      <w:r w:rsidRPr="009C16D2">
        <w:rPr>
          <w:rFonts w:ascii="Tw Cen MT" w:hAnsi="Tw Cen MT"/>
          <w:sz w:val="20"/>
          <w:szCs w:val="20"/>
        </w:rPr>
        <w:t>adalah</w:t>
      </w:r>
      <w:r w:rsidRPr="009C16D2">
        <w:rPr>
          <w:rFonts w:ascii="Tw Cen MT" w:hAnsi="Tw Cen MT"/>
          <w:spacing w:val="1"/>
          <w:sz w:val="20"/>
          <w:szCs w:val="20"/>
        </w:rPr>
        <w:t xml:space="preserve"> 66,65 </w:t>
      </w:r>
      <w:r w:rsidRPr="009C16D2">
        <w:rPr>
          <w:rFonts w:ascii="Tw Cen MT" w:hAnsi="Tw Cen MT"/>
          <w:sz w:val="20"/>
          <w:szCs w:val="20"/>
        </w:rPr>
        <w:t>mGy (SSDE) dan 1551,56</w:t>
      </w:r>
      <w:r w:rsidRPr="009C16D2">
        <w:rPr>
          <w:rFonts w:ascii="Tw Cen MT" w:hAnsi="Tw Cen MT"/>
          <w:i/>
          <w:sz w:val="20"/>
          <w:szCs w:val="20"/>
        </w:rPr>
        <w:t xml:space="preserve"> </w:t>
      </w:r>
      <w:r w:rsidRPr="009C16D2">
        <w:rPr>
          <w:rFonts w:ascii="Tw Cen MT" w:hAnsi="Tw Cen MT"/>
          <w:sz w:val="20"/>
          <w:szCs w:val="20"/>
        </w:rPr>
        <w:t xml:space="preserve">mGy.cm (DLPc). Tidak ada perbedaan yang signifikan nilai </w:t>
      </w:r>
      <w:r w:rsidR="003E3A18" w:rsidRPr="009C16D2">
        <w:rPr>
          <w:rFonts w:ascii="Tw Cen MT" w:hAnsi="Tw Cen MT"/>
          <w:i/>
          <w:sz w:val="20"/>
          <w:szCs w:val="20"/>
        </w:rPr>
        <w:t>diagnostic reference level</w:t>
      </w:r>
      <w:r w:rsidR="003E3A18" w:rsidRPr="009C16D2">
        <w:rPr>
          <w:rFonts w:ascii="Tw Cen MT" w:hAnsi="Tw Cen MT"/>
          <w:sz w:val="20"/>
          <w:szCs w:val="20"/>
        </w:rPr>
        <w:t xml:space="preserve"> </w:t>
      </w:r>
      <w:r w:rsidRPr="009C16D2">
        <w:rPr>
          <w:rFonts w:ascii="Tw Cen MT" w:hAnsi="Tw Cen MT"/>
          <w:sz w:val="20"/>
          <w:szCs w:val="20"/>
        </w:rPr>
        <w:t xml:space="preserve">(DRL) berdasarkan </w:t>
      </w:r>
      <w:r>
        <w:rPr>
          <w:rFonts w:ascii="Tw Cen MT" w:hAnsi="Tw Cen MT"/>
          <w:sz w:val="20"/>
          <w:szCs w:val="20"/>
        </w:rPr>
        <w:t xml:space="preserve">SSDE </w:t>
      </w:r>
      <w:r w:rsidRPr="009C16D2">
        <w:rPr>
          <w:rFonts w:ascii="Tw Cen MT" w:hAnsi="Tw Cen MT"/>
          <w:sz w:val="20"/>
          <w:szCs w:val="20"/>
        </w:rPr>
        <w:t>dari kedua metode berdasarkan uji statistik dan melihat sebaran nilai SSDE dan DLPc</w:t>
      </w:r>
      <w:commentRangeEnd w:id="4"/>
      <w:r w:rsidR="00996660">
        <w:rPr>
          <w:rStyle w:val="CommentReference"/>
          <w:rFonts w:eastAsiaTheme="minorEastAsia" w:cs="Calibri"/>
          <w:lang w:val="en-US" w:eastAsia="en-US"/>
        </w:rPr>
        <w:commentReference w:id="4"/>
      </w:r>
    </w:p>
    <w:p w14:paraId="68659279" w14:textId="141C284D" w:rsidR="007F4948" w:rsidRPr="00227851" w:rsidRDefault="0086728C" w:rsidP="00227851">
      <w:pPr>
        <w:tabs>
          <w:tab w:val="left" w:pos="426"/>
        </w:tabs>
        <w:spacing w:after="0" w:line="240" w:lineRule="auto"/>
        <w:ind w:left="3150"/>
        <w:jc w:val="both"/>
        <w:rPr>
          <w:rFonts w:ascii="Tw Cen MT" w:eastAsia="Twentieth Century" w:hAnsi="Tw Cen MT" w:cs="Twentieth Century"/>
          <w:b/>
          <w:sz w:val="20"/>
          <w:szCs w:val="20"/>
        </w:rPr>
      </w:pPr>
      <w:r w:rsidRPr="00227851">
        <w:rPr>
          <w:rFonts w:ascii="Tw Cen MT" w:eastAsia="Twentieth Century" w:hAnsi="Tw Cen MT" w:cs="Twentieth Century"/>
          <w:b/>
          <w:sz w:val="20"/>
          <w:szCs w:val="20"/>
        </w:rPr>
        <w:t>Kata Kunci</w:t>
      </w:r>
      <w:r w:rsidR="00106D4F" w:rsidRPr="00227851">
        <w:rPr>
          <w:rFonts w:ascii="Tw Cen MT" w:eastAsia="Twentieth Century" w:hAnsi="Tw Cen MT" w:cs="Twentieth Century"/>
          <w:b/>
          <w:sz w:val="20"/>
          <w:szCs w:val="20"/>
        </w:rPr>
        <w:t>:</w:t>
      </w:r>
    </w:p>
    <w:p w14:paraId="64C763D9" w14:textId="3CD13C9D" w:rsidR="00265248" w:rsidRPr="00D95556" w:rsidRDefault="00997349" w:rsidP="00265248">
      <w:pPr>
        <w:spacing w:line="240" w:lineRule="auto"/>
        <w:ind w:left="3150"/>
        <w:jc w:val="both"/>
        <w:rPr>
          <w:rFonts w:ascii="Tw Cen MT" w:eastAsia="Twentieth Century" w:hAnsi="Tw Cen MT" w:cs="Twentieth Century"/>
          <w:i/>
          <w:iCs/>
          <w:sz w:val="20"/>
          <w:szCs w:val="20"/>
        </w:rPr>
      </w:pPr>
      <w:r w:rsidRPr="00D95556">
        <w:rPr>
          <w:rFonts w:ascii="Tw Cen MT" w:hAnsi="Tw Cen MT"/>
          <w:i/>
          <w:iCs/>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0BC60B"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ARMuIHdAAAACAEAAA8AAABkcnMv&#10;ZG93bnJldi54bWxMj81Ow0AMhO9IvMPKSNzaTVtaQcimQvxKPSARuHBzs24SyHqj7KYJb48RB7jZ&#10;ntH4m2w7uVYdqQ+NZwOLeQKKuPS24crA2+vD7BJUiMgWW89k4IsCbPPTkwxT60d+oWMRKyUhHFI0&#10;UMfYpVqHsiaHYe47YtEOvncYZe0rbXscJdy1epkkG+2wYflQY0e3NZWfxeAMPNJd8Xy4H6sneh/W&#10;Fx87j2PtjTk/m26uQUWa4p8ZfvAFHXJh2vuBbVCtgdlGqkQDq+UClOhXq7UM+9+DzjP9v0D+DQAA&#10;//8DAFBLAQItABQABgAIAAAAIQC2gziS/gAAAOEBAAATAAAAAAAAAAAAAAAAAAAAAABbQ29udGVu&#10;dF9UeXBlc10ueG1sUEsBAi0AFAAGAAgAAAAhADj9If/WAAAAlAEAAAsAAAAAAAAAAAAAAAAALwEA&#10;AF9yZWxzLy5yZWxzUEsBAi0AFAAGAAgAAAAhAPTKSIa/AQAAfQMAAA4AAAAAAAAAAAAAAAAALgIA&#10;AGRycy9lMm9Eb2MueG1sUEsBAi0AFAAGAAgAAAAhAARMuIHdAAAACAEAAA8AAAAAAAAAAAAAAAAA&#10;GQQAAGRycy9kb3ducmV2LnhtbFBLBQYAAAAABAAEAPMAAAAjBQAAAAA=&#10;" strokecolor="black [3200]" strokeweight="1.5pt">
                <v:stroke startarrowwidth="narrow" startarrowlength="short" endarrowwidth="narrow" endarrowlength="short"/>
              </v:shape>
            </w:pict>
          </mc:Fallback>
        </mc:AlternateContent>
      </w:r>
      <w:r w:rsidR="00265248" w:rsidRPr="00D95556">
        <w:rPr>
          <w:rFonts w:ascii="Tw Cen MT" w:eastAsia="Twentieth Century" w:hAnsi="Tw Cen MT" w:cs="Twentieth Century"/>
          <w:i/>
          <w:iCs/>
          <w:sz w:val="20"/>
          <w:szCs w:val="20"/>
        </w:rPr>
        <w:t xml:space="preserve">DRL, SSDE, DLPc,  </w:t>
      </w:r>
      <w:r w:rsidR="00265248" w:rsidRPr="00D95556">
        <w:rPr>
          <w:rFonts w:ascii="Tw Cen MT" w:hAnsi="Tw Cen MT"/>
          <w:i/>
          <w:iCs/>
          <w:sz w:val="20"/>
          <w:szCs w:val="20"/>
        </w:rPr>
        <w:t>IndoseCT v20.b</w:t>
      </w:r>
    </w:p>
    <w:p w14:paraId="448ACAA7" w14:textId="73BAEA9C" w:rsidR="00997349" w:rsidRDefault="00997349" w:rsidP="00265248">
      <w:pPr>
        <w:spacing w:line="240" w:lineRule="auto"/>
        <w:ind w:left="3150"/>
        <w:jc w:val="both"/>
        <w:rPr>
          <w:rFonts w:ascii="Tw Cen MT" w:eastAsia="Twentieth Century" w:hAnsi="Tw Cen MT" w:cs="Twentieth Century"/>
          <w:sz w:val="20"/>
          <w:szCs w:val="20"/>
        </w:rPr>
      </w:pPr>
    </w:p>
    <w:p w14:paraId="778517C8" w14:textId="77777777" w:rsidR="00CC6020" w:rsidRPr="00227851" w:rsidRDefault="00CC6020" w:rsidP="00227851">
      <w:pPr>
        <w:spacing w:line="240" w:lineRule="auto"/>
        <w:jc w:val="both"/>
        <w:rPr>
          <w:rFonts w:ascii="Tw Cen MT" w:eastAsia="Twentieth Century" w:hAnsi="Tw Cen MT" w:cs="Twentieth Century"/>
          <w:sz w:val="20"/>
          <w:szCs w:val="20"/>
        </w:rPr>
        <w:sectPr w:rsidR="00CC6020" w:rsidRPr="00227851" w:rsidSect="00D0123F">
          <w:headerReference w:type="default" r:id="rId11"/>
          <w:footerReference w:type="default" r:id="rId12"/>
          <w:pgSz w:w="12240" w:h="15840"/>
          <w:pgMar w:top="1440" w:right="1440" w:bottom="1440" w:left="1440" w:header="720" w:footer="720" w:gutter="0"/>
          <w:pgNumType w:start="1"/>
          <w:cols w:space="720"/>
        </w:sectPr>
      </w:pPr>
    </w:p>
    <w:p w14:paraId="12468592" w14:textId="77777777" w:rsidR="007106F6" w:rsidRPr="00227851" w:rsidRDefault="007106F6" w:rsidP="00227851">
      <w:pPr>
        <w:tabs>
          <w:tab w:val="left" w:pos="426"/>
        </w:tabs>
        <w:spacing w:after="0" w:line="240" w:lineRule="auto"/>
        <w:jc w:val="both"/>
        <w:rPr>
          <w:rFonts w:ascii="Tw Cen MT" w:eastAsia="Twentieth Century" w:hAnsi="Tw Cen MT" w:cs="Twentieth Century"/>
          <w:b/>
          <w:sz w:val="24"/>
          <w:szCs w:val="24"/>
        </w:rPr>
      </w:pPr>
      <w:r w:rsidRPr="00227851">
        <w:rPr>
          <w:rFonts w:ascii="Tw Cen MT" w:eastAsia="Twentieth Century" w:hAnsi="Tw Cen MT" w:cs="Twentieth Century"/>
          <w:b/>
          <w:sz w:val="24"/>
          <w:szCs w:val="24"/>
        </w:rPr>
        <w:lastRenderedPageBreak/>
        <w:t>PENDAHULUAN</w:t>
      </w:r>
    </w:p>
    <w:p w14:paraId="44B60862" w14:textId="0237CF8D" w:rsidR="00293C1F" w:rsidRPr="00227851" w:rsidRDefault="00293C1F" w:rsidP="00AF291F">
      <w:pPr>
        <w:pStyle w:val="NoSpacing"/>
        <w:spacing w:line="240" w:lineRule="auto"/>
        <w:ind w:left="0" w:firstLine="0"/>
        <w:rPr>
          <w:rFonts w:ascii="Tw Cen MT" w:hAnsi="Tw Cen MT"/>
        </w:rPr>
      </w:pPr>
      <w:r w:rsidRPr="00227851">
        <w:rPr>
          <w:rFonts w:ascii="Tw Cen MT" w:hAnsi="Tw Cen MT"/>
        </w:rPr>
        <w:t>Penggunaan perangkat medis dalam bidang kedokteran memiliki peran yang sangat signifikan. Seiring dengan kemajuan teknologi, permintaan untuk pencitraan dalam radiodiagnostik terus meningkat. Beberapa pemeriksaan medis dengan menggunakan perangkat me</w:t>
      </w:r>
      <w:r w:rsidR="00C863C0">
        <w:rPr>
          <w:rFonts w:ascii="Tw Cen MT" w:hAnsi="Tw Cen MT"/>
        </w:rPr>
        <w:t xml:space="preserve">dis mengandalkan sumber radiasi </w:t>
      </w:r>
      <w:r w:rsidR="00D46EB5" w:rsidRPr="00227851">
        <w:rPr>
          <w:rFonts w:ascii="Tw Cen MT" w:hAnsi="Tw Cen MT"/>
        </w:rPr>
        <w:fldChar w:fldCharType="begin" w:fldLock="1"/>
      </w:r>
      <w:r w:rsidR="00D46EB5" w:rsidRPr="00227851">
        <w:rPr>
          <w:rFonts w:ascii="Tw Cen MT" w:hAnsi="Tw Cen MT"/>
        </w:rPr>
        <w:instrText>ADDIN CSL_CITATION {"citationItems":[{"id":"ITEM-1","itemData":{"DOI":"10.24843/bf.2020.v21.i02.p03","ISSN":"1411-4690","abstract":"CT scan is widely used to diagnose the inside of the human body, so supervision is needed to ensure the health and safety of workers, patients and the public. One surveillance that can be done is to analyze the radiation dose of the patient on CT scan with the application of Si-INTAN. Data processing of the results of CT scan of the head, thorax and abdomen for ages 0-4 years, 5-14 years and ? 15 years using the Si-INTAN application. From the results of the data processing, the highest DRL DLP value and CTDIVOL values were obtained, for CT scan heads were 1732,8 mGycm and 31,92 mGy, the CT scan of the thorax was 2450,78 mGycm and 19,36 mGy, and for CT Abdominal Scans were 3968,85 mGycm and 19,35 mGy.","author":[{"dropping-particle":"","family":"Siregar","given":"Elshaday S.B","non-dropping-particle":"","parse-names":false,"suffix":""},{"dropping-particle":"","family":"Sutapa","given":"Gusti Ngurah","non-dropping-particle":"","parse-names":false,"suffix":""},{"dropping-particle":"","family":"Sudarsana","given":"I Wayan Balik","non-dropping-particle":"","parse-names":false,"suffix":""}],"container-title":"Buletin Fisika","id":"ITEM-1","issue":"2","issued":{"date-parts":[["2020"]]},"page":"53","title":"Analysis of Radiation Dose of Patients on CT Scan Examination using Si-INTAN Application","type":"article-journal","volume":"21"},"uris":["http://www.mendeley.com/documents/?uuid=42e3fec1-6c4a-4e93-9d5c-3fe029e71c20"]}],"mendeley":{"formattedCitation":"[1]","plainTextFormattedCitation":"[1]","previouslyFormattedCitation":"[1]"},"properties":{"noteIndex":0},"schema":"https://github.com/citation-style-language/schema/raw/master/csl-citation.json"}</w:instrText>
      </w:r>
      <w:r w:rsidR="00D46EB5" w:rsidRPr="00227851">
        <w:rPr>
          <w:rFonts w:ascii="Tw Cen MT" w:hAnsi="Tw Cen MT"/>
        </w:rPr>
        <w:fldChar w:fldCharType="separate"/>
      </w:r>
      <w:r w:rsidR="00D46EB5" w:rsidRPr="00227851">
        <w:rPr>
          <w:rFonts w:ascii="Tw Cen MT" w:hAnsi="Tw Cen MT"/>
          <w:noProof/>
        </w:rPr>
        <w:t>[1]</w:t>
      </w:r>
      <w:r w:rsidR="00D46EB5" w:rsidRPr="00227851">
        <w:rPr>
          <w:rFonts w:ascii="Tw Cen MT" w:hAnsi="Tw Cen MT"/>
        </w:rPr>
        <w:fldChar w:fldCharType="end"/>
      </w:r>
      <w:r w:rsidR="00C863C0">
        <w:rPr>
          <w:rFonts w:ascii="Tw Cen MT" w:hAnsi="Tw Cen MT"/>
        </w:rPr>
        <w:t>.</w:t>
      </w:r>
      <w:r w:rsidRPr="00227851">
        <w:rPr>
          <w:rFonts w:ascii="Tw Cen MT" w:hAnsi="Tw Cen MT"/>
        </w:rPr>
        <w:t xml:space="preserve"> </w:t>
      </w:r>
    </w:p>
    <w:p w14:paraId="166C6215" w14:textId="3221FFAF" w:rsidR="00293C1F" w:rsidRPr="00227851" w:rsidRDefault="00293C1F" w:rsidP="00AF291F">
      <w:pPr>
        <w:pStyle w:val="NoSpacing"/>
        <w:spacing w:line="240" w:lineRule="auto"/>
        <w:ind w:left="0" w:firstLine="0"/>
        <w:rPr>
          <w:rFonts w:ascii="Tw Cen MT" w:hAnsi="Tw Cen MT"/>
          <w:color w:val="231F20"/>
          <w:w w:val="110"/>
        </w:rPr>
      </w:pPr>
      <w:r w:rsidRPr="00227851">
        <w:rPr>
          <w:rFonts w:ascii="Tw Cen MT" w:hAnsi="Tw Cen MT"/>
          <w:color w:val="231F20"/>
          <w:spacing w:val="-1"/>
          <w:w w:val="105"/>
        </w:rPr>
        <w:t xml:space="preserve">Penggunaan teknik </w:t>
      </w:r>
      <w:r w:rsidRPr="00227851">
        <w:rPr>
          <w:rFonts w:ascii="Tw Cen MT" w:hAnsi="Tw Cen MT"/>
          <w:i/>
          <w:color w:val="231F20"/>
          <w:w w:val="105"/>
        </w:rPr>
        <w:t>computed tomography</w:t>
      </w:r>
      <w:r w:rsidRPr="00227851">
        <w:rPr>
          <w:rFonts w:ascii="Tw Cen MT" w:hAnsi="Tw Cen MT"/>
          <w:color w:val="231F20"/>
          <w:w w:val="105"/>
        </w:rPr>
        <w:t xml:space="preserve"> (CT) dalam prosedur</w:t>
      </w:r>
      <w:r w:rsidRPr="00227851">
        <w:rPr>
          <w:rFonts w:ascii="Tw Cen MT" w:hAnsi="Tw Cen MT"/>
          <w:color w:val="231F20"/>
          <w:spacing w:val="-45"/>
          <w:w w:val="105"/>
        </w:rPr>
        <w:t xml:space="preserve"> </w:t>
      </w:r>
      <w:r w:rsidRPr="00227851">
        <w:rPr>
          <w:rFonts w:ascii="Tw Cen MT" w:hAnsi="Tw Cen MT"/>
          <w:color w:val="231F20"/>
          <w:w w:val="110"/>
        </w:rPr>
        <w:t>pencitraan radiologi diagnostik telah meningkat pesat di seluruh</w:t>
      </w:r>
      <w:r w:rsidRPr="00227851">
        <w:rPr>
          <w:rFonts w:ascii="Tw Cen MT" w:hAnsi="Tw Cen MT"/>
          <w:color w:val="231F20"/>
          <w:spacing w:val="-47"/>
          <w:w w:val="110"/>
        </w:rPr>
        <w:t xml:space="preserve"> </w:t>
      </w:r>
      <w:r w:rsidRPr="00227851">
        <w:rPr>
          <w:rFonts w:ascii="Tw Cen MT" w:hAnsi="Tw Cen MT"/>
          <w:color w:val="231F20"/>
          <w:w w:val="110"/>
        </w:rPr>
        <w:t>dunia</w:t>
      </w:r>
      <w:r w:rsidRPr="00227851">
        <w:rPr>
          <w:rFonts w:ascii="Tw Cen MT" w:hAnsi="Tw Cen MT"/>
          <w:color w:val="231F20"/>
          <w:spacing w:val="1"/>
          <w:w w:val="110"/>
        </w:rPr>
        <w:t xml:space="preserve"> </w:t>
      </w:r>
      <w:r w:rsidRPr="00227851">
        <w:rPr>
          <w:rFonts w:ascii="Tw Cen MT" w:hAnsi="Tw Cen MT"/>
          <w:color w:val="231F20"/>
          <w:w w:val="110"/>
        </w:rPr>
        <w:t>selama</w:t>
      </w:r>
      <w:r w:rsidRPr="00227851">
        <w:rPr>
          <w:rFonts w:ascii="Tw Cen MT" w:hAnsi="Tw Cen MT"/>
          <w:color w:val="231F20"/>
          <w:spacing w:val="1"/>
          <w:w w:val="110"/>
        </w:rPr>
        <w:t xml:space="preserve"> </w:t>
      </w:r>
      <w:r w:rsidRPr="00227851">
        <w:rPr>
          <w:rFonts w:ascii="Tw Cen MT" w:hAnsi="Tw Cen MT"/>
          <w:color w:val="231F20"/>
          <w:w w:val="110"/>
        </w:rPr>
        <w:t>tiga</w:t>
      </w:r>
      <w:r w:rsidRPr="00227851">
        <w:rPr>
          <w:rFonts w:ascii="Tw Cen MT" w:hAnsi="Tw Cen MT"/>
          <w:color w:val="231F20"/>
          <w:spacing w:val="1"/>
          <w:w w:val="110"/>
        </w:rPr>
        <w:t xml:space="preserve"> </w:t>
      </w:r>
      <w:r w:rsidRPr="00227851">
        <w:rPr>
          <w:rFonts w:ascii="Tw Cen MT" w:hAnsi="Tw Cen MT"/>
          <w:color w:val="231F20"/>
          <w:w w:val="110"/>
        </w:rPr>
        <w:t>dekade</w:t>
      </w:r>
      <w:r w:rsidRPr="00227851">
        <w:rPr>
          <w:rFonts w:ascii="Tw Cen MT" w:hAnsi="Tw Cen MT"/>
          <w:color w:val="231F20"/>
          <w:spacing w:val="1"/>
          <w:w w:val="110"/>
        </w:rPr>
        <w:t xml:space="preserve"> </w:t>
      </w:r>
      <w:r w:rsidRPr="00227851">
        <w:rPr>
          <w:rFonts w:ascii="Tw Cen MT" w:hAnsi="Tw Cen MT"/>
          <w:color w:val="231F20"/>
          <w:w w:val="110"/>
        </w:rPr>
        <w:t>terakhir</w:t>
      </w:r>
      <w:r w:rsidRPr="00227851">
        <w:rPr>
          <w:rFonts w:ascii="Tw Cen MT" w:hAnsi="Tw Cen MT"/>
          <w:color w:val="231F20"/>
          <w:spacing w:val="1"/>
          <w:w w:val="110"/>
        </w:rPr>
        <w:t xml:space="preserve"> </w:t>
      </w:r>
      <w:r w:rsidRPr="00227851">
        <w:rPr>
          <w:rFonts w:ascii="Tw Cen MT" w:hAnsi="Tw Cen MT"/>
          <w:color w:val="231F20"/>
          <w:w w:val="110"/>
        </w:rPr>
        <w:t xml:space="preserve">karena </w:t>
      </w:r>
      <w:r w:rsidRPr="00227851">
        <w:rPr>
          <w:rFonts w:ascii="Tw Cen MT" w:hAnsi="Tw Cen MT"/>
          <w:color w:val="231F20"/>
          <w:spacing w:val="1"/>
          <w:w w:val="110"/>
        </w:rPr>
        <w:t xml:space="preserve"> </w:t>
      </w:r>
      <w:r w:rsidRPr="00227851">
        <w:rPr>
          <w:rFonts w:ascii="Tw Cen MT" w:hAnsi="Tw Cen MT"/>
          <w:color w:val="231F20"/>
          <w:w w:val="110"/>
        </w:rPr>
        <w:t>kemajuan</w:t>
      </w:r>
      <w:r w:rsidRPr="00227851">
        <w:rPr>
          <w:rFonts w:ascii="Tw Cen MT" w:hAnsi="Tw Cen MT"/>
          <w:color w:val="231F20"/>
          <w:spacing w:val="1"/>
          <w:w w:val="110"/>
        </w:rPr>
        <w:t xml:space="preserve"> </w:t>
      </w:r>
      <w:r w:rsidRPr="00227851">
        <w:rPr>
          <w:rFonts w:ascii="Tw Cen MT" w:hAnsi="Tw Cen MT"/>
          <w:color w:val="231F20"/>
          <w:w w:val="110"/>
        </w:rPr>
        <w:t>teknologi</w:t>
      </w:r>
      <w:r w:rsidR="00C863C0">
        <w:rPr>
          <w:rFonts w:ascii="Tw Cen MT" w:hAnsi="Tw Cen MT"/>
          <w:color w:val="231F20"/>
          <w:w w:val="110"/>
        </w:rPr>
        <w:t xml:space="preserve"> dan kinerjanya yang luar biasa </w:t>
      </w:r>
      <w:r w:rsidRPr="00227851">
        <w:rPr>
          <w:rFonts w:ascii="Tw Cen MT" w:hAnsi="Tw Cen MT"/>
          <w:color w:val="231F20"/>
          <w:w w:val="110"/>
        </w:rPr>
        <w:fldChar w:fldCharType="begin" w:fldLock="1"/>
      </w:r>
      <w:r w:rsidR="00D46EB5" w:rsidRPr="00227851">
        <w:rPr>
          <w:rFonts w:ascii="Tw Cen MT" w:hAnsi="Tw Cen MT"/>
          <w:color w:val="231F20"/>
          <w:w w:val="110"/>
        </w:rPr>
        <w:instrText>ADDIN CSL_CITATION {"citationItems":[{"id":"ITEM-1","itemData":{"DOI":"10.3390/ijerph10020717","ISSN":"16604601","PMID":"23429160","abstract":"The increasing worldwide use of paediatric computed tomography (CT) has led to increasing concerns regarding the subsequent effects of exposure to radiation. In response to this concern, the international EPI-CT project was developed to study the risk of cancer in a large multi-country cohort. In radiation epidemiology, accurate estimates of organ-specific doses are essential. In EPI-CT, data collection is split into two time periods-before and after introduction of the Picture Archiving Communication System (PACS) introduced in the 1990s. Prior to PACS, only sparse information about scanner settings is available from radiology departments. Hence, a multi-level approach was developed to retrieve information from a questionnaire, surveys, scientific publications, and expert interviews. For the years after PACS was introduced, scanner settings will be extracted from Digital Imaging and Communications in Medicine (DICOM) headers, a protocol for storing medical imaging data. Radiation fields and X-ray interactions within the body will be simulated using phantoms of various ages and Monte-Carlo-based radiation transport calculations. Individual organ doses will be estimated for each child using an accepted calculation strategy, scanner settings, and the radiation transport calculations. Comprehensive analyses of missing and uncertain dosimetry data will be conducted to provide uncertainty distributions of doses. © 2013 by the authors; licensee MDPI, Basel, Switzerland.","author":[{"dropping-particle":"","family":"Thierry-Chef","given":"Isabelle","non-dropping-particle":"","parse-names":false,"suffix":""},{"dropping-particle":"","family":"Dabin","given":"Jérémie","non-dropping-particle":"","parse-names":false,"suffix":""},{"dropping-particle":"","family":"Friberg","given":"Eva G.","non-dropping-particle":"","parse-names":false,"suffix":""},{"dropping-particle":"","family":"Hermen","given":"Johannes","non-dropping-particle":"","parse-names":false,"suffix":""},{"dropping-particle":"","family":"Istad","given":"Tore S.","non-dropping-particle":"","parse-names":false,"suffix":""},{"dropping-particle":"","family":"Jahnen","given":"Ndreas","non-dropping-particle":"","parse-names":false,"suffix":""},{"dropping-particle":"","family":"Krille","given":"Lucian","non-dropping-particle":"","parse-names":false,"suffix":""},{"dropping-particle":"","family":"Lee","given":"Choonsik","non-dropping-particle":"","parse-names":false,"suffix":""},{"dropping-particle":"","family":"Maccia","given":"Carlo","non-dropping-particle":"","parse-names":false,"suffix":""},{"dropping-particle":"","family":"Nordenskjöld","given":"Arvid","non-dropping-particle":"","parse-names":false,"suffix":""},{"dropping-particle":"","family":"Olerud","given":"Hilde M.","non-dropping-particle":"","parse-names":false,"suffix":""},{"dropping-particle":"","family":"Rani","given":"Kaddour","non-dropping-particle":"","parse-names":false,"suffix":""},{"dropping-particle":"","family":"Rehel","given":"Jean Luc","non-dropping-particle":"","parse-names":false,"suffix":""},{"dropping-particle":"","family":"Simon","given":"Steven L.","non-dropping-particle":"","parse-names":false,"suffix":""},{"dropping-particle":"","family":"Struelens","given":"Lara","non-dropping-particle":"","parse-names":false,"suffix":""},{"dropping-particle":"","family":"Kesminiene","given":"Ausrele","non-dropping-particle":"","parse-names":false,"suffix":""}],"container-title":"International Journal of Environmental Research and Public Health","id":"ITEM-1","issue":"2","issued":{"date-parts":[["2013"]]},"page":"717-728","title":"Assessing organ doses from paediatric CT scans-A novel approach for an epidemiology study (the EPI-CT study)","type":"article-journal","volume":"10"},"uris":["http://www.mendeley.com/documents/?uuid=ef6709f2-fd63-4782-a882-f14b15f89ece"]}],"mendeley":{"formattedCitation":"[2]","plainTextFormattedCitation":"[2]","previouslyFormattedCitation":"[2]"},"properties":{"noteIndex":0},"schema":"https://github.com/citation-style-language/schema/raw/master/csl-citation.json"}</w:instrText>
      </w:r>
      <w:r w:rsidRPr="00227851">
        <w:rPr>
          <w:rFonts w:ascii="Tw Cen MT" w:hAnsi="Tw Cen MT"/>
          <w:color w:val="231F20"/>
          <w:w w:val="110"/>
        </w:rPr>
        <w:fldChar w:fldCharType="separate"/>
      </w:r>
      <w:r w:rsidR="00D46EB5" w:rsidRPr="00227851">
        <w:rPr>
          <w:rFonts w:ascii="Tw Cen MT" w:hAnsi="Tw Cen MT"/>
          <w:noProof/>
          <w:color w:val="231F20"/>
          <w:w w:val="110"/>
        </w:rPr>
        <w:t>[2]</w:t>
      </w:r>
      <w:r w:rsidRPr="00227851">
        <w:rPr>
          <w:rFonts w:ascii="Tw Cen MT" w:hAnsi="Tw Cen MT"/>
          <w:color w:val="231F20"/>
          <w:w w:val="110"/>
        </w:rPr>
        <w:fldChar w:fldCharType="end"/>
      </w:r>
      <w:r w:rsidR="00C863C0">
        <w:rPr>
          <w:rFonts w:ascii="Tw Cen MT" w:hAnsi="Tw Cen MT"/>
          <w:color w:val="231F20"/>
          <w:w w:val="110"/>
        </w:rPr>
        <w:t>.</w:t>
      </w:r>
    </w:p>
    <w:p w14:paraId="56FB883C" w14:textId="08839978" w:rsidR="00293C1F" w:rsidRPr="00227851" w:rsidRDefault="00293C1F" w:rsidP="00AF291F">
      <w:pPr>
        <w:pStyle w:val="NoSpacing"/>
        <w:spacing w:line="240" w:lineRule="auto"/>
        <w:ind w:left="0" w:firstLine="0"/>
        <w:rPr>
          <w:rFonts w:ascii="Tw Cen MT" w:hAnsi="Tw Cen MT"/>
        </w:rPr>
      </w:pPr>
      <w:r w:rsidRPr="00227851">
        <w:rPr>
          <w:rFonts w:ascii="Tw Cen MT" w:hAnsi="Tw Cen MT"/>
          <w:i/>
        </w:rPr>
        <w:t>Computed Tomography Scanner</w:t>
      </w:r>
      <w:r w:rsidRPr="00227851">
        <w:rPr>
          <w:rFonts w:ascii="Tw Cen MT" w:hAnsi="Tw Cen MT"/>
        </w:rPr>
        <w:t xml:space="preserve"> (CT Scan) merupakan modalitas pencitraan medis yang dapat menampilkan citra tampang lintang tubuh dalam 3 dimensi secara non invasif. Pemeriksaan dengan CT Scan merupakan standar baru yang mulai menggantikan prosedur diagnostik invasif lainnya, seperti fluoroscopy dan angiografi intervensi. Karakteristik citra CT Scan dapat memperlihatkan struktur antar jaringan dengan kontras yang lebih baik bila dibandingkan dengan modalitas r</w:t>
      </w:r>
      <w:r w:rsidR="00C863C0">
        <w:rPr>
          <w:rFonts w:ascii="Tw Cen MT" w:hAnsi="Tw Cen MT"/>
        </w:rPr>
        <w:t xml:space="preserve">adiografi non tomografi lainnya </w:t>
      </w:r>
      <w:r w:rsidRPr="00227851">
        <w:rPr>
          <w:rFonts w:ascii="Tw Cen MT" w:hAnsi="Tw Cen MT"/>
        </w:rPr>
        <w:fldChar w:fldCharType="begin" w:fldLock="1"/>
      </w:r>
      <w:r w:rsidR="00D46EB5" w:rsidRPr="00227851">
        <w:rPr>
          <w:rFonts w:ascii="Tw Cen MT" w:hAnsi="Tw Cen MT"/>
        </w:rPr>
        <w:instrText>ADDIN CSL_CITATION {"citationItems":[{"id":"ITEM-1","itemData":{"author":[{"dropping-particle":"","family":"Lestari","given":"Rinawati","non-dropping-particle":"","parse-names":false,"suffix":""},{"dropping-particle":"","family":"Heru","given":"Nursama","non-dropping-particle":"","parse-names":false,"suffix":""}],"container-title":"Jurnal Pengawasan Tenaga Nuklir","id":"ITEM-1","issue":"1","issued":{"date-parts":[["2022"]]},"page":"6-12","title":"Evaluasi Nilai Noise dan Uniformity Citra CT Scan Sebelum dan Setelah Kalibrasi Harian Makalah Penelitian Menyerahkan Diterima Terbit Computed Tomography ( CT ) Scan merupakan modalitas pencitraan medis yang dapat menampilkan citra tampang lintang tubuh d","type":"article-journal","volume":"2"},"uris":["http://www.mendeley.com/documents/?uuid=b08d6117-dc86-42a0-a0c6-f28d7b2d7f44"]}],"mendeley":{"formattedCitation":"[3]","plainTextFormattedCitation":"[3]","previouslyFormattedCitation":"[3]"},"properties":{"noteIndex":0},"schema":"https://github.com/citation-style-language/schema/raw/master/csl-citation.json"}</w:instrText>
      </w:r>
      <w:r w:rsidRPr="00227851">
        <w:rPr>
          <w:rFonts w:ascii="Tw Cen MT" w:hAnsi="Tw Cen MT"/>
        </w:rPr>
        <w:fldChar w:fldCharType="separate"/>
      </w:r>
      <w:r w:rsidR="00D46EB5" w:rsidRPr="00227851">
        <w:rPr>
          <w:rFonts w:ascii="Tw Cen MT" w:hAnsi="Tw Cen MT"/>
          <w:noProof/>
        </w:rPr>
        <w:t>[3]</w:t>
      </w:r>
      <w:r w:rsidRPr="00227851">
        <w:rPr>
          <w:rFonts w:ascii="Tw Cen MT" w:hAnsi="Tw Cen MT"/>
        </w:rPr>
        <w:fldChar w:fldCharType="end"/>
      </w:r>
      <w:r w:rsidR="00C863C0">
        <w:rPr>
          <w:rFonts w:ascii="Tw Cen MT" w:hAnsi="Tw Cen MT"/>
        </w:rPr>
        <w:t>.</w:t>
      </w:r>
    </w:p>
    <w:p w14:paraId="0AA64004" w14:textId="3BA34917" w:rsidR="00293C1F" w:rsidRPr="00227851" w:rsidRDefault="00293C1F" w:rsidP="00AF291F">
      <w:pPr>
        <w:pStyle w:val="NoSpacing"/>
        <w:spacing w:line="240" w:lineRule="auto"/>
        <w:ind w:left="0" w:firstLine="0"/>
        <w:rPr>
          <w:rFonts w:ascii="Tw Cen MT" w:hAnsi="Tw Cen MT"/>
          <w:color w:val="231F20"/>
          <w:w w:val="110"/>
        </w:rPr>
      </w:pPr>
      <w:r w:rsidRPr="00227851">
        <w:rPr>
          <w:rFonts w:ascii="Tw Cen MT" w:hAnsi="Tw Cen MT"/>
        </w:rPr>
        <w:t>Meskipun memiliki resiko tapi pada umumnya dianggap masalah kecil dibanding keuntungan yang didapat pada pemeriksaan CT Scan. Resiko kanker semakin meningkat dengan meningkatnya dosis radiasi. Akurasi pada estimasi dosis sangat penting dalam memperkirakan dan mem</w:t>
      </w:r>
      <w:r w:rsidR="00C863C0">
        <w:rPr>
          <w:rFonts w:ascii="Tw Cen MT" w:hAnsi="Tw Cen MT"/>
        </w:rPr>
        <w:t xml:space="preserve">inimalisir resiko pada pasien </w:t>
      </w:r>
      <w:r w:rsidRPr="00227851">
        <w:rPr>
          <w:rFonts w:ascii="Tw Cen MT" w:hAnsi="Tw Cen MT"/>
        </w:rPr>
        <w:fldChar w:fldCharType="begin" w:fldLock="1"/>
      </w:r>
      <w:r w:rsidR="00D46EB5" w:rsidRPr="00227851">
        <w:rPr>
          <w:rFonts w:ascii="Tw Cen MT" w:hAnsi="Tw Cen MT"/>
        </w:rPr>
        <w:instrText>ADDIN CSL_CITATION {"citationItems":[{"id":"ITEM-1","itemData":{"DOI":"10.1093/rpd/ncy214","ISSN":"17423406","PMID":"30508150","abstract":"We proposed and evaluated a water-equivalent diameter calculation without using a region of interest (ROI), (Dw,t) and compared it with the results of using a ROI fitted to the patient border (Dw,f). Evaluations were carried out on thoracic and head CT images. We found that the difference between Dw,t and Dw,f was within 5% for all images in the head region, and most images were within 5% (27 of the 30 patients, 90%) in the thoracic region. We also proposed a method to automatically detect and eliminate the patient table (or head support) from images and evaluated the water-equivalent diameter values after the table had been removed (Dw,nt). This method was able to recognize and remove the patient table from all images used. By removing the table, the water-equivalent diameter (Dw,nt) became more accurate and the difference from Dw,f was within 5% for all images (head and thoracic images).","author":[{"dropping-particle":"","family":"Anam","given":"Choirul","non-dropping-particle":"","parse-names":false,"suffix":""},{"dropping-particle":"","family":"Arif","given":"Idam","non-dropping-particle":"","parse-names":false,"suffix":""},{"dropping-particle":"","family":"Haryanto","given":"Freddy","non-dropping-particle":"","parse-names":false,"suffix":""},{"dropping-particle":"","family":"Widita","given":"Rena","non-dropping-particle":"","parse-names":false,"suffix":""},{"dropping-particle":"","family":"Lestari","given":"Fauzia P.","non-dropping-particle":"","parse-names":false,"suffix":""},{"dropping-particle":"","family":"Adi","given":"Kusworo","non-dropping-particle":"","parse-names":false,"suffix":""},{"dropping-particle":"","family":"Dougherty","given":"Geoff","non-dropping-particle":"","parse-names":false,"suffix":""}],"container-title":"Radiation Protection Dosimetry","id":"ITEM-1","issue":"1","issued":{"date-parts":[["2019"]]},"page":"42-49","title":"A Simplified Method for the Water Equivalent Diameter Calculation to Estimate PATIENT Dose in CT Examinations","type":"article-journal","volume":"185"},"uris":["http://www.mendeley.com/documents/?uuid=df5219b1-3834-40bb-b7ae-115734557379"]}],"mendeley":{"formattedCitation":"[4]","plainTextFormattedCitation":"[4]","previouslyFormattedCitation":"[4]"},"properties":{"noteIndex":0},"schema":"https://github.com/citation-style-language/schema/raw/master/csl-citation.json"}</w:instrText>
      </w:r>
      <w:r w:rsidRPr="00227851">
        <w:rPr>
          <w:rFonts w:ascii="Tw Cen MT" w:hAnsi="Tw Cen MT"/>
        </w:rPr>
        <w:fldChar w:fldCharType="separate"/>
      </w:r>
      <w:r w:rsidR="00D46EB5" w:rsidRPr="00227851">
        <w:rPr>
          <w:rFonts w:ascii="Tw Cen MT" w:hAnsi="Tw Cen MT"/>
          <w:noProof/>
        </w:rPr>
        <w:t>[4]</w:t>
      </w:r>
      <w:r w:rsidRPr="00227851">
        <w:rPr>
          <w:rFonts w:ascii="Tw Cen MT" w:hAnsi="Tw Cen MT"/>
        </w:rPr>
        <w:fldChar w:fldCharType="end"/>
      </w:r>
      <w:r w:rsidR="00C863C0">
        <w:rPr>
          <w:rFonts w:ascii="Tw Cen MT" w:hAnsi="Tw Cen MT"/>
        </w:rPr>
        <w:t>.</w:t>
      </w:r>
      <w:r w:rsidRPr="00227851">
        <w:rPr>
          <w:rFonts w:ascii="Tw Cen MT" w:hAnsi="Tw Cen MT"/>
        </w:rPr>
        <w:t xml:space="preserve"> </w:t>
      </w:r>
    </w:p>
    <w:p w14:paraId="57DC381F" w14:textId="785A941E" w:rsidR="00C61766" w:rsidRPr="00227851" w:rsidRDefault="00C61766" w:rsidP="00AF291F">
      <w:pPr>
        <w:pStyle w:val="NoSpacing"/>
        <w:spacing w:line="240" w:lineRule="auto"/>
        <w:ind w:left="0" w:firstLine="0"/>
        <w:rPr>
          <w:rFonts w:ascii="Tw Cen MT" w:hAnsi="Tw Cen MT"/>
        </w:rPr>
      </w:pPr>
      <w:r w:rsidRPr="00227851">
        <w:rPr>
          <w:rFonts w:ascii="Tw Cen MT" w:hAnsi="Tw Cen MT"/>
        </w:rPr>
        <w:t>Dalam proses pencitraan (</w:t>
      </w:r>
      <w:r w:rsidRPr="00227851">
        <w:rPr>
          <w:rFonts w:ascii="Tw Cen MT" w:hAnsi="Tw Cen MT"/>
          <w:i/>
        </w:rPr>
        <w:t>scanning</w:t>
      </w:r>
      <w:r w:rsidRPr="00227851">
        <w:rPr>
          <w:rFonts w:ascii="Tw Cen MT" w:hAnsi="Tw Cen MT"/>
        </w:rPr>
        <w:t xml:space="preserve">), pasien menerima dosis radiasi sinar-X, sehingga penting untuk mengukur estimasi dosis radiasi yang diterima pasien selama setiap pemeriksaan. Optimalisasi proteksi dan keselamatan radiasi pada paparan medis perlu diterapkan untuk memastikan bahwa dosis radiasi yang diterima pasien minimal dan citra radiografi dapat dihasilkan dengan optimal, dengan mempertimbangkan aspek sosial dan ekonomi. Upaya dalam menerapkan optimalisasi proteksi dan keselamatan radiasi pada paparan medis dapat dicapai melalui penerapan Tingkat Panduan Diagnostik atau </w:t>
      </w:r>
      <w:r w:rsidRPr="00227851">
        <w:rPr>
          <w:rFonts w:ascii="Tw Cen MT" w:hAnsi="Tw Cen MT"/>
          <w:i/>
        </w:rPr>
        <w:t>Diagnostic Reference Level</w:t>
      </w:r>
      <w:r w:rsidRPr="00227851">
        <w:rPr>
          <w:rFonts w:ascii="Tw Cen MT" w:hAnsi="Tw Cen MT"/>
        </w:rPr>
        <w:t xml:space="preserve"> (DRL)</w:t>
      </w:r>
      <w:r w:rsidR="00C863C0">
        <w:rPr>
          <w:rFonts w:ascii="Tw Cen MT" w:hAnsi="Tw Cen MT"/>
        </w:rPr>
        <w:t xml:space="preserve"> </w:t>
      </w:r>
      <w:r w:rsidR="00293C1F" w:rsidRPr="00227851">
        <w:rPr>
          <w:rFonts w:ascii="Tw Cen MT" w:hAnsi="Tw Cen MT"/>
        </w:rPr>
        <w:fldChar w:fldCharType="begin" w:fldLock="1"/>
      </w:r>
      <w:r w:rsidR="00D46EB5" w:rsidRPr="00227851">
        <w:rPr>
          <w:rFonts w:ascii="Tw Cen MT" w:hAnsi="Tw Cen MT"/>
        </w:rPr>
        <w:instrText>ADDIN CSL_CITATION {"citationItems":[{"id":"ITEM-1","itemData":{"abstract":"Predicting the binding mode of flexible polypeptides to proteins is an important task that falls outside the domain of applicability of most small molecule and protein</w:instrText>
      </w:r>
      <w:r w:rsidR="00D46EB5" w:rsidRPr="00227851">
        <w:rPr>
          <w:rFonts w:ascii="Arial" w:hAnsi="Arial" w:cs="Arial"/>
        </w:rPr>
        <w:instrText>−</w:instrText>
      </w:r>
      <w:r w:rsidR="00D46EB5" w:rsidRPr="00227851">
        <w:rPr>
          <w:rFonts w:ascii="Tw Cen MT" w:hAnsi="Tw Cen MT"/>
        </w:rPr>
        <w:instrText>protein docking tools. Here, we test the small molecule flexible ligand docking program Glide on a set of 19 non-</w:instrText>
      </w:r>
      <w:r w:rsidR="00D46EB5" w:rsidRPr="00227851">
        <w:rPr>
          <w:rFonts w:ascii="Arial" w:hAnsi="Arial" w:cs="Arial"/>
        </w:rPr>
        <w:instrText>α</w:instrText>
      </w:r>
      <w:r w:rsidR="00D46EB5" w:rsidRPr="00227851">
        <w:rPr>
          <w:rFonts w:ascii="Tw Cen MT" w:hAnsi="Tw Cen MT"/>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approach.","author":[{"dropping-particle":"","family":"Badan Pengawas Tenaga Nuklir (BAPETEN)","given":"","non-dropping-particle":"","parse-names":false,"suffix":""}],"container-title":"Badan Pengawas Tenaga Nuklir republik Indonesia","id":"ITEM-1","issued":{"date-parts":[["2021"]]},"page":"4","title":"Keputusan Kepala Badan Pengawas Tenaga Nuklir Nomor 1211/K/V/2021 Tentang Penetapan Nilai Tingkat Panduan Diagnostik Indonesia (Indonesian Diagnostic Reference Level) Untuk Modalitas CT-Scan Dan Radiografi Umum","type":"article-journal"},"uris":["http://www.mendeley.com/documents/?uuid=37f97193-fd7b-43cf-b76b-aafe5b7ac7d4"]}],"mendeley":{"formattedCitation":"[5]","plainTextFormattedCitation":"[5]","previouslyFormattedCitation":"[5]"},"properties":{"noteIndex":0},"schema":"https://github.com/citation-style-language/schema/raw/master/csl-citation.json"}</w:instrText>
      </w:r>
      <w:r w:rsidR="00293C1F" w:rsidRPr="00227851">
        <w:rPr>
          <w:rFonts w:ascii="Tw Cen MT" w:hAnsi="Tw Cen MT"/>
        </w:rPr>
        <w:fldChar w:fldCharType="separate"/>
      </w:r>
      <w:r w:rsidR="00D46EB5" w:rsidRPr="00227851">
        <w:rPr>
          <w:rFonts w:ascii="Tw Cen MT" w:hAnsi="Tw Cen MT"/>
          <w:noProof/>
        </w:rPr>
        <w:t>[5]</w:t>
      </w:r>
      <w:r w:rsidR="00293C1F" w:rsidRPr="00227851">
        <w:rPr>
          <w:rFonts w:ascii="Tw Cen MT" w:hAnsi="Tw Cen MT"/>
        </w:rPr>
        <w:fldChar w:fldCharType="end"/>
      </w:r>
      <w:r w:rsidR="00C863C0">
        <w:rPr>
          <w:rFonts w:ascii="Tw Cen MT" w:hAnsi="Tw Cen MT"/>
        </w:rPr>
        <w:t>.</w:t>
      </w:r>
      <w:r w:rsidR="00293C1F" w:rsidRPr="00227851">
        <w:rPr>
          <w:rFonts w:ascii="Tw Cen MT" w:hAnsi="Tw Cen MT"/>
        </w:rPr>
        <w:t xml:space="preserve"> </w:t>
      </w:r>
    </w:p>
    <w:p w14:paraId="72586E6E" w14:textId="5C9C2E7B" w:rsidR="00C61766" w:rsidRPr="00227851" w:rsidRDefault="00C61766" w:rsidP="00AF291F">
      <w:pPr>
        <w:pStyle w:val="NoSpacing"/>
        <w:spacing w:line="240" w:lineRule="auto"/>
        <w:ind w:left="0" w:firstLine="0"/>
        <w:rPr>
          <w:rFonts w:ascii="Tw Cen MT" w:hAnsi="Tw Cen MT"/>
        </w:rPr>
      </w:pPr>
      <w:r w:rsidRPr="00227851">
        <w:rPr>
          <w:rFonts w:ascii="Tw Cen MT" w:hAnsi="Tw Cen MT"/>
          <w:i/>
        </w:rPr>
        <w:t>Diagnostic Reference Level</w:t>
      </w:r>
      <w:r w:rsidRPr="00227851">
        <w:rPr>
          <w:rFonts w:ascii="Tw Cen MT" w:hAnsi="Tw Cen MT"/>
        </w:rPr>
        <w:t xml:space="preserve"> (DRL) diperkenalkan pada tahun 1996 oleh </w:t>
      </w:r>
      <w:r w:rsidRPr="00227851">
        <w:rPr>
          <w:rFonts w:ascii="Tw Cen MT" w:hAnsi="Tw Cen MT"/>
          <w:i/>
        </w:rPr>
        <w:t>International</w:t>
      </w:r>
      <w:r w:rsidRPr="00227851">
        <w:rPr>
          <w:rFonts w:ascii="Tw Cen MT" w:hAnsi="Tw Cen MT"/>
        </w:rPr>
        <w:t xml:space="preserve"> </w:t>
      </w:r>
      <w:r w:rsidRPr="00227851">
        <w:rPr>
          <w:rFonts w:ascii="Tw Cen MT" w:hAnsi="Tw Cen MT"/>
          <w:i/>
        </w:rPr>
        <w:t>Commission on Radiological Protection</w:t>
      </w:r>
      <w:r w:rsidRPr="00227851">
        <w:rPr>
          <w:rFonts w:ascii="Tw Cen MT" w:hAnsi="Tw Cen MT"/>
        </w:rPr>
        <w:t xml:space="preserve"> (ICRP) sebagai panduan untuk melindungi pasien dari kemungkinan efek radiasi, mengoptimalkan dosis dan mendapatkan gambar berkualitas tinggi untuk diagnosis dengan radiasi minimum dan perlindungan pasien dalam pencitraan medis. Oleh karena itu, DRL diperkenalkan oleh ICRP untuk optimasi dosis dan bukan pembatasan dosis untuk pasien, dan penggunaannya telah disetujui oleh Uni Eropa, </w:t>
      </w:r>
      <w:r w:rsidRPr="00227851">
        <w:rPr>
          <w:rFonts w:ascii="Tw Cen MT" w:hAnsi="Tw Cen MT"/>
          <w:i/>
        </w:rPr>
        <w:t>American College of Radiology</w:t>
      </w:r>
      <w:r w:rsidRPr="00227851">
        <w:rPr>
          <w:rFonts w:ascii="Tw Cen MT" w:hAnsi="Tw Cen MT"/>
        </w:rPr>
        <w:t xml:space="preserve"> (ACR) dan </w:t>
      </w:r>
      <w:r w:rsidRPr="00227851">
        <w:rPr>
          <w:rFonts w:ascii="Tw Cen MT" w:hAnsi="Tw Cen MT"/>
          <w:i/>
        </w:rPr>
        <w:t xml:space="preserve">International Atomic Energy Agency </w:t>
      </w:r>
      <w:r w:rsidR="00C863C0">
        <w:rPr>
          <w:rFonts w:ascii="Tw Cen MT" w:hAnsi="Tw Cen MT"/>
        </w:rPr>
        <w:t xml:space="preserve">(IAEA) </w:t>
      </w:r>
      <w:r w:rsidRPr="00227851">
        <w:rPr>
          <w:rFonts w:ascii="Tw Cen MT" w:hAnsi="Tw Cen MT"/>
        </w:rPr>
        <w:fldChar w:fldCharType="begin" w:fldLock="1"/>
      </w:r>
      <w:r w:rsidR="00D46EB5" w:rsidRPr="00227851">
        <w:rPr>
          <w:rFonts w:ascii="Tw Cen MT" w:hAnsi="Tw Cen MT"/>
        </w:rPr>
        <w:instrText>ADDIN CSL_CITATION {"citationItems":[{"id":"ITEM-1","itemData":{"DOI":"10.31661/jbpe.v0i0.2105-1322.Keywords","author":[{"dropping-particle":"","family":"Tabesh","given":"Jalal","non-dropping-particle":"","parse-names":false,"suffix":""},{"dropping-particle":"","family":"Maziyar","given":"Mahdavi","non-dropping-particle":"","parse-names":false,"suffix":""}],"container-title":"J. Biomed Phys Eng","id":"ITEM-1","issue":"June","issued":{"date-parts":[["2021"]]},"title":"determination of DRL in Common Computed Tomography examination with The modified quality control Based Dose Survey Method in four University Centers : A comparison of Method","type":"article-journal","volume":"11"},"uris":["http://www.mendeley.com/documents/?uuid=3d756420-93e3-4f1d-8c75-df27f80a7403"]}],"mendeley":{"formattedCitation":"[6]","plainTextFormattedCitation":"[6]","previouslyFormattedCitation":"[6]"},"properties":{"noteIndex":0},"schema":"https://github.com/citation-style-language/schema/raw/master/csl-citation.json"}</w:instrText>
      </w:r>
      <w:r w:rsidRPr="00227851">
        <w:rPr>
          <w:rFonts w:ascii="Tw Cen MT" w:hAnsi="Tw Cen MT"/>
        </w:rPr>
        <w:fldChar w:fldCharType="separate"/>
      </w:r>
      <w:r w:rsidR="00D46EB5" w:rsidRPr="00227851">
        <w:rPr>
          <w:rFonts w:ascii="Tw Cen MT" w:hAnsi="Tw Cen MT"/>
          <w:noProof/>
        </w:rPr>
        <w:t>[6]</w:t>
      </w:r>
      <w:r w:rsidRPr="00227851">
        <w:rPr>
          <w:rFonts w:ascii="Tw Cen MT" w:hAnsi="Tw Cen MT"/>
        </w:rPr>
        <w:fldChar w:fldCharType="end"/>
      </w:r>
      <w:r w:rsidR="00C863C0">
        <w:rPr>
          <w:rFonts w:ascii="Tw Cen MT" w:hAnsi="Tw Cen MT"/>
        </w:rPr>
        <w:t>.</w:t>
      </w:r>
    </w:p>
    <w:p w14:paraId="684AC693" w14:textId="16239C7B" w:rsidR="00C61766" w:rsidRPr="00227851" w:rsidRDefault="00C61766" w:rsidP="00AF291F">
      <w:pPr>
        <w:pStyle w:val="NoSpacing"/>
        <w:spacing w:line="240" w:lineRule="auto"/>
        <w:ind w:left="0" w:firstLine="0"/>
        <w:rPr>
          <w:rFonts w:ascii="Tw Cen MT" w:hAnsi="Tw Cen MT"/>
        </w:rPr>
      </w:pPr>
      <w:r w:rsidRPr="00227851">
        <w:rPr>
          <w:rFonts w:ascii="Tw Cen MT" w:hAnsi="Tw Cen MT"/>
        </w:rPr>
        <w:t>DRL untuk pemeriksaan MSCT diungkapkan dalam nilai CTDIvol (</w:t>
      </w:r>
      <w:r w:rsidRPr="00227851">
        <w:rPr>
          <w:rFonts w:ascii="Tw Cen MT" w:hAnsi="Tw Cen MT"/>
          <w:i/>
        </w:rPr>
        <w:t>Computed Tomography Dose Index Volume</w:t>
      </w:r>
      <w:r w:rsidRPr="00227851">
        <w:rPr>
          <w:rFonts w:ascii="Tw Cen MT" w:hAnsi="Tw Cen MT"/>
        </w:rPr>
        <w:t>) dan nilai DLP (</w:t>
      </w:r>
      <w:r w:rsidRPr="00227851">
        <w:rPr>
          <w:rFonts w:ascii="Tw Cen MT" w:hAnsi="Tw Cen MT"/>
          <w:i/>
        </w:rPr>
        <w:t>Dose Length Product</w:t>
      </w:r>
      <w:r w:rsidRPr="00227851">
        <w:rPr>
          <w:rFonts w:ascii="Tw Cen MT" w:hAnsi="Tw Cen MT"/>
        </w:rPr>
        <w:t>), dimana CTDIvol mencerminkan dosis output dari MSCT. Sementara DLP adalah total jumlah dosis yang diserap se</w:t>
      </w:r>
      <w:r w:rsidR="00C863C0">
        <w:rPr>
          <w:rFonts w:ascii="Tw Cen MT" w:hAnsi="Tw Cen MT"/>
        </w:rPr>
        <w:t xml:space="preserve">lama pemeriksaan MSCT dilakukan </w:t>
      </w:r>
      <w:r w:rsidRPr="00227851">
        <w:rPr>
          <w:rFonts w:ascii="Tw Cen MT" w:hAnsi="Tw Cen MT"/>
        </w:rPr>
        <w:fldChar w:fldCharType="begin" w:fldLock="1"/>
      </w:r>
      <w:r w:rsidR="00D46EB5" w:rsidRPr="00227851">
        <w:rPr>
          <w:rFonts w:ascii="Tw Cen MT" w:hAnsi="Tw Cen MT"/>
        </w:rPr>
        <w:instrText>ADDIN CSL_CITATION {"citationItems":[{"id":"ITEM-1","itemData":{"author":[{"dropping-particle":"","family":"Masuku","given":"Rachmat S.","non-dropping-particle":"","parse-names":false,"suffix":""}],"container-title":"Jurnal Ilmiah Multidisiplin","id":"ITEM-1","issue":"10","issued":{"date-parts":[["2023"]]},"page":"1235-1243","title":"Analisis nilai Computer Tomography Dose Index (CTDI) Dan Dose Length Product (DLP) Pada Pemeriksaan Multislice Computed Tomography (MSCT) Trauma Kepala Dewasa Di Instalasi Radiologi Rumah Sakit Balimed Denpasar Bali","type":"article-journal","volume":"1"},"uris":["http://www.mendeley.com/documents/?uuid=af4f59e1-91d3-40ac-89ad-d5fe0b9ec08e"]}],"mendeley":{"formattedCitation":"[7]","plainTextFormattedCitation":"[7]","previouslyFormattedCitation":"[7]"},"properties":{"noteIndex":0},"schema":"https://github.com/citation-style-language/schema/raw/master/csl-citation.json"}</w:instrText>
      </w:r>
      <w:r w:rsidRPr="00227851">
        <w:rPr>
          <w:rFonts w:ascii="Tw Cen MT" w:hAnsi="Tw Cen MT"/>
        </w:rPr>
        <w:fldChar w:fldCharType="separate"/>
      </w:r>
      <w:r w:rsidR="00D46EB5" w:rsidRPr="00227851">
        <w:rPr>
          <w:rFonts w:ascii="Tw Cen MT" w:hAnsi="Tw Cen MT"/>
          <w:noProof/>
        </w:rPr>
        <w:t>[7]</w:t>
      </w:r>
      <w:r w:rsidRPr="00227851">
        <w:rPr>
          <w:rFonts w:ascii="Tw Cen MT" w:hAnsi="Tw Cen MT"/>
        </w:rPr>
        <w:fldChar w:fldCharType="end"/>
      </w:r>
      <w:r w:rsidR="00C863C0">
        <w:rPr>
          <w:rFonts w:ascii="Tw Cen MT" w:hAnsi="Tw Cen MT"/>
        </w:rPr>
        <w:t>.</w:t>
      </w:r>
    </w:p>
    <w:p w14:paraId="17B0F2D6" w14:textId="78402C37" w:rsidR="00C61766" w:rsidRPr="00227851" w:rsidRDefault="00C61766" w:rsidP="00AF291F">
      <w:pPr>
        <w:pStyle w:val="NoSpacing"/>
        <w:spacing w:line="240" w:lineRule="auto"/>
        <w:ind w:left="0" w:firstLine="0"/>
        <w:rPr>
          <w:rFonts w:ascii="Tw Cen MT" w:hAnsi="Tw Cen MT"/>
        </w:rPr>
      </w:pPr>
      <w:r w:rsidRPr="00227851">
        <w:rPr>
          <w:rFonts w:ascii="Tw Cen MT" w:hAnsi="Tw Cen MT"/>
        </w:rPr>
        <w:t xml:space="preserve">Pada kenyataannya, </w:t>
      </w:r>
      <w:r w:rsidRPr="00227851">
        <w:rPr>
          <w:rFonts w:ascii="Tw Cen MT" w:hAnsi="Tw Cen MT"/>
          <w:i/>
        </w:rPr>
        <w:t xml:space="preserve">computed tomography dose index volume </w:t>
      </w:r>
      <w:r w:rsidRPr="00227851">
        <w:rPr>
          <w:rFonts w:ascii="Tw Cen MT" w:hAnsi="Tw Cen MT"/>
        </w:rPr>
        <w:t xml:space="preserve">(CTDIvol) tidak mencerminkan dosis yang sebenarnya diterima pasien. CTDIvol hanya mewakili keluaran radiasi berdasarkan phantom  </w:t>
      </w:r>
      <w:r w:rsidRPr="00227851">
        <w:rPr>
          <w:rFonts w:ascii="Tw Cen MT" w:hAnsi="Tw Cen MT"/>
          <w:i/>
          <w:color w:val="4D5156"/>
          <w:szCs w:val="24"/>
          <w:shd w:val="clear" w:color="auto" w:fill="FFFFFF"/>
        </w:rPr>
        <w:t>polymethyl methacrylate</w:t>
      </w:r>
      <w:r w:rsidRPr="00227851">
        <w:rPr>
          <w:rFonts w:ascii="Tw Cen MT" w:hAnsi="Tw Cen MT"/>
        </w:rPr>
        <w:t xml:space="preserve"> (PMMA) dengan diameter 16 atau 32 cm dalam pemeriksaan aks</w:t>
      </w:r>
      <w:r w:rsidR="00C863C0">
        <w:rPr>
          <w:rFonts w:ascii="Tw Cen MT" w:hAnsi="Tw Cen MT"/>
        </w:rPr>
        <w:t xml:space="preserve">ial atau heliks yang berdekatan </w:t>
      </w:r>
      <w:r w:rsidRPr="00227851">
        <w:rPr>
          <w:rFonts w:ascii="Tw Cen MT" w:hAnsi="Tw Cen MT"/>
        </w:rPr>
        <w:fldChar w:fldCharType="begin" w:fldLock="1"/>
      </w:r>
      <w:r w:rsidR="00D46EB5" w:rsidRPr="00227851">
        <w:rPr>
          <w:rFonts w:ascii="Tw Cen MT" w:hAnsi="Tw Cen MT"/>
        </w:rPr>
        <w:instrText>ADDIN CSL_CITATION {"citationItems":[{"id":"ITEM-1","itemData":{"DOI":"10.1002/acm2.12223","ISSN":"15269914","PMID":"29178549","abstract":"Purpose: To confirm AAPM Reports 204/220 and provide data for the future expansion of these reports by: (a) presenting the first large-scale confirmation of the reports using clinical data, (b) providing the community with size surrogate data for the head region which was not provided in the original reports, and additionally providing the measurements of patient ellipticity ratio for different body regions. Method: A total of 884 routine scans were included in our analysis including data from the head, thorax, abdomen, and pelvis for adults and pediatrics. We calculated the ellipticity ratio and all of the size surrogates presented in AAPM Reports 204/220. We correlated the purely geometric-based metrics with the \"gold standard\" water-equivalent diameter (DW). Results: Our results and AAPM Reports 204/220 agree within our data's 95% confidence intervals. Outliers to the AAPM reports' methods were caused by excess gas in the GI tract, exceptionally low BMI, and cranial metaphyseal dysplasia. For the head, we show lower correlation (R2 = 0.812) between effective diameter and DW relative to other body regions. The ellipticity ratio of the shoulder region was the highest at 2.28 ± 0.22 and the head the smallest at 0.85 ± 0.08. The abdomen pelvis, chest, thorax, and abdomen regions all had ellipticity values near 1.5. Conclusion: We confirmed AAPM reports 204/220 using clinical data and identified patient conditions causing discrepancies. We presented new size surrogate data for the head region and for the first time presented ellipticity data for all regions. Future automatic exposure control characterization should include ellipticity information.","author":[{"dropping-particle":"","family":"Burton","given":"Christiane S.","non-dropping-particle":"","parse-names":false,"suffix":""},{"dropping-particle":"","family":"Szczykutowicz","given":"Timothy P.","non-dropping-particle":"","parse-names":false,"suffix":""}],"container-title":"Journal of Applied Clinical Medical Physics","id":"ITEM-1","issue":"1","issued":{"date-parts":[["2018"]]},"page":"228-238","title":"Evaluation of AAPM Reports 204 and 220: Estimation of effective diameter, water-equivalent diameter, and ellipticity ratios for chest, abdomen, pelvis, and head CT scans","type":"article-journal","volume":"19"},"uris":["http://www.mendeley.com/documents/?uuid=0b6d8bd7-c1e1-4d18-aa6f-6eb8c85fcbb9"]}],"mendeley":{"formattedCitation":"[8]","plainTextFormattedCitation":"[8]","previouslyFormattedCitation":"[8]"},"properties":{"noteIndex":0},"schema":"https://github.com/citation-style-language/schema/raw/master/csl-citation.json"}</w:instrText>
      </w:r>
      <w:r w:rsidRPr="00227851">
        <w:rPr>
          <w:rFonts w:ascii="Tw Cen MT" w:hAnsi="Tw Cen MT"/>
        </w:rPr>
        <w:fldChar w:fldCharType="separate"/>
      </w:r>
      <w:r w:rsidR="00D46EB5" w:rsidRPr="00227851">
        <w:rPr>
          <w:rFonts w:ascii="Tw Cen MT" w:hAnsi="Tw Cen MT"/>
          <w:noProof/>
        </w:rPr>
        <w:t>[8]</w:t>
      </w:r>
      <w:r w:rsidRPr="00227851">
        <w:rPr>
          <w:rFonts w:ascii="Tw Cen MT" w:hAnsi="Tw Cen MT"/>
        </w:rPr>
        <w:fldChar w:fldCharType="end"/>
      </w:r>
      <w:r w:rsidR="00C863C0">
        <w:rPr>
          <w:rFonts w:ascii="Tw Cen MT" w:hAnsi="Tw Cen MT"/>
        </w:rPr>
        <w:t>.</w:t>
      </w:r>
    </w:p>
    <w:p w14:paraId="22849B53" w14:textId="6C428D23" w:rsidR="00C61766" w:rsidRPr="00227851" w:rsidRDefault="00C61766" w:rsidP="00AF291F">
      <w:pPr>
        <w:pStyle w:val="NoSpacing"/>
        <w:spacing w:line="240" w:lineRule="auto"/>
        <w:ind w:left="0" w:firstLine="0"/>
        <w:rPr>
          <w:rFonts w:ascii="Tw Cen MT" w:hAnsi="Tw Cen MT"/>
        </w:rPr>
      </w:pPr>
      <w:r w:rsidRPr="00227851">
        <w:rPr>
          <w:rFonts w:ascii="Tw Cen MT" w:hAnsi="Tw Cen MT"/>
          <w:szCs w:val="24"/>
        </w:rPr>
        <w:t>American</w:t>
      </w:r>
      <w:r w:rsidRPr="00227851">
        <w:rPr>
          <w:rFonts w:ascii="Tw Cen MT" w:hAnsi="Tw Cen MT"/>
          <w:i/>
        </w:rPr>
        <w:t xml:space="preserve"> Association of Physicists in Medicine</w:t>
      </w:r>
      <w:r w:rsidRPr="00227851">
        <w:rPr>
          <w:rFonts w:ascii="Tw Cen MT" w:hAnsi="Tw Cen MT"/>
        </w:rPr>
        <w:t xml:space="preserve"> (AAPM) telah memperkenalkan ‘</w:t>
      </w:r>
      <w:r w:rsidRPr="00227851">
        <w:rPr>
          <w:rFonts w:ascii="Tw Cen MT" w:hAnsi="Tw Cen MT"/>
          <w:i/>
        </w:rPr>
        <w:t>size-specific dose estimates’</w:t>
      </w:r>
      <w:r w:rsidRPr="00227851">
        <w:rPr>
          <w:rFonts w:ascii="Tw Cen MT" w:hAnsi="Tw Cen MT"/>
        </w:rPr>
        <w:t xml:space="preserve"> (SSDE) untuk penilaian yang lebih akurat terhadap dosis yan</w:t>
      </w:r>
      <w:r w:rsidR="00C863C0">
        <w:rPr>
          <w:rFonts w:ascii="Tw Cen MT" w:hAnsi="Tw Cen MT"/>
        </w:rPr>
        <w:t>g diterima pasien di tahun 2011</w:t>
      </w:r>
      <w:r w:rsidRPr="00227851">
        <w:rPr>
          <w:rFonts w:ascii="Tw Cen MT" w:hAnsi="Tw Cen MT"/>
        </w:rPr>
        <w:fldChar w:fldCharType="begin" w:fldLock="1"/>
      </w:r>
      <w:r w:rsidR="00D46EB5" w:rsidRPr="00227851">
        <w:rPr>
          <w:rFonts w:ascii="Tw Cen MT" w:hAnsi="Tw Cen MT"/>
        </w:rPr>
        <w:instrText>ADDIN CSL_CITATION {"citationItems":[{"id":"ITEM-1","itemData":{"DOI":"10.1093/rpd/ncz056","ISSN":"17423406","PMID":"31330009","abstract":"Due to the radiosensitivity of paediatric patients to X-ray, it is necessary to survey the paediatric DRLs using size-specific dose estimates (SSDE). In the present study, we determined the local diagnostic reference levels (DRLs) for paediatric chest, head and abdomen-pelvis CT examinations and their Surview scans in Kermanshah city, Iran. For ≤1 year, 1–5 years, 5–10 years and 10–15 years the DRLs (mGy) based on SSDE were determined N/A, 6.00, 6.25, 8.27 for abdomen-pelvis, and 8.74, 7.45, 11.15, 10.45 for chest and 19.05, 18.33, 18.22, 20.14 for head examinations, respectively. The differences between body size and default phantom defined in CT scanners are significant and should be considered when determining the DRLs. Based on our findings, use of CTDIv and SSDE parameters for determining DRLs leads to significant different results in children; thus SSDE is suggested as a more accurate index than CTDIV for establishing DRLs in paediatric CT examinations.","author":[{"dropping-particle":"","family":"Mohammadbeigi","given":"Ahmad","non-dropping-particle":"","parse-names":false,"suffix":""},{"dropping-particle":"","family":"Khoshgard","given":"Karim","non-dropping-particle":"","parse-names":false,"suffix":""},{"dropping-particle":"","family":"Haghparast","given":"Abbas","non-dropping-particle":"","parse-names":false,"suffix":""},{"dropping-particle":"","family":"Eivazi","given":"Mohammad Taghi","non-dropping-particle":"","parse-names":false,"suffix":""}],"container-title":"Radiation Protection Dosimetry","id":"ITEM-1","issue":"4","issued":{"date-parts":[["2019"]]},"page":"496-506","title":"Local DRLS for Paediatric CT Examinations Based on Size Specific dose Estimate in Kermanshah, Iran","type":"article-journal","volume":"186"},"uris":["http://www.mendeley.com/documents/?uuid=9e49f649-2788-40a9-b4e9-2a21b67ddf7d"]}],"mendeley":{"formattedCitation":"[9]","plainTextFormattedCitation":"[9]","previouslyFormattedCitation":"[9]"},"properties":{"noteIndex":0},"schema":"https://github.com/citation-style-language/schema/raw/master/csl-citation.json"}</w:instrText>
      </w:r>
      <w:r w:rsidRPr="00227851">
        <w:rPr>
          <w:rFonts w:ascii="Tw Cen MT" w:hAnsi="Tw Cen MT"/>
        </w:rPr>
        <w:fldChar w:fldCharType="separate"/>
      </w:r>
      <w:r w:rsidR="00D46EB5" w:rsidRPr="00227851">
        <w:rPr>
          <w:rFonts w:ascii="Tw Cen MT" w:hAnsi="Tw Cen MT"/>
          <w:noProof/>
        </w:rPr>
        <w:t>[9]</w:t>
      </w:r>
      <w:r w:rsidRPr="00227851">
        <w:rPr>
          <w:rFonts w:ascii="Tw Cen MT" w:hAnsi="Tw Cen MT"/>
        </w:rPr>
        <w:fldChar w:fldCharType="end"/>
      </w:r>
      <w:r w:rsidR="00C863C0">
        <w:rPr>
          <w:rFonts w:ascii="Tw Cen MT" w:hAnsi="Tw Cen MT"/>
        </w:rPr>
        <w:t>.</w:t>
      </w:r>
      <w:r w:rsidRPr="00227851">
        <w:rPr>
          <w:rFonts w:ascii="Tw Cen MT" w:hAnsi="Tw Cen MT"/>
        </w:rPr>
        <w:t xml:space="preserve">   </w:t>
      </w:r>
    </w:p>
    <w:p w14:paraId="54478CA1" w14:textId="248A3680" w:rsidR="00C61766" w:rsidRPr="00227851" w:rsidRDefault="00C61766" w:rsidP="00AF291F">
      <w:pPr>
        <w:pStyle w:val="NoSpacing"/>
        <w:spacing w:line="240" w:lineRule="auto"/>
        <w:ind w:left="0" w:firstLine="0"/>
        <w:rPr>
          <w:rFonts w:ascii="Tw Cen MT" w:hAnsi="Tw Cen MT"/>
          <w:szCs w:val="24"/>
        </w:rPr>
      </w:pPr>
      <w:r w:rsidRPr="00227851">
        <w:rPr>
          <w:rFonts w:ascii="Tw Cen MT" w:hAnsi="Tw Cen MT"/>
          <w:szCs w:val="24"/>
        </w:rPr>
        <w:t xml:space="preserve">Akhir-akhir ini beberapa penelitian tentang perhitungan nilai DRL sudah berdasarkan SSDE karena dinilai lebih mempresentasikan dosis yang diterima oleh pasien. Selain perhitungan secara manual, nilai SSDE saat ini bisa dihitung secara otomatis dengan menggunakan sebuah </w:t>
      </w:r>
      <w:r w:rsidRPr="00227851">
        <w:rPr>
          <w:rFonts w:ascii="Tw Cen MT" w:hAnsi="Tw Cen MT"/>
          <w:i/>
          <w:szCs w:val="24"/>
        </w:rPr>
        <w:t>software</w:t>
      </w:r>
      <w:r w:rsidRPr="00227851">
        <w:rPr>
          <w:rFonts w:ascii="Tw Cen MT" w:hAnsi="Tw Cen MT"/>
          <w:szCs w:val="24"/>
        </w:rPr>
        <w:t xml:space="preserve"> yang bernama IndoseCT v.20.b. </w:t>
      </w:r>
    </w:p>
    <w:p w14:paraId="1027822F" w14:textId="782E5187" w:rsidR="007106F6" w:rsidRPr="00227851" w:rsidRDefault="00C61766" w:rsidP="00AF291F">
      <w:pPr>
        <w:pStyle w:val="NoSpacing"/>
        <w:spacing w:line="240" w:lineRule="auto"/>
        <w:ind w:left="0" w:firstLine="0"/>
        <w:rPr>
          <w:rFonts w:ascii="Tw Cen MT" w:hAnsi="Tw Cen MT"/>
          <w:szCs w:val="24"/>
        </w:rPr>
      </w:pPr>
      <w:r w:rsidRPr="00227851">
        <w:rPr>
          <w:rFonts w:ascii="Tw Cen MT" w:hAnsi="Tw Cen MT"/>
          <w:szCs w:val="24"/>
        </w:rPr>
        <w:t>IndoseCT v20.b merupakan sebuah apl</w:t>
      </w:r>
      <w:r w:rsidR="005C7605">
        <w:rPr>
          <w:rFonts w:ascii="Tw Cen MT" w:hAnsi="Tw Cen MT"/>
          <w:szCs w:val="24"/>
        </w:rPr>
        <w:t>ikasi yang dikembangkan oleh  DR</w:t>
      </w:r>
      <w:r w:rsidRPr="00227851">
        <w:rPr>
          <w:rFonts w:ascii="Tw Cen MT" w:hAnsi="Tw Cen MT"/>
          <w:szCs w:val="24"/>
        </w:rPr>
        <w:t xml:space="preserve">. choirul anam (Universitas Diponegoro) dkk. Perangkat lunak ini berfungsi untuk mengkalkulasi dan mencatat dosis radiasi dari setiap pasien yang menjalani pemeriksaan </w:t>
      </w:r>
      <w:r w:rsidRPr="00227851">
        <w:rPr>
          <w:rFonts w:ascii="Tw Cen MT" w:hAnsi="Tw Cen MT"/>
          <w:i/>
          <w:szCs w:val="24"/>
        </w:rPr>
        <w:t>computed tomography</w:t>
      </w:r>
      <w:r w:rsidR="003E3A18">
        <w:rPr>
          <w:rFonts w:ascii="Tw Cen MT" w:hAnsi="Tw Cen MT"/>
          <w:szCs w:val="24"/>
        </w:rPr>
        <w:t xml:space="preserve"> (CT). </w:t>
      </w:r>
      <w:r w:rsidR="00D87200">
        <w:rPr>
          <w:rFonts w:ascii="Tw Cen MT" w:hAnsi="Tw Cen MT"/>
          <w:szCs w:val="24"/>
        </w:rPr>
        <w:t>I</w:t>
      </w:r>
      <w:r w:rsidRPr="00227851">
        <w:rPr>
          <w:rFonts w:ascii="Tw Cen MT" w:hAnsi="Tw Cen MT"/>
          <w:szCs w:val="24"/>
        </w:rPr>
        <w:t>ndoseCT v20.b tidak hanya mengukur dosis keluaran radiasi dari perangkat CT dengan CT dose index volume (CTDIvol), melainkan juga menghitung dosis individu yang diterima oleh setiap pasien dengan menggunakan siz</w:t>
      </w:r>
      <w:r w:rsidR="00C863C0">
        <w:rPr>
          <w:rFonts w:ascii="Tw Cen MT" w:hAnsi="Tw Cen MT"/>
          <w:szCs w:val="24"/>
        </w:rPr>
        <w:t xml:space="preserve">e-specific dose estimate (SSDE) </w:t>
      </w:r>
      <w:r w:rsidR="00D46EB5" w:rsidRPr="00227851">
        <w:rPr>
          <w:rFonts w:ascii="Tw Cen MT" w:hAnsi="Tw Cen MT"/>
          <w:szCs w:val="24"/>
        </w:rPr>
        <w:fldChar w:fldCharType="begin" w:fldLock="1"/>
      </w:r>
      <w:r w:rsidR="00D46EB5" w:rsidRPr="00227851">
        <w:rPr>
          <w:rFonts w:ascii="Tw Cen MT" w:hAnsi="Tw Cen MT"/>
          <w:szCs w:val="24"/>
        </w:rPr>
        <w:instrText>ADDIN CSL_CITATION {"citationItems":[{"id":"ITEM-1","itemData":{"author":[{"dropping-particle":"","family":"Anam","given":"Choirul","non-dropping-particle":"","parse-names":false,"suffix":""},{"dropping-particle":"","family":"Diponegoro","given":"Universitas","non-dropping-particle":"","parse-names":false,"suffix":""},{"dropping-particle":"","family":"Haryanto","given":"Freddy","non-dropping-particle":"","parse-names":false,"suffix":""},{"dropping-particle":"","family":"Arif","given":"Idam","non-dropping-particle":"","parse-names":false,"suffix":""},{"dropping-particle":"","family":"Dougherty","given":"Geoff","non-dropping-particle":"","parse-names":false,"suffix":""},{"dropping-particle":"","family":"Islands","given":"Channel","non-dropping-particle":"","parse-names":false,"suffix":""}],"id":"ITEM-1","issue":"September","issued":{"date-parts":[["2017"]]},"title":"IndoseCT","type":"article-journal"},"uris":["http://www.mendeley.com/documents/?uuid=de2fd457-6e3c-4a3b-a815-9b18d3a9e613"]}],"mendeley":{"formattedCitation":"[10]","plainTextFormattedCitation":"[10]","previouslyFormattedCitation":"[10]"},"properties":{"noteIndex":0},"schema":"https://github.com/citation-style-language/schema/raw/master/csl-citation.json"}</w:instrText>
      </w:r>
      <w:r w:rsidR="00D46EB5" w:rsidRPr="00227851">
        <w:rPr>
          <w:rFonts w:ascii="Tw Cen MT" w:hAnsi="Tw Cen MT"/>
          <w:szCs w:val="24"/>
        </w:rPr>
        <w:fldChar w:fldCharType="separate"/>
      </w:r>
      <w:r w:rsidR="00D46EB5" w:rsidRPr="00227851">
        <w:rPr>
          <w:rFonts w:ascii="Tw Cen MT" w:hAnsi="Tw Cen MT"/>
          <w:noProof/>
          <w:szCs w:val="24"/>
        </w:rPr>
        <w:t>[10]</w:t>
      </w:r>
      <w:r w:rsidR="00D46EB5" w:rsidRPr="00227851">
        <w:rPr>
          <w:rFonts w:ascii="Tw Cen MT" w:hAnsi="Tw Cen MT"/>
          <w:szCs w:val="24"/>
        </w:rPr>
        <w:fldChar w:fldCharType="end"/>
      </w:r>
      <w:r w:rsidR="00C863C0">
        <w:rPr>
          <w:rFonts w:ascii="Tw Cen MT" w:hAnsi="Tw Cen MT"/>
          <w:szCs w:val="24"/>
        </w:rPr>
        <w:t>.</w:t>
      </w:r>
    </w:p>
    <w:p w14:paraId="1A737AAA" w14:textId="77777777" w:rsidR="009B575D" w:rsidRPr="00227851" w:rsidRDefault="009B575D" w:rsidP="00227851">
      <w:pPr>
        <w:pStyle w:val="NoSpacing"/>
        <w:spacing w:line="240" w:lineRule="auto"/>
        <w:ind w:left="0" w:firstLine="426"/>
        <w:rPr>
          <w:rFonts w:ascii="Tw Cen MT" w:hAnsi="Tw Cen MT" w:cs="Segoe UI"/>
          <w:color w:val="000000"/>
          <w:sz w:val="27"/>
          <w:szCs w:val="27"/>
        </w:rPr>
      </w:pPr>
    </w:p>
    <w:p w14:paraId="56B9F7A6" w14:textId="77777777" w:rsidR="007106F6" w:rsidRPr="00227851" w:rsidRDefault="007106F6" w:rsidP="00227851">
      <w:pPr>
        <w:spacing w:after="0" w:line="240" w:lineRule="auto"/>
        <w:jc w:val="both"/>
        <w:rPr>
          <w:rFonts w:ascii="Tw Cen MT" w:eastAsia="Twentieth Century" w:hAnsi="Tw Cen MT" w:cs="Twentieth Century"/>
          <w:b/>
          <w:sz w:val="24"/>
          <w:szCs w:val="24"/>
        </w:rPr>
      </w:pPr>
      <w:r w:rsidRPr="00227851">
        <w:rPr>
          <w:rFonts w:ascii="Tw Cen MT" w:eastAsia="Twentieth Century" w:hAnsi="Tw Cen MT" w:cs="Twentieth Century"/>
          <w:b/>
          <w:sz w:val="24"/>
          <w:szCs w:val="24"/>
        </w:rPr>
        <w:t xml:space="preserve">METODE </w:t>
      </w:r>
    </w:p>
    <w:p w14:paraId="6A2FB3A1" w14:textId="701AA5E6" w:rsidR="004721E3" w:rsidRPr="00227851" w:rsidRDefault="00532848" w:rsidP="00AF291F">
      <w:pPr>
        <w:pStyle w:val="NoSpacing"/>
        <w:spacing w:line="240" w:lineRule="auto"/>
        <w:ind w:left="0" w:firstLine="0"/>
        <w:rPr>
          <w:rFonts w:ascii="Tw Cen MT" w:hAnsi="Tw Cen MT"/>
          <w:szCs w:val="24"/>
        </w:rPr>
      </w:pPr>
      <w:commentRangeStart w:id="5"/>
      <w:r w:rsidRPr="00227851">
        <w:rPr>
          <w:rFonts w:ascii="Tw Cen MT" w:hAnsi="Tw Cen MT"/>
          <w:szCs w:val="24"/>
        </w:rPr>
        <w:t>P</w:t>
      </w:r>
      <w:r w:rsidR="00C61766" w:rsidRPr="00227851">
        <w:rPr>
          <w:rFonts w:ascii="Tw Cen MT" w:hAnsi="Tw Cen MT"/>
          <w:szCs w:val="24"/>
        </w:rPr>
        <w:t>enelitian</w:t>
      </w:r>
      <w:r w:rsidR="00C61766" w:rsidRPr="00227851">
        <w:rPr>
          <w:rFonts w:ascii="Tw Cen MT" w:hAnsi="Tw Cen MT"/>
          <w:spacing w:val="1"/>
          <w:szCs w:val="24"/>
        </w:rPr>
        <w:t xml:space="preserve"> </w:t>
      </w:r>
      <w:r w:rsidRPr="00227851">
        <w:rPr>
          <w:rFonts w:ascii="Tw Cen MT" w:hAnsi="Tw Cen MT"/>
          <w:szCs w:val="24"/>
        </w:rPr>
        <w:t xml:space="preserve">ini bersifat </w:t>
      </w:r>
      <w:r w:rsidR="00C61766" w:rsidRPr="00227851">
        <w:rPr>
          <w:rFonts w:ascii="Tw Cen MT" w:hAnsi="Tw Cen MT"/>
          <w:szCs w:val="24"/>
        </w:rPr>
        <w:t>deskriptif</w:t>
      </w:r>
      <w:r w:rsidR="00C61766" w:rsidRPr="00227851">
        <w:rPr>
          <w:rFonts w:ascii="Tw Cen MT" w:hAnsi="Tw Cen MT"/>
          <w:spacing w:val="1"/>
          <w:szCs w:val="24"/>
        </w:rPr>
        <w:t xml:space="preserve"> kuantitatif</w:t>
      </w:r>
      <w:r w:rsidRPr="00227851">
        <w:rPr>
          <w:rFonts w:ascii="Tw Cen MT" w:hAnsi="Tw Cen MT"/>
          <w:szCs w:val="24"/>
        </w:rPr>
        <w:t>,</w:t>
      </w:r>
      <w:r w:rsidR="00C61766" w:rsidRPr="00227851">
        <w:rPr>
          <w:rFonts w:ascii="Tw Cen MT" w:hAnsi="Tw Cen MT"/>
          <w:szCs w:val="24"/>
        </w:rPr>
        <w:t>dilakukan</w:t>
      </w:r>
      <w:r w:rsidR="00C61766" w:rsidRPr="00227851">
        <w:rPr>
          <w:rFonts w:ascii="Tw Cen MT" w:hAnsi="Tw Cen MT"/>
          <w:spacing w:val="70"/>
          <w:szCs w:val="24"/>
        </w:rPr>
        <w:t xml:space="preserve"> </w:t>
      </w:r>
      <w:r w:rsidR="00C61766" w:rsidRPr="00227851">
        <w:rPr>
          <w:rFonts w:ascii="Tw Cen MT" w:hAnsi="Tw Cen MT"/>
          <w:szCs w:val="24"/>
        </w:rPr>
        <w:t>di</w:t>
      </w:r>
      <w:r w:rsidR="00C61766" w:rsidRPr="00227851">
        <w:rPr>
          <w:rFonts w:ascii="Tw Cen MT" w:hAnsi="Tw Cen MT"/>
          <w:spacing w:val="71"/>
          <w:szCs w:val="24"/>
        </w:rPr>
        <w:t xml:space="preserve"> </w:t>
      </w:r>
      <w:r w:rsidR="00C61766" w:rsidRPr="00227851">
        <w:rPr>
          <w:rFonts w:ascii="Tw Cen MT" w:hAnsi="Tw Cen MT"/>
          <w:szCs w:val="24"/>
        </w:rPr>
        <w:t>Instalasi</w:t>
      </w:r>
      <w:r w:rsidR="00C61766" w:rsidRPr="00227851">
        <w:rPr>
          <w:rFonts w:ascii="Tw Cen MT" w:hAnsi="Tw Cen MT"/>
          <w:spacing w:val="68"/>
          <w:szCs w:val="24"/>
        </w:rPr>
        <w:t xml:space="preserve"> </w:t>
      </w:r>
      <w:r w:rsidR="00C61766" w:rsidRPr="00227851">
        <w:rPr>
          <w:rFonts w:ascii="Tw Cen MT" w:hAnsi="Tw Cen MT"/>
          <w:szCs w:val="24"/>
        </w:rPr>
        <w:t>Radiologi</w:t>
      </w:r>
      <w:r w:rsidR="00C61766" w:rsidRPr="00227851">
        <w:rPr>
          <w:rFonts w:ascii="Tw Cen MT" w:hAnsi="Tw Cen MT"/>
          <w:spacing w:val="71"/>
          <w:szCs w:val="24"/>
        </w:rPr>
        <w:t xml:space="preserve"> </w:t>
      </w:r>
      <w:r w:rsidR="00C61766" w:rsidRPr="00227851">
        <w:rPr>
          <w:rFonts w:ascii="Tw Cen MT" w:hAnsi="Tw Cen MT"/>
          <w:szCs w:val="24"/>
        </w:rPr>
        <w:t>RS.</w:t>
      </w:r>
      <w:r w:rsidRPr="00227851">
        <w:rPr>
          <w:rFonts w:ascii="Tw Cen MT" w:hAnsi="Tw Cen MT"/>
          <w:spacing w:val="73"/>
          <w:szCs w:val="24"/>
        </w:rPr>
        <w:t xml:space="preserve"> </w:t>
      </w:r>
      <w:r w:rsidR="00C61766" w:rsidRPr="00227851">
        <w:rPr>
          <w:rFonts w:ascii="Tw Cen MT" w:hAnsi="Tw Cen MT"/>
          <w:spacing w:val="73"/>
          <w:szCs w:val="24"/>
        </w:rPr>
        <w:t>Santo</w:t>
      </w:r>
      <w:r w:rsidR="00C61766" w:rsidRPr="00227851">
        <w:rPr>
          <w:rFonts w:ascii="Tw Cen MT" w:hAnsi="Tw Cen MT"/>
          <w:szCs w:val="24"/>
        </w:rPr>
        <w:t>Borromeus Bandung.</w:t>
      </w:r>
      <w:r w:rsidRPr="00227851">
        <w:rPr>
          <w:rFonts w:ascii="Tw Cen MT" w:hAnsi="Tw Cen MT"/>
          <w:szCs w:val="24"/>
        </w:rPr>
        <w:t xml:space="preserve"> </w:t>
      </w:r>
      <w:r w:rsidR="00C61766" w:rsidRPr="00227851">
        <w:rPr>
          <w:rFonts w:ascii="Tw Cen MT" w:hAnsi="Tw Cen MT"/>
          <w:szCs w:val="24"/>
        </w:rPr>
        <w:t>Populasi</w:t>
      </w:r>
      <w:r w:rsidR="00C61766" w:rsidRPr="00227851">
        <w:rPr>
          <w:rFonts w:ascii="Tw Cen MT" w:hAnsi="Tw Cen MT"/>
          <w:spacing w:val="1"/>
          <w:szCs w:val="24"/>
        </w:rPr>
        <w:t xml:space="preserve"> dan sampel </w:t>
      </w:r>
      <w:r w:rsidR="00C61766" w:rsidRPr="00227851">
        <w:rPr>
          <w:rFonts w:ascii="Tw Cen MT" w:hAnsi="Tw Cen MT"/>
          <w:szCs w:val="24"/>
        </w:rPr>
        <w:t>yang</w:t>
      </w:r>
      <w:r w:rsidR="00C61766" w:rsidRPr="00227851">
        <w:rPr>
          <w:rFonts w:ascii="Tw Cen MT" w:hAnsi="Tw Cen MT"/>
          <w:spacing w:val="1"/>
          <w:szCs w:val="24"/>
        </w:rPr>
        <w:t xml:space="preserve"> </w:t>
      </w:r>
      <w:r w:rsidR="00C61766" w:rsidRPr="00227851">
        <w:rPr>
          <w:rFonts w:ascii="Tw Cen MT" w:hAnsi="Tw Cen MT"/>
          <w:szCs w:val="24"/>
        </w:rPr>
        <w:t>digunakan</w:t>
      </w:r>
      <w:r w:rsidR="00C61766" w:rsidRPr="00227851">
        <w:rPr>
          <w:rFonts w:ascii="Tw Cen MT" w:hAnsi="Tw Cen MT"/>
          <w:spacing w:val="1"/>
          <w:szCs w:val="24"/>
        </w:rPr>
        <w:t xml:space="preserve"> </w:t>
      </w:r>
      <w:r w:rsidR="00C61766" w:rsidRPr="00227851">
        <w:rPr>
          <w:rFonts w:ascii="Tw Cen MT" w:hAnsi="Tw Cen MT"/>
          <w:szCs w:val="24"/>
        </w:rPr>
        <w:t>adalah</w:t>
      </w:r>
      <w:r w:rsidR="00C61766" w:rsidRPr="00227851">
        <w:rPr>
          <w:rFonts w:ascii="Tw Cen MT" w:hAnsi="Tw Cen MT"/>
          <w:spacing w:val="1"/>
          <w:szCs w:val="24"/>
        </w:rPr>
        <w:t xml:space="preserve"> </w:t>
      </w:r>
      <w:r w:rsidR="00C61766" w:rsidRPr="00227851">
        <w:rPr>
          <w:rFonts w:ascii="Tw Cen MT" w:hAnsi="Tw Cen MT"/>
          <w:szCs w:val="24"/>
        </w:rPr>
        <w:t>semua</w:t>
      </w:r>
      <w:r w:rsidR="00C61766" w:rsidRPr="00227851">
        <w:rPr>
          <w:rFonts w:ascii="Tw Cen MT" w:hAnsi="Tw Cen MT"/>
          <w:spacing w:val="1"/>
          <w:szCs w:val="24"/>
        </w:rPr>
        <w:t xml:space="preserve"> data citra DICOM </w:t>
      </w:r>
      <w:r w:rsidR="00C61766" w:rsidRPr="00227851">
        <w:rPr>
          <w:rFonts w:ascii="Tw Cen MT" w:hAnsi="Tw Cen MT"/>
          <w:szCs w:val="24"/>
        </w:rPr>
        <w:t>pemeriksaan CT Scan kepala non kontras pada pasien</w:t>
      </w:r>
      <w:r w:rsidR="00C61766" w:rsidRPr="00227851">
        <w:rPr>
          <w:rFonts w:ascii="Tw Cen MT" w:hAnsi="Tw Cen MT"/>
          <w:spacing w:val="1"/>
          <w:szCs w:val="24"/>
        </w:rPr>
        <w:t xml:space="preserve"> dewasa </w:t>
      </w:r>
      <w:r w:rsidR="00C61766" w:rsidRPr="00227851">
        <w:rPr>
          <w:rFonts w:ascii="Tw Cen MT" w:hAnsi="Tw Cen MT"/>
          <w:szCs w:val="24"/>
        </w:rPr>
        <w:t>periode bulan Juni – Agustus 2023.</w:t>
      </w:r>
      <w:r w:rsidRPr="00227851">
        <w:rPr>
          <w:rFonts w:ascii="Tw Cen MT" w:hAnsi="Tw Cen MT"/>
          <w:szCs w:val="24"/>
        </w:rPr>
        <w:t xml:space="preserve"> </w:t>
      </w:r>
      <w:r w:rsidR="00C61766" w:rsidRPr="00227851">
        <w:rPr>
          <w:rFonts w:ascii="Tw Cen MT" w:hAnsi="Tw Cen MT"/>
          <w:szCs w:val="24"/>
        </w:rPr>
        <w:t>Instrumen</w:t>
      </w:r>
      <w:r w:rsidR="00C61766" w:rsidRPr="00227851">
        <w:rPr>
          <w:rFonts w:ascii="Tw Cen MT" w:hAnsi="Tw Cen MT"/>
          <w:spacing w:val="1"/>
          <w:szCs w:val="24"/>
        </w:rPr>
        <w:t xml:space="preserve"> </w:t>
      </w:r>
      <w:r w:rsidR="00C61766" w:rsidRPr="00227851">
        <w:rPr>
          <w:rFonts w:ascii="Tw Cen MT" w:hAnsi="Tw Cen MT"/>
          <w:szCs w:val="24"/>
        </w:rPr>
        <w:t>yang</w:t>
      </w:r>
      <w:r w:rsidR="00C61766" w:rsidRPr="00227851">
        <w:rPr>
          <w:rFonts w:ascii="Tw Cen MT" w:hAnsi="Tw Cen MT"/>
          <w:spacing w:val="-7"/>
          <w:szCs w:val="24"/>
        </w:rPr>
        <w:t xml:space="preserve"> </w:t>
      </w:r>
      <w:r w:rsidR="00C61766" w:rsidRPr="00227851">
        <w:rPr>
          <w:rFonts w:ascii="Tw Cen MT" w:hAnsi="Tw Cen MT"/>
          <w:szCs w:val="24"/>
        </w:rPr>
        <w:t>digunakan</w:t>
      </w:r>
      <w:r w:rsidR="00C61766" w:rsidRPr="00227851">
        <w:rPr>
          <w:rFonts w:ascii="Tw Cen MT" w:hAnsi="Tw Cen MT"/>
          <w:spacing w:val="-2"/>
          <w:szCs w:val="24"/>
        </w:rPr>
        <w:t xml:space="preserve"> </w:t>
      </w:r>
      <w:r w:rsidRPr="00227851">
        <w:rPr>
          <w:rFonts w:ascii="Tw Cen MT" w:hAnsi="Tw Cen MT"/>
          <w:spacing w:val="-2"/>
          <w:szCs w:val="24"/>
        </w:rPr>
        <w:t xml:space="preserve">yaitu : </w:t>
      </w:r>
      <w:r w:rsidR="00C61766" w:rsidRPr="00227851">
        <w:rPr>
          <w:rFonts w:ascii="Tw Cen MT" w:hAnsi="Tw Cen MT"/>
          <w:szCs w:val="24"/>
        </w:rPr>
        <w:t>Data</w:t>
      </w:r>
      <w:r w:rsidR="00C61766" w:rsidRPr="00227851">
        <w:rPr>
          <w:rFonts w:ascii="Tw Cen MT" w:hAnsi="Tw Cen MT"/>
          <w:spacing w:val="-1"/>
          <w:szCs w:val="24"/>
        </w:rPr>
        <w:t xml:space="preserve"> </w:t>
      </w:r>
      <w:r w:rsidR="00C61766" w:rsidRPr="00227851">
        <w:rPr>
          <w:rFonts w:ascii="Tw Cen MT" w:hAnsi="Tw Cen MT"/>
          <w:szCs w:val="24"/>
        </w:rPr>
        <w:t>citra</w:t>
      </w:r>
      <w:r w:rsidR="00C61766" w:rsidRPr="00227851">
        <w:rPr>
          <w:rFonts w:ascii="Tw Cen MT" w:hAnsi="Tw Cen MT"/>
          <w:spacing w:val="-1"/>
          <w:szCs w:val="24"/>
        </w:rPr>
        <w:t xml:space="preserve"> </w:t>
      </w:r>
      <w:r w:rsidR="00C61766" w:rsidRPr="00227851">
        <w:rPr>
          <w:rFonts w:ascii="Tw Cen MT" w:hAnsi="Tw Cen MT"/>
          <w:szCs w:val="24"/>
        </w:rPr>
        <w:t>berbentuk DICOM</w:t>
      </w:r>
      <w:r w:rsidRPr="00227851">
        <w:rPr>
          <w:rFonts w:ascii="Tw Cen MT" w:hAnsi="Tw Cen MT"/>
          <w:szCs w:val="24"/>
        </w:rPr>
        <w:t xml:space="preserve">, </w:t>
      </w:r>
      <w:r w:rsidR="00C61766" w:rsidRPr="0051763E">
        <w:rPr>
          <w:rFonts w:ascii="Tw Cen MT" w:hAnsi="Tw Cen MT"/>
          <w:i/>
          <w:szCs w:val="24"/>
        </w:rPr>
        <w:t>Software</w:t>
      </w:r>
      <w:r w:rsidR="00C61766" w:rsidRPr="00227851">
        <w:rPr>
          <w:rFonts w:ascii="Tw Cen MT" w:hAnsi="Tw Cen MT"/>
          <w:spacing w:val="46"/>
          <w:szCs w:val="24"/>
        </w:rPr>
        <w:t xml:space="preserve"> </w:t>
      </w:r>
      <w:r w:rsidR="00D87200">
        <w:rPr>
          <w:rFonts w:ascii="Tw Cen MT" w:hAnsi="Tw Cen MT"/>
          <w:szCs w:val="24"/>
        </w:rPr>
        <w:t>i</w:t>
      </w:r>
      <w:r w:rsidR="00C61766" w:rsidRPr="00227851">
        <w:rPr>
          <w:rFonts w:ascii="Tw Cen MT" w:hAnsi="Tw Cen MT"/>
          <w:szCs w:val="24"/>
        </w:rPr>
        <w:t>ndoseCT  v20.b</w:t>
      </w:r>
      <w:r w:rsidRPr="00227851">
        <w:rPr>
          <w:rFonts w:ascii="Tw Cen MT" w:hAnsi="Tw Cen MT"/>
          <w:szCs w:val="24"/>
        </w:rPr>
        <w:t xml:space="preserve"> dan </w:t>
      </w:r>
      <w:r w:rsidR="00C61766" w:rsidRPr="00227851">
        <w:rPr>
          <w:rFonts w:ascii="Tw Cen MT" w:hAnsi="Tw Cen MT"/>
          <w:szCs w:val="24"/>
        </w:rPr>
        <w:t>Microsoft Excel</w:t>
      </w:r>
      <w:r w:rsidRPr="00227851">
        <w:rPr>
          <w:rFonts w:ascii="Tw Cen MT" w:hAnsi="Tw Cen MT"/>
          <w:szCs w:val="24"/>
        </w:rPr>
        <w:t xml:space="preserve"> dengan </w:t>
      </w:r>
      <w:r w:rsidR="00C61766" w:rsidRPr="00227851">
        <w:rPr>
          <w:rFonts w:ascii="Tw Cen MT" w:hAnsi="Tw Cen MT"/>
          <w:szCs w:val="24"/>
        </w:rPr>
        <w:t>teknik dokumentasi menggunakan alat penyimpan data</w:t>
      </w:r>
      <w:r w:rsidRPr="00227851">
        <w:rPr>
          <w:rFonts w:ascii="Tw Cen MT" w:hAnsi="Tw Cen MT"/>
          <w:szCs w:val="24"/>
        </w:rPr>
        <w:t>.</w:t>
      </w:r>
      <w:r w:rsidR="00BC23AE" w:rsidRPr="00227851">
        <w:rPr>
          <w:rFonts w:ascii="Tw Cen MT" w:hAnsi="Tw Cen MT"/>
          <w:szCs w:val="24"/>
        </w:rPr>
        <w:t xml:space="preserve"> </w:t>
      </w:r>
      <w:r w:rsidR="00952368">
        <w:rPr>
          <w:rFonts w:ascii="Tw Cen MT" w:hAnsi="Tw Cen MT"/>
          <w:szCs w:val="24"/>
        </w:rPr>
        <w:t>P</w:t>
      </w:r>
      <w:r w:rsidRPr="00227851">
        <w:rPr>
          <w:rFonts w:ascii="Tw Cen MT" w:hAnsi="Tw Cen MT"/>
          <w:szCs w:val="24"/>
        </w:rPr>
        <w:t>roses pengolahan data dilakukan dengan menghitung</w:t>
      </w:r>
      <w:r w:rsidR="00C61766" w:rsidRPr="00227851">
        <w:rPr>
          <w:rFonts w:ascii="Tw Cen MT" w:hAnsi="Tw Cen MT"/>
          <w:szCs w:val="24"/>
        </w:rPr>
        <w:t xml:space="preserve"> </w:t>
      </w:r>
      <w:bookmarkStart w:id="6" w:name="_bookmark23"/>
      <w:bookmarkEnd w:id="6"/>
      <w:r w:rsidR="00C61766" w:rsidRPr="00227851">
        <w:rPr>
          <w:rFonts w:ascii="Tw Cen MT" w:hAnsi="Tw Cen MT"/>
          <w:szCs w:val="24"/>
        </w:rPr>
        <w:t>nilai</w:t>
      </w:r>
      <w:r w:rsidR="00C61766" w:rsidRPr="00227851">
        <w:rPr>
          <w:rFonts w:ascii="Tw Cen MT" w:hAnsi="Tw Cen MT"/>
          <w:spacing w:val="60"/>
          <w:szCs w:val="24"/>
        </w:rPr>
        <w:t xml:space="preserve"> </w:t>
      </w:r>
      <w:r w:rsidR="00C61766" w:rsidRPr="0051763E">
        <w:rPr>
          <w:rFonts w:ascii="Tw Cen MT" w:hAnsi="Tw Cen MT"/>
          <w:i/>
          <w:szCs w:val="24"/>
        </w:rPr>
        <w:t>Size Specific Dose Estimate</w:t>
      </w:r>
      <w:r w:rsidR="00C61766" w:rsidRPr="00227851">
        <w:rPr>
          <w:rFonts w:ascii="Tw Cen MT" w:hAnsi="Tw Cen MT"/>
          <w:szCs w:val="24"/>
        </w:rPr>
        <w:t xml:space="preserve"> dengan </w:t>
      </w:r>
      <w:r w:rsidR="00C61766" w:rsidRPr="00227851">
        <w:rPr>
          <w:rFonts w:ascii="Tw Cen MT" w:hAnsi="Tw Cen MT"/>
          <w:spacing w:val="4"/>
          <w:szCs w:val="24"/>
        </w:rPr>
        <w:t xml:space="preserve">pengukuran manual dan </w:t>
      </w:r>
      <w:r w:rsidR="00C61766" w:rsidRPr="0051763E">
        <w:rPr>
          <w:rFonts w:ascii="Tw Cen MT" w:hAnsi="Tw Cen MT"/>
          <w:i/>
          <w:szCs w:val="24"/>
        </w:rPr>
        <w:t>software</w:t>
      </w:r>
      <w:r w:rsidR="00D87200">
        <w:rPr>
          <w:rFonts w:ascii="Tw Cen MT" w:hAnsi="Tw Cen MT"/>
          <w:szCs w:val="24"/>
        </w:rPr>
        <w:t xml:space="preserve"> i</w:t>
      </w:r>
      <w:r w:rsidR="008A032E">
        <w:rPr>
          <w:rFonts w:ascii="Tw Cen MT" w:hAnsi="Tw Cen MT"/>
          <w:szCs w:val="24"/>
        </w:rPr>
        <w:t>ndoseCT v</w:t>
      </w:r>
      <w:r w:rsidR="00C61766" w:rsidRPr="00227851">
        <w:rPr>
          <w:rFonts w:ascii="Tw Cen MT" w:hAnsi="Tw Cen MT"/>
          <w:szCs w:val="24"/>
        </w:rPr>
        <w:t>20</w:t>
      </w:r>
      <w:r w:rsidR="008A032E">
        <w:rPr>
          <w:rFonts w:ascii="Tw Cen MT" w:hAnsi="Tw Cen MT"/>
          <w:szCs w:val="24"/>
        </w:rPr>
        <w:t>.</w:t>
      </w:r>
      <w:r w:rsidR="00C61766" w:rsidRPr="00227851">
        <w:rPr>
          <w:rFonts w:ascii="Tw Cen MT" w:hAnsi="Tw Cen MT"/>
          <w:szCs w:val="24"/>
        </w:rPr>
        <w:t>b</w:t>
      </w:r>
      <w:r w:rsidR="00BC23AE" w:rsidRPr="00227851">
        <w:rPr>
          <w:rFonts w:ascii="Tw Cen MT" w:hAnsi="Tw Cen MT"/>
          <w:szCs w:val="24"/>
        </w:rPr>
        <w:t xml:space="preserve"> untuk </w:t>
      </w:r>
      <w:r w:rsidRPr="00227851">
        <w:rPr>
          <w:rFonts w:ascii="Tw Cen MT" w:hAnsi="Tw Cen MT"/>
          <w:szCs w:val="24"/>
        </w:rPr>
        <w:t xml:space="preserve">ditentukan nilai </w:t>
      </w:r>
      <w:r w:rsidR="00DE0B98" w:rsidRPr="0051763E">
        <w:rPr>
          <w:rFonts w:ascii="Tw Cen MT" w:hAnsi="Tw Cen MT"/>
          <w:i/>
          <w:szCs w:val="24"/>
        </w:rPr>
        <w:t>Diagnostic Reference Level</w:t>
      </w:r>
      <w:r w:rsidRPr="00227851">
        <w:rPr>
          <w:rFonts w:ascii="Tw Cen MT" w:hAnsi="Tw Cen MT"/>
          <w:szCs w:val="24"/>
        </w:rPr>
        <w:t xml:space="preserve"> dari kedua metode tersebut dari nilai persentil 50</w:t>
      </w:r>
      <w:r w:rsidR="00BC23AE" w:rsidRPr="00227851">
        <w:rPr>
          <w:rFonts w:ascii="Tw Cen MT" w:hAnsi="Tw Cen MT"/>
          <w:szCs w:val="24"/>
        </w:rPr>
        <w:t xml:space="preserve"> kemudian dianalisis.</w:t>
      </w:r>
      <w:commentRangeEnd w:id="5"/>
      <w:r w:rsidR="006801D5">
        <w:rPr>
          <w:rStyle w:val="CommentReference"/>
          <w:rFonts w:ascii="Calibri" w:eastAsiaTheme="minorEastAsia" w:hAnsi="Calibri" w:cs="Calibri"/>
        </w:rPr>
        <w:commentReference w:id="5"/>
      </w:r>
    </w:p>
    <w:p w14:paraId="30173102" w14:textId="77777777" w:rsidR="00BC23AE" w:rsidRPr="00227851" w:rsidRDefault="00BC23AE" w:rsidP="00227851">
      <w:pPr>
        <w:pStyle w:val="NoSpacing"/>
        <w:spacing w:line="240" w:lineRule="auto"/>
        <w:rPr>
          <w:rFonts w:ascii="Tw Cen MT" w:hAnsi="Tw Cen MT"/>
          <w:szCs w:val="24"/>
        </w:rPr>
      </w:pPr>
    </w:p>
    <w:p w14:paraId="5B3FB95E" w14:textId="77777777" w:rsidR="00E72387" w:rsidRPr="00DA198D" w:rsidRDefault="007106F6" w:rsidP="00227851">
      <w:pPr>
        <w:tabs>
          <w:tab w:val="left" w:pos="426"/>
        </w:tabs>
        <w:spacing w:after="0" w:line="240" w:lineRule="auto"/>
        <w:jc w:val="both"/>
        <w:rPr>
          <w:rFonts w:ascii="Tw Cen MT" w:eastAsia="Twentieth Century" w:hAnsi="Tw Cen MT" w:cs="Twentieth Century"/>
          <w:b/>
          <w:sz w:val="24"/>
          <w:szCs w:val="24"/>
        </w:rPr>
      </w:pPr>
      <w:r w:rsidRPr="00DA198D">
        <w:rPr>
          <w:rFonts w:ascii="Tw Cen MT" w:eastAsia="Twentieth Century" w:hAnsi="Tw Cen MT" w:cs="Twentieth Century"/>
          <w:b/>
          <w:sz w:val="24"/>
          <w:szCs w:val="24"/>
        </w:rPr>
        <w:t>HASIL DAN PEMBAHASAN</w:t>
      </w:r>
    </w:p>
    <w:p w14:paraId="2DDB68D1" w14:textId="154AEA03" w:rsidR="00F41FB3" w:rsidRPr="00227851" w:rsidRDefault="00E72387" w:rsidP="00AF291F">
      <w:pPr>
        <w:pStyle w:val="NoSpacing"/>
        <w:spacing w:line="240" w:lineRule="auto"/>
        <w:ind w:left="0" w:firstLine="0"/>
        <w:rPr>
          <w:rFonts w:ascii="Tw Cen MT" w:hAnsi="Tw Cen MT"/>
          <w:szCs w:val="24"/>
        </w:rPr>
      </w:pPr>
      <w:r w:rsidRPr="00DA198D">
        <w:rPr>
          <w:rFonts w:ascii="Tw Cen MT" w:hAnsi="Tw Cen MT"/>
          <w:szCs w:val="24"/>
        </w:rPr>
        <w:t>Pada Pengukuran manual, terlebih dahulu dilakukan pengukuran penampang citra berupa panjang nilai AP dan Lateral (LAT) dalam potongan axial sepert</w:t>
      </w:r>
      <w:r w:rsidR="00F35A84">
        <w:rPr>
          <w:rFonts w:ascii="Tw Cen MT" w:hAnsi="Tw Cen MT"/>
          <w:szCs w:val="24"/>
        </w:rPr>
        <w:t>i yang ditunjukan pada g</w:t>
      </w:r>
      <w:r w:rsidR="005663C2" w:rsidRPr="00DA198D">
        <w:rPr>
          <w:rFonts w:ascii="Tw Cen MT" w:hAnsi="Tw Cen MT"/>
          <w:szCs w:val="24"/>
        </w:rPr>
        <w:t xml:space="preserve">ambar </w:t>
      </w:r>
      <w:r w:rsidRPr="00DA198D">
        <w:rPr>
          <w:rFonts w:ascii="Tw Cen MT" w:hAnsi="Tw Cen MT"/>
          <w:szCs w:val="24"/>
        </w:rPr>
        <w:t>1. Setelah mendapatkan nilai AP dan LAT, kemudian ditentukan nilai diameter efektif. Nilai diameter efektif ini akan menentukan besarnya faktor konversi. Faktor konversi sendiri dapat dilihat dalam tabel yang t</w:t>
      </w:r>
      <w:r w:rsidR="00C863C0">
        <w:rPr>
          <w:rFonts w:ascii="Tw Cen MT" w:hAnsi="Tw Cen MT"/>
          <w:szCs w:val="24"/>
        </w:rPr>
        <w:t xml:space="preserve">ertera pada laporan AAPM no 204 </w:t>
      </w:r>
      <w:r w:rsidR="00611B8B" w:rsidRPr="00DA198D">
        <w:rPr>
          <w:rFonts w:ascii="Tw Cen MT" w:hAnsi="Tw Cen MT"/>
          <w:szCs w:val="24"/>
        </w:rPr>
        <w:fldChar w:fldCharType="begin" w:fldLock="1"/>
      </w:r>
      <w:r w:rsidR="00EC229D" w:rsidRPr="00DA198D">
        <w:rPr>
          <w:rFonts w:ascii="Tw Cen MT" w:hAnsi="Tw Cen MT"/>
          <w:szCs w:val="24"/>
        </w:rPr>
        <w:instrText>ADDIN CSL_CITATION {"citationItems":[{"id":"ITEM-1","itemData":{"ISBN":"9781473939509","ISSN":"0146-6453","abstract":"Annals of the ICRP is an essential publication for all: Regulatory and advisory agencies at regional, national and international levels Management bodies with responsibilities for radiological protection Professional staff employed as advisers and consultants Individuals, such as radiologists and nuclear medicine specialists, who make decisions about the use of ionising radiation. Annals of the ICRP provides recommendations and guidance from the International Commission on Radiological Protection on protection against the risks associated with ionising radiation, from artificial sources as widely used in medicine, general industry and nuclear enterprises, and from naturally occurring sources. Each Annals of the ICRP provides an in-depth coverage of a specific subject area. Aims and Scope The International Commission on Radiological Protection (ICRP) is the primary body in protection against ionising radi-ation. ICRP is a registered charity and is thus an independent non-governmental organisation created by the 1928 Inter-national Congress of Radiology to advance for the public benefit the science of radiological protection. ICRP provides recommendations and guidance on protection against the risks associated with ionising radiation from artificial sources widely used in medicine, general industry and nuclear enterprises, and from naturally occurring sources. These are published approximately four times each year on behalf of ICRP as the journal Annals of the ICRP. Each issue provides in-depth coverage of a specific subject area. Subscribers to the journal receive each new publication as soon as it appears so that they are kept up to date on the latest developments in this important field. While many subscribers prefer to acquire a complete set of ICRP publications, single issues of the journal are also available separately for those individuals and organisations needing a single publication cover-ing their own field of interest. Please order through your bookseller, subscription agent, or direct from the publisher.","author":[{"dropping-particle":"","family":"Vañó","given":"E","non-dropping-particle":"","parse-names":false,"suffix":""},{"dropping-particle":"","family":"Miller","given":"C.J.","non-dropping-particle":"","parse-names":false,"suffix":""},{"dropping-particle":"","family":"Rehani","given":"M.M.","non-dropping-particle":"","parse-names":false,"suffix":""},{"dropping-particle":"","family":"Kang","given":"K.","non-dropping-particle":"","parse-names":false,"suffix":""},{"dropping-particle":"","family":"Rosenstein","given":"M.","non-dropping-particle":"","parse-names":false,"suffix":""},{"dropping-particle":"","family":"Ortiz-López","given":"P.","non-dropping-particle":"","parse-names":false,"suffix":""},{"dropping-particle":"","family":"Mattsson","given":"S.","non-dropping-particle":"","parse-names":false,"suffix":""},{"dropping-particle":"","family":"Padovani","given":"R.","non-dropping-particle":"","parse-names":false,"suffix":""},{"dropping-particle":"","family":"Rogers","given":"A.","non-dropping-particle":"","parse-names":false,"suffix":""}],"container-title":"Protection, International Commission on Radiological","id":"ITEM-1","issue":"1","issued":{"date-parts":[["2015"]]},"number-of-pages":"1-143","title":"Annals o f the ICRP","type":"book","volume":"44"},"uris":["http://www.mendeley.com/documents/?uuid=ad988e11-dc54-4f1e-ae3d-02caa6fad555"]}],"mendeley":{"formattedCitation":"[11]","plainTextFormattedCitation":"[11]","previouslyFormattedCitation":"[11]"},"properties":{"noteIndex":0},"schema":"https://github.com/citation-style-language/schema/raw/master/csl-citation.json"}</w:instrText>
      </w:r>
      <w:r w:rsidR="00611B8B" w:rsidRPr="00DA198D">
        <w:rPr>
          <w:rFonts w:ascii="Tw Cen MT" w:hAnsi="Tw Cen MT"/>
          <w:szCs w:val="24"/>
        </w:rPr>
        <w:fldChar w:fldCharType="separate"/>
      </w:r>
      <w:r w:rsidR="00611B8B" w:rsidRPr="00DA198D">
        <w:rPr>
          <w:rFonts w:ascii="Tw Cen MT" w:hAnsi="Tw Cen MT"/>
          <w:noProof/>
          <w:szCs w:val="24"/>
        </w:rPr>
        <w:t>[11]</w:t>
      </w:r>
      <w:r w:rsidR="00611B8B" w:rsidRPr="00DA198D">
        <w:rPr>
          <w:rFonts w:ascii="Tw Cen MT" w:hAnsi="Tw Cen MT"/>
          <w:szCs w:val="24"/>
        </w:rPr>
        <w:fldChar w:fldCharType="end"/>
      </w:r>
      <w:r w:rsidR="00C863C0">
        <w:rPr>
          <w:rFonts w:ascii="Tw Cen MT" w:hAnsi="Tw Cen MT"/>
          <w:szCs w:val="24"/>
        </w:rPr>
        <w:t>.</w:t>
      </w:r>
      <w:r w:rsidRPr="00DA198D">
        <w:rPr>
          <w:rFonts w:ascii="Tw Cen MT" w:hAnsi="Tw Cen MT"/>
          <w:szCs w:val="24"/>
        </w:rPr>
        <w:t xml:space="preserve"> Adapun langkah terakhir dari pengukuran manual ini adalah dengan mengalikan faktor konversi tersebut dengan nilai CTDIvol yang sudah tercatat dalam </w:t>
      </w:r>
      <w:r w:rsidRPr="00DA198D">
        <w:rPr>
          <w:rFonts w:ascii="Tw Cen MT" w:hAnsi="Tw Cen MT"/>
          <w:i/>
          <w:szCs w:val="24"/>
        </w:rPr>
        <w:t>dose report</w:t>
      </w:r>
      <w:r w:rsidRPr="00DA198D">
        <w:rPr>
          <w:rFonts w:ascii="Tw Cen MT" w:hAnsi="Tw Cen MT"/>
          <w:szCs w:val="24"/>
        </w:rPr>
        <w:t xml:space="preserve"> pemeriksaan pasien. </w:t>
      </w:r>
    </w:p>
    <w:p w14:paraId="56923D12" w14:textId="77777777" w:rsidR="00E72387" w:rsidRPr="00227851" w:rsidRDefault="00E72387" w:rsidP="00227851">
      <w:pPr>
        <w:pStyle w:val="NoSpacing"/>
        <w:spacing w:line="240" w:lineRule="auto"/>
        <w:rPr>
          <w:rFonts w:ascii="Tw Cen MT" w:hAnsi="Tw Cen MT"/>
          <w:b/>
          <w:szCs w:val="24"/>
        </w:rPr>
      </w:pPr>
    </w:p>
    <w:p w14:paraId="686876DB" w14:textId="73ECAA73" w:rsidR="00E72387" w:rsidRPr="00227851" w:rsidRDefault="00E72387" w:rsidP="0051763E">
      <w:pPr>
        <w:tabs>
          <w:tab w:val="left" w:pos="426"/>
        </w:tabs>
        <w:spacing w:line="240" w:lineRule="auto"/>
        <w:jc w:val="center"/>
        <w:rPr>
          <w:rFonts w:ascii="Tw Cen MT" w:eastAsia="Twentieth Century" w:hAnsi="Tw Cen MT" w:cs="Twentieth Century"/>
          <w:b/>
          <w:sz w:val="24"/>
          <w:szCs w:val="24"/>
        </w:rPr>
      </w:pPr>
      <w:r w:rsidRPr="00227851">
        <w:rPr>
          <w:rFonts w:ascii="Tw Cen MT" w:hAnsi="Tw Cen MT"/>
          <w:noProof/>
        </w:rPr>
        <w:drawing>
          <wp:inline distT="0" distB="0" distL="0" distR="0" wp14:anchorId="595403F9" wp14:editId="7EF75BE0">
            <wp:extent cx="2247900"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51863" cy="1374018"/>
                    </a:xfrm>
                    <a:prstGeom prst="rect">
                      <a:avLst/>
                    </a:prstGeom>
                  </pic:spPr>
                </pic:pic>
              </a:graphicData>
            </a:graphic>
          </wp:inline>
        </w:drawing>
      </w:r>
    </w:p>
    <w:p w14:paraId="143E6EBB" w14:textId="67759B95" w:rsidR="00611B8B" w:rsidRPr="00EE2944" w:rsidRDefault="00F41FB3" w:rsidP="0051763E">
      <w:pPr>
        <w:pStyle w:val="Heading1"/>
        <w:spacing w:before="0" w:after="200" w:line="240" w:lineRule="auto"/>
        <w:ind w:left="284" w:hanging="284"/>
        <w:jc w:val="center"/>
        <w:rPr>
          <w:rFonts w:ascii="Tw Cen MT" w:hAnsi="Tw Cen MT"/>
          <w:b w:val="0"/>
          <w:sz w:val="22"/>
          <w:szCs w:val="22"/>
        </w:rPr>
      </w:pPr>
      <w:r w:rsidRPr="00C832C3">
        <w:rPr>
          <w:rFonts w:ascii="Tw Cen MT" w:hAnsi="Tw Cen MT"/>
          <w:b w:val="0"/>
          <w:bCs/>
          <w:sz w:val="22"/>
          <w:szCs w:val="22"/>
        </w:rPr>
        <w:t xml:space="preserve">Gambar </w:t>
      </w:r>
      <w:r w:rsidRPr="00EE2944">
        <w:rPr>
          <w:rFonts w:ascii="Tw Cen MT" w:hAnsi="Tw Cen MT"/>
          <w:sz w:val="22"/>
          <w:szCs w:val="22"/>
        </w:rPr>
        <w:t>1.</w:t>
      </w:r>
      <w:r w:rsidRPr="00EE2944">
        <w:rPr>
          <w:rFonts w:ascii="Tw Cen MT" w:hAnsi="Tw Cen MT"/>
          <w:b w:val="0"/>
          <w:sz w:val="22"/>
          <w:szCs w:val="22"/>
        </w:rPr>
        <w:t xml:space="preserve"> </w:t>
      </w:r>
      <w:commentRangeStart w:id="7"/>
      <w:r w:rsidRPr="00EE2944">
        <w:rPr>
          <w:rFonts w:ascii="Tw Cen MT" w:hAnsi="Tw Cen MT"/>
          <w:b w:val="0"/>
          <w:sz w:val="22"/>
          <w:szCs w:val="22"/>
        </w:rPr>
        <w:t>Pengukuran nilai AP dan LAT</w:t>
      </w:r>
      <w:commentRangeEnd w:id="7"/>
      <w:r w:rsidR="003D5582">
        <w:rPr>
          <w:rStyle w:val="CommentReference"/>
          <w:b w:val="0"/>
        </w:rPr>
        <w:commentReference w:id="7"/>
      </w:r>
    </w:p>
    <w:p w14:paraId="2A8FC43F" w14:textId="66444ADE" w:rsidR="00E72387" w:rsidRPr="00227851" w:rsidRDefault="00F35A84" w:rsidP="00AF291F">
      <w:pPr>
        <w:pStyle w:val="NoSpacing"/>
        <w:spacing w:line="240" w:lineRule="auto"/>
        <w:ind w:left="0" w:firstLine="0"/>
        <w:rPr>
          <w:rFonts w:ascii="Tw Cen MT" w:hAnsi="Tw Cen MT"/>
          <w:szCs w:val="24"/>
        </w:rPr>
      </w:pPr>
      <w:r>
        <w:rPr>
          <w:rFonts w:ascii="Tw Cen MT" w:hAnsi="Tw Cen MT"/>
          <w:szCs w:val="24"/>
        </w:rPr>
        <w:t>Merujuk pada t</w:t>
      </w:r>
      <w:r w:rsidR="00CE7579" w:rsidRPr="00227851">
        <w:rPr>
          <w:rFonts w:ascii="Tw Cen MT" w:hAnsi="Tw Cen MT"/>
          <w:szCs w:val="24"/>
        </w:rPr>
        <w:t>abel 1.</w:t>
      </w:r>
      <w:r w:rsidR="00611B8B" w:rsidRPr="00227851">
        <w:rPr>
          <w:rFonts w:ascii="Tw Cen MT" w:hAnsi="Tw Cen MT"/>
          <w:szCs w:val="24"/>
        </w:rPr>
        <w:t xml:space="preserve"> di bawah ini nilai rata-rata SSDE pada proses pengukuran manual adalah sebesar 66,88 ± 10,43 mGy, dengan rentang nilai  sebesar 54,25 mGy sampai dengan 90,87 mGy. Sedangkan untuk dosis total berupa DLPc didapatkan nilai  rata rata pada proses pengukuran manual adalah sebesar 1565.33 ± 325.70 mGy.cm, dengan rentang nilai 1067.52 mGy.cm sampai dengan 2243.58 mGy.cm.</w:t>
      </w:r>
    </w:p>
    <w:p w14:paraId="22A87CE5" w14:textId="77777777" w:rsidR="008A032E" w:rsidRDefault="008A032E" w:rsidP="008A032E">
      <w:pPr>
        <w:pStyle w:val="Heading1"/>
        <w:spacing w:before="0" w:line="240" w:lineRule="auto"/>
        <w:jc w:val="center"/>
        <w:rPr>
          <w:rFonts w:ascii="Tw Cen MT" w:hAnsi="Tw Cen MT"/>
          <w:sz w:val="22"/>
          <w:szCs w:val="22"/>
        </w:rPr>
      </w:pPr>
    </w:p>
    <w:p w14:paraId="3E21080B" w14:textId="0F2C7439" w:rsidR="00611B8B" w:rsidRDefault="00CE7579" w:rsidP="008A032E">
      <w:pPr>
        <w:pStyle w:val="Heading1"/>
        <w:spacing w:before="0" w:line="240" w:lineRule="auto"/>
        <w:jc w:val="center"/>
        <w:rPr>
          <w:rFonts w:ascii="Tw Cen MT" w:hAnsi="Tw Cen MT"/>
          <w:b w:val="0"/>
          <w:sz w:val="22"/>
          <w:szCs w:val="22"/>
        </w:rPr>
      </w:pPr>
      <w:commentRangeStart w:id="8"/>
      <w:r w:rsidRPr="00C832C3">
        <w:rPr>
          <w:rFonts w:ascii="Tw Cen MT" w:hAnsi="Tw Cen MT"/>
          <w:b w:val="0"/>
          <w:bCs/>
          <w:sz w:val="22"/>
          <w:szCs w:val="22"/>
        </w:rPr>
        <w:t>Tabel 1</w:t>
      </w:r>
      <w:r w:rsidRPr="00EE2944">
        <w:rPr>
          <w:rFonts w:ascii="Tw Cen MT" w:hAnsi="Tw Cen MT"/>
          <w:sz w:val="22"/>
          <w:szCs w:val="22"/>
        </w:rPr>
        <w:t>.</w:t>
      </w:r>
      <w:r w:rsidRPr="00EE2944">
        <w:rPr>
          <w:rFonts w:ascii="Tw Cen MT" w:hAnsi="Tw Cen MT"/>
          <w:b w:val="0"/>
          <w:sz w:val="22"/>
          <w:szCs w:val="22"/>
        </w:rPr>
        <w:t xml:space="preserve"> Statistik nilai </w:t>
      </w:r>
      <w:r w:rsidRPr="00EE2944">
        <w:rPr>
          <w:rFonts w:ascii="Tw Cen MT" w:hAnsi="Tw Cen MT"/>
          <w:b w:val="0"/>
          <w:i/>
          <w:sz w:val="22"/>
          <w:szCs w:val="22"/>
        </w:rPr>
        <w:t>SSDE</w:t>
      </w:r>
      <w:r w:rsidRPr="00EE2944">
        <w:rPr>
          <w:rFonts w:ascii="Tw Cen MT" w:hAnsi="Tw Cen MT"/>
          <w:b w:val="0"/>
          <w:sz w:val="22"/>
          <w:szCs w:val="22"/>
        </w:rPr>
        <w:t xml:space="preserve"> dan DLPc pengukuran manual</w:t>
      </w:r>
    </w:p>
    <w:tbl>
      <w:tblPr>
        <w:tblpPr w:leftFromText="180" w:rightFromText="180" w:vertAnchor="page" w:horzAnchor="margin" w:tblpXSpec="right" w:tblpY="10741"/>
        <w:tblW w:w="3936" w:type="dxa"/>
        <w:tblLook w:val="04A0" w:firstRow="1" w:lastRow="0" w:firstColumn="1" w:lastColumn="0" w:noHBand="0" w:noVBand="1"/>
      </w:tblPr>
      <w:tblGrid>
        <w:gridCol w:w="1504"/>
        <w:gridCol w:w="872"/>
        <w:gridCol w:w="1560"/>
      </w:tblGrid>
      <w:tr w:rsidR="00AF291F" w:rsidRPr="00AD5C1B" w14:paraId="344B6553" w14:textId="77777777" w:rsidTr="00AF291F">
        <w:trPr>
          <w:cantSplit/>
          <w:trHeight w:hRule="exact" w:val="573"/>
        </w:trPr>
        <w:tc>
          <w:tcPr>
            <w:tcW w:w="1504" w:type="dxa"/>
            <w:tcBorders>
              <w:top w:val="single" w:sz="4" w:space="0" w:color="auto"/>
              <w:bottom w:val="single" w:sz="4" w:space="0" w:color="auto"/>
            </w:tcBorders>
            <w:shd w:val="clear" w:color="000000" w:fill="FFFFFF"/>
            <w:noWrap/>
            <w:vAlign w:val="center"/>
            <w:hideMark/>
          </w:tcPr>
          <w:p w14:paraId="6624294B" w14:textId="77777777" w:rsidR="00AF291F" w:rsidRPr="00E8799A" w:rsidRDefault="00AF291F" w:rsidP="00AF291F">
            <w:pPr>
              <w:spacing w:after="0"/>
              <w:jc w:val="center"/>
              <w:rPr>
                <w:rFonts w:ascii="Tw Cen MT" w:hAnsi="Tw Cen MT"/>
                <w:color w:val="000000"/>
                <w:sz w:val="22"/>
                <w:szCs w:val="22"/>
              </w:rPr>
            </w:pPr>
            <w:r w:rsidRPr="00E8799A">
              <w:rPr>
                <w:rFonts w:ascii="Tw Cen MT" w:hAnsi="Tw Cen MT"/>
                <w:color w:val="000000"/>
                <w:sz w:val="22"/>
                <w:szCs w:val="22"/>
              </w:rPr>
              <w:t> Parameter Statistik</w:t>
            </w:r>
          </w:p>
        </w:tc>
        <w:tc>
          <w:tcPr>
            <w:tcW w:w="872" w:type="dxa"/>
            <w:tcBorders>
              <w:top w:val="single" w:sz="4" w:space="0" w:color="auto"/>
              <w:bottom w:val="single" w:sz="4" w:space="0" w:color="auto"/>
            </w:tcBorders>
            <w:shd w:val="clear" w:color="000000" w:fill="FFFFFF"/>
            <w:vAlign w:val="center"/>
            <w:hideMark/>
          </w:tcPr>
          <w:p w14:paraId="14510E4C" w14:textId="77777777" w:rsidR="00AF291F" w:rsidRPr="00E8799A" w:rsidRDefault="00AF291F" w:rsidP="00AF291F">
            <w:pPr>
              <w:spacing w:after="0"/>
              <w:jc w:val="center"/>
              <w:rPr>
                <w:rFonts w:ascii="Tw Cen MT" w:hAnsi="Tw Cen MT"/>
                <w:color w:val="000000"/>
                <w:sz w:val="22"/>
                <w:szCs w:val="22"/>
              </w:rPr>
            </w:pPr>
            <w:r w:rsidRPr="00E8799A">
              <w:rPr>
                <w:rFonts w:ascii="Tw Cen MT" w:hAnsi="Tw Cen MT"/>
                <w:color w:val="000000"/>
                <w:sz w:val="22"/>
                <w:szCs w:val="22"/>
              </w:rPr>
              <w:t xml:space="preserve">SSDE </w:t>
            </w:r>
          </w:p>
          <w:p w14:paraId="049E2A3E" w14:textId="77777777" w:rsidR="00AF291F" w:rsidRPr="00E8799A" w:rsidRDefault="00AF291F" w:rsidP="00AF291F">
            <w:pPr>
              <w:spacing w:after="0"/>
              <w:jc w:val="center"/>
              <w:rPr>
                <w:rFonts w:ascii="Tw Cen MT" w:hAnsi="Tw Cen MT"/>
                <w:color w:val="000000"/>
                <w:sz w:val="22"/>
                <w:szCs w:val="22"/>
              </w:rPr>
            </w:pPr>
            <w:r w:rsidRPr="00E8799A">
              <w:rPr>
                <w:rFonts w:ascii="Tw Cen MT" w:hAnsi="Tw Cen MT"/>
                <w:color w:val="000000"/>
                <w:sz w:val="22"/>
                <w:szCs w:val="22"/>
              </w:rPr>
              <w:t>(mGy)</w:t>
            </w:r>
          </w:p>
        </w:tc>
        <w:tc>
          <w:tcPr>
            <w:tcW w:w="1560" w:type="dxa"/>
            <w:tcBorders>
              <w:top w:val="single" w:sz="4" w:space="0" w:color="auto"/>
              <w:bottom w:val="single" w:sz="4" w:space="0" w:color="auto"/>
            </w:tcBorders>
            <w:shd w:val="clear" w:color="000000" w:fill="FFFFFF"/>
            <w:vAlign w:val="center"/>
            <w:hideMark/>
          </w:tcPr>
          <w:p w14:paraId="42C73B94" w14:textId="77777777" w:rsidR="00AF291F" w:rsidRPr="00E8799A" w:rsidRDefault="00AF291F" w:rsidP="00AF291F">
            <w:pPr>
              <w:spacing w:after="0"/>
              <w:jc w:val="center"/>
              <w:rPr>
                <w:rFonts w:ascii="Tw Cen MT" w:hAnsi="Tw Cen MT"/>
                <w:color w:val="000000"/>
                <w:sz w:val="22"/>
                <w:szCs w:val="22"/>
              </w:rPr>
            </w:pPr>
            <w:r w:rsidRPr="00E8799A">
              <w:rPr>
                <w:rFonts w:ascii="Tw Cen MT" w:hAnsi="Tw Cen MT"/>
                <w:color w:val="000000"/>
                <w:sz w:val="22"/>
                <w:szCs w:val="22"/>
              </w:rPr>
              <w:t xml:space="preserve">DLPc </w:t>
            </w:r>
          </w:p>
          <w:p w14:paraId="7045794D" w14:textId="77777777" w:rsidR="00AF291F" w:rsidRPr="00E8799A" w:rsidRDefault="00AF291F" w:rsidP="00AF291F">
            <w:pPr>
              <w:spacing w:after="0"/>
              <w:jc w:val="center"/>
              <w:rPr>
                <w:rFonts w:ascii="Tw Cen MT" w:hAnsi="Tw Cen MT"/>
                <w:color w:val="000000"/>
                <w:sz w:val="22"/>
                <w:szCs w:val="22"/>
              </w:rPr>
            </w:pPr>
            <w:r w:rsidRPr="00E8799A">
              <w:rPr>
                <w:rFonts w:ascii="Tw Cen MT" w:hAnsi="Tw Cen MT"/>
                <w:color w:val="000000"/>
                <w:sz w:val="22"/>
                <w:szCs w:val="22"/>
              </w:rPr>
              <w:t>(mGy.cm)</w:t>
            </w:r>
          </w:p>
        </w:tc>
      </w:tr>
      <w:tr w:rsidR="00AF291F" w:rsidRPr="00AD5C1B" w14:paraId="7E189F89" w14:textId="77777777" w:rsidTr="00AF291F">
        <w:trPr>
          <w:trHeight w:val="419"/>
        </w:trPr>
        <w:tc>
          <w:tcPr>
            <w:tcW w:w="1504" w:type="dxa"/>
            <w:tcBorders>
              <w:top w:val="single" w:sz="4" w:space="0" w:color="auto"/>
            </w:tcBorders>
            <w:shd w:val="clear" w:color="000000" w:fill="FFFFFF"/>
            <w:vAlign w:val="center"/>
            <w:hideMark/>
          </w:tcPr>
          <w:p w14:paraId="4B7AFFC9" w14:textId="77777777" w:rsidR="00AF291F" w:rsidRPr="00E8799A" w:rsidRDefault="00AF291F" w:rsidP="00AF291F">
            <w:pPr>
              <w:spacing w:after="0"/>
              <w:jc w:val="center"/>
              <w:rPr>
                <w:rFonts w:ascii="Tw Cen MT" w:hAnsi="Tw Cen MT"/>
                <w:color w:val="000000"/>
                <w:sz w:val="22"/>
                <w:szCs w:val="22"/>
              </w:rPr>
            </w:pPr>
            <w:r w:rsidRPr="00E8799A">
              <w:rPr>
                <w:rFonts w:ascii="Tw Cen MT" w:hAnsi="Tw Cen MT"/>
                <w:color w:val="000000"/>
                <w:sz w:val="22"/>
                <w:szCs w:val="22"/>
              </w:rPr>
              <w:t>Mean</w:t>
            </w:r>
          </w:p>
        </w:tc>
        <w:tc>
          <w:tcPr>
            <w:tcW w:w="872" w:type="dxa"/>
            <w:tcBorders>
              <w:top w:val="single" w:sz="4" w:space="0" w:color="auto"/>
            </w:tcBorders>
            <w:shd w:val="clear" w:color="000000" w:fill="FFFFFF"/>
            <w:vAlign w:val="center"/>
            <w:hideMark/>
          </w:tcPr>
          <w:p w14:paraId="48B3ABAB" w14:textId="77777777" w:rsidR="00AF291F" w:rsidRPr="00E8799A" w:rsidRDefault="00AF291F" w:rsidP="00AF291F">
            <w:pPr>
              <w:spacing w:after="0"/>
              <w:jc w:val="center"/>
              <w:rPr>
                <w:rFonts w:ascii="Tw Cen MT" w:hAnsi="Tw Cen MT"/>
                <w:sz w:val="22"/>
                <w:szCs w:val="22"/>
              </w:rPr>
            </w:pPr>
            <w:r>
              <w:rPr>
                <w:rFonts w:ascii="Tw Cen MT" w:hAnsi="Tw Cen MT"/>
                <w:sz w:val="22"/>
                <w:szCs w:val="22"/>
              </w:rPr>
              <w:t>66,88</w:t>
            </w:r>
          </w:p>
        </w:tc>
        <w:tc>
          <w:tcPr>
            <w:tcW w:w="1560" w:type="dxa"/>
            <w:tcBorders>
              <w:top w:val="single" w:sz="4" w:space="0" w:color="auto"/>
            </w:tcBorders>
            <w:shd w:val="clear" w:color="auto" w:fill="auto"/>
            <w:noWrap/>
            <w:vAlign w:val="center"/>
            <w:hideMark/>
          </w:tcPr>
          <w:p w14:paraId="2FCD9D4F" w14:textId="77777777" w:rsidR="00AF291F" w:rsidRPr="00E8799A" w:rsidRDefault="00AF291F" w:rsidP="00AF291F">
            <w:pPr>
              <w:spacing w:after="0"/>
              <w:jc w:val="center"/>
              <w:rPr>
                <w:rFonts w:ascii="Tw Cen MT" w:hAnsi="Tw Cen MT"/>
                <w:sz w:val="22"/>
                <w:szCs w:val="22"/>
              </w:rPr>
            </w:pPr>
            <w:r>
              <w:rPr>
                <w:rFonts w:ascii="Tw Cen MT" w:hAnsi="Tw Cen MT"/>
                <w:sz w:val="22"/>
                <w:szCs w:val="22"/>
              </w:rPr>
              <w:t>1565,33</w:t>
            </w:r>
          </w:p>
        </w:tc>
      </w:tr>
      <w:tr w:rsidR="00AF291F" w:rsidRPr="00AD5C1B" w14:paraId="5DACCB36" w14:textId="77777777" w:rsidTr="00AF291F">
        <w:trPr>
          <w:cantSplit/>
          <w:trHeight w:val="341"/>
        </w:trPr>
        <w:tc>
          <w:tcPr>
            <w:tcW w:w="1504" w:type="dxa"/>
            <w:shd w:val="clear" w:color="000000" w:fill="FFFFFF"/>
            <w:vAlign w:val="center"/>
            <w:hideMark/>
          </w:tcPr>
          <w:p w14:paraId="11AD41AF" w14:textId="77777777" w:rsidR="00AF291F" w:rsidRPr="00E8799A" w:rsidRDefault="00AF291F" w:rsidP="00AF291F">
            <w:pPr>
              <w:spacing w:after="0"/>
              <w:jc w:val="center"/>
              <w:rPr>
                <w:rFonts w:ascii="Tw Cen MT" w:hAnsi="Tw Cen MT"/>
                <w:color w:val="000000"/>
                <w:sz w:val="22"/>
                <w:szCs w:val="22"/>
              </w:rPr>
            </w:pPr>
            <w:r w:rsidRPr="00E8799A">
              <w:rPr>
                <w:rFonts w:ascii="Tw Cen MT" w:hAnsi="Tw Cen MT"/>
                <w:color w:val="000000"/>
                <w:sz w:val="22"/>
                <w:szCs w:val="22"/>
              </w:rPr>
              <w:t>Median</w:t>
            </w:r>
          </w:p>
        </w:tc>
        <w:tc>
          <w:tcPr>
            <w:tcW w:w="872" w:type="dxa"/>
            <w:shd w:val="clear" w:color="000000" w:fill="FFFFFF"/>
            <w:vAlign w:val="center"/>
            <w:hideMark/>
          </w:tcPr>
          <w:p w14:paraId="3EBD943E" w14:textId="77777777" w:rsidR="00AF291F" w:rsidRPr="00E8799A" w:rsidRDefault="00AF291F" w:rsidP="00AF291F">
            <w:pPr>
              <w:spacing w:after="0"/>
              <w:jc w:val="center"/>
              <w:rPr>
                <w:rFonts w:ascii="Tw Cen MT" w:hAnsi="Tw Cen MT"/>
                <w:sz w:val="22"/>
                <w:szCs w:val="22"/>
              </w:rPr>
            </w:pPr>
            <w:r>
              <w:rPr>
                <w:rFonts w:ascii="Tw Cen MT" w:hAnsi="Tw Cen MT"/>
                <w:sz w:val="22"/>
                <w:szCs w:val="22"/>
              </w:rPr>
              <w:t>59,62</w:t>
            </w:r>
          </w:p>
        </w:tc>
        <w:tc>
          <w:tcPr>
            <w:tcW w:w="1560" w:type="dxa"/>
            <w:shd w:val="clear" w:color="auto" w:fill="auto"/>
            <w:noWrap/>
            <w:vAlign w:val="center"/>
            <w:hideMark/>
          </w:tcPr>
          <w:p w14:paraId="09ECD4CF" w14:textId="77777777" w:rsidR="00AF291F" w:rsidRPr="00E8799A" w:rsidRDefault="00AF291F" w:rsidP="00AF291F">
            <w:pPr>
              <w:spacing w:after="0"/>
              <w:jc w:val="center"/>
              <w:rPr>
                <w:rFonts w:ascii="Tw Cen MT" w:hAnsi="Tw Cen MT"/>
                <w:sz w:val="22"/>
                <w:szCs w:val="22"/>
              </w:rPr>
            </w:pPr>
            <w:r>
              <w:rPr>
                <w:rFonts w:ascii="Tw Cen MT" w:hAnsi="Tw Cen MT"/>
                <w:sz w:val="22"/>
                <w:szCs w:val="22"/>
              </w:rPr>
              <w:t>1492,86</w:t>
            </w:r>
          </w:p>
        </w:tc>
      </w:tr>
      <w:tr w:rsidR="00AF291F" w:rsidRPr="00AD5C1B" w14:paraId="44472885" w14:textId="77777777" w:rsidTr="00AF291F">
        <w:trPr>
          <w:cantSplit/>
          <w:trHeight w:val="267"/>
        </w:trPr>
        <w:tc>
          <w:tcPr>
            <w:tcW w:w="1504" w:type="dxa"/>
            <w:shd w:val="clear" w:color="000000" w:fill="FFFFFF"/>
            <w:vAlign w:val="center"/>
            <w:hideMark/>
          </w:tcPr>
          <w:p w14:paraId="48FCB16E" w14:textId="77777777" w:rsidR="00AF291F" w:rsidRPr="00E8799A" w:rsidRDefault="00AF291F" w:rsidP="00AF291F">
            <w:pPr>
              <w:spacing w:after="0"/>
              <w:jc w:val="center"/>
              <w:rPr>
                <w:rFonts w:ascii="Tw Cen MT" w:hAnsi="Tw Cen MT"/>
                <w:color w:val="000000"/>
                <w:sz w:val="22"/>
                <w:szCs w:val="22"/>
              </w:rPr>
            </w:pPr>
            <w:r w:rsidRPr="00E8799A">
              <w:rPr>
                <w:rFonts w:ascii="Tw Cen MT" w:hAnsi="Tw Cen MT"/>
                <w:color w:val="000000"/>
                <w:sz w:val="22"/>
                <w:szCs w:val="22"/>
              </w:rPr>
              <w:t>Mode</w:t>
            </w:r>
          </w:p>
        </w:tc>
        <w:tc>
          <w:tcPr>
            <w:tcW w:w="872" w:type="dxa"/>
            <w:shd w:val="clear" w:color="000000" w:fill="FFFFFF"/>
            <w:vAlign w:val="center"/>
            <w:hideMark/>
          </w:tcPr>
          <w:p w14:paraId="212FA87F" w14:textId="77777777" w:rsidR="00AF291F" w:rsidRPr="00E8799A" w:rsidRDefault="00AF291F" w:rsidP="00AF291F">
            <w:pPr>
              <w:spacing w:after="0"/>
              <w:jc w:val="center"/>
              <w:rPr>
                <w:rFonts w:ascii="Tw Cen MT" w:hAnsi="Tw Cen MT"/>
                <w:sz w:val="22"/>
                <w:szCs w:val="22"/>
              </w:rPr>
            </w:pPr>
            <w:r>
              <w:rPr>
                <w:rFonts w:ascii="Tw Cen MT" w:hAnsi="Tw Cen MT"/>
                <w:sz w:val="22"/>
                <w:szCs w:val="22"/>
              </w:rPr>
              <w:t>78,56</w:t>
            </w:r>
          </w:p>
        </w:tc>
        <w:tc>
          <w:tcPr>
            <w:tcW w:w="1560" w:type="dxa"/>
            <w:shd w:val="clear" w:color="auto" w:fill="auto"/>
            <w:noWrap/>
            <w:vAlign w:val="center"/>
            <w:hideMark/>
          </w:tcPr>
          <w:p w14:paraId="3C5FDA51" w14:textId="77777777" w:rsidR="00AF291F" w:rsidRPr="00E8799A" w:rsidRDefault="00AF291F" w:rsidP="00AF291F">
            <w:pPr>
              <w:spacing w:after="0"/>
              <w:jc w:val="center"/>
              <w:rPr>
                <w:rFonts w:ascii="Tw Cen MT" w:hAnsi="Tw Cen MT"/>
                <w:sz w:val="22"/>
                <w:szCs w:val="22"/>
              </w:rPr>
            </w:pPr>
            <w:r>
              <w:rPr>
                <w:rFonts w:ascii="Tw Cen MT" w:hAnsi="Tw Cen MT"/>
                <w:sz w:val="22"/>
                <w:szCs w:val="22"/>
              </w:rPr>
              <w:t>1236,32</w:t>
            </w:r>
          </w:p>
        </w:tc>
      </w:tr>
      <w:tr w:rsidR="00AF291F" w:rsidRPr="00AD5C1B" w14:paraId="186D69E1" w14:textId="77777777" w:rsidTr="00AF291F">
        <w:trPr>
          <w:cantSplit/>
          <w:trHeight w:val="477"/>
        </w:trPr>
        <w:tc>
          <w:tcPr>
            <w:tcW w:w="1504" w:type="dxa"/>
            <w:shd w:val="clear" w:color="000000" w:fill="FFFFFF"/>
            <w:vAlign w:val="center"/>
            <w:hideMark/>
          </w:tcPr>
          <w:p w14:paraId="78EA6103" w14:textId="77777777" w:rsidR="00AF291F" w:rsidRPr="00E8799A" w:rsidRDefault="00AF291F" w:rsidP="00AF291F">
            <w:pPr>
              <w:spacing w:after="0"/>
              <w:jc w:val="center"/>
              <w:rPr>
                <w:rFonts w:ascii="Tw Cen MT" w:hAnsi="Tw Cen MT"/>
                <w:color w:val="000000"/>
                <w:sz w:val="22"/>
                <w:szCs w:val="22"/>
              </w:rPr>
            </w:pPr>
            <w:r w:rsidRPr="00E8799A">
              <w:rPr>
                <w:rFonts w:ascii="Tw Cen MT" w:hAnsi="Tw Cen MT"/>
                <w:color w:val="000000"/>
                <w:sz w:val="22"/>
                <w:szCs w:val="22"/>
              </w:rPr>
              <w:t>Std. Deviation</w:t>
            </w:r>
          </w:p>
        </w:tc>
        <w:tc>
          <w:tcPr>
            <w:tcW w:w="872" w:type="dxa"/>
            <w:shd w:val="clear" w:color="000000" w:fill="FFFFFF"/>
            <w:vAlign w:val="center"/>
            <w:hideMark/>
          </w:tcPr>
          <w:p w14:paraId="5298A31B" w14:textId="77777777" w:rsidR="00AF291F" w:rsidRPr="00E8799A" w:rsidRDefault="00AF291F" w:rsidP="00AF291F">
            <w:pPr>
              <w:spacing w:after="0"/>
              <w:jc w:val="center"/>
              <w:rPr>
                <w:rFonts w:ascii="Tw Cen MT" w:hAnsi="Tw Cen MT"/>
                <w:sz w:val="22"/>
                <w:szCs w:val="22"/>
              </w:rPr>
            </w:pPr>
            <w:r>
              <w:rPr>
                <w:rFonts w:ascii="Tw Cen MT" w:hAnsi="Tw Cen MT"/>
                <w:sz w:val="22"/>
                <w:szCs w:val="22"/>
              </w:rPr>
              <w:t>10,43</w:t>
            </w:r>
          </w:p>
        </w:tc>
        <w:tc>
          <w:tcPr>
            <w:tcW w:w="1560" w:type="dxa"/>
            <w:shd w:val="clear" w:color="auto" w:fill="auto"/>
            <w:noWrap/>
            <w:vAlign w:val="center"/>
            <w:hideMark/>
          </w:tcPr>
          <w:p w14:paraId="44B615C1" w14:textId="77777777" w:rsidR="00AF291F" w:rsidRPr="00E8799A" w:rsidRDefault="00AF291F" w:rsidP="00AF291F">
            <w:pPr>
              <w:spacing w:after="0"/>
              <w:jc w:val="center"/>
              <w:rPr>
                <w:rFonts w:ascii="Tw Cen MT" w:hAnsi="Tw Cen MT"/>
                <w:sz w:val="22"/>
                <w:szCs w:val="22"/>
              </w:rPr>
            </w:pPr>
            <w:r>
              <w:rPr>
                <w:rFonts w:ascii="Tw Cen MT" w:hAnsi="Tw Cen MT"/>
                <w:sz w:val="22"/>
                <w:szCs w:val="22"/>
              </w:rPr>
              <w:t>325,70</w:t>
            </w:r>
          </w:p>
        </w:tc>
      </w:tr>
      <w:tr w:rsidR="00AF291F" w:rsidRPr="00AD5C1B" w14:paraId="5112574B" w14:textId="77777777" w:rsidTr="00AF291F">
        <w:trPr>
          <w:cantSplit/>
          <w:trHeight w:val="132"/>
        </w:trPr>
        <w:tc>
          <w:tcPr>
            <w:tcW w:w="1504" w:type="dxa"/>
            <w:shd w:val="clear" w:color="000000" w:fill="FFFFFF"/>
            <w:vAlign w:val="center"/>
            <w:hideMark/>
          </w:tcPr>
          <w:p w14:paraId="38838B45" w14:textId="77777777" w:rsidR="00AF291F" w:rsidRPr="00E8799A" w:rsidRDefault="00AF291F" w:rsidP="00AF291F">
            <w:pPr>
              <w:spacing w:after="0"/>
              <w:jc w:val="center"/>
              <w:rPr>
                <w:rFonts w:ascii="Tw Cen MT" w:hAnsi="Tw Cen MT"/>
                <w:color w:val="000000"/>
                <w:sz w:val="22"/>
                <w:szCs w:val="22"/>
              </w:rPr>
            </w:pPr>
            <w:r w:rsidRPr="00E8799A">
              <w:rPr>
                <w:rFonts w:ascii="Tw Cen MT" w:hAnsi="Tw Cen MT"/>
                <w:color w:val="000000"/>
                <w:sz w:val="22"/>
                <w:szCs w:val="22"/>
              </w:rPr>
              <w:t>Minimum</w:t>
            </w:r>
          </w:p>
        </w:tc>
        <w:tc>
          <w:tcPr>
            <w:tcW w:w="872" w:type="dxa"/>
            <w:shd w:val="clear" w:color="000000" w:fill="FFFFFF"/>
            <w:vAlign w:val="center"/>
            <w:hideMark/>
          </w:tcPr>
          <w:p w14:paraId="2982A831" w14:textId="77777777" w:rsidR="00AF291F" w:rsidRPr="00E8799A" w:rsidRDefault="00AF291F" w:rsidP="00AF291F">
            <w:pPr>
              <w:spacing w:after="0"/>
              <w:jc w:val="center"/>
              <w:rPr>
                <w:rFonts w:ascii="Tw Cen MT" w:hAnsi="Tw Cen MT"/>
                <w:sz w:val="22"/>
                <w:szCs w:val="22"/>
              </w:rPr>
            </w:pPr>
            <w:r>
              <w:rPr>
                <w:rFonts w:ascii="Tw Cen MT" w:hAnsi="Tw Cen MT"/>
                <w:sz w:val="22"/>
                <w:szCs w:val="22"/>
              </w:rPr>
              <w:t>54,</w:t>
            </w:r>
            <w:r w:rsidRPr="00E8799A">
              <w:rPr>
                <w:rFonts w:ascii="Tw Cen MT" w:hAnsi="Tw Cen MT"/>
                <w:sz w:val="22"/>
                <w:szCs w:val="22"/>
              </w:rPr>
              <w:t>25</w:t>
            </w:r>
          </w:p>
        </w:tc>
        <w:tc>
          <w:tcPr>
            <w:tcW w:w="1560" w:type="dxa"/>
            <w:shd w:val="clear" w:color="auto" w:fill="auto"/>
            <w:noWrap/>
            <w:vAlign w:val="center"/>
            <w:hideMark/>
          </w:tcPr>
          <w:p w14:paraId="147B1647" w14:textId="77777777" w:rsidR="00AF291F" w:rsidRPr="00E8799A" w:rsidRDefault="00AF291F" w:rsidP="00AF291F">
            <w:pPr>
              <w:spacing w:after="0"/>
              <w:jc w:val="center"/>
              <w:rPr>
                <w:rFonts w:ascii="Tw Cen MT" w:hAnsi="Tw Cen MT"/>
                <w:sz w:val="22"/>
                <w:szCs w:val="22"/>
              </w:rPr>
            </w:pPr>
            <w:r>
              <w:rPr>
                <w:rFonts w:ascii="Tw Cen MT" w:hAnsi="Tw Cen MT"/>
                <w:sz w:val="22"/>
                <w:szCs w:val="22"/>
              </w:rPr>
              <w:t>1067,52</w:t>
            </w:r>
          </w:p>
        </w:tc>
      </w:tr>
      <w:tr w:rsidR="00AF291F" w:rsidRPr="00AD5C1B" w14:paraId="26B165FF" w14:textId="77777777" w:rsidTr="00AF291F">
        <w:trPr>
          <w:cantSplit/>
          <w:trHeight w:val="70"/>
        </w:trPr>
        <w:tc>
          <w:tcPr>
            <w:tcW w:w="1504" w:type="dxa"/>
            <w:tcBorders>
              <w:bottom w:val="single" w:sz="4" w:space="0" w:color="auto"/>
            </w:tcBorders>
            <w:shd w:val="clear" w:color="000000" w:fill="FFFFFF"/>
            <w:vAlign w:val="center"/>
            <w:hideMark/>
          </w:tcPr>
          <w:p w14:paraId="47ABA63F" w14:textId="77777777" w:rsidR="00AF291F" w:rsidRPr="00E8799A" w:rsidRDefault="00AF291F" w:rsidP="00AF291F">
            <w:pPr>
              <w:spacing w:after="0"/>
              <w:jc w:val="center"/>
              <w:rPr>
                <w:rFonts w:ascii="Tw Cen MT" w:hAnsi="Tw Cen MT"/>
                <w:color w:val="000000"/>
                <w:sz w:val="22"/>
                <w:szCs w:val="22"/>
              </w:rPr>
            </w:pPr>
            <w:r w:rsidRPr="00E8799A">
              <w:rPr>
                <w:rFonts w:ascii="Tw Cen MT" w:hAnsi="Tw Cen MT"/>
                <w:color w:val="000000"/>
                <w:sz w:val="22"/>
                <w:szCs w:val="22"/>
              </w:rPr>
              <w:t>Maximum</w:t>
            </w:r>
          </w:p>
        </w:tc>
        <w:tc>
          <w:tcPr>
            <w:tcW w:w="872" w:type="dxa"/>
            <w:tcBorders>
              <w:bottom w:val="single" w:sz="4" w:space="0" w:color="auto"/>
            </w:tcBorders>
            <w:shd w:val="clear" w:color="000000" w:fill="FFFFFF"/>
            <w:vAlign w:val="center"/>
            <w:hideMark/>
          </w:tcPr>
          <w:p w14:paraId="1F159C1A" w14:textId="77777777" w:rsidR="00AF291F" w:rsidRPr="00E8799A" w:rsidRDefault="00AF291F" w:rsidP="00AF291F">
            <w:pPr>
              <w:spacing w:after="0"/>
              <w:jc w:val="center"/>
              <w:rPr>
                <w:rFonts w:ascii="Tw Cen MT" w:hAnsi="Tw Cen MT"/>
                <w:sz w:val="22"/>
                <w:szCs w:val="22"/>
              </w:rPr>
            </w:pPr>
            <w:r>
              <w:rPr>
                <w:rFonts w:ascii="Tw Cen MT" w:hAnsi="Tw Cen MT"/>
                <w:sz w:val="22"/>
                <w:szCs w:val="22"/>
              </w:rPr>
              <w:t>90,87</w:t>
            </w:r>
          </w:p>
        </w:tc>
        <w:tc>
          <w:tcPr>
            <w:tcW w:w="1560" w:type="dxa"/>
            <w:tcBorders>
              <w:bottom w:val="single" w:sz="4" w:space="0" w:color="auto"/>
            </w:tcBorders>
            <w:shd w:val="clear" w:color="auto" w:fill="auto"/>
            <w:noWrap/>
            <w:vAlign w:val="center"/>
            <w:hideMark/>
          </w:tcPr>
          <w:p w14:paraId="1B12436D" w14:textId="77777777" w:rsidR="00AF291F" w:rsidRPr="00E8799A" w:rsidRDefault="00AF291F" w:rsidP="00AF291F">
            <w:pPr>
              <w:spacing w:after="0"/>
              <w:jc w:val="center"/>
              <w:rPr>
                <w:rFonts w:ascii="Tw Cen MT" w:hAnsi="Tw Cen MT"/>
                <w:sz w:val="22"/>
                <w:szCs w:val="22"/>
              </w:rPr>
            </w:pPr>
            <w:r>
              <w:rPr>
                <w:rFonts w:ascii="Tw Cen MT" w:hAnsi="Tw Cen MT"/>
                <w:sz w:val="22"/>
                <w:szCs w:val="22"/>
              </w:rPr>
              <w:t>2234,58</w:t>
            </w:r>
          </w:p>
        </w:tc>
      </w:tr>
    </w:tbl>
    <w:commentRangeEnd w:id="8"/>
    <w:p w14:paraId="3FEEB028" w14:textId="77777777" w:rsidR="00AF291F" w:rsidRDefault="006801D5" w:rsidP="00AF291F">
      <w:pPr>
        <w:spacing w:after="0" w:line="240" w:lineRule="auto"/>
        <w:jc w:val="both"/>
        <w:rPr>
          <w:rFonts w:ascii="Tw Cen MT" w:hAnsi="Tw Cen MT"/>
          <w:sz w:val="24"/>
          <w:szCs w:val="24"/>
        </w:rPr>
      </w:pPr>
      <w:r>
        <w:rPr>
          <w:rStyle w:val="CommentReference"/>
        </w:rPr>
        <w:commentReference w:id="8"/>
      </w:r>
    </w:p>
    <w:p w14:paraId="181B4CAD" w14:textId="7EA2A05B" w:rsidR="00EC229D" w:rsidRPr="00227851" w:rsidRDefault="00611B8B" w:rsidP="00AF291F">
      <w:pPr>
        <w:spacing w:after="0" w:line="240" w:lineRule="auto"/>
        <w:jc w:val="both"/>
        <w:rPr>
          <w:rFonts w:ascii="Tw Cen MT" w:hAnsi="Tw Cen MT"/>
          <w:b/>
        </w:rPr>
      </w:pPr>
      <w:r w:rsidRPr="00227851">
        <w:rPr>
          <w:rFonts w:ascii="Tw Cen MT" w:hAnsi="Tw Cen MT"/>
          <w:sz w:val="24"/>
          <w:szCs w:val="24"/>
        </w:rPr>
        <w:t xml:space="preserve">Berbeda dengan proses pengukuran manual, pengukuran menggunakan </w:t>
      </w:r>
      <w:r w:rsidRPr="00FD3D94">
        <w:rPr>
          <w:rFonts w:ascii="Tw Cen MT" w:hAnsi="Tw Cen MT"/>
          <w:i/>
          <w:sz w:val="24"/>
          <w:szCs w:val="24"/>
        </w:rPr>
        <w:t xml:space="preserve">software </w:t>
      </w:r>
      <w:r w:rsidRPr="00227851">
        <w:rPr>
          <w:rFonts w:ascii="Tw Cen MT" w:hAnsi="Tw Cen MT"/>
          <w:sz w:val="24"/>
          <w:szCs w:val="24"/>
        </w:rPr>
        <w:t xml:space="preserve">indoseCT v20.b ini tidak dilakukan pengukuran nilai AP dan Lat terlebih dahulu. Pada </w:t>
      </w:r>
      <w:r w:rsidRPr="00227851">
        <w:rPr>
          <w:rFonts w:ascii="Tw Cen MT" w:hAnsi="Tw Cen MT"/>
          <w:i/>
          <w:sz w:val="24"/>
          <w:szCs w:val="24"/>
        </w:rPr>
        <w:t>software</w:t>
      </w:r>
      <w:r w:rsidR="00D87200">
        <w:rPr>
          <w:rFonts w:ascii="Tw Cen MT" w:hAnsi="Tw Cen MT"/>
          <w:sz w:val="24"/>
          <w:szCs w:val="24"/>
        </w:rPr>
        <w:t xml:space="preserve"> i</w:t>
      </w:r>
      <w:r w:rsidRPr="00227851">
        <w:rPr>
          <w:rFonts w:ascii="Tw Cen MT" w:hAnsi="Tw Cen MT"/>
          <w:sz w:val="24"/>
          <w:szCs w:val="24"/>
        </w:rPr>
        <w:t>ndoseCT v20.b sudah bisa melakukan pengukuran nilai diameter</w:t>
      </w:r>
      <w:r w:rsidR="00DE0B98">
        <w:rPr>
          <w:rFonts w:ascii="Tw Cen MT" w:hAnsi="Tw Cen MT"/>
          <w:sz w:val="24"/>
          <w:szCs w:val="24"/>
        </w:rPr>
        <w:t xml:space="preserve"> efektif (DEFF) secara langsung,</w:t>
      </w:r>
      <w:r w:rsidRPr="00227851">
        <w:rPr>
          <w:rFonts w:ascii="Tw Cen MT" w:hAnsi="Tw Cen MT"/>
          <w:sz w:val="24"/>
          <w:szCs w:val="24"/>
        </w:rPr>
        <w:t xml:space="preserve"> </w:t>
      </w:r>
      <w:r w:rsidR="00DE0B98">
        <w:rPr>
          <w:rFonts w:ascii="Tw Cen MT" w:hAnsi="Tw Cen MT"/>
          <w:sz w:val="24"/>
          <w:szCs w:val="24"/>
        </w:rPr>
        <w:t>karena</w:t>
      </w:r>
      <w:r w:rsidRPr="00227851">
        <w:rPr>
          <w:rFonts w:ascii="Tw Cen MT" w:hAnsi="Tw Cen MT"/>
          <w:sz w:val="24"/>
          <w:szCs w:val="24"/>
        </w:rPr>
        <w:t xml:space="preserve"> </w:t>
      </w:r>
      <w:r w:rsidR="00DE0B98" w:rsidRPr="00227851">
        <w:rPr>
          <w:rFonts w:ascii="Tw Cen MT" w:hAnsi="Tw Cen MT"/>
          <w:i/>
          <w:sz w:val="24"/>
          <w:szCs w:val="24"/>
        </w:rPr>
        <w:t>software</w:t>
      </w:r>
      <w:r w:rsidR="00D87200">
        <w:rPr>
          <w:rFonts w:ascii="Tw Cen MT" w:hAnsi="Tw Cen MT"/>
          <w:sz w:val="24"/>
          <w:szCs w:val="24"/>
        </w:rPr>
        <w:t xml:space="preserve"> i</w:t>
      </w:r>
      <w:r w:rsidR="00DE0B98" w:rsidRPr="00227851">
        <w:rPr>
          <w:rFonts w:ascii="Tw Cen MT" w:hAnsi="Tw Cen MT"/>
          <w:sz w:val="24"/>
          <w:szCs w:val="24"/>
        </w:rPr>
        <w:t xml:space="preserve">ndoseCT v20.b </w:t>
      </w:r>
      <w:r w:rsidRPr="00227851">
        <w:rPr>
          <w:rFonts w:ascii="Tw Cen MT" w:hAnsi="Tw Cen MT"/>
          <w:sz w:val="24"/>
          <w:szCs w:val="24"/>
        </w:rPr>
        <w:t>akan mengkontur</w:t>
      </w:r>
      <w:r w:rsidR="00DE0B98">
        <w:rPr>
          <w:rFonts w:ascii="Tw Cen MT" w:hAnsi="Tw Cen MT"/>
          <w:sz w:val="24"/>
          <w:szCs w:val="24"/>
        </w:rPr>
        <w:t>ing</w:t>
      </w:r>
      <w:r w:rsidRPr="00227851">
        <w:rPr>
          <w:rFonts w:ascii="Tw Cen MT" w:hAnsi="Tw Cen MT"/>
          <w:sz w:val="24"/>
          <w:szCs w:val="24"/>
        </w:rPr>
        <w:t xml:space="preserve"> gambar yang dipilih secara otomatis, sehingga akan muncul nilai diameter efektif. Setelah mendapatkan nilai</w:t>
      </w:r>
      <w:r w:rsidRPr="00227851">
        <w:rPr>
          <w:rFonts w:ascii="Tw Cen MT" w:hAnsi="Tw Cen MT"/>
        </w:rPr>
        <w:t xml:space="preserve"> </w:t>
      </w:r>
      <w:r w:rsidRPr="00227851">
        <w:rPr>
          <w:rFonts w:ascii="Tw Cen MT" w:hAnsi="Tw Cen MT"/>
          <w:sz w:val="24"/>
          <w:szCs w:val="24"/>
        </w:rPr>
        <w:t>diameter efektif  tersebut, maka akan didapatkan juga faktor konversi serta SSDE hanya dengan melanjutkan ke langkah berikutnya.</w:t>
      </w:r>
      <w:r w:rsidR="00CE3D98" w:rsidRPr="00227851">
        <w:rPr>
          <w:rFonts w:ascii="Tw Cen MT" w:hAnsi="Tw Cen MT"/>
          <w:b/>
        </w:rPr>
        <w:t xml:space="preserve"> </w:t>
      </w:r>
    </w:p>
    <w:p w14:paraId="1155BB80" w14:textId="08FDCA59" w:rsidR="00EC229D" w:rsidRDefault="00EC229D" w:rsidP="00AF291F">
      <w:pPr>
        <w:spacing w:after="0" w:line="240" w:lineRule="auto"/>
        <w:jc w:val="both"/>
        <w:rPr>
          <w:rFonts w:ascii="Tw Cen MT" w:eastAsiaTheme="minorHAnsi" w:hAnsi="Tw Cen MT"/>
          <w:sz w:val="24"/>
          <w:szCs w:val="24"/>
        </w:rPr>
      </w:pPr>
      <w:r w:rsidRPr="00227851">
        <w:rPr>
          <w:rFonts w:ascii="Tw Cen MT" w:eastAsiaTheme="minorHAnsi" w:hAnsi="Tw Cen MT"/>
          <w:sz w:val="24"/>
          <w:szCs w:val="24"/>
        </w:rPr>
        <w:t xml:space="preserve">Hal ini seperti dikemukakan Pada penelitian yang dilakukan oleh Nihayati rizki, dkk (2023) dalam </w:t>
      </w:r>
      <w:r w:rsidRPr="00227851">
        <w:rPr>
          <w:rFonts w:ascii="Tw Cen MT" w:hAnsi="Tw Cen MT"/>
          <w:bCs/>
          <w:i/>
          <w:sz w:val="24"/>
          <w:szCs w:val="24"/>
        </w:rPr>
        <w:t xml:space="preserve">Accuracy of IndoseCT for Measuring Effective Diameter from axial CT Images </w:t>
      </w:r>
      <w:r w:rsidRPr="00227851">
        <w:rPr>
          <w:rFonts w:ascii="Tw Cen MT" w:hAnsi="Tw Cen MT"/>
          <w:bCs/>
          <w:sz w:val="24"/>
          <w:szCs w:val="24"/>
        </w:rPr>
        <w:t>menyatakan bahwa</w:t>
      </w:r>
      <w:r w:rsidRPr="00227851">
        <w:rPr>
          <w:rFonts w:ascii="Tw Cen MT" w:eastAsiaTheme="minorHAnsi" w:hAnsi="Tw Cen MT"/>
          <w:sz w:val="24"/>
          <w:szCs w:val="24"/>
        </w:rPr>
        <w:t xml:space="preserve"> diameter efektif  dapat ditemukan secara manual atau otomatis. Sejak laporan AAPM 204 diterbitkan, pengukuran diameter ef</w:t>
      </w:r>
      <w:r w:rsidR="00DE0B98">
        <w:rPr>
          <w:rFonts w:ascii="Tw Cen MT" w:eastAsiaTheme="minorHAnsi" w:hAnsi="Tw Cen MT"/>
          <w:sz w:val="24"/>
          <w:szCs w:val="24"/>
        </w:rPr>
        <w:t>ektif  otomatis telah diusulkan. P</w:t>
      </w:r>
      <w:r w:rsidRPr="00227851">
        <w:rPr>
          <w:rFonts w:ascii="Tw Cen MT" w:eastAsiaTheme="minorHAnsi" w:hAnsi="Tw Cen MT"/>
          <w:sz w:val="24"/>
          <w:szCs w:val="24"/>
        </w:rPr>
        <w:t>engukuran yang dilakukan menggunakan "Auto 3D" di mana diameter efektif  dihitung secara otomatis dari kontur</w:t>
      </w:r>
      <w:r w:rsidR="00DE0B98">
        <w:rPr>
          <w:rFonts w:ascii="Tw Cen MT" w:eastAsiaTheme="minorHAnsi" w:hAnsi="Tw Cen MT"/>
          <w:sz w:val="24"/>
          <w:szCs w:val="24"/>
        </w:rPr>
        <w:t>ing gambar f</w:t>
      </w:r>
      <w:r w:rsidRPr="00227851">
        <w:rPr>
          <w:rFonts w:ascii="Tw Cen MT" w:eastAsiaTheme="minorHAnsi" w:hAnsi="Tw Cen MT"/>
          <w:sz w:val="24"/>
          <w:szCs w:val="24"/>
        </w:rPr>
        <w:t>antom untuk semua irisan. Saat ini, perangkat lunak untuk mengukur diameter efektif  secara otomatis t</w:t>
      </w:r>
      <w:r w:rsidR="00D87200">
        <w:rPr>
          <w:rFonts w:ascii="Tw Cen MT" w:eastAsiaTheme="minorHAnsi" w:hAnsi="Tw Cen MT"/>
          <w:sz w:val="24"/>
          <w:szCs w:val="24"/>
        </w:rPr>
        <w:t>elah tersedia, seperti i</w:t>
      </w:r>
      <w:r w:rsidR="00227851" w:rsidRPr="00227851">
        <w:rPr>
          <w:rFonts w:ascii="Tw Cen MT" w:eastAsiaTheme="minorHAnsi" w:hAnsi="Tw Cen MT"/>
          <w:sz w:val="24"/>
          <w:szCs w:val="24"/>
        </w:rPr>
        <w:t>ndoseCT</w:t>
      </w:r>
      <w:r w:rsidR="00C863C0">
        <w:rPr>
          <w:rFonts w:ascii="Tw Cen MT" w:eastAsiaTheme="minorHAnsi" w:hAnsi="Tw Cen MT"/>
          <w:sz w:val="24"/>
          <w:szCs w:val="24"/>
        </w:rPr>
        <w:t xml:space="preserve"> </w:t>
      </w:r>
      <w:r w:rsidRPr="00227851">
        <w:rPr>
          <w:rFonts w:ascii="Tw Cen MT" w:eastAsiaTheme="minorHAnsi" w:hAnsi="Tw Cen MT"/>
          <w:sz w:val="24"/>
          <w:szCs w:val="24"/>
        </w:rPr>
        <w:fldChar w:fldCharType="begin" w:fldLock="1"/>
      </w:r>
      <w:r w:rsidR="00A46751">
        <w:rPr>
          <w:rFonts w:ascii="Tw Cen MT" w:eastAsiaTheme="minorHAnsi" w:hAnsi="Tw Cen MT"/>
          <w:sz w:val="24"/>
          <w:szCs w:val="24"/>
        </w:rPr>
        <w:instrText>ADDIN CSL_CITATION {"citationItems":[{"id":"ITEM-1","itemData":{"DOI":"10.32628/ijsrst2310136","ISSN":"2395-6011","abstract":"We investigated the accuracy of automatic measurements of the effective diameter (Deff) using IndoseCT software with axial computed tomography (CT) images of polyester-resin (PESR) phantoms of various diameters. The phantoms used PESR as the base material mixed with Methyl Ethyl Ketone Peroxide (MEKP) as the catalyst. The phantom diameters were 8, 16, 24, and 32 cm. The phantoms were scanned with a CT scanner from edge-to-edge position with field of views (FOVs) of 30, 35, 40, 45, and 50 cm. The Deff was measured from all slices along the z-axis. It was found that the automatic Deff measurements were very accurate. The Deff values were different by less than 0.02 cm for all diameters and all FOVs used. The maximum difference was obtained a ta diameter of 16 cm and FOV of 35 cm. We found that the precision of Deff measurements along the z-axis was very good with a maximum standard deviation of 0.01 cm. The relationships between phantom diameter and measured Deff for all FOVs had p-values &lt; 0.001 and r2 = 1.000. Therefore, the IndoseCT is able to accurately and precisely measure Deff to facilitate estimating the patient dose in the SSDE metric.","author":[{"dropping-particle":"","family":"Nihayati Rizki","given":"","non-dropping-particle":"","parse-names":false,"suffix":""},{"dropping-particle":"","family":"Choirul Anam","given":"","non-dropping-particle":"","parse-names":false,"suffix":""},{"dropping-particle":"","family":"Heri Sutanto","given":"","non-dropping-particle":"","parse-names":false,"suffix":""},{"dropping-particle":"","family":"Geoff Dougherty","given":"","non-dropping-particle":"","parse-names":false,"suffix":""}],"container-title":"International Journal of Scientific Research in Science and Technology","id":"ITEM-1","issue":"February","issued":{"date-parts":[["2023"]]},"page":"434-445","title":"Accuracy of IndoseCT for Measuring Effective Diameter from axial CT Images","type":"article-journal"},"uris":["http://www.mendeley.com/documents/?uuid=9a8c9019-3484-4609-8bb9-c64a7a97075c"]}],"mendeley":{"formattedCitation":"[12]","plainTextFormattedCitation":"[12]","previouslyFormattedCitation":"[12]"},"properties":{"noteIndex":0},"schema":"https://github.com/citation-style-language/schema/raw/master/csl-citation.json"}</w:instrText>
      </w:r>
      <w:r w:rsidRPr="00227851">
        <w:rPr>
          <w:rFonts w:ascii="Tw Cen MT" w:eastAsiaTheme="minorHAnsi" w:hAnsi="Tw Cen MT"/>
          <w:sz w:val="24"/>
          <w:szCs w:val="24"/>
        </w:rPr>
        <w:fldChar w:fldCharType="separate"/>
      </w:r>
      <w:r w:rsidRPr="00227851">
        <w:rPr>
          <w:rFonts w:ascii="Tw Cen MT" w:eastAsiaTheme="minorHAnsi" w:hAnsi="Tw Cen MT"/>
          <w:noProof/>
          <w:sz w:val="24"/>
          <w:szCs w:val="24"/>
        </w:rPr>
        <w:t>[12]</w:t>
      </w:r>
      <w:r w:rsidRPr="00227851">
        <w:rPr>
          <w:rFonts w:ascii="Tw Cen MT" w:eastAsiaTheme="minorHAnsi" w:hAnsi="Tw Cen MT"/>
          <w:sz w:val="24"/>
          <w:szCs w:val="24"/>
        </w:rPr>
        <w:fldChar w:fldCharType="end"/>
      </w:r>
      <w:r w:rsidR="00C863C0">
        <w:rPr>
          <w:rFonts w:ascii="Tw Cen MT" w:eastAsiaTheme="minorHAnsi" w:hAnsi="Tw Cen MT"/>
          <w:sz w:val="24"/>
          <w:szCs w:val="24"/>
        </w:rPr>
        <w:t>.</w:t>
      </w:r>
    </w:p>
    <w:p w14:paraId="3A482357" w14:textId="7AF22819" w:rsidR="00ED39E1" w:rsidRPr="00227851" w:rsidRDefault="00ED39E1" w:rsidP="00AF291F">
      <w:pPr>
        <w:spacing w:after="0" w:line="240" w:lineRule="auto"/>
        <w:jc w:val="both"/>
        <w:rPr>
          <w:rFonts w:ascii="Tw Cen MT" w:eastAsiaTheme="minorHAnsi" w:hAnsi="Tw Cen MT"/>
          <w:sz w:val="24"/>
          <w:szCs w:val="24"/>
        </w:rPr>
      </w:pPr>
      <w:r>
        <w:rPr>
          <w:rFonts w:ascii="Tw Cen MT" w:eastAsiaTheme="minorHAnsi" w:hAnsi="Tw Cen MT"/>
          <w:sz w:val="24"/>
          <w:szCs w:val="24"/>
        </w:rPr>
        <w:t>Berikut ini dijelaskan langkah-langkah dalam menentukan nilai DEFF dan</w:t>
      </w:r>
      <w:r w:rsidR="00F35A84">
        <w:rPr>
          <w:rFonts w:ascii="Tw Cen MT" w:eastAsiaTheme="minorHAnsi" w:hAnsi="Tw Cen MT"/>
          <w:sz w:val="24"/>
          <w:szCs w:val="24"/>
        </w:rPr>
        <w:t xml:space="preserve"> SSDE, seperti yang ditunjukan g</w:t>
      </w:r>
      <w:r>
        <w:rPr>
          <w:rFonts w:ascii="Tw Cen MT" w:eastAsiaTheme="minorHAnsi" w:hAnsi="Tw Cen MT"/>
          <w:sz w:val="24"/>
          <w:szCs w:val="24"/>
        </w:rPr>
        <w:t>ambar 2.</w:t>
      </w:r>
    </w:p>
    <w:p w14:paraId="1A9B945C" w14:textId="3C92B430" w:rsidR="00611B8B" w:rsidRDefault="008A032E" w:rsidP="00AF291F">
      <w:pPr>
        <w:pStyle w:val="ListParagraph"/>
        <w:spacing w:after="0" w:line="240" w:lineRule="auto"/>
        <w:ind w:left="0"/>
        <w:jc w:val="both"/>
        <w:rPr>
          <w:rFonts w:ascii="Tw Cen MT" w:eastAsia="Twentieth Century" w:hAnsi="Tw Cen MT" w:cs="Twentieth Century"/>
          <w:b/>
          <w:sz w:val="24"/>
          <w:szCs w:val="24"/>
        </w:rPr>
      </w:pPr>
      <w:r>
        <w:rPr>
          <w:rFonts w:ascii="Tw Cen MT" w:eastAsia="Twentieth Century" w:hAnsi="Tw Cen MT" w:cs="Twentieth Century"/>
          <w:sz w:val="24"/>
          <w:szCs w:val="24"/>
        </w:rPr>
        <w:t xml:space="preserve">Setelah membuka aplikasi </w:t>
      </w:r>
      <w:r w:rsidR="00D87200">
        <w:rPr>
          <w:rFonts w:ascii="Tw Cen MT" w:eastAsia="Twentieth Century" w:hAnsi="Tw Cen MT" w:cs="Twentieth Century"/>
          <w:sz w:val="24"/>
          <w:szCs w:val="24"/>
        </w:rPr>
        <w:t>i</w:t>
      </w:r>
      <w:r>
        <w:rPr>
          <w:rFonts w:ascii="Tw Cen MT" w:eastAsia="Twentieth Century" w:hAnsi="Tw Cen MT" w:cs="Twentieth Century"/>
          <w:sz w:val="24"/>
          <w:szCs w:val="24"/>
        </w:rPr>
        <w:t xml:space="preserve">ndoseCT </w:t>
      </w:r>
      <w:r w:rsidR="00ED39E1" w:rsidRPr="00A83D0E">
        <w:rPr>
          <w:rFonts w:ascii="Tw Cen MT" w:eastAsia="Twentieth Century" w:hAnsi="Tw Cen MT" w:cs="Twentieth Century"/>
          <w:sz w:val="24"/>
          <w:szCs w:val="24"/>
        </w:rPr>
        <w:t xml:space="preserve">v20.b, pertama-tama </w:t>
      </w:r>
      <w:r w:rsidR="00A83D0E" w:rsidRPr="00A83D0E">
        <w:rPr>
          <w:rFonts w:ascii="Tw Cen MT" w:eastAsia="Twentieth Century" w:hAnsi="Tw Cen MT" w:cs="Twentieth Century"/>
          <w:sz w:val="24"/>
          <w:szCs w:val="24"/>
        </w:rPr>
        <w:t xml:space="preserve">sesuaikan citra </w:t>
      </w:r>
      <w:r w:rsidR="009A245A">
        <w:rPr>
          <w:rFonts w:ascii="Tw Cen MT" w:eastAsia="Twentieth Century" w:hAnsi="Tw Cen MT" w:cs="Twentieth Century"/>
          <w:sz w:val="24"/>
          <w:szCs w:val="24"/>
        </w:rPr>
        <w:t xml:space="preserve">yang diukur dengan jenis </w:t>
      </w:r>
      <w:r w:rsidR="00A83D0E" w:rsidRPr="00A83D0E">
        <w:rPr>
          <w:rFonts w:ascii="Tw Cen MT" w:eastAsia="Twentieth Century" w:hAnsi="Tw Cen MT" w:cs="Twentieth Century"/>
          <w:sz w:val="24"/>
          <w:szCs w:val="24"/>
        </w:rPr>
        <w:t xml:space="preserve">fantom, rubah menjadi fantom “head” pada software. </w:t>
      </w:r>
      <w:r w:rsidR="009A245A">
        <w:rPr>
          <w:rFonts w:ascii="Tw Cen MT" w:eastAsia="Twentieth Century" w:hAnsi="Tw Cen MT" w:cs="Twentieth Century"/>
          <w:sz w:val="24"/>
          <w:szCs w:val="24"/>
        </w:rPr>
        <w:t>Mulai dengan</w:t>
      </w:r>
      <w:r w:rsidR="00A83D0E" w:rsidRPr="00A83D0E">
        <w:rPr>
          <w:rFonts w:ascii="Tw Cen MT" w:eastAsia="Twentieth Century" w:hAnsi="Tw Cen MT" w:cs="Twentieth Century"/>
          <w:sz w:val="24"/>
          <w:szCs w:val="24"/>
        </w:rPr>
        <w:t xml:space="preserve"> </w:t>
      </w:r>
      <w:r w:rsidR="009A245A">
        <w:rPr>
          <w:rFonts w:ascii="Tw Cen MT" w:eastAsia="Twentieth Century" w:hAnsi="Tw Cen MT" w:cs="Twentieth Century"/>
          <w:sz w:val="24"/>
          <w:szCs w:val="24"/>
        </w:rPr>
        <w:t>klik “</w:t>
      </w:r>
      <w:r w:rsidR="00DE0B98">
        <w:rPr>
          <w:rFonts w:ascii="Tw Cen MT" w:eastAsia="Twentieth Century" w:hAnsi="Tw Cen MT" w:cs="Twentieth Century"/>
          <w:sz w:val="24"/>
          <w:szCs w:val="24"/>
        </w:rPr>
        <w:t>Open Folder</w:t>
      </w:r>
      <w:r w:rsidR="009A245A">
        <w:rPr>
          <w:rFonts w:ascii="Tw Cen MT" w:eastAsia="Twentieth Century" w:hAnsi="Tw Cen MT" w:cs="Twentieth Century"/>
          <w:sz w:val="24"/>
          <w:szCs w:val="24"/>
        </w:rPr>
        <w:t>” untuk membu</w:t>
      </w:r>
      <w:r w:rsidR="00ED39E1" w:rsidRPr="00A83D0E">
        <w:rPr>
          <w:rFonts w:ascii="Tw Cen MT" w:eastAsia="Twentieth Century" w:hAnsi="Tw Cen MT" w:cs="Twentieth Century"/>
          <w:sz w:val="24"/>
          <w:szCs w:val="24"/>
        </w:rPr>
        <w:t>ka file citra DICOM. s</w:t>
      </w:r>
      <w:r w:rsidR="009A245A">
        <w:rPr>
          <w:rFonts w:ascii="Tw Cen MT" w:eastAsia="Twentieth Century" w:hAnsi="Tw Cen MT" w:cs="Twentieth Century"/>
          <w:sz w:val="24"/>
          <w:szCs w:val="24"/>
        </w:rPr>
        <w:t>e</w:t>
      </w:r>
      <w:r w:rsidR="00ED39E1" w:rsidRPr="00A83D0E">
        <w:rPr>
          <w:rFonts w:ascii="Tw Cen MT" w:eastAsia="Twentieth Century" w:hAnsi="Tw Cen MT" w:cs="Twentieth Century"/>
          <w:sz w:val="24"/>
          <w:szCs w:val="24"/>
        </w:rPr>
        <w:t>telah citra terbuka, pilih sa</w:t>
      </w:r>
      <w:r w:rsidR="00A83D0E" w:rsidRPr="00A83D0E">
        <w:rPr>
          <w:rFonts w:ascii="Tw Cen MT" w:eastAsia="Twentieth Century" w:hAnsi="Tw Cen MT" w:cs="Twentieth Century"/>
          <w:sz w:val="24"/>
          <w:szCs w:val="24"/>
        </w:rPr>
        <w:t>l</w:t>
      </w:r>
      <w:r w:rsidR="00ED39E1" w:rsidRPr="00A83D0E">
        <w:rPr>
          <w:rFonts w:ascii="Tw Cen MT" w:eastAsia="Twentieth Century" w:hAnsi="Tw Cen MT" w:cs="Twentieth Century"/>
          <w:sz w:val="24"/>
          <w:szCs w:val="24"/>
        </w:rPr>
        <w:t>a</w:t>
      </w:r>
      <w:r w:rsidR="00A83D0E" w:rsidRPr="00A83D0E">
        <w:rPr>
          <w:rFonts w:ascii="Tw Cen MT" w:eastAsia="Twentieth Century" w:hAnsi="Tw Cen MT" w:cs="Twentieth Century"/>
          <w:sz w:val="24"/>
          <w:szCs w:val="24"/>
        </w:rPr>
        <w:t>h</w:t>
      </w:r>
      <w:r w:rsidR="00ED39E1" w:rsidRPr="00A83D0E">
        <w:rPr>
          <w:rFonts w:ascii="Tw Cen MT" w:eastAsia="Twentieth Century" w:hAnsi="Tw Cen MT" w:cs="Twentieth Century"/>
          <w:sz w:val="24"/>
          <w:szCs w:val="24"/>
        </w:rPr>
        <w:t xml:space="preserve"> satu </w:t>
      </w:r>
      <w:r w:rsidR="00ED39E1" w:rsidRPr="009A245A">
        <w:rPr>
          <w:rFonts w:ascii="Tw Cen MT" w:eastAsia="Twentieth Century" w:hAnsi="Tw Cen MT" w:cs="Twentieth Century"/>
          <w:i/>
          <w:sz w:val="24"/>
          <w:szCs w:val="24"/>
        </w:rPr>
        <w:t>slice</w:t>
      </w:r>
      <w:r w:rsidR="00ED39E1" w:rsidRPr="00A83D0E">
        <w:rPr>
          <w:rFonts w:ascii="Tw Cen MT" w:eastAsia="Twentieth Century" w:hAnsi="Tw Cen MT" w:cs="Twentieth Century"/>
          <w:sz w:val="24"/>
          <w:szCs w:val="24"/>
        </w:rPr>
        <w:t xml:space="preserve"> Lalu pilih metode “ input Manually” untuk memasukan nilai CTDIvol. Proses selanjutnya adalah penentuan nilai diameter efektif, yaitu dengan cara memilih sumber</w:t>
      </w:r>
      <w:r w:rsidR="00DE0B98">
        <w:rPr>
          <w:rFonts w:ascii="Tw Cen MT" w:eastAsia="Twentieth Century" w:hAnsi="Tw Cen MT" w:cs="Twentieth Century"/>
          <w:sz w:val="24"/>
          <w:szCs w:val="24"/>
        </w:rPr>
        <w:t xml:space="preserve"> “</w:t>
      </w:r>
      <w:r w:rsidR="00DE0B98" w:rsidRPr="00A83D0E">
        <w:rPr>
          <w:rFonts w:ascii="Tw Cen MT" w:eastAsia="Twentieth Century" w:hAnsi="Tw Cen MT" w:cs="Twentieth Century"/>
          <w:sz w:val="24"/>
          <w:szCs w:val="24"/>
        </w:rPr>
        <w:t>Get From Image</w:t>
      </w:r>
      <w:r w:rsidR="00A83D0E" w:rsidRPr="00A83D0E">
        <w:rPr>
          <w:rFonts w:ascii="Tw Cen MT" w:eastAsia="Twentieth Century" w:hAnsi="Tw Cen MT" w:cs="Twentieth Century"/>
          <w:sz w:val="24"/>
          <w:szCs w:val="24"/>
        </w:rPr>
        <w:t>” dan menggunakan metode “</w:t>
      </w:r>
      <w:r w:rsidR="00DE0B98" w:rsidRPr="00A83D0E">
        <w:rPr>
          <w:rFonts w:ascii="Tw Cen MT" w:eastAsia="Twentieth Century" w:hAnsi="Tw Cen MT" w:cs="Twentieth Century"/>
          <w:sz w:val="24"/>
          <w:szCs w:val="24"/>
        </w:rPr>
        <w:t>Auto</w:t>
      </w:r>
      <w:r w:rsidR="00A83D0E" w:rsidRPr="00A83D0E">
        <w:rPr>
          <w:rFonts w:ascii="Tw Cen MT" w:eastAsia="Twentieth Century" w:hAnsi="Tw Cen MT" w:cs="Twentieth Century"/>
          <w:sz w:val="24"/>
          <w:szCs w:val="24"/>
        </w:rPr>
        <w:t xml:space="preserve">”. Kemudian klik </w:t>
      </w:r>
      <w:r w:rsidR="00DE0B98">
        <w:rPr>
          <w:rFonts w:ascii="Tw Cen MT" w:eastAsia="Twentieth Century" w:hAnsi="Tw Cen MT" w:cs="Twentieth Century"/>
          <w:sz w:val="24"/>
          <w:szCs w:val="24"/>
        </w:rPr>
        <w:t>“</w:t>
      </w:r>
      <w:r w:rsidR="00DE0B98" w:rsidRPr="009A245A">
        <w:rPr>
          <w:rFonts w:ascii="Tw Cen MT" w:eastAsia="Twentieth Century" w:hAnsi="Tw Cen MT" w:cs="Twentieth Century"/>
          <w:i/>
          <w:sz w:val="24"/>
          <w:szCs w:val="24"/>
        </w:rPr>
        <w:t>Calculate</w:t>
      </w:r>
      <w:r w:rsidR="00DE0B98">
        <w:rPr>
          <w:rFonts w:ascii="Tw Cen MT" w:eastAsia="Twentieth Century" w:hAnsi="Tw Cen MT" w:cs="Twentieth Century"/>
          <w:i/>
          <w:sz w:val="24"/>
          <w:szCs w:val="24"/>
        </w:rPr>
        <w:t>”</w:t>
      </w:r>
      <w:r w:rsidR="00DE0B98">
        <w:rPr>
          <w:rFonts w:ascii="Tw Cen MT" w:eastAsia="Twentieth Century" w:hAnsi="Tw Cen MT" w:cs="Twentieth Century"/>
          <w:sz w:val="24"/>
          <w:szCs w:val="24"/>
        </w:rPr>
        <w:t xml:space="preserve">. </w:t>
      </w:r>
      <w:r w:rsidR="00A83D0E" w:rsidRPr="00A83D0E">
        <w:rPr>
          <w:rFonts w:ascii="Tw Cen MT" w:eastAsia="Twentieth Century" w:hAnsi="Tw Cen MT" w:cs="Twentieth Century"/>
          <w:sz w:val="24"/>
          <w:szCs w:val="24"/>
        </w:rPr>
        <w:t xml:space="preserve">Adapun langkah terakhir adalah menentukan nilai </w:t>
      </w:r>
      <w:r w:rsidR="009A245A">
        <w:rPr>
          <w:rFonts w:ascii="Tw Cen MT" w:eastAsia="Twentieth Century" w:hAnsi="Tw Cen MT" w:cs="Twentieth Century"/>
          <w:sz w:val="24"/>
          <w:szCs w:val="24"/>
        </w:rPr>
        <w:t>SSDE,</w:t>
      </w:r>
      <w:r w:rsidR="00A83D0E" w:rsidRPr="00A83D0E">
        <w:rPr>
          <w:rFonts w:ascii="Tw Cen MT" w:eastAsia="Twentieth Century" w:hAnsi="Tw Cen MT" w:cs="Twentieth Century"/>
          <w:sz w:val="24"/>
          <w:szCs w:val="24"/>
        </w:rPr>
        <w:t xml:space="preserve">Pada fitur ini yang dilakukan hanyalah mengklik </w:t>
      </w:r>
      <w:r w:rsidR="00DE0B98">
        <w:rPr>
          <w:rFonts w:ascii="Tw Cen MT" w:eastAsia="Twentieth Century" w:hAnsi="Tw Cen MT" w:cs="Twentieth Century"/>
          <w:sz w:val="24"/>
          <w:szCs w:val="24"/>
        </w:rPr>
        <w:t>“</w:t>
      </w:r>
      <w:r w:rsidR="00A83D0E" w:rsidRPr="009A245A">
        <w:rPr>
          <w:rFonts w:ascii="Tw Cen MT" w:eastAsia="Twentieth Century" w:hAnsi="Tw Cen MT" w:cs="Twentieth Century"/>
          <w:i/>
          <w:sz w:val="24"/>
          <w:szCs w:val="24"/>
        </w:rPr>
        <w:t>Calculate</w:t>
      </w:r>
      <w:r w:rsidR="00DE0B98">
        <w:rPr>
          <w:rFonts w:ascii="Tw Cen MT" w:eastAsia="Twentieth Century" w:hAnsi="Tw Cen MT" w:cs="Twentieth Century"/>
          <w:i/>
          <w:sz w:val="24"/>
          <w:szCs w:val="24"/>
        </w:rPr>
        <w:t>”</w:t>
      </w:r>
      <w:r w:rsidR="00A83D0E" w:rsidRPr="00A83D0E">
        <w:rPr>
          <w:rFonts w:ascii="Tw Cen MT" w:eastAsia="Twentieth Century" w:hAnsi="Tw Cen MT" w:cs="Twentieth Century"/>
          <w:sz w:val="24"/>
          <w:szCs w:val="24"/>
        </w:rPr>
        <w:t>,</w:t>
      </w:r>
      <w:r w:rsidR="009A245A">
        <w:rPr>
          <w:rFonts w:ascii="Tw Cen MT" w:eastAsia="Twentieth Century" w:hAnsi="Tw Cen MT" w:cs="Twentieth Century"/>
          <w:sz w:val="24"/>
          <w:szCs w:val="24"/>
        </w:rPr>
        <w:t xml:space="preserve"> yang mana nilai CTDIvol dan fak</w:t>
      </w:r>
      <w:r w:rsidR="00A83D0E" w:rsidRPr="00A83D0E">
        <w:rPr>
          <w:rFonts w:ascii="Tw Cen MT" w:eastAsia="Twentieth Century" w:hAnsi="Tw Cen MT" w:cs="Twentieth Century"/>
          <w:sz w:val="24"/>
          <w:szCs w:val="24"/>
        </w:rPr>
        <w:t>t</w:t>
      </w:r>
      <w:r w:rsidR="009A245A">
        <w:rPr>
          <w:rFonts w:ascii="Tw Cen MT" w:eastAsia="Twentieth Century" w:hAnsi="Tw Cen MT" w:cs="Twentieth Century"/>
          <w:sz w:val="24"/>
          <w:szCs w:val="24"/>
        </w:rPr>
        <w:t>or konversi sudah terisi otomatis pada langkah sebelumnya.</w:t>
      </w:r>
    </w:p>
    <w:p w14:paraId="4826844B" w14:textId="77777777" w:rsidR="00A83D0E" w:rsidRPr="00ED39E1" w:rsidRDefault="00A83D0E" w:rsidP="00A83D0E">
      <w:pPr>
        <w:pStyle w:val="ListParagraph"/>
        <w:spacing w:after="0" w:line="240" w:lineRule="auto"/>
        <w:ind w:left="0"/>
        <w:jc w:val="both"/>
        <w:rPr>
          <w:rFonts w:ascii="Tw Cen MT" w:eastAsia="Twentieth Century" w:hAnsi="Tw Cen MT" w:cs="Twentieth Century"/>
          <w:b/>
          <w:sz w:val="24"/>
          <w:szCs w:val="24"/>
        </w:rPr>
      </w:pPr>
    </w:p>
    <w:p w14:paraId="5D854169" w14:textId="77777777" w:rsidR="00FD3D94" w:rsidRDefault="00E72387" w:rsidP="00FD3D94">
      <w:pPr>
        <w:spacing w:after="0" w:line="240" w:lineRule="auto"/>
        <w:jc w:val="center"/>
        <w:rPr>
          <w:rFonts w:ascii="Tw Cen MT" w:hAnsi="Tw Cen MT"/>
          <w:sz w:val="24"/>
          <w:szCs w:val="24"/>
        </w:rPr>
      </w:pPr>
      <w:r w:rsidRPr="00227851">
        <w:rPr>
          <w:rFonts w:ascii="Tw Cen MT" w:hAnsi="Tw Cen MT"/>
          <w:noProof/>
        </w:rPr>
        <w:drawing>
          <wp:inline distT="0" distB="0" distL="0" distR="0" wp14:anchorId="3D3D9E1D" wp14:editId="7664593C">
            <wp:extent cx="2676525" cy="1521753"/>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683987" cy="1525996"/>
                    </a:xfrm>
                    <a:prstGeom prst="rect">
                      <a:avLst/>
                    </a:prstGeom>
                  </pic:spPr>
                </pic:pic>
              </a:graphicData>
            </a:graphic>
          </wp:inline>
        </w:drawing>
      </w:r>
      <w:commentRangeStart w:id="9"/>
      <w:r w:rsidR="00F41FB3" w:rsidRPr="00AF291F">
        <w:rPr>
          <w:rFonts w:ascii="Tw Cen MT" w:hAnsi="Tw Cen MT"/>
          <w:bCs/>
          <w:sz w:val="22"/>
          <w:szCs w:val="22"/>
        </w:rPr>
        <w:t>Gambar 2.</w:t>
      </w:r>
      <w:r w:rsidR="00F41FB3" w:rsidRPr="00EE2944">
        <w:rPr>
          <w:rFonts w:ascii="Tw Cen MT" w:hAnsi="Tw Cen MT"/>
          <w:sz w:val="22"/>
          <w:szCs w:val="22"/>
        </w:rPr>
        <w:t xml:space="preserve"> Pengukuran nilai diameter efektif dan SSDE</w:t>
      </w:r>
      <w:commentRangeEnd w:id="9"/>
      <w:r w:rsidR="00DE30AE">
        <w:rPr>
          <w:rStyle w:val="CommentReference"/>
        </w:rPr>
        <w:commentReference w:id="9"/>
      </w:r>
    </w:p>
    <w:p w14:paraId="02E7C159" w14:textId="77777777" w:rsidR="00FD3D94" w:rsidRDefault="00FD3D94" w:rsidP="00FD3D94">
      <w:pPr>
        <w:spacing w:after="0" w:line="240" w:lineRule="auto"/>
        <w:jc w:val="both"/>
        <w:rPr>
          <w:rFonts w:ascii="Tw Cen MT" w:hAnsi="Tw Cen MT"/>
          <w:sz w:val="24"/>
          <w:szCs w:val="24"/>
        </w:rPr>
      </w:pPr>
    </w:p>
    <w:p w14:paraId="20C7FD77" w14:textId="61F6EFB6" w:rsidR="00035823" w:rsidRDefault="000664F0" w:rsidP="00FD3D94">
      <w:pPr>
        <w:spacing w:after="0" w:line="240" w:lineRule="auto"/>
        <w:jc w:val="both"/>
        <w:rPr>
          <w:rFonts w:ascii="Tw Cen MT" w:hAnsi="Tw Cen MT"/>
          <w:sz w:val="24"/>
          <w:szCs w:val="24"/>
        </w:rPr>
      </w:pPr>
      <w:r>
        <w:rPr>
          <w:rFonts w:ascii="Tw Cen MT" w:hAnsi="Tw Cen MT"/>
          <w:sz w:val="24"/>
          <w:szCs w:val="24"/>
        </w:rPr>
        <w:t>P</w:t>
      </w:r>
      <w:r w:rsidR="00F35A84">
        <w:rPr>
          <w:rFonts w:ascii="Tw Cen MT" w:hAnsi="Tw Cen MT"/>
          <w:sz w:val="24"/>
          <w:szCs w:val="24"/>
        </w:rPr>
        <w:t>ada t</w:t>
      </w:r>
      <w:r w:rsidR="00CE3D98" w:rsidRPr="00227851">
        <w:rPr>
          <w:rFonts w:ascii="Tw Cen MT" w:hAnsi="Tw Cen MT"/>
          <w:sz w:val="24"/>
          <w:szCs w:val="24"/>
        </w:rPr>
        <w:t>abel 2.</w:t>
      </w:r>
      <w:r w:rsidR="00035823" w:rsidRPr="00227851">
        <w:rPr>
          <w:rFonts w:ascii="Tw Cen MT" w:hAnsi="Tw Cen MT"/>
          <w:sz w:val="24"/>
          <w:szCs w:val="24"/>
        </w:rPr>
        <w:t xml:space="preserve"> di bawah ini menunjukan nilai rata rata SSDE menggunakan </w:t>
      </w:r>
      <w:r w:rsidR="00035823" w:rsidRPr="00227851">
        <w:rPr>
          <w:rFonts w:ascii="Tw Cen MT" w:hAnsi="Tw Cen MT"/>
          <w:i/>
          <w:sz w:val="24"/>
          <w:szCs w:val="24"/>
        </w:rPr>
        <w:t>software</w:t>
      </w:r>
      <w:r w:rsidR="008A032E">
        <w:rPr>
          <w:rFonts w:ascii="Tw Cen MT" w:hAnsi="Tw Cen MT"/>
          <w:sz w:val="24"/>
          <w:szCs w:val="24"/>
        </w:rPr>
        <w:t xml:space="preserve"> </w:t>
      </w:r>
      <w:r w:rsidR="00D87200">
        <w:rPr>
          <w:rFonts w:ascii="Tw Cen MT" w:hAnsi="Tw Cen MT"/>
          <w:sz w:val="24"/>
          <w:szCs w:val="24"/>
        </w:rPr>
        <w:t>i</w:t>
      </w:r>
      <w:r w:rsidR="00035823" w:rsidRPr="00227851">
        <w:rPr>
          <w:rFonts w:ascii="Tw Cen MT" w:hAnsi="Tw Cen MT"/>
          <w:sz w:val="24"/>
          <w:szCs w:val="24"/>
        </w:rPr>
        <w:t>ndoseCT v20.b sebesar 69,60 ± 10,94 mGy, dengan rentang nilai 54,25 mGy sampai dengan 105,01 mGy. Sedangkan rata rata nilai dosis total atau DLPc sebesar 1626.27 ±  322.80 mGy.cm, dengan rentang nilai 1086.01 mGy.cm sampai dengan 2316.53 mGy.cm</w:t>
      </w:r>
    </w:p>
    <w:p w14:paraId="2DC9C97E" w14:textId="77777777" w:rsidR="00DE0B98" w:rsidRDefault="00DE0B98" w:rsidP="00FD3D94">
      <w:pPr>
        <w:spacing w:after="0" w:line="240" w:lineRule="auto"/>
        <w:jc w:val="both"/>
        <w:rPr>
          <w:rFonts w:ascii="Tw Cen MT" w:eastAsia="Twentieth Century" w:hAnsi="Tw Cen MT" w:cs="Twentieth Century"/>
          <w:b/>
          <w:sz w:val="24"/>
          <w:szCs w:val="24"/>
        </w:rPr>
      </w:pPr>
    </w:p>
    <w:p w14:paraId="51D73780" w14:textId="77777777" w:rsidR="00AF291F" w:rsidRPr="00AF291F" w:rsidRDefault="00AF291F" w:rsidP="00AF291F">
      <w:pPr>
        <w:pStyle w:val="Heading1"/>
        <w:spacing w:before="0" w:line="240" w:lineRule="auto"/>
        <w:ind w:left="284" w:hanging="284"/>
        <w:jc w:val="center"/>
        <w:rPr>
          <w:rFonts w:ascii="Tw Cen MT" w:hAnsi="Tw Cen MT"/>
          <w:b w:val="0"/>
          <w:bCs/>
          <w:sz w:val="22"/>
          <w:szCs w:val="22"/>
        </w:rPr>
      </w:pPr>
      <w:commentRangeStart w:id="10"/>
      <w:r w:rsidRPr="00AF291F">
        <w:rPr>
          <w:rFonts w:ascii="Tw Cen MT" w:hAnsi="Tw Cen MT"/>
          <w:b w:val="0"/>
          <w:bCs/>
          <w:sz w:val="22"/>
          <w:szCs w:val="22"/>
        </w:rPr>
        <w:t xml:space="preserve">Tabel 2. Statistik nilai </w:t>
      </w:r>
      <w:r w:rsidRPr="00AF291F">
        <w:rPr>
          <w:rFonts w:ascii="Tw Cen MT" w:hAnsi="Tw Cen MT"/>
          <w:b w:val="0"/>
          <w:bCs/>
          <w:i/>
          <w:sz w:val="22"/>
          <w:szCs w:val="22"/>
        </w:rPr>
        <w:t>SSDE</w:t>
      </w:r>
      <w:r w:rsidRPr="00AF291F">
        <w:rPr>
          <w:rFonts w:ascii="Tw Cen MT" w:hAnsi="Tw Cen MT"/>
          <w:b w:val="0"/>
          <w:bCs/>
          <w:sz w:val="22"/>
          <w:szCs w:val="22"/>
        </w:rPr>
        <w:t xml:space="preserve"> dan DLPc pengukuran IndoseCT v20.b</w:t>
      </w:r>
    </w:p>
    <w:p w14:paraId="399390B2" w14:textId="77777777" w:rsidR="00AF291F" w:rsidRDefault="00AF291F" w:rsidP="00FD3D94">
      <w:pPr>
        <w:spacing w:after="0" w:line="240" w:lineRule="auto"/>
        <w:jc w:val="both"/>
        <w:rPr>
          <w:rFonts w:ascii="Tw Cen MT" w:eastAsia="Twentieth Century" w:hAnsi="Tw Cen MT" w:cs="Twentieth Century"/>
          <w:b/>
          <w:sz w:val="24"/>
          <w:szCs w:val="24"/>
        </w:rPr>
      </w:pPr>
    </w:p>
    <w:p w14:paraId="6BE52C09" w14:textId="77777777" w:rsidR="00AF291F" w:rsidRPr="00FD3D94" w:rsidRDefault="00AF291F" w:rsidP="00FD3D94">
      <w:pPr>
        <w:spacing w:after="0" w:line="240" w:lineRule="auto"/>
        <w:jc w:val="both"/>
        <w:rPr>
          <w:rFonts w:ascii="Tw Cen MT" w:eastAsia="Twentieth Century" w:hAnsi="Tw Cen MT" w:cs="Twentieth Century"/>
          <w:b/>
          <w:sz w:val="24"/>
          <w:szCs w:val="24"/>
        </w:rPr>
      </w:pPr>
    </w:p>
    <w:p w14:paraId="285AAFB8" w14:textId="77777777" w:rsidR="00A74EB2" w:rsidRDefault="00A74EB2" w:rsidP="00E8799A">
      <w:pPr>
        <w:spacing w:after="0" w:line="240" w:lineRule="auto"/>
        <w:rPr>
          <w:rFonts w:ascii="Tw Cen MT" w:eastAsia="Twentieth Century" w:hAnsi="Tw Cen MT" w:cs="Twentieth Century"/>
          <w:b/>
          <w:sz w:val="24"/>
          <w:szCs w:val="24"/>
        </w:rPr>
      </w:pPr>
    </w:p>
    <w:tbl>
      <w:tblPr>
        <w:tblpPr w:leftFromText="180" w:rightFromText="180" w:vertAnchor="page" w:horzAnchor="margin" w:tblpXSpec="right" w:tblpY="9383"/>
        <w:tblW w:w="3936" w:type="dxa"/>
        <w:tblLook w:val="04A0" w:firstRow="1" w:lastRow="0" w:firstColumn="1" w:lastColumn="0" w:noHBand="0" w:noVBand="1"/>
      </w:tblPr>
      <w:tblGrid>
        <w:gridCol w:w="1504"/>
        <w:gridCol w:w="872"/>
        <w:gridCol w:w="1560"/>
      </w:tblGrid>
      <w:tr w:rsidR="00AF291F" w:rsidRPr="00AD5C1B" w14:paraId="7C4B137C" w14:textId="77777777" w:rsidTr="00AF291F">
        <w:trPr>
          <w:cantSplit/>
          <w:trHeight w:hRule="exact" w:val="573"/>
        </w:trPr>
        <w:tc>
          <w:tcPr>
            <w:tcW w:w="1504" w:type="dxa"/>
            <w:tcBorders>
              <w:top w:val="single" w:sz="4" w:space="0" w:color="auto"/>
              <w:bottom w:val="single" w:sz="4" w:space="0" w:color="auto"/>
            </w:tcBorders>
            <w:shd w:val="clear" w:color="000000" w:fill="FFFFFF"/>
            <w:noWrap/>
            <w:vAlign w:val="center"/>
            <w:hideMark/>
          </w:tcPr>
          <w:p w14:paraId="201E9AB0" w14:textId="77777777" w:rsidR="00AF291F" w:rsidRPr="00E8799A" w:rsidRDefault="00AF291F" w:rsidP="00AF291F">
            <w:pPr>
              <w:spacing w:after="0"/>
              <w:jc w:val="center"/>
              <w:rPr>
                <w:rFonts w:ascii="Tw Cen MT" w:hAnsi="Tw Cen MT"/>
                <w:color w:val="000000"/>
                <w:sz w:val="22"/>
                <w:szCs w:val="22"/>
              </w:rPr>
            </w:pPr>
            <w:r w:rsidRPr="00E8799A">
              <w:rPr>
                <w:rFonts w:ascii="Tw Cen MT" w:hAnsi="Tw Cen MT"/>
                <w:color w:val="000000"/>
                <w:sz w:val="22"/>
                <w:szCs w:val="22"/>
              </w:rPr>
              <w:t> Parameter Statistik</w:t>
            </w:r>
          </w:p>
        </w:tc>
        <w:tc>
          <w:tcPr>
            <w:tcW w:w="872" w:type="dxa"/>
            <w:tcBorders>
              <w:top w:val="single" w:sz="4" w:space="0" w:color="auto"/>
              <w:bottom w:val="single" w:sz="4" w:space="0" w:color="auto"/>
            </w:tcBorders>
            <w:shd w:val="clear" w:color="000000" w:fill="FFFFFF"/>
            <w:vAlign w:val="center"/>
            <w:hideMark/>
          </w:tcPr>
          <w:p w14:paraId="512106E9" w14:textId="77777777" w:rsidR="00AF291F" w:rsidRPr="00E8799A" w:rsidRDefault="00AF291F" w:rsidP="00AF291F">
            <w:pPr>
              <w:spacing w:after="0"/>
              <w:jc w:val="center"/>
              <w:rPr>
                <w:rFonts w:ascii="Tw Cen MT" w:hAnsi="Tw Cen MT"/>
                <w:color w:val="000000"/>
                <w:sz w:val="22"/>
                <w:szCs w:val="22"/>
              </w:rPr>
            </w:pPr>
            <w:r w:rsidRPr="00E8799A">
              <w:rPr>
                <w:rFonts w:ascii="Tw Cen MT" w:hAnsi="Tw Cen MT"/>
                <w:color w:val="000000"/>
                <w:sz w:val="22"/>
                <w:szCs w:val="22"/>
              </w:rPr>
              <w:t xml:space="preserve">SSDE </w:t>
            </w:r>
          </w:p>
          <w:p w14:paraId="7B130297" w14:textId="77777777" w:rsidR="00AF291F" w:rsidRPr="00E8799A" w:rsidRDefault="00AF291F" w:rsidP="00AF291F">
            <w:pPr>
              <w:spacing w:after="0"/>
              <w:jc w:val="center"/>
              <w:rPr>
                <w:rFonts w:ascii="Tw Cen MT" w:hAnsi="Tw Cen MT"/>
                <w:color w:val="000000"/>
                <w:sz w:val="22"/>
                <w:szCs w:val="22"/>
              </w:rPr>
            </w:pPr>
            <w:r w:rsidRPr="00E8799A">
              <w:rPr>
                <w:rFonts w:ascii="Tw Cen MT" w:hAnsi="Tw Cen MT"/>
                <w:color w:val="000000"/>
                <w:sz w:val="22"/>
                <w:szCs w:val="22"/>
              </w:rPr>
              <w:t>(mGy)</w:t>
            </w:r>
          </w:p>
        </w:tc>
        <w:tc>
          <w:tcPr>
            <w:tcW w:w="1560" w:type="dxa"/>
            <w:tcBorders>
              <w:top w:val="single" w:sz="4" w:space="0" w:color="auto"/>
              <w:bottom w:val="single" w:sz="4" w:space="0" w:color="auto"/>
            </w:tcBorders>
            <w:shd w:val="clear" w:color="000000" w:fill="FFFFFF"/>
            <w:vAlign w:val="center"/>
            <w:hideMark/>
          </w:tcPr>
          <w:p w14:paraId="235754EA" w14:textId="77777777" w:rsidR="00AF291F" w:rsidRPr="00E8799A" w:rsidRDefault="00AF291F" w:rsidP="00AF291F">
            <w:pPr>
              <w:spacing w:after="0"/>
              <w:jc w:val="center"/>
              <w:rPr>
                <w:rFonts w:ascii="Tw Cen MT" w:hAnsi="Tw Cen MT"/>
                <w:color w:val="000000"/>
                <w:sz w:val="22"/>
                <w:szCs w:val="22"/>
              </w:rPr>
            </w:pPr>
            <w:r w:rsidRPr="00E8799A">
              <w:rPr>
                <w:rFonts w:ascii="Tw Cen MT" w:hAnsi="Tw Cen MT"/>
                <w:color w:val="000000"/>
                <w:sz w:val="22"/>
                <w:szCs w:val="22"/>
              </w:rPr>
              <w:t xml:space="preserve">DLPc </w:t>
            </w:r>
          </w:p>
          <w:p w14:paraId="68616ACC" w14:textId="77777777" w:rsidR="00AF291F" w:rsidRPr="00E8799A" w:rsidRDefault="00AF291F" w:rsidP="00AF291F">
            <w:pPr>
              <w:spacing w:after="0"/>
              <w:jc w:val="center"/>
              <w:rPr>
                <w:rFonts w:ascii="Tw Cen MT" w:hAnsi="Tw Cen MT"/>
                <w:color w:val="000000"/>
                <w:sz w:val="22"/>
                <w:szCs w:val="22"/>
              </w:rPr>
            </w:pPr>
            <w:r w:rsidRPr="00E8799A">
              <w:rPr>
                <w:rFonts w:ascii="Tw Cen MT" w:hAnsi="Tw Cen MT"/>
                <w:color w:val="000000"/>
                <w:sz w:val="22"/>
                <w:szCs w:val="22"/>
              </w:rPr>
              <w:t>(mGy.cm)</w:t>
            </w:r>
          </w:p>
        </w:tc>
      </w:tr>
      <w:tr w:rsidR="00AF291F" w:rsidRPr="00AD5C1B" w14:paraId="26293CD8" w14:textId="77777777" w:rsidTr="00AF291F">
        <w:trPr>
          <w:trHeight w:val="419"/>
        </w:trPr>
        <w:tc>
          <w:tcPr>
            <w:tcW w:w="1504" w:type="dxa"/>
            <w:tcBorders>
              <w:top w:val="single" w:sz="4" w:space="0" w:color="auto"/>
            </w:tcBorders>
            <w:shd w:val="clear" w:color="000000" w:fill="FFFFFF"/>
            <w:vAlign w:val="center"/>
            <w:hideMark/>
          </w:tcPr>
          <w:p w14:paraId="67377428" w14:textId="77777777" w:rsidR="00AF291F" w:rsidRPr="00E8799A" w:rsidRDefault="00AF291F" w:rsidP="00AF291F">
            <w:pPr>
              <w:spacing w:after="0"/>
              <w:jc w:val="center"/>
              <w:rPr>
                <w:rFonts w:ascii="Tw Cen MT" w:hAnsi="Tw Cen MT"/>
                <w:color w:val="000000"/>
                <w:sz w:val="22"/>
                <w:szCs w:val="22"/>
              </w:rPr>
            </w:pPr>
            <w:r w:rsidRPr="00E8799A">
              <w:rPr>
                <w:rFonts w:ascii="Tw Cen MT" w:hAnsi="Tw Cen MT"/>
                <w:color w:val="000000"/>
                <w:sz w:val="22"/>
                <w:szCs w:val="22"/>
              </w:rPr>
              <w:t>Mean</w:t>
            </w:r>
          </w:p>
        </w:tc>
        <w:tc>
          <w:tcPr>
            <w:tcW w:w="872" w:type="dxa"/>
            <w:tcBorders>
              <w:top w:val="single" w:sz="4" w:space="0" w:color="auto"/>
            </w:tcBorders>
            <w:shd w:val="clear" w:color="000000" w:fill="FFFFFF"/>
            <w:vAlign w:val="center"/>
            <w:hideMark/>
          </w:tcPr>
          <w:p w14:paraId="557002F7" w14:textId="77777777" w:rsidR="00AF291F" w:rsidRPr="00E8799A" w:rsidRDefault="00AF291F" w:rsidP="00AF291F">
            <w:pPr>
              <w:spacing w:after="0"/>
              <w:jc w:val="center"/>
              <w:rPr>
                <w:rFonts w:ascii="Tw Cen MT" w:hAnsi="Tw Cen MT"/>
                <w:sz w:val="22"/>
                <w:szCs w:val="22"/>
              </w:rPr>
            </w:pPr>
            <w:r>
              <w:rPr>
                <w:rFonts w:ascii="Tw Cen MT" w:hAnsi="Tw Cen MT"/>
                <w:sz w:val="22"/>
                <w:szCs w:val="22"/>
              </w:rPr>
              <w:t>69,</w:t>
            </w:r>
            <w:r w:rsidRPr="00E8799A">
              <w:rPr>
                <w:rFonts w:ascii="Tw Cen MT" w:hAnsi="Tw Cen MT"/>
                <w:sz w:val="22"/>
                <w:szCs w:val="22"/>
              </w:rPr>
              <w:t>6</w:t>
            </w:r>
          </w:p>
        </w:tc>
        <w:tc>
          <w:tcPr>
            <w:tcW w:w="1560" w:type="dxa"/>
            <w:tcBorders>
              <w:top w:val="single" w:sz="4" w:space="0" w:color="auto"/>
            </w:tcBorders>
            <w:shd w:val="clear" w:color="auto" w:fill="auto"/>
            <w:noWrap/>
            <w:vAlign w:val="center"/>
            <w:hideMark/>
          </w:tcPr>
          <w:p w14:paraId="452E8ECE" w14:textId="77777777" w:rsidR="00AF291F" w:rsidRPr="00E8799A" w:rsidRDefault="00AF291F" w:rsidP="00AF291F">
            <w:pPr>
              <w:spacing w:after="0"/>
              <w:jc w:val="center"/>
              <w:rPr>
                <w:rFonts w:ascii="Tw Cen MT" w:hAnsi="Tw Cen MT"/>
                <w:sz w:val="22"/>
                <w:szCs w:val="22"/>
              </w:rPr>
            </w:pPr>
            <w:r>
              <w:rPr>
                <w:rFonts w:ascii="Tw Cen MT" w:hAnsi="Tw Cen MT"/>
                <w:sz w:val="22"/>
                <w:szCs w:val="22"/>
              </w:rPr>
              <w:t>1626,</w:t>
            </w:r>
            <w:r w:rsidRPr="00E8799A">
              <w:rPr>
                <w:rFonts w:ascii="Tw Cen MT" w:hAnsi="Tw Cen MT"/>
                <w:sz w:val="22"/>
                <w:szCs w:val="22"/>
              </w:rPr>
              <w:t>27</w:t>
            </w:r>
          </w:p>
        </w:tc>
      </w:tr>
      <w:tr w:rsidR="00AF291F" w:rsidRPr="00AD5C1B" w14:paraId="214CEB1E" w14:textId="77777777" w:rsidTr="00AF291F">
        <w:trPr>
          <w:cantSplit/>
          <w:trHeight w:val="341"/>
        </w:trPr>
        <w:tc>
          <w:tcPr>
            <w:tcW w:w="1504" w:type="dxa"/>
            <w:shd w:val="clear" w:color="000000" w:fill="FFFFFF"/>
            <w:vAlign w:val="center"/>
            <w:hideMark/>
          </w:tcPr>
          <w:p w14:paraId="170FF34D" w14:textId="77777777" w:rsidR="00AF291F" w:rsidRPr="00E8799A" w:rsidRDefault="00AF291F" w:rsidP="00AF291F">
            <w:pPr>
              <w:spacing w:after="0"/>
              <w:jc w:val="center"/>
              <w:rPr>
                <w:rFonts w:ascii="Tw Cen MT" w:hAnsi="Tw Cen MT"/>
                <w:color w:val="000000"/>
                <w:sz w:val="22"/>
                <w:szCs w:val="22"/>
              </w:rPr>
            </w:pPr>
            <w:r w:rsidRPr="00E8799A">
              <w:rPr>
                <w:rFonts w:ascii="Tw Cen MT" w:hAnsi="Tw Cen MT"/>
                <w:color w:val="000000"/>
                <w:sz w:val="22"/>
                <w:szCs w:val="22"/>
              </w:rPr>
              <w:t>Median</w:t>
            </w:r>
          </w:p>
        </w:tc>
        <w:tc>
          <w:tcPr>
            <w:tcW w:w="872" w:type="dxa"/>
            <w:shd w:val="clear" w:color="000000" w:fill="FFFFFF"/>
            <w:vAlign w:val="center"/>
            <w:hideMark/>
          </w:tcPr>
          <w:p w14:paraId="59F599BA" w14:textId="77777777" w:rsidR="00AF291F" w:rsidRPr="00E8799A" w:rsidRDefault="00AF291F" w:rsidP="00AF291F">
            <w:pPr>
              <w:spacing w:after="0"/>
              <w:jc w:val="center"/>
              <w:rPr>
                <w:rFonts w:ascii="Tw Cen MT" w:hAnsi="Tw Cen MT"/>
                <w:sz w:val="22"/>
                <w:szCs w:val="22"/>
              </w:rPr>
            </w:pPr>
            <w:r>
              <w:rPr>
                <w:rFonts w:ascii="Tw Cen MT" w:hAnsi="Tw Cen MT"/>
                <w:sz w:val="22"/>
                <w:szCs w:val="22"/>
              </w:rPr>
              <w:t>66,</w:t>
            </w:r>
            <w:r w:rsidRPr="00E8799A">
              <w:rPr>
                <w:rFonts w:ascii="Tw Cen MT" w:hAnsi="Tw Cen MT"/>
                <w:sz w:val="22"/>
                <w:szCs w:val="22"/>
              </w:rPr>
              <w:t>65</w:t>
            </w:r>
          </w:p>
        </w:tc>
        <w:tc>
          <w:tcPr>
            <w:tcW w:w="1560" w:type="dxa"/>
            <w:shd w:val="clear" w:color="auto" w:fill="auto"/>
            <w:noWrap/>
            <w:vAlign w:val="center"/>
            <w:hideMark/>
          </w:tcPr>
          <w:p w14:paraId="3E175CB9" w14:textId="77777777" w:rsidR="00AF291F" w:rsidRPr="00E8799A" w:rsidRDefault="00AF291F" w:rsidP="00AF291F">
            <w:pPr>
              <w:spacing w:after="0"/>
              <w:jc w:val="center"/>
              <w:rPr>
                <w:rFonts w:ascii="Tw Cen MT" w:hAnsi="Tw Cen MT"/>
                <w:sz w:val="22"/>
                <w:szCs w:val="22"/>
              </w:rPr>
            </w:pPr>
            <w:r>
              <w:rPr>
                <w:rFonts w:ascii="Tw Cen MT" w:hAnsi="Tw Cen MT"/>
                <w:sz w:val="22"/>
                <w:szCs w:val="22"/>
              </w:rPr>
              <w:t>1551,</w:t>
            </w:r>
            <w:r w:rsidRPr="00E8799A">
              <w:rPr>
                <w:rFonts w:ascii="Tw Cen MT" w:hAnsi="Tw Cen MT"/>
                <w:sz w:val="22"/>
                <w:szCs w:val="22"/>
              </w:rPr>
              <w:t>56</w:t>
            </w:r>
          </w:p>
        </w:tc>
      </w:tr>
      <w:tr w:rsidR="00AF291F" w:rsidRPr="00AD5C1B" w14:paraId="6F2E9357" w14:textId="77777777" w:rsidTr="00AF291F">
        <w:trPr>
          <w:cantSplit/>
          <w:trHeight w:val="267"/>
        </w:trPr>
        <w:tc>
          <w:tcPr>
            <w:tcW w:w="1504" w:type="dxa"/>
            <w:shd w:val="clear" w:color="000000" w:fill="FFFFFF"/>
            <w:vAlign w:val="center"/>
            <w:hideMark/>
          </w:tcPr>
          <w:p w14:paraId="1EE4A36F" w14:textId="77777777" w:rsidR="00AF291F" w:rsidRPr="00E8799A" w:rsidRDefault="00AF291F" w:rsidP="00AF291F">
            <w:pPr>
              <w:spacing w:after="0"/>
              <w:jc w:val="center"/>
              <w:rPr>
                <w:rFonts w:ascii="Tw Cen MT" w:hAnsi="Tw Cen MT"/>
                <w:color w:val="000000"/>
                <w:sz w:val="22"/>
                <w:szCs w:val="22"/>
              </w:rPr>
            </w:pPr>
            <w:r w:rsidRPr="00E8799A">
              <w:rPr>
                <w:rFonts w:ascii="Tw Cen MT" w:hAnsi="Tw Cen MT"/>
                <w:color w:val="000000"/>
                <w:sz w:val="22"/>
                <w:szCs w:val="22"/>
              </w:rPr>
              <w:t>Mode</w:t>
            </w:r>
          </w:p>
        </w:tc>
        <w:tc>
          <w:tcPr>
            <w:tcW w:w="872" w:type="dxa"/>
            <w:shd w:val="clear" w:color="000000" w:fill="FFFFFF"/>
            <w:vAlign w:val="center"/>
            <w:hideMark/>
          </w:tcPr>
          <w:p w14:paraId="445EA261" w14:textId="77777777" w:rsidR="00AF291F" w:rsidRPr="00E8799A" w:rsidRDefault="00AF291F" w:rsidP="00AF291F">
            <w:pPr>
              <w:spacing w:after="0"/>
              <w:jc w:val="center"/>
              <w:rPr>
                <w:rFonts w:ascii="Tw Cen MT" w:hAnsi="Tw Cen MT"/>
                <w:sz w:val="22"/>
                <w:szCs w:val="22"/>
              </w:rPr>
            </w:pPr>
            <w:r>
              <w:rPr>
                <w:rFonts w:ascii="Tw Cen MT" w:hAnsi="Tw Cen MT"/>
                <w:sz w:val="22"/>
                <w:szCs w:val="22"/>
              </w:rPr>
              <w:t>77,</w:t>
            </w:r>
            <w:r w:rsidRPr="00E8799A">
              <w:rPr>
                <w:rFonts w:ascii="Tw Cen MT" w:hAnsi="Tw Cen MT"/>
                <w:sz w:val="22"/>
                <w:szCs w:val="22"/>
              </w:rPr>
              <w:t>07</w:t>
            </w:r>
          </w:p>
        </w:tc>
        <w:tc>
          <w:tcPr>
            <w:tcW w:w="1560" w:type="dxa"/>
            <w:shd w:val="clear" w:color="auto" w:fill="auto"/>
            <w:noWrap/>
            <w:vAlign w:val="center"/>
            <w:hideMark/>
          </w:tcPr>
          <w:p w14:paraId="7D8840E5" w14:textId="77777777" w:rsidR="00AF291F" w:rsidRPr="00E8799A" w:rsidRDefault="00AF291F" w:rsidP="00AF291F">
            <w:pPr>
              <w:spacing w:after="0"/>
              <w:jc w:val="center"/>
              <w:rPr>
                <w:rFonts w:ascii="Tw Cen MT" w:hAnsi="Tw Cen MT"/>
                <w:sz w:val="22"/>
                <w:szCs w:val="22"/>
              </w:rPr>
            </w:pPr>
            <w:r>
              <w:rPr>
                <w:rFonts w:ascii="Tw Cen MT" w:hAnsi="Tw Cen MT"/>
                <w:sz w:val="22"/>
                <w:szCs w:val="22"/>
              </w:rPr>
              <w:t>1086,</w:t>
            </w:r>
            <w:r w:rsidRPr="00E8799A">
              <w:rPr>
                <w:rFonts w:ascii="Tw Cen MT" w:hAnsi="Tw Cen MT"/>
                <w:sz w:val="22"/>
                <w:szCs w:val="22"/>
              </w:rPr>
              <w:t>01</w:t>
            </w:r>
          </w:p>
        </w:tc>
      </w:tr>
      <w:tr w:rsidR="00AF291F" w:rsidRPr="00AD5C1B" w14:paraId="16E13ED8" w14:textId="77777777" w:rsidTr="00AF291F">
        <w:trPr>
          <w:cantSplit/>
          <w:trHeight w:val="477"/>
        </w:trPr>
        <w:tc>
          <w:tcPr>
            <w:tcW w:w="1504" w:type="dxa"/>
            <w:shd w:val="clear" w:color="000000" w:fill="FFFFFF"/>
            <w:vAlign w:val="center"/>
            <w:hideMark/>
          </w:tcPr>
          <w:p w14:paraId="68D75E13" w14:textId="77777777" w:rsidR="00AF291F" w:rsidRPr="00E8799A" w:rsidRDefault="00AF291F" w:rsidP="00AF291F">
            <w:pPr>
              <w:spacing w:after="0"/>
              <w:jc w:val="center"/>
              <w:rPr>
                <w:rFonts w:ascii="Tw Cen MT" w:hAnsi="Tw Cen MT"/>
                <w:color w:val="000000"/>
                <w:sz w:val="22"/>
                <w:szCs w:val="22"/>
              </w:rPr>
            </w:pPr>
            <w:r w:rsidRPr="00E8799A">
              <w:rPr>
                <w:rFonts w:ascii="Tw Cen MT" w:hAnsi="Tw Cen MT"/>
                <w:color w:val="000000"/>
                <w:sz w:val="22"/>
                <w:szCs w:val="22"/>
              </w:rPr>
              <w:t>Std. Deviation</w:t>
            </w:r>
          </w:p>
        </w:tc>
        <w:tc>
          <w:tcPr>
            <w:tcW w:w="872" w:type="dxa"/>
            <w:shd w:val="clear" w:color="000000" w:fill="FFFFFF"/>
            <w:vAlign w:val="center"/>
            <w:hideMark/>
          </w:tcPr>
          <w:p w14:paraId="2940E747" w14:textId="77777777" w:rsidR="00AF291F" w:rsidRPr="00E8799A" w:rsidRDefault="00AF291F" w:rsidP="00AF291F">
            <w:pPr>
              <w:spacing w:after="0"/>
              <w:jc w:val="center"/>
              <w:rPr>
                <w:rFonts w:ascii="Tw Cen MT" w:hAnsi="Tw Cen MT"/>
                <w:sz w:val="22"/>
                <w:szCs w:val="22"/>
              </w:rPr>
            </w:pPr>
            <w:r>
              <w:rPr>
                <w:rFonts w:ascii="Tw Cen MT" w:hAnsi="Tw Cen MT"/>
                <w:sz w:val="22"/>
                <w:szCs w:val="22"/>
              </w:rPr>
              <w:t>10,</w:t>
            </w:r>
            <w:r w:rsidRPr="00E8799A">
              <w:rPr>
                <w:rFonts w:ascii="Tw Cen MT" w:hAnsi="Tw Cen MT"/>
                <w:sz w:val="22"/>
                <w:szCs w:val="22"/>
              </w:rPr>
              <w:t>94</w:t>
            </w:r>
          </w:p>
        </w:tc>
        <w:tc>
          <w:tcPr>
            <w:tcW w:w="1560" w:type="dxa"/>
            <w:shd w:val="clear" w:color="auto" w:fill="auto"/>
            <w:noWrap/>
            <w:vAlign w:val="center"/>
            <w:hideMark/>
          </w:tcPr>
          <w:p w14:paraId="39F5699B" w14:textId="77777777" w:rsidR="00AF291F" w:rsidRPr="00E8799A" w:rsidRDefault="00AF291F" w:rsidP="00AF291F">
            <w:pPr>
              <w:spacing w:after="0"/>
              <w:jc w:val="center"/>
              <w:rPr>
                <w:rFonts w:ascii="Tw Cen MT" w:hAnsi="Tw Cen MT"/>
                <w:sz w:val="22"/>
                <w:szCs w:val="22"/>
              </w:rPr>
            </w:pPr>
            <w:r>
              <w:rPr>
                <w:rFonts w:ascii="Tw Cen MT" w:hAnsi="Tw Cen MT"/>
                <w:sz w:val="22"/>
                <w:szCs w:val="22"/>
              </w:rPr>
              <w:t>322,</w:t>
            </w:r>
            <w:r w:rsidRPr="00E8799A">
              <w:rPr>
                <w:rFonts w:ascii="Tw Cen MT" w:hAnsi="Tw Cen MT"/>
                <w:sz w:val="22"/>
                <w:szCs w:val="22"/>
              </w:rPr>
              <w:t>80</w:t>
            </w:r>
          </w:p>
        </w:tc>
      </w:tr>
      <w:tr w:rsidR="00AF291F" w:rsidRPr="00AD5C1B" w14:paraId="2BB230C4" w14:textId="77777777" w:rsidTr="00AF291F">
        <w:trPr>
          <w:cantSplit/>
          <w:trHeight w:val="132"/>
        </w:trPr>
        <w:tc>
          <w:tcPr>
            <w:tcW w:w="1504" w:type="dxa"/>
            <w:shd w:val="clear" w:color="000000" w:fill="FFFFFF"/>
            <w:vAlign w:val="center"/>
            <w:hideMark/>
          </w:tcPr>
          <w:p w14:paraId="5A34AEA6" w14:textId="77777777" w:rsidR="00AF291F" w:rsidRPr="00E8799A" w:rsidRDefault="00AF291F" w:rsidP="00AF291F">
            <w:pPr>
              <w:spacing w:after="0"/>
              <w:jc w:val="center"/>
              <w:rPr>
                <w:rFonts w:ascii="Tw Cen MT" w:hAnsi="Tw Cen MT"/>
                <w:color w:val="000000"/>
                <w:sz w:val="22"/>
                <w:szCs w:val="22"/>
              </w:rPr>
            </w:pPr>
            <w:r w:rsidRPr="00E8799A">
              <w:rPr>
                <w:rFonts w:ascii="Tw Cen MT" w:hAnsi="Tw Cen MT"/>
                <w:color w:val="000000"/>
                <w:sz w:val="22"/>
                <w:szCs w:val="22"/>
              </w:rPr>
              <w:t>Minimum</w:t>
            </w:r>
          </w:p>
        </w:tc>
        <w:tc>
          <w:tcPr>
            <w:tcW w:w="872" w:type="dxa"/>
            <w:shd w:val="clear" w:color="000000" w:fill="FFFFFF"/>
            <w:vAlign w:val="center"/>
            <w:hideMark/>
          </w:tcPr>
          <w:p w14:paraId="321CE967" w14:textId="77777777" w:rsidR="00AF291F" w:rsidRPr="00E8799A" w:rsidRDefault="00AF291F" w:rsidP="00AF291F">
            <w:pPr>
              <w:spacing w:after="0"/>
              <w:jc w:val="center"/>
              <w:rPr>
                <w:rFonts w:ascii="Tw Cen MT" w:hAnsi="Tw Cen MT"/>
                <w:sz w:val="22"/>
                <w:szCs w:val="22"/>
              </w:rPr>
            </w:pPr>
            <w:r>
              <w:rPr>
                <w:rFonts w:ascii="Tw Cen MT" w:hAnsi="Tw Cen MT"/>
                <w:sz w:val="22"/>
                <w:szCs w:val="22"/>
              </w:rPr>
              <w:t>54,</w:t>
            </w:r>
            <w:r w:rsidRPr="00E8799A">
              <w:rPr>
                <w:rFonts w:ascii="Tw Cen MT" w:hAnsi="Tw Cen MT"/>
                <w:sz w:val="22"/>
                <w:szCs w:val="22"/>
              </w:rPr>
              <w:t>25</w:t>
            </w:r>
          </w:p>
        </w:tc>
        <w:tc>
          <w:tcPr>
            <w:tcW w:w="1560" w:type="dxa"/>
            <w:shd w:val="clear" w:color="auto" w:fill="auto"/>
            <w:noWrap/>
            <w:vAlign w:val="center"/>
            <w:hideMark/>
          </w:tcPr>
          <w:p w14:paraId="1A32D8C1" w14:textId="77777777" w:rsidR="00AF291F" w:rsidRPr="00E8799A" w:rsidRDefault="00AF291F" w:rsidP="00AF291F">
            <w:pPr>
              <w:spacing w:after="0"/>
              <w:jc w:val="center"/>
              <w:rPr>
                <w:rFonts w:ascii="Tw Cen MT" w:hAnsi="Tw Cen MT"/>
                <w:sz w:val="22"/>
                <w:szCs w:val="22"/>
              </w:rPr>
            </w:pPr>
            <w:r>
              <w:rPr>
                <w:rFonts w:ascii="Tw Cen MT" w:hAnsi="Tw Cen MT"/>
                <w:sz w:val="22"/>
                <w:szCs w:val="22"/>
              </w:rPr>
              <w:t>1086,</w:t>
            </w:r>
            <w:r w:rsidRPr="00E8799A">
              <w:rPr>
                <w:rFonts w:ascii="Tw Cen MT" w:hAnsi="Tw Cen MT"/>
                <w:sz w:val="22"/>
                <w:szCs w:val="22"/>
              </w:rPr>
              <w:t>01</w:t>
            </w:r>
          </w:p>
        </w:tc>
      </w:tr>
      <w:tr w:rsidR="00AF291F" w:rsidRPr="00AD5C1B" w14:paraId="0DB4DDD5" w14:textId="77777777" w:rsidTr="00AF291F">
        <w:trPr>
          <w:cantSplit/>
          <w:trHeight w:val="70"/>
        </w:trPr>
        <w:tc>
          <w:tcPr>
            <w:tcW w:w="1504" w:type="dxa"/>
            <w:tcBorders>
              <w:bottom w:val="single" w:sz="4" w:space="0" w:color="auto"/>
            </w:tcBorders>
            <w:shd w:val="clear" w:color="000000" w:fill="FFFFFF"/>
            <w:vAlign w:val="center"/>
            <w:hideMark/>
          </w:tcPr>
          <w:p w14:paraId="6E05A212" w14:textId="77777777" w:rsidR="00AF291F" w:rsidRPr="00E8799A" w:rsidRDefault="00AF291F" w:rsidP="00AF291F">
            <w:pPr>
              <w:spacing w:after="0"/>
              <w:jc w:val="center"/>
              <w:rPr>
                <w:rFonts w:ascii="Tw Cen MT" w:hAnsi="Tw Cen MT"/>
                <w:color w:val="000000"/>
                <w:sz w:val="22"/>
                <w:szCs w:val="22"/>
              </w:rPr>
            </w:pPr>
            <w:r w:rsidRPr="00E8799A">
              <w:rPr>
                <w:rFonts w:ascii="Tw Cen MT" w:hAnsi="Tw Cen MT"/>
                <w:color w:val="000000"/>
                <w:sz w:val="22"/>
                <w:szCs w:val="22"/>
              </w:rPr>
              <w:t>Maximum</w:t>
            </w:r>
          </w:p>
        </w:tc>
        <w:tc>
          <w:tcPr>
            <w:tcW w:w="872" w:type="dxa"/>
            <w:tcBorders>
              <w:bottom w:val="single" w:sz="4" w:space="0" w:color="auto"/>
            </w:tcBorders>
            <w:shd w:val="clear" w:color="000000" w:fill="FFFFFF"/>
            <w:vAlign w:val="center"/>
            <w:hideMark/>
          </w:tcPr>
          <w:p w14:paraId="692788B1" w14:textId="77777777" w:rsidR="00AF291F" w:rsidRPr="00E8799A" w:rsidRDefault="00AF291F" w:rsidP="00AF291F">
            <w:pPr>
              <w:spacing w:after="0"/>
              <w:jc w:val="center"/>
              <w:rPr>
                <w:rFonts w:ascii="Tw Cen MT" w:hAnsi="Tw Cen MT"/>
                <w:sz w:val="22"/>
                <w:szCs w:val="22"/>
              </w:rPr>
            </w:pPr>
            <w:r>
              <w:rPr>
                <w:rFonts w:ascii="Tw Cen MT" w:hAnsi="Tw Cen MT"/>
                <w:sz w:val="22"/>
                <w:szCs w:val="22"/>
              </w:rPr>
              <w:t>105,</w:t>
            </w:r>
            <w:r w:rsidRPr="00E8799A">
              <w:rPr>
                <w:rFonts w:ascii="Tw Cen MT" w:hAnsi="Tw Cen MT"/>
                <w:sz w:val="22"/>
                <w:szCs w:val="22"/>
              </w:rPr>
              <w:t>01</w:t>
            </w:r>
          </w:p>
        </w:tc>
        <w:tc>
          <w:tcPr>
            <w:tcW w:w="1560" w:type="dxa"/>
            <w:tcBorders>
              <w:bottom w:val="single" w:sz="4" w:space="0" w:color="auto"/>
            </w:tcBorders>
            <w:shd w:val="clear" w:color="auto" w:fill="auto"/>
            <w:noWrap/>
            <w:vAlign w:val="center"/>
            <w:hideMark/>
          </w:tcPr>
          <w:p w14:paraId="2CB3EDC1" w14:textId="77777777" w:rsidR="00AF291F" w:rsidRPr="00E8799A" w:rsidRDefault="00AF291F" w:rsidP="00AF291F">
            <w:pPr>
              <w:spacing w:after="0"/>
              <w:jc w:val="center"/>
              <w:rPr>
                <w:rFonts w:ascii="Tw Cen MT" w:hAnsi="Tw Cen MT"/>
                <w:sz w:val="22"/>
                <w:szCs w:val="22"/>
              </w:rPr>
            </w:pPr>
            <w:r>
              <w:rPr>
                <w:rFonts w:ascii="Tw Cen MT" w:hAnsi="Tw Cen MT"/>
                <w:sz w:val="22"/>
                <w:szCs w:val="22"/>
              </w:rPr>
              <w:t>2316,</w:t>
            </w:r>
            <w:r w:rsidRPr="00E8799A">
              <w:rPr>
                <w:rFonts w:ascii="Tw Cen MT" w:hAnsi="Tw Cen MT"/>
                <w:sz w:val="22"/>
                <w:szCs w:val="22"/>
              </w:rPr>
              <w:t>53</w:t>
            </w:r>
          </w:p>
        </w:tc>
      </w:tr>
    </w:tbl>
    <w:commentRangeEnd w:id="10"/>
    <w:p w14:paraId="4CDC26C2" w14:textId="6EAEEA40" w:rsidR="00035823" w:rsidRPr="00227851" w:rsidRDefault="00DE30AE" w:rsidP="00AF291F">
      <w:pPr>
        <w:pStyle w:val="ListParagraph"/>
        <w:adjustRightInd w:val="0"/>
        <w:spacing w:line="240" w:lineRule="auto"/>
        <w:ind w:left="0"/>
        <w:jc w:val="both"/>
        <w:rPr>
          <w:rFonts w:ascii="Tw Cen MT" w:eastAsiaTheme="minorHAnsi" w:hAnsi="Tw Cen MT"/>
          <w:sz w:val="24"/>
          <w:szCs w:val="24"/>
        </w:rPr>
      </w:pPr>
      <w:r>
        <w:rPr>
          <w:rStyle w:val="CommentReference"/>
          <w:rFonts w:eastAsiaTheme="minorEastAsia" w:cs="Calibri"/>
          <w:lang w:val="en-US" w:eastAsia="en-US"/>
        </w:rPr>
        <w:commentReference w:id="10"/>
      </w:r>
      <w:r w:rsidR="00035823" w:rsidRPr="00227851">
        <w:rPr>
          <w:rFonts w:ascii="Tw Cen MT" w:eastAsiaTheme="minorHAnsi" w:hAnsi="Tw Cen MT"/>
          <w:sz w:val="24"/>
          <w:szCs w:val="24"/>
        </w:rPr>
        <w:t>Pada Penelitian ini telah dilakukan uji statistik untuk menganalisis perbedaan nilai SSDE pada dua metode pengukuran. Uji statistik yang digunakan adalah uji beda Wilcoxon. Uji beda ini merupakan uji beda alternatif pengganti paired T test dikarenakan data yang tidak berdistribusi normal.</w:t>
      </w:r>
      <w:r w:rsidR="00F35A84">
        <w:rPr>
          <w:rFonts w:ascii="Tw Cen MT" w:eastAsiaTheme="minorHAnsi" w:hAnsi="Tw Cen MT"/>
          <w:sz w:val="24"/>
          <w:szCs w:val="24"/>
        </w:rPr>
        <w:t>. Berdasarkan t</w:t>
      </w:r>
      <w:r w:rsidR="007065CC" w:rsidRPr="00227851">
        <w:rPr>
          <w:rFonts w:ascii="Tw Cen MT" w:eastAsiaTheme="minorHAnsi" w:hAnsi="Tw Cen MT"/>
          <w:sz w:val="24"/>
          <w:szCs w:val="24"/>
        </w:rPr>
        <w:t>abel 3</w:t>
      </w:r>
      <w:r w:rsidR="00035823" w:rsidRPr="00227851">
        <w:rPr>
          <w:rFonts w:ascii="Tw Cen MT" w:eastAsiaTheme="minorHAnsi" w:hAnsi="Tw Cen MT"/>
          <w:sz w:val="24"/>
          <w:szCs w:val="24"/>
        </w:rPr>
        <w:t xml:space="preserve">. </w:t>
      </w:r>
      <w:r w:rsidR="00035823" w:rsidRPr="00227851">
        <w:rPr>
          <w:rFonts w:ascii="Tw Cen MT" w:eastAsiaTheme="minorHAnsi" w:hAnsi="Tw Cen MT"/>
          <w:i/>
          <w:iCs/>
          <w:sz w:val="24"/>
          <w:szCs w:val="24"/>
        </w:rPr>
        <w:t xml:space="preserve"> </w:t>
      </w:r>
      <w:r w:rsidR="007065CC" w:rsidRPr="00227851">
        <w:rPr>
          <w:rFonts w:ascii="Tw Cen MT" w:eastAsiaTheme="minorHAnsi" w:hAnsi="Tw Cen MT"/>
          <w:sz w:val="24"/>
          <w:szCs w:val="24"/>
        </w:rPr>
        <w:t>D</w:t>
      </w:r>
      <w:r w:rsidR="00035823" w:rsidRPr="00227851">
        <w:rPr>
          <w:rFonts w:ascii="Tw Cen MT" w:eastAsiaTheme="minorHAnsi" w:hAnsi="Tw Cen MT"/>
          <w:sz w:val="24"/>
          <w:szCs w:val="24"/>
        </w:rPr>
        <w:t xml:space="preserve">iperoleh nilai </w:t>
      </w:r>
      <w:r w:rsidR="00035823" w:rsidRPr="00227851">
        <w:rPr>
          <w:rFonts w:ascii="Tw Cen MT" w:eastAsiaTheme="minorHAnsi" w:hAnsi="Tw Cen MT"/>
          <w:i/>
          <w:iCs/>
          <w:sz w:val="24"/>
          <w:szCs w:val="24"/>
        </w:rPr>
        <w:t xml:space="preserve">p value </w:t>
      </w:r>
      <w:r w:rsidR="00035823" w:rsidRPr="00227851">
        <w:rPr>
          <w:rFonts w:ascii="Tw Cen MT" w:eastAsiaTheme="minorHAnsi" w:hAnsi="Tw Cen MT"/>
          <w:sz w:val="24"/>
          <w:szCs w:val="24"/>
        </w:rPr>
        <w:t>= 0.052 (</w:t>
      </w:r>
      <w:r w:rsidR="00035823" w:rsidRPr="00227851">
        <w:rPr>
          <w:rFonts w:ascii="Tw Cen MT" w:eastAsiaTheme="minorHAnsi" w:hAnsi="Tw Cen MT"/>
          <w:i/>
          <w:iCs/>
          <w:sz w:val="24"/>
          <w:szCs w:val="24"/>
        </w:rPr>
        <w:t>p &gt; 0.05</w:t>
      </w:r>
      <w:r w:rsidR="00035823" w:rsidRPr="00227851">
        <w:rPr>
          <w:rFonts w:ascii="Tw Cen MT" w:eastAsiaTheme="minorHAnsi" w:hAnsi="Tw Cen MT"/>
          <w:sz w:val="24"/>
          <w:szCs w:val="24"/>
        </w:rPr>
        <w:t xml:space="preserve">) artinya tidak ada perbedaan signifikan Nilai SSDE pengukuran manual dan </w:t>
      </w:r>
      <w:r w:rsidR="00003871">
        <w:rPr>
          <w:rFonts w:ascii="Tw Cen MT" w:eastAsiaTheme="minorHAnsi" w:hAnsi="Tw Cen MT"/>
          <w:i/>
          <w:sz w:val="24"/>
          <w:szCs w:val="24"/>
        </w:rPr>
        <w:t>soft</w:t>
      </w:r>
      <w:r w:rsidR="00035823" w:rsidRPr="00FD3D94">
        <w:rPr>
          <w:rFonts w:ascii="Tw Cen MT" w:eastAsiaTheme="minorHAnsi" w:hAnsi="Tw Cen MT"/>
          <w:i/>
          <w:sz w:val="24"/>
          <w:szCs w:val="24"/>
        </w:rPr>
        <w:t>ware</w:t>
      </w:r>
      <w:r w:rsidR="00003871">
        <w:rPr>
          <w:rFonts w:ascii="Tw Cen MT" w:eastAsiaTheme="minorHAnsi" w:hAnsi="Tw Cen MT"/>
          <w:sz w:val="24"/>
          <w:szCs w:val="24"/>
        </w:rPr>
        <w:t xml:space="preserve"> i</w:t>
      </w:r>
      <w:r w:rsidR="00035823" w:rsidRPr="00227851">
        <w:rPr>
          <w:rFonts w:ascii="Tw Cen MT" w:eastAsiaTheme="minorHAnsi" w:hAnsi="Tw Cen MT"/>
          <w:sz w:val="24"/>
          <w:szCs w:val="24"/>
        </w:rPr>
        <w:t xml:space="preserve">ndoseCT v20.b </w:t>
      </w:r>
    </w:p>
    <w:p w14:paraId="7A41CC35" w14:textId="278F0AF4" w:rsidR="00E72387" w:rsidRDefault="00CE7579" w:rsidP="000664F0">
      <w:pPr>
        <w:pStyle w:val="Heading1"/>
        <w:spacing w:before="0" w:line="240" w:lineRule="auto"/>
        <w:ind w:left="284" w:hanging="284"/>
        <w:jc w:val="center"/>
        <w:rPr>
          <w:rFonts w:ascii="Tw Cen MT" w:hAnsi="Tw Cen MT"/>
          <w:b w:val="0"/>
          <w:sz w:val="22"/>
          <w:szCs w:val="22"/>
        </w:rPr>
      </w:pPr>
      <w:commentRangeStart w:id="11"/>
      <w:r w:rsidRPr="00AF291F">
        <w:rPr>
          <w:rFonts w:ascii="Tw Cen MT" w:hAnsi="Tw Cen MT"/>
          <w:b w:val="0"/>
          <w:bCs/>
          <w:sz w:val="22"/>
          <w:szCs w:val="22"/>
        </w:rPr>
        <w:t>Tabel 3.</w:t>
      </w:r>
      <w:r w:rsidRPr="00EE2944">
        <w:rPr>
          <w:rFonts w:ascii="Tw Cen MT" w:hAnsi="Tw Cen MT"/>
          <w:b w:val="0"/>
          <w:sz w:val="22"/>
          <w:szCs w:val="22"/>
        </w:rPr>
        <w:t xml:space="preserve"> Uji </w:t>
      </w:r>
      <w:r w:rsidR="00AF291F">
        <w:rPr>
          <w:rFonts w:ascii="Tw Cen MT" w:hAnsi="Tw Cen MT"/>
          <w:b w:val="0"/>
          <w:sz w:val="22"/>
          <w:szCs w:val="22"/>
        </w:rPr>
        <w:t>S</w:t>
      </w:r>
      <w:r w:rsidR="005E0EA2">
        <w:rPr>
          <w:rFonts w:ascii="Tw Cen MT" w:hAnsi="Tw Cen MT"/>
          <w:b w:val="0"/>
          <w:sz w:val="22"/>
          <w:szCs w:val="22"/>
        </w:rPr>
        <w:t>tatistic</w:t>
      </w:r>
      <w:r w:rsidR="00AF291F">
        <w:rPr>
          <w:rFonts w:ascii="Tw Cen MT" w:hAnsi="Tw Cen MT"/>
          <w:b w:val="0"/>
          <w:sz w:val="22"/>
          <w:szCs w:val="22"/>
        </w:rPr>
        <w:t xml:space="preserve"> Wilcoxon</w:t>
      </w:r>
    </w:p>
    <w:tbl>
      <w:tblPr>
        <w:tblW w:w="3685" w:type="dxa"/>
        <w:jc w:val="center"/>
        <w:tblLook w:val="04A0" w:firstRow="1" w:lastRow="0" w:firstColumn="1" w:lastColumn="0" w:noHBand="0" w:noVBand="1"/>
      </w:tblPr>
      <w:tblGrid>
        <w:gridCol w:w="1276"/>
        <w:gridCol w:w="2409"/>
      </w:tblGrid>
      <w:tr w:rsidR="005E0EA2" w:rsidRPr="00EC05B9" w14:paraId="7A0C1F63" w14:textId="77777777" w:rsidTr="00AF291F">
        <w:trPr>
          <w:cantSplit/>
          <w:trHeight w:val="345"/>
          <w:jc w:val="center"/>
        </w:trPr>
        <w:tc>
          <w:tcPr>
            <w:tcW w:w="3685" w:type="dxa"/>
            <w:gridSpan w:val="2"/>
            <w:shd w:val="clear" w:color="000000" w:fill="FFFFFF"/>
            <w:vAlign w:val="center"/>
            <w:hideMark/>
          </w:tcPr>
          <w:p w14:paraId="2CA9681E" w14:textId="35A3FD6C" w:rsidR="005E0EA2" w:rsidRPr="00EC05B9" w:rsidRDefault="005E0EA2" w:rsidP="00AF291F">
            <w:pPr>
              <w:rPr>
                <w:rFonts w:ascii="Tw Cen MT" w:hAnsi="Tw Cen MT"/>
                <w:b/>
                <w:bCs/>
                <w:sz w:val="22"/>
                <w:szCs w:val="22"/>
              </w:rPr>
            </w:pPr>
          </w:p>
        </w:tc>
      </w:tr>
      <w:tr w:rsidR="005E0EA2" w:rsidRPr="00EC05B9" w14:paraId="4E66E3A4" w14:textId="77777777" w:rsidTr="00AF291F">
        <w:trPr>
          <w:cantSplit/>
          <w:trHeight w:val="645"/>
          <w:jc w:val="center"/>
        </w:trPr>
        <w:tc>
          <w:tcPr>
            <w:tcW w:w="1276" w:type="dxa"/>
            <w:tcBorders>
              <w:bottom w:val="single" w:sz="4" w:space="0" w:color="auto"/>
            </w:tcBorders>
            <w:shd w:val="clear" w:color="000000" w:fill="FFFFFF"/>
            <w:vAlign w:val="center"/>
            <w:hideMark/>
          </w:tcPr>
          <w:p w14:paraId="3E1D06A9" w14:textId="00CAFDAF" w:rsidR="005E0EA2" w:rsidRPr="00EC05B9" w:rsidRDefault="008A032E" w:rsidP="008A032E">
            <w:pPr>
              <w:jc w:val="center"/>
              <w:rPr>
                <w:rFonts w:ascii="Tw Cen MT" w:hAnsi="Tw Cen MT"/>
                <w:sz w:val="22"/>
                <w:szCs w:val="22"/>
              </w:rPr>
            </w:pPr>
            <w:r>
              <w:rPr>
                <w:rFonts w:ascii="Tw Cen MT" w:eastAsiaTheme="minorHAnsi" w:hAnsi="Tw Cen MT"/>
                <w:sz w:val="22"/>
                <w:szCs w:val="22"/>
              </w:rPr>
              <w:t>Parameter Statistik</w:t>
            </w:r>
          </w:p>
        </w:tc>
        <w:tc>
          <w:tcPr>
            <w:tcW w:w="2409" w:type="dxa"/>
            <w:tcBorders>
              <w:bottom w:val="single" w:sz="4" w:space="0" w:color="auto"/>
            </w:tcBorders>
            <w:shd w:val="clear" w:color="000000" w:fill="FFFFFF"/>
            <w:vAlign w:val="center"/>
            <w:hideMark/>
          </w:tcPr>
          <w:p w14:paraId="7A95583C" w14:textId="3E9CD4ED" w:rsidR="005E0EA2" w:rsidRPr="00EC05B9" w:rsidRDefault="008A032E" w:rsidP="00B07444">
            <w:pPr>
              <w:jc w:val="center"/>
              <w:rPr>
                <w:rFonts w:ascii="Tw Cen MT" w:hAnsi="Tw Cen MT"/>
                <w:sz w:val="22"/>
                <w:szCs w:val="22"/>
              </w:rPr>
            </w:pPr>
            <w:r>
              <w:rPr>
                <w:rFonts w:ascii="Tw Cen MT" w:hAnsi="Tw Cen MT"/>
                <w:sz w:val="22"/>
                <w:szCs w:val="22"/>
              </w:rPr>
              <w:t>IndoseCT</w:t>
            </w:r>
            <w:r w:rsidR="005E0EA2" w:rsidRPr="00EC05B9">
              <w:rPr>
                <w:rFonts w:ascii="Tw Cen MT" w:hAnsi="Tw Cen MT"/>
                <w:sz w:val="22"/>
                <w:szCs w:val="22"/>
              </w:rPr>
              <w:t xml:space="preserve"> v20.b – Manual</w:t>
            </w:r>
          </w:p>
        </w:tc>
      </w:tr>
      <w:tr w:rsidR="005E0EA2" w:rsidRPr="00EC05B9" w14:paraId="685747EC" w14:textId="77777777" w:rsidTr="00AF291F">
        <w:trPr>
          <w:cantSplit/>
          <w:trHeight w:val="390"/>
          <w:jc w:val="center"/>
        </w:trPr>
        <w:tc>
          <w:tcPr>
            <w:tcW w:w="1276" w:type="dxa"/>
            <w:tcBorders>
              <w:top w:val="single" w:sz="4" w:space="0" w:color="auto"/>
            </w:tcBorders>
            <w:shd w:val="clear" w:color="000000" w:fill="FFFFFF"/>
            <w:vAlign w:val="center"/>
            <w:hideMark/>
          </w:tcPr>
          <w:p w14:paraId="5C37EF5B" w14:textId="77777777" w:rsidR="005E0EA2" w:rsidRPr="00EC05B9" w:rsidRDefault="005E0EA2" w:rsidP="00B07444">
            <w:pPr>
              <w:jc w:val="center"/>
              <w:rPr>
                <w:rFonts w:ascii="Tw Cen MT" w:hAnsi="Tw Cen MT"/>
                <w:sz w:val="22"/>
                <w:szCs w:val="22"/>
              </w:rPr>
            </w:pPr>
            <w:r w:rsidRPr="00EC05B9">
              <w:rPr>
                <w:rFonts w:ascii="Tw Cen MT" w:hAnsi="Tw Cen MT"/>
                <w:sz w:val="22"/>
                <w:szCs w:val="22"/>
              </w:rPr>
              <w:t>Z</w:t>
            </w:r>
          </w:p>
        </w:tc>
        <w:tc>
          <w:tcPr>
            <w:tcW w:w="2409" w:type="dxa"/>
            <w:tcBorders>
              <w:top w:val="single" w:sz="4" w:space="0" w:color="auto"/>
            </w:tcBorders>
            <w:shd w:val="clear" w:color="000000" w:fill="FFFFFF"/>
            <w:vAlign w:val="center"/>
            <w:hideMark/>
          </w:tcPr>
          <w:p w14:paraId="68E65BA9" w14:textId="77777777" w:rsidR="005E0EA2" w:rsidRPr="00EC05B9" w:rsidRDefault="005E0EA2" w:rsidP="00B07444">
            <w:pPr>
              <w:jc w:val="center"/>
              <w:rPr>
                <w:rFonts w:ascii="Tw Cen MT" w:hAnsi="Tw Cen MT"/>
                <w:sz w:val="22"/>
                <w:szCs w:val="22"/>
              </w:rPr>
            </w:pPr>
            <w:r w:rsidRPr="00EC05B9">
              <w:rPr>
                <w:rFonts w:ascii="Tw Cen MT" w:hAnsi="Tw Cen MT"/>
                <w:sz w:val="22"/>
                <w:szCs w:val="22"/>
              </w:rPr>
              <w:t>-1.941</w:t>
            </w:r>
            <w:r w:rsidRPr="00EC05B9">
              <w:rPr>
                <w:rFonts w:ascii="Tw Cen MT" w:hAnsi="Tw Cen MT"/>
                <w:sz w:val="22"/>
                <w:szCs w:val="22"/>
                <w:vertAlign w:val="superscript"/>
              </w:rPr>
              <w:t>b</w:t>
            </w:r>
          </w:p>
        </w:tc>
      </w:tr>
      <w:tr w:rsidR="005E0EA2" w:rsidRPr="00EC05B9" w14:paraId="7EE5287A" w14:textId="77777777" w:rsidTr="00AF291F">
        <w:trPr>
          <w:cantSplit/>
          <w:trHeight w:val="568"/>
          <w:jc w:val="center"/>
        </w:trPr>
        <w:tc>
          <w:tcPr>
            <w:tcW w:w="1276" w:type="dxa"/>
            <w:tcBorders>
              <w:bottom w:val="single" w:sz="4" w:space="0" w:color="auto"/>
            </w:tcBorders>
            <w:shd w:val="clear" w:color="000000" w:fill="FFFFFF"/>
            <w:vAlign w:val="center"/>
            <w:hideMark/>
          </w:tcPr>
          <w:p w14:paraId="776F074A" w14:textId="77777777" w:rsidR="005E0EA2" w:rsidRPr="00EC05B9" w:rsidRDefault="005E0EA2" w:rsidP="00B07444">
            <w:pPr>
              <w:jc w:val="center"/>
              <w:rPr>
                <w:rFonts w:ascii="Tw Cen MT" w:hAnsi="Tw Cen MT"/>
                <w:sz w:val="22"/>
                <w:szCs w:val="22"/>
              </w:rPr>
            </w:pPr>
            <w:r w:rsidRPr="00EC05B9">
              <w:rPr>
                <w:rFonts w:ascii="Tw Cen MT" w:hAnsi="Tw Cen MT"/>
                <w:sz w:val="22"/>
                <w:szCs w:val="22"/>
              </w:rPr>
              <w:t>Asymp. Sig. (2-tailed)</w:t>
            </w:r>
          </w:p>
        </w:tc>
        <w:tc>
          <w:tcPr>
            <w:tcW w:w="2409" w:type="dxa"/>
            <w:tcBorders>
              <w:bottom w:val="single" w:sz="4" w:space="0" w:color="auto"/>
            </w:tcBorders>
            <w:shd w:val="clear" w:color="000000" w:fill="FFFFFF"/>
            <w:vAlign w:val="center"/>
            <w:hideMark/>
          </w:tcPr>
          <w:p w14:paraId="7977AAEC" w14:textId="77777777" w:rsidR="005E0EA2" w:rsidRPr="00EC05B9" w:rsidRDefault="005E0EA2" w:rsidP="00B07444">
            <w:pPr>
              <w:jc w:val="center"/>
              <w:rPr>
                <w:rFonts w:ascii="Tw Cen MT" w:hAnsi="Tw Cen MT"/>
                <w:sz w:val="22"/>
                <w:szCs w:val="22"/>
              </w:rPr>
            </w:pPr>
            <w:r w:rsidRPr="00EC05B9">
              <w:rPr>
                <w:rFonts w:ascii="Tw Cen MT" w:hAnsi="Tw Cen MT"/>
                <w:sz w:val="22"/>
                <w:szCs w:val="22"/>
              </w:rPr>
              <w:t>0.052</w:t>
            </w:r>
          </w:p>
        </w:tc>
      </w:tr>
    </w:tbl>
    <w:commentRangeEnd w:id="11"/>
    <w:p w14:paraId="3B3AE71D" w14:textId="77777777" w:rsidR="000664F0" w:rsidRDefault="00302045" w:rsidP="00227851">
      <w:pPr>
        <w:spacing w:after="0" w:line="240" w:lineRule="auto"/>
        <w:jc w:val="both"/>
        <w:rPr>
          <w:rFonts w:ascii="Tw Cen MT" w:eastAsia="Twentieth Century" w:hAnsi="Tw Cen MT" w:cs="Twentieth Century"/>
          <w:b/>
          <w:sz w:val="24"/>
          <w:szCs w:val="24"/>
        </w:rPr>
      </w:pPr>
      <w:r>
        <w:rPr>
          <w:rStyle w:val="CommentReference"/>
        </w:rPr>
        <w:commentReference w:id="11"/>
      </w:r>
    </w:p>
    <w:p w14:paraId="66F72707" w14:textId="2F960079" w:rsidR="00101DB8" w:rsidRDefault="000664F0" w:rsidP="00AF291F">
      <w:pPr>
        <w:spacing w:after="0" w:line="240" w:lineRule="auto"/>
        <w:jc w:val="both"/>
        <w:rPr>
          <w:rFonts w:ascii="Tw Cen MT" w:eastAsia="Twentieth Century" w:hAnsi="Tw Cen MT" w:cs="Twentieth Century"/>
          <w:sz w:val="24"/>
          <w:szCs w:val="24"/>
        </w:rPr>
      </w:pPr>
      <w:r w:rsidRPr="000664F0">
        <w:rPr>
          <w:rFonts w:ascii="Tw Cen MT" w:eastAsia="Twentieth Century" w:hAnsi="Tw Cen MT" w:cs="Twentieth Century"/>
          <w:sz w:val="24"/>
          <w:szCs w:val="24"/>
        </w:rPr>
        <w:t xml:space="preserve">Penentuan nilai </w:t>
      </w:r>
      <w:r w:rsidRPr="00FD3D94">
        <w:rPr>
          <w:rFonts w:ascii="Tw Cen MT" w:eastAsia="Twentieth Century" w:hAnsi="Tw Cen MT" w:cs="Twentieth Century"/>
          <w:i/>
          <w:sz w:val="24"/>
          <w:szCs w:val="24"/>
        </w:rPr>
        <w:t>diagnostic reference level</w:t>
      </w:r>
      <w:r w:rsidR="00A46751">
        <w:rPr>
          <w:rFonts w:ascii="Tw Cen MT" w:eastAsia="Twentieth Century" w:hAnsi="Tw Cen MT" w:cs="Twentieth Century"/>
          <w:i/>
          <w:sz w:val="24"/>
          <w:szCs w:val="24"/>
        </w:rPr>
        <w:t xml:space="preserve"> </w:t>
      </w:r>
      <w:r w:rsidR="00A46751" w:rsidRPr="00A46751">
        <w:rPr>
          <w:rFonts w:ascii="Tw Cen MT" w:eastAsia="Twentieth Century" w:hAnsi="Tw Cen MT" w:cs="Twentieth Century"/>
          <w:sz w:val="24"/>
          <w:szCs w:val="24"/>
        </w:rPr>
        <w:t>lokal</w:t>
      </w:r>
      <w:r w:rsidRPr="000664F0">
        <w:rPr>
          <w:rFonts w:ascii="Tw Cen MT" w:eastAsia="Twentieth Century" w:hAnsi="Tw Cen MT" w:cs="Twentieth Century"/>
          <w:sz w:val="24"/>
          <w:szCs w:val="24"/>
        </w:rPr>
        <w:t xml:space="preserve"> dihitung berdasarkan nilai persentil 50 </w:t>
      </w:r>
      <w:r w:rsidR="00A46751">
        <w:rPr>
          <w:rFonts w:ascii="Tw Cen MT" w:eastAsia="Twentieth Century" w:hAnsi="Tw Cen MT" w:cs="Twentieth Century"/>
          <w:sz w:val="24"/>
          <w:szCs w:val="24"/>
        </w:rPr>
        <w:t xml:space="preserve">atau nilai median </w:t>
      </w:r>
      <w:r w:rsidR="004A34C5">
        <w:rPr>
          <w:rFonts w:ascii="Tw Cen MT" w:eastAsia="Twentieth Century" w:hAnsi="Tw Cen MT" w:cs="Twentieth Century"/>
          <w:sz w:val="24"/>
          <w:szCs w:val="24"/>
        </w:rPr>
        <w:t xml:space="preserve">pada suatu </w:t>
      </w:r>
      <w:r w:rsidR="003E3A18">
        <w:rPr>
          <w:rFonts w:ascii="Tw Cen MT" w:eastAsia="Twentieth Century" w:hAnsi="Tw Cen MT" w:cs="Twentieth Century"/>
          <w:sz w:val="24"/>
          <w:szCs w:val="24"/>
        </w:rPr>
        <w:t>Fasilitas Kesehatan</w:t>
      </w:r>
      <w:r w:rsidR="00A46751">
        <w:rPr>
          <w:rFonts w:ascii="Tw Cen MT" w:eastAsia="Twentieth Century" w:hAnsi="Tw Cen MT" w:cs="Twentieth Century"/>
          <w:sz w:val="24"/>
          <w:szCs w:val="24"/>
        </w:rPr>
        <w:t xml:space="preserve"> </w:t>
      </w:r>
      <w:r w:rsidR="003E3A18">
        <w:rPr>
          <w:rFonts w:ascii="Tw Cen MT" w:eastAsia="Twentieth Century" w:hAnsi="Tw Cen MT" w:cs="Twentieth Century"/>
          <w:sz w:val="24"/>
          <w:szCs w:val="24"/>
        </w:rPr>
        <w:t>atau Rumah Sakit</w:t>
      </w:r>
      <w:r w:rsidR="004A34C5">
        <w:rPr>
          <w:rFonts w:ascii="Tw Cen MT" w:eastAsia="Twentieth Century" w:hAnsi="Tw Cen MT" w:cs="Twentieth Century"/>
          <w:sz w:val="24"/>
          <w:szCs w:val="24"/>
        </w:rPr>
        <w:t>.</w:t>
      </w:r>
      <w:r w:rsidR="00A46751">
        <w:rPr>
          <w:rFonts w:ascii="Tw Cen MT" w:eastAsia="Twentieth Century" w:hAnsi="Tw Cen MT" w:cs="Twentieth Century"/>
          <w:sz w:val="24"/>
          <w:szCs w:val="24"/>
        </w:rPr>
        <w:t xml:space="preserve"> </w:t>
      </w:r>
      <w:r w:rsidR="004A34C5">
        <w:rPr>
          <w:rFonts w:ascii="Tw Cen MT" w:eastAsia="Twentieth Century" w:hAnsi="Tw Cen MT" w:cs="Twentieth Century"/>
          <w:sz w:val="24"/>
          <w:szCs w:val="24"/>
        </w:rPr>
        <w:t xml:space="preserve">Sedangkan, untuk nilai </w:t>
      </w:r>
      <w:r w:rsidR="003E3A18" w:rsidRPr="003E3A18">
        <w:rPr>
          <w:rFonts w:ascii="Tw Cen MT" w:eastAsia="Twentieth Century" w:hAnsi="Tw Cen MT" w:cs="Twentieth Century"/>
          <w:i/>
          <w:sz w:val="24"/>
          <w:szCs w:val="24"/>
        </w:rPr>
        <w:t>diagnostic reference level</w:t>
      </w:r>
      <w:r w:rsidR="003E3A18">
        <w:rPr>
          <w:rFonts w:ascii="Tw Cen MT" w:eastAsia="Twentieth Century" w:hAnsi="Tw Cen MT" w:cs="Twentieth Century"/>
          <w:sz w:val="24"/>
          <w:szCs w:val="24"/>
        </w:rPr>
        <w:t xml:space="preserve"> </w:t>
      </w:r>
      <w:r w:rsidR="004A34C5">
        <w:rPr>
          <w:rFonts w:ascii="Tw Cen MT" w:eastAsia="Twentieth Century" w:hAnsi="Tw Cen MT" w:cs="Twentieth Century"/>
          <w:sz w:val="24"/>
          <w:szCs w:val="24"/>
        </w:rPr>
        <w:t>nasional</w:t>
      </w:r>
      <w:r w:rsidR="00A46751">
        <w:rPr>
          <w:rFonts w:ascii="Tw Cen MT" w:eastAsia="Twentieth Century" w:hAnsi="Tw Cen MT" w:cs="Twentieth Century"/>
          <w:sz w:val="24"/>
          <w:szCs w:val="24"/>
        </w:rPr>
        <w:t xml:space="preserve"> ditentukan</w:t>
      </w:r>
      <w:r w:rsidR="004A34C5">
        <w:rPr>
          <w:rFonts w:ascii="Tw Cen MT" w:eastAsia="Twentieth Century" w:hAnsi="Tw Cen MT" w:cs="Twentieth Century"/>
          <w:sz w:val="24"/>
          <w:szCs w:val="24"/>
        </w:rPr>
        <w:t xml:space="preserve"> berdasarkan </w:t>
      </w:r>
      <w:r w:rsidR="00A46751">
        <w:rPr>
          <w:rFonts w:ascii="Tw Cen MT" w:eastAsia="Twentieth Century" w:hAnsi="Tw Cen MT" w:cs="Twentieth Century"/>
          <w:sz w:val="24"/>
          <w:szCs w:val="24"/>
        </w:rPr>
        <w:t>n</w:t>
      </w:r>
      <w:r w:rsidR="00A46751" w:rsidRPr="00A46751">
        <w:rPr>
          <w:rFonts w:ascii="Tw Cen MT" w:eastAsia="Twentieth Century" w:hAnsi="Tw Cen MT" w:cs="Twentieth Century"/>
          <w:sz w:val="24"/>
          <w:szCs w:val="24"/>
        </w:rPr>
        <w:t xml:space="preserve">ilai persentil ke-75 dari distribusi nilai median kuantitas DRL di fasilitas </w:t>
      </w:r>
      <w:r w:rsidR="00A46751">
        <w:rPr>
          <w:rFonts w:ascii="Tw Cen MT" w:eastAsia="Twentieth Century" w:hAnsi="Tw Cen MT" w:cs="Twentieth Century"/>
          <w:sz w:val="24"/>
          <w:szCs w:val="24"/>
        </w:rPr>
        <w:t xml:space="preserve">kesehatan di seluruh </w:t>
      </w:r>
      <w:r w:rsidR="003E3A18">
        <w:rPr>
          <w:rFonts w:ascii="Tw Cen MT" w:eastAsia="Twentieth Century" w:hAnsi="Tw Cen MT" w:cs="Twentieth Century"/>
          <w:sz w:val="24"/>
          <w:szCs w:val="24"/>
        </w:rPr>
        <w:t xml:space="preserve">daerah suatu </w:t>
      </w:r>
      <w:r w:rsidR="00195E91">
        <w:rPr>
          <w:rFonts w:ascii="Tw Cen MT" w:eastAsia="Twentieth Century" w:hAnsi="Tw Cen MT" w:cs="Twentieth Century"/>
          <w:sz w:val="24"/>
          <w:szCs w:val="24"/>
        </w:rPr>
        <w:t xml:space="preserve">Negara </w:t>
      </w:r>
      <w:r w:rsidR="00A46751">
        <w:rPr>
          <w:rFonts w:ascii="Tw Cen MT" w:eastAsia="Twentieth Century" w:hAnsi="Tw Cen MT" w:cs="Twentieth Century"/>
          <w:sz w:val="24"/>
          <w:szCs w:val="24"/>
        </w:rPr>
        <w:fldChar w:fldCharType="begin" w:fldLock="1"/>
      </w:r>
      <w:r w:rsidR="00A46751">
        <w:rPr>
          <w:rFonts w:ascii="Tw Cen MT" w:eastAsia="Twentieth Century" w:hAnsi="Tw Cen MT" w:cs="Twentieth Century"/>
          <w:sz w:val="24"/>
          <w:szCs w:val="24"/>
        </w:rPr>
        <w:instrText>ADDIN CSL_CITATION {"citationItems":[{"id":"ITEM-1","itemData":{"ISBN":"9781473939509","ISSN":"0146-6453","abstract":"Annals of the ICRP is an essential publication for all: Regulatory and advisory agencies at regional, national and international levels Management bodies with responsibilities for radiological protection Professional staff employed as advisers and consultants Individuals, such as radiologists and nuclear medicine specialists, who make decisions about the use of ionising radiation. Annals of the ICRP provides recommendations and guidance from the International Commission on Radiological Protection on protection against the risks associated with ionising radiation, from artificial sources as widely used in medicine, general industry and nuclear enterprises, and from naturally occurring sources. Each Annals of the ICRP provides an in-depth coverage of a specific subject area. Aims and Scope The International Commission on Radiological Protection (ICRP) is the primary body in protection against ionising radi-ation. ICRP is a registered charity and is thus an independent non-governmental organisation created by the 1928 Inter-national Congress of Radiology to advance for the public benefit the science of radiological protection. ICRP provides recommendations and guidance on protection against the risks associated with ionising radiation from artificial sources widely used in medicine, general industry and nuclear enterprises, and from naturally occurring sources. These are published approximately four times each year on behalf of ICRP as the journal Annals of the ICRP. Each issue provides in-depth coverage of a specific subject area. Subscribers to the journal receive each new publication as soon as it appears so that they are kept up to date on the latest developments in this important field. While many subscribers prefer to acquire a complete set of ICRP publications, single issues of the journal are also available separately for those individuals and organisations needing a single publication cover-ing their own field of interest. Please order through your bookseller, subscription agent, or direct from the publisher.","author":[{"dropping-particle":"","family":"Vañó","given":"E","non-dropping-particle":"","parse-names":false,"suffix":""},{"dropping-particle":"","family":"Miller","given":"C.J.","non-dropping-particle":"","parse-names":false,"suffix":""},{"dropping-particle":"","family":"Rehani","given":"M.M.","non-dropping-particle":"","parse-names":false,"suffix":""},{"dropping-particle":"","family":"Kang","given":"K.","non-dropping-particle":"","parse-names":false,"suffix":""},{"dropping-particle":"","family":"Rosenstein","given":"M.","non-dropping-particle":"","parse-names":false,"suffix":""},{"dropping-particle":"","family":"Ortiz-López","given":"P.","non-dropping-particle":"","parse-names":false,"suffix":""},{"dropping-particle":"","family":"Mattsson","given":"S.","non-dropping-particle":"","parse-names":false,"suffix":""},{"dropping-particle":"","family":"Padovani","given":"R.","non-dropping-particle":"","parse-names":false,"suffix":""},{"dropping-particle":"","family":"Rogers","given":"A.","non-dropping-particle":"","parse-names":false,"suffix":""}],"container-title":"Protection, International Commission on Radiological","id":"ITEM-1","issue":"1","issued":{"date-parts":[["2015"]]},"number-of-pages":"1-143","title":"Annals o f the ICRP","type":"book","volume":"44"},"uris":["http://www.mendeley.com/documents/?uuid=ad988e11-dc54-4f1e-ae3d-02caa6fad555"]}],"mendeley":{"formattedCitation":"[11]","plainTextFormattedCitation":"[11]"},"properties":{"noteIndex":0},"schema":"https://github.com/citation-style-language/schema/raw/master/csl-citation.json"}</w:instrText>
      </w:r>
      <w:r w:rsidR="00A46751">
        <w:rPr>
          <w:rFonts w:ascii="Tw Cen MT" w:eastAsia="Twentieth Century" w:hAnsi="Tw Cen MT" w:cs="Twentieth Century"/>
          <w:sz w:val="24"/>
          <w:szCs w:val="24"/>
        </w:rPr>
        <w:fldChar w:fldCharType="separate"/>
      </w:r>
      <w:r w:rsidR="00A46751" w:rsidRPr="00A46751">
        <w:rPr>
          <w:rFonts w:ascii="Tw Cen MT" w:eastAsia="Twentieth Century" w:hAnsi="Tw Cen MT" w:cs="Twentieth Century"/>
          <w:noProof/>
          <w:sz w:val="24"/>
          <w:szCs w:val="24"/>
        </w:rPr>
        <w:t>[11]</w:t>
      </w:r>
      <w:r w:rsidR="00A46751">
        <w:rPr>
          <w:rFonts w:ascii="Tw Cen MT" w:eastAsia="Twentieth Century" w:hAnsi="Tw Cen MT" w:cs="Twentieth Century"/>
          <w:sz w:val="24"/>
          <w:szCs w:val="24"/>
        </w:rPr>
        <w:fldChar w:fldCharType="end"/>
      </w:r>
      <w:r w:rsidR="00195E91">
        <w:rPr>
          <w:rFonts w:ascii="Tw Cen MT" w:eastAsia="Twentieth Century" w:hAnsi="Tw Cen MT" w:cs="Twentieth Century"/>
          <w:sz w:val="24"/>
          <w:szCs w:val="24"/>
        </w:rPr>
        <w:t>.</w:t>
      </w:r>
    </w:p>
    <w:p w14:paraId="5DC114AE" w14:textId="58A0D4D5" w:rsidR="000664F0" w:rsidRDefault="000664F0" w:rsidP="00AF291F">
      <w:pPr>
        <w:spacing w:after="0" w:line="240" w:lineRule="auto"/>
        <w:jc w:val="both"/>
        <w:rPr>
          <w:rFonts w:ascii="Tw Cen MT" w:eastAsia="Twentieth Century" w:hAnsi="Tw Cen MT" w:cs="Twentieth Century"/>
          <w:sz w:val="24"/>
          <w:szCs w:val="24"/>
        </w:rPr>
      </w:pPr>
      <w:r w:rsidRPr="000664F0">
        <w:rPr>
          <w:rFonts w:ascii="Tw Cen MT" w:eastAsia="Twentieth Century" w:hAnsi="Tw Cen MT" w:cs="Twentieth Century"/>
          <w:sz w:val="24"/>
          <w:szCs w:val="24"/>
        </w:rPr>
        <w:t>Di</w:t>
      </w:r>
      <w:r w:rsidR="00101DB8">
        <w:rPr>
          <w:rFonts w:ascii="Tw Cen MT" w:eastAsia="Twentieth Century" w:hAnsi="Tw Cen MT" w:cs="Twentieth Century"/>
          <w:sz w:val="24"/>
          <w:szCs w:val="24"/>
        </w:rPr>
        <w:t xml:space="preserve"> </w:t>
      </w:r>
      <w:r w:rsidRPr="000664F0">
        <w:rPr>
          <w:rFonts w:ascii="Tw Cen MT" w:eastAsia="Twentieth Century" w:hAnsi="Tw Cen MT" w:cs="Twentieth Century"/>
          <w:sz w:val="24"/>
          <w:szCs w:val="24"/>
        </w:rPr>
        <w:t xml:space="preserve">bawah ini ditampilkan </w:t>
      </w:r>
      <w:r w:rsidR="00101DB8" w:rsidRPr="00227851">
        <w:rPr>
          <w:rFonts w:ascii="Tw Cen MT" w:hAnsi="Tw Cen MT"/>
          <w:sz w:val="24"/>
          <w:szCs w:val="24"/>
        </w:rPr>
        <w:t xml:space="preserve">diagram </w:t>
      </w:r>
      <w:r w:rsidR="00101DB8" w:rsidRPr="00227851">
        <w:rPr>
          <w:rFonts w:ascii="Tw Cen MT" w:hAnsi="Tw Cen MT"/>
          <w:i/>
          <w:sz w:val="24"/>
          <w:szCs w:val="24"/>
        </w:rPr>
        <w:t>box plots</w:t>
      </w:r>
      <w:r w:rsidR="00101DB8" w:rsidRPr="00227851">
        <w:rPr>
          <w:rFonts w:ascii="Tw Cen MT" w:hAnsi="Tw Cen MT"/>
          <w:sz w:val="24"/>
          <w:szCs w:val="24"/>
        </w:rPr>
        <w:t xml:space="preserve"> </w:t>
      </w:r>
      <w:r w:rsidR="00101DB8">
        <w:rPr>
          <w:rFonts w:ascii="Tw Cen MT" w:hAnsi="Tw Cen MT"/>
          <w:sz w:val="24"/>
          <w:szCs w:val="24"/>
        </w:rPr>
        <w:t xml:space="preserve">pada </w:t>
      </w:r>
      <w:r w:rsidR="00F35A84">
        <w:rPr>
          <w:rFonts w:ascii="Tw Cen MT" w:hAnsi="Tw Cen MT"/>
          <w:sz w:val="24"/>
          <w:szCs w:val="24"/>
        </w:rPr>
        <w:t>g</w:t>
      </w:r>
      <w:r w:rsidR="00101DB8" w:rsidRPr="00227851">
        <w:rPr>
          <w:rFonts w:ascii="Tw Cen MT" w:hAnsi="Tw Cen MT"/>
          <w:sz w:val="24"/>
          <w:szCs w:val="24"/>
        </w:rPr>
        <w:t>ambar 3</w:t>
      </w:r>
      <w:r w:rsidRPr="000664F0">
        <w:rPr>
          <w:rFonts w:ascii="Tw Cen MT" w:eastAsia="Twentieth Century" w:hAnsi="Tw Cen MT" w:cs="Twentieth Century"/>
          <w:sz w:val="24"/>
          <w:szCs w:val="24"/>
        </w:rPr>
        <w:t xml:space="preserve"> Yang menunjukan </w:t>
      </w:r>
      <w:r w:rsidR="00101DB8">
        <w:rPr>
          <w:rFonts w:ascii="Tw Cen MT" w:eastAsia="Twentieth Century" w:hAnsi="Tw Cen MT" w:cs="Twentieth Century"/>
          <w:sz w:val="24"/>
          <w:szCs w:val="24"/>
        </w:rPr>
        <w:t xml:space="preserve">sebaran </w:t>
      </w:r>
      <w:r w:rsidRPr="000664F0">
        <w:rPr>
          <w:rFonts w:ascii="Tw Cen MT" w:eastAsia="Twentieth Century" w:hAnsi="Tw Cen MT" w:cs="Twentieth Century"/>
          <w:sz w:val="24"/>
          <w:szCs w:val="24"/>
        </w:rPr>
        <w:t>nilai SSDE</w:t>
      </w:r>
      <w:r w:rsidR="00AF291F">
        <w:rPr>
          <w:rFonts w:ascii="Tw Cen MT" w:eastAsia="Twentieth Century" w:hAnsi="Tw Cen MT" w:cs="Twentieth Century"/>
          <w:sz w:val="24"/>
          <w:szCs w:val="24"/>
        </w:rPr>
        <w:t>.</w:t>
      </w:r>
    </w:p>
    <w:p w14:paraId="75425E53" w14:textId="77777777" w:rsidR="000664F0" w:rsidRPr="000664F0" w:rsidRDefault="000664F0" w:rsidP="000664F0">
      <w:pPr>
        <w:spacing w:after="0" w:line="240" w:lineRule="auto"/>
        <w:jc w:val="both"/>
        <w:rPr>
          <w:rFonts w:ascii="Tw Cen MT" w:eastAsia="Twentieth Century" w:hAnsi="Tw Cen MT" w:cs="Twentieth Century"/>
          <w:sz w:val="24"/>
          <w:szCs w:val="24"/>
        </w:rPr>
      </w:pPr>
    </w:p>
    <w:p w14:paraId="332F27AE" w14:textId="2EC108C9" w:rsidR="00E72387" w:rsidRPr="00227851" w:rsidRDefault="00101DB8" w:rsidP="00EE2944">
      <w:pPr>
        <w:spacing w:after="0" w:line="240" w:lineRule="auto"/>
        <w:jc w:val="center"/>
        <w:rPr>
          <w:rFonts w:ascii="Tw Cen MT" w:eastAsia="Twentieth Century" w:hAnsi="Tw Cen MT" w:cs="Twentieth Century"/>
          <w:b/>
          <w:sz w:val="24"/>
          <w:szCs w:val="24"/>
        </w:rPr>
      </w:pPr>
      <w:commentRangeStart w:id="12"/>
      <w:r w:rsidRPr="00227851">
        <w:rPr>
          <w:rFonts w:ascii="Tw Cen MT" w:hAnsi="Tw Cen MT"/>
          <w:noProof/>
        </w:rPr>
        <w:drawing>
          <wp:inline distT="0" distB="0" distL="0" distR="0" wp14:anchorId="3E7AE4AE" wp14:editId="2296CEDD">
            <wp:extent cx="2524125" cy="1615440"/>
            <wp:effectExtent l="0" t="0" r="9525"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4125" cy="1615440"/>
                    </a:xfrm>
                    <a:prstGeom prst="rect">
                      <a:avLst/>
                    </a:prstGeom>
                    <a:noFill/>
                    <a:ln>
                      <a:noFill/>
                    </a:ln>
                  </pic:spPr>
                </pic:pic>
              </a:graphicData>
            </a:graphic>
          </wp:inline>
        </w:drawing>
      </w:r>
    </w:p>
    <w:p w14:paraId="7C09D32B" w14:textId="3C3DFC0D" w:rsidR="00CE7579" w:rsidRPr="00EE2944" w:rsidRDefault="00101DB8" w:rsidP="00FD3D94">
      <w:pPr>
        <w:pStyle w:val="Heading1"/>
        <w:spacing w:before="0" w:line="240" w:lineRule="auto"/>
        <w:ind w:left="1134" w:hanging="1134"/>
        <w:rPr>
          <w:rFonts w:ascii="Tw Cen MT" w:hAnsi="Tw Cen MT"/>
          <w:b w:val="0"/>
          <w:sz w:val="22"/>
          <w:szCs w:val="22"/>
        </w:rPr>
      </w:pPr>
      <w:r w:rsidRPr="00AF291F">
        <w:rPr>
          <w:rFonts w:ascii="Tw Cen MT" w:hAnsi="Tw Cen MT"/>
          <w:b w:val="0"/>
          <w:bCs/>
          <w:sz w:val="22"/>
          <w:szCs w:val="22"/>
        </w:rPr>
        <w:t>Gambar 3.</w:t>
      </w:r>
      <w:r w:rsidRPr="00EE2944">
        <w:rPr>
          <w:rFonts w:ascii="Tw Cen MT" w:hAnsi="Tw Cen MT"/>
          <w:b w:val="0"/>
          <w:sz w:val="22"/>
          <w:szCs w:val="22"/>
        </w:rPr>
        <w:t xml:space="preserve"> Diagram Box plot dan Whisker nilai SSDE</w:t>
      </w:r>
      <w:commentRangeEnd w:id="12"/>
      <w:r w:rsidR="00302045">
        <w:rPr>
          <w:rStyle w:val="CommentReference"/>
          <w:b w:val="0"/>
        </w:rPr>
        <w:commentReference w:id="12"/>
      </w:r>
    </w:p>
    <w:p w14:paraId="57E58DE0" w14:textId="45081358" w:rsidR="00A228DC" w:rsidRPr="00227851" w:rsidRDefault="00F35A84" w:rsidP="00AF291F">
      <w:pPr>
        <w:spacing w:after="0" w:line="240" w:lineRule="auto"/>
        <w:jc w:val="both"/>
        <w:rPr>
          <w:rFonts w:ascii="Tw Cen MT" w:hAnsi="Tw Cen MT"/>
          <w:sz w:val="24"/>
          <w:szCs w:val="24"/>
        </w:rPr>
      </w:pPr>
      <w:r>
        <w:rPr>
          <w:rFonts w:ascii="Tw Cen MT" w:hAnsi="Tw Cen MT"/>
          <w:sz w:val="24"/>
          <w:szCs w:val="24"/>
        </w:rPr>
        <w:t>Berdasarkan g</w:t>
      </w:r>
      <w:r w:rsidR="00A228DC">
        <w:rPr>
          <w:rFonts w:ascii="Tw Cen MT" w:hAnsi="Tw Cen MT"/>
          <w:sz w:val="24"/>
          <w:szCs w:val="24"/>
        </w:rPr>
        <w:t>ambar 3</w:t>
      </w:r>
      <w:r w:rsidR="007065CC" w:rsidRPr="000664F0">
        <w:rPr>
          <w:rFonts w:ascii="Tw Cen MT" w:hAnsi="Tw Cen MT"/>
          <w:sz w:val="24"/>
          <w:szCs w:val="24"/>
        </w:rPr>
        <w:t>. diperoleh sebaran data dari nilai SSD</w:t>
      </w:r>
      <w:r w:rsidR="00A228DC">
        <w:rPr>
          <w:rFonts w:ascii="Tw Cen MT" w:hAnsi="Tw Cen MT"/>
          <w:sz w:val="24"/>
          <w:szCs w:val="24"/>
        </w:rPr>
        <w:t xml:space="preserve">E. Dimana, nilai persentil </w:t>
      </w:r>
      <w:r w:rsidR="007065CC" w:rsidRPr="000664F0">
        <w:rPr>
          <w:rFonts w:ascii="Tw Cen MT" w:hAnsi="Tw Cen MT"/>
          <w:sz w:val="24"/>
          <w:szCs w:val="24"/>
        </w:rPr>
        <w:t>50 pada pengukuran manual adalah sebesar 59,62</w:t>
      </w:r>
      <w:r w:rsidR="00A228DC">
        <w:rPr>
          <w:rFonts w:ascii="Tw Cen MT" w:hAnsi="Tw Cen MT"/>
          <w:sz w:val="24"/>
          <w:szCs w:val="24"/>
        </w:rPr>
        <w:t xml:space="preserve"> mGy</w:t>
      </w:r>
      <w:r w:rsidR="007065CC" w:rsidRPr="000664F0">
        <w:rPr>
          <w:rFonts w:ascii="Tw Cen MT" w:hAnsi="Tw Cen MT"/>
          <w:sz w:val="24"/>
          <w:szCs w:val="24"/>
        </w:rPr>
        <w:t>. Sedangk</w:t>
      </w:r>
      <w:r w:rsidR="00D87200">
        <w:rPr>
          <w:rFonts w:ascii="Tw Cen MT" w:hAnsi="Tw Cen MT"/>
          <w:sz w:val="24"/>
          <w:szCs w:val="24"/>
        </w:rPr>
        <w:t>an pada pengukuran menggunakan i</w:t>
      </w:r>
      <w:r w:rsidR="007065CC" w:rsidRPr="000664F0">
        <w:rPr>
          <w:rFonts w:ascii="Tw Cen MT" w:hAnsi="Tw Cen MT"/>
          <w:sz w:val="24"/>
          <w:szCs w:val="24"/>
        </w:rPr>
        <w:t>ndoseCT v20.b adalah 66,65</w:t>
      </w:r>
      <w:r w:rsidR="00A228DC">
        <w:rPr>
          <w:rFonts w:ascii="Tw Cen MT" w:hAnsi="Tw Cen MT"/>
          <w:sz w:val="24"/>
          <w:szCs w:val="24"/>
        </w:rPr>
        <w:t xml:space="preserve"> mGy</w:t>
      </w:r>
      <w:r w:rsidR="007065CC" w:rsidRPr="000664F0">
        <w:rPr>
          <w:rFonts w:ascii="Tw Cen MT" w:hAnsi="Tw Cen MT"/>
          <w:sz w:val="24"/>
          <w:szCs w:val="24"/>
        </w:rPr>
        <w:t xml:space="preserve">. </w:t>
      </w:r>
    </w:p>
    <w:p w14:paraId="6DA05339" w14:textId="654E61A4" w:rsidR="007065CC" w:rsidRDefault="007065CC" w:rsidP="00AF291F">
      <w:pPr>
        <w:pStyle w:val="ListParagraph"/>
        <w:adjustRightInd w:val="0"/>
        <w:spacing w:line="240" w:lineRule="auto"/>
        <w:ind w:left="0"/>
        <w:jc w:val="both"/>
        <w:rPr>
          <w:rFonts w:ascii="Tw Cen MT" w:hAnsi="Tw Cen MT"/>
          <w:sz w:val="24"/>
          <w:szCs w:val="24"/>
        </w:rPr>
      </w:pPr>
      <w:r w:rsidRPr="00227851">
        <w:rPr>
          <w:rFonts w:ascii="Tw Cen MT" w:hAnsi="Tw Cen MT"/>
          <w:sz w:val="24"/>
          <w:szCs w:val="24"/>
        </w:rPr>
        <w:t>Tidak t</w:t>
      </w:r>
      <w:r w:rsidR="00EC229D" w:rsidRPr="00227851">
        <w:rPr>
          <w:rFonts w:ascii="Tw Cen MT" w:hAnsi="Tw Cen MT"/>
          <w:sz w:val="24"/>
          <w:szCs w:val="24"/>
        </w:rPr>
        <w:t xml:space="preserve">erlihat </w:t>
      </w:r>
      <w:r w:rsidRPr="00227851">
        <w:rPr>
          <w:rFonts w:ascii="Tw Cen MT" w:hAnsi="Tw Cen MT"/>
          <w:sz w:val="24"/>
          <w:szCs w:val="24"/>
        </w:rPr>
        <w:t xml:space="preserve"> adanya </w:t>
      </w:r>
      <w:r w:rsidRPr="00227851">
        <w:rPr>
          <w:rFonts w:ascii="Tw Cen MT" w:hAnsi="Tw Cen MT"/>
          <w:i/>
          <w:sz w:val="24"/>
          <w:szCs w:val="24"/>
        </w:rPr>
        <w:t>outlier</w:t>
      </w:r>
      <w:r w:rsidRPr="00227851">
        <w:rPr>
          <w:rFonts w:ascii="Tw Cen MT" w:hAnsi="Tw Cen MT"/>
          <w:sz w:val="24"/>
          <w:szCs w:val="24"/>
        </w:rPr>
        <w:t xml:space="preserve"> yang melewati </w:t>
      </w:r>
      <w:r w:rsidRPr="00227851">
        <w:rPr>
          <w:rFonts w:ascii="Tw Cen MT" w:hAnsi="Tw Cen MT"/>
          <w:i/>
          <w:sz w:val="24"/>
          <w:szCs w:val="24"/>
        </w:rPr>
        <w:t>whisker</w:t>
      </w:r>
      <w:r w:rsidRPr="00227851">
        <w:rPr>
          <w:rFonts w:ascii="Tw Cen MT" w:hAnsi="Tw Cen MT"/>
          <w:sz w:val="24"/>
          <w:szCs w:val="24"/>
        </w:rPr>
        <w:t>, sehingga bisa disimpulkan bahwa data sebaran nilai SSDE ini masih normal atau tidak ada data ektrem.</w:t>
      </w:r>
    </w:p>
    <w:p w14:paraId="0E298F9D" w14:textId="7F0CA69F" w:rsidR="000664F0" w:rsidRPr="00227851" w:rsidRDefault="00DA198D" w:rsidP="00AF291F">
      <w:pPr>
        <w:pStyle w:val="ListParagraph"/>
        <w:adjustRightInd w:val="0"/>
        <w:spacing w:line="240" w:lineRule="auto"/>
        <w:ind w:left="0"/>
        <w:jc w:val="both"/>
        <w:rPr>
          <w:rFonts w:ascii="Tw Cen MT" w:hAnsi="Tw Cen MT"/>
          <w:sz w:val="24"/>
          <w:szCs w:val="24"/>
        </w:rPr>
      </w:pPr>
      <w:r>
        <w:rPr>
          <w:rFonts w:ascii="Tw Cen MT" w:hAnsi="Tw Cen MT"/>
          <w:sz w:val="24"/>
          <w:szCs w:val="24"/>
        </w:rPr>
        <w:t xml:space="preserve">Berikut ini ditunjukan </w:t>
      </w:r>
      <w:r w:rsidR="00F35A84">
        <w:rPr>
          <w:rFonts w:ascii="Tw Cen MT" w:hAnsi="Tw Cen MT"/>
          <w:sz w:val="24"/>
          <w:szCs w:val="24"/>
        </w:rPr>
        <w:t>g</w:t>
      </w:r>
      <w:r w:rsidR="00A228DC">
        <w:rPr>
          <w:rFonts w:ascii="Tw Cen MT" w:hAnsi="Tw Cen MT"/>
          <w:sz w:val="24"/>
          <w:szCs w:val="24"/>
        </w:rPr>
        <w:t>ambar 4</w:t>
      </w:r>
      <w:r>
        <w:rPr>
          <w:rFonts w:ascii="Tw Cen MT" w:hAnsi="Tw Cen MT"/>
          <w:sz w:val="24"/>
          <w:szCs w:val="24"/>
        </w:rPr>
        <w:t>. yang menunjukan nilai DRL dari kategori DLP atau DLPc</w:t>
      </w:r>
    </w:p>
    <w:p w14:paraId="188A5056" w14:textId="1952AFD6" w:rsidR="00CE7579" w:rsidRPr="00A228DC" w:rsidRDefault="00A228DC" w:rsidP="00A228DC">
      <w:pPr>
        <w:pStyle w:val="BodyText"/>
        <w:jc w:val="both"/>
        <w:rPr>
          <w:rFonts w:ascii="Tw Cen MT" w:hAnsi="Tw Cen MT"/>
        </w:rPr>
      </w:pPr>
      <w:r>
        <w:rPr>
          <w:rFonts w:ascii="Tw Cen MT" w:hAnsi="Tw Cen MT"/>
        </w:rPr>
        <w:t xml:space="preserve">    </w:t>
      </w:r>
    </w:p>
    <w:p w14:paraId="46D3BDBA" w14:textId="442258E5" w:rsidR="00A54D02" w:rsidRPr="00227851" w:rsidRDefault="00A54D02" w:rsidP="00EE2944">
      <w:pPr>
        <w:spacing w:after="0" w:line="240" w:lineRule="auto"/>
        <w:jc w:val="center"/>
        <w:rPr>
          <w:rFonts w:ascii="Tw Cen MT" w:eastAsia="Twentieth Century" w:hAnsi="Tw Cen MT" w:cs="Twentieth Century"/>
          <w:b/>
          <w:sz w:val="24"/>
          <w:szCs w:val="24"/>
        </w:rPr>
      </w:pPr>
      <w:commentRangeStart w:id="13"/>
      <w:r w:rsidRPr="00227851">
        <w:rPr>
          <w:rFonts w:ascii="Tw Cen MT" w:hAnsi="Tw Cen MT"/>
          <w:noProof/>
          <w:sz w:val="24"/>
          <w:szCs w:val="24"/>
        </w:rPr>
        <w:drawing>
          <wp:inline distT="0" distB="0" distL="0" distR="0" wp14:anchorId="74B92F3E" wp14:editId="4BEB7290">
            <wp:extent cx="2609850" cy="15525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9850" cy="1552575"/>
                    </a:xfrm>
                    <a:prstGeom prst="rect">
                      <a:avLst/>
                    </a:prstGeom>
                    <a:noFill/>
                    <a:ln>
                      <a:noFill/>
                    </a:ln>
                  </pic:spPr>
                </pic:pic>
              </a:graphicData>
            </a:graphic>
          </wp:inline>
        </w:drawing>
      </w:r>
    </w:p>
    <w:p w14:paraId="7C04C4BD" w14:textId="77777777" w:rsidR="00F41FB3" w:rsidRPr="00227851" w:rsidRDefault="00F41FB3" w:rsidP="00AF291F">
      <w:pPr>
        <w:pStyle w:val="Heading1"/>
        <w:spacing w:before="0" w:line="240" w:lineRule="auto"/>
        <w:ind w:left="284" w:hanging="284"/>
        <w:jc w:val="center"/>
        <w:rPr>
          <w:rFonts w:ascii="Tw Cen MT" w:hAnsi="Tw Cen MT"/>
          <w:b w:val="0"/>
          <w:sz w:val="22"/>
          <w:szCs w:val="22"/>
        </w:rPr>
      </w:pPr>
      <w:r w:rsidRPr="00AF291F">
        <w:rPr>
          <w:rFonts w:ascii="Tw Cen MT" w:hAnsi="Tw Cen MT"/>
          <w:b w:val="0"/>
          <w:bCs/>
          <w:sz w:val="22"/>
          <w:szCs w:val="22"/>
        </w:rPr>
        <w:t>Gambar 4.</w:t>
      </w:r>
      <w:r w:rsidRPr="00227851">
        <w:rPr>
          <w:rFonts w:ascii="Tw Cen MT" w:hAnsi="Tw Cen MT"/>
          <w:b w:val="0"/>
          <w:sz w:val="22"/>
          <w:szCs w:val="22"/>
        </w:rPr>
        <w:t xml:space="preserve"> Diagram Box plot dan Whisker nilai DLPc</w:t>
      </w:r>
      <w:commentRangeEnd w:id="13"/>
      <w:r w:rsidR="00302045">
        <w:rPr>
          <w:rStyle w:val="CommentReference"/>
          <w:b w:val="0"/>
        </w:rPr>
        <w:commentReference w:id="13"/>
      </w:r>
    </w:p>
    <w:p w14:paraId="55F172FD" w14:textId="77777777" w:rsidR="00CE7579" w:rsidRPr="00227851" w:rsidRDefault="00CE7579" w:rsidP="00227851">
      <w:pPr>
        <w:spacing w:after="0" w:line="240" w:lineRule="auto"/>
        <w:jc w:val="both"/>
        <w:rPr>
          <w:rFonts w:ascii="Tw Cen MT" w:eastAsia="Twentieth Century" w:hAnsi="Tw Cen MT" w:cs="Twentieth Century"/>
          <w:b/>
          <w:sz w:val="24"/>
          <w:szCs w:val="24"/>
        </w:rPr>
      </w:pPr>
    </w:p>
    <w:p w14:paraId="7056DE85" w14:textId="47CFB652" w:rsidR="00A228DC" w:rsidRPr="00227851" w:rsidRDefault="00F35A84" w:rsidP="00AF291F">
      <w:pPr>
        <w:spacing w:after="0" w:line="240" w:lineRule="auto"/>
        <w:jc w:val="both"/>
        <w:rPr>
          <w:rFonts w:ascii="Tw Cen MT" w:hAnsi="Tw Cen MT"/>
          <w:sz w:val="24"/>
          <w:szCs w:val="24"/>
        </w:rPr>
      </w:pPr>
      <w:r>
        <w:rPr>
          <w:rFonts w:ascii="Tw Cen MT" w:hAnsi="Tw Cen MT"/>
          <w:sz w:val="24"/>
          <w:szCs w:val="24"/>
        </w:rPr>
        <w:t>Berdasarkan g</w:t>
      </w:r>
      <w:r w:rsidR="00A228DC">
        <w:rPr>
          <w:rFonts w:ascii="Tw Cen MT" w:hAnsi="Tw Cen MT"/>
          <w:sz w:val="24"/>
          <w:szCs w:val="24"/>
        </w:rPr>
        <w:t>ambar 4</w:t>
      </w:r>
      <w:r w:rsidR="00A228DC" w:rsidRPr="000664F0">
        <w:rPr>
          <w:rFonts w:ascii="Tw Cen MT" w:hAnsi="Tw Cen MT"/>
          <w:sz w:val="24"/>
          <w:szCs w:val="24"/>
        </w:rPr>
        <w:t xml:space="preserve">. diperoleh sebaran data dari nilai </w:t>
      </w:r>
      <w:r w:rsidR="00A228DC">
        <w:rPr>
          <w:rFonts w:ascii="Tw Cen MT" w:hAnsi="Tw Cen MT"/>
          <w:sz w:val="24"/>
          <w:szCs w:val="24"/>
        </w:rPr>
        <w:t xml:space="preserve">DLPc. Dimana, nilai persentil </w:t>
      </w:r>
      <w:r w:rsidR="00A228DC" w:rsidRPr="000664F0">
        <w:rPr>
          <w:rFonts w:ascii="Tw Cen MT" w:hAnsi="Tw Cen MT"/>
          <w:sz w:val="24"/>
          <w:szCs w:val="24"/>
        </w:rPr>
        <w:t xml:space="preserve">50 pada pengukuran manual adalah sebesar </w:t>
      </w:r>
      <w:r w:rsidR="00A228DC" w:rsidRPr="00227851">
        <w:rPr>
          <w:rFonts w:ascii="Tw Cen MT" w:hAnsi="Tw Cen MT"/>
          <w:color w:val="010205"/>
          <w:sz w:val="24"/>
          <w:szCs w:val="24"/>
        </w:rPr>
        <w:t xml:space="preserve">1492,86 </w:t>
      </w:r>
      <w:r w:rsidR="00A228DC" w:rsidRPr="00227851">
        <w:rPr>
          <w:rFonts w:ascii="Tw Cen MT" w:hAnsi="Tw Cen MT"/>
          <w:sz w:val="24"/>
          <w:szCs w:val="24"/>
        </w:rPr>
        <w:t>mGy.cm</w:t>
      </w:r>
      <w:r w:rsidR="00A228DC" w:rsidRPr="000664F0">
        <w:rPr>
          <w:rFonts w:ascii="Tw Cen MT" w:hAnsi="Tw Cen MT"/>
          <w:sz w:val="24"/>
          <w:szCs w:val="24"/>
        </w:rPr>
        <w:t>. Sedangk</w:t>
      </w:r>
      <w:r w:rsidR="00D87200">
        <w:rPr>
          <w:rFonts w:ascii="Tw Cen MT" w:hAnsi="Tw Cen MT"/>
          <w:sz w:val="24"/>
          <w:szCs w:val="24"/>
        </w:rPr>
        <w:t>an pada pengukuran menggunakan i</w:t>
      </w:r>
      <w:r w:rsidR="00A228DC" w:rsidRPr="000664F0">
        <w:rPr>
          <w:rFonts w:ascii="Tw Cen MT" w:hAnsi="Tw Cen MT"/>
          <w:sz w:val="24"/>
          <w:szCs w:val="24"/>
        </w:rPr>
        <w:t xml:space="preserve">ndoseCT v20.b adalah </w:t>
      </w:r>
      <w:r w:rsidR="00A228DC" w:rsidRPr="00227851">
        <w:rPr>
          <w:rFonts w:ascii="Tw Cen MT" w:hAnsi="Tw Cen MT"/>
          <w:color w:val="010205"/>
          <w:sz w:val="24"/>
          <w:szCs w:val="24"/>
        </w:rPr>
        <w:t xml:space="preserve">1551,56 </w:t>
      </w:r>
      <w:r w:rsidR="00A228DC" w:rsidRPr="00227851">
        <w:rPr>
          <w:rFonts w:ascii="Tw Cen MT" w:hAnsi="Tw Cen MT"/>
          <w:sz w:val="24"/>
          <w:szCs w:val="24"/>
        </w:rPr>
        <w:t>mGy.cm</w:t>
      </w:r>
      <w:r w:rsidR="00A228DC" w:rsidRPr="000664F0">
        <w:rPr>
          <w:rFonts w:ascii="Tw Cen MT" w:hAnsi="Tw Cen MT"/>
          <w:sz w:val="24"/>
          <w:szCs w:val="24"/>
        </w:rPr>
        <w:t xml:space="preserve">. </w:t>
      </w:r>
    </w:p>
    <w:p w14:paraId="5139CE17" w14:textId="3938F1CB" w:rsidR="00A228DC" w:rsidRDefault="00F35A84" w:rsidP="00AF291F">
      <w:pPr>
        <w:pStyle w:val="ListParagraph"/>
        <w:adjustRightInd w:val="0"/>
        <w:spacing w:line="240" w:lineRule="auto"/>
        <w:ind w:left="0"/>
        <w:jc w:val="both"/>
        <w:rPr>
          <w:rFonts w:ascii="Tw Cen MT" w:hAnsi="Tw Cen MT"/>
          <w:sz w:val="24"/>
          <w:szCs w:val="24"/>
        </w:rPr>
      </w:pPr>
      <w:r>
        <w:rPr>
          <w:rFonts w:ascii="Tw Cen MT" w:hAnsi="Tw Cen MT"/>
          <w:sz w:val="24"/>
          <w:szCs w:val="24"/>
        </w:rPr>
        <w:t>Sama seperti g</w:t>
      </w:r>
      <w:r w:rsidR="00A228DC">
        <w:rPr>
          <w:rFonts w:ascii="Tw Cen MT" w:hAnsi="Tw Cen MT"/>
          <w:sz w:val="24"/>
          <w:szCs w:val="24"/>
        </w:rPr>
        <w:t>ambar 3</w:t>
      </w:r>
      <w:r w:rsidR="00A228DC" w:rsidRPr="00227851">
        <w:rPr>
          <w:rFonts w:ascii="Tw Cen MT" w:hAnsi="Tw Cen MT"/>
          <w:sz w:val="24"/>
          <w:szCs w:val="24"/>
        </w:rPr>
        <w:t xml:space="preserve">, data sebaran nilai DLPc juga tidak terdapat adanya </w:t>
      </w:r>
      <w:r w:rsidR="00A228DC" w:rsidRPr="00227851">
        <w:rPr>
          <w:rFonts w:ascii="Tw Cen MT" w:hAnsi="Tw Cen MT"/>
          <w:i/>
          <w:sz w:val="24"/>
          <w:szCs w:val="24"/>
        </w:rPr>
        <w:t>outlier</w:t>
      </w:r>
      <w:r w:rsidR="00A228DC" w:rsidRPr="00227851">
        <w:rPr>
          <w:rFonts w:ascii="Tw Cen MT" w:hAnsi="Tw Cen MT"/>
          <w:sz w:val="24"/>
          <w:szCs w:val="24"/>
        </w:rPr>
        <w:t xml:space="preserve"> yang melewati </w:t>
      </w:r>
      <w:r w:rsidR="00A228DC" w:rsidRPr="00227851">
        <w:rPr>
          <w:rFonts w:ascii="Tw Cen MT" w:hAnsi="Tw Cen MT"/>
          <w:i/>
          <w:sz w:val="24"/>
          <w:szCs w:val="24"/>
        </w:rPr>
        <w:t>whisker</w:t>
      </w:r>
      <w:r w:rsidR="00A228DC" w:rsidRPr="00227851">
        <w:rPr>
          <w:rFonts w:ascii="Tw Cen MT" w:hAnsi="Tw Cen MT"/>
          <w:sz w:val="24"/>
          <w:szCs w:val="24"/>
        </w:rPr>
        <w:t>, sehingga bisa disimpulkan bahwa ini masih normal atau tidak ada data ektrem.</w:t>
      </w:r>
    </w:p>
    <w:p w14:paraId="1C02FE3D" w14:textId="6D71133E" w:rsidR="00DA198D" w:rsidRDefault="00EC229D" w:rsidP="00FD3D94">
      <w:pPr>
        <w:pStyle w:val="ListParagraph"/>
        <w:adjustRightInd w:val="0"/>
        <w:spacing w:line="240" w:lineRule="auto"/>
        <w:ind w:left="0"/>
        <w:jc w:val="both"/>
        <w:rPr>
          <w:rFonts w:ascii="Tw Cen MT" w:hAnsi="Tw Cen MT"/>
          <w:sz w:val="24"/>
          <w:szCs w:val="24"/>
        </w:rPr>
      </w:pPr>
      <w:r w:rsidRPr="00227851">
        <w:rPr>
          <w:rFonts w:ascii="Tw Cen MT" w:hAnsi="Tw Cen MT"/>
          <w:sz w:val="24"/>
          <w:szCs w:val="24"/>
        </w:rPr>
        <w:t xml:space="preserve">Berdasarkan </w:t>
      </w:r>
      <w:r w:rsidR="00F35A84">
        <w:rPr>
          <w:rFonts w:ascii="Tw Cen MT" w:hAnsi="Tw Cen MT"/>
          <w:sz w:val="24"/>
          <w:szCs w:val="24"/>
        </w:rPr>
        <w:t>g</w:t>
      </w:r>
      <w:r w:rsidR="00A228DC">
        <w:rPr>
          <w:rFonts w:ascii="Tw Cen MT" w:hAnsi="Tw Cen MT"/>
          <w:sz w:val="24"/>
          <w:szCs w:val="24"/>
        </w:rPr>
        <w:t>ambar 3</w:t>
      </w:r>
      <w:r w:rsidR="00DA198D">
        <w:rPr>
          <w:rFonts w:ascii="Tw Cen MT" w:hAnsi="Tw Cen MT"/>
          <w:sz w:val="24"/>
          <w:szCs w:val="24"/>
        </w:rPr>
        <w:t xml:space="preserve"> dan </w:t>
      </w:r>
      <w:r w:rsidR="00F35A84">
        <w:rPr>
          <w:rFonts w:ascii="Tw Cen MT" w:hAnsi="Tw Cen MT"/>
          <w:sz w:val="24"/>
          <w:szCs w:val="24"/>
        </w:rPr>
        <w:t>g</w:t>
      </w:r>
      <w:r w:rsidR="00A228DC">
        <w:rPr>
          <w:rFonts w:ascii="Tw Cen MT" w:hAnsi="Tw Cen MT"/>
          <w:sz w:val="24"/>
          <w:szCs w:val="24"/>
        </w:rPr>
        <w:t>ambar 4</w:t>
      </w:r>
      <w:r w:rsidRPr="00227851">
        <w:rPr>
          <w:rFonts w:ascii="Tw Cen MT" w:hAnsi="Tw Cen MT"/>
          <w:sz w:val="24"/>
          <w:szCs w:val="24"/>
        </w:rPr>
        <w:t xml:space="preserve">. Nilai </w:t>
      </w:r>
      <w:r w:rsidR="00D87200" w:rsidRPr="00227851">
        <w:rPr>
          <w:rFonts w:ascii="Tw Cen MT" w:hAnsi="Tw Cen MT"/>
          <w:i/>
          <w:sz w:val="24"/>
          <w:szCs w:val="24"/>
        </w:rPr>
        <w:t>diagnostic reference level</w:t>
      </w:r>
      <w:r w:rsidR="00D87200" w:rsidRPr="00227851">
        <w:rPr>
          <w:rFonts w:ascii="Tw Cen MT" w:hAnsi="Tw Cen MT"/>
          <w:sz w:val="24"/>
          <w:szCs w:val="24"/>
        </w:rPr>
        <w:t xml:space="preserve"> </w:t>
      </w:r>
      <w:r w:rsidR="00DE0B98">
        <w:rPr>
          <w:rFonts w:ascii="Tw Cen MT" w:hAnsi="Tw Cen MT"/>
          <w:sz w:val="24"/>
          <w:szCs w:val="24"/>
        </w:rPr>
        <w:t>(</w:t>
      </w:r>
      <w:r w:rsidRPr="00227851">
        <w:rPr>
          <w:rFonts w:ascii="Tw Cen MT" w:hAnsi="Tw Cen MT"/>
          <w:sz w:val="24"/>
          <w:szCs w:val="24"/>
        </w:rPr>
        <w:t>DRL</w:t>
      </w:r>
      <w:r w:rsidR="00DE0B98">
        <w:rPr>
          <w:rFonts w:ascii="Tw Cen MT" w:hAnsi="Tw Cen MT"/>
          <w:sz w:val="24"/>
          <w:szCs w:val="24"/>
        </w:rPr>
        <w:t>)</w:t>
      </w:r>
      <w:r w:rsidRPr="00227851">
        <w:rPr>
          <w:rFonts w:ascii="Tw Cen MT" w:hAnsi="Tw Cen MT"/>
          <w:sz w:val="24"/>
          <w:szCs w:val="24"/>
        </w:rPr>
        <w:t xml:space="preserve"> berdasarkan </w:t>
      </w:r>
      <w:r w:rsidR="00D87200" w:rsidRPr="00FD3D94">
        <w:rPr>
          <w:rFonts w:ascii="Tw Cen MT" w:hAnsi="Tw Cen MT"/>
          <w:i/>
          <w:sz w:val="24"/>
          <w:szCs w:val="24"/>
        </w:rPr>
        <w:t>size specific dose estimate</w:t>
      </w:r>
      <w:r w:rsidR="00D87200" w:rsidRPr="00227851">
        <w:rPr>
          <w:rFonts w:ascii="Tw Cen MT" w:hAnsi="Tw Cen MT"/>
          <w:sz w:val="24"/>
          <w:szCs w:val="24"/>
        </w:rPr>
        <w:t xml:space="preserve"> </w:t>
      </w:r>
      <w:r w:rsidRPr="00227851">
        <w:rPr>
          <w:rFonts w:ascii="Tw Cen MT" w:hAnsi="Tw Cen MT"/>
          <w:sz w:val="24"/>
          <w:szCs w:val="24"/>
        </w:rPr>
        <w:t xml:space="preserve">(SSDE) pengukuran manual  adalah sebesar 59,62 mGy dan pada pengukuran </w:t>
      </w:r>
      <w:r w:rsidRPr="00227851">
        <w:rPr>
          <w:rFonts w:ascii="Tw Cen MT" w:hAnsi="Tw Cen MT"/>
          <w:i/>
          <w:sz w:val="24"/>
          <w:szCs w:val="24"/>
        </w:rPr>
        <w:t>software</w:t>
      </w:r>
      <w:r w:rsidRPr="00227851">
        <w:rPr>
          <w:rFonts w:ascii="Tw Cen MT" w:hAnsi="Tw Cen MT"/>
          <w:sz w:val="24"/>
          <w:szCs w:val="24"/>
        </w:rPr>
        <w:t xml:space="preserve"> </w:t>
      </w:r>
      <w:r w:rsidRPr="00227851">
        <w:rPr>
          <w:rFonts w:ascii="Tw Cen MT" w:eastAsiaTheme="minorHAnsi" w:hAnsi="Tw Cen MT"/>
          <w:sz w:val="24"/>
          <w:szCs w:val="24"/>
        </w:rPr>
        <w:t>IndoseCT v20.b</w:t>
      </w:r>
      <w:r w:rsidRPr="00227851">
        <w:rPr>
          <w:rFonts w:ascii="Tw Cen MT" w:hAnsi="Tw Cen MT"/>
          <w:sz w:val="24"/>
          <w:szCs w:val="24"/>
        </w:rPr>
        <w:t xml:space="preserve">  adalah sebesar 66,65 mGy. Sedangkan nilai </w:t>
      </w:r>
      <w:r w:rsidR="00D87200" w:rsidRPr="00227851">
        <w:rPr>
          <w:rFonts w:ascii="Tw Cen MT" w:hAnsi="Tw Cen MT"/>
          <w:i/>
          <w:sz w:val="24"/>
          <w:szCs w:val="24"/>
        </w:rPr>
        <w:t>diagnostic reference level</w:t>
      </w:r>
      <w:r w:rsidRPr="00227851">
        <w:rPr>
          <w:rFonts w:ascii="Tw Cen MT" w:hAnsi="Tw Cen MT"/>
          <w:sz w:val="24"/>
          <w:szCs w:val="24"/>
        </w:rPr>
        <w:t xml:space="preserve"> kategori DLPc pengukuran manual  adalah sebesar </w:t>
      </w:r>
      <w:r w:rsidRPr="00227851">
        <w:rPr>
          <w:rFonts w:ascii="Tw Cen MT" w:hAnsi="Tw Cen MT"/>
          <w:color w:val="010205"/>
          <w:sz w:val="24"/>
          <w:szCs w:val="24"/>
        </w:rPr>
        <w:t xml:space="preserve">1492,86 </w:t>
      </w:r>
      <w:r w:rsidRPr="00227851">
        <w:rPr>
          <w:rFonts w:ascii="Tw Cen MT" w:hAnsi="Tw Cen MT"/>
          <w:sz w:val="24"/>
          <w:szCs w:val="24"/>
        </w:rPr>
        <w:t xml:space="preserve">mGy.cm dan pada pengukuran </w:t>
      </w:r>
      <w:r w:rsidRPr="00227851">
        <w:rPr>
          <w:rFonts w:ascii="Tw Cen MT" w:hAnsi="Tw Cen MT"/>
          <w:i/>
          <w:sz w:val="24"/>
          <w:szCs w:val="24"/>
        </w:rPr>
        <w:t>software</w:t>
      </w:r>
      <w:r w:rsidRPr="00227851">
        <w:rPr>
          <w:rFonts w:ascii="Tw Cen MT" w:hAnsi="Tw Cen MT"/>
          <w:sz w:val="24"/>
          <w:szCs w:val="24"/>
        </w:rPr>
        <w:t xml:space="preserve"> </w:t>
      </w:r>
      <w:r w:rsidR="00D87200">
        <w:rPr>
          <w:rFonts w:ascii="Tw Cen MT" w:eastAsiaTheme="minorHAnsi" w:hAnsi="Tw Cen MT"/>
          <w:sz w:val="24"/>
          <w:szCs w:val="24"/>
        </w:rPr>
        <w:t>i</w:t>
      </w:r>
      <w:r w:rsidRPr="00227851">
        <w:rPr>
          <w:rFonts w:ascii="Tw Cen MT" w:eastAsiaTheme="minorHAnsi" w:hAnsi="Tw Cen MT"/>
          <w:sz w:val="24"/>
          <w:szCs w:val="24"/>
        </w:rPr>
        <w:t>ndoseCT v20.b</w:t>
      </w:r>
      <w:r w:rsidRPr="00227851">
        <w:rPr>
          <w:rFonts w:ascii="Tw Cen MT" w:hAnsi="Tw Cen MT"/>
          <w:sz w:val="24"/>
          <w:szCs w:val="24"/>
        </w:rPr>
        <w:t xml:space="preserve">  adalah sebesar </w:t>
      </w:r>
      <w:r w:rsidRPr="00227851">
        <w:rPr>
          <w:rFonts w:ascii="Tw Cen MT" w:hAnsi="Tw Cen MT"/>
          <w:color w:val="010205"/>
          <w:sz w:val="24"/>
          <w:szCs w:val="24"/>
        </w:rPr>
        <w:t xml:space="preserve">1551,56 </w:t>
      </w:r>
      <w:r w:rsidRPr="00227851">
        <w:rPr>
          <w:rFonts w:ascii="Tw Cen MT" w:hAnsi="Tw Cen MT"/>
          <w:sz w:val="24"/>
          <w:szCs w:val="24"/>
        </w:rPr>
        <w:t xml:space="preserve">mGy.cm. Sehingga bisa disimpulkan tidak ada perbedaan yang signifikan nilai </w:t>
      </w:r>
      <w:r w:rsidR="00D87200" w:rsidRPr="00227851">
        <w:rPr>
          <w:rFonts w:ascii="Tw Cen MT" w:hAnsi="Tw Cen MT"/>
          <w:i/>
          <w:sz w:val="24"/>
          <w:szCs w:val="24"/>
        </w:rPr>
        <w:t>diagnostic reference level</w:t>
      </w:r>
      <w:r w:rsidR="00D87200" w:rsidRPr="00227851">
        <w:rPr>
          <w:rFonts w:ascii="Tw Cen MT" w:hAnsi="Tw Cen MT"/>
          <w:sz w:val="24"/>
          <w:szCs w:val="24"/>
        </w:rPr>
        <w:t xml:space="preserve"> </w:t>
      </w:r>
      <w:r w:rsidRPr="00227851">
        <w:rPr>
          <w:rFonts w:ascii="Tw Cen MT" w:hAnsi="Tw Cen MT"/>
          <w:sz w:val="24"/>
          <w:szCs w:val="24"/>
        </w:rPr>
        <w:t xml:space="preserve">(DRL) berdasarkan </w:t>
      </w:r>
      <w:r w:rsidR="00D87200" w:rsidRPr="00227851">
        <w:rPr>
          <w:rFonts w:ascii="Tw Cen MT" w:hAnsi="Tw Cen MT"/>
          <w:i/>
          <w:sz w:val="24"/>
          <w:szCs w:val="24"/>
        </w:rPr>
        <w:t>size specific dose estimate</w:t>
      </w:r>
      <w:r w:rsidRPr="00227851">
        <w:rPr>
          <w:rFonts w:ascii="Tw Cen MT" w:hAnsi="Tw Cen MT"/>
          <w:sz w:val="24"/>
          <w:szCs w:val="24"/>
        </w:rPr>
        <w:t xml:space="preserve"> (SSDE) pengukuran manual dan menggunakan </w:t>
      </w:r>
      <w:r w:rsidRPr="00FD3D94">
        <w:rPr>
          <w:rFonts w:ascii="Tw Cen MT" w:hAnsi="Tw Cen MT"/>
          <w:i/>
          <w:sz w:val="24"/>
          <w:szCs w:val="24"/>
        </w:rPr>
        <w:t>software</w:t>
      </w:r>
      <w:r w:rsidRPr="00227851">
        <w:rPr>
          <w:rFonts w:ascii="Tw Cen MT" w:hAnsi="Tw Cen MT"/>
          <w:sz w:val="24"/>
          <w:szCs w:val="24"/>
        </w:rPr>
        <w:t xml:space="preserve"> indosect v20.b.</w:t>
      </w:r>
      <w:r w:rsidR="00227851" w:rsidRPr="00227851">
        <w:rPr>
          <w:rFonts w:ascii="Tw Cen MT" w:hAnsi="Tw Cen MT"/>
          <w:sz w:val="24"/>
          <w:szCs w:val="24"/>
        </w:rPr>
        <w:t xml:space="preserve"> Sehingga penggunaan </w:t>
      </w:r>
      <w:r w:rsidR="00227851" w:rsidRPr="00FD3D94">
        <w:rPr>
          <w:rFonts w:ascii="Tw Cen MT" w:hAnsi="Tw Cen MT"/>
          <w:i/>
          <w:sz w:val="24"/>
          <w:szCs w:val="24"/>
        </w:rPr>
        <w:t>software</w:t>
      </w:r>
      <w:r w:rsidR="00227851" w:rsidRPr="00227851">
        <w:rPr>
          <w:rFonts w:ascii="Tw Cen MT" w:hAnsi="Tw Cen MT"/>
          <w:sz w:val="24"/>
          <w:szCs w:val="24"/>
        </w:rPr>
        <w:t xml:space="preserve"> Indosect dapat disarankan karena selain memiliki akurasi, proses pengukurannya mudah dan cepat</w:t>
      </w:r>
      <w:r w:rsidR="00DA198D">
        <w:rPr>
          <w:rFonts w:ascii="Tw Cen MT" w:hAnsi="Tw Cen MT"/>
          <w:sz w:val="24"/>
          <w:szCs w:val="24"/>
        </w:rPr>
        <w:t xml:space="preserve">. </w:t>
      </w:r>
    </w:p>
    <w:p w14:paraId="766FAD4C" w14:textId="07EF76CD" w:rsidR="00E72387" w:rsidRPr="00DA198D" w:rsidRDefault="00D46EB5" w:rsidP="00AF291F">
      <w:pPr>
        <w:pStyle w:val="ListParagraph"/>
        <w:adjustRightInd w:val="0"/>
        <w:spacing w:line="240" w:lineRule="auto"/>
        <w:ind w:left="0"/>
        <w:jc w:val="both"/>
        <w:rPr>
          <w:rFonts w:ascii="Tw Cen MT" w:hAnsi="Tw Cen MT"/>
          <w:sz w:val="24"/>
          <w:szCs w:val="24"/>
        </w:rPr>
      </w:pPr>
      <w:commentRangeStart w:id="14"/>
      <w:r w:rsidRPr="00DA198D">
        <w:rPr>
          <w:rFonts w:ascii="Tw Cen MT" w:eastAsiaTheme="minorHAnsi" w:hAnsi="Tw Cen MT"/>
          <w:sz w:val="24"/>
          <w:szCs w:val="24"/>
        </w:rPr>
        <w:t xml:space="preserve">Menurut </w:t>
      </w:r>
      <w:r w:rsidR="00212521" w:rsidRPr="00DA198D">
        <w:rPr>
          <w:rFonts w:ascii="Tw Cen MT" w:eastAsiaTheme="minorHAnsi" w:hAnsi="Tw Cen MT"/>
          <w:sz w:val="24"/>
          <w:szCs w:val="24"/>
        </w:rPr>
        <w:t>Intan Andriani</w:t>
      </w:r>
      <w:r w:rsidRPr="00DA198D">
        <w:rPr>
          <w:rFonts w:ascii="Tw Cen MT" w:eastAsiaTheme="minorHAnsi" w:hAnsi="Tw Cen MT"/>
          <w:sz w:val="24"/>
          <w:szCs w:val="24"/>
        </w:rPr>
        <w:t xml:space="preserve">, dkk. (2019) dalam penelitiannya yang berjudul </w:t>
      </w:r>
      <w:r w:rsidRPr="00DA198D">
        <w:rPr>
          <w:rFonts w:ascii="Tw Cen MT" w:eastAsiaTheme="minorHAnsi" w:hAnsi="Tw Cen MT"/>
          <w:i/>
          <w:sz w:val="24"/>
          <w:szCs w:val="24"/>
        </w:rPr>
        <w:t>“</w:t>
      </w:r>
      <w:r w:rsidR="00D87200">
        <w:rPr>
          <w:rFonts w:ascii="Tw Cen MT" w:eastAsiaTheme="minorHAnsi" w:hAnsi="Tw Cen MT"/>
          <w:i/>
          <w:sz w:val="24"/>
          <w:szCs w:val="24"/>
        </w:rPr>
        <w:t>Analysis o</w:t>
      </w:r>
      <w:r w:rsidR="00212521" w:rsidRPr="00DA198D">
        <w:rPr>
          <w:rFonts w:ascii="Tw Cen MT" w:eastAsiaTheme="minorHAnsi" w:hAnsi="Tw Cen MT"/>
          <w:i/>
          <w:sz w:val="24"/>
          <w:szCs w:val="24"/>
        </w:rPr>
        <w:t xml:space="preserve">f </w:t>
      </w:r>
      <w:r w:rsidR="00D87200">
        <w:rPr>
          <w:rFonts w:ascii="Tw Cen MT" w:eastAsiaTheme="minorHAnsi" w:hAnsi="Tw Cen MT"/>
          <w:i/>
          <w:sz w:val="24"/>
          <w:szCs w:val="24"/>
        </w:rPr>
        <w:t>The Effect o</w:t>
      </w:r>
      <w:r w:rsidR="00212521" w:rsidRPr="00DA198D">
        <w:rPr>
          <w:rFonts w:ascii="Tw Cen MT" w:eastAsiaTheme="minorHAnsi" w:hAnsi="Tw Cen MT"/>
          <w:i/>
          <w:sz w:val="24"/>
          <w:szCs w:val="24"/>
        </w:rPr>
        <w:t xml:space="preserve">f Phantom </w:t>
      </w:r>
      <w:r w:rsidRPr="00DA198D">
        <w:rPr>
          <w:rFonts w:ascii="Tw Cen MT" w:eastAsiaTheme="minorHAnsi" w:hAnsi="Tw Cen MT"/>
          <w:i/>
          <w:sz w:val="24"/>
          <w:szCs w:val="24"/>
        </w:rPr>
        <w:t xml:space="preserve">CT Scan Diameter Variations </w:t>
      </w:r>
      <w:r w:rsidR="00D87200">
        <w:rPr>
          <w:rFonts w:ascii="Tw Cen MT" w:eastAsiaTheme="minorHAnsi" w:hAnsi="Tw Cen MT"/>
          <w:i/>
          <w:sz w:val="24"/>
          <w:szCs w:val="24"/>
        </w:rPr>
        <w:t>o</w:t>
      </w:r>
      <w:r w:rsidR="00212521" w:rsidRPr="00DA198D">
        <w:rPr>
          <w:rFonts w:ascii="Tw Cen MT" w:eastAsiaTheme="minorHAnsi" w:hAnsi="Tw Cen MT"/>
          <w:i/>
          <w:sz w:val="24"/>
          <w:szCs w:val="24"/>
        </w:rPr>
        <w:t xml:space="preserve">n </w:t>
      </w:r>
      <w:r w:rsidRPr="00DA198D">
        <w:rPr>
          <w:rFonts w:ascii="Tw Cen MT" w:eastAsiaTheme="minorHAnsi" w:hAnsi="Tw Cen MT"/>
          <w:i/>
          <w:sz w:val="24"/>
          <w:szCs w:val="24"/>
        </w:rPr>
        <w:t xml:space="preserve">Radiation </w:t>
      </w:r>
      <w:r w:rsidR="00212521" w:rsidRPr="00DA198D">
        <w:rPr>
          <w:rFonts w:ascii="Tw Cen MT" w:eastAsiaTheme="minorHAnsi" w:hAnsi="Tw Cen MT"/>
          <w:i/>
          <w:sz w:val="24"/>
          <w:szCs w:val="24"/>
        </w:rPr>
        <w:t>Dose With Indosect</w:t>
      </w:r>
      <w:r w:rsidRPr="00DA198D">
        <w:rPr>
          <w:rFonts w:ascii="Tw Cen MT" w:eastAsiaTheme="minorHAnsi" w:hAnsi="Tw Cen MT"/>
          <w:sz w:val="24"/>
          <w:szCs w:val="24"/>
        </w:rPr>
        <w:t>“ mengemukakan bahwa semakin besar diameter efektif fantom maka semakin kecil SSDE</w:t>
      </w:r>
      <w:r w:rsidR="00227851" w:rsidRPr="00DA198D">
        <w:rPr>
          <w:rFonts w:ascii="Tw Cen MT" w:eastAsiaTheme="minorHAnsi" w:hAnsi="Tw Cen MT"/>
          <w:sz w:val="24"/>
          <w:szCs w:val="24"/>
        </w:rPr>
        <w:t xml:space="preserve"> dan </w:t>
      </w:r>
      <w:r w:rsidR="00D87200">
        <w:rPr>
          <w:rFonts w:ascii="Tw Cen MT" w:hAnsi="Tw Cen MT" w:cs="Arial"/>
          <w:sz w:val="25"/>
          <w:szCs w:val="25"/>
          <w:shd w:val="clear" w:color="auto" w:fill="FFFFFF"/>
        </w:rPr>
        <w:t>i</w:t>
      </w:r>
      <w:r w:rsidR="00227851" w:rsidRPr="00DA198D">
        <w:rPr>
          <w:rFonts w:ascii="Tw Cen MT" w:hAnsi="Tw Cen MT" w:cs="Arial"/>
          <w:sz w:val="25"/>
          <w:szCs w:val="25"/>
          <w:shd w:val="clear" w:color="auto" w:fill="FFFFFF"/>
        </w:rPr>
        <w:t>ndose</w:t>
      </w:r>
      <w:r w:rsidR="00D87200">
        <w:rPr>
          <w:rFonts w:ascii="Tw Cen MT" w:hAnsi="Tw Cen MT" w:cs="Arial"/>
          <w:sz w:val="24"/>
          <w:szCs w:val="24"/>
          <w:shd w:val="clear" w:color="auto" w:fill="FFFFFF"/>
        </w:rPr>
        <w:t>CT</w:t>
      </w:r>
      <w:r w:rsidR="00227851" w:rsidRPr="00DA198D">
        <w:rPr>
          <w:rFonts w:ascii="Tw Cen MT" w:hAnsi="Tw Cen MT" w:cs="Arial"/>
          <w:sz w:val="25"/>
          <w:szCs w:val="25"/>
          <w:shd w:val="clear" w:color="auto" w:fill="FFFFFF"/>
        </w:rPr>
        <w:t xml:space="preserve"> dapat digunakan untuk memperkirakan dosis pasien dengan akurasi yang cukup baik</w:t>
      </w:r>
      <w:r w:rsidR="00C863C0">
        <w:rPr>
          <w:rFonts w:ascii="Tw Cen MT" w:hAnsi="Tw Cen MT" w:cs="Arial"/>
          <w:sz w:val="25"/>
          <w:szCs w:val="25"/>
          <w:shd w:val="clear" w:color="auto" w:fill="FFFFFF"/>
        </w:rPr>
        <w:t xml:space="preserve"> </w:t>
      </w:r>
      <w:commentRangeEnd w:id="14"/>
      <w:r w:rsidR="00302045">
        <w:rPr>
          <w:rStyle w:val="CommentReference"/>
          <w:rFonts w:eastAsiaTheme="minorEastAsia" w:cs="Calibri"/>
          <w:lang w:val="en-US" w:eastAsia="en-US"/>
        </w:rPr>
        <w:commentReference w:id="14"/>
      </w:r>
      <w:r w:rsidRPr="00DA198D">
        <w:rPr>
          <w:rFonts w:ascii="Tw Cen MT" w:eastAsiaTheme="minorHAnsi" w:hAnsi="Tw Cen MT"/>
          <w:sz w:val="24"/>
          <w:szCs w:val="24"/>
        </w:rPr>
        <w:fldChar w:fldCharType="begin" w:fldLock="1"/>
      </w:r>
      <w:r w:rsidR="00A46751">
        <w:rPr>
          <w:rFonts w:ascii="Tw Cen MT" w:eastAsiaTheme="minorHAnsi" w:hAnsi="Tw Cen MT"/>
          <w:sz w:val="24"/>
          <w:szCs w:val="24"/>
        </w:rPr>
        <w:instrText>ADDIN CSL_CITATION {"citationItems":[{"id":"ITEM-1","itemData":{"author":[{"dropping-particle":"","family":"Andriani","given":"Intan","non-dropping-particle":"","parse-names":false,"suffix":""},{"dropping-particle":"","family":"Budi","given":"Wahyu Setia","non-dropping-particle":"","parse-names":false,"suffix":""},{"dropping-particle":"","family":"Sutanto","given":"Heri","non-dropping-particle":"","parse-names":false,"suffix":""},{"dropping-particle":"","family":"Anam","given":"Choirul","non-dropping-particle":"","parse-names":false,"suffix":""}],"id":"ITEM-1","issue":"1","issued":{"date-parts":[["2019"]]},"page":"21-27","title":"I nternational J ournal of A llied M edical S ciences and C linical R esearch ( IJAMSCR ) Analysis of the Effect of Phantom CT Scan Diameter Variations on Radiation Dose with IndoseCT","type":"article-journal","volume":"7"},"uris":["http://www.mendeley.com/documents/?uuid=d24c0fd4-5e97-47dd-b5ad-f526f863a174"]}],"mendeley":{"formattedCitation":"[13]","plainTextFormattedCitation":"[13]","previouslyFormattedCitation":"[13]"},"properties":{"noteIndex":0},"schema":"https://github.com/citation-style-language/schema/raw/master/csl-citation.json"}</w:instrText>
      </w:r>
      <w:r w:rsidRPr="00DA198D">
        <w:rPr>
          <w:rFonts w:ascii="Tw Cen MT" w:eastAsiaTheme="minorHAnsi" w:hAnsi="Tw Cen MT"/>
          <w:sz w:val="24"/>
          <w:szCs w:val="24"/>
        </w:rPr>
        <w:fldChar w:fldCharType="separate"/>
      </w:r>
      <w:r w:rsidR="00EC229D" w:rsidRPr="00DA198D">
        <w:rPr>
          <w:rFonts w:ascii="Tw Cen MT" w:eastAsiaTheme="minorHAnsi" w:hAnsi="Tw Cen MT"/>
          <w:noProof/>
          <w:sz w:val="24"/>
          <w:szCs w:val="24"/>
        </w:rPr>
        <w:t>[13]</w:t>
      </w:r>
      <w:r w:rsidRPr="00DA198D">
        <w:rPr>
          <w:rFonts w:ascii="Tw Cen MT" w:eastAsiaTheme="minorHAnsi" w:hAnsi="Tw Cen MT"/>
          <w:sz w:val="24"/>
          <w:szCs w:val="24"/>
        </w:rPr>
        <w:fldChar w:fldCharType="end"/>
      </w:r>
      <w:r w:rsidR="00C863C0">
        <w:rPr>
          <w:rFonts w:ascii="Tw Cen MT" w:eastAsiaTheme="minorHAnsi" w:hAnsi="Tw Cen MT"/>
          <w:sz w:val="24"/>
          <w:szCs w:val="24"/>
        </w:rPr>
        <w:t>.</w:t>
      </w:r>
    </w:p>
    <w:p w14:paraId="093D6C66" w14:textId="77777777" w:rsidR="007106F6" w:rsidRPr="00227851" w:rsidRDefault="007106F6" w:rsidP="00227851">
      <w:pPr>
        <w:spacing w:after="0" w:line="240" w:lineRule="auto"/>
        <w:jc w:val="both"/>
        <w:rPr>
          <w:rFonts w:ascii="Tw Cen MT" w:eastAsia="Twentieth Century" w:hAnsi="Tw Cen MT" w:cs="Twentieth Century"/>
        </w:rPr>
      </w:pPr>
      <w:r w:rsidRPr="00227851">
        <w:rPr>
          <w:rFonts w:ascii="Tw Cen MT" w:eastAsia="Twentieth Century" w:hAnsi="Tw Cen MT" w:cs="Twentieth Century"/>
          <w:b/>
          <w:sz w:val="24"/>
          <w:szCs w:val="24"/>
        </w:rPr>
        <w:t>SIMPULAN</w:t>
      </w:r>
    </w:p>
    <w:p w14:paraId="5475E45D" w14:textId="60C94315" w:rsidR="00776383" w:rsidRPr="00227851" w:rsidRDefault="00776383" w:rsidP="00FE0E26">
      <w:pPr>
        <w:pStyle w:val="ListParagraph"/>
        <w:widowControl w:val="0"/>
        <w:autoSpaceDE w:val="0"/>
        <w:autoSpaceDN w:val="0"/>
        <w:spacing w:before="1" w:after="0" w:line="240" w:lineRule="auto"/>
        <w:ind w:left="0"/>
        <w:contextualSpacing w:val="0"/>
        <w:jc w:val="both"/>
        <w:rPr>
          <w:rFonts w:ascii="Tw Cen MT" w:hAnsi="Tw Cen MT"/>
          <w:sz w:val="24"/>
          <w:szCs w:val="24"/>
        </w:rPr>
      </w:pPr>
      <w:r w:rsidRPr="00227851">
        <w:rPr>
          <w:rFonts w:ascii="Tw Cen MT" w:hAnsi="Tw Cen MT"/>
          <w:sz w:val="24"/>
          <w:szCs w:val="24"/>
        </w:rPr>
        <w:t xml:space="preserve">Pada Rumah Sakit Santo Borromeus Bandung didapatkan </w:t>
      </w:r>
      <w:r w:rsidR="00D87200" w:rsidRPr="00227851">
        <w:rPr>
          <w:rFonts w:ascii="Tw Cen MT" w:hAnsi="Tw Cen MT"/>
          <w:sz w:val="24"/>
          <w:szCs w:val="24"/>
        </w:rPr>
        <w:t>nilai</w:t>
      </w:r>
      <w:r w:rsidR="00D87200">
        <w:rPr>
          <w:rFonts w:ascii="Tw Cen MT" w:hAnsi="Tw Cen MT"/>
          <w:spacing w:val="1"/>
          <w:sz w:val="24"/>
          <w:szCs w:val="24"/>
        </w:rPr>
        <w:t xml:space="preserve"> </w:t>
      </w:r>
      <w:r w:rsidR="00D87200" w:rsidRPr="00227851">
        <w:rPr>
          <w:rFonts w:ascii="Tw Cen MT" w:hAnsi="Tw Cen MT"/>
          <w:i/>
          <w:sz w:val="24"/>
          <w:szCs w:val="24"/>
        </w:rPr>
        <w:t>diagnostic</w:t>
      </w:r>
      <w:r w:rsidR="00D87200" w:rsidRPr="00227851">
        <w:rPr>
          <w:rFonts w:ascii="Tw Cen MT" w:hAnsi="Tw Cen MT"/>
          <w:i/>
          <w:spacing w:val="1"/>
          <w:sz w:val="24"/>
          <w:szCs w:val="24"/>
        </w:rPr>
        <w:t xml:space="preserve"> </w:t>
      </w:r>
      <w:r w:rsidR="00D87200" w:rsidRPr="00227851">
        <w:rPr>
          <w:rFonts w:ascii="Tw Cen MT" w:hAnsi="Tw Cen MT"/>
          <w:i/>
          <w:sz w:val="24"/>
          <w:szCs w:val="24"/>
        </w:rPr>
        <w:t>reference</w:t>
      </w:r>
      <w:r w:rsidR="00D87200" w:rsidRPr="00227851">
        <w:rPr>
          <w:rFonts w:ascii="Tw Cen MT" w:hAnsi="Tw Cen MT"/>
          <w:i/>
          <w:spacing w:val="1"/>
          <w:sz w:val="24"/>
          <w:szCs w:val="24"/>
        </w:rPr>
        <w:t xml:space="preserve"> </w:t>
      </w:r>
      <w:r w:rsidR="00D87200" w:rsidRPr="00227851">
        <w:rPr>
          <w:rFonts w:ascii="Tw Cen MT" w:hAnsi="Tw Cen MT"/>
          <w:i/>
          <w:sz w:val="24"/>
          <w:szCs w:val="24"/>
        </w:rPr>
        <w:t>level</w:t>
      </w:r>
      <w:r w:rsidRPr="00227851">
        <w:rPr>
          <w:rFonts w:ascii="Tw Cen MT" w:hAnsi="Tw Cen MT"/>
          <w:i/>
          <w:spacing w:val="1"/>
          <w:sz w:val="24"/>
          <w:szCs w:val="24"/>
        </w:rPr>
        <w:t xml:space="preserve"> </w:t>
      </w:r>
      <w:r w:rsidRPr="00227851">
        <w:rPr>
          <w:rFonts w:ascii="Tw Cen MT" w:hAnsi="Tw Cen MT"/>
          <w:sz w:val="24"/>
          <w:szCs w:val="24"/>
        </w:rPr>
        <w:t>(DRL)</w:t>
      </w:r>
      <w:r w:rsidRPr="00227851">
        <w:rPr>
          <w:rFonts w:ascii="Tw Cen MT" w:hAnsi="Tw Cen MT"/>
          <w:spacing w:val="1"/>
          <w:sz w:val="24"/>
          <w:szCs w:val="24"/>
        </w:rPr>
        <w:t xml:space="preserve"> pengukuran manual </w:t>
      </w:r>
      <w:r w:rsidRPr="00227851">
        <w:rPr>
          <w:rFonts w:ascii="Tw Cen MT" w:hAnsi="Tw Cen MT"/>
          <w:sz w:val="24"/>
          <w:szCs w:val="24"/>
        </w:rPr>
        <w:t>sebesar</w:t>
      </w:r>
      <w:r w:rsidRPr="00227851">
        <w:rPr>
          <w:rFonts w:ascii="Tw Cen MT" w:hAnsi="Tw Cen MT"/>
          <w:spacing w:val="1"/>
          <w:sz w:val="24"/>
          <w:szCs w:val="24"/>
        </w:rPr>
        <w:t xml:space="preserve"> 59,62 </w:t>
      </w:r>
      <w:r w:rsidRPr="00227851">
        <w:rPr>
          <w:rFonts w:ascii="Tw Cen MT" w:hAnsi="Tw Cen MT"/>
          <w:sz w:val="24"/>
          <w:szCs w:val="24"/>
        </w:rPr>
        <w:t xml:space="preserve">mGy (SSDE) dan </w:t>
      </w:r>
      <w:r w:rsidRPr="00227851">
        <w:rPr>
          <w:rFonts w:ascii="Tw Cen MT" w:hAnsi="Tw Cen MT"/>
          <w:color w:val="010205"/>
          <w:sz w:val="24"/>
          <w:szCs w:val="24"/>
        </w:rPr>
        <w:t xml:space="preserve">1492,86 </w:t>
      </w:r>
      <w:r w:rsidRPr="00227851">
        <w:rPr>
          <w:rFonts w:ascii="Tw Cen MT" w:hAnsi="Tw Cen MT"/>
          <w:sz w:val="24"/>
          <w:szCs w:val="24"/>
        </w:rPr>
        <w:t xml:space="preserve">mGy.cm (DLPc) </w:t>
      </w:r>
      <w:r w:rsidRPr="00227851">
        <w:rPr>
          <w:rFonts w:ascii="Tw Cen MT" w:hAnsi="Tw Cen MT"/>
          <w:spacing w:val="1"/>
          <w:sz w:val="24"/>
          <w:szCs w:val="24"/>
        </w:rPr>
        <w:t xml:space="preserve">. Sedangkan, </w:t>
      </w:r>
      <w:r w:rsidR="00D87200" w:rsidRPr="00227851">
        <w:rPr>
          <w:rFonts w:ascii="Tw Cen MT" w:hAnsi="Tw Cen MT"/>
          <w:sz w:val="24"/>
          <w:szCs w:val="24"/>
        </w:rPr>
        <w:t>nilai</w:t>
      </w:r>
      <w:r w:rsidR="00D87200" w:rsidRPr="00227851">
        <w:rPr>
          <w:rFonts w:ascii="Tw Cen MT" w:hAnsi="Tw Cen MT"/>
          <w:spacing w:val="1"/>
          <w:sz w:val="24"/>
          <w:szCs w:val="24"/>
        </w:rPr>
        <w:t xml:space="preserve"> </w:t>
      </w:r>
      <w:r w:rsidR="00D87200" w:rsidRPr="00227851">
        <w:rPr>
          <w:rFonts w:ascii="Tw Cen MT" w:hAnsi="Tw Cen MT"/>
          <w:i/>
          <w:sz w:val="24"/>
          <w:szCs w:val="24"/>
        </w:rPr>
        <w:t>diagnostic</w:t>
      </w:r>
      <w:r w:rsidR="00D87200" w:rsidRPr="00227851">
        <w:rPr>
          <w:rFonts w:ascii="Tw Cen MT" w:hAnsi="Tw Cen MT"/>
          <w:i/>
          <w:spacing w:val="1"/>
          <w:sz w:val="24"/>
          <w:szCs w:val="24"/>
        </w:rPr>
        <w:t xml:space="preserve"> </w:t>
      </w:r>
      <w:r w:rsidR="00D87200" w:rsidRPr="00227851">
        <w:rPr>
          <w:rFonts w:ascii="Tw Cen MT" w:hAnsi="Tw Cen MT"/>
          <w:i/>
          <w:sz w:val="24"/>
          <w:szCs w:val="24"/>
        </w:rPr>
        <w:t>reference</w:t>
      </w:r>
      <w:r w:rsidR="00D87200" w:rsidRPr="00227851">
        <w:rPr>
          <w:rFonts w:ascii="Tw Cen MT" w:hAnsi="Tw Cen MT"/>
          <w:i/>
          <w:spacing w:val="1"/>
          <w:sz w:val="24"/>
          <w:szCs w:val="24"/>
        </w:rPr>
        <w:t xml:space="preserve"> </w:t>
      </w:r>
      <w:r w:rsidR="00D87200" w:rsidRPr="00227851">
        <w:rPr>
          <w:rFonts w:ascii="Tw Cen MT" w:hAnsi="Tw Cen MT"/>
          <w:i/>
          <w:sz w:val="24"/>
          <w:szCs w:val="24"/>
        </w:rPr>
        <w:t>level</w:t>
      </w:r>
      <w:r w:rsidRPr="00227851">
        <w:rPr>
          <w:rFonts w:ascii="Tw Cen MT" w:hAnsi="Tw Cen MT"/>
          <w:i/>
          <w:spacing w:val="1"/>
          <w:sz w:val="24"/>
          <w:szCs w:val="24"/>
        </w:rPr>
        <w:t xml:space="preserve"> </w:t>
      </w:r>
      <w:r w:rsidRPr="00227851">
        <w:rPr>
          <w:rFonts w:ascii="Tw Cen MT" w:hAnsi="Tw Cen MT"/>
          <w:spacing w:val="1"/>
          <w:sz w:val="24"/>
          <w:szCs w:val="24"/>
        </w:rPr>
        <w:t xml:space="preserve">pengukuran menggunakan </w:t>
      </w:r>
      <w:r w:rsidRPr="00FD3D94">
        <w:rPr>
          <w:rFonts w:ascii="Tw Cen MT" w:hAnsi="Tw Cen MT"/>
          <w:i/>
          <w:spacing w:val="1"/>
          <w:sz w:val="24"/>
          <w:szCs w:val="24"/>
        </w:rPr>
        <w:t>software</w:t>
      </w:r>
      <w:r w:rsidR="00D87200">
        <w:rPr>
          <w:rFonts w:ascii="Tw Cen MT" w:hAnsi="Tw Cen MT"/>
          <w:spacing w:val="1"/>
          <w:sz w:val="24"/>
          <w:szCs w:val="24"/>
        </w:rPr>
        <w:t xml:space="preserve"> i</w:t>
      </w:r>
      <w:r w:rsidRPr="00227851">
        <w:rPr>
          <w:rFonts w:ascii="Tw Cen MT" w:hAnsi="Tw Cen MT"/>
          <w:spacing w:val="1"/>
          <w:sz w:val="24"/>
          <w:szCs w:val="24"/>
        </w:rPr>
        <w:t xml:space="preserve">ndoseCT v.20.b </w:t>
      </w:r>
      <w:r w:rsidRPr="00227851">
        <w:rPr>
          <w:rFonts w:ascii="Tw Cen MT" w:hAnsi="Tw Cen MT"/>
          <w:sz w:val="24"/>
          <w:szCs w:val="24"/>
        </w:rPr>
        <w:t>adalah</w:t>
      </w:r>
      <w:r w:rsidRPr="00227851">
        <w:rPr>
          <w:rFonts w:ascii="Tw Cen MT" w:hAnsi="Tw Cen MT"/>
          <w:spacing w:val="1"/>
          <w:sz w:val="24"/>
          <w:szCs w:val="24"/>
        </w:rPr>
        <w:t xml:space="preserve"> 66,65 </w:t>
      </w:r>
      <w:r w:rsidRPr="00227851">
        <w:rPr>
          <w:rFonts w:ascii="Tw Cen MT" w:hAnsi="Tw Cen MT"/>
          <w:sz w:val="24"/>
          <w:szCs w:val="24"/>
        </w:rPr>
        <w:t>mGy (SSDE) dan 1551,56</w:t>
      </w:r>
      <w:r w:rsidRPr="00227851">
        <w:rPr>
          <w:rFonts w:ascii="Tw Cen MT" w:hAnsi="Tw Cen MT"/>
          <w:i/>
          <w:sz w:val="24"/>
          <w:szCs w:val="24"/>
        </w:rPr>
        <w:t xml:space="preserve"> </w:t>
      </w:r>
      <w:r w:rsidRPr="00227851">
        <w:rPr>
          <w:rFonts w:ascii="Tw Cen MT" w:hAnsi="Tw Cen MT"/>
          <w:sz w:val="24"/>
          <w:szCs w:val="24"/>
        </w:rPr>
        <w:t>mGy.cm (DLPc).</w:t>
      </w:r>
      <w:r w:rsidR="00227851" w:rsidRPr="00227851">
        <w:rPr>
          <w:rFonts w:ascii="Tw Cen MT" w:hAnsi="Tw Cen MT"/>
          <w:sz w:val="24"/>
          <w:szCs w:val="24"/>
        </w:rPr>
        <w:t xml:space="preserve"> Tidak ada perbedaan yang signifikan nilai </w:t>
      </w:r>
      <w:r w:rsidR="00D87200" w:rsidRPr="00227851">
        <w:rPr>
          <w:rFonts w:ascii="Tw Cen MT" w:hAnsi="Tw Cen MT"/>
          <w:i/>
          <w:sz w:val="24"/>
          <w:szCs w:val="24"/>
        </w:rPr>
        <w:t>diagnostic reference level</w:t>
      </w:r>
      <w:r w:rsidR="00D87200" w:rsidRPr="00227851">
        <w:rPr>
          <w:rFonts w:ascii="Tw Cen MT" w:hAnsi="Tw Cen MT"/>
          <w:sz w:val="24"/>
          <w:szCs w:val="24"/>
        </w:rPr>
        <w:t xml:space="preserve"> </w:t>
      </w:r>
      <w:r w:rsidR="00227851" w:rsidRPr="00227851">
        <w:rPr>
          <w:rFonts w:ascii="Tw Cen MT" w:hAnsi="Tw Cen MT"/>
          <w:sz w:val="24"/>
          <w:szCs w:val="24"/>
        </w:rPr>
        <w:t xml:space="preserve">(DRL) berdasarkan </w:t>
      </w:r>
      <w:r w:rsidR="00D87200" w:rsidRPr="00227851">
        <w:rPr>
          <w:rFonts w:ascii="Tw Cen MT" w:hAnsi="Tw Cen MT"/>
          <w:i/>
          <w:sz w:val="24"/>
          <w:szCs w:val="24"/>
        </w:rPr>
        <w:t>size specific dose estimate</w:t>
      </w:r>
      <w:r w:rsidR="00D87200" w:rsidRPr="00227851">
        <w:rPr>
          <w:rFonts w:ascii="Tw Cen MT" w:hAnsi="Tw Cen MT"/>
          <w:sz w:val="24"/>
          <w:szCs w:val="24"/>
        </w:rPr>
        <w:t xml:space="preserve"> </w:t>
      </w:r>
      <w:r w:rsidR="00227851" w:rsidRPr="00227851">
        <w:rPr>
          <w:rFonts w:ascii="Tw Cen MT" w:hAnsi="Tw Cen MT"/>
          <w:sz w:val="24"/>
          <w:szCs w:val="24"/>
        </w:rPr>
        <w:t>(SSDE) dari kedua metode berdasarkan uji statistik dan melihat sebaran nilai SSDE dan DLPc</w:t>
      </w:r>
    </w:p>
    <w:p w14:paraId="6B8DFBEB" w14:textId="77777777" w:rsidR="00F41FB3" w:rsidRPr="00227851" w:rsidRDefault="00F41FB3" w:rsidP="00227851">
      <w:pPr>
        <w:pStyle w:val="ListParagraph"/>
        <w:widowControl w:val="0"/>
        <w:autoSpaceDE w:val="0"/>
        <w:autoSpaceDN w:val="0"/>
        <w:spacing w:before="1" w:after="0" w:line="240" w:lineRule="auto"/>
        <w:ind w:left="0" w:firstLine="426"/>
        <w:contextualSpacing w:val="0"/>
        <w:jc w:val="both"/>
        <w:rPr>
          <w:rFonts w:ascii="Tw Cen MT" w:hAnsi="Tw Cen MT"/>
          <w:sz w:val="24"/>
          <w:szCs w:val="24"/>
        </w:rPr>
      </w:pPr>
    </w:p>
    <w:p w14:paraId="7BC86AF6" w14:textId="77777777" w:rsidR="004721E3" w:rsidRPr="00227851" w:rsidRDefault="004721E3" w:rsidP="00227851">
      <w:pPr>
        <w:tabs>
          <w:tab w:val="left" w:pos="426"/>
        </w:tabs>
        <w:spacing w:after="0" w:line="240" w:lineRule="auto"/>
        <w:jc w:val="both"/>
        <w:rPr>
          <w:rFonts w:ascii="Tw Cen MT" w:eastAsia="Twentieth Century" w:hAnsi="Tw Cen MT" w:cs="Twentieth Century"/>
          <w:b/>
          <w:sz w:val="24"/>
          <w:szCs w:val="24"/>
        </w:rPr>
      </w:pPr>
      <w:r w:rsidRPr="00227851">
        <w:rPr>
          <w:rFonts w:ascii="Tw Cen MT" w:eastAsia="Twentieth Century" w:hAnsi="Tw Cen MT" w:cs="Twentieth Century"/>
          <w:b/>
          <w:sz w:val="24"/>
          <w:szCs w:val="24"/>
        </w:rPr>
        <w:t xml:space="preserve">UCAPAN TERIMA KASIH </w:t>
      </w:r>
    </w:p>
    <w:p w14:paraId="14D5D82B" w14:textId="6EE69351" w:rsidR="004721E3" w:rsidRPr="00227851" w:rsidRDefault="00776383" w:rsidP="00227851">
      <w:pPr>
        <w:spacing w:line="240" w:lineRule="auto"/>
        <w:jc w:val="both"/>
        <w:rPr>
          <w:rFonts w:ascii="Tw Cen MT" w:eastAsia="Twentieth Century" w:hAnsi="Tw Cen MT" w:cs="Twentieth Century"/>
          <w:sz w:val="24"/>
          <w:szCs w:val="24"/>
        </w:rPr>
      </w:pPr>
      <w:r w:rsidRPr="00227851">
        <w:rPr>
          <w:rFonts w:ascii="Tw Cen MT" w:eastAsia="Twentieth Century" w:hAnsi="Tw Cen MT" w:cs="Twentieth Century"/>
          <w:sz w:val="24"/>
          <w:szCs w:val="24"/>
        </w:rPr>
        <w:t>T</w:t>
      </w:r>
      <w:r w:rsidR="004721E3" w:rsidRPr="00227851">
        <w:rPr>
          <w:rFonts w:ascii="Tw Cen MT" w:eastAsia="Twentieth Century" w:hAnsi="Tw Cen MT" w:cs="Twentieth Century"/>
          <w:sz w:val="24"/>
          <w:szCs w:val="24"/>
        </w:rPr>
        <w:t xml:space="preserve">erima kasih kepada </w:t>
      </w:r>
      <w:r w:rsidRPr="00227851">
        <w:rPr>
          <w:rFonts w:ascii="Tw Cen MT" w:eastAsia="Twentieth Century" w:hAnsi="Tw Cen MT" w:cs="Twentieth Century"/>
          <w:sz w:val="24"/>
          <w:szCs w:val="24"/>
        </w:rPr>
        <w:t xml:space="preserve">Radiografer RS. Santo </w:t>
      </w:r>
      <w:r w:rsidR="00FD3D94" w:rsidRPr="00227851">
        <w:rPr>
          <w:rFonts w:ascii="Tw Cen MT" w:eastAsia="Twentieth Century" w:hAnsi="Tw Cen MT" w:cs="Twentieth Century"/>
          <w:sz w:val="24"/>
          <w:szCs w:val="24"/>
        </w:rPr>
        <w:t xml:space="preserve">Borromeus </w:t>
      </w:r>
      <w:r w:rsidRPr="00227851">
        <w:rPr>
          <w:rFonts w:ascii="Tw Cen MT" w:eastAsia="Twentieth Century" w:hAnsi="Tw Cen MT" w:cs="Twentieth Century"/>
          <w:sz w:val="24"/>
          <w:szCs w:val="24"/>
        </w:rPr>
        <w:t xml:space="preserve">Bandung dan </w:t>
      </w:r>
      <w:r w:rsidR="00FD3D94" w:rsidRPr="00227851">
        <w:rPr>
          <w:rFonts w:ascii="Tw Cen MT" w:eastAsia="Twentieth Century" w:hAnsi="Tw Cen MT" w:cs="Twentieth Century"/>
          <w:sz w:val="24"/>
          <w:szCs w:val="24"/>
        </w:rPr>
        <w:t xml:space="preserve">Politeknik </w:t>
      </w:r>
      <w:r w:rsidRPr="00227851">
        <w:rPr>
          <w:rFonts w:ascii="Tw Cen MT" w:eastAsia="Twentieth Century" w:hAnsi="Tw Cen MT" w:cs="Twentieth Century"/>
          <w:sz w:val="24"/>
          <w:szCs w:val="24"/>
        </w:rPr>
        <w:t xml:space="preserve">Kesehatan Kemenkes Jakarta II </w:t>
      </w:r>
      <w:r w:rsidR="004721E3" w:rsidRPr="00227851">
        <w:rPr>
          <w:rFonts w:ascii="Tw Cen MT" w:eastAsia="Twentieth Century" w:hAnsi="Tw Cen MT" w:cs="Twentieth Century"/>
          <w:sz w:val="24"/>
          <w:szCs w:val="24"/>
        </w:rPr>
        <w:t xml:space="preserve">yang telah membantu </w:t>
      </w:r>
      <w:r w:rsidRPr="00227851">
        <w:rPr>
          <w:rFonts w:ascii="Tw Cen MT" w:eastAsia="Twentieth Century" w:hAnsi="Tw Cen MT" w:cs="Twentieth Century"/>
          <w:sz w:val="24"/>
          <w:szCs w:val="24"/>
        </w:rPr>
        <w:t xml:space="preserve">dan memfasilitasi </w:t>
      </w:r>
      <w:r w:rsidR="004721E3" w:rsidRPr="00227851">
        <w:rPr>
          <w:rFonts w:ascii="Tw Cen MT" w:eastAsia="Twentieth Century" w:hAnsi="Tw Cen MT" w:cs="Twentieth Century"/>
          <w:sz w:val="24"/>
          <w:szCs w:val="24"/>
        </w:rPr>
        <w:t>dalam pelaksanaan penelitian</w:t>
      </w:r>
      <w:r w:rsidRPr="00227851">
        <w:rPr>
          <w:rFonts w:ascii="Tw Cen MT" w:eastAsia="Twentieth Century" w:hAnsi="Tw Cen MT" w:cs="Twentieth Century"/>
          <w:sz w:val="24"/>
          <w:szCs w:val="24"/>
        </w:rPr>
        <w:t>.</w:t>
      </w:r>
    </w:p>
    <w:p w14:paraId="7E4B783F" w14:textId="77777777" w:rsidR="004721E3" w:rsidRPr="00227851" w:rsidRDefault="004721E3" w:rsidP="00227851">
      <w:pPr>
        <w:tabs>
          <w:tab w:val="left" w:pos="426"/>
        </w:tabs>
        <w:spacing w:after="0" w:line="240" w:lineRule="auto"/>
        <w:jc w:val="both"/>
        <w:rPr>
          <w:rFonts w:ascii="Tw Cen MT" w:eastAsia="Twentieth Century" w:hAnsi="Tw Cen MT" w:cs="Twentieth Century"/>
          <w:b/>
          <w:sz w:val="24"/>
          <w:szCs w:val="24"/>
        </w:rPr>
      </w:pPr>
      <w:r w:rsidRPr="00227851">
        <w:rPr>
          <w:rFonts w:ascii="Tw Cen MT" w:eastAsia="Twentieth Century" w:hAnsi="Tw Cen MT" w:cs="Twentieth Century"/>
          <w:b/>
          <w:sz w:val="24"/>
          <w:szCs w:val="24"/>
        </w:rPr>
        <w:t>DAFTAR PUSTAKA</w:t>
      </w:r>
    </w:p>
    <w:p w14:paraId="504404BB" w14:textId="77777777" w:rsidR="00293C1F" w:rsidRPr="00227851" w:rsidRDefault="00293C1F" w:rsidP="00227851">
      <w:pPr>
        <w:tabs>
          <w:tab w:val="left" w:pos="426"/>
        </w:tabs>
        <w:spacing w:after="0" w:line="240" w:lineRule="auto"/>
        <w:jc w:val="both"/>
        <w:rPr>
          <w:rFonts w:ascii="Tw Cen MT" w:eastAsia="Twentieth Century" w:hAnsi="Tw Cen MT" w:cs="Twentieth Century"/>
          <w:b/>
          <w:sz w:val="24"/>
          <w:szCs w:val="24"/>
        </w:rPr>
      </w:pPr>
    </w:p>
    <w:p w14:paraId="2F6AFE1C" w14:textId="792E5333" w:rsidR="00A46751" w:rsidRPr="00A46751" w:rsidRDefault="00293C1F" w:rsidP="00A5380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27851">
        <w:rPr>
          <w:rFonts w:ascii="Tw Cen MT" w:eastAsia="Twentieth Century" w:hAnsi="Tw Cen MT" w:cs="Twentieth Century"/>
          <w:color w:val="0D0D0D"/>
          <w:sz w:val="24"/>
          <w:szCs w:val="24"/>
          <w:highlight w:val="lightGray"/>
        </w:rPr>
        <w:t xml:space="preserve"> </w:t>
      </w:r>
      <w:r w:rsidR="004721E3" w:rsidRPr="00227851">
        <w:rPr>
          <w:rFonts w:ascii="Tw Cen MT" w:eastAsia="Twentieth Century" w:hAnsi="Tw Cen MT" w:cs="Twentieth Century"/>
          <w:color w:val="0D0D0D"/>
          <w:sz w:val="24"/>
          <w:szCs w:val="24"/>
          <w:highlight w:val="lightGray"/>
        </w:rPr>
        <w:t>[1]</w:t>
      </w:r>
      <w:r w:rsidR="004721E3" w:rsidRPr="00227851">
        <w:rPr>
          <w:rFonts w:ascii="Tw Cen MT" w:eastAsia="Twentieth Century" w:hAnsi="Tw Cen MT" w:cs="Twentieth Century"/>
          <w:color w:val="0D0D0D"/>
          <w:sz w:val="24"/>
          <w:szCs w:val="24"/>
        </w:rPr>
        <w:t xml:space="preserve"> </w:t>
      </w:r>
      <w:r w:rsidR="004721E3" w:rsidRPr="00227851">
        <w:rPr>
          <w:rFonts w:ascii="Tw Cen MT" w:eastAsia="Twentieth Century" w:hAnsi="Tw Cen MT" w:cs="Twentieth Century"/>
          <w:color w:val="0D0D0D"/>
          <w:sz w:val="24"/>
          <w:szCs w:val="24"/>
        </w:rPr>
        <w:tab/>
      </w:r>
      <w:commentRangeStart w:id="15"/>
      <w:r w:rsidRPr="00227851">
        <w:rPr>
          <w:rFonts w:ascii="Tw Cen MT" w:eastAsia="Twentieth Century" w:hAnsi="Tw Cen MT" w:cs="Twentieth Century"/>
          <w:color w:val="0D0D0D"/>
          <w:sz w:val="24"/>
          <w:szCs w:val="24"/>
        </w:rPr>
        <w:fldChar w:fldCharType="begin" w:fldLock="1"/>
      </w:r>
      <w:r w:rsidRPr="00227851">
        <w:rPr>
          <w:rFonts w:ascii="Tw Cen MT" w:eastAsia="Twentieth Century" w:hAnsi="Tw Cen MT" w:cs="Twentieth Century"/>
          <w:color w:val="0D0D0D"/>
          <w:sz w:val="24"/>
          <w:szCs w:val="24"/>
        </w:rPr>
        <w:instrText xml:space="preserve">ADDIN Mendeley Bibliography CSL_BIBLIOGRAPHY </w:instrText>
      </w:r>
      <w:r w:rsidRPr="00227851">
        <w:rPr>
          <w:rFonts w:ascii="Tw Cen MT" w:eastAsia="Twentieth Century" w:hAnsi="Tw Cen MT" w:cs="Twentieth Century"/>
          <w:color w:val="0D0D0D"/>
          <w:sz w:val="24"/>
          <w:szCs w:val="24"/>
        </w:rPr>
        <w:fldChar w:fldCharType="separate"/>
      </w:r>
      <w:r w:rsidR="00A46751" w:rsidRPr="00A46751">
        <w:rPr>
          <w:rFonts w:ascii="Tw Cen MT" w:hAnsi="Tw Cen MT" w:cs="Times New Roman"/>
          <w:noProof/>
          <w:sz w:val="24"/>
          <w:szCs w:val="24"/>
        </w:rPr>
        <w:t xml:space="preserve">E. S. . Siregar, G. N. Sutapa, and I. W. B. Sudarsana, “Analysis of Radiation Dose of Patients on CT Scan Examination using Si-INTAN Application,” </w:t>
      </w:r>
      <w:r w:rsidR="00A46751" w:rsidRPr="00A46751">
        <w:rPr>
          <w:rFonts w:ascii="Tw Cen MT" w:hAnsi="Tw Cen MT" w:cs="Times New Roman"/>
          <w:i/>
          <w:iCs/>
          <w:noProof/>
          <w:sz w:val="24"/>
          <w:szCs w:val="24"/>
        </w:rPr>
        <w:t>Bul. Fis.</w:t>
      </w:r>
      <w:r w:rsidR="00A46751" w:rsidRPr="00A46751">
        <w:rPr>
          <w:rFonts w:ascii="Tw Cen MT" w:hAnsi="Tw Cen MT" w:cs="Times New Roman"/>
          <w:noProof/>
          <w:sz w:val="24"/>
          <w:szCs w:val="24"/>
        </w:rPr>
        <w:t>, vol. 21, no. 2, p. 53, 2020, doi: 10.24843/bf.2020.v21.i02.p03.</w:t>
      </w:r>
    </w:p>
    <w:p w14:paraId="36A35442" w14:textId="77777777" w:rsidR="00A46751" w:rsidRPr="00A46751" w:rsidRDefault="00A46751" w:rsidP="00A5380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6751">
        <w:rPr>
          <w:rFonts w:ascii="Tw Cen MT" w:hAnsi="Tw Cen MT" w:cs="Times New Roman"/>
          <w:noProof/>
          <w:sz w:val="24"/>
          <w:szCs w:val="24"/>
        </w:rPr>
        <w:t>[2]</w:t>
      </w:r>
      <w:r w:rsidRPr="00A46751">
        <w:rPr>
          <w:rFonts w:ascii="Tw Cen MT" w:hAnsi="Tw Cen MT" w:cs="Times New Roman"/>
          <w:noProof/>
          <w:sz w:val="24"/>
          <w:szCs w:val="24"/>
        </w:rPr>
        <w:tab/>
        <w:t xml:space="preserve">I. Thierry-Chef </w:t>
      </w:r>
      <w:r w:rsidRPr="00A46751">
        <w:rPr>
          <w:rFonts w:ascii="Tw Cen MT" w:hAnsi="Tw Cen MT" w:cs="Times New Roman"/>
          <w:i/>
          <w:iCs/>
          <w:noProof/>
          <w:sz w:val="24"/>
          <w:szCs w:val="24"/>
        </w:rPr>
        <w:t>et al.</w:t>
      </w:r>
      <w:r w:rsidRPr="00A46751">
        <w:rPr>
          <w:rFonts w:ascii="Tw Cen MT" w:hAnsi="Tw Cen MT" w:cs="Times New Roman"/>
          <w:noProof/>
          <w:sz w:val="24"/>
          <w:szCs w:val="24"/>
        </w:rPr>
        <w:t xml:space="preserve">, “Assessing organ doses from paediatric CT scans-A novel approach for an epidemiology study (the EPI-CT study),” </w:t>
      </w:r>
      <w:r w:rsidRPr="00A46751">
        <w:rPr>
          <w:rFonts w:ascii="Tw Cen MT" w:hAnsi="Tw Cen MT" w:cs="Times New Roman"/>
          <w:i/>
          <w:iCs/>
          <w:noProof/>
          <w:sz w:val="24"/>
          <w:szCs w:val="24"/>
        </w:rPr>
        <w:t>Int. J. Environ. Res. Public Health</w:t>
      </w:r>
      <w:r w:rsidRPr="00A46751">
        <w:rPr>
          <w:rFonts w:ascii="Tw Cen MT" w:hAnsi="Tw Cen MT" w:cs="Times New Roman"/>
          <w:noProof/>
          <w:sz w:val="24"/>
          <w:szCs w:val="24"/>
        </w:rPr>
        <w:t>, vol. 10, no. 2, pp. 717–728, 2013, doi: 10.3390/ijerph10020717.</w:t>
      </w:r>
    </w:p>
    <w:p w14:paraId="32E44AE2" w14:textId="77777777" w:rsidR="00A46751" w:rsidRPr="00A46751" w:rsidRDefault="00A46751" w:rsidP="00A5380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6751">
        <w:rPr>
          <w:rFonts w:ascii="Tw Cen MT" w:hAnsi="Tw Cen MT" w:cs="Times New Roman"/>
          <w:noProof/>
          <w:sz w:val="24"/>
          <w:szCs w:val="24"/>
        </w:rPr>
        <w:t>[3]</w:t>
      </w:r>
      <w:r w:rsidRPr="00A46751">
        <w:rPr>
          <w:rFonts w:ascii="Tw Cen MT" w:hAnsi="Tw Cen MT" w:cs="Times New Roman"/>
          <w:noProof/>
          <w:sz w:val="24"/>
          <w:szCs w:val="24"/>
        </w:rPr>
        <w:tab/>
        <w:t xml:space="preserve">R. Lestari and N. Heru, “Evaluasi Nilai Noise dan Uniformity Citra CT Scan Sebelum dan Setelah Kalibrasi Harian Makalah Penelitian Menyerahkan Diterima Terbit Computed Tomography ( CT ) Scan merupakan modalitas pencitraan medis yang dapat menampilkan citra tampang lintang tubuh d,” </w:t>
      </w:r>
      <w:r w:rsidRPr="00A46751">
        <w:rPr>
          <w:rFonts w:ascii="Tw Cen MT" w:hAnsi="Tw Cen MT" w:cs="Times New Roman"/>
          <w:i/>
          <w:iCs/>
          <w:noProof/>
          <w:sz w:val="24"/>
          <w:szCs w:val="24"/>
        </w:rPr>
        <w:t>J. Pengawas. Tenaga Nukl.</w:t>
      </w:r>
      <w:r w:rsidRPr="00A46751">
        <w:rPr>
          <w:rFonts w:ascii="Tw Cen MT" w:hAnsi="Tw Cen MT" w:cs="Times New Roman"/>
          <w:noProof/>
          <w:sz w:val="24"/>
          <w:szCs w:val="24"/>
        </w:rPr>
        <w:t>, vol. 2, no. 1, pp. 6–12, 2022.</w:t>
      </w:r>
    </w:p>
    <w:p w14:paraId="7B1990F2" w14:textId="77777777" w:rsidR="00A46751" w:rsidRPr="00A46751" w:rsidRDefault="00A46751" w:rsidP="00A5380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6751">
        <w:rPr>
          <w:rFonts w:ascii="Tw Cen MT" w:hAnsi="Tw Cen MT" w:cs="Times New Roman"/>
          <w:noProof/>
          <w:sz w:val="24"/>
          <w:szCs w:val="24"/>
        </w:rPr>
        <w:t>[4]</w:t>
      </w:r>
      <w:r w:rsidRPr="00A46751">
        <w:rPr>
          <w:rFonts w:ascii="Tw Cen MT" w:hAnsi="Tw Cen MT" w:cs="Times New Roman"/>
          <w:noProof/>
          <w:sz w:val="24"/>
          <w:szCs w:val="24"/>
        </w:rPr>
        <w:tab/>
        <w:t xml:space="preserve">C. Anam </w:t>
      </w:r>
      <w:r w:rsidRPr="00A46751">
        <w:rPr>
          <w:rFonts w:ascii="Tw Cen MT" w:hAnsi="Tw Cen MT" w:cs="Times New Roman"/>
          <w:i/>
          <w:iCs/>
          <w:noProof/>
          <w:sz w:val="24"/>
          <w:szCs w:val="24"/>
        </w:rPr>
        <w:t>et al.</w:t>
      </w:r>
      <w:r w:rsidRPr="00A46751">
        <w:rPr>
          <w:rFonts w:ascii="Tw Cen MT" w:hAnsi="Tw Cen MT" w:cs="Times New Roman"/>
          <w:noProof/>
          <w:sz w:val="24"/>
          <w:szCs w:val="24"/>
        </w:rPr>
        <w:t xml:space="preserve">, “A Simplified Method for the Water Equivalent Diameter Calculation to Estimate PATIENT Dose in CT Examinations,” </w:t>
      </w:r>
      <w:r w:rsidRPr="00A46751">
        <w:rPr>
          <w:rFonts w:ascii="Tw Cen MT" w:hAnsi="Tw Cen MT" w:cs="Times New Roman"/>
          <w:i/>
          <w:iCs/>
          <w:noProof/>
          <w:sz w:val="24"/>
          <w:szCs w:val="24"/>
        </w:rPr>
        <w:t>Radiat. Prot. Dosimetry</w:t>
      </w:r>
      <w:r w:rsidRPr="00A46751">
        <w:rPr>
          <w:rFonts w:ascii="Tw Cen MT" w:hAnsi="Tw Cen MT" w:cs="Times New Roman"/>
          <w:noProof/>
          <w:sz w:val="24"/>
          <w:szCs w:val="24"/>
        </w:rPr>
        <w:t>, vol. 185, no. 1, pp. 42–49, 2019, doi: 10.1093/rpd/ncy214.</w:t>
      </w:r>
    </w:p>
    <w:p w14:paraId="1EDA93BE" w14:textId="77777777" w:rsidR="00A46751" w:rsidRPr="00A46751" w:rsidRDefault="00A46751" w:rsidP="00A5380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6751">
        <w:rPr>
          <w:rFonts w:ascii="Tw Cen MT" w:hAnsi="Tw Cen MT" w:cs="Times New Roman"/>
          <w:noProof/>
          <w:sz w:val="24"/>
          <w:szCs w:val="24"/>
        </w:rPr>
        <w:t>[5]</w:t>
      </w:r>
      <w:r w:rsidRPr="00A46751">
        <w:rPr>
          <w:rFonts w:ascii="Tw Cen MT" w:hAnsi="Tw Cen MT" w:cs="Times New Roman"/>
          <w:noProof/>
          <w:sz w:val="24"/>
          <w:szCs w:val="24"/>
        </w:rPr>
        <w:tab/>
        <w:t xml:space="preserve">Badan Pengawas Tenaga Nuklir (BAPETEN), “Keputusan Kepala Badan Pengawas Tenaga Nuklir Nomor 1211/K/V/2021 Tentang Penetapan Nilai Tingkat Panduan Diagnostik Indonesia (Indonesian Diagnostic Reference Level) Untuk Modalitas CT-Scan Dan Radiografi Umum,” </w:t>
      </w:r>
      <w:r w:rsidRPr="00A46751">
        <w:rPr>
          <w:rFonts w:ascii="Tw Cen MT" w:hAnsi="Tw Cen MT" w:cs="Times New Roman"/>
          <w:i/>
          <w:iCs/>
          <w:noProof/>
          <w:sz w:val="24"/>
          <w:szCs w:val="24"/>
        </w:rPr>
        <w:t>Badan Pengawas Tenaga Nukl. republik Indones.</w:t>
      </w:r>
      <w:r w:rsidRPr="00A46751">
        <w:rPr>
          <w:rFonts w:ascii="Tw Cen MT" w:hAnsi="Tw Cen MT" w:cs="Times New Roman"/>
          <w:noProof/>
          <w:sz w:val="24"/>
          <w:szCs w:val="24"/>
        </w:rPr>
        <w:t>, p. 4, 2021.</w:t>
      </w:r>
    </w:p>
    <w:p w14:paraId="4262B538" w14:textId="77777777" w:rsidR="00A46751" w:rsidRPr="00A46751" w:rsidRDefault="00A46751" w:rsidP="00A5380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6751">
        <w:rPr>
          <w:rFonts w:ascii="Tw Cen MT" w:hAnsi="Tw Cen MT" w:cs="Times New Roman"/>
          <w:noProof/>
          <w:sz w:val="24"/>
          <w:szCs w:val="24"/>
        </w:rPr>
        <w:t>[6]</w:t>
      </w:r>
      <w:r w:rsidRPr="00A46751">
        <w:rPr>
          <w:rFonts w:ascii="Tw Cen MT" w:hAnsi="Tw Cen MT" w:cs="Times New Roman"/>
          <w:noProof/>
          <w:sz w:val="24"/>
          <w:szCs w:val="24"/>
        </w:rPr>
        <w:tab/>
        <w:t>J. Tabesh and M. Maziyar, “determination of DRL in Common Computed Tomography examination with The modified quality control Based Dose Survey Method in four University Centers</w:t>
      </w:r>
      <w:r w:rsidRPr="00A46751">
        <w:rPr>
          <w:rFonts w:ascii="Arial" w:hAnsi="Arial" w:cs="Arial"/>
          <w:noProof/>
          <w:sz w:val="24"/>
          <w:szCs w:val="24"/>
        </w:rPr>
        <w:t> </w:t>
      </w:r>
      <w:r w:rsidRPr="00A46751">
        <w:rPr>
          <w:rFonts w:ascii="Tw Cen MT" w:hAnsi="Tw Cen MT" w:cs="Times New Roman"/>
          <w:noProof/>
          <w:sz w:val="24"/>
          <w:szCs w:val="24"/>
        </w:rPr>
        <w:t xml:space="preserve">: A comparison of Method,” </w:t>
      </w:r>
      <w:r w:rsidRPr="00A46751">
        <w:rPr>
          <w:rFonts w:ascii="Tw Cen MT" w:hAnsi="Tw Cen MT" w:cs="Times New Roman"/>
          <w:i/>
          <w:iCs/>
          <w:noProof/>
          <w:sz w:val="24"/>
          <w:szCs w:val="24"/>
        </w:rPr>
        <w:t>J. Biomed Phys Eng</w:t>
      </w:r>
      <w:r w:rsidRPr="00A46751">
        <w:rPr>
          <w:rFonts w:ascii="Tw Cen MT" w:hAnsi="Tw Cen MT" w:cs="Times New Roman"/>
          <w:noProof/>
          <w:sz w:val="24"/>
          <w:szCs w:val="24"/>
        </w:rPr>
        <w:t>, vol. 11, no. June, 2021, doi: 10.31661/jbpe.v0i0.2105-1322.Keywords.</w:t>
      </w:r>
    </w:p>
    <w:p w14:paraId="5FCEECF9" w14:textId="77777777" w:rsidR="00A46751" w:rsidRPr="00A46751" w:rsidRDefault="00A46751" w:rsidP="00A5380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6751">
        <w:rPr>
          <w:rFonts w:ascii="Tw Cen MT" w:hAnsi="Tw Cen MT" w:cs="Times New Roman"/>
          <w:noProof/>
          <w:sz w:val="24"/>
          <w:szCs w:val="24"/>
        </w:rPr>
        <w:t>[7]</w:t>
      </w:r>
      <w:r w:rsidRPr="00A46751">
        <w:rPr>
          <w:rFonts w:ascii="Tw Cen MT" w:hAnsi="Tw Cen MT" w:cs="Times New Roman"/>
          <w:noProof/>
          <w:sz w:val="24"/>
          <w:szCs w:val="24"/>
        </w:rPr>
        <w:tab/>
        <w:t xml:space="preserve">R. S. Masuku, “Analisis nilai Computer Tomography Dose Index (CTDI) Dan Dose Length Product (DLP) Pada Pemeriksaan Multislice Computed Tomography (MSCT) Trauma Kepala Dewasa Di Instalasi Radiologi Rumah Sakit Balimed Denpasar Bali,” </w:t>
      </w:r>
      <w:r w:rsidRPr="00A46751">
        <w:rPr>
          <w:rFonts w:ascii="Tw Cen MT" w:hAnsi="Tw Cen MT" w:cs="Times New Roman"/>
          <w:i/>
          <w:iCs/>
          <w:noProof/>
          <w:sz w:val="24"/>
          <w:szCs w:val="24"/>
        </w:rPr>
        <w:t>J. Ilm. Multidisiplin</w:t>
      </w:r>
      <w:r w:rsidRPr="00A46751">
        <w:rPr>
          <w:rFonts w:ascii="Tw Cen MT" w:hAnsi="Tw Cen MT" w:cs="Times New Roman"/>
          <w:noProof/>
          <w:sz w:val="24"/>
          <w:szCs w:val="24"/>
        </w:rPr>
        <w:t>, vol. 1, no. 10, pp. 1235–1243, 2023.</w:t>
      </w:r>
    </w:p>
    <w:p w14:paraId="2065FF2D" w14:textId="77777777" w:rsidR="00A46751" w:rsidRPr="00A46751" w:rsidRDefault="00A46751" w:rsidP="00A5380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6751">
        <w:rPr>
          <w:rFonts w:ascii="Tw Cen MT" w:hAnsi="Tw Cen MT" w:cs="Times New Roman"/>
          <w:noProof/>
          <w:sz w:val="24"/>
          <w:szCs w:val="24"/>
        </w:rPr>
        <w:t>[8]</w:t>
      </w:r>
      <w:r w:rsidRPr="00A46751">
        <w:rPr>
          <w:rFonts w:ascii="Tw Cen MT" w:hAnsi="Tw Cen MT" w:cs="Times New Roman"/>
          <w:noProof/>
          <w:sz w:val="24"/>
          <w:szCs w:val="24"/>
        </w:rPr>
        <w:tab/>
        <w:t xml:space="preserve">C. S. Burton and T. P. Szczykutowicz, “Evaluation of AAPM Reports 204 and 220: Estimation of effective diameter, water-equivalent diameter, and ellipticity ratios for chest, abdomen, pelvis, and head CT scans,” </w:t>
      </w:r>
      <w:r w:rsidRPr="00A46751">
        <w:rPr>
          <w:rFonts w:ascii="Tw Cen MT" w:hAnsi="Tw Cen MT" w:cs="Times New Roman"/>
          <w:i/>
          <w:iCs/>
          <w:noProof/>
          <w:sz w:val="24"/>
          <w:szCs w:val="24"/>
        </w:rPr>
        <w:t>J. Appl. Clin. Med. Phys.</w:t>
      </w:r>
      <w:r w:rsidRPr="00A46751">
        <w:rPr>
          <w:rFonts w:ascii="Tw Cen MT" w:hAnsi="Tw Cen MT" w:cs="Times New Roman"/>
          <w:noProof/>
          <w:sz w:val="24"/>
          <w:szCs w:val="24"/>
        </w:rPr>
        <w:t>, vol. 19, no. 1, pp. 228–238, 2018, doi: 10.1002/acm2.12223.</w:t>
      </w:r>
    </w:p>
    <w:p w14:paraId="03FB1859" w14:textId="77777777" w:rsidR="00A46751" w:rsidRPr="00A46751" w:rsidRDefault="00A46751" w:rsidP="00A5380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6751">
        <w:rPr>
          <w:rFonts w:ascii="Tw Cen MT" w:hAnsi="Tw Cen MT" w:cs="Times New Roman"/>
          <w:noProof/>
          <w:sz w:val="24"/>
          <w:szCs w:val="24"/>
        </w:rPr>
        <w:t>[9]</w:t>
      </w:r>
      <w:r w:rsidRPr="00A46751">
        <w:rPr>
          <w:rFonts w:ascii="Tw Cen MT" w:hAnsi="Tw Cen MT" w:cs="Times New Roman"/>
          <w:noProof/>
          <w:sz w:val="24"/>
          <w:szCs w:val="24"/>
        </w:rPr>
        <w:tab/>
        <w:t xml:space="preserve">A. Mohammadbeigi, K. Khoshgard, A. Haghparast, and M. T. Eivazi, “Local DRLS for Paediatric CT Examinations Based on Size Specific dose Estimate in Kermanshah, Iran,” </w:t>
      </w:r>
      <w:r w:rsidRPr="00A46751">
        <w:rPr>
          <w:rFonts w:ascii="Tw Cen MT" w:hAnsi="Tw Cen MT" w:cs="Times New Roman"/>
          <w:i/>
          <w:iCs/>
          <w:noProof/>
          <w:sz w:val="24"/>
          <w:szCs w:val="24"/>
        </w:rPr>
        <w:t>Radiat. Prot. Dosimetry</w:t>
      </w:r>
      <w:r w:rsidRPr="00A46751">
        <w:rPr>
          <w:rFonts w:ascii="Tw Cen MT" w:hAnsi="Tw Cen MT" w:cs="Times New Roman"/>
          <w:noProof/>
          <w:sz w:val="24"/>
          <w:szCs w:val="24"/>
        </w:rPr>
        <w:t>, vol. 186, no. 4, pp. 496–506, 2019, doi: 10.1093/rpd/ncz056.</w:t>
      </w:r>
    </w:p>
    <w:p w14:paraId="52E1CE3F" w14:textId="77777777" w:rsidR="00A46751" w:rsidRPr="00A46751" w:rsidRDefault="00A46751" w:rsidP="00A5380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6751">
        <w:rPr>
          <w:rFonts w:ascii="Tw Cen MT" w:hAnsi="Tw Cen MT" w:cs="Times New Roman"/>
          <w:noProof/>
          <w:sz w:val="24"/>
          <w:szCs w:val="24"/>
        </w:rPr>
        <w:t>[10]</w:t>
      </w:r>
      <w:r w:rsidRPr="00A46751">
        <w:rPr>
          <w:rFonts w:ascii="Tw Cen MT" w:hAnsi="Tw Cen MT" w:cs="Times New Roman"/>
          <w:noProof/>
          <w:sz w:val="24"/>
          <w:szCs w:val="24"/>
        </w:rPr>
        <w:tab/>
        <w:t>C. Anam, U. Diponegoro, F. Haryanto, I. Arif, G. Dougherty, and C. Islands, “IndoseCT,” no. September, 2017.</w:t>
      </w:r>
    </w:p>
    <w:p w14:paraId="3BB21E67" w14:textId="77777777" w:rsidR="00A46751" w:rsidRPr="00A46751" w:rsidRDefault="00A46751" w:rsidP="00A5380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6751">
        <w:rPr>
          <w:rFonts w:ascii="Tw Cen MT" w:hAnsi="Tw Cen MT" w:cs="Times New Roman"/>
          <w:noProof/>
          <w:sz w:val="24"/>
          <w:szCs w:val="24"/>
        </w:rPr>
        <w:t>[11]</w:t>
      </w:r>
      <w:r w:rsidRPr="00A46751">
        <w:rPr>
          <w:rFonts w:ascii="Tw Cen MT" w:hAnsi="Tw Cen MT" w:cs="Times New Roman"/>
          <w:noProof/>
          <w:sz w:val="24"/>
          <w:szCs w:val="24"/>
        </w:rPr>
        <w:tab/>
        <w:t xml:space="preserve">E. Vañó </w:t>
      </w:r>
      <w:r w:rsidRPr="00A46751">
        <w:rPr>
          <w:rFonts w:ascii="Tw Cen MT" w:hAnsi="Tw Cen MT" w:cs="Times New Roman"/>
          <w:i/>
          <w:iCs/>
          <w:noProof/>
          <w:sz w:val="24"/>
          <w:szCs w:val="24"/>
        </w:rPr>
        <w:t>et al.</w:t>
      </w:r>
      <w:r w:rsidRPr="00A46751">
        <w:rPr>
          <w:rFonts w:ascii="Tw Cen MT" w:hAnsi="Tw Cen MT" w:cs="Times New Roman"/>
          <w:noProof/>
          <w:sz w:val="24"/>
          <w:szCs w:val="24"/>
        </w:rPr>
        <w:t xml:space="preserve">, </w:t>
      </w:r>
      <w:r w:rsidRPr="00A46751">
        <w:rPr>
          <w:rFonts w:ascii="Tw Cen MT" w:hAnsi="Tw Cen MT" w:cs="Times New Roman"/>
          <w:i/>
          <w:iCs/>
          <w:noProof/>
          <w:sz w:val="24"/>
          <w:szCs w:val="24"/>
        </w:rPr>
        <w:t>Annals o f the ICRP</w:t>
      </w:r>
      <w:r w:rsidRPr="00A46751">
        <w:rPr>
          <w:rFonts w:ascii="Tw Cen MT" w:hAnsi="Tw Cen MT" w:cs="Times New Roman"/>
          <w:noProof/>
          <w:sz w:val="24"/>
          <w:szCs w:val="24"/>
        </w:rPr>
        <w:t>, vol. 44, no. 1. 2015. [Online]. Available: www.icrp.org</w:t>
      </w:r>
    </w:p>
    <w:p w14:paraId="3B453540" w14:textId="77777777" w:rsidR="00A46751" w:rsidRPr="00A46751" w:rsidRDefault="00A46751" w:rsidP="00A5380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6751">
        <w:rPr>
          <w:rFonts w:ascii="Tw Cen MT" w:hAnsi="Tw Cen MT" w:cs="Times New Roman"/>
          <w:noProof/>
          <w:sz w:val="24"/>
          <w:szCs w:val="24"/>
        </w:rPr>
        <w:t>[12]</w:t>
      </w:r>
      <w:r w:rsidRPr="00A46751">
        <w:rPr>
          <w:rFonts w:ascii="Tw Cen MT" w:hAnsi="Tw Cen MT" w:cs="Times New Roman"/>
          <w:noProof/>
          <w:sz w:val="24"/>
          <w:szCs w:val="24"/>
        </w:rPr>
        <w:tab/>
        <w:t xml:space="preserve">Nihayati Rizki, Choirul Anam, Heri Sutanto, and Geoff Dougherty, “Accuracy of IndoseCT for Measuring Effective Diameter from axial CT Images,” </w:t>
      </w:r>
      <w:r w:rsidRPr="00A46751">
        <w:rPr>
          <w:rFonts w:ascii="Tw Cen MT" w:hAnsi="Tw Cen MT" w:cs="Times New Roman"/>
          <w:i/>
          <w:iCs/>
          <w:noProof/>
          <w:sz w:val="24"/>
          <w:szCs w:val="24"/>
        </w:rPr>
        <w:t>Int. J. Sci. Res. Sci. Technol.</w:t>
      </w:r>
      <w:r w:rsidRPr="00A46751">
        <w:rPr>
          <w:rFonts w:ascii="Tw Cen MT" w:hAnsi="Tw Cen MT" w:cs="Times New Roman"/>
          <w:noProof/>
          <w:sz w:val="24"/>
          <w:szCs w:val="24"/>
        </w:rPr>
        <w:t>, no. February, pp. 434–445, 2023, doi: 10.32628/ijsrst2310136.</w:t>
      </w:r>
    </w:p>
    <w:p w14:paraId="6918BE4D" w14:textId="77777777" w:rsidR="00A46751" w:rsidRPr="00A46751" w:rsidRDefault="00A46751" w:rsidP="00A5380C">
      <w:pPr>
        <w:widowControl w:val="0"/>
        <w:autoSpaceDE w:val="0"/>
        <w:autoSpaceDN w:val="0"/>
        <w:adjustRightInd w:val="0"/>
        <w:spacing w:after="0" w:line="240" w:lineRule="auto"/>
        <w:ind w:left="640" w:hanging="640"/>
        <w:jc w:val="both"/>
        <w:rPr>
          <w:rFonts w:ascii="Tw Cen MT" w:hAnsi="Tw Cen MT"/>
          <w:noProof/>
          <w:sz w:val="24"/>
        </w:rPr>
      </w:pPr>
      <w:r w:rsidRPr="00A46751">
        <w:rPr>
          <w:rFonts w:ascii="Tw Cen MT" w:hAnsi="Tw Cen MT" w:cs="Times New Roman"/>
          <w:noProof/>
          <w:sz w:val="24"/>
          <w:szCs w:val="24"/>
        </w:rPr>
        <w:t>[13]</w:t>
      </w:r>
      <w:r w:rsidRPr="00A46751">
        <w:rPr>
          <w:rFonts w:ascii="Tw Cen MT" w:hAnsi="Tw Cen MT" w:cs="Times New Roman"/>
          <w:noProof/>
          <w:sz w:val="24"/>
          <w:szCs w:val="24"/>
        </w:rPr>
        <w:tab/>
        <w:t>I. Andriani, W. S. Budi, H. Sutanto, and C. Anam, “I nternational J ournal of A llied M edical S ciences and C linical R esearch ( IJAMSCR ) Analysis of the Effect of Phantom CT Scan Diameter Variations on Radiation Dose with IndoseCT,” vol. 7, no. 1, pp. 21–27, 2019.</w:t>
      </w:r>
    </w:p>
    <w:p w14:paraId="73CB6CA9" w14:textId="27FFB0B1" w:rsidR="004721E3" w:rsidRPr="00227851" w:rsidRDefault="00293C1F" w:rsidP="00A5380C">
      <w:pPr>
        <w:widowControl w:val="0"/>
        <w:autoSpaceDE w:val="0"/>
        <w:autoSpaceDN w:val="0"/>
        <w:adjustRightInd w:val="0"/>
        <w:spacing w:after="0" w:line="240" w:lineRule="auto"/>
        <w:ind w:left="640" w:hanging="640"/>
        <w:jc w:val="both"/>
        <w:rPr>
          <w:rFonts w:ascii="Tw Cen MT" w:eastAsia="Twentieth Century" w:hAnsi="Tw Cen MT" w:cs="Twentieth Century"/>
          <w:color w:val="0D0D0D"/>
          <w:sz w:val="24"/>
          <w:szCs w:val="24"/>
        </w:rPr>
      </w:pPr>
      <w:r w:rsidRPr="00227851">
        <w:rPr>
          <w:rFonts w:ascii="Tw Cen MT" w:eastAsia="Twentieth Century" w:hAnsi="Tw Cen MT" w:cs="Twentieth Century"/>
          <w:color w:val="0D0D0D"/>
          <w:sz w:val="24"/>
          <w:szCs w:val="24"/>
        </w:rPr>
        <w:fldChar w:fldCharType="end"/>
      </w:r>
      <w:commentRangeEnd w:id="15"/>
      <w:r w:rsidR="00302045">
        <w:rPr>
          <w:rStyle w:val="CommentReference"/>
        </w:rPr>
        <w:commentReference w:id="15"/>
      </w:r>
    </w:p>
    <w:p w14:paraId="2DC7BB5D" w14:textId="702BFD22" w:rsidR="004721E3" w:rsidRPr="00227851" w:rsidRDefault="004721E3" w:rsidP="00A5380C">
      <w:pPr>
        <w:spacing w:after="0" w:line="240" w:lineRule="auto"/>
        <w:ind w:left="426" w:hanging="426"/>
        <w:jc w:val="both"/>
        <w:rPr>
          <w:rFonts w:ascii="Tw Cen MT" w:eastAsia="Twentieth Century" w:hAnsi="Tw Cen MT" w:cs="Twentieth Century"/>
          <w:color w:val="0D0D0D"/>
          <w:sz w:val="24"/>
          <w:szCs w:val="24"/>
        </w:rPr>
        <w:sectPr w:rsidR="004721E3" w:rsidRPr="00227851">
          <w:type w:val="continuous"/>
          <w:pgSz w:w="12240" w:h="15840"/>
          <w:pgMar w:top="1440" w:right="1440" w:bottom="1440" w:left="1440" w:header="720" w:footer="720" w:gutter="0"/>
          <w:cols w:num="2" w:space="720" w:equalWidth="0">
            <w:col w:w="4320" w:space="720"/>
            <w:col w:w="4320" w:space="0"/>
          </w:cols>
        </w:sectPr>
      </w:pPr>
    </w:p>
    <w:p w14:paraId="1145E53C" w14:textId="3B7122A9" w:rsidR="007F4948" w:rsidRPr="00227851" w:rsidRDefault="007F4948" w:rsidP="00A5380C">
      <w:pPr>
        <w:spacing w:after="0" w:line="240" w:lineRule="auto"/>
        <w:ind w:right="-1"/>
        <w:jc w:val="both"/>
        <w:rPr>
          <w:rFonts w:ascii="Tw Cen MT" w:eastAsia="Twentieth Century" w:hAnsi="Tw Cen MT" w:cs="Twentieth Century"/>
          <w:sz w:val="24"/>
          <w:szCs w:val="24"/>
        </w:rPr>
      </w:pPr>
      <w:bookmarkStart w:id="16" w:name="_GoBack"/>
      <w:bookmarkEnd w:id="16"/>
    </w:p>
    <w:sectPr w:rsidR="007F4948" w:rsidRPr="00227851"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IA-MUTU" w:date="2024-05-22T09:22:00Z" w:initials="T">
    <w:p w14:paraId="5FFF6685" w14:textId="0394B269" w:rsidR="00996660" w:rsidRDefault="00996660">
      <w:pPr>
        <w:pStyle w:val="CommentText"/>
      </w:pPr>
      <w:r>
        <w:rPr>
          <w:rStyle w:val="CommentReference"/>
        </w:rPr>
        <w:annotationRef/>
      </w:r>
      <w:r>
        <w:t>Jumlah kata untuk judul maksimal 10 kata</w:t>
      </w:r>
    </w:p>
  </w:comment>
  <w:comment w:id="2" w:author="THIA-MUTU" w:date="2024-05-22T09:25:00Z" w:initials="T">
    <w:p w14:paraId="266EEC0E" w14:textId="7C9AC775" w:rsidR="00996660" w:rsidRDefault="00996660">
      <w:pPr>
        <w:pStyle w:val="CommentText"/>
      </w:pPr>
      <w:r>
        <w:rPr>
          <w:rStyle w:val="CommentReference"/>
        </w:rPr>
        <w:annotationRef/>
      </w:r>
      <w:r>
        <w:t>Maksimal 10 kata</w:t>
      </w:r>
    </w:p>
  </w:comment>
  <w:comment w:id="3" w:author="THIA-MUTU" w:date="2024-05-22T09:34:00Z" w:initials="T">
    <w:p w14:paraId="355B7456" w14:textId="7E219EB6" w:rsidR="00996660" w:rsidRDefault="00996660">
      <w:pPr>
        <w:pStyle w:val="CommentText"/>
      </w:pPr>
      <w:r>
        <w:rPr>
          <w:rStyle w:val="CommentReference"/>
        </w:rPr>
        <w:annotationRef/>
      </w:r>
      <w:r>
        <w:t>Agar direduksi menjadi 150 kata</w:t>
      </w:r>
      <w:r w:rsidR="003D5582">
        <w:t>. Agar menyebutkan impilasi dari hasil penelitian yang didapat</w:t>
      </w:r>
    </w:p>
  </w:comment>
  <w:comment w:id="4" w:author="THIA-MUTU" w:date="2024-05-22T09:28:00Z" w:initials="T">
    <w:p w14:paraId="1B2057D6" w14:textId="08135743" w:rsidR="00996660" w:rsidRDefault="00996660">
      <w:pPr>
        <w:pStyle w:val="CommentText"/>
      </w:pPr>
      <w:r>
        <w:rPr>
          <w:rStyle w:val="CommentReference"/>
        </w:rPr>
        <w:annotationRef/>
      </w:r>
      <w:r>
        <w:t>Maks 150 kata</w:t>
      </w:r>
    </w:p>
  </w:comment>
  <w:comment w:id="5" w:author="THIA-MUTU" w:date="2024-05-22T09:45:00Z" w:initials="T">
    <w:p w14:paraId="6A7A4EF3" w14:textId="3A3152AE" w:rsidR="006801D5" w:rsidRDefault="006801D5">
      <w:pPr>
        <w:pStyle w:val="CommentText"/>
      </w:pPr>
      <w:r>
        <w:rPr>
          <w:rStyle w:val="CommentReference"/>
        </w:rPr>
        <w:annotationRef/>
      </w:r>
      <w:r>
        <w:t>Berarti retrospektif ya? Sila dinyatakan dulu ini adalah retro. Teknik sampling seperti apa? Nyatakan variabel yang diukur, analisis yang digunakan, secara jelas.</w:t>
      </w:r>
    </w:p>
  </w:comment>
  <w:comment w:id="7" w:author="THIA-MUTU" w:date="2024-05-22T09:38:00Z" w:initials="T">
    <w:p w14:paraId="6AD2A799" w14:textId="1CCF8E05" w:rsidR="003D5582" w:rsidRDefault="003D5582">
      <w:pPr>
        <w:pStyle w:val="CommentText"/>
      </w:pPr>
      <w:r>
        <w:rPr>
          <w:rStyle w:val="CommentReference"/>
        </w:rPr>
        <w:annotationRef/>
      </w:r>
      <w:r>
        <w:t>Font 10</w:t>
      </w:r>
    </w:p>
  </w:comment>
  <w:comment w:id="8" w:author="THIA-MUTU" w:date="2024-05-22T09:47:00Z" w:initials="T">
    <w:p w14:paraId="0AC6EB37" w14:textId="271931A0" w:rsidR="006801D5" w:rsidRDefault="006801D5">
      <w:pPr>
        <w:pStyle w:val="CommentText"/>
      </w:pPr>
      <w:r>
        <w:rPr>
          <w:rStyle w:val="CommentReference"/>
        </w:rPr>
        <w:annotationRef/>
      </w:r>
      <w:r>
        <w:t>Font 10</w:t>
      </w:r>
    </w:p>
  </w:comment>
  <w:comment w:id="9" w:author="THIA-MUTU" w:date="2024-05-22T09:54:00Z" w:initials="T">
    <w:p w14:paraId="497E6ECB" w14:textId="3891F901" w:rsidR="00DE30AE" w:rsidRDefault="00DE30AE">
      <w:pPr>
        <w:pStyle w:val="CommentText"/>
      </w:pPr>
      <w:r>
        <w:rPr>
          <w:rStyle w:val="CommentReference"/>
        </w:rPr>
        <w:annotationRef/>
      </w:r>
      <w:r>
        <w:t>Font 10</w:t>
      </w:r>
    </w:p>
  </w:comment>
  <w:comment w:id="10" w:author="THIA-MUTU" w:date="2024-05-22T09:54:00Z" w:initials="T">
    <w:p w14:paraId="530A7773" w14:textId="45707D57" w:rsidR="00DE30AE" w:rsidRDefault="00DE30AE">
      <w:pPr>
        <w:pStyle w:val="CommentText"/>
      </w:pPr>
      <w:r>
        <w:rPr>
          <w:rStyle w:val="CommentReference"/>
        </w:rPr>
        <w:annotationRef/>
      </w:r>
      <w:r>
        <w:t>Font 10</w:t>
      </w:r>
    </w:p>
  </w:comment>
  <w:comment w:id="11" w:author="THIA-MUTU" w:date="2024-05-22T10:03:00Z" w:initials="T">
    <w:p w14:paraId="5D169438" w14:textId="7DF2B58A" w:rsidR="00302045" w:rsidRDefault="00302045">
      <w:pPr>
        <w:pStyle w:val="CommentText"/>
      </w:pPr>
      <w:r>
        <w:rPr>
          <w:rStyle w:val="CommentReference"/>
        </w:rPr>
        <w:annotationRef/>
      </w:r>
      <w:r>
        <w:t>Font 10. Tabel hasil uji statistic tidak perlu disajikan dalam artikel</w:t>
      </w:r>
    </w:p>
  </w:comment>
  <w:comment w:id="12" w:author="THIA-MUTU" w:date="2024-05-22T10:02:00Z" w:initials="T">
    <w:p w14:paraId="08DFFDFF" w14:textId="1832D67F" w:rsidR="00302045" w:rsidRDefault="00302045">
      <w:pPr>
        <w:pStyle w:val="CommentText"/>
      </w:pPr>
      <w:r>
        <w:rPr>
          <w:rStyle w:val="CommentReference"/>
        </w:rPr>
        <w:annotationRef/>
      </w:r>
      <w:r>
        <w:t>Font 10</w:t>
      </w:r>
    </w:p>
  </w:comment>
  <w:comment w:id="13" w:author="THIA-MUTU" w:date="2024-05-22T10:02:00Z" w:initials="T">
    <w:p w14:paraId="2F7B1712" w14:textId="010FFAD6" w:rsidR="00302045" w:rsidRDefault="00302045">
      <w:pPr>
        <w:pStyle w:val="CommentText"/>
      </w:pPr>
      <w:r>
        <w:rPr>
          <w:rStyle w:val="CommentReference"/>
        </w:rPr>
        <w:annotationRef/>
      </w:r>
      <w:r>
        <w:t>Font 10</w:t>
      </w:r>
    </w:p>
  </w:comment>
  <w:comment w:id="14" w:author="THIA-MUTU" w:date="2024-05-22T10:07:00Z" w:initials="T">
    <w:p w14:paraId="632B6F7C" w14:textId="796DB8EB" w:rsidR="00302045" w:rsidRDefault="00302045">
      <w:pPr>
        <w:pStyle w:val="CommentText"/>
      </w:pPr>
      <w:r>
        <w:rPr>
          <w:rStyle w:val="CommentReference"/>
        </w:rPr>
        <w:annotationRef/>
      </w:r>
      <w:r>
        <w:t>Pada bgian hasil dan pembahasan, penulis hanya menyajikan data hasil penelitian saja. Sila ditambakan pembahasan dari data yang diperoleh tersebut. Apa implikasinya dari penelitian ini? Perlu dibandingkan dengan hasil penelitian sejenis. Dari temuan utama yang didapatkan sebagai hasil, apa maknanya. Sila dibahas kembali.</w:t>
      </w:r>
    </w:p>
  </w:comment>
  <w:comment w:id="15" w:author="THIA-MUTU" w:date="2024-05-22T10:08:00Z" w:initials="T">
    <w:p w14:paraId="015C0BFB" w14:textId="02F5281F" w:rsidR="00302045" w:rsidRDefault="00302045">
      <w:pPr>
        <w:pStyle w:val="CommentText"/>
      </w:pPr>
      <w:r>
        <w:rPr>
          <w:rStyle w:val="CommentReference"/>
        </w:rPr>
        <w:annotationRef/>
      </w:r>
      <w:r>
        <w:t>Minimal 20 rujukan 10 tahun terakhir, sila ditambahkan, terutama rujukan untuk pembuatan pembahasan hasil di atas.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56F55" w14:textId="77777777" w:rsidR="006C793D" w:rsidRDefault="006C793D">
      <w:pPr>
        <w:spacing w:after="0" w:line="240" w:lineRule="auto"/>
      </w:pPr>
      <w:r>
        <w:separator/>
      </w:r>
    </w:p>
  </w:endnote>
  <w:endnote w:type="continuationSeparator" w:id="0">
    <w:p w14:paraId="15EE9971" w14:textId="77777777" w:rsidR="006C793D" w:rsidRDefault="006C7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941062"/>
      <w:docPartObj>
        <w:docPartGallery w:val="Page Numbers (Bottom of Page)"/>
        <w:docPartUnique/>
      </w:docPartObj>
    </w:sdtPr>
    <w:sdtEndPr>
      <w:rPr>
        <w:noProof/>
      </w:rPr>
    </w:sdtEndPr>
    <w:sdtContent>
      <w:p w14:paraId="27529A77" w14:textId="0E563C53"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239137"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VIGbdAAAACAEAAA8AAABkcnMvZG93&#10;bnJldi54bWxMj0FvwjAMhe+T9h8iT9oN0sLEoDRF0zTurOyw3UJj2mqNUyWhFH79PO0wTpb9np6/&#10;l29G24kBfWgdKUinCQikypmWagUf++1kCSJETUZ3jlDBBQNsivu7XGfGnekdhzLWgkMoZFpBE2Of&#10;SRmqBq0OU9cjsXZ03urIq6+l8frM4baTsyRZSKtb4g+N7vG1weq7PFkF7eqLjrRLh/pzv30zfnct&#10;L8NVqceH8WUNIuIY/83wi8/oUDDTwZ3IBNEpmKRP7OQ5m4NgfTVfPIM4/B1kkcvbAsUPAAAA//8D&#10;AFBLAQItABQABgAIAAAAIQC2gziS/gAAAOEBAAATAAAAAAAAAAAAAAAAAAAAAABbQ29udGVudF9U&#10;eXBlc10ueG1sUEsBAi0AFAAGAAgAAAAhADj9If/WAAAAlAEAAAsAAAAAAAAAAAAAAAAALwEAAF9y&#10;ZWxzLy5yZWxzUEsBAi0AFAAGAAgAAAAhAPiVSCa8AQAA3gMAAA4AAAAAAAAAAAAAAAAALgIAAGRy&#10;cy9lMm9Eb2MueG1sUEsBAi0AFAAGAAgAAAAhAIcVIGbdAAAACAEAAA8AAAAAAAAAAAAAAAAAFgQA&#10;AGRycy9kb3ducmV2LnhtbFBLBQYAAAAABAAEAPMAAAAgBQ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r w:rsidR="008466BB">
              <w:rPr>
                <w:rFonts w:ascii="Tw Cen MT" w:hAnsi="Tw Cen MT"/>
                <w:color w:val="000000" w:themeColor="text1"/>
                <w:sz w:val="20"/>
                <w:szCs w:val="24"/>
                <w:lang w:val="en-ID"/>
              </w:rPr>
              <w:t>Nurbaiti dan nurbaiti@poltekkesjkt2.ac.id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6C793D">
          <w:rPr>
            <w:rFonts w:ascii="Tw Cen MT" w:hAnsi="Tw Cen MT"/>
            <w:noProof/>
            <w:sz w:val="24"/>
            <w:szCs w:val="24"/>
          </w:rPr>
          <w:t>1</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532D7" w14:textId="77777777" w:rsidR="006C793D" w:rsidRDefault="006C793D">
      <w:pPr>
        <w:spacing w:after="0" w:line="240" w:lineRule="auto"/>
      </w:pPr>
      <w:r>
        <w:separator/>
      </w:r>
    </w:p>
  </w:footnote>
  <w:footnote w:type="continuationSeparator" w:id="0">
    <w:p w14:paraId="3AA40C76" w14:textId="77777777" w:rsidR="006C793D" w:rsidRDefault="006C79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cstheme="minorBidi"/>
        <w:sz w:val="20"/>
        <w:szCs w:val="20"/>
      </w:rPr>
      <w:alias w:val="Title"/>
      <w:id w:val="-839311394"/>
      <w:placeholder>
        <w:docPart w:val="98CABDCE1CAC4D7FA0A11B2A1C225D39"/>
      </w:placeholder>
      <w:showingPlcHdr/>
      <w:dataBinding w:prefixMappings="xmlns:ns0='http://schemas.openxmlformats.org/package/2006/metadata/core-properties' xmlns:ns1='http://purl.org/dc/elements/1.1/'" w:xpath="/ns0:coreProperties[1]/ns1:title[1]" w:storeItemID="{6C3C8BC8-F283-45AE-878A-BAB7291924A1}"/>
      <w:text/>
    </w:sdtPr>
    <w:sdtEndPr/>
    <w:sdtContent>
      <w:p w14:paraId="64DC28A2" w14:textId="3948C0DC" w:rsidR="00A36329" w:rsidRDefault="007065CC" w:rsidP="007A770B">
        <w:pPr>
          <w:pStyle w:val="Header"/>
          <w:tabs>
            <w:tab w:val="clear" w:pos="4680"/>
            <w:tab w:val="clear" w:pos="9360"/>
          </w:tabs>
          <w:spacing w:after="120" w:line="276" w:lineRule="auto"/>
          <w:rPr>
            <w:b/>
            <w:bCs/>
            <w:color w:val="1F497D" w:themeColor="text2"/>
            <w:sz w:val="28"/>
            <w:szCs w:val="28"/>
          </w:rPr>
        </w:pPr>
        <w:r>
          <w:rPr>
            <w:b/>
            <w:bCs/>
            <w:color w:val="1F497D" w:themeColor="text2"/>
            <w:sz w:val="28"/>
            <w:szCs w:val="28"/>
          </w:rPr>
          <w:t>[Type the document title]</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650437"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MamgurcAAAABgEAAA8AAABkcnMv&#10;ZG93bnJldi54bWxMj0tPwzAQhO9I/Adrkbi1Tmh5NMSpEK9KHJAIXHrbxts4EK+j2GnCv8eIQznu&#10;zGjm23w92VYcqPeNYwXpPAFBXDndcK3g4/1pdgPCB2SNrWNS8E0e1sXpSY6ZdiO/0aEMtYgl7DNU&#10;YELoMil9Zciin7uOOHp711sM8exrqXscY7lt5UWSXEmLDccFgx3dG6q+ysEqeKaH8nX/ONYb2g6X&#10;y88Xh6NxSp2fTXe3IAJN4RiGX/yIDkVk2rmBtRetgvhIULBYXIOI7mqZpiB2f4Iscvkfv/gBAAD/&#10;/wMAUEsBAi0AFAAGAAgAAAAhALaDOJL+AAAA4QEAABMAAAAAAAAAAAAAAAAAAAAAAFtDb250ZW50&#10;X1R5cGVzXS54bWxQSwECLQAUAAYACAAAACEAOP0h/9YAAACUAQAACwAAAAAAAAAAAAAAAAAvAQAA&#10;X3JlbHMvLnJlbHNQSwECLQAUAAYACAAAACEA9MpIhr8BAAB9AwAADgAAAAAAAAAAAAAAAAAuAgAA&#10;ZHJzL2Uyb0RvYy54bWxQSwECLQAUAAYACAAAACEAxqaC6twAAAAGAQAADwAAAAAAAAAAAAAAAAAZ&#10;BAAAZHJzL2Rvd25yZXYueG1sUEsFBgAAAAAEAAQA8wAAACIFA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B116AAB"/>
    <w:multiLevelType w:val="hybridMultilevel"/>
    <w:tmpl w:val="C9FE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6B6030"/>
    <w:multiLevelType w:val="hybridMultilevel"/>
    <w:tmpl w:val="C79ADD68"/>
    <w:lvl w:ilvl="0" w:tplc="9C62FCCC">
      <w:start w:val="1"/>
      <w:numFmt w:val="decimal"/>
      <w:lvlText w:val="%1."/>
      <w:lvlJc w:val="left"/>
      <w:pPr>
        <w:ind w:left="975" w:hanging="360"/>
        <w:jc w:val="left"/>
      </w:pPr>
      <w:rPr>
        <w:rFonts w:hint="default"/>
        <w:spacing w:val="0"/>
        <w:w w:val="100"/>
        <w:lang w:eastAsia="en-US" w:bidi="ar-SA"/>
      </w:rPr>
    </w:lvl>
    <w:lvl w:ilvl="1" w:tplc="ADA65B5A">
      <w:numFmt w:val="bullet"/>
      <w:lvlText w:val="•"/>
      <w:lvlJc w:val="left"/>
      <w:pPr>
        <w:ind w:left="1780" w:hanging="360"/>
      </w:pPr>
      <w:rPr>
        <w:rFonts w:hint="default"/>
        <w:lang w:eastAsia="en-US" w:bidi="ar-SA"/>
      </w:rPr>
    </w:lvl>
    <w:lvl w:ilvl="2" w:tplc="DDCEC9C0">
      <w:numFmt w:val="bullet"/>
      <w:lvlText w:val="•"/>
      <w:lvlJc w:val="left"/>
      <w:pPr>
        <w:ind w:left="2580" w:hanging="360"/>
      </w:pPr>
      <w:rPr>
        <w:rFonts w:hint="default"/>
        <w:lang w:eastAsia="en-US" w:bidi="ar-SA"/>
      </w:rPr>
    </w:lvl>
    <w:lvl w:ilvl="3" w:tplc="7D12B7EE">
      <w:numFmt w:val="bullet"/>
      <w:lvlText w:val="•"/>
      <w:lvlJc w:val="left"/>
      <w:pPr>
        <w:ind w:left="3380" w:hanging="360"/>
      </w:pPr>
      <w:rPr>
        <w:rFonts w:hint="default"/>
        <w:lang w:eastAsia="en-US" w:bidi="ar-SA"/>
      </w:rPr>
    </w:lvl>
    <w:lvl w:ilvl="4" w:tplc="940ADA70">
      <w:numFmt w:val="bullet"/>
      <w:lvlText w:val="•"/>
      <w:lvlJc w:val="left"/>
      <w:pPr>
        <w:ind w:left="4180" w:hanging="360"/>
      </w:pPr>
      <w:rPr>
        <w:rFonts w:hint="default"/>
        <w:lang w:eastAsia="en-US" w:bidi="ar-SA"/>
      </w:rPr>
    </w:lvl>
    <w:lvl w:ilvl="5" w:tplc="B4861A84">
      <w:numFmt w:val="bullet"/>
      <w:lvlText w:val="•"/>
      <w:lvlJc w:val="left"/>
      <w:pPr>
        <w:ind w:left="4980" w:hanging="360"/>
      </w:pPr>
      <w:rPr>
        <w:rFonts w:hint="default"/>
        <w:lang w:eastAsia="en-US" w:bidi="ar-SA"/>
      </w:rPr>
    </w:lvl>
    <w:lvl w:ilvl="6" w:tplc="A6429B54">
      <w:numFmt w:val="bullet"/>
      <w:lvlText w:val="•"/>
      <w:lvlJc w:val="left"/>
      <w:pPr>
        <w:ind w:left="5780" w:hanging="360"/>
      </w:pPr>
      <w:rPr>
        <w:rFonts w:hint="default"/>
        <w:lang w:eastAsia="en-US" w:bidi="ar-SA"/>
      </w:rPr>
    </w:lvl>
    <w:lvl w:ilvl="7" w:tplc="5F140A24">
      <w:numFmt w:val="bullet"/>
      <w:lvlText w:val="•"/>
      <w:lvlJc w:val="left"/>
      <w:pPr>
        <w:ind w:left="6580" w:hanging="360"/>
      </w:pPr>
      <w:rPr>
        <w:rFonts w:hint="default"/>
        <w:lang w:eastAsia="en-US" w:bidi="ar-SA"/>
      </w:rPr>
    </w:lvl>
    <w:lvl w:ilvl="8" w:tplc="846CBA8C">
      <w:numFmt w:val="bullet"/>
      <w:lvlText w:val="•"/>
      <w:lvlJc w:val="left"/>
      <w:pPr>
        <w:ind w:left="7380" w:hanging="360"/>
      </w:pPr>
      <w:rPr>
        <w:rFonts w:hint="default"/>
        <w:lang w:eastAsia="en-US" w:bidi="ar-SA"/>
      </w:rPr>
    </w:lvl>
  </w:abstractNum>
  <w:abstractNum w:abstractNumId="5">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7C56368B"/>
    <w:multiLevelType w:val="hybridMultilevel"/>
    <w:tmpl w:val="4036A3FE"/>
    <w:lvl w:ilvl="0" w:tplc="2CF650F8">
      <w:start w:val="1"/>
      <w:numFmt w:val="upperLetter"/>
      <w:lvlText w:val="%1."/>
      <w:lvlJc w:val="left"/>
      <w:pPr>
        <w:ind w:left="949" w:hanging="361"/>
        <w:jc w:val="left"/>
      </w:pPr>
      <w:rPr>
        <w:rFonts w:ascii="Times New Roman" w:eastAsia="Times New Roman" w:hAnsi="Times New Roman" w:cs="Times New Roman" w:hint="default"/>
        <w:b/>
        <w:bCs/>
        <w:spacing w:val="-2"/>
        <w:w w:val="99"/>
        <w:sz w:val="24"/>
        <w:szCs w:val="24"/>
        <w:lang w:eastAsia="en-US" w:bidi="ar-SA"/>
      </w:rPr>
    </w:lvl>
    <w:lvl w:ilvl="1" w:tplc="F8405198">
      <w:start w:val="1"/>
      <w:numFmt w:val="decimal"/>
      <w:lvlText w:val="%2."/>
      <w:lvlJc w:val="left"/>
      <w:pPr>
        <w:ind w:left="949" w:hanging="361"/>
        <w:jc w:val="left"/>
      </w:pPr>
      <w:rPr>
        <w:rFonts w:ascii="Times New Roman" w:eastAsia="Times New Roman" w:hAnsi="Times New Roman" w:cs="Times New Roman" w:hint="default"/>
        <w:i w:val="0"/>
        <w:w w:val="100"/>
        <w:sz w:val="24"/>
        <w:szCs w:val="24"/>
        <w:lang w:eastAsia="en-US" w:bidi="ar-SA"/>
      </w:rPr>
    </w:lvl>
    <w:lvl w:ilvl="2" w:tplc="2862A7E4">
      <w:numFmt w:val="bullet"/>
      <w:lvlText w:val="•"/>
      <w:lvlJc w:val="left"/>
      <w:pPr>
        <w:ind w:left="2629" w:hanging="361"/>
      </w:pPr>
      <w:rPr>
        <w:rFonts w:hint="default"/>
        <w:lang w:eastAsia="en-US" w:bidi="ar-SA"/>
      </w:rPr>
    </w:lvl>
    <w:lvl w:ilvl="3" w:tplc="5010FEE8">
      <w:numFmt w:val="bullet"/>
      <w:lvlText w:val="•"/>
      <w:lvlJc w:val="left"/>
      <w:pPr>
        <w:ind w:left="3474" w:hanging="361"/>
      </w:pPr>
      <w:rPr>
        <w:rFonts w:hint="default"/>
        <w:lang w:eastAsia="en-US" w:bidi="ar-SA"/>
      </w:rPr>
    </w:lvl>
    <w:lvl w:ilvl="4" w:tplc="9DA433DA">
      <w:numFmt w:val="bullet"/>
      <w:lvlText w:val="•"/>
      <w:lvlJc w:val="left"/>
      <w:pPr>
        <w:ind w:left="4319" w:hanging="361"/>
      </w:pPr>
      <w:rPr>
        <w:rFonts w:hint="default"/>
        <w:lang w:eastAsia="en-US" w:bidi="ar-SA"/>
      </w:rPr>
    </w:lvl>
    <w:lvl w:ilvl="5" w:tplc="A92ECA7E">
      <w:numFmt w:val="bullet"/>
      <w:lvlText w:val="•"/>
      <w:lvlJc w:val="left"/>
      <w:pPr>
        <w:ind w:left="5164" w:hanging="361"/>
      </w:pPr>
      <w:rPr>
        <w:rFonts w:hint="default"/>
        <w:lang w:eastAsia="en-US" w:bidi="ar-SA"/>
      </w:rPr>
    </w:lvl>
    <w:lvl w:ilvl="6" w:tplc="C032F9E0">
      <w:numFmt w:val="bullet"/>
      <w:lvlText w:val="•"/>
      <w:lvlJc w:val="left"/>
      <w:pPr>
        <w:ind w:left="6008" w:hanging="361"/>
      </w:pPr>
      <w:rPr>
        <w:rFonts w:hint="default"/>
        <w:lang w:eastAsia="en-US" w:bidi="ar-SA"/>
      </w:rPr>
    </w:lvl>
    <w:lvl w:ilvl="7" w:tplc="8CE6DCA4">
      <w:numFmt w:val="bullet"/>
      <w:lvlText w:val="•"/>
      <w:lvlJc w:val="left"/>
      <w:pPr>
        <w:ind w:left="6853" w:hanging="361"/>
      </w:pPr>
      <w:rPr>
        <w:rFonts w:hint="default"/>
        <w:lang w:eastAsia="en-US" w:bidi="ar-SA"/>
      </w:rPr>
    </w:lvl>
    <w:lvl w:ilvl="8" w:tplc="13AC2E78">
      <w:numFmt w:val="bullet"/>
      <w:lvlText w:val="•"/>
      <w:lvlJc w:val="left"/>
      <w:pPr>
        <w:ind w:left="7698" w:hanging="361"/>
      </w:pPr>
      <w:rPr>
        <w:rFonts w:hint="default"/>
        <w:lang w:eastAsia="en-US" w:bidi="ar-SA"/>
      </w:rPr>
    </w:lvl>
  </w:abstractNum>
  <w:num w:numId="1">
    <w:abstractNumId w:val="3"/>
  </w:num>
  <w:num w:numId="2">
    <w:abstractNumId w:val="5"/>
  </w:num>
  <w:num w:numId="3">
    <w:abstractNumId w:val="1"/>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48"/>
    <w:rsid w:val="00003082"/>
    <w:rsid w:val="00003871"/>
    <w:rsid w:val="00013185"/>
    <w:rsid w:val="00035823"/>
    <w:rsid w:val="00035A37"/>
    <w:rsid w:val="00035EAB"/>
    <w:rsid w:val="00046906"/>
    <w:rsid w:val="000664F0"/>
    <w:rsid w:val="00082EFF"/>
    <w:rsid w:val="00090A6B"/>
    <w:rsid w:val="00096D8F"/>
    <w:rsid w:val="000A46F4"/>
    <w:rsid w:val="000B1F81"/>
    <w:rsid w:val="000B75DE"/>
    <w:rsid w:val="000C4719"/>
    <w:rsid w:val="000D0DFF"/>
    <w:rsid w:val="00101DB8"/>
    <w:rsid w:val="00106CE2"/>
    <w:rsid w:val="00106D4F"/>
    <w:rsid w:val="0011263D"/>
    <w:rsid w:val="00113901"/>
    <w:rsid w:val="00136E70"/>
    <w:rsid w:val="001545D6"/>
    <w:rsid w:val="00160FDD"/>
    <w:rsid w:val="0016328E"/>
    <w:rsid w:val="00163BA7"/>
    <w:rsid w:val="0016482E"/>
    <w:rsid w:val="00165829"/>
    <w:rsid w:val="00166BFA"/>
    <w:rsid w:val="00184DE9"/>
    <w:rsid w:val="001874A6"/>
    <w:rsid w:val="00194C11"/>
    <w:rsid w:val="00195E91"/>
    <w:rsid w:val="00196C16"/>
    <w:rsid w:val="001F1073"/>
    <w:rsid w:val="002113FB"/>
    <w:rsid w:val="00212521"/>
    <w:rsid w:val="00222E32"/>
    <w:rsid w:val="00223B20"/>
    <w:rsid w:val="00227851"/>
    <w:rsid w:val="002278C4"/>
    <w:rsid w:val="00261BB2"/>
    <w:rsid w:val="00265248"/>
    <w:rsid w:val="0027621D"/>
    <w:rsid w:val="00292E42"/>
    <w:rsid w:val="00293C1F"/>
    <w:rsid w:val="00293DB9"/>
    <w:rsid w:val="002A3827"/>
    <w:rsid w:val="002B20BA"/>
    <w:rsid w:val="002C693D"/>
    <w:rsid w:val="002C73F4"/>
    <w:rsid w:val="002D30A7"/>
    <w:rsid w:val="002E750B"/>
    <w:rsid w:val="002E7BE2"/>
    <w:rsid w:val="002F4771"/>
    <w:rsid w:val="00301611"/>
    <w:rsid w:val="00302045"/>
    <w:rsid w:val="003069B5"/>
    <w:rsid w:val="00306DA7"/>
    <w:rsid w:val="00307CDB"/>
    <w:rsid w:val="00314849"/>
    <w:rsid w:val="00360085"/>
    <w:rsid w:val="00361BBD"/>
    <w:rsid w:val="00370DA4"/>
    <w:rsid w:val="00372502"/>
    <w:rsid w:val="00380121"/>
    <w:rsid w:val="003D5582"/>
    <w:rsid w:val="003E3115"/>
    <w:rsid w:val="003E3A18"/>
    <w:rsid w:val="003F6489"/>
    <w:rsid w:val="003F6B0D"/>
    <w:rsid w:val="00413D75"/>
    <w:rsid w:val="00420F93"/>
    <w:rsid w:val="00431AAB"/>
    <w:rsid w:val="00463B9A"/>
    <w:rsid w:val="0046541C"/>
    <w:rsid w:val="004721E3"/>
    <w:rsid w:val="004A34C5"/>
    <w:rsid w:val="004A3EFA"/>
    <w:rsid w:val="004B41B7"/>
    <w:rsid w:val="004C01E6"/>
    <w:rsid w:val="004E128A"/>
    <w:rsid w:val="004F0C66"/>
    <w:rsid w:val="0051763E"/>
    <w:rsid w:val="005215A7"/>
    <w:rsid w:val="00532848"/>
    <w:rsid w:val="00533D1A"/>
    <w:rsid w:val="005424FD"/>
    <w:rsid w:val="005458B9"/>
    <w:rsid w:val="005471FC"/>
    <w:rsid w:val="005642A1"/>
    <w:rsid w:val="00565328"/>
    <w:rsid w:val="005663C2"/>
    <w:rsid w:val="005C1635"/>
    <w:rsid w:val="005C30BC"/>
    <w:rsid w:val="005C5210"/>
    <w:rsid w:val="005C7605"/>
    <w:rsid w:val="005D5BC4"/>
    <w:rsid w:val="005E0707"/>
    <w:rsid w:val="005E0EA2"/>
    <w:rsid w:val="005E4B1B"/>
    <w:rsid w:val="00611B8B"/>
    <w:rsid w:val="00624B47"/>
    <w:rsid w:val="006334E1"/>
    <w:rsid w:val="006431BA"/>
    <w:rsid w:val="00655189"/>
    <w:rsid w:val="00665737"/>
    <w:rsid w:val="00670815"/>
    <w:rsid w:val="006801D5"/>
    <w:rsid w:val="006B1D84"/>
    <w:rsid w:val="006C793D"/>
    <w:rsid w:val="006D261F"/>
    <w:rsid w:val="007006B9"/>
    <w:rsid w:val="0070464E"/>
    <w:rsid w:val="007065CC"/>
    <w:rsid w:val="007106F6"/>
    <w:rsid w:val="007368A2"/>
    <w:rsid w:val="00762C0B"/>
    <w:rsid w:val="00765F40"/>
    <w:rsid w:val="00776383"/>
    <w:rsid w:val="007A1AEF"/>
    <w:rsid w:val="007A4152"/>
    <w:rsid w:val="007A770B"/>
    <w:rsid w:val="007D6BB1"/>
    <w:rsid w:val="007D6D9D"/>
    <w:rsid w:val="007E655E"/>
    <w:rsid w:val="007E6A66"/>
    <w:rsid w:val="007F4948"/>
    <w:rsid w:val="0080365E"/>
    <w:rsid w:val="00812425"/>
    <w:rsid w:val="0081569B"/>
    <w:rsid w:val="008466BB"/>
    <w:rsid w:val="0086728C"/>
    <w:rsid w:val="008A032E"/>
    <w:rsid w:val="008A326F"/>
    <w:rsid w:val="008E2FE8"/>
    <w:rsid w:val="008E4977"/>
    <w:rsid w:val="00922C08"/>
    <w:rsid w:val="00942731"/>
    <w:rsid w:val="00943EB9"/>
    <w:rsid w:val="00952368"/>
    <w:rsid w:val="0096335E"/>
    <w:rsid w:val="00996625"/>
    <w:rsid w:val="00996660"/>
    <w:rsid w:val="00997349"/>
    <w:rsid w:val="009A245A"/>
    <w:rsid w:val="009A70E3"/>
    <w:rsid w:val="009B258F"/>
    <w:rsid w:val="009B575D"/>
    <w:rsid w:val="009C16D2"/>
    <w:rsid w:val="009D73CD"/>
    <w:rsid w:val="009F5E84"/>
    <w:rsid w:val="009F6554"/>
    <w:rsid w:val="00A01FDB"/>
    <w:rsid w:val="00A228DC"/>
    <w:rsid w:val="00A343E3"/>
    <w:rsid w:val="00A36329"/>
    <w:rsid w:val="00A37390"/>
    <w:rsid w:val="00A448B7"/>
    <w:rsid w:val="00A46751"/>
    <w:rsid w:val="00A5380C"/>
    <w:rsid w:val="00A54D02"/>
    <w:rsid w:val="00A60C3E"/>
    <w:rsid w:val="00A71279"/>
    <w:rsid w:val="00A74EB2"/>
    <w:rsid w:val="00A83D0E"/>
    <w:rsid w:val="00AB2BCC"/>
    <w:rsid w:val="00AC41F3"/>
    <w:rsid w:val="00AE2862"/>
    <w:rsid w:val="00AF291F"/>
    <w:rsid w:val="00B057E2"/>
    <w:rsid w:val="00B241B6"/>
    <w:rsid w:val="00B25240"/>
    <w:rsid w:val="00B41001"/>
    <w:rsid w:val="00B63555"/>
    <w:rsid w:val="00B674AF"/>
    <w:rsid w:val="00BC23AE"/>
    <w:rsid w:val="00BC34CC"/>
    <w:rsid w:val="00BD4BB4"/>
    <w:rsid w:val="00BE7B4C"/>
    <w:rsid w:val="00BF5DC2"/>
    <w:rsid w:val="00C133E7"/>
    <w:rsid w:val="00C20FA8"/>
    <w:rsid w:val="00C61766"/>
    <w:rsid w:val="00C812B9"/>
    <w:rsid w:val="00C832C3"/>
    <w:rsid w:val="00C863C0"/>
    <w:rsid w:val="00C96B4B"/>
    <w:rsid w:val="00CB0A6C"/>
    <w:rsid w:val="00CB3237"/>
    <w:rsid w:val="00CC3958"/>
    <w:rsid w:val="00CC6020"/>
    <w:rsid w:val="00CD6253"/>
    <w:rsid w:val="00CD7B93"/>
    <w:rsid w:val="00CE3D98"/>
    <w:rsid w:val="00CE7579"/>
    <w:rsid w:val="00CF5715"/>
    <w:rsid w:val="00D0123F"/>
    <w:rsid w:val="00D06530"/>
    <w:rsid w:val="00D2571D"/>
    <w:rsid w:val="00D31D13"/>
    <w:rsid w:val="00D37FC1"/>
    <w:rsid w:val="00D428B5"/>
    <w:rsid w:val="00D44301"/>
    <w:rsid w:val="00D466FC"/>
    <w:rsid w:val="00D46EB5"/>
    <w:rsid w:val="00D56013"/>
    <w:rsid w:val="00D70D6D"/>
    <w:rsid w:val="00D87200"/>
    <w:rsid w:val="00D9262D"/>
    <w:rsid w:val="00D95556"/>
    <w:rsid w:val="00D9785A"/>
    <w:rsid w:val="00DA198D"/>
    <w:rsid w:val="00DB156A"/>
    <w:rsid w:val="00DB7592"/>
    <w:rsid w:val="00DC2BB5"/>
    <w:rsid w:val="00DE0138"/>
    <w:rsid w:val="00DE0B98"/>
    <w:rsid w:val="00DE30AE"/>
    <w:rsid w:val="00DE3780"/>
    <w:rsid w:val="00DF0819"/>
    <w:rsid w:val="00DF0B65"/>
    <w:rsid w:val="00DF6E07"/>
    <w:rsid w:val="00E00E3E"/>
    <w:rsid w:val="00E03962"/>
    <w:rsid w:val="00E067A8"/>
    <w:rsid w:val="00E37E90"/>
    <w:rsid w:val="00E40FA3"/>
    <w:rsid w:val="00E72387"/>
    <w:rsid w:val="00E81E13"/>
    <w:rsid w:val="00E8799A"/>
    <w:rsid w:val="00EA57B9"/>
    <w:rsid w:val="00EC229D"/>
    <w:rsid w:val="00ED0E10"/>
    <w:rsid w:val="00ED39E1"/>
    <w:rsid w:val="00EE2944"/>
    <w:rsid w:val="00F1133F"/>
    <w:rsid w:val="00F35A84"/>
    <w:rsid w:val="00F41FB3"/>
    <w:rsid w:val="00F5431A"/>
    <w:rsid w:val="00F6187B"/>
    <w:rsid w:val="00F64252"/>
    <w:rsid w:val="00F817F4"/>
    <w:rsid w:val="00F841D1"/>
    <w:rsid w:val="00F9233C"/>
    <w:rsid w:val="00FA6417"/>
    <w:rsid w:val="00FC4544"/>
    <w:rsid w:val="00FD179C"/>
    <w:rsid w:val="00FD3D94"/>
    <w:rsid w:val="00FE0E26"/>
    <w:rsid w:val="00FE0EBE"/>
    <w:rsid w:val="00FE4F92"/>
    <w:rsid w:val="00FF7853"/>
    <w:rsid w:val="00FF7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NoSpacing">
    <w:name w:val="No Spacing"/>
    <w:uiPriority w:val="1"/>
    <w:qFormat/>
    <w:rsid w:val="00C61766"/>
    <w:pPr>
      <w:widowControl w:val="0"/>
      <w:autoSpaceDE w:val="0"/>
      <w:autoSpaceDN w:val="0"/>
      <w:spacing w:after="0" w:line="360" w:lineRule="auto"/>
      <w:ind w:left="284" w:firstLine="425"/>
      <w:jc w:val="both"/>
    </w:pPr>
    <w:rPr>
      <w:rFonts w:ascii="Times New Roman" w:eastAsia="Times New Roman" w:hAnsi="Times New Roman" w:cs="Times New Roman"/>
      <w:sz w:val="24"/>
      <w:szCs w:val="22"/>
    </w:rPr>
  </w:style>
  <w:style w:type="paragraph" w:styleId="BodyText">
    <w:name w:val="Body Text"/>
    <w:basedOn w:val="Normal"/>
    <w:link w:val="BodyTextChar"/>
    <w:uiPriority w:val="1"/>
    <w:qFormat/>
    <w:rsid w:val="00C6176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6176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NoSpacing">
    <w:name w:val="No Spacing"/>
    <w:uiPriority w:val="1"/>
    <w:qFormat/>
    <w:rsid w:val="00C61766"/>
    <w:pPr>
      <w:widowControl w:val="0"/>
      <w:autoSpaceDE w:val="0"/>
      <w:autoSpaceDN w:val="0"/>
      <w:spacing w:after="0" w:line="360" w:lineRule="auto"/>
      <w:ind w:left="284" w:firstLine="425"/>
      <w:jc w:val="both"/>
    </w:pPr>
    <w:rPr>
      <w:rFonts w:ascii="Times New Roman" w:eastAsia="Times New Roman" w:hAnsi="Times New Roman" w:cs="Times New Roman"/>
      <w:sz w:val="24"/>
      <w:szCs w:val="22"/>
    </w:rPr>
  </w:style>
  <w:style w:type="paragraph" w:styleId="BodyText">
    <w:name w:val="Body Text"/>
    <w:basedOn w:val="Normal"/>
    <w:link w:val="BodyTextChar"/>
    <w:uiPriority w:val="1"/>
    <w:qFormat/>
    <w:rsid w:val="00C6176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617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3.png"/><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97"/>
    <w:rsid w:val="000D36E0"/>
    <w:rsid w:val="000D480E"/>
    <w:rsid w:val="00143BDB"/>
    <w:rsid w:val="002373DF"/>
    <w:rsid w:val="002502AE"/>
    <w:rsid w:val="00287697"/>
    <w:rsid w:val="00342DE1"/>
    <w:rsid w:val="003D7BD9"/>
    <w:rsid w:val="0040539B"/>
    <w:rsid w:val="00412461"/>
    <w:rsid w:val="00632D88"/>
    <w:rsid w:val="00637CD0"/>
    <w:rsid w:val="006A6FA9"/>
    <w:rsid w:val="00725346"/>
    <w:rsid w:val="00A17421"/>
    <w:rsid w:val="00A26059"/>
    <w:rsid w:val="00A43BA2"/>
    <w:rsid w:val="00A85543"/>
    <w:rsid w:val="00B33B39"/>
    <w:rsid w:val="00D04E9B"/>
    <w:rsid w:val="00D21D86"/>
    <w:rsid w:val="00D35AD2"/>
    <w:rsid w:val="00DF2BBE"/>
    <w:rsid w:val="00E36BF1"/>
    <w:rsid w:val="00E94A9D"/>
    <w:rsid w:val="00EA6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A82951-20A7-4A86-B033-9F6FFE625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7427</Words>
  <Characters>42337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Nurbaiti dan nurbaiti@poltekkesjkt2.ac.id</dc:creator>
  <cp:lastModifiedBy>THIA-MUTU</cp:lastModifiedBy>
  <cp:revision>2</cp:revision>
  <cp:lastPrinted>2023-05-02T07:00:00Z</cp:lastPrinted>
  <dcterms:created xsi:type="dcterms:W3CDTF">2024-05-22T03:09:00Z</dcterms:created>
  <dcterms:modified xsi:type="dcterms:W3CDTF">2024-05-22T03:09:00Z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7218514c-ab08-3873-9244-49dd59950eeb</vt:lpwstr>
  </property>
  <property fmtid="{D5CDD505-2E9C-101B-9397-08002B2CF9AE}" pid="24" name="Mendeley Citation Style_1">
    <vt:lpwstr>http://www.zotero.org/styles/ieee</vt:lpwstr>
  </property>
</Properties>
</file>