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F440" w14:textId="4FD21514" w:rsidR="009B1E9A" w:rsidRPr="009B1E9A" w:rsidRDefault="009B1E9A" w:rsidP="009B1E9A">
      <w:pPr>
        <w:spacing w:after="0" w:line="360" w:lineRule="auto"/>
        <w:jc w:val="center"/>
        <w:rPr>
          <w:rFonts w:ascii="Tw Cen MT" w:hAnsi="Tw Cen MT" w:cs="Times New Roman"/>
          <w:sz w:val="32"/>
          <w:szCs w:val="32"/>
        </w:rPr>
      </w:pPr>
      <w:bookmarkStart w:id="0" w:name="_Hlk135749717"/>
      <w:commentRangeStart w:id="1"/>
      <w:r w:rsidRPr="009B1E9A">
        <w:rPr>
          <w:rFonts w:ascii="Tw Cen MT" w:hAnsi="Tw Cen MT" w:cs="Times New Roman"/>
          <w:b/>
          <w:sz w:val="32"/>
          <w:szCs w:val="32"/>
        </w:rPr>
        <w:t>Pengaruh Penggunaan Antikoagulan Profilaksis Terhadap Parameter Koagulasi Pada Pasien Covid-19 Dengan Komorbid Diabetes Di RSUP Dr. M Djamil Padang</w:t>
      </w:r>
      <w:commentRangeEnd w:id="1"/>
      <w:r w:rsidR="006E2E3E">
        <w:rPr>
          <w:rStyle w:val="CommentReference"/>
        </w:rPr>
        <w:commentReference w:id="1"/>
      </w:r>
    </w:p>
    <w:bookmarkEnd w:id="0"/>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5DAD1CD0" w:rsidR="004721E3" w:rsidRPr="00FF3C37" w:rsidRDefault="009B1E9A" w:rsidP="00FF3C37">
      <w:pPr>
        <w:widowControl w:val="0"/>
        <w:spacing w:after="0" w:line="218" w:lineRule="auto"/>
        <w:ind w:left="7" w:right="-20"/>
        <w:jc w:val="center"/>
        <w:rPr>
          <w:rFonts w:ascii="Tw Cen MT" w:eastAsia="Twentieth Century" w:hAnsi="Tw Cen MT" w:cs="Twentieth Century"/>
          <w:sz w:val="24"/>
          <w:szCs w:val="24"/>
          <w:vertAlign w:val="superscript"/>
        </w:rPr>
      </w:pPr>
      <w:bookmarkStart w:id="2" w:name="_Hlk135749761"/>
      <w:r>
        <w:rPr>
          <w:rFonts w:ascii="Tw Cen MT" w:eastAsia="Twentieth Century" w:hAnsi="Tw Cen MT" w:cs="Twentieth Century"/>
          <w:sz w:val="24"/>
          <w:szCs w:val="24"/>
        </w:rPr>
        <w:t>Nurma Febria</w:t>
      </w:r>
      <w:r w:rsidR="004721E3" w:rsidRPr="002E23D7">
        <w:rPr>
          <w:rFonts w:ascii="Tw Cen MT" w:eastAsia="Twentieth Century" w:hAnsi="Tw Cen MT" w:cs="Twentieth Century"/>
          <w:sz w:val="24"/>
          <w:szCs w:val="24"/>
          <w:vertAlign w:val="superscript"/>
        </w:rPr>
        <w:t xml:space="preserve">1, </w:t>
      </w:r>
      <w:r w:rsidR="00FF3C37">
        <w:rPr>
          <w:rFonts w:ascii="Tw Cen MT" w:eastAsia="Twentieth Century" w:hAnsi="Tw Cen MT" w:cs="Twentieth Century"/>
          <w:sz w:val="24"/>
          <w:szCs w:val="24"/>
        </w:rPr>
        <w:t>Fatma Sri Wahyuni</w:t>
      </w:r>
      <w:r w:rsidR="004421CC">
        <w:rPr>
          <w:rFonts w:ascii="Tw Cen MT" w:eastAsia="Twentieth Century" w:hAnsi="Tw Cen MT" w:cs="Twentieth Century"/>
          <w:sz w:val="24"/>
          <w:szCs w:val="24"/>
          <w:vertAlign w:val="superscript"/>
        </w:rPr>
        <w:t>1</w:t>
      </w:r>
      <w:r w:rsidR="00FF3C37">
        <w:rPr>
          <w:rFonts w:ascii="Tw Cen MT" w:eastAsia="Twentieth Century" w:hAnsi="Tw Cen MT" w:cs="Twentieth Century"/>
          <w:sz w:val="24"/>
          <w:szCs w:val="24"/>
        </w:rPr>
        <w:t xml:space="preserve"> </w:t>
      </w:r>
      <w:r>
        <w:rPr>
          <w:rFonts w:ascii="Tw Cen MT" w:eastAsia="Twentieth Century" w:hAnsi="Tw Cen MT" w:cs="Twentieth Century"/>
          <w:sz w:val="24"/>
          <w:szCs w:val="24"/>
        </w:rPr>
        <w:t>Yufri</w:t>
      </w:r>
      <w:r w:rsidR="004421CC">
        <w:rPr>
          <w:rFonts w:ascii="Tw Cen MT" w:eastAsia="Twentieth Century" w:hAnsi="Tw Cen MT" w:cs="Twentieth Century"/>
          <w:sz w:val="24"/>
          <w:szCs w:val="24"/>
        </w:rPr>
        <w:t xml:space="preserve"> </w:t>
      </w:r>
      <w:r>
        <w:rPr>
          <w:rFonts w:ascii="Tw Cen MT" w:eastAsia="Twentieth Century" w:hAnsi="Tw Cen MT" w:cs="Twentieth Century"/>
          <w:sz w:val="24"/>
          <w:szCs w:val="24"/>
        </w:rPr>
        <w:t>aldi</w:t>
      </w:r>
      <w:commentRangeStart w:id="3"/>
      <w:r w:rsidR="004421CC">
        <w:rPr>
          <w:rFonts w:ascii="Tw Cen MT" w:eastAsia="Twentieth Century" w:hAnsi="Tw Cen MT" w:cs="Twentieth Century"/>
          <w:sz w:val="24"/>
          <w:szCs w:val="24"/>
          <w:vertAlign w:val="superscript"/>
        </w:rPr>
        <w:t>1</w:t>
      </w:r>
      <w:commentRangeEnd w:id="3"/>
      <w:r w:rsidR="006E2E3E">
        <w:rPr>
          <w:rStyle w:val="CommentReference"/>
        </w:rPr>
        <w:commentReference w:id="3"/>
      </w:r>
    </w:p>
    <w:bookmarkEnd w:id="2"/>
    <w:p w14:paraId="37629F48" w14:textId="29D049FF" w:rsidR="004721E3" w:rsidRPr="002E23D7" w:rsidRDefault="009B1E9A"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Universitas Andalas</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Padang</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Indonesia</w:t>
      </w:r>
      <w:r w:rsidR="004721E3" w:rsidRPr="002E23D7">
        <w:rPr>
          <w:rFonts w:ascii="Tw Cen MT" w:eastAsia="Twentieth Century" w:hAnsi="Tw Cen MT" w:cs="Twentieth Century"/>
          <w:sz w:val="20"/>
          <w:szCs w:val="20"/>
        </w:rPr>
        <w:t>(s)</w:t>
      </w:r>
      <w:r w:rsidR="004721E3" w:rsidRPr="002E23D7">
        <w:rPr>
          <w:rFonts w:ascii="Tw Cen MT" w:eastAsia="Twentieth Century" w:hAnsi="Tw Cen MT" w:cs="Twentieth Century"/>
          <w:sz w:val="20"/>
          <w:szCs w:val="20"/>
          <w:vertAlign w:val="superscript"/>
        </w:rPr>
        <w:t>1</w:t>
      </w:r>
    </w:p>
    <w:p w14:paraId="23FA8100" w14:textId="74355E15"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r w:rsidR="009B1E9A">
        <w:rPr>
          <w:rFonts w:ascii="Tw Cen MT" w:eastAsia="Twentieth Century" w:hAnsi="Tw Cen MT" w:cs="Twentieth Century"/>
          <w:sz w:val="20"/>
          <w:szCs w:val="20"/>
        </w:rPr>
        <w:t>nurmafebria27@gmail.com</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40AC433" w14:textId="71DFB1B3" w:rsidR="000A7A80" w:rsidRPr="000A7A80" w:rsidRDefault="000A7A80" w:rsidP="000A7A80">
      <w:pPr>
        <w:spacing w:after="0" w:line="240" w:lineRule="auto"/>
        <w:ind w:left="3150"/>
        <w:jc w:val="both"/>
        <w:rPr>
          <w:rFonts w:eastAsia="Times New Roman"/>
          <w:color w:val="000000"/>
          <w:lang w:val="en-ID" w:eastAsia="en-ID"/>
        </w:rPr>
      </w:pPr>
      <w:r w:rsidRPr="000A7A80">
        <w:rPr>
          <w:rFonts w:ascii="Tw Cen MT" w:eastAsia="Times New Roman" w:hAnsi="Tw Cen MT"/>
          <w:color w:val="000000"/>
          <w:sz w:val="20"/>
          <w:szCs w:val="20"/>
          <w:lang w:val="en" w:eastAsia="en-ID"/>
        </w:rPr>
        <w:t>Coagulation disorders, one of the causes of death of severe Covid-19 patients and comorbidities that also affect coagulation is Diabetes Mellitus. In the guidelines, it is recommended to use prophylactic anticoagulants, namely Unfractionated Heparin (UFH) and Low Molecular Weight Heparin (LMWH) to overcome the problem of this coagulation disorder by paying attention to the value of coagulation parameters, namely, D-Dimer, PT, APTT and platelet values. The purpose of this study was to see the relationship between the use of prophylactic anticoagulants with a decrease / increase in the value of the coagulation parameter. The research design was retrospective pre-post test cohort study with research subjects of comorbid Covid-19 Diabetes patients treated in the ICU of RSUP Dr.M Djamil Padang. As a result, in the group of patients using UFH there was a significant decrease in D-Dimer values (p = 0.001) while the LMWH group was not significantly related (p = 0.05). </w:t>
      </w:r>
      <w:r w:rsidRPr="000A7A80">
        <w:rPr>
          <w:rFonts w:ascii="Tw Cen MT" w:eastAsia="Times New Roman" w:hAnsi="Tw Cen MT"/>
          <w:color w:val="0F0F5F"/>
          <w:sz w:val="20"/>
          <w:szCs w:val="20"/>
          <w:shd w:val="clear" w:color="auto" w:fill="F0F0A0"/>
          <w:lang w:val="en" w:eastAsia="en-ID"/>
        </w:rPr>
        <w:t>For the association of anticoagulants with PT values, APTT in both groups was not significant. </w:t>
      </w:r>
      <w:r w:rsidRPr="000A7A80">
        <w:rPr>
          <w:rFonts w:ascii="Tw Cen MT" w:eastAsia="Times New Roman" w:hAnsi="Tw Cen MT"/>
          <w:color w:val="000000"/>
          <w:sz w:val="20"/>
          <w:szCs w:val="20"/>
          <w:lang w:val="en" w:eastAsia="en-ID"/>
        </w:rPr>
        <w:t>As for platelet values, there was a significant decrease in the UFH group. Conclusion for severe Covid-19 patients with comorbid Diabetes The use of UFH is recommended as a therapeutic option.</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2DB116F1" w:rsidR="007F4948" w:rsidRPr="000A7A80" w:rsidRDefault="00E62B60" w:rsidP="000A7A80">
      <w:pPr>
        <w:tabs>
          <w:tab w:val="left" w:pos="426"/>
        </w:tabs>
        <w:spacing w:after="0" w:line="240" w:lineRule="auto"/>
        <w:ind w:left="3150"/>
        <w:jc w:val="both"/>
        <w:rPr>
          <w:rFonts w:ascii="Tw Cen MT" w:eastAsia="Twentieth Century" w:hAnsi="Tw Cen MT" w:cs="Twentieth Century"/>
          <w:i/>
          <w:sz w:val="20"/>
          <w:szCs w:val="20"/>
        </w:rPr>
      </w:pPr>
      <w:commentRangeStart w:id="4"/>
      <w:r>
        <w:rPr>
          <w:rFonts w:ascii="Tw Cen MT" w:eastAsia="Twentieth Century" w:hAnsi="Tw Cen MT" w:cs="Twentieth Century"/>
          <w:i/>
          <w:sz w:val="20"/>
          <w:szCs w:val="20"/>
        </w:rPr>
        <w:t>anticoagulation</w:t>
      </w:r>
      <w:r w:rsidR="004721E3" w:rsidRPr="002E23D7">
        <w:rPr>
          <w:rFonts w:ascii="Tw Cen MT" w:eastAsia="Twentieth Century" w:hAnsi="Tw Cen MT" w:cs="Twentieth Century"/>
          <w:i/>
          <w:sz w:val="20"/>
          <w:szCs w:val="20"/>
        </w:rPr>
        <w:t xml:space="preserve"> 1; </w:t>
      </w:r>
      <w:r>
        <w:rPr>
          <w:rFonts w:ascii="Tw Cen MT" w:eastAsia="Twentieth Century" w:hAnsi="Tw Cen MT" w:cs="Twentieth Century"/>
          <w:i/>
          <w:sz w:val="20"/>
          <w:szCs w:val="20"/>
        </w:rPr>
        <w:t>Covid-19</w:t>
      </w:r>
      <w:r w:rsidR="004721E3" w:rsidRPr="002E23D7">
        <w:rPr>
          <w:rFonts w:ascii="Tw Cen MT" w:eastAsia="Twentieth Century" w:hAnsi="Tw Cen MT" w:cs="Twentieth Century"/>
          <w:i/>
          <w:sz w:val="20"/>
          <w:szCs w:val="20"/>
        </w:rPr>
        <w:t xml:space="preserve"> 2;</w:t>
      </w:r>
      <w:r>
        <w:rPr>
          <w:rFonts w:ascii="Tw Cen MT" w:eastAsia="Twentieth Century" w:hAnsi="Tw Cen MT" w:cs="Twentieth Century"/>
          <w:i/>
          <w:sz w:val="20"/>
          <w:szCs w:val="20"/>
        </w:rPr>
        <w:t xml:space="preserve"> Diabetes</w:t>
      </w:r>
      <w:r w:rsidR="004721E3" w:rsidRPr="002E23D7">
        <w:rPr>
          <w:rFonts w:ascii="Tw Cen MT" w:eastAsia="Twentieth Century" w:hAnsi="Tw Cen MT" w:cs="Twentieth Century"/>
          <w:i/>
          <w:sz w:val="20"/>
          <w:szCs w:val="20"/>
        </w:rPr>
        <w:t xml:space="preserve"> 3</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commentRangeEnd w:id="4"/>
      <w:r w:rsidR="006E2E3E">
        <w:rPr>
          <w:rStyle w:val="CommentReference"/>
        </w:rPr>
        <w:commentReference w:id="4"/>
      </w:r>
    </w:p>
    <w:p w14:paraId="166CD64A" w14:textId="1DC88EB6" w:rsidR="007F4948" w:rsidRPr="004721E3" w:rsidRDefault="005553B8" w:rsidP="00314849">
      <w:pPr>
        <w:tabs>
          <w:tab w:val="left" w:pos="426"/>
        </w:tabs>
        <w:spacing w:after="0" w:line="240" w:lineRule="auto"/>
        <w:ind w:left="3150"/>
        <w:jc w:val="both"/>
        <w:rPr>
          <w:rFonts w:ascii="Tw Cen MT" w:eastAsia="Twentieth Century" w:hAnsi="Tw Cen MT" w:cs="Twentieth Century"/>
          <w:iCs/>
          <w:sz w:val="20"/>
          <w:szCs w:val="20"/>
        </w:rPr>
      </w:pPr>
      <w:bookmarkStart w:id="5" w:name="_Hlk135809355"/>
      <w:r>
        <w:rPr>
          <w:rFonts w:ascii="Tw Cen MT" w:eastAsia="Twentieth Century" w:hAnsi="Tw Cen MT" w:cs="Twentieth Century"/>
          <w:iCs/>
          <w:color w:val="000000"/>
          <w:sz w:val="20"/>
          <w:szCs w:val="20"/>
        </w:rPr>
        <w:t>Gangguan koagulasi</w:t>
      </w:r>
      <w:r w:rsidR="00A73BDE">
        <w:rPr>
          <w:rFonts w:ascii="Tw Cen MT" w:eastAsia="Twentieth Century" w:hAnsi="Tw Cen MT" w:cs="Twentieth Century"/>
          <w:iCs/>
          <w:color w:val="000000"/>
          <w:sz w:val="20"/>
          <w:szCs w:val="20"/>
        </w:rPr>
        <w:t xml:space="preserve"> </w:t>
      </w:r>
      <w:r>
        <w:rPr>
          <w:rFonts w:ascii="Tw Cen MT" w:eastAsia="Twentieth Century" w:hAnsi="Tw Cen MT" w:cs="Twentieth Century"/>
          <w:iCs/>
          <w:color w:val="000000"/>
          <w:sz w:val="20"/>
          <w:szCs w:val="20"/>
        </w:rPr>
        <w:t xml:space="preserve">salah satu </w:t>
      </w:r>
      <w:r w:rsidR="00797338">
        <w:rPr>
          <w:rFonts w:ascii="Tw Cen MT" w:eastAsia="Twentieth Century" w:hAnsi="Tw Cen MT" w:cs="Twentieth Century"/>
          <w:iCs/>
          <w:color w:val="000000"/>
          <w:sz w:val="20"/>
          <w:szCs w:val="20"/>
        </w:rPr>
        <w:t xml:space="preserve">komplikasi </w:t>
      </w:r>
      <w:r>
        <w:rPr>
          <w:rFonts w:ascii="Tw Cen MT" w:eastAsia="Twentieth Century" w:hAnsi="Tw Cen MT" w:cs="Twentieth Century"/>
          <w:iCs/>
          <w:color w:val="000000"/>
          <w:sz w:val="20"/>
          <w:szCs w:val="20"/>
        </w:rPr>
        <w:t>penyebab kematian pasien Covid-19 derajat berat</w:t>
      </w:r>
      <w:r w:rsidR="00A73BDE">
        <w:rPr>
          <w:rFonts w:ascii="Tw Cen MT" w:eastAsia="Twentieth Century" w:hAnsi="Tw Cen MT" w:cs="Twentieth Century"/>
          <w:iCs/>
          <w:color w:val="000000"/>
          <w:sz w:val="20"/>
          <w:szCs w:val="20"/>
        </w:rPr>
        <w:t xml:space="preserve"> dan </w:t>
      </w:r>
      <w:r w:rsidR="00797338">
        <w:rPr>
          <w:rFonts w:ascii="Tw Cen MT" w:eastAsia="Twentieth Century" w:hAnsi="Tw Cen MT" w:cs="Twentieth Century"/>
          <w:iCs/>
          <w:color w:val="000000"/>
          <w:sz w:val="20"/>
          <w:szCs w:val="20"/>
        </w:rPr>
        <w:t xml:space="preserve">Diabetes Melitus merupakan </w:t>
      </w:r>
      <w:r>
        <w:rPr>
          <w:rFonts w:ascii="Tw Cen MT" w:eastAsia="Twentieth Century" w:hAnsi="Tw Cen MT" w:cs="Twentieth Century"/>
          <w:iCs/>
          <w:color w:val="000000"/>
          <w:sz w:val="20"/>
          <w:szCs w:val="20"/>
        </w:rPr>
        <w:t>penyakit penyerta yang juga berpengaruh terhadap koagulasi.</w:t>
      </w:r>
      <w:r w:rsidR="00AD307E">
        <w:rPr>
          <w:rFonts w:ascii="Tw Cen MT" w:eastAsia="Twentieth Century" w:hAnsi="Tw Cen MT" w:cs="Twentieth Century"/>
          <w:iCs/>
          <w:color w:val="000000"/>
          <w:sz w:val="20"/>
          <w:szCs w:val="20"/>
        </w:rPr>
        <w:t xml:space="preserve"> Pada pedoman </w:t>
      </w:r>
      <w:r w:rsidR="00797338">
        <w:rPr>
          <w:rFonts w:ascii="Tw Cen MT" w:eastAsia="Twentieth Century" w:hAnsi="Tw Cen MT" w:cs="Twentieth Century"/>
          <w:iCs/>
          <w:color w:val="000000"/>
          <w:sz w:val="20"/>
          <w:szCs w:val="20"/>
        </w:rPr>
        <w:t xml:space="preserve">penatalaksaan pasien Covid-19 derajat berat </w:t>
      </w:r>
      <w:r w:rsidR="00AD307E">
        <w:rPr>
          <w:rFonts w:ascii="Tw Cen MT" w:eastAsia="Twentieth Century" w:hAnsi="Tw Cen MT" w:cs="Twentieth Century"/>
          <w:iCs/>
          <w:color w:val="000000"/>
          <w:sz w:val="20"/>
          <w:szCs w:val="20"/>
        </w:rPr>
        <w:t>direkomendasikan penggunaan antikoagulan profilaksis yaitu Unfractionated Heparin (UFH) dan Low Molecular Weight Heparin (LMWH) untuk mengatasi masalah gangguan koagulasi ini dengan memperhatikan</w:t>
      </w:r>
      <w:r w:rsidR="00A73BDE">
        <w:rPr>
          <w:rFonts w:ascii="Tw Cen MT" w:eastAsia="Twentieth Century" w:hAnsi="Tw Cen MT" w:cs="Twentieth Century"/>
          <w:iCs/>
          <w:color w:val="000000"/>
          <w:sz w:val="20"/>
          <w:szCs w:val="20"/>
        </w:rPr>
        <w:t xml:space="preserve"> nilai</w:t>
      </w:r>
      <w:r w:rsidR="00AD307E">
        <w:rPr>
          <w:rFonts w:ascii="Tw Cen MT" w:eastAsia="Twentieth Century" w:hAnsi="Tw Cen MT" w:cs="Twentieth Century"/>
          <w:iCs/>
          <w:color w:val="000000"/>
          <w:sz w:val="20"/>
          <w:szCs w:val="20"/>
        </w:rPr>
        <w:t xml:space="preserve"> parameter koagulasi </w:t>
      </w:r>
      <w:r w:rsidR="00A73BDE">
        <w:rPr>
          <w:rFonts w:ascii="Tw Cen MT" w:eastAsia="Twentieth Century" w:hAnsi="Tw Cen MT" w:cs="Twentieth Century"/>
          <w:iCs/>
          <w:color w:val="000000"/>
          <w:sz w:val="20"/>
          <w:szCs w:val="20"/>
        </w:rPr>
        <w:t>yaitu,</w:t>
      </w:r>
      <w:r w:rsidR="00AD307E">
        <w:rPr>
          <w:rFonts w:ascii="Tw Cen MT" w:eastAsia="Twentieth Century" w:hAnsi="Tw Cen MT" w:cs="Twentieth Century"/>
          <w:iCs/>
          <w:color w:val="000000"/>
          <w:sz w:val="20"/>
          <w:szCs w:val="20"/>
        </w:rPr>
        <w:t xml:space="preserve"> nilai D-Dimer, P</w:t>
      </w:r>
      <w:r w:rsidR="00A73BDE">
        <w:rPr>
          <w:rFonts w:ascii="Tw Cen MT" w:eastAsia="Twentieth Century" w:hAnsi="Tw Cen MT" w:cs="Twentieth Century"/>
          <w:iCs/>
          <w:color w:val="000000"/>
          <w:sz w:val="20"/>
          <w:szCs w:val="20"/>
        </w:rPr>
        <w:t>T</w:t>
      </w:r>
      <w:r w:rsidR="00AD307E">
        <w:rPr>
          <w:rFonts w:ascii="Tw Cen MT" w:eastAsia="Twentieth Century" w:hAnsi="Tw Cen MT" w:cs="Twentieth Century"/>
          <w:iCs/>
          <w:color w:val="000000"/>
          <w:sz w:val="20"/>
          <w:szCs w:val="20"/>
        </w:rPr>
        <w:t>, APTT dan trombosit. Tujuan penelitian</w:t>
      </w:r>
      <w:r w:rsidR="00A73BDE">
        <w:rPr>
          <w:rFonts w:ascii="Tw Cen MT" w:eastAsia="Twentieth Century" w:hAnsi="Tw Cen MT" w:cs="Twentieth Century"/>
          <w:iCs/>
          <w:color w:val="000000"/>
          <w:sz w:val="20"/>
          <w:szCs w:val="20"/>
        </w:rPr>
        <w:t xml:space="preserve"> ini </w:t>
      </w:r>
      <w:r w:rsidR="00AD307E">
        <w:rPr>
          <w:rFonts w:ascii="Tw Cen MT" w:eastAsia="Twentieth Century" w:hAnsi="Tw Cen MT" w:cs="Twentieth Century"/>
          <w:iCs/>
          <w:color w:val="000000"/>
          <w:sz w:val="20"/>
          <w:szCs w:val="20"/>
        </w:rPr>
        <w:t>untuk melihat hubungan penggunaan antikoagulan profilaksis dengan penurunan/peningkatan nilai Parameter koagulasi tersebut. Desain penelitian</w:t>
      </w:r>
      <w:r w:rsidR="00A73BDE">
        <w:rPr>
          <w:rFonts w:ascii="Tw Cen MT" w:eastAsia="Twentieth Century" w:hAnsi="Tw Cen MT" w:cs="Twentieth Century"/>
          <w:iCs/>
          <w:color w:val="000000"/>
          <w:sz w:val="20"/>
          <w:szCs w:val="20"/>
        </w:rPr>
        <w:t xml:space="preserve">nya </w:t>
      </w:r>
      <w:r w:rsidR="00AD307E">
        <w:rPr>
          <w:rFonts w:ascii="Tw Cen MT" w:eastAsia="Twentieth Century" w:hAnsi="Tw Cen MT" w:cs="Twentieth Century"/>
          <w:iCs/>
          <w:color w:val="000000"/>
          <w:sz w:val="20"/>
          <w:szCs w:val="20"/>
        </w:rPr>
        <w:t>retrospektif pre-post test cohort study dengan subjek penelitian pasien Covid</w:t>
      </w:r>
      <w:r w:rsidR="00A73BDE">
        <w:rPr>
          <w:rFonts w:ascii="Tw Cen MT" w:eastAsia="Twentieth Century" w:hAnsi="Tw Cen MT" w:cs="Twentieth Century"/>
          <w:iCs/>
          <w:color w:val="000000"/>
          <w:sz w:val="20"/>
          <w:szCs w:val="20"/>
        </w:rPr>
        <w:t>-</w:t>
      </w:r>
      <w:r w:rsidR="00AD307E">
        <w:rPr>
          <w:rFonts w:ascii="Tw Cen MT" w:eastAsia="Twentieth Century" w:hAnsi="Tw Cen MT" w:cs="Twentieth Century"/>
          <w:iCs/>
          <w:color w:val="000000"/>
          <w:sz w:val="20"/>
          <w:szCs w:val="20"/>
        </w:rPr>
        <w:t>19 komorbid Diabetes dirawat di ICU RSUP Dr.M Djamil Padang. Hasi</w:t>
      </w:r>
      <w:r w:rsidR="00A73BDE">
        <w:rPr>
          <w:rFonts w:ascii="Tw Cen MT" w:eastAsia="Twentieth Century" w:hAnsi="Tw Cen MT" w:cs="Twentieth Century"/>
          <w:iCs/>
          <w:color w:val="000000"/>
          <w:sz w:val="20"/>
          <w:szCs w:val="20"/>
        </w:rPr>
        <w:t>lnya</w:t>
      </w:r>
      <w:r w:rsidR="00AD307E">
        <w:rPr>
          <w:rFonts w:ascii="Tw Cen MT" w:eastAsia="Twentieth Century" w:hAnsi="Tw Cen MT" w:cs="Twentieth Century"/>
          <w:iCs/>
          <w:color w:val="000000"/>
          <w:sz w:val="20"/>
          <w:szCs w:val="20"/>
        </w:rPr>
        <w:t>, pada kelompok pasien yang menggunakan UFH terjadi penurunan nilai D-Dimer yang signifikan (p=0,001) sedangka</w:t>
      </w:r>
      <w:r w:rsidR="00A73BDE">
        <w:rPr>
          <w:rFonts w:ascii="Tw Cen MT" w:eastAsia="Twentieth Century" w:hAnsi="Tw Cen MT" w:cs="Twentieth Century"/>
          <w:iCs/>
          <w:color w:val="000000"/>
          <w:sz w:val="20"/>
          <w:szCs w:val="20"/>
        </w:rPr>
        <w:t>n</w:t>
      </w:r>
      <w:r w:rsidR="00AD307E">
        <w:rPr>
          <w:rFonts w:ascii="Tw Cen MT" w:eastAsia="Twentieth Century" w:hAnsi="Tw Cen MT" w:cs="Twentieth Century"/>
          <w:iCs/>
          <w:color w:val="000000"/>
          <w:sz w:val="20"/>
          <w:szCs w:val="20"/>
        </w:rPr>
        <w:t xml:space="preserve"> kelompok LMWH hubungannya tidak signifikan (p=0,0</w:t>
      </w:r>
      <w:r w:rsidR="009873F0">
        <w:rPr>
          <w:rFonts w:ascii="Tw Cen MT" w:eastAsia="Twentieth Century" w:hAnsi="Tw Cen MT" w:cs="Twentieth Century"/>
          <w:iCs/>
          <w:color w:val="000000"/>
          <w:sz w:val="20"/>
          <w:szCs w:val="20"/>
        </w:rPr>
        <w:t>5</w:t>
      </w:r>
      <w:r w:rsidR="00502FF2">
        <w:rPr>
          <w:rFonts w:ascii="Tw Cen MT" w:eastAsia="Twentieth Century" w:hAnsi="Tw Cen MT" w:cs="Twentieth Century"/>
          <w:iCs/>
          <w:color w:val="000000"/>
          <w:sz w:val="20"/>
          <w:szCs w:val="20"/>
        </w:rPr>
        <w:t>6</w:t>
      </w:r>
      <w:r w:rsidR="009873F0">
        <w:rPr>
          <w:rFonts w:ascii="Tw Cen MT" w:eastAsia="Twentieth Century" w:hAnsi="Tw Cen MT" w:cs="Twentieth Century"/>
          <w:iCs/>
          <w:color w:val="000000"/>
          <w:sz w:val="20"/>
          <w:szCs w:val="20"/>
        </w:rPr>
        <w:t>). Untuk hubungan antikoagulan dengan nilai P</w:t>
      </w:r>
      <w:r w:rsidR="00A73BDE">
        <w:rPr>
          <w:rFonts w:ascii="Tw Cen MT" w:eastAsia="Twentieth Century" w:hAnsi="Tw Cen MT" w:cs="Twentieth Century"/>
          <w:iCs/>
          <w:color w:val="000000"/>
          <w:sz w:val="20"/>
          <w:szCs w:val="20"/>
        </w:rPr>
        <w:t>T</w:t>
      </w:r>
      <w:r w:rsidR="009873F0">
        <w:rPr>
          <w:rFonts w:ascii="Tw Cen MT" w:eastAsia="Twentieth Century" w:hAnsi="Tw Cen MT" w:cs="Twentieth Century"/>
          <w:iCs/>
          <w:color w:val="000000"/>
          <w:sz w:val="20"/>
          <w:szCs w:val="20"/>
        </w:rPr>
        <w:t>, APTT pada kedua kelompok tidak signifikan</w:t>
      </w:r>
      <w:r w:rsidR="00AD307E">
        <w:rPr>
          <w:rFonts w:ascii="Tw Cen MT" w:eastAsia="Twentieth Century" w:hAnsi="Tw Cen MT" w:cs="Twentieth Century"/>
          <w:iCs/>
          <w:color w:val="000000"/>
          <w:sz w:val="20"/>
          <w:szCs w:val="20"/>
        </w:rPr>
        <w:t>.</w:t>
      </w:r>
      <w:r w:rsidR="009873F0">
        <w:rPr>
          <w:rFonts w:ascii="Tw Cen MT" w:eastAsia="Twentieth Century" w:hAnsi="Tw Cen MT" w:cs="Twentieth Century"/>
          <w:iCs/>
          <w:color w:val="000000"/>
          <w:sz w:val="20"/>
          <w:szCs w:val="20"/>
        </w:rPr>
        <w:t xml:space="preserve"> Sedangkan untuk nilai trombosit terjadi penurunan yang s</w:t>
      </w:r>
      <w:r w:rsidR="00A73BDE">
        <w:rPr>
          <w:rFonts w:ascii="Tw Cen MT" w:eastAsia="Twentieth Century" w:hAnsi="Tw Cen MT" w:cs="Twentieth Century"/>
          <w:iCs/>
          <w:color w:val="000000"/>
          <w:sz w:val="20"/>
          <w:szCs w:val="20"/>
        </w:rPr>
        <w:t>i</w:t>
      </w:r>
      <w:r w:rsidR="009873F0">
        <w:rPr>
          <w:rFonts w:ascii="Tw Cen MT" w:eastAsia="Twentieth Century" w:hAnsi="Tw Cen MT" w:cs="Twentieth Century"/>
          <w:iCs/>
          <w:color w:val="000000"/>
          <w:sz w:val="20"/>
          <w:szCs w:val="20"/>
        </w:rPr>
        <w:t xml:space="preserve">gnifikan pada kelompok UFH. </w:t>
      </w:r>
      <w:r w:rsidR="00A73BDE">
        <w:rPr>
          <w:rFonts w:ascii="Tw Cen MT" w:eastAsia="Twentieth Century" w:hAnsi="Tw Cen MT" w:cs="Twentieth Century"/>
          <w:iCs/>
          <w:color w:val="000000"/>
          <w:sz w:val="20"/>
          <w:szCs w:val="20"/>
        </w:rPr>
        <w:t xml:space="preserve">Kesimpulan </w:t>
      </w:r>
      <w:r w:rsidR="009873F0">
        <w:rPr>
          <w:rFonts w:ascii="Tw Cen MT" w:eastAsia="Twentieth Century" w:hAnsi="Tw Cen MT" w:cs="Twentieth Century"/>
          <w:iCs/>
          <w:color w:val="000000"/>
          <w:sz w:val="20"/>
          <w:szCs w:val="20"/>
        </w:rPr>
        <w:t>untuk pasien Covid-19 derajat berat dengan komorbid Diabetes penggunaan UFH</w:t>
      </w:r>
      <w:r w:rsidR="00A73BDE">
        <w:rPr>
          <w:rFonts w:ascii="Tw Cen MT" w:eastAsia="Twentieth Century" w:hAnsi="Tw Cen MT" w:cs="Twentieth Century"/>
          <w:iCs/>
          <w:color w:val="000000"/>
          <w:sz w:val="20"/>
          <w:szCs w:val="20"/>
        </w:rPr>
        <w:t xml:space="preserve"> </w:t>
      </w:r>
      <w:r w:rsidR="009873F0">
        <w:rPr>
          <w:rFonts w:ascii="Tw Cen MT" w:eastAsia="Twentieth Century" w:hAnsi="Tw Cen MT" w:cs="Twentieth Century"/>
          <w:iCs/>
          <w:color w:val="000000"/>
          <w:sz w:val="20"/>
          <w:szCs w:val="20"/>
        </w:rPr>
        <w:t>disarankan menjadi pilihan terapi</w:t>
      </w:r>
      <w:r w:rsidR="00A73BDE">
        <w:rPr>
          <w:rFonts w:ascii="Tw Cen MT" w:eastAsia="Twentieth Century" w:hAnsi="Tw Cen MT" w:cs="Twentieth Century"/>
          <w:iCs/>
          <w:color w:val="000000"/>
          <w:sz w:val="20"/>
          <w:szCs w:val="20"/>
        </w:rPr>
        <w:t>.</w:t>
      </w:r>
    </w:p>
    <w:bookmarkEnd w:id="5"/>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5E70406C" w:rsidR="00314849" w:rsidRPr="0096335E"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r w:rsidR="00611369">
        <w:rPr>
          <w:rFonts w:ascii="Tw Cen MT" w:eastAsia="Twentieth Century" w:hAnsi="Tw Cen MT" w:cs="Twentieth Century"/>
          <w:sz w:val="20"/>
          <w:szCs w:val="20"/>
        </w:rPr>
        <w:t>antikoagulan</w:t>
      </w:r>
      <w:r w:rsidR="004721E3" w:rsidRPr="002E23D7">
        <w:rPr>
          <w:rFonts w:ascii="Tw Cen MT" w:eastAsia="Twentieth Century" w:hAnsi="Tw Cen MT" w:cs="Twentieth Century"/>
          <w:sz w:val="20"/>
          <w:szCs w:val="20"/>
        </w:rPr>
        <w:t xml:space="preserve"> 1, </w:t>
      </w:r>
      <w:r w:rsidR="00611369">
        <w:rPr>
          <w:rFonts w:ascii="Tw Cen MT" w:eastAsia="Twentieth Century" w:hAnsi="Tw Cen MT" w:cs="Twentieth Century"/>
          <w:sz w:val="20"/>
          <w:szCs w:val="20"/>
        </w:rPr>
        <w:t>Covid-19</w:t>
      </w:r>
      <w:r w:rsidR="004721E3" w:rsidRPr="002E23D7">
        <w:rPr>
          <w:rFonts w:ascii="Tw Cen MT" w:eastAsia="Twentieth Century" w:hAnsi="Tw Cen MT" w:cs="Twentieth Century"/>
          <w:sz w:val="20"/>
          <w:szCs w:val="20"/>
        </w:rPr>
        <w:t xml:space="preserve"> 2, </w:t>
      </w:r>
      <w:r w:rsidR="00611369">
        <w:rPr>
          <w:rFonts w:ascii="Tw Cen MT" w:eastAsia="Twentieth Century" w:hAnsi="Tw Cen MT" w:cs="Twentieth Century"/>
          <w:sz w:val="20"/>
          <w:szCs w:val="20"/>
        </w:rPr>
        <w:t>Diabetes</w:t>
      </w:r>
      <w:r w:rsidR="004721E3" w:rsidRPr="002E23D7">
        <w:rPr>
          <w:rFonts w:ascii="Tw Cen MT" w:eastAsia="Twentieth Century" w:hAnsi="Tw Cen MT" w:cs="Twentieth Century"/>
          <w:sz w:val="20"/>
          <w:szCs w:val="20"/>
        </w:rPr>
        <w:t xml:space="preserve"> 3</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544E11">
          <w:headerReference w:type="default" r:id="rId11"/>
          <w:footerReference w:type="default" r:id="rId12"/>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668FFA50" w14:textId="590D90B2" w:rsidR="00A5526F" w:rsidRPr="00215159" w:rsidRDefault="00611369" w:rsidP="00A5526F">
      <w:pPr>
        <w:spacing w:after="0" w:line="240" w:lineRule="auto"/>
        <w:ind w:firstLine="1146"/>
        <w:jc w:val="both"/>
        <w:rPr>
          <w:rFonts w:ascii="Times New Roman" w:eastAsia="Times New Roman" w:hAnsi="Times New Roman" w:cs="Times New Roman"/>
          <w:bCs/>
          <w:sz w:val="24"/>
          <w:szCs w:val="24"/>
          <w:bdr w:val="none" w:sz="0" w:space="0" w:color="auto" w:frame="1"/>
          <w:lang w:eastAsia="id-ID"/>
        </w:rPr>
      </w:pPr>
      <w:r w:rsidRPr="00611369">
        <w:rPr>
          <w:rFonts w:ascii="Tw Cen MT" w:hAnsi="Tw Cen MT" w:cs="Times New Roman"/>
          <w:sz w:val="24"/>
          <w:szCs w:val="24"/>
        </w:rPr>
        <w:t xml:space="preserve">Pada awal tahun 2020 muncul wabah virus yang telah menginfeksi hampir seluruh negara di dunia, termasuk Indonesia. Wabah ini pertama kali muncul disebuah rumah sakit di Wuhan, Provinsi Hubei Tiongkok pada Desember 2019. Dalam waktu 3 hari virus ini telah menginfeksi sebanyak 41 orang dan jumlahnya terus meningkat. Dari total 41 kasus yang terkonfirmasi di awal, 27 orang diantaranya (66%) memiliki </w:t>
      </w:r>
      <w:r w:rsidRPr="00A5526F">
        <w:rPr>
          <w:rFonts w:ascii="Tw Cen MT" w:hAnsi="Tw Cen MT" w:cs="Times New Roman"/>
          <w:sz w:val="24"/>
          <w:szCs w:val="24"/>
        </w:rPr>
        <w:t xml:space="preserve">riwayat terpajan dengan pasar </w:t>
      </w:r>
      <w:r w:rsidRPr="00A5526F">
        <w:rPr>
          <w:rFonts w:ascii="Tw Cen MT" w:hAnsi="Tw Cen MT" w:cs="Times New Roman"/>
          <w:i/>
          <w:sz w:val="24"/>
          <w:szCs w:val="24"/>
        </w:rPr>
        <w:t xml:space="preserve">seafood </w:t>
      </w:r>
      <w:r w:rsidRPr="00A5526F">
        <w:rPr>
          <w:rFonts w:ascii="Tw Cen MT" w:hAnsi="Tw Cen MT" w:cs="Times New Roman"/>
          <w:sz w:val="24"/>
          <w:szCs w:val="24"/>
        </w:rPr>
        <w:t xml:space="preserve">Huanan, sebuah </w:t>
      </w:r>
      <w:r w:rsidRPr="00A5526F">
        <w:rPr>
          <w:rFonts w:ascii="Tw Cen MT" w:hAnsi="Tw Cen MT" w:cs="Times New Roman"/>
          <w:i/>
          <w:sz w:val="24"/>
          <w:szCs w:val="24"/>
        </w:rPr>
        <w:t>live market</w:t>
      </w:r>
      <w:r w:rsidRPr="00A5526F">
        <w:rPr>
          <w:rFonts w:ascii="Tw Cen MT" w:hAnsi="Tw Cen MT" w:cs="Times New Roman"/>
          <w:sz w:val="24"/>
          <w:szCs w:val="24"/>
        </w:rPr>
        <w:t xml:space="preserve"> di Wuhan dan semua pasien menunjukkan adanya Pneumonia </w:t>
      </w:r>
      <w:r w:rsidRPr="00A5526F">
        <w:rPr>
          <w:rFonts w:ascii="Tw Cen MT" w:hAnsi="Tw Cen MT" w:cs="Times New Roman"/>
          <w:sz w:val="24"/>
          <w:szCs w:val="24"/>
        </w:rPr>
        <w:fldChar w:fldCharType="begin" w:fldLock="1"/>
      </w:r>
      <w:r w:rsidR="00610831">
        <w:rPr>
          <w:rFonts w:ascii="Tw Cen MT" w:hAnsi="Tw Cen MT" w:cs="Times New Roman"/>
          <w:sz w:val="24"/>
          <w:szCs w:val="24"/>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w:instrText>
      </w:r>
      <w:r w:rsidR="00610831">
        <w:rPr>
          <w:rFonts w:ascii="Tw Cen MT" w:hAnsi="Tw Cen MT" w:cs="Times New Roman" w:hint="eastAsia"/>
          <w:sz w:val="24"/>
          <w:szCs w:val="24"/>
        </w:rPr>
        <w:instrText>her plasma levels of IL2, IL7, IL10, GSCF, IP10, MCP1, MIP1A, and TNF</w:instrText>
      </w:r>
      <w:r w:rsidR="00610831">
        <w:rPr>
          <w:rFonts w:ascii="Tw Cen MT" w:hAnsi="Tw Cen MT" w:cs="Times New Roman" w:hint="eastAsia"/>
          <w:sz w:val="24"/>
          <w:szCs w:val="24"/>
        </w:rPr>
        <w:instrText>α</w:instrText>
      </w:r>
      <w:r w:rsidR="00610831">
        <w:rPr>
          <w:rFonts w:ascii="Tw Cen MT" w:hAnsi="Tw Cen MT" w:cs="Times New Roman" w:hint="eastAsia"/>
          <w:sz w:val="24"/>
          <w:szCs w:val="24"/>
        </w:rPr>
        <w:instrText>. Interpretation The 2019-nCoV infection caused clusters of severe respiratory illness similar to severe acute respiratory syndrome coronavirus and was associated with ICU admission and</w:instrText>
      </w:r>
      <w:r w:rsidR="00610831">
        <w:rPr>
          <w:rFonts w:ascii="Tw Cen MT" w:hAnsi="Tw Cen MT" w:cs="Times New Roman"/>
          <w:sz w:val="24"/>
          <w:szCs w:val="24"/>
        </w:rPr>
        <w:instrText xml:space="preserve"> high mortality. Major …","author":[{"dropping-particle":"","family":"Y","given":"Wang","non-dropping-particle":"","parse-names":false,"suffix":""},{"dropping-particle":"","family":"C","given":"Huang","non-dropping-particle":"","parse-names":false,"suffix":""},{"dropping-particle":"","family":"X","given":"Li","non-dropping-particle":"","parse-names":false,"suffix":""},{"dropping-particle":"","family":"L","given":"Ren","non-dropping-particle":"","parse-names":false,"suffix":""},{"dropping-particle":"","family":"J","given":"Zhao","non-dropping-particle":"","parse-names":false,"suffix":""},{"dropping-particle":"","family":"Li","given":"Zang","non-dropping-particle":"","parse-names":false,"suffix":""},{"dropping-particle":"","family":"G","given":"Fan","non-dropping-particle":"","parse-names":false,"suffix":""}],"container-title":"The Lancet","id":"ITEM-1","issued":{"date-parts":[["2020"]]},"title":"Clinical features of patients infected with 2019 novel coronavirus in Wuhan, China","type":"article-journal"},"uris":["http://www.mendeley.com/documents/?uuid=fb9ef5be-0ac5-477e-95a5-e8a4491e9061"]}],"mendeley":{"formattedCitation":"[1]","plainTextFormattedCitation":"[1]","previouslyFormattedCitation":"[1]"},"properties":{"noteIndex":0},"schema":"https://github.com/citation-style-language/schema/raw/master/csl-citation.json"}</w:instrText>
      </w:r>
      <w:r w:rsidRPr="00A5526F">
        <w:rPr>
          <w:rFonts w:ascii="Tw Cen MT" w:hAnsi="Tw Cen MT" w:cs="Times New Roman"/>
          <w:sz w:val="24"/>
          <w:szCs w:val="24"/>
        </w:rPr>
        <w:fldChar w:fldCharType="separate"/>
      </w:r>
      <w:r w:rsidR="000A7A80" w:rsidRPr="000A7A80">
        <w:rPr>
          <w:rFonts w:ascii="Tw Cen MT" w:hAnsi="Tw Cen MT" w:cs="Times New Roman"/>
          <w:noProof/>
          <w:sz w:val="24"/>
          <w:szCs w:val="24"/>
        </w:rPr>
        <w:t>[1]</w:t>
      </w:r>
      <w:r w:rsidRPr="00A5526F">
        <w:rPr>
          <w:rFonts w:ascii="Tw Cen MT" w:hAnsi="Tw Cen MT" w:cs="Times New Roman"/>
          <w:sz w:val="24"/>
          <w:szCs w:val="24"/>
        </w:rPr>
        <w:fldChar w:fldCharType="end"/>
      </w:r>
      <w:r w:rsidRPr="00A5526F">
        <w:rPr>
          <w:rFonts w:ascii="Tw Cen MT" w:hAnsi="Tw Cen MT" w:cs="Times New Roman"/>
          <w:sz w:val="24"/>
          <w:szCs w:val="24"/>
        </w:rPr>
        <w:t xml:space="preserve">. Menurut </w:t>
      </w:r>
      <w:r w:rsidRPr="00A5526F">
        <w:rPr>
          <w:rFonts w:ascii="Tw Cen MT" w:hAnsi="Tw Cen MT" w:cs="Times New Roman"/>
          <w:sz w:val="24"/>
          <w:szCs w:val="24"/>
        </w:rPr>
        <w:fldChar w:fldCharType="begin" w:fldLock="1"/>
      </w:r>
      <w:r w:rsidR="00610831">
        <w:rPr>
          <w:rFonts w:ascii="Tw Cen MT" w:hAnsi="Tw Cen MT" w:cs="Times New Roman"/>
          <w:sz w:val="24"/>
          <w:szCs w:val="24"/>
        </w:rPr>
        <w:instrText>ADDIN CSL_CITATION {"citationItems":[{"id":"ITEM-1","itemData":{"DOI":"10.1182/bloodadvances.2020003763","ISSN":"24739537","PMID":"33560401","abstract":"Background: Coronavirus disease 2019 (COVID-19)-related critical illness and acute illness are associated with a risk of venous thromboembolism (VTE). Objective: These evidence-based guidelines of the American Society of Hematology (ASH) are intended to support patients, clinicians, and other health care professionals in decisions about the use of anticoagulation for thromboprophylaxis for patients with COVID-19-related critical illness and acute illness who do not have confirmed or suspected VTE. Methods: ASH formed a multidisciplinary guideline panel and applied strict management strategies to minimize potential bias from conflicts of interest. The panel included 3 patient representatives. The McMaster University GRADE Centre supported the guideline-development process, including performing systematic evidence reviews (up to 19 August 2020). The panel prioritized clinical questions and outcomes according to their importance for clinicians and patients. The panel used the Grading of Recommendations Assessment, Development and Evaluation (GRADE) approach, including GRADE Evidence-to-Decision frameworks, to assess evidence and make recommendations, which were subject to public comment. Results: The panel agreed on 2 recommendations. The panel issued conditional recommendations in favor of prophylactic-intensity anticoagulation over intermediate-intensity or therapeutic-intensity anticoagulation for patients with COVID-19-related critical illness or acute illness who do not have confirmed or suspected VTE. Conclusions: These recommendations were based on very low certainty in the evidence, underscoring the need for high-quality, randomized controlled trials comparing different intensities of anticoagulation. They will be updated using a living recommendation approach as new evidence becomes available.","author":[{"dropping-particle":"","family":"Cuker","given":"Adam","non-dropping-particle":"","parse-names":false,"suffix":""},{"dropping-particle":"","family":"Tseng","given":"Eric K.","non-dropping-particle":"","parse-names":false,"suffix":""},{"dropping-particle":"","family":"Nieuwlaat","given":"Robby","non-dropping-particle":"","parse-names":false,"suffix":""},{"dropping-particle":"","family":"Angchaisuksiri","given":"Pantep","non-dropping-particle":"","parse-names":false,"suffix":""},{"dropping-particle":"","family":"Blair","given":"Clifton","non-dropping-particle":"","parse-names":false,"suffix":""},{"dropping-particle":"","family":"Dane","given":"Kathryn","non-dropping-particle":"","parse-names":false,"suffix":""},{"dropping-particle":"","family":"Davila","given":"Jennifer","non-dropping-particle":"","parse-names":false,"suffix":""},{"dropping-particle":"","family":"DeSancho","given":"Maria T.","non-dropping-particle":"","parse-names":false,"suffix":""},{"dropping-particle":"","family":"Diuguid","given":"David","non-dropping-particle":"","parse-names":false,"suffix":""},{"dropping-particle":"","family":"Griffin","given":"Daniel O.","non-dropping-particle":"","parse-names":false,"suffix":""},{"dropping-particle":"","family":"Kahn","given":"Susan R.","non-dropping-particle":"","parse-names":false,"suffix":""},{"dropping-particle":"","family":"Klok","given":"Frederikus A.","non-dropping-particle":"","parse-names":false,"suffix":""},{"dropping-particle":"","family":"Lee","given":"Alfred Ian","non-dropping-particle":"","parse-names":false,"suffix":""},{"dropping-particle":"","family":"Neumann","given":"Ignacio","non-dropping-particle":"","parse-names":false,"suffix":""},{"dropping-particle":"","family":"Pai","given":"Ashok","non-dropping-particle":"","parse-names":false,"suffix":""},{"dropping-particle":"","family":"Pai","given":"Menaka","non-dropping-particle":"","parse-names":false,"suffix":""},{"dropping-particle":"","family":"Righini","given":"Marc","non-dropping-particle":"","parse-names":false,"suffix":""},{"dropping-particle":"","family":"Sanfilippo","given":"Kristen M.","non-dropping-particle":"","parse-names":false,"suffix":""},{"dropping-particle":"","family":"Siegal","given":"Deborah","non-dropping-particle":"","parse-names":false,"suffix":""},{"dropping-particle":"","family":"Skara","given":"Mike","non-dropping-particle":"","parse-names":false,"suffix":""},{"dropping-particle":"","family":"Touri","given":"Kamshad","non-dropping-particle":"","parse-names":false,"suffix":""},{"dropping-particle":"","family":"Akl","given":"Elie A.","non-dropping-particle":"","parse-names":false,"suffix":""},{"dropping-particle":"","family":"Akl","given":"Imad Bou","non-dropping-particle":"","parse-names":false,"suffix":""},{"dropping-particle":"","family":"Boulos","given":"Mary","non-dropping-particle":"","parse-names":false,"suffix":""},{"dropping-particle":"","family":"Brignardello-Petersen","given":"Romina","non-dropping-particle":"","parse-names":false,"suffix":""},{"dropping-particle":"","family":"Charide","given":"Rana","non-dropping-particle":"","parse-names":false,"suffix":""},{"dropping-particle":"","family":"Chan","given":"Matthew","non-dropping-particle":"","parse-names":false,"suffix":""},{"dropping-particle":"","family":"Dearness","given":"Karin","non-dropping-particle":"","parse-names":false,"suffix":""},{"dropping-particle":"","family":"Darzi","given":"Andrea J.","non-dropping-particle":"","parse-names":false,"suffix":""},{"dropping-particle":"","family":"Kolb","given":"Philipp","non-dropping-particle":"","parse-names":false,"suffix":""},{"dropping-particle":"","family":"Colunga-Lozano","given":"Luis E.","non-dropping-particle":"","parse-names":false,"suffix":""},{"dropping-particle":"","family":"Mansour","given":"Razan","non-dropping-particle":"","parse-names":false,"suffix":""},{"dropping-particle":"","family":"Morgano","given":"Gian Paolo","non-dropping-particle":"","parse-names":false,"suffix":""},{"dropping-particle":"","family":"Morsi","given":"Rami Z.","non-dropping-particle":"","parse-names":false,"suffix":""},{"dropping-particle":"","family":"Noori","given":"Atefeh","non-dropping-particle":"","parse-names":false,"suffix":""},{"dropping-particle":"","family":"Piggott","given":"Thomas","non-dropping-particle":"","parse-names":false,"suffix":""},{"dropping-particle":"","family":"Qiu","given":"Yuan","non-dropping-particle":"","parse-names":false,"suffix":""},{"dropping-particle":"","family":"Roldan","given":"Yetiani","non-dropping-particle":"","parse-names":false,"suffix":""},{"dropping-particle":"","family":"Schünemann","given":"Finn","non-dropping-particle":"","parse-names":false,"suffix":""},{"dropping-particle":"","family":"Stevens","given":"Adrienne","non-dropping-particle":"","parse-names":false,"suffix":""},{"dropping-particle":"","family":"Solo","given":"Karla","non-dropping-particle":"","parse-names":false,"suffix":""},{"dropping-particle":"","family":"Ventresca","given":"Matthew","non-dropping-particle":"","parse-names":false,"suffix":""},{"dropping-particle":"","family":"Wiercioch","given":"Wojtek","non-dropping-particle":"","parse-names":false,"suffix":""},{"dropping-particle":"","family":"Mustafa","given":"Reem A.","non-dropping-particle":"","parse-names":false,"suffix":""},{"dropping-particle":"","family":"Schünemann","given":"Holger J.","non-dropping-particle":"","parse-names":false,"suffix":""}],"container-title":"Blood Advances","id":"ITEM-1","issued":{"date-parts":[["2021"]]},"title":"American Society of Hematology 2021 guidelines on the use of anticoagulation for thromboprophylaxis in patients with COVID-19","type":"article-journal"},"uris":["http://www.mendeley.com/documents/?uuid=ae85f00b-0769-44da-9d14-d2992b7c626f"]}],"mendeley":{"formattedCitation":"[2]","plainTextFormattedCitation":"[2]","previouslyFormattedCitation":"[2]"},"properties":{"noteIndex":0},"schema":"https://github.com/citation-style-language/schema/raw/master/csl-citation.json"}</w:instrText>
      </w:r>
      <w:r w:rsidRPr="00A5526F">
        <w:rPr>
          <w:rFonts w:ascii="Tw Cen MT" w:hAnsi="Tw Cen MT" w:cs="Times New Roman"/>
          <w:sz w:val="24"/>
          <w:szCs w:val="24"/>
        </w:rPr>
        <w:fldChar w:fldCharType="separate"/>
      </w:r>
      <w:r w:rsidR="000A7A80" w:rsidRPr="000A7A80">
        <w:rPr>
          <w:rFonts w:ascii="Tw Cen MT" w:hAnsi="Tw Cen MT" w:cs="Times New Roman"/>
          <w:noProof/>
          <w:sz w:val="24"/>
          <w:szCs w:val="24"/>
        </w:rPr>
        <w:t>[2]</w:t>
      </w:r>
      <w:r w:rsidRPr="00A5526F">
        <w:rPr>
          <w:rFonts w:ascii="Tw Cen MT" w:hAnsi="Tw Cen MT" w:cs="Times New Roman"/>
          <w:sz w:val="24"/>
          <w:szCs w:val="24"/>
        </w:rPr>
        <w:fldChar w:fldCharType="end"/>
      </w:r>
      <w:r w:rsidRPr="00A5526F">
        <w:rPr>
          <w:rFonts w:ascii="Tw Cen MT" w:hAnsi="Tw Cen MT" w:cs="Times New Roman"/>
          <w:sz w:val="24"/>
          <w:szCs w:val="24"/>
        </w:rPr>
        <w:t xml:space="preserve"> dari beberapa penelitian menunjukkan bahwa gangguan koagulasi merupakan salah satu komplikasi penyakit penyebab kematian pasien Covid-19 derajat berat, berkaitan dengan prognosis yang buruk.</w:t>
      </w:r>
      <w:r w:rsidR="00A5526F" w:rsidRPr="00A5526F">
        <w:rPr>
          <w:rFonts w:ascii="Tw Cen MT" w:eastAsia="Times New Roman" w:hAnsi="Tw Cen MT" w:cs="Times New Roman"/>
          <w:color w:val="000000" w:themeColor="text1"/>
          <w:sz w:val="24"/>
          <w:szCs w:val="24"/>
          <w:lang w:eastAsia="id-ID"/>
        </w:rPr>
        <w:t xml:space="preserve"> Kondisi hiperkoagulasi ini juga terjadi pada pasien Diabetes dan berperan meningkatkan angka mortalitas pasien</w:t>
      </w:r>
      <w:r w:rsidR="00A5526F" w:rsidRPr="00A5526F">
        <w:rPr>
          <w:rFonts w:ascii="Tw Cen MT" w:hAnsi="Tw Cen MT" w:cs="Times New Roman"/>
          <w:sz w:val="24"/>
          <w:szCs w:val="24"/>
        </w:rPr>
        <w:t xml:space="preserve">. Dalam sebuah studi di Cina terhadap pasien perawatan intensif dengan COVID-19, 22%  dari 32 pasien meninggal memiliki diabetes sebagai komordibitas. Penelitian lebih lanjut telah menyatakan bahwa 12-16% pasien dengan penyakit parah menderita diabetes, dan mortalitas sekitar tiga kali lipat lebih tinggi pada orang diabetes dibandingkan dengan individu non diabetes </w:t>
      </w:r>
      <w:r w:rsidR="00A5526F" w:rsidRPr="00A5526F">
        <w:rPr>
          <w:rFonts w:ascii="Tw Cen MT" w:hAnsi="Tw Cen MT" w:cs="Times New Roman"/>
          <w:sz w:val="24"/>
          <w:szCs w:val="24"/>
        </w:rPr>
        <w:fldChar w:fldCharType="begin" w:fldLock="1"/>
      </w:r>
      <w:r w:rsidR="00610831">
        <w:rPr>
          <w:rFonts w:ascii="Tw Cen MT" w:hAnsi="Tw Cen MT" w:cs="Times New Roman"/>
          <w:sz w:val="24"/>
          <w:szCs w:val="24"/>
        </w:rPr>
        <w:instrText>ADDIN CSL_CITATION {"citationItems":[{"id":"ITEM-1","itemData":{"DOI":"10.1186/s40164-021-00202-9","ISSN":"21623619","PMID":"33522958","abstract":"Background: Coronavirus disease 2019 (COVID-19) is associated with coagulation abnormalities which are indicators of higher mortality especially in severe cases. Methods: We studied patients with proven COVID-19 disease in the intensive care unit of Jinyintan Hospital, Wuhan, China from 30 to 2019 to 31 March 2020. Results: Of 180 patients, 89 (49.44 %) had died, 85 (47.22 %) had been discharged alive, and 6 (3.33 %) were still hospitalised by the end of data collection. A D-dimer concentration of &gt; 0.5 mg/L on admission was significantly associated with 30 day mortality, and a D-dimer concentration of &gt; 5 mg/L was found in a much higher proportion of non-survivors than survivors. Sepsis-induced coagulopathy (SIC) and disseminated intravascular coagulation (DIC) scoring systems were dichotomised as &lt; 4 or ≥ 4 and &lt; 5 or ≥ 5, respectively, and the mortality rate was significantly different between the two stratifications in both scoring systems. Enoxaparin was administered to 68 (37.78 %) patients for thromboembolic prophylaxis, and stratification by the D-dimer concentration and DIC score confirmed lower mortality in patients who received enoxaparin when the D-dimer concentration was &gt; 2 than &lt; 2 mg/L or DIC score was ≥ 5 than &lt; 5. A low platelet count and low serum calcium concentration were also related to mortality. Conclusions: A D-dimer concentration of &gt; 0.5 mg/L on admission is a risk factor for severe disease. A SIC score of &gt; 4 and DIC score of &gt; 5 may be used to predict mortality. Thromboembolic prophylaxis can reduce mortality only in patients with a D-dimer concentration of &gt; 2 mg/L or DIC score of ≥ 5.","author":[{"dropping-particle":"","family":"Zheng","given":"Runhui","non-dropping-particle":"","parse-names":false,"suffix":""},{"dropping-particle":"","family":"Zhou","given":"Jing","non-dropping-particle":"","parse-names":false,"suffix":""},{"dropping-particle":"","family":"Song","given":"Bin","non-dropping-particle":"","parse-names":false,"suffix":""},{"dropping-particle":"","family":"Zheng","given":"Xia","non-dropping-particle":"","parse-names":false,"suffix":""},{"dropping-particle":"","family":"Zhong","given":"Ming","non-dropping-particle":"","parse-names":false,"suffix":""},{"dropping-particle":"","family":"Jiang","given":"Li","non-dropping-particle":"","parse-names":false,"suffix":""},{"dropping-particle":"","family":"Pan","given":"Chun","non-dropping-particle":"","parse-names":false,"suffix":""},{"dropping-particle":"","family":"Zhang","given":"Wei","non-dropping-particle":"","parse-names":false,"suffix":""},{"dropping-particle":"","family":"Xia","given":"Jiaan","non-dropping-particle":"","parse-names":false,"suffix":""},{"dropping-particle":"","family":"Chen","given":"Nanshan","non-dropping-particle":"","parse-names":false,"suffix":""},{"dropping-particle":"","family":"Wu","given":"Wenjuan","non-dropping-particle":"","parse-names":false,"suffix":""},{"dropping-particle":"","family":"Zhang","given":"Dingyu","non-dropping-particle":"","parse-names":false,"suffix":""},{"dropping-particle":"","family":"Xi","given":"Yin","non-dropping-particle":"","parse-names":false,"suffix":""},{"dropping-particle":"","family":"Lin","given":"Zhimin","non-dropping-particle":"","parse-names":false,"suffix":""},{"dropping-particle":"","family":"Pan","given":"Ying","non-dropping-particle":"","parse-names":false,"suffix":""},{"dropping-particle":"","family":"Liu","given":"Xiaoqing","non-dropping-particle":"","parse-names":false,"suffix":""},{"dropping-particle":"","family":"Li","given":"Shiyue","non-dropping-particle":"","parse-names":false,"suffix":""},{"dropping-particle":"","family":"Xu","given":"Yuanda","non-dropping-particle":"","parse-names":false,"suffix":""},{"dropping-particle":"","family":"Li","given":"Yimin","non-dropping-particle":"","parse-names":false,"suffix":""},{"dropping-particle":"","family":"Tan","given":"Huo","non-dropping-particle":"","parse-names":false,"suffix":""},{"dropping-particle":"","family":"Zhong","given":"Nanshan","non-dropping-particle":"","parse-names":false,"suffix":""},{"dropping-particle":"","family":"Luo","given":"Xiaodan","non-dropping-particle":"","parse-names":false,"suffix":""},{"dropping-particle":"","family":"Sang","given":"Ling","non-dropping-particle":"","parse-names":false,"suffix":""}],"container-title":"Experimental Hematology and Oncology","id":"ITEM-1","issued":{"date-parts":[["2021"]]},"title":"COVID-19-associated coagulopathy: thromboembolism prophylaxis and poor prognosis in ICU","type":"article-journal"},"uris":["http://www.mendeley.com/documents/?uuid=f1d04af2-4ad0-4b8e-9d21-b8b3b5a4e12e"]}],"mendeley":{"formattedCitation":"[3]","plainTextFormattedCitation":"[3]","previouslyFormattedCitation":"[3]"},"properties":{"noteIndex":0},"schema":"https://github.com/citation-style-language/schema/raw/master/csl-citation.json"}</w:instrText>
      </w:r>
      <w:r w:rsidR="00A5526F" w:rsidRPr="00A5526F">
        <w:rPr>
          <w:rFonts w:ascii="Tw Cen MT" w:hAnsi="Tw Cen MT" w:cs="Times New Roman"/>
          <w:sz w:val="24"/>
          <w:szCs w:val="24"/>
        </w:rPr>
        <w:fldChar w:fldCharType="separate"/>
      </w:r>
      <w:r w:rsidR="000A7A80" w:rsidRPr="000A7A80">
        <w:rPr>
          <w:rFonts w:ascii="Tw Cen MT" w:hAnsi="Tw Cen MT" w:cs="Times New Roman"/>
          <w:noProof/>
          <w:sz w:val="24"/>
          <w:szCs w:val="24"/>
        </w:rPr>
        <w:t>[3]</w:t>
      </w:r>
      <w:r w:rsidR="00A5526F" w:rsidRPr="00A5526F">
        <w:rPr>
          <w:rFonts w:ascii="Tw Cen MT" w:hAnsi="Tw Cen MT" w:cs="Times New Roman"/>
          <w:sz w:val="24"/>
          <w:szCs w:val="24"/>
        </w:rPr>
        <w:fldChar w:fldCharType="end"/>
      </w:r>
      <w:r w:rsidR="00A5526F" w:rsidRPr="00A5526F">
        <w:rPr>
          <w:rFonts w:ascii="Tw Cen MT" w:hAnsi="Tw Cen MT" w:cs="Times New Roman"/>
          <w:sz w:val="24"/>
          <w:szCs w:val="24"/>
        </w:rPr>
        <w:t xml:space="preserve">. </w:t>
      </w:r>
      <w:r w:rsidR="00A5526F" w:rsidRPr="00A5526F">
        <w:rPr>
          <w:rFonts w:ascii="Tw Cen MT" w:eastAsia="Times New Roman" w:hAnsi="Tw Cen MT" w:cs="Times New Roman"/>
          <w:sz w:val="24"/>
          <w:szCs w:val="24"/>
          <w:bdr w:val="none" w:sz="0" w:space="0" w:color="auto" w:frame="1"/>
          <w:lang w:eastAsia="id-ID"/>
        </w:rPr>
        <w:t xml:space="preserve">Untuk melihat resiko perburukan gangguan koagulasi menjadi </w:t>
      </w:r>
      <w:r w:rsidR="00A5526F" w:rsidRPr="00A5526F">
        <w:rPr>
          <w:rFonts w:ascii="Tw Cen MT" w:eastAsia="Times New Roman" w:hAnsi="Tw Cen MT" w:cs="Times New Roman"/>
          <w:i/>
          <w:iCs/>
          <w:sz w:val="24"/>
          <w:szCs w:val="24"/>
          <w:bdr w:val="none" w:sz="0" w:space="0" w:color="auto" w:frame="1"/>
          <w:lang w:eastAsia="id-ID"/>
        </w:rPr>
        <w:t>Disseminated Intravascular Coagulation</w:t>
      </w:r>
      <w:r w:rsidR="00A5526F" w:rsidRPr="00A5526F">
        <w:rPr>
          <w:rFonts w:ascii="Tw Cen MT" w:eastAsia="Times New Roman" w:hAnsi="Tw Cen MT" w:cs="Times New Roman"/>
          <w:sz w:val="24"/>
          <w:szCs w:val="24"/>
          <w:lang w:eastAsia="id-ID"/>
        </w:rPr>
        <w:t> (DIC)</w:t>
      </w:r>
      <w:r w:rsidR="00A5526F" w:rsidRPr="00A5526F">
        <w:rPr>
          <w:rFonts w:ascii="Tw Cen MT" w:eastAsia="Times New Roman" w:hAnsi="Tw Cen MT" w:cs="Times New Roman"/>
          <w:i/>
          <w:iCs/>
          <w:sz w:val="24"/>
          <w:szCs w:val="24"/>
          <w:bdr w:val="none" w:sz="0" w:space="0" w:color="auto" w:frame="1"/>
          <w:lang w:eastAsia="id-ID"/>
        </w:rPr>
        <w:t>,</w:t>
      </w:r>
      <w:r w:rsidR="00A5526F" w:rsidRPr="00A5526F">
        <w:rPr>
          <w:rFonts w:ascii="Tw Cen MT" w:eastAsia="Times New Roman" w:hAnsi="Tw Cen MT" w:cs="Times New Roman"/>
          <w:sz w:val="24"/>
          <w:szCs w:val="24"/>
          <w:bdr w:val="none" w:sz="0" w:space="0" w:color="auto" w:frame="1"/>
          <w:lang w:eastAsia="id-ID"/>
        </w:rPr>
        <w:t>atau pembekuan darah diseluruh pembuluh darah kecil</w:t>
      </w:r>
      <w:r w:rsidR="00A5526F" w:rsidRPr="00A5526F">
        <w:rPr>
          <w:rFonts w:ascii="Tw Cen MT" w:eastAsia="Times New Roman" w:hAnsi="Tw Cen MT" w:cs="Times New Roman"/>
          <w:i/>
          <w:iCs/>
          <w:sz w:val="24"/>
          <w:szCs w:val="24"/>
          <w:bdr w:val="none" w:sz="0" w:space="0" w:color="auto" w:frame="1"/>
          <w:lang w:eastAsia="id-ID"/>
        </w:rPr>
        <w:t>, The International Society of Thrombosis Hemostasis</w:t>
      </w:r>
      <w:r w:rsidR="00A5526F" w:rsidRPr="00A5526F">
        <w:rPr>
          <w:rFonts w:ascii="Tw Cen MT" w:eastAsia="Times New Roman" w:hAnsi="Tw Cen MT" w:cs="Times New Roman"/>
          <w:sz w:val="24"/>
          <w:szCs w:val="24"/>
          <w:lang w:eastAsia="id-ID"/>
        </w:rPr>
        <w:t xml:space="preserve"> (ISTH) merekomendasikan pemeriksaan laboratorium hemostasis. Parameter hasil pemeriksaan pada DIC antara lain </w:t>
      </w:r>
      <w:r w:rsidR="00A5526F" w:rsidRPr="00A5526F">
        <w:rPr>
          <w:rFonts w:ascii="Tw Cen MT" w:eastAsia="Times New Roman" w:hAnsi="Tw Cen MT" w:cs="Times New Roman"/>
          <w:bCs/>
          <w:sz w:val="24"/>
          <w:szCs w:val="24"/>
          <w:bdr w:val="none" w:sz="0" w:space="0" w:color="auto" w:frame="1"/>
          <w:lang w:eastAsia="id-ID"/>
        </w:rPr>
        <w:t>peningkatan konsentrasi D-dimer</w:t>
      </w:r>
      <w:r w:rsidR="00A5526F" w:rsidRPr="00A5526F">
        <w:rPr>
          <w:rFonts w:ascii="Tw Cen MT" w:eastAsia="Times New Roman" w:hAnsi="Tw Cen MT" w:cs="Times New Roman"/>
          <w:sz w:val="24"/>
          <w:szCs w:val="24"/>
          <w:lang w:eastAsia="id-ID"/>
        </w:rPr>
        <w:t xml:space="preserve">, </w:t>
      </w:r>
      <w:r w:rsidR="00A5526F" w:rsidRPr="00A5526F">
        <w:rPr>
          <w:rFonts w:ascii="Tw Cen MT" w:eastAsia="Times New Roman" w:hAnsi="Tw Cen MT" w:cs="Times New Roman"/>
          <w:bCs/>
          <w:sz w:val="24"/>
          <w:szCs w:val="24"/>
          <w:bdr w:val="none" w:sz="0" w:space="0" w:color="auto" w:frame="1"/>
          <w:lang w:eastAsia="id-ID"/>
        </w:rPr>
        <w:t>pemanjanga</w:t>
      </w:r>
      <w:r w:rsidR="00FF3C37">
        <w:rPr>
          <w:rFonts w:ascii="Tw Cen MT" w:eastAsia="Times New Roman" w:hAnsi="Tw Cen MT" w:cs="Times New Roman"/>
          <w:bCs/>
          <w:sz w:val="24"/>
          <w:szCs w:val="24"/>
          <w:bdr w:val="none" w:sz="0" w:space="0" w:color="auto" w:frame="1"/>
          <w:lang w:eastAsia="id-ID"/>
        </w:rPr>
        <w:t xml:space="preserve">n </w:t>
      </w:r>
      <w:r w:rsidR="00FF3C37">
        <w:rPr>
          <w:rFonts w:ascii="Tw Cen MT" w:eastAsia="Times New Roman" w:hAnsi="Tw Cen MT" w:cs="Times New Roman"/>
          <w:bCs/>
          <w:i/>
          <w:iCs/>
          <w:sz w:val="24"/>
          <w:szCs w:val="24"/>
          <w:bdr w:val="none" w:sz="0" w:space="0" w:color="auto" w:frame="1"/>
          <w:lang w:eastAsia="id-ID"/>
        </w:rPr>
        <w:t>P</w:t>
      </w:r>
      <w:r w:rsidR="00A5526F" w:rsidRPr="00A5526F">
        <w:rPr>
          <w:rFonts w:ascii="Tw Cen MT" w:eastAsia="Times New Roman" w:hAnsi="Tw Cen MT" w:cs="Times New Roman"/>
          <w:bCs/>
          <w:i/>
          <w:iCs/>
          <w:sz w:val="24"/>
          <w:szCs w:val="24"/>
          <w:bdr w:val="none" w:sz="0" w:space="0" w:color="auto" w:frame="1"/>
          <w:lang w:eastAsia="id-ID"/>
        </w:rPr>
        <w:t>rothrombin time</w:t>
      </w:r>
      <w:r w:rsidR="00A5526F" w:rsidRPr="00A5526F">
        <w:rPr>
          <w:rFonts w:ascii="Tw Cen MT" w:eastAsia="Times New Roman" w:hAnsi="Tw Cen MT" w:cs="Times New Roman"/>
          <w:bCs/>
          <w:sz w:val="24"/>
          <w:szCs w:val="24"/>
          <w:bdr w:val="none" w:sz="0" w:space="0" w:color="auto" w:frame="1"/>
          <w:lang w:eastAsia="id-ID"/>
        </w:rPr>
        <w:t> (PT) dan </w:t>
      </w:r>
      <w:r w:rsidR="00FF3C37">
        <w:rPr>
          <w:rFonts w:ascii="Tw Cen MT" w:eastAsia="Times New Roman" w:hAnsi="Tw Cen MT" w:cs="Times New Roman"/>
          <w:bCs/>
          <w:i/>
          <w:iCs/>
          <w:sz w:val="24"/>
          <w:szCs w:val="24"/>
          <w:bdr w:val="none" w:sz="0" w:space="0" w:color="auto" w:frame="1"/>
          <w:lang w:eastAsia="id-ID"/>
        </w:rPr>
        <w:t>A</w:t>
      </w:r>
      <w:r w:rsidR="00A5526F" w:rsidRPr="00A5526F">
        <w:rPr>
          <w:rFonts w:ascii="Tw Cen MT" w:eastAsia="Times New Roman" w:hAnsi="Tw Cen MT" w:cs="Times New Roman"/>
          <w:bCs/>
          <w:i/>
          <w:iCs/>
          <w:sz w:val="24"/>
          <w:szCs w:val="24"/>
          <w:bdr w:val="none" w:sz="0" w:space="0" w:color="auto" w:frame="1"/>
          <w:lang w:eastAsia="id-ID"/>
        </w:rPr>
        <w:t>ctivated partial thromboplastin time </w:t>
      </w:r>
      <w:r w:rsidR="00A5526F" w:rsidRPr="00A5526F">
        <w:rPr>
          <w:rFonts w:ascii="Tw Cen MT" w:eastAsia="Times New Roman" w:hAnsi="Tw Cen MT" w:cs="Times New Roman"/>
          <w:bCs/>
          <w:sz w:val="24"/>
          <w:szCs w:val="24"/>
          <w:bdr w:val="none" w:sz="0" w:space="0" w:color="auto" w:frame="1"/>
          <w:lang w:eastAsia="id-ID"/>
        </w:rPr>
        <w:t xml:space="preserve">(APTT), Peningkatan fibrinogen, </w:t>
      </w:r>
      <w:r w:rsidR="00FF3C37">
        <w:rPr>
          <w:rFonts w:ascii="Tw Cen MT" w:eastAsia="Times New Roman" w:hAnsi="Tw Cen MT" w:cs="Times New Roman"/>
          <w:bCs/>
          <w:sz w:val="24"/>
          <w:szCs w:val="24"/>
          <w:bdr w:val="none" w:sz="0" w:space="0" w:color="auto" w:frame="1"/>
          <w:lang w:eastAsia="id-ID"/>
        </w:rPr>
        <w:t xml:space="preserve">dan </w:t>
      </w:r>
      <w:r w:rsidR="00A5526F" w:rsidRPr="00A5526F">
        <w:rPr>
          <w:rFonts w:ascii="Tw Cen MT" w:eastAsia="Times New Roman" w:hAnsi="Tw Cen MT" w:cs="Times New Roman"/>
          <w:bCs/>
          <w:sz w:val="24"/>
          <w:szCs w:val="24"/>
          <w:bdr w:val="none" w:sz="0" w:space="0" w:color="auto" w:frame="1"/>
          <w:lang w:eastAsia="id-ID"/>
        </w:rPr>
        <w:t xml:space="preserve">Trombositopenia </w:t>
      </w:r>
      <w:r w:rsidR="00081E9C">
        <w:rPr>
          <w:rFonts w:ascii="Tw Cen MT" w:eastAsia="Times New Roman" w:hAnsi="Tw Cen MT" w:cs="Times New Roman"/>
          <w:bCs/>
          <w:sz w:val="24"/>
          <w:szCs w:val="24"/>
          <w:bdr w:val="none" w:sz="0" w:space="0" w:color="auto" w:frame="1"/>
          <w:lang w:eastAsia="id-ID"/>
        </w:rPr>
        <w:t>(</w:t>
      </w:r>
      <w:commentRangeStart w:id="6"/>
      <w:r w:rsidR="00081E9C">
        <w:rPr>
          <w:rFonts w:ascii="Tw Cen MT" w:eastAsia="Times New Roman" w:hAnsi="Tw Cen MT" w:cs="Times New Roman"/>
          <w:bCs/>
          <w:sz w:val="24"/>
          <w:szCs w:val="24"/>
          <w:bdr w:val="none" w:sz="0" w:space="0" w:color="auto" w:frame="1"/>
          <w:lang w:eastAsia="id-ID"/>
        </w:rPr>
        <w:t>9</w:t>
      </w:r>
      <w:commentRangeEnd w:id="6"/>
      <w:r w:rsidR="00FF52A2">
        <w:rPr>
          <w:rStyle w:val="CommentReference"/>
        </w:rPr>
        <w:commentReference w:id="6"/>
      </w:r>
      <w:r w:rsidR="00081E9C">
        <w:rPr>
          <w:rFonts w:ascii="Tw Cen MT" w:eastAsia="Times New Roman" w:hAnsi="Tw Cen MT" w:cs="Times New Roman"/>
          <w:bCs/>
          <w:sz w:val="24"/>
          <w:szCs w:val="24"/>
          <w:bdr w:val="none" w:sz="0" w:space="0" w:color="auto" w:frame="1"/>
          <w:lang w:eastAsia="id-ID"/>
        </w:rPr>
        <w:t>)</w:t>
      </w:r>
      <w:r w:rsidR="00A5526F" w:rsidRPr="00A5526F">
        <w:rPr>
          <w:rFonts w:ascii="Tw Cen MT" w:eastAsia="Times New Roman" w:hAnsi="Tw Cen MT" w:cs="Times New Roman"/>
          <w:bCs/>
          <w:sz w:val="24"/>
          <w:szCs w:val="24"/>
          <w:bdr w:val="none" w:sz="0" w:space="0" w:color="auto" w:frame="1"/>
          <w:lang w:eastAsia="id-ID"/>
        </w:rPr>
        <w:t>.</w:t>
      </w:r>
      <w:r w:rsidR="00A5526F" w:rsidRPr="00A5526F">
        <w:rPr>
          <w:rFonts w:ascii="Tw Cen MT" w:eastAsia="Times New Roman" w:hAnsi="Tw Cen MT" w:cs="Times New Roman"/>
          <w:sz w:val="24"/>
          <w:szCs w:val="24"/>
          <w:lang w:eastAsia="id-ID"/>
        </w:rPr>
        <w:t xml:space="preserve"> Sebagai terapi farmakologi untuk kondisi resiko DIC, pada pedoman terkini merekomendasikan pemberian antikoagulan profilaksis pada semua pasien COVID-19 di rumah sakit meskipun tanpa trombosis yang terdokumentasi atau kecurigaan mengalami trombosis. Pemberian antikoagulan pada pasien COVID-19 menunjukkan prognosis yang lebih baik. Pemberian antikogulan sebagai tromboprofilaksis disarankan untuk diberikan pada pasien COVID-19 berat yang dirawat di rumah sakit. Pilihan jenis antikoagulan sebagai terapi profila</w:t>
      </w:r>
      <w:r w:rsidR="00FF3C37">
        <w:rPr>
          <w:rFonts w:ascii="Tw Cen MT" w:eastAsia="Times New Roman" w:hAnsi="Tw Cen MT" w:cs="Times New Roman"/>
          <w:sz w:val="24"/>
          <w:szCs w:val="24"/>
          <w:lang w:eastAsia="id-ID"/>
        </w:rPr>
        <w:t>k</w:t>
      </w:r>
      <w:r w:rsidR="00A5526F" w:rsidRPr="00A5526F">
        <w:rPr>
          <w:rFonts w:ascii="Tw Cen MT" w:eastAsia="Times New Roman" w:hAnsi="Tw Cen MT" w:cs="Times New Roman"/>
          <w:sz w:val="24"/>
          <w:szCs w:val="24"/>
          <w:lang w:eastAsia="id-ID"/>
        </w:rPr>
        <w:t xml:space="preserve">sis trombosis adalah Low Molecular Weihgt Heparin (LMWH) atau </w:t>
      </w:r>
      <w:r w:rsidR="00A5526F" w:rsidRPr="00A5526F">
        <w:rPr>
          <w:rFonts w:ascii="Tw Cen MT" w:eastAsia="Times New Roman" w:hAnsi="Tw Cen MT" w:cs="Times New Roman"/>
          <w:i/>
          <w:iCs/>
          <w:sz w:val="24"/>
          <w:szCs w:val="24"/>
          <w:lang w:eastAsia="id-ID"/>
        </w:rPr>
        <w:t>Unfractionated Heparin</w:t>
      </w:r>
      <w:r w:rsidR="00A5526F" w:rsidRPr="00A5526F">
        <w:rPr>
          <w:rFonts w:ascii="Tw Cen MT" w:eastAsia="Times New Roman" w:hAnsi="Tw Cen MT" w:cs="Times New Roman"/>
          <w:sz w:val="24"/>
          <w:szCs w:val="24"/>
          <w:lang w:eastAsia="id-ID"/>
        </w:rPr>
        <w:t xml:space="preserve"> (UFH), jenis antikoagulan penghambat faktor Xa seperti Fondaparinux dan Enoxaparin </w:t>
      </w:r>
      <w:r w:rsidR="00A5526F" w:rsidRPr="00A5526F">
        <w:rPr>
          <w:rFonts w:ascii="Tw Cen MT" w:eastAsia="Times New Roman" w:hAnsi="Tw Cen MT" w:cs="Times New Roman"/>
          <w:sz w:val="24"/>
          <w:szCs w:val="24"/>
          <w:lang w:eastAsia="id-ID"/>
        </w:rPr>
        <w:fldChar w:fldCharType="begin" w:fldLock="1"/>
      </w:r>
      <w:r w:rsidR="00610831">
        <w:rPr>
          <w:rFonts w:ascii="Tw Cen MT" w:eastAsia="Times New Roman" w:hAnsi="Tw Cen MT" w:cs="Times New Roman"/>
          <w:sz w:val="24"/>
          <w:szCs w:val="24"/>
          <w:lang w:eastAsia="id-ID"/>
        </w:rPr>
        <w:instrText>ADDIN CSL_CITATION {"citationItems":[{"id":"ITEM-1","itemData":{"ISBN":"9786239913816","abstract":"Buku ini merupakan kerjasama 5 organisasi profesi yaitu Perhimpunan Dokter Paru Indonesia (PDPI), Perhimpunan Dokter Spesialis Kardiovaskuler Indonesia (PERKI), Perhimpunan Dokter Spesialis Penyakit Dalam Indonesia (PAPDI), Perhimpunan Dokter Anestesiologi dan Terapi Intensif Indonesia (PERDATIN) dan Ikatan Dokter Anak Indonesia (IDAI). Terima kasih kepada para penyusun dari 5 organisasi profesi yang telah bekerja keras untuk terbitnya buku Pedoman Tatalaksana COVID-19 edisi 2 yang merupakan revisi buku Protokol Tatalaksana COVID-19. Buku ini merupakan dokumen yang perlu dievaluasi secara berkala mengikuti perkembangan ilmu terkait masalah COVID-19.","author":[{"dropping-particle":"","family":"Burhan","given":"Erlina","non-dropping-particle":"","parse-names":false,"suffix":""},{"dropping-particle":"","family":"Susanto","given":"Agus Dwi","non-dropping-particle":"","parse-names":false,"suffix":""},{"dropping-particle":"","family":"Nasution","given":"Sally Aman","non-dropping-particle":"","parse-names":false,"suffix":""},{"dropping-particle":"","family":"Eka","given":"Ginanjar","non-dropping-particle":"","parse-names":false,"suffix":""},{"dropping-particle":"","family":"Pitoyo","given":"ceva Wicaksono","non-dropping-particle":"","parse-names":false,"suffix":""},{"dropping-particle":"","family":"Susilo","given":"Adityo","non-dropping-particle":"","parse-names":false,"suffix":""},{"dropping-particle":"","family":"Firdaus","given":"Isman","non-dropping-particle":"","parse-names":false,"suffix":""},{"dropping-particle":"","family":"Santoso","given":"Anwar","non-dropping-particle":"","parse-names":false,"suffix":""},{"dropping-particle":"","family":"Juzar","given":"Dafsah Arifa","non-dropping-particle":"","parse-names":false,"suffix":""},{"dropping-particle":"","family":"Arif","given":"Safri Kamsul","non-dropping-particle":"","parse-names":false,"suffix":""}],"container-title":"Pedoman tatalaksana COVID-19 edisi 4","id":"ITEM-1","issued":{"date-parts":[["2022"]]},"title":"Cedera miokardium pada infeksi COVID-19","type":"book"},"uris":["http://www.mendeley.com/documents/?uuid=772df04a-e604-494c-83b6-48e339c6a3ad"]}],"mendeley":{"formattedCitation":"[4]","plainTextFormattedCitation":"[4]","previouslyFormattedCitation":"[4]"},"properties":{"noteIndex":0},"schema":"https://github.com/citation-style-language/schema/raw/master/csl-citation.json"}</w:instrText>
      </w:r>
      <w:r w:rsidR="00A5526F" w:rsidRPr="00A5526F">
        <w:rPr>
          <w:rFonts w:ascii="Tw Cen MT" w:eastAsia="Times New Roman" w:hAnsi="Tw Cen MT" w:cs="Times New Roman"/>
          <w:sz w:val="24"/>
          <w:szCs w:val="24"/>
          <w:lang w:eastAsia="id-ID"/>
        </w:rPr>
        <w:fldChar w:fldCharType="separate"/>
      </w:r>
      <w:r w:rsidR="000A7A80" w:rsidRPr="000A7A80">
        <w:rPr>
          <w:rFonts w:ascii="Tw Cen MT" w:eastAsia="Times New Roman" w:hAnsi="Tw Cen MT" w:cs="Times New Roman"/>
          <w:noProof/>
          <w:sz w:val="24"/>
          <w:szCs w:val="24"/>
          <w:lang w:eastAsia="id-ID"/>
        </w:rPr>
        <w:t>[4]</w:t>
      </w:r>
      <w:r w:rsidR="00A5526F" w:rsidRPr="00A5526F">
        <w:rPr>
          <w:rFonts w:ascii="Tw Cen MT" w:eastAsia="Times New Roman" w:hAnsi="Tw Cen MT" w:cs="Times New Roman"/>
          <w:sz w:val="24"/>
          <w:szCs w:val="24"/>
          <w:lang w:eastAsia="id-ID"/>
        </w:rPr>
        <w:fldChar w:fldCharType="end"/>
      </w:r>
      <w:r w:rsidR="00A5526F" w:rsidRPr="00A5526F">
        <w:rPr>
          <w:rFonts w:ascii="Tw Cen MT" w:eastAsia="Times New Roman" w:hAnsi="Tw Cen MT" w:cs="Times New Roman"/>
          <w:sz w:val="24"/>
          <w:szCs w:val="24"/>
          <w:lang w:eastAsia="id-ID"/>
        </w:rPr>
        <w:t xml:space="preserve">. </w:t>
      </w:r>
      <w:r w:rsidR="00FF3C37">
        <w:rPr>
          <w:rFonts w:ascii="Tw Cen MT" w:eastAsia="Times New Roman" w:hAnsi="Tw Cen MT" w:cs="Times New Roman"/>
          <w:bCs/>
          <w:sz w:val="24"/>
          <w:szCs w:val="24"/>
          <w:bdr w:val="none" w:sz="0" w:space="0" w:color="auto" w:frame="1"/>
          <w:lang w:eastAsia="id-ID"/>
        </w:rPr>
        <w:t>P</w:t>
      </w:r>
      <w:r w:rsidR="00A5526F" w:rsidRPr="00A5526F">
        <w:rPr>
          <w:rFonts w:ascii="Tw Cen MT" w:eastAsia="Times New Roman" w:hAnsi="Tw Cen MT" w:cs="Times New Roman"/>
          <w:bCs/>
          <w:sz w:val="24"/>
          <w:szCs w:val="24"/>
          <w:bdr w:val="none" w:sz="0" w:space="0" w:color="auto" w:frame="1"/>
          <w:lang w:eastAsia="id-ID"/>
        </w:rPr>
        <w:t>enelitian ini dilakukan untuk mengetahui pengaruh penggunaan antikoagulan sebagai tromboprofilaksis pada pasien Covid-19 dengan Diabetes Melitus dengan memperhatikan parameter laboratorium yang menjadi dasar penggunaan antikoagulan profilaksis.</w:t>
      </w:r>
    </w:p>
    <w:p w14:paraId="1027822F" w14:textId="459D7EBC" w:rsidR="007106F6" w:rsidRPr="0096335E" w:rsidRDefault="007106F6" w:rsidP="00611369">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7334AF9E" w14:textId="34ABE3ED" w:rsidR="009940A0" w:rsidRPr="002D1721" w:rsidRDefault="00A5526F" w:rsidP="002D1721">
      <w:pPr>
        <w:pStyle w:val="ListParagraph"/>
        <w:spacing w:after="0" w:line="240" w:lineRule="auto"/>
        <w:ind w:left="0" w:firstLine="708"/>
        <w:jc w:val="both"/>
        <w:rPr>
          <w:rFonts w:ascii="Tw Cen MT" w:hAnsi="Tw Cen MT"/>
          <w:sz w:val="24"/>
          <w:szCs w:val="24"/>
        </w:rPr>
      </w:pPr>
      <w:r w:rsidRPr="002D1721">
        <w:rPr>
          <w:rFonts w:ascii="Tw Cen MT" w:hAnsi="Tw Cen MT"/>
          <w:sz w:val="24"/>
          <w:szCs w:val="24"/>
        </w:rPr>
        <w:t>Penelitian ini di</w:t>
      </w:r>
      <w:r w:rsidRPr="002D1721">
        <w:rPr>
          <w:rFonts w:ascii="Tw Cen MT" w:hAnsi="Tw Cen MT"/>
          <w:sz w:val="24"/>
          <w:szCs w:val="24"/>
          <w:lang w:val="en-US"/>
        </w:rPr>
        <w:t xml:space="preserve"> </w:t>
      </w:r>
      <w:r w:rsidRPr="002D1721">
        <w:rPr>
          <w:rFonts w:ascii="Tw Cen MT" w:hAnsi="Tw Cen MT"/>
          <w:sz w:val="24"/>
          <w:szCs w:val="24"/>
        </w:rPr>
        <w:t>desain dalam bentuk</w:t>
      </w:r>
      <w:r w:rsidRPr="002D1721">
        <w:rPr>
          <w:rFonts w:ascii="Tw Cen MT" w:hAnsi="Tw Cen MT"/>
          <w:sz w:val="24"/>
          <w:szCs w:val="24"/>
          <w:lang w:val="en-US"/>
        </w:rPr>
        <w:t xml:space="preserve"> </w:t>
      </w:r>
      <w:r w:rsidRPr="002D1721">
        <w:rPr>
          <w:rFonts w:ascii="Tw Cen MT" w:hAnsi="Tw Cen MT"/>
          <w:i/>
          <w:iCs/>
          <w:sz w:val="24"/>
          <w:szCs w:val="24"/>
          <w:lang w:val="en-US"/>
        </w:rPr>
        <w:t xml:space="preserve">pre test-post test </w:t>
      </w:r>
      <w:r w:rsidRPr="002D1721">
        <w:rPr>
          <w:rFonts w:ascii="Tw Cen MT" w:hAnsi="Tw Cen MT"/>
          <w:i/>
          <w:iCs/>
          <w:sz w:val="24"/>
          <w:szCs w:val="24"/>
        </w:rPr>
        <w:t xml:space="preserve"> retrospective </w:t>
      </w:r>
      <w:r w:rsidRPr="002D1721">
        <w:rPr>
          <w:rFonts w:ascii="Tw Cen MT" w:hAnsi="Tw Cen MT"/>
          <w:i/>
          <w:iCs/>
          <w:sz w:val="24"/>
          <w:szCs w:val="24"/>
          <w:lang w:val="en-US"/>
        </w:rPr>
        <w:t>cohort</w:t>
      </w:r>
      <w:r w:rsidRPr="002D1721">
        <w:rPr>
          <w:rFonts w:ascii="Tw Cen MT" w:hAnsi="Tw Cen MT"/>
          <w:i/>
          <w:sz w:val="24"/>
          <w:szCs w:val="24"/>
        </w:rPr>
        <w:t xml:space="preserve"> </w:t>
      </w:r>
      <w:r w:rsidRPr="002D1721">
        <w:rPr>
          <w:rFonts w:ascii="Tw Cen MT" w:hAnsi="Tw Cen MT"/>
          <w:i/>
          <w:sz w:val="24"/>
          <w:szCs w:val="24"/>
          <w:lang w:val="en-US"/>
        </w:rPr>
        <w:t xml:space="preserve">study </w:t>
      </w:r>
      <w:r w:rsidRPr="002D1721">
        <w:rPr>
          <w:rFonts w:ascii="Tw Cen MT" w:hAnsi="Tw Cen MT"/>
          <w:sz w:val="24"/>
          <w:szCs w:val="24"/>
        </w:rPr>
        <w:t xml:space="preserve">pada pasien Covid-19 dengan </w:t>
      </w:r>
      <w:r w:rsidRPr="002D1721">
        <w:rPr>
          <w:rFonts w:ascii="Tw Cen MT" w:hAnsi="Tw Cen MT"/>
          <w:sz w:val="24"/>
          <w:szCs w:val="24"/>
          <w:lang w:val="en-US"/>
        </w:rPr>
        <w:t xml:space="preserve">komorbid </w:t>
      </w:r>
      <w:r w:rsidRPr="002D1721">
        <w:rPr>
          <w:rFonts w:ascii="Tw Cen MT" w:hAnsi="Tw Cen MT"/>
          <w:sz w:val="24"/>
          <w:szCs w:val="24"/>
        </w:rPr>
        <w:t xml:space="preserve">diabetes </w:t>
      </w:r>
      <w:r w:rsidRPr="002D1721">
        <w:rPr>
          <w:rFonts w:ascii="Tw Cen MT" w:hAnsi="Tw Cen MT"/>
          <w:sz w:val="24"/>
          <w:szCs w:val="24"/>
          <w:lang w:val="en-US"/>
        </w:rPr>
        <w:t xml:space="preserve">tipe II tidak terkontrol </w:t>
      </w:r>
      <w:r w:rsidRPr="002D1721">
        <w:rPr>
          <w:rFonts w:ascii="Tw Cen MT" w:hAnsi="Tw Cen MT"/>
          <w:sz w:val="24"/>
          <w:szCs w:val="24"/>
        </w:rPr>
        <w:t>yang dirawat di RSUP Dr. M. Djamil Padang</w:t>
      </w:r>
      <w:r w:rsidR="009940A0" w:rsidRPr="002D1721">
        <w:rPr>
          <w:rFonts w:ascii="Tw Cen MT" w:hAnsi="Tw Cen MT"/>
          <w:sz w:val="24"/>
          <w:szCs w:val="24"/>
        </w:rPr>
        <w:t xml:space="preserve"> </w:t>
      </w:r>
      <w:r w:rsidRPr="002D1721">
        <w:rPr>
          <w:rFonts w:ascii="Tw Cen MT" w:hAnsi="Tw Cen MT"/>
          <w:sz w:val="24"/>
          <w:szCs w:val="24"/>
        </w:rPr>
        <w:t>dalam rentang waktu dari bulan</w:t>
      </w:r>
      <w:r w:rsidRPr="002D1721">
        <w:rPr>
          <w:rFonts w:ascii="Tw Cen MT" w:hAnsi="Tw Cen MT"/>
          <w:sz w:val="24"/>
          <w:szCs w:val="24"/>
          <w:lang w:val="en-US"/>
        </w:rPr>
        <w:t xml:space="preserve"> November </w:t>
      </w:r>
      <w:r w:rsidRPr="002D1721">
        <w:rPr>
          <w:rFonts w:ascii="Tw Cen MT" w:hAnsi="Tw Cen MT"/>
          <w:sz w:val="24"/>
          <w:szCs w:val="24"/>
        </w:rPr>
        <w:t>202</w:t>
      </w:r>
      <w:r w:rsidRPr="002D1721">
        <w:rPr>
          <w:rFonts w:ascii="Tw Cen MT" w:hAnsi="Tw Cen MT"/>
          <w:sz w:val="24"/>
          <w:szCs w:val="24"/>
          <w:lang w:val="en-US"/>
        </w:rPr>
        <w:t>0</w:t>
      </w:r>
      <w:r w:rsidRPr="002D1721">
        <w:rPr>
          <w:rFonts w:ascii="Tw Cen MT" w:hAnsi="Tw Cen MT"/>
          <w:sz w:val="24"/>
          <w:szCs w:val="24"/>
        </w:rPr>
        <w:t xml:space="preserve"> hingga</w:t>
      </w:r>
      <w:r w:rsidRPr="002D1721">
        <w:rPr>
          <w:rFonts w:ascii="Tw Cen MT" w:hAnsi="Tw Cen MT"/>
          <w:sz w:val="24"/>
          <w:szCs w:val="24"/>
          <w:lang w:val="en-US"/>
        </w:rPr>
        <w:t xml:space="preserve"> Desember 2021</w:t>
      </w:r>
      <w:r w:rsidRPr="002D1721">
        <w:rPr>
          <w:rFonts w:ascii="Tw Cen MT" w:hAnsi="Tw Cen MT"/>
          <w:sz w:val="24"/>
          <w:szCs w:val="24"/>
        </w:rPr>
        <w:t xml:space="preserve">. </w:t>
      </w:r>
      <w:r w:rsidR="009940A0" w:rsidRPr="002D1721">
        <w:rPr>
          <w:rFonts w:ascii="Tw Cen MT" w:hAnsi="Tw Cen MT"/>
          <w:sz w:val="24"/>
          <w:szCs w:val="24"/>
        </w:rPr>
        <w:t>Kriteria inklusi untuk pasien yang akan disertakan</w:t>
      </w:r>
      <w:r w:rsidR="009940A0" w:rsidRPr="002D1721">
        <w:rPr>
          <w:rFonts w:ascii="Tw Cen MT" w:hAnsi="Tw Cen MT"/>
          <w:sz w:val="24"/>
          <w:szCs w:val="24"/>
          <w:lang w:val="en-US"/>
        </w:rPr>
        <w:t>/menjadi subjek penelitian</w:t>
      </w:r>
      <w:r w:rsidR="009940A0" w:rsidRPr="002D1721">
        <w:rPr>
          <w:rFonts w:ascii="Tw Cen MT" w:hAnsi="Tw Cen MT"/>
          <w:sz w:val="24"/>
          <w:szCs w:val="24"/>
        </w:rPr>
        <w:t xml:space="preserve"> di dalam penelitian ini </w:t>
      </w:r>
      <w:r w:rsidR="009940A0" w:rsidRPr="002D1721">
        <w:rPr>
          <w:rFonts w:ascii="Tw Cen MT" w:hAnsi="Tw Cen MT"/>
          <w:sz w:val="24"/>
          <w:szCs w:val="24"/>
          <w:lang w:val="en-US"/>
        </w:rPr>
        <w:t>adalah</w:t>
      </w:r>
      <w:r w:rsidR="009940A0" w:rsidRPr="002D1721">
        <w:rPr>
          <w:rFonts w:ascii="Tw Cen MT" w:hAnsi="Tw Cen MT"/>
          <w:sz w:val="24"/>
          <w:szCs w:val="24"/>
        </w:rPr>
        <w:t xml:space="preserve">, pasien </w:t>
      </w:r>
      <w:r w:rsidR="009940A0" w:rsidRPr="002D1721">
        <w:rPr>
          <w:rFonts w:ascii="Tw Cen MT" w:hAnsi="Tw Cen MT"/>
          <w:sz w:val="24"/>
          <w:szCs w:val="24"/>
          <w:lang w:val="en-US"/>
        </w:rPr>
        <w:t xml:space="preserve">Covid-19 </w:t>
      </w:r>
      <w:r w:rsidR="009940A0" w:rsidRPr="002D1721">
        <w:rPr>
          <w:rFonts w:ascii="Tw Cen MT" w:hAnsi="Tw Cen MT"/>
          <w:sz w:val="24"/>
          <w:szCs w:val="24"/>
        </w:rPr>
        <w:t xml:space="preserve">yang </w:t>
      </w:r>
      <w:r w:rsidR="009940A0" w:rsidRPr="002D1721">
        <w:rPr>
          <w:rFonts w:ascii="Tw Cen MT" w:hAnsi="Tw Cen MT"/>
          <w:sz w:val="24"/>
          <w:szCs w:val="24"/>
          <w:lang w:val="en-US"/>
        </w:rPr>
        <w:t xml:space="preserve">dari admisi masuk ruangan </w:t>
      </w:r>
      <w:r w:rsidR="009940A0" w:rsidRPr="002D1721">
        <w:rPr>
          <w:rFonts w:ascii="Tw Cen MT" w:hAnsi="Tw Cen MT"/>
          <w:sz w:val="24"/>
          <w:szCs w:val="24"/>
        </w:rPr>
        <w:t xml:space="preserve">ICU, </w:t>
      </w:r>
      <w:r w:rsidR="009940A0" w:rsidRPr="002D1721">
        <w:rPr>
          <w:rFonts w:ascii="Tw Cen MT" w:hAnsi="Tw Cen MT"/>
          <w:sz w:val="24"/>
          <w:szCs w:val="24"/>
          <w:lang w:val="en-US"/>
        </w:rPr>
        <w:t xml:space="preserve">umur </w:t>
      </w:r>
      <w:r w:rsidR="00502FF2">
        <w:rPr>
          <w:rFonts w:ascii="Tw Cen MT" w:hAnsi="Tw Cen MT"/>
          <w:sz w:val="24"/>
          <w:szCs w:val="24"/>
          <w:lang w:val="en-US"/>
        </w:rPr>
        <w:t xml:space="preserve">≥18 </w:t>
      </w:r>
      <w:r w:rsidR="009940A0" w:rsidRPr="002D1721">
        <w:rPr>
          <w:rFonts w:ascii="Tw Cen MT" w:hAnsi="Tw Cen MT"/>
          <w:sz w:val="24"/>
          <w:szCs w:val="24"/>
          <w:lang w:val="en-US"/>
        </w:rPr>
        <w:t>tahun</w:t>
      </w:r>
      <w:r w:rsidR="009940A0" w:rsidRPr="002D1721">
        <w:rPr>
          <w:rFonts w:ascii="Tw Cen MT" w:hAnsi="Tw Cen MT"/>
          <w:sz w:val="24"/>
          <w:szCs w:val="24"/>
        </w:rPr>
        <w:t xml:space="preserve">, </w:t>
      </w:r>
      <w:r w:rsidR="009940A0" w:rsidRPr="002D1721">
        <w:rPr>
          <w:rFonts w:ascii="Tw Cen MT" w:hAnsi="Tw Cen MT"/>
          <w:sz w:val="24"/>
          <w:szCs w:val="24"/>
          <w:lang w:val="en-US"/>
        </w:rPr>
        <w:t xml:space="preserve">laki-laki dan perempuan, </w:t>
      </w:r>
      <w:r w:rsidR="009940A0" w:rsidRPr="002D1721">
        <w:rPr>
          <w:rFonts w:ascii="Tw Cen MT" w:hAnsi="Tw Cen MT"/>
          <w:sz w:val="24"/>
          <w:szCs w:val="24"/>
        </w:rPr>
        <w:t xml:space="preserve">memiliki komorbid </w:t>
      </w:r>
      <w:r w:rsidR="009940A0" w:rsidRPr="002D1721">
        <w:rPr>
          <w:rFonts w:ascii="Tw Cen MT" w:hAnsi="Tw Cen MT"/>
          <w:sz w:val="24"/>
          <w:szCs w:val="24"/>
          <w:lang w:val="en-US"/>
        </w:rPr>
        <w:t>D</w:t>
      </w:r>
      <w:r w:rsidR="009940A0" w:rsidRPr="002D1721">
        <w:rPr>
          <w:rFonts w:ascii="Tw Cen MT" w:hAnsi="Tw Cen MT"/>
          <w:sz w:val="24"/>
          <w:szCs w:val="24"/>
        </w:rPr>
        <w:t>iabetes</w:t>
      </w:r>
      <w:r w:rsidR="009940A0" w:rsidRPr="002D1721">
        <w:rPr>
          <w:rFonts w:ascii="Tw Cen MT" w:hAnsi="Tw Cen MT"/>
          <w:sz w:val="24"/>
          <w:szCs w:val="24"/>
          <w:lang w:val="en-US"/>
        </w:rPr>
        <w:t xml:space="preserve"> Melitus tipe II tidak terkontrol, tidak memiliki riwayat pemakaian antikoagulan sebelum masuk rumah sakit dan menggunakan antikoagulan dengan dosis profilaksis saat di rawat di ruang ICU. Data rekam medis dan hasil pemeriksaan labor pasien lengkap. Teknik pengambilan sampel penelitian ini dengan teknik total sampling pasien yang masuk kriteria inklusi</w:t>
      </w:r>
      <w:r w:rsidR="00610831">
        <w:rPr>
          <w:rFonts w:ascii="Tw Cen MT" w:hAnsi="Tw Cen MT"/>
          <w:sz w:val="24"/>
          <w:szCs w:val="24"/>
          <w:lang w:val="en-US"/>
        </w:rPr>
        <w:t xml:space="preserve"> </w:t>
      </w:r>
      <w:r w:rsidR="00610831">
        <w:rPr>
          <w:rFonts w:ascii="Times New Roman" w:hAnsi="Times New Roman"/>
          <w:sz w:val="24"/>
          <w:szCs w:val="24"/>
          <w:lang w:val="en-US"/>
        </w:rPr>
        <w:fldChar w:fldCharType="begin" w:fldLock="1"/>
      </w:r>
      <w:r w:rsidR="00610831">
        <w:rPr>
          <w:rFonts w:ascii="Times New Roman" w:hAnsi="Times New Roman"/>
          <w:sz w:val="24"/>
          <w:szCs w:val="24"/>
          <w:lang w:val="en-US"/>
        </w:rPr>
        <w:instrText>ADDIN CSL_CITATION {"citationItems":[{"id":"ITEM-1","itemData":{"ISBN":"9789795189985","abstract":"This essay discusses the argument for holistic education proposed in the Old and New Testament scriptures. It proposes a definition of theology that is influenced by holistic orientation or the application of God's Word in all areas of life. It cites that education should emphasize a holistic view of life that many Christian parents fail to consider as they delegate specific areas of knowledge to church teaching and school teaching.","author":[{"dropping-particle":"","family":"Arikunto S.","given":"","non-dropping-particle":"","parse-names":false,"suffix":""}],"container-title":"Jakarta: Rineka Cipta","id":"ITEM-1","issued":{"date-parts":[["2006"]]},"title":"Prosedur penelitian suatu pendekatan praktik.","type":"article"},"uris":["http://www.mendeley.com/documents/?uuid=f7669c3c-461a-41be-9116-dd432677f803"]}],"mendeley":{"formattedCitation":"[5]","plainTextFormattedCitation":"[5]","previouslyFormattedCitation":"(Arikunto S., 2006)"},"properties":{"noteIndex":0},"schema":"https://github.com/citation-style-language/schema/raw/master/csl-citation.json"}</w:instrText>
      </w:r>
      <w:r w:rsidR="00610831">
        <w:rPr>
          <w:rFonts w:ascii="Times New Roman" w:hAnsi="Times New Roman"/>
          <w:sz w:val="24"/>
          <w:szCs w:val="24"/>
          <w:lang w:val="en-US"/>
        </w:rPr>
        <w:fldChar w:fldCharType="separate"/>
      </w:r>
      <w:r w:rsidR="00610831" w:rsidRPr="00610831">
        <w:rPr>
          <w:rFonts w:ascii="Times New Roman" w:hAnsi="Times New Roman"/>
          <w:noProof/>
          <w:sz w:val="24"/>
          <w:szCs w:val="24"/>
          <w:lang w:val="en-US"/>
        </w:rPr>
        <w:t>[5]</w:t>
      </w:r>
      <w:r w:rsidR="00610831">
        <w:rPr>
          <w:rFonts w:ascii="Times New Roman" w:hAnsi="Times New Roman"/>
          <w:sz w:val="24"/>
          <w:szCs w:val="24"/>
          <w:lang w:val="en-US"/>
        </w:rPr>
        <w:fldChar w:fldCharType="end"/>
      </w:r>
      <w:r w:rsidR="00610831">
        <w:rPr>
          <w:rFonts w:ascii="Times New Roman" w:hAnsi="Times New Roman"/>
          <w:sz w:val="24"/>
          <w:szCs w:val="24"/>
          <w:lang w:val="en-US"/>
        </w:rPr>
        <w:t>.</w:t>
      </w:r>
      <w:r w:rsidR="009940A0" w:rsidRPr="002D1721">
        <w:rPr>
          <w:rFonts w:ascii="Tw Cen MT" w:hAnsi="Tw Cen MT"/>
          <w:sz w:val="24"/>
          <w:szCs w:val="24"/>
          <w:lang w:val="en-US"/>
        </w:rPr>
        <w:t xml:space="preserve"> Data yang dikumpulkan dari Rekam Medis mencakup; data demografi,</w:t>
      </w:r>
      <w:r w:rsidR="00FF3C37">
        <w:rPr>
          <w:rFonts w:ascii="Tw Cen MT" w:hAnsi="Tw Cen MT"/>
          <w:sz w:val="24"/>
          <w:szCs w:val="24"/>
          <w:lang w:val="en-US"/>
        </w:rPr>
        <w:t xml:space="preserve"> </w:t>
      </w:r>
      <w:r w:rsidR="009940A0" w:rsidRPr="002D1721">
        <w:rPr>
          <w:rFonts w:ascii="Tw Cen MT" w:hAnsi="Tw Cen MT"/>
          <w:sz w:val="24"/>
          <w:szCs w:val="24"/>
          <w:lang w:val="en-US"/>
        </w:rPr>
        <w:t>usia,</w:t>
      </w:r>
      <w:r w:rsidR="00FF3C37">
        <w:rPr>
          <w:rFonts w:ascii="Tw Cen MT" w:hAnsi="Tw Cen MT"/>
          <w:sz w:val="24"/>
          <w:szCs w:val="24"/>
          <w:lang w:val="en-US"/>
        </w:rPr>
        <w:t xml:space="preserve"> </w:t>
      </w:r>
      <w:r w:rsidR="009940A0" w:rsidRPr="002D1721">
        <w:rPr>
          <w:rFonts w:ascii="Tw Cen MT" w:hAnsi="Tw Cen MT"/>
          <w:sz w:val="24"/>
          <w:szCs w:val="24"/>
          <w:lang w:val="en-US"/>
        </w:rPr>
        <w:t>IMT,</w:t>
      </w:r>
      <w:r w:rsidR="00FF3C37">
        <w:rPr>
          <w:rFonts w:ascii="Tw Cen MT" w:hAnsi="Tw Cen MT"/>
          <w:sz w:val="24"/>
          <w:szCs w:val="24"/>
          <w:lang w:val="en-US"/>
        </w:rPr>
        <w:t xml:space="preserve"> </w:t>
      </w:r>
      <w:r w:rsidR="009940A0" w:rsidRPr="002D1721">
        <w:rPr>
          <w:rFonts w:ascii="Tw Cen MT" w:hAnsi="Tw Cen MT"/>
          <w:sz w:val="24"/>
          <w:szCs w:val="24"/>
          <w:lang w:val="en-US"/>
        </w:rPr>
        <w:t xml:space="preserve">klasifikasi diabetes, Riwayat pengobatan, antikoagulan profilaksis yang digunakan, nilai laboratorium </w:t>
      </w:r>
      <w:commentRangeStart w:id="7"/>
      <w:r w:rsidR="009940A0" w:rsidRPr="002D1721">
        <w:rPr>
          <w:rFonts w:ascii="Tw Cen MT" w:hAnsi="Tw Cen MT"/>
          <w:sz w:val="24"/>
          <w:szCs w:val="24"/>
          <w:lang w:val="en-US"/>
        </w:rPr>
        <w:t>PT,APTT,D</w:t>
      </w:r>
      <w:commentRangeEnd w:id="7"/>
      <w:r w:rsidR="006E2E3E">
        <w:rPr>
          <w:rStyle w:val="CommentReference"/>
          <w:rFonts w:eastAsiaTheme="minorEastAsia" w:cs="Calibri"/>
          <w:lang w:val="en-US" w:eastAsia="en-US"/>
        </w:rPr>
        <w:commentReference w:id="7"/>
      </w:r>
      <w:r w:rsidR="009940A0" w:rsidRPr="002D1721">
        <w:rPr>
          <w:rFonts w:ascii="Tw Cen MT" w:hAnsi="Tw Cen MT"/>
          <w:sz w:val="24"/>
          <w:szCs w:val="24"/>
          <w:lang w:val="en-US"/>
        </w:rPr>
        <w:t xml:space="preserve">-Dimer dan trombosit sebelum penggunaan antikoagulan (baseline),nilai laboratorium </w:t>
      </w:r>
      <w:commentRangeStart w:id="8"/>
      <w:r w:rsidR="009940A0" w:rsidRPr="002D1721">
        <w:rPr>
          <w:rFonts w:ascii="Tw Cen MT" w:hAnsi="Tw Cen MT"/>
          <w:sz w:val="24"/>
          <w:szCs w:val="24"/>
          <w:lang w:val="en-US"/>
        </w:rPr>
        <w:t>PT,APTT,D</w:t>
      </w:r>
      <w:commentRangeEnd w:id="8"/>
      <w:r w:rsidR="006E2E3E">
        <w:rPr>
          <w:rStyle w:val="CommentReference"/>
          <w:rFonts w:eastAsiaTheme="minorEastAsia" w:cs="Calibri"/>
          <w:lang w:val="en-US" w:eastAsia="en-US"/>
        </w:rPr>
        <w:commentReference w:id="8"/>
      </w:r>
      <w:r w:rsidR="009940A0" w:rsidRPr="002D1721">
        <w:rPr>
          <w:rFonts w:ascii="Tw Cen MT" w:hAnsi="Tw Cen MT"/>
          <w:sz w:val="24"/>
          <w:szCs w:val="24"/>
          <w:lang w:val="en-US"/>
        </w:rPr>
        <w:t>-Dimer dan trombosit setelah penggunaan antikoagulan profilaksis hari k</w:t>
      </w:r>
      <w:r w:rsidR="004421CC">
        <w:rPr>
          <w:rFonts w:ascii="Tw Cen MT" w:hAnsi="Tw Cen MT"/>
          <w:sz w:val="24"/>
          <w:szCs w:val="24"/>
          <w:lang w:val="en-US"/>
        </w:rPr>
        <w:t>e-2</w:t>
      </w:r>
      <w:r w:rsidR="00502FF2">
        <w:rPr>
          <w:rFonts w:ascii="Tw Cen MT" w:hAnsi="Tw Cen MT"/>
          <w:sz w:val="24"/>
          <w:szCs w:val="24"/>
          <w:lang w:val="en-US"/>
        </w:rPr>
        <w:t xml:space="preserve">( </w:t>
      </w:r>
      <w:r w:rsidR="009940A0" w:rsidRPr="002D1721">
        <w:rPr>
          <w:rFonts w:ascii="Tw Cen MT" w:hAnsi="Tw Cen MT"/>
          <w:sz w:val="24"/>
          <w:szCs w:val="24"/>
          <w:lang w:val="en-US"/>
        </w:rPr>
        <w:t>post 1) dan ke</w:t>
      </w:r>
      <w:r w:rsidR="00FF3C37">
        <w:rPr>
          <w:rFonts w:ascii="Tw Cen MT" w:hAnsi="Tw Cen MT"/>
          <w:sz w:val="24"/>
          <w:szCs w:val="24"/>
          <w:lang w:val="en-US"/>
        </w:rPr>
        <w:t>-</w:t>
      </w:r>
      <w:r w:rsidR="004421CC">
        <w:rPr>
          <w:rFonts w:ascii="Tw Cen MT" w:hAnsi="Tw Cen MT"/>
          <w:sz w:val="24"/>
          <w:szCs w:val="24"/>
          <w:lang w:val="en-US"/>
        </w:rPr>
        <w:t>5</w:t>
      </w:r>
      <w:r w:rsidR="009940A0" w:rsidRPr="002D1721">
        <w:rPr>
          <w:rFonts w:ascii="Tw Cen MT" w:hAnsi="Tw Cen MT"/>
          <w:sz w:val="24"/>
          <w:szCs w:val="24"/>
          <w:lang w:val="en-US"/>
        </w:rPr>
        <w:t>(post 2).</w:t>
      </w:r>
    </w:p>
    <w:p w14:paraId="6A2FB3A1" w14:textId="77777777" w:rsidR="004721E3" w:rsidRPr="002D1721" w:rsidRDefault="004721E3" w:rsidP="002D1721">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2D1721" w:rsidRDefault="007106F6" w:rsidP="002D1721">
      <w:pPr>
        <w:tabs>
          <w:tab w:val="left" w:pos="426"/>
        </w:tabs>
        <w:spacing w:after="0" w:line="240" w:lineRule="auto"/>
        <w:jc w:val="both"/>
        <w:rPr>
          <w:rFonts w:ascii="Tw Cen MT" w:eastAsia="Twentieth Century" w:hAnsi="Tw Cen MT" w:cs="Twentieth Century"/>
          <w:b/>
          <w:sz w:val="24"/>
          <w:szCs w:val="24"/>
        </w:rPr>
      </w:pPr>
      <w:r w:rsidRPr="002D1721">
        <w:rPr>
          <w:rFonts w:ascii="Tw Cen MT" w:eastAsia="Twentieth Century" w:hAnsi="Tw Cen MT" w:cs="Twentieth Century"/>
          <w:b/>
          <w:sz w:val="24"/>
          <w:szCs w:val="24"/>
        </w:rPr>
        <w:t>HASIL DAN PEMBAHASAN</w:t>
      </w:r>
    </w:p>
    <w:p w14:paraId="6C78E037" w14:textId="08C06F2D" w:rsidR="002D1721" w:rsidRDefault="002D1721" w:rsidP="002D1721">
      <w:pPr>
        <w:widowControl w:val="0"/>
        <w:autoSpaceDE w:val="0"/>
        <w:autoSpaceDN w:val="0"/>
        <w:adjustRightInd w:val="0"/>
        <w:spacing w:line="240" w:lineRule="auto"/>
        <w:ind w:firstLine="720"/>
        <w:jc w:val="both"/>
        <w:rPr>
          <w:rFonts w:ascii="Tw Cen MT" w:hAnsi="Tw Cen MT" w:cs="Times New Roman"/>
          <w:sz w:val="24"/>
          <w:szCs w:val="24"/>
        </w:rPr>
      </w:pPr>
      <w:r w:rsidRPr="002D1721">
        <w:rPr>
          <w:rFonts w:ascii="Tw Cen MT" w:hAnsi="Tw Cen MT" w:cs="Times New Roman"/>
          <w:bCs/>
          <w:color w:val="000000" w:themeColor="text1"/>
          <w:sz w:val="24"/>
          <w:szCs w:val="24"/>
        </w:rPr>
        <w:t xml:space="preserve">Gangguan koagulasi pada COVID-19 ini menyebabkan keadaan   protrombotik yang meningkatkan resiko terjadinya thrombosis dan tromboemboli vena maupun arteri, yang paling sering terjadi pada pasien kritis dengan Covid-19 </w:t>
      </w:r>
      <w:r w:rsidRPr="002D1721">
        <w:rPr>
          <w:rFonts w:ascii="Tw Cen MT" w:hAnsi="Tw Cen MT" w:cs="Times New Roman"/>
          <w:bCs/>
          <w:color w:val="000000" w:themeColor="text1"/>
          <w:sz w:val="24"/>
          <w:szCs w:val="24"/>
        </w:rPr>
        <w:fldChar w:fldCharType="begin" w:fldLock="1"/>
      </w:r>
      <w:r w:rsidR="00610831">
        <w:rPr>
          <w:rFonts w:ascii="Tw Cen MT" w:hAnsi="Tw Cen MT" w:cs="Times New Roman"/>
          <w:bCs/>
          <w:color w:val="000000" w:themeColor="text1"/>
          <w:sz w:val="24"/>
          <w:szCs w:val="24"/>
        </w:rPr>
        <w:instrText>ADDIN CSL_CITATION {"citationItems":[{"id":"ITEM-1","itemData":{"DOI":"10.1007/s00134-020-06088-1","ISSN":"14321238","PMID":"32415314","author":[{"dropping-particle":"","family":"Joly","given":"Bérangère S.","non-dropping-particle":"","parse-names":false,"suffix":""},{"dropping-particle":"","family":"Siguret","given":"Virginie","non-dropping-particle":"","parse-names":false,"suffix":""},{"dropping-particle":"","family":"Veyradier","given":"Agnès","non-dropping-particle":"","parse-names":false,"suffix":""}],"container-title":"Intensive Care Medicine","id":"ITEM-1","issued":{"date-parts":[["2020"]]},"title":"Understanding pathophysiology of hemostasis disorders in critically ill patients with COVID-19","type":"article"},"uris":["http://www.mendeley.com/documents/?uuid=0d5be1fc-bf1f-4db1-b177-4c80e752a26b"]}],"mendeley":{"formattedCitation":"[6]","plainTextFormattedCitation":"[6]","previouslyFormattedCitation":"[5]"},"properties":{"noteIndex":0},"schema":"https://github.com/citation-style-language/schema/raw/master/csl-citation.json"}</w:instrText>
      </w:r>
      <w:r w:rsidRPr="002D1721">
        <w:rPr>
          <w:rFonts w:ascii="Tw Cen MT" w:hAnsi="Tw Cen MT" w:cs="Times New Roman"/>
          <w:bCs/>
          <w:color w:val="000000" w:themeColor="text1"/>
          <w:sz w:val="24"/>
          <w:szCs w:val="24"/>
        </w:rPr>
        <w:fldChar w:fldCharType="separate"/>
      </w:r>
      <w:r w:rsidR="00610831" w:rsidRPr="00610831">
        <w:rPr>
          <w:rFonts w:ascii="Tw Cen MT" w:hAnsi="Tw Cen MT" w:cs="Times New Roman"/>
          <w:bCs/>
          <w:noProof/>
          <w:color w:val="000000" w:themeColor="text1"/>
          <w:sz w:val="24"/>
          <w:szCs w:val="24"/>
        </w:rPr>
        <w:t>[6]</w:t>
      </w:r>
      <w:r w:rsidRPr="002D1721">
        <w:rPr>
          <w:rFonts w:ascii="Tw Cen MT" w:hAnsi="Tw Cen MT" w:cs="Times New Roman"/>
          <w:bCs/>
          <w:color w:val="000000" w:themeColor="text1"/>
          <w:sz w:val="24"/>
          <w:szCs w:val="24"/>
        </w:rPr>
        <w:fldChar w:fldCharType="end"/>
      </w:r>
      <w:r w:rsidRPr="002D1721">
        <w:rPr>
          <w:rFonts w:ascii="Tw Cen MT" w:hAnsi="Tw Cen MT" w:cs="Times New Roman"/>
          <w:bCs/>
          <w:color w:val="000000" w:themeColor="text1"/>
          <w:sz w:val="24"/>
          <w:szCs w:val="24"/>
        </w:rPr>
        <w:t>. Disamping itu komorbid, atau penyakit penyerta salah satunya Diabetes yang diderita pasien juga dapat memperberat kondisi infeksi.</w:t>
      </w:r>
      <w:r w:rsidRPr="002D1721">
        <w:rPr>
          <w:rFonts w:ascii="Tw Cen MT" w:hAnsi="Tw Cen MT" w:cs="Times New Roman"/>
          <w:sz w:val="24"/>
          <w:szCs w:val="24"/>
        </w:rPr>
        <w:t xml:space="preserve"> Telah dilakukan penelitian mengenai pengaruh penggunaan antikoagulan dosis profilaksis UFH dan LMWH terhadap nilai D-Dimer, </w:t>
      </w:r>
      <w:r w:rsidRPr="002D1721">
        <w:rPr>
          <w:rFonts w:ascii="Tw Cen MT" w:hAnsi="Tw Cen MT" w:cs="Times New Roman"/>
          <w:i/>
          <w:iCs/>
          <w:sz w:val="24"/>
          <w:szCs w:val="24"/>
        </w:rPr>
        <w:t>Protrombin Time</w:t>
      </w:r>
      <w:r w:rsidRPr="002D1721">
        <w:rPr>
          <w:rFonts w:ascii="Tw Cen MT" w:hAnsi="Tw Cen MT" w:cs="Times New Roman"/>
          <w:sz w:val="24"/>
          <w:szCs w:val="24"/>
        </w:rPr>
        <w:t xml:space="preserve"> (PT),</w:t>
      </w:r>
      <w:r w:rsidRPr="002D1721">
        <w:rPr>
          <w:rFonts w:ascii="Tw Cen MT" w:hAnsi="Tw Cen MT" w:cs="Times New Roman"/>
          <w:i/>
          <w:iCs/>
          <w:sz w:val="24"/>
          <w:szCs w:val="24"/>
        </w:rPr>
        <w:t xml:space="preserve"> Activated Partial Thromboplastin Time</w:t>
      </w:r>
      <w:r w:rsidRPr="002D1721">
        <w:rPr>
          <w:rFonts w:ascii="Tw Cen MT" w:hAnsi="Tw Cen MT" w:cs="Times New Roman"/>
          <w:sz w:val="24"/>
          <w:szCs w:val="24"/>
        </w:rPr>
        <w:t xml:space="preserve"> (APTT) dan nilai trombosit  pada pasien Covid 19 dengan komorbid Diabetes, dengan  melibatkan </w:t>
      </w:r>
      <w:r w:rsidR="00502FF2">
        <w:rPr>
          <w:rFonts w:ascii="Tw Cen MT" w:hAnsi="Tw Cen MT" w:cs="Times New Roman"/>
          <w:sz w:val="24"/>
          <w:szCs w:val="24"/>
        </w:rPr>
        <w:t>72</w:t>
      </w:r>
      <w:r w:rsidRPr="002D1721">
        <w:rPr>
          <w:rFonts w:ascii="Tw Cen MT" w:hAnsi="Tw Cen MT" w:cs="Times New Roman"/>
          <w:bCs/>
          <w:sz w:val="24"/>
          <w:szCs w:val="24"/>
        </w:rPr>
        <w:t xml:space="preserve">  orang pasien sebagai subjek penelitian. Subjek penelitian terbagi menjadi 2 kelompok yaitu pengguna antikoagulan dosis profilaksis UFH sebanyak </w:t>
      </w:r>
      <w:r w:rsidR="00502FF2">
        <w:rPr>
          <w:rFonts w:ascii="Tw Cen MT" w:hAnsi="Tw Cen MT" w:cs="Times New Roman"/>
          <w:bCs/>
          <w:sz w:val="24"/>
          <w:szCs w:val="24"/>
        </w:rPr>
        <w:t>56</w:t>
      </w:r>
      <w:r w:rsidRPr="002D1721">
        <w:rPr>
          <w:rFonts w:ascii="Tw Cen MT" w:hAnsi="Tw Cen MT" w:cs="Times New Roman"/>
          <w:bCs/>
          <w:sz w:val="24"/>
          <w:szCs w:val="24"/>
        </w:rPr>
        <w:t xml:space="preserve"> orang dan kelompok pengguna antikoagulan dosis profilaksis LMWH sebanyak 1</w:t>
      </w:r>
      <w:r w:rsidR="00502FF2">
        <w:rPr>
          <w:rFonts w:ascii="Tw Cen MT" w:hAnsi="Tw Cen MT" w:cs="Times New Roman"/>
          <w:bCs/>
          <w:sz w:val="24"/>
          <w:szCs w:val="24"/>
        </w:rPr>
        <w:t>6</w:t>
      </w:r>
      <w:r w:rsidRPr="002D1721">
        <w:rPr>
          <w:rFonts w:ascii="Tw Cen MT" w:hAnsi="Tw Cen MT" w:cs="Times New Roman"/>
          <w:bCs/>
          <w:sz w:val="24"/>
          <w:szCs w:val="24"/>
        </w:rPr>
        <w:t xml:space="preserve"> orang pasien. Nilai yang diamati adalah nilai D-Dimer, </w:t>
      </w:r>
      <w:r w:rsidRPr="002D1721">
        <w:rPr>
          <w:rFonts w:ascii="Tw Cen MT" w:hAnsi="Tw Cen MT" w:cs="Times New Roman"/>
          <w:i/>
          <w:iCs/>
          <w:sz w:val="24"/>
          <w:szCs w:val="24"/>
        </w:rPr>
        <w:t>Protrombin Time</w:t>
      </w:r>
      <w:r w:rsidRPr="002D1721">
        <w:rPr>
          <w:rFonts w:ascii="Tw Cen MT" w:hAnsi="Tw Cen MT" w:cs="Times New Roman"/>
          <w:sz w:val="24"/>
          <w:szCs w:val="24"/>
        </w:rPr>
        <w:t xml:space="preserve"> (PT),</w:t>
      </w:r>
      <w:r w:rsidRPr="002D1721">
        <w:rPr>
          <w:rFonts w:ascii="Tw Cen MT" w:hAnsi="Tw Cen MT" w:cs="Times New Roman"/>
          <w:i/>
          <w:iCs/>
          <w:sz w:val="24"/>
          <w:szCs w:val="24"/>
        </w:rPr>
        <w:t xml:space="preserve"> Activated Partial Thromboplastin Time</w:t>
      </w:r>
      <w:r w:rsidRPr="002D1721">
        <w:rPr>
          <w:rFonts w:ascii="Tw Cen MT" w:hAnsi="Tw Cen MT" w:cs="Times New Roman"/>
          <w:sz w:val="24"/>
          <w:szCs w:val="24"/>
        </w:rPr>
        <w:t xml:space="preserve"> (APTT) dan nilai trombosit pasien sebelum dan sesudah pasien mendapat terapi antikoagulan dosis</w:t>
      </w:r>
      <w:r w:rsidR="008838F1">
        <w:rPr>
          <w:rFonts w:ascii="Tw Cen MT" w:hAnsi="Tw Cen MT" w:cs="Times New Roman"/>
          <w:sz w:val="24"/>
          <w:szCs w:val="24"/>
        </w:rPr>
        <w:t xml:space="preserve"> </w:t>
      </w:r>
      <w:r w:rsidRPr="002D1721">
        <w:rPr>
          <w:rFonts w:ascii="Tw Cen MT" w:hAnsi="Tw Cen MT" w:cs="Times New Roman"/>
          <w:sz w:val="24"/>
          <w:szCs w:val="24"/>
        </w:rPr>
        <w:t>profilaksis.</w:t>
      </w:r>
    </w:p>
    <w:p w14:paraId="08E1C819" w14:textId="77777777" w:rsidR="00C42087" w:rsidRPr="00C42087" w:rsidRDefault="00C42087" w:rsidP="00C42087">
      <w:pPr>
        <w:widowControl w:val="0"/>
        <w:autoSpaceDE w:val="0"/>
        <w:autoSpaceDN w:val="0"/>
        <w:adjustRightInd w:val="0"/>
        <w:spacing w:line="240" w:lineRule="auto"/>
        <w:jc w:val="both"/>
        <w:rPr>
          <w:rFonts w:ascii="Tw Cen MT" w:hAnsi="Tw Cen MT" w:cs="Times New Roman"/>
          <w:b/>
          <w:bCs/>
          <w:sz w:val="24"/>
          <w:szCs w:val="24"/>
        </w:rPr>
      </w:pPr>
      <w:r w:rsidRPr="00C42087">
        <w:rPr>
          <w:rFonts w:ascii="Tw Cen MT" w:hAnsi="Tw Cen MT" w:cs="Times New Roman"/>
          <w:b/>
          <w:bCs/>
          <w:sz w:val="24"/>
          <w:szCs w:val="24"/>
        </w:rPr>
        <w:t>Karakteristik</w:t>
      </w:r>
    </w:p>
    <w:p w14:paraId="7AF30EF4" w14:textId="3896B670" w:rsidR="002D1721" w:rsidRDefault="002D1721" w:rsidP="002D1721">
      <w:pPr>
        <w:widowControl w:val="0"/>
        <w:autoSpaceDE w:val="0"/>
        <w:autoSpaceDN w:val="0"/>
        <w:adjustRightInd w:val="0"/>
        <w:spacing w:line="240" w:lineRule="auto"/>
        <w:ind w:firstLine="720"/>
        <w:jc w:val="both"/>
        <w:rPr>
          <w:rFonts w:ascii="Tw Cen MT" w:hAnsi="Tw Cen MT" w:cs="Times New Roman"/>
          <w:sz w:val="24"/>
          <w:szCs w:val="24"/>
        </w:rPr>
      </w:pPr>
      <w:r w:rsidRPr="002D1721">
        <w:rPr>
          <w:rFonts w:ascii="Tw Cen MT" w:hAnsi="Tw Cen MT" w:cs="Times New Roman"/>
          <w:sz w:val="24"/>
          <w:szCs w:val="24"/>
        </w:rPr>
        <w:t>Karakteristik subjek penelitian ditampilkan dalam bentuk frekuensi, rerata dengan simpangan baku. Karakteristik pasien secara umum  dapat dilihat pada Tabel 4.1 berikut ini.</w:t>
      </w:r>
    </w:p>
    <w:p w14:paraId="5271EBB4" w14:textId="170998F2" w:rsidR="002D1721" w:rsidRPr="002D1721" w:rsidRDefault="002D1721" w:rsidP="002D1721">
      <w:pPr>
        <w:pStyle w:val="ListParagraph"/>
        <w:ind w:left="0"/>
        <w:rPr>
          <w:rFonts w:ascii="Tw Cen MT" w:hAnsi="Tw Cen MT"/>
          <w:sz w:val="20"/>
          <w:szCs w:val="20"/>
        </w:rPr>
      </w:pPr>
      <w:r w:rsidRPr="002D1721">
        <w:rPr>
          <w:rFonts w:ascii="Tw Cen MT" w:hAnsi="Tw Cen MT"/>
          <w:b/>
          <w:sz w:val="20"/>
          <w:szCs w:val="20"/>
        </w:rPr>
        <w:t xml:space="preserve">Tabel 1 </w:t>
      </w:r>
      <w:r w:rsidRPr="002D1721">
        <w:rPr>
          <w:rFonts w:ascii="Tw Cen MT" w:hAnsi="Tw Cen MT"/>
          <w:b/>
          <w:sz w:val="20"/>
          <w:szCs w:val="20"/>
          <w:lang w:val="en-US"/>
        </w:rPr>
        <w:t xml:space="preserve"> </w:t>
      </w:r>
      <w:r w:rsidRPr="002D1721">
        <w:rPr>
          <w:rFonts w:ascii="Tw Cen MT" w:hAnsi="Tw Cen MT"/>
          <w:b/>
          <w:sz w:val="20"/>
          <w:szCs w:val="20"/>
        </w:rPr>
        <w:t xml:space="preserve">Distribusi Pasien Berdasarkan Karakteristik Pada Masing-Masing </w:t>
      </w:r>
      <w:r w:rsidRPr="002D1721">
        <w:rPr>
          <w:rFonts w:ascii="Tw Cen MT" w:hAnsi="Tw Cen MT"/>
          <w:b/>
          <w:sz w:val="20"/>
          <w:szCs w:val="20"/>
          <w:lang w:val="en-US"/>
        </w:rPr>
        <w:t xml:space="preserve"> </w:t>
      </w:r>
      <w:r w:rsidRPr="002D1721">
        <w:rPr>
          <w:rFonts w:ascii="Tw Cen MT" w:hAnsi="Tw Cen MT"/>
          <w:b/>
          <w:sz w:val="20"/>
          <w:szCs w:val="20"/>
        </w:rPr>
        <w:t xml:space="preserve">Kelompok </w:t>
      </w:r>
    </w:p>
    <w:tbl>
      <w:tblPr>
        <w:tblW w:w="5000" w:type="pct"/>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107"/>
        <w:gridCol w:w="621"/>
        <w:gridCol w:w="475"/>
        <w:gridCol w:w="487"/>
        <w:gridCol w:w="962"/>
        <w:gridCol w:w="533"/>
        <w:gridCol w:w="526"/>
      </w:tblGrid>
      <w:tr w:rsidR="007B4BC9" w:rsidRPr="007B4BC9" w14:paraId="676CF4BA" w14:textId="77777777" w:rsidTr="002878E0">
        <w:trPr>
          <w:trHeight w:val="446"/>
        </w:trPr>
        <w:tc>
          <w:tcPr>
            <w:tcW w:w="1175" w:type="pct"/>
            <w:vMerge w:val="restart"/>
            <w:vAlign w:val="center"/>
          </w:tcPr>
          <w:p w14:paraId="085A148A"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bookmarkStart w:id="9" w:name="_Hlk159321049"/>
            <w:r w:rsidRPr="007B4BC9">
              <w:rPr>
                <w:rFonts w:ascii="Tw Cen MT" w:hAnsi="Tw Cen MT" w:cs="Times New Roman"/>
                <w:b/>
                <w:sz w:val="20"/>
                <w:szCs w:val="20"/>
              </w:rPr>
              <w:t>Karakteristik</w:t>
            </w:r>
          </w:p>
        </w:tc>
        <w:tc>
          <w:tcPr>
            <w:tcW w:w="3825" w:type="pct"/>
            <w:gridSpan w:val="6"/>
            <w:vAlign w:val="center"/>
          </w:tcPr>
          <w:p w14:paraId="02D2AE14"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r w:rsidRPr="007B4BC9">
              <w:rPr>
                <w:rFonts w:ascii="Tw Cen MT" w:hAnsi="Tw Cen MT" w:cs="Times New Roman"/>
                <w:b/>
                <w:sz w:val="20"/>
                <w:szCs w:val="20"/>
              </w:rPr>
              <w:t xml:space="preserve">Kelompok </w:t>
            </w:r>
          </w:p>
        </w:tc>
      </w:tr>
      <w:tr w:rsidR="007B4BC9" w:rsidRPr="007B4BC9" w14:paraId="0B9A5B4B" w14:textId="77777777" w:rsidTr="002878E0">
        <w:trPr>
          <w:trHeight w:val="141"/>
        </w:trPr>
        <w:tc>
          <w:tcPr>
            <w:tcW w:w="1175" w:type="pct"/>
            <w:vMerge/>
          </w:tcPr>
          <w:p w14:paraId="59F57E01" w14:textId="77777777" w:rsidR="007B4BC9" w:rsidRPr="007B4BC9" w:rsidRDefault="007B4BC9" w:rsidP="000E6929">
            <w:pPr>
              <w:autoSpaceDE w:val="0"/>
              <w:autoSpaceDN w:val="0"/>
              <w:adjustRightInd w:val="0"/>
              <w:spacing w:line="240" w:lineRule="auto"/>
              <w:jc w:val="both"/>
              <w:rPr>
                <w:rFonts w:ascii="Tw Cen MT" w:hAnsi="Tw Cen MT" w:cs="Times New Roman"/>
                <w:b/>
                <w:sz w:val="20"/>
                <w:szCs w:val="20"/>
              </w:rPr>
            </w:pPr>
          </w:p>
        </w:tc>
        <w:tc>
          <w:tcPr>
            <w:tcW w:w="1680" w:type="pct"/>
            <w:gridSpan w:val="3"/>
            <w:vAlign w:val="center"/>
          </w:tcPr>
          <w:p w14:paraId="39EFD590"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r w:rsidRPr="007B4BC9">
              <w:rPr>
                <w:rFonts w:ascii="Tw Cen MT" w:hAnsi="Tw Cen MT" w:cs="Times New Roman"/>
                <w:b/>
                <w:sz w:val="20"/>
                <w:szCs w:val="20"/>
              </w:rPr>
              <w:t>UFH</w:t>
            </w:r>
          </w:p>
        </w:tc>
        <w:tc>
          <w:tcPr>
            <w:tcW w:w="2145" w:type="pct"/>
            <w:gridSpan w:val="3"/>
            <w:vAlign w:val="center"/>
          </w:tcPr>
          <w:p w14:paraId="40E0D00D"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r w:rsidRPr="007B4BC9">
              <w:rPr>
                <w:rFonts w:ascii="Tw Cen MT" w:hAnsi="Tw Cen MT" w:cs="Times New Roman"/>
                <w:b/>
                <w:sz w:val="20"/>
                <w:szCs w:val="20"/>
              </w:rPr>
              <w:t>LMWH</w:t>
            </w:r>
          </w:p>
        </w:tc>
      </w:tr>
      <w:tr w:rsidR="007B4BC9" w:rsidRPr="007B4BC9" w14:paraId="020A6000" w14:textId="77777777" w:rsidTr="002878E0">
        <w:trPr>
          <w:trHeight w:val="141"/>
        </w:trPr>
        <w:tc>
          <w:tcPr>
            <w:tcW w:w="1175" w:type="pct"/>
            <w:vMerge/>
            <w:tcBorders>
              <w:bottom w:val="single" w:sz="4" w:space="0" w:color="000000"/>
            </w:tcBorders>
          </w:tcPr>
          <w:p w14:paraId="3BACF42F" w14:textId="77777777" w:rsidR="007B4BC9" w:rsidRPr="007B4BC9" w:rsidRDefault="007B4BC9" w:rsidP="000E6929">
            <w:pPr>
              <w:autoSpaceDE w:val="0"/>
              <w:autoSpaceDN w:val="0"/>
              <w:adjustRightInd w:val="0"/>
              <w:spacing w:line="240" w:lineRule="auto"/>
              <w:jc w:val="both"/>
              <w:rPr>
                <w:rFonts w:ascii="Tw Cen MT" w:hAnsi="Tw Cen MT" w:cs="Times New Roman"/>
                <w:b/>
                <w:sz w:val="20"/>
                <w:szCs w:val="20"/>
              </w:rPr>
            </w:pPr>
          </w:p>
        </w:tc>
        <w:tc>
          <w:tcPr>
            <w:tcW w:w="659" w:type="pct"/>
            <w:tcBorders>
              <w:bottom w:val="single" w:sz="4" w:space="0" w:color="000000"/>
            </w:tcBorders>
          </w:tcPr>
          <w:p w14:paraId="752081CB"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r w:rsidRPr="007B4BC9">
              <w:rPr>
                <w:rFonts w:ascii="Tw Cen MT" w:hAnsi="Tw Cen MT" w:cs="Times New Roman"/>
                <w:b/>
                <w:sz w:val="20"/>
                <w:szCs w:val="20"/>
              </w:rPr>
              <w:t>Mean ± SD</w:t>
            </w:r>
          </w:p>
        </w:tc>
        <w:tc>
          <w:tcPr>
            <w:tcW w:w="504" w:type="pct"/>
            <w:tcBorders>
              <w:bottom w:val="single" w:sz="4" w:space="0" w:color="000000"/>
            </w:tcBorders>
          </w:tcPr>
          <w:p w14:paraId="7B2036F6"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r w:rsidRPr="007B4BC9">
              <w:rPr>
                <w:rFonts w:ascii="Tw Cen MT" w:hAnsi="Tw Cen MT" w:cs="Times New Roman"/>
                <w:b/>
                <w:sz w:val="20"/>
                <w:szCs w:val="20"/>
              </w:rPr>
              <w:t>Min</w:t>
            </w:r>
          </w:p>
        </w:tc>
        <w:tc>
          <w:tcPr>
            <w:tcW w:w="514" w:type="pct"/>
            <w:tcBorders>
              <w:bottom w:val="single" w:sz="4" w:space="0" w:color="000000"/>
            </w:tcBorders>
          </w:tcPr>
          <w:p w14:paraId="1DE98311"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r w:rsidRPr="007B4BC9">
              <w:rPr>
                <w:rFonts w:ascii="Tw Cen MT" w:hAnsi="Tw Cen MT" w:cs="Times New Roman"/>
                <w:b/>
                <w:sz w:val="20"/>
                <w:szCs w:val="20"/>
              </w:rPr>
              <w:t>Mak</w:t>
            </w:r>
          </w:p>
        </w:tc>
        <w:tc>
          <w:tcPr>
            <w:tcW w:w="1021" w:type="pct"/>
            <w:tcBorders>
              <w:bottom w:val="single" w:sz="4" w:space="0" w:color="000000"/>
            </w:tcBorders>
          </w:tcPr>
          <w:p w14:paraId="2255D4DB"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r w:rsidRPr="007B4BC9">
              <w:rPr>
                <w:rFonts w:ascii="Tw Cen MT" w:hAnsi="Tw Cen MT" w:cs="Times New Roman"/>
                <w:b/>
                <w:sz w:val="20"/>
                <w:szCs w:val="20"/>
              </w:rPr>
              <w:t>Mean ± SD</w:t>
            </w:r>
          </w:p>
        </w:tc>
        <w:tc>
          <w:tcPr>
            <w:tcW w:w="566" w:type="pct"/>
            <w:tcBorders>
              <w:bottom w:val="single" w:sz="4" w:space="0" w:color="000000"/>
            </w:tcBorders>
          </w:tcPr>
          <w:p w14:paraId="51D39971"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r w:rsidRPr="007B4BC9">
              <w:rPr>
                <w:rFonts w:ascii="Tw Cen MT" w:hAnsi="Tw Cen MT" w:cs="Times New Roman"/>
                <w:b/>
                <w:sz w:val="20"/>
                <w:szCs w:val="20"/>
              </w:rPr>
              <w:t>Min</w:t>
            </w:r>
          </w:p>
        </w:tc>
        <w:tc>
          <w:tcPr>
            <w:tcW w:w="559" w:type="pct"/>
            <w:tcBorders>
              <w:bottom w:val="single" w:sz="4" w:space="0" w:color="000000"/>
            </w:tcBorders>
          </w:tcPr>
          <w:p w14:paraId="3DB2739F" w14:textId="77777777" w:rsidR="007B4BC9" w:rsidRPr="007B4BC9" w:rsidRDefault="007B4BC9" w:rsidP="000E6929">
            <w:pPr>
              <w:autoSpaceDE w:val="0"/>
              <w:autoSpaceDN w:val="0"/>
              <w:adjustRightInd w:val="0"/>
              <w:spacing w:line="240" w:lineRule="auto"/>
              <w:jc w:val="center"/>
              <w:rPr>
                <w:rFonts w:ascii="Tw Cen MT" w:hAnsi="Tw Cen MT" w:cs="Times New Roman"/>
                <w:b/>
                <w:sz w:val="20"/>
                <w:szCs w:val="20"/>
              </w:rPr>
            </w:pPr>
            <w:r w:rsidRPr="007B4BC9">
              <w:rPr>
                <w:rFonts w:ascii="Tw Cen MT" w:hAnsi="Tw Cen MT" w:cs="Times New Roman"/>
                <w:b/>
                <w:sz w:val="20"/>
                <w:szCs w:val="20"/>
              </w:rPr>
              <w:t>Mak</w:t>
            </w:r>
          </w:p>
        </w:tc>
      </w:tr>
      <w:tr w:rsidR="007B4BC9" w:rsidRPr="007B4BC9" w14:paraId="5F616B26" w14:textId="77777777" w:rsidTr="002878E0">
        <w:trPr>
          <w:trHeight w:val="446"/>
        </w:trPr>
        <w:tc>
          <w:tcPr>
            <w:tcW w:w="1175" w:type="pct"/>
            <w:tcBorders>
              <w:bottom w:val="nil"/>
            </w:tcBorders>
          </w:tcPr>
          <w:p w14:paraId="63118D2E" w14:textId="77777777" w:rsidR="007B4BC9" w:rsidRPr="007B4BC9" w:rsidRDefault="007B4BC9" w:rsidP="000E6929">
            <w:pPr>
              <w:autoSpaceDE w:val="0"/>
              <w:autoSpaceDN w:val="0"/>
              <w:adjustRightInd w:val="0"/>
              <w:spacing w:line="240" w:lineRule="auto"/>
              <w:jc w:val="both"/>
              <w:rPr>
                <w:rFonts w:ascii="Tw Cen MT" w:hAnsi="Tw Cen MT" w:cs="Times New Roman"/>
                <w:sz w:val="20"/>
                <w:szCs w:val="20"/>
              </w:rPr>
            </w:pPr>
            <w:r w:rsidRPr="007B4BC9">
              <w:rPr>
                <w:rFonts w:ascii="Tw Cen MT" w:hAnsi="Tw Cen MT" w:cs="Times New Roman"/>
                <w:sz w:val="20"/>
                <w:szCs w:val="20"/>
              </w:rPr>
              <w:t>Umur (tahun)</w:t>
            </w:r>
          </w:p>
        </w:tc>
        <w:tc>
          <w:tcPr>
            <w:tcW w:w="659" w:type="pct"/>
            <w:tcBorders>
              <w:bottom w:val="nil"/>
            </w:tcBorders>
          </w:tcPr>
          <w:p w14:paraId="33620BDC"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62,4 ± 9,6</w:t>
            </w:r>
          </w:p>
        </w:tc>
        <w:tc>
          <w:tcPr>
            <w:tcW w:w="504" w:type="pct"/>
            <w:tcBorders>
              <w:bottom w:val="nil"/>
            </w:tcBorders>
          </w:tcPr>
          <w:p w14:paraId="536DC1D9"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38,0</w:t>
            </w:r>
          </w:p>
        </w:tc>
        <w:tc>
          <w:tcPr>
            <w:tcW w:w="514" w:type="pct"/>
            <w:tcBorders>
              <w:bottom w:val="nil"/>
            </w:tcBorders>
          </w:tcPr>
          <w:p w14:paraId="34B29440"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82,0</w:t>
            </w:r>
          </w:p>
        </w:tc>
        <w:tc>
          <w:tcPr>
            <w:tcW w:w="1021" w:type="pct"/>
            <w:tcBorders>
              <w:bottom w:val="nil"/>
            </w:tcBorders>
          </w:tcPr>
          <w:p w14:paraId="41EE1CBD"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62,1 ± 12,4</w:t>
            </w:r>
          </w:p>
        </w:tc>
        <w:tc>
          <w:tcPr>
            <w:tcW w:w="566" w:type="pct"/>
            <w:tcBorders>
              <w:bottom w:val="nil"/>
            </w:tcBorders>
          </w:tcPr>
          <w:p w14:paraId="66D14F0E"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42,0</w:t>
            </w:r>
          </w:p>
        </w:tc>
        <w:tc>
          <w:tcPr>
            <w:tcW w:w="559" w:type="pct"/>
            <w:tcBorders>
              <w:bottom w:val="nil"/>
            </w:tcBorders>
          </w:tcPr>
          <w:p w14:paraId="06D2C879"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89,0</w:t>
            </w:r>
          </w:p>
        </w:tc>
      </w:tr>
      <w:tr w:rsidR="007B4BC9" w:rsidRPr="007B4BC9" w14:paraId="003C4891" w14:textId="77777777" w:rsidTr="002878E0">
        <w:trPr>
          <w:trHeight w:val="731"/>
        </w:trPr>
        <w:tc>
          <w:tcPr>
            <w:tcW w:w="1175" w:type="pct"/>
            <w:tcBorders>
              <w:top w:val="nil"/>
              <w:bottom w:val="nil"/>
            </w:tcBorders>
          </w:tcPr>
          <w:p w14:paraId="37587C8D" w14:textId="77777777" w:rsidR="007B4BC9" w:rsidRPr="007B4BC9" w:rsidRDefault="007B4BC9" w:rsidP="000E6929">
            <w:pPr>
              <w:autoSpaceDE w:val="0"/>
              <w:autoSpaceDN w:val="0"/>
              <w:adjustRightInd w:val="0"/>
              <w:spacing w:line="240" w:lineRule="auto"/>
              <w:jc w:val="both"/>
              <w:rPr>
                <w:rFonts w:ascii="Tw Cen MT" w:hAnsi="Tw Cen MT" w:cs="Times New Roman"/>
                <w:sz w:val="20"/>
                <w:szCs w:val="20"/>
              </w:rPr>
            </w:pPr>
            <w:r w:rsidRPr="007B4BC9">
              <w:rPr>
                <w:rFonts w:ascii="Tw Cen MT" w:hAnsi="Tw Cen MT" w:cs="Times New Roman"/>
                <w:sz w:val="20"/>
                <w:szCs w:val="20"/>
              </w:rPr>
              <w:t>Berat badan (kg)</w:t>
            </w:r>
          </w:p>
        </w:tc>
        <w:tc>
          <w:tcPr>
            <w:tcW w:w="659" w:type="pct"/>
            <w:tcBorders>
              <w:top w:val="nil"/>
              <w:bottom w:val="nil"/>
            </w:tcBorders>
          </w:tcPr>
          <w:p w14:paraId="58AF0EB4"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 xml:space="preserve">62,5 ± 7,3 </w:t>
            </w:r>
          </w:p>
        </w:tc>
        <w:tc>
          <w:tcPr>
            <w:tcW w:w="504" w:type="pct"/>
            <w:tcBorders>
              <w:top w:val="nil"/>
              <w:bottom w:val="nil"/>
            </w:tcBorders>
          </w:tcPr>
          <w:p w14:paraId="4ED3F54B"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54,0</w:t>
            </w:r>
          </w:p>
        </w:tc>
        <w:tc>
          <w:tcPr>
            <w:tcW w:w="514" w:type="pct"/>
            <w:tcBorders>
              <w:top w:val="nil"/>
              <w:bottom w:val="nil"/>
            </w:tcBorders>
          </w:tcPr>
          <w:p w14:paraId="34761949"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97,0</w:t>
            </w:r>
          </w:p>
        </w:tc>
        <w:tc>
          <w:tcPr>
            <w:tcW w:w="1021" w:type="pct"/>
            <w:tcBorders>
              <w:top w:val="nil"/>
              <w:bottom w:val="nil"/>
            </w:tcBorders>
          </w:tcPr>
          <w:p w14:paraId="31B4D399"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59,7 ± 5,0</w:t>
            </w:r>
          </w:p>
        </w:tc>
        <w:tc>
          <w:tcPr>
            <w:tcW w:w="566" w:type="pct"/>
            <w:tcBorders>
              <w:top w:val="nil"/>
              <w:bottom w:val="nil"/>
            </w:tcBorders>
          </w:tcPr>
          <w:p w14:paraId="01265267"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55</w:t>
            </w:r>
          </w:p>
        </w:tc>
        <w:tc>
          <w:tcPr>
            <w:tcW w:w="559" w:type="pct"/>
            <w:tcBorders>
              <w:top w:val="nil"/>
              <w:bottom w:val="nil"/>
            </w:tcBorders>
          </w:tcPr>
          <w:p w14:paraId="3633E746"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70,0</w:t>
            </w:r>
          </w:p>
        </w:tc>
      </w:tr>
      <w:tr w:rsidR="007B4BC9" w:rsidRPr="007B4BC9" w14:paraId="7F046F79" w14:textId="77777777" w:rsidTr="002878E0">
        <w:trPr>
          <w:trHeight w:val="731"/>
        </w:trPr>
        <w:tc>
          <w:tcPr>
            <w:tcW w:w="1175" w:type="pct"/>
            <w:tcBorders>
              <w:top w:val="nil"/>
              <w:bottom w:val="nil"/>
            </w:tcBorders>
          </w:tcPr>
          <w:p w14:paraId="23B8A357" w14:textId="77777777" w:rsidR="007B4BC9" w:rsidRPr="007B4BC9" w:rsidRDefault="007B4BC9" w:rsidP="000E6929">
            <w:pPr>
              <w:autoSpaceDE w:val="0"/>
              <w:autoSpaceDN w:val="0"/>
              <w:adjustRightInd w:val="0"/>
              <w:spacing w:line="240" w:lineRule="auto"/>
              <w:rPr>
                <w:rFonts w:ascii="Tw Cen MT" w:hAnsi="Tw Cen MT" w:cs="Times New Roman"/>
                <w:sz w:val="20"/>
                <w:szCs w:val="20"/>
              </w:rPr>
            </w:pPr>
            <w:r w:rsidRPr="007B4BC9">
              <w:rPr>
                <w:rFonts w:ascii="Tw Cen MT" w:hAnsi="Tw Cen MT" w:cs="Times New Roman"/>
                <w:sz w:val="20"/>
                <w:szCs w:val="20"/>
              </w:rPr>
              <w:t xml:space="preserve">Tinggi badan (cm) </w:t>
            </w:r>
          </w:p>
        </w:tc>
        <w:tc>
          <w:tcPr>
            <w:tcW w:w="659" w:type="pct"/>
            <w:tcBorders>
              <w:top w:val="nil"/>
              <w:bottom w:val="nil"/>
            </w:tcBorders>
          </w:tcPr>
          <w:p w14:paraId="7D5F1114"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163,3 ± 5,4</w:t>
            </w:r>
          </w:p>
        </w:tc>
        <w:tc>
          <w:tcPr>
            <w:tcW w:w="504" w:type="pct"/>
            <w:tcBorders>
              <w:top w:val="nil"/>
              <w:bottom w:val="nil"/>
            </w:tcBorders>
          </w:tcPr>
          <w:p w14:paraId="431F17A3"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150,0</w:t>
            </w:r>
          </w:p>
        </w:tc>
        <w:tc>
          <w:tcPr>
            <w:tcW w:w="514" w:type="pct"/>
            <w:tcBorders>
              <w:top w:val="nil"/>
              <w:bottom w:val="nil"/>
            </w:tcBorders>
          </w:tcPr>
          <w:p w14:paraId="1ADAAD4C"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175,0</w:t>
            </w:r>
          </w:p>
        </w:tc>
        <w:tc>
          <w:tcPr>
            <w:tcW w:w="1021" w:type="pct"/>
            <w:tcBorders>
              <w:top w:val="nil"/>
              <w:bottom w:val="nil"/>
            </w:tcBorders>
          </w:tcPr>
          <w:p w14:paraId="5236F15C"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160,6 ± 5,3</w:t>
            </w:r>
          </w:p>
        </w:tc>
        <w:tc>
          <w:tcPr>
            <w:tcW w:w="566" w:type="pct"/>
            <w:tcBorders>
              <w:top w:val="nil"/>
              <w:bottom w:val="nil"/>
            </w:tcBorders>
          </w:tcPr>
          <w:p w14:paraId="20D62B78"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150,0</w:t>
            </w:r>
          </w:p>
        </w:tc>
        <w:tc>
          <w:tcPr>
            <w:tcW w:w="559" w:type="pct"/>
            <w:tcBorders>
              <w:top w:val="nil"/>
              <w:bottom w:val="nil"/>
            </w:tcBorders>
          </w:tcPr>
          <w:p w14:paraId="534E544A"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169,0</w:t>
            </w:r>
          </w:p>
        </w:tc>
      </w:tr>
      <w:tr w:rsidR="007B4BC9" w:rsidRPr="007B4BC9" w14:paraId="643E6EEC" w14:textId="77777777" w:rsidTr="002878E0">
        <w:trPr>
          <w:trHeight w:val="446"/>
        </w:trPr>
        <w:tc>
          <w:tcPr>
            <w:tcW w:w="1175" w:type="pct"/>
            <w:tcBorders>
              <w:top w:val="nil"/>
              <w:bottom w:val="single" w:sz="4" w:space="0" w:color="auto"/>
            </w:tcBorders>
          </w:tcPr>
          <w:p w14:paraId="683577EE" w14:textId="77777777" w:rsidR="007B4BC9" w:rsidRPr="007B4BC9" w:rsidRDefault="007B4BC9" w:rsidP="000E6929">
            <w:pPr>
              <w:autoSpaceDE w:val="0"/>
              <w:autoSpaceDN w:val="0"/>
              <w:adjustRightInd w:val="0"/>
              <w:spacing w:line="240" w:lineRule="auto"/>
              <w:rPr>
                <w:rFonts w:ascii="Tw Cen MT" w:hAnsi="Tw Cen MT" w:cs="Times New Roman"/>
                <w:sz w:val="20"/>
                <w:szCs w:val="20"/>
              </w:rPr>
            </w:pPr>
            <w:r w:rsidRPr="007B4BC9">
              <w:rPr>
                <w:rFonts w:ascii="Tw Cen MT" w:hAnsi="Tw Cen MT" w:cs="Times New Roman"/>
                <w:sz w:val="20"/>
                <w:szCs w:val="20"/>
              </w:rPr>
              <w:t>IMT</w:t>
            </w:r>
          </w:p>
        </w:tc>
        <w:tc>
          <w:tcPr>
            <w:tcW w:w="659" w:type="pct"/>
            <w:tcBorders>
              <w:top w:val="nil"/>
              <w:bottom w:val="single" w:sz="4" w:space="0" w:color="auto"/>
            </w:tcBorders>
          </w:tcPr>
          <w:p w14:paraId="6646D2C8"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 xml:space="preserve">23,5 ± 2,9 </w:t>
            </w:r>
          </w:p>
        </w:tc>
        <w:tc>
          <w:tcPr>
            <w:tcW w:w="504" w:type="pct"/>
            <w:tcBorders>
              <w:top w:val="nil"/>
              <w:bottom w:val="single" w:sz="4" w:space="0" w:color="auto"/>
            </w:tcBorders>
          </w:tcPr>
          <w:p w14:paraId="46111D05"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19,03</w:t>
            </w:r>
          </w:p>
        </w:tc>
        <w:tc>
          <w:tcPr>
            <w:tcW w:w="514" w:type="pct"/>
            <w:tcBorders>
              <w:top w:val="nil"/>
              <w:bottom w:val="single" w:sz="4" w:space="0" w:color="auto"/>
            </w:tcBorders>
          </w:tcPr>
          <w:p w14:paraId="199324E8"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34,8</w:t>
            </w:r>
          </w:p>
        </w:tc>
        <w:tc>
          <w:tcPr>
            <w:tcW w:w="1021" w:type="pct"/>
            <w:tcBorders>
              <w:top w:val="nil"/>
              <w:bottom w:val="single" w:sz="4" w:space="0" w:color="auto"/>
            </w:tcBorders>
          </w:tcPr>
          <w:p w14:paraId="3CFB94D3"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23,2 ± 2,0</w:t>
            </w:r>
          </w:p>
        </w:tc>
        <w:tc>
          <w:tcPr>
            <w:tcW w:w="566" w:type="pct"/>
            <w:tcBorders>
              <w:top w:val="nil"/>
              <w:bottom w:val="single" w:sz="4" w:space="0" w:color="auto"/>
            </w:tcBorders>
          </w:tcPr>
          <w:p w14:paraId="1A893381"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20,2</w:t>
            </w:r>
          </w:p>
        </w:tc>
        <w:tc>
          <w:tcPr>
            <w:tcW w:w="559" w:type="pct"/>
            <w:tcBorders>
              <w:top w:val="nil"/>
              <w:bottom w:val="single" w:sz="4" w:space="0" w:color="auto"/>
            </w:tcBorders>
          </w:tcPr>
          <w:p w14:paraId="1C898EF8" w14:textId="77777777" w:rsidR="007B4BC9" w:rsidRPr="007B4BC9" w:rsidRDefault="007B4BC9" w:rsidP="000E6929">
            <w:pPr>
              <w:autoSpaceDE w:val="0"/>
              <w:autoSpaceDN w:val="0"/>
              <w:adjustRightInd w:val="0"/>
              <w:spacing w:line="240" w:lineRule="auto"/>
              <w:jc w:val="center"/>
              <w:rPr>
                <w:rFonts w:ascii="Tw Cen MT" w:hAnsi="Tw Cen MT" w:cs="Times New Roman"/>
                <w:sz w:val="20"/>
                <w:szCs w:val="20"/>
              </w:rPr>
            </w:pPr>
            <w:r w:rsidRPr="007B4BC9">
              <w:rPr>
                <w:rFonts w:ascii="Tw Cen MT" w:hAnsi="Tw Cen MT" w:cs="Times New Roman"/>
                <w:sz w:val="20"/>
                <w:szCs w:val="20"/>
              </w:rPr>
              <w:t>27,1</w:t>
            </w:r>
          </w:p>
        </w:tc>
      </w:tr>
    </w:tbl>
    <w:bookmarkEnd w:id="9"/>
    <w:p w14:paraId="35D498EB" w14:textId="37FB3DE6" w:rsidR="007B4BC9" w:rsidRDefault="007B4BC9" w:rsidP="002878E0">
      <w:pPr>
        <w:spacing w:line="240" w:lineRule="auto"/>
        <w:rPr>
          <w:rFonts w:ascii="Tw Cen MT" w:hAnsi="Tw Cen MT" w:cs="Times New Roman"/>
          <w:i/>
          <w:iCs/>
          <w:sz w:val="18"/>
          <w:szCs w:val="18"/>
        </w:rPr>
      </w:pPr>
      <w:r w:rsidRPr="007B4BC9">
        <w:rPr>
          <w:rFonts w:ascii="Tw Cen MT" w:hAnsi="Tw Cen MT" w:cs="Times New Roman"/>
          <w:i/>
          <w:iCs/>
          <w:sz w:val="18"/>
          <w:szCs w:val="18"/>
        </w:rPr>
        <w:t>Sumber : Data Rekam Medis Pasien di RS. M.Djamil Padang Juni 2020-Desember 2021</w:t>
      </w:r>
    </w:p>
    <w:p w14:paraId="2CC68B0A" w14:textId="055A5AB3" w:rsidR="007B4BC9" w:rsidRPr="00D707CF" w:rsidRDefault="007B4BC9" w:rsidP="00F73710">
      <w:pPr>
        <w:spacing w:line="240" w:lineRule="auto"/>
        <w:jc w:val="both"/>
        <w:rPr>
          <w:rFonts w:ascii="Tw Cen MT" w:hAnsi="Tw Cen MT" w:cs="Times New Roman"/>
          <w:i/>
          <w:iCs/>
          <w:sz w:val="24"/>
          <w:szCs w:val="24"/>
        </w:rPr>
      </w:pPr>
      <w:r w:rsidRPr="00D707CF">
        <w:rPr>
          <w:rFonts w:ascii="Tw Cen MT" w:hAnsi="Tw Cen MT" w:cs="Times New Roman"/>
          <w:sz w:val="24"/>
          <w:szCs w:val="24"/>
        </w:rPr>
        <w:t xml:space="preserve">Table </w:t>
      </w:r>
      <w:r w:rsidR="00D707CF" w:rsidRPr="00D707CF">
        <w:rPr>
          <w:rFonts w:ascii="Tw Cen MT" w:hAnsi="Tw Cen MT" w:cs="Times New Roman"/>
          <w:sz w:val="24"/>
          <w:szCs w:val="24"/>
        </w:rPr>
        <w:t>1</w:t>
      </w:r>
      <w:r w:rsidRPr="00D707CF">
        <w:rPr>
          <w:rFonts w:ascii="Tw Cen MT" w:hAnsi="Tw Cen MT" w:cs="Times New Roman"/>
          <w:sz w:val="24"/>
          <w:szCs w:val="24"/>
        </w:rPr>
        <w:t xml:space="preserve"> menyajikan karakteristik 72 orang pasien Covid-19 Komorbid Diabetes Melitus tipe II, disajikan dalam mean, minimum dan maksimum. Menurut umur pada kelompok pengguna </w:t>
      </w:r>
      <w:r w:rsidRPr="00D707CF">
        <w:rPr>
          <w:rFonts w:ascii="Tw Cen MT" w:hAnsi="Tw Cen MT" w:cs="Times New Roman"/>
          <w:i/>
          <w:iCs/>
          <w:sz w:val="24"/>
          <w:szCs w:val="24"/>
        </w:rPr>
        <w:t>Heparin</w:t>
      </w:r>
      <w:r w:rsidRPr="00D707CF">
        <w:rPr>
          <w:rFonts w:ascii="Tw Cen MT" w:hAnsi="Tw Cen MT" w:cs="Times New Roman"/>
          <w:sz w:val="24"/>
          <w:szCs w:val="24"/>
        </w:rPr>
        <w:t xml:space="preserve"> rata-rata pasien </w:t>
      </w:r>
      <w:r w:rsidRPr="00D707CF">
        <w:rPr>
          <w:rFonts w:ascii="Tw Cen MT" w:hAnsi="Tw Cen MT" w:cs="Times New Roman"/>
          <w:i/>
          <w:iCs/>
          <w:sz w:val="24"/>
          <w:szCs w:val="24"/>
        </w:rPr>
        <w:t xml:space="preserve"> </w:t>
      </w:r>
      <w:r w:rsidRPr="00D707CF">
        <w:rPr>
          <w:rFonts w:ascii="Tw Cen MT" w:hAnsi="Tw Cen MT" w:cs="Times New Roman"/>
          <w:sz w:val="24"/>
          <w:szCs w:val="24"/>
        </w:rPr>
        <w:t xml:space="preserve">berusia 62,4 tahun dengan usia termuda yaitu 38 tahun dan tertua 82 tahun dan pada kelompok pengguna </w:t>
      </w:r>
      <w:r w:rsidRPr="00D707CF">
        <w:rPr>
          <w:rFonts w:ascii="Tw Cen MT" w:hAnsi="Tw Cen MT" w:cs="Times New Roman"/>
          <w:i/>
          <w:iCs/>
          <w:sz w:val="24"/>
          <w:szCs w:val="24"/>
        </w:rPr>
        <w:t>enoxaparin</w:t>
      </w:r>
      <w:r w:rsidRPr="00D707CF">
        <w:rPr>
          <w:rFonts w:ascii="Tw Cen MT" w:hAnsi="Tw Cen MT" w:cs="Times New Roman"/>
          <w:sz w:val="24"/>
          <w:szCs w:val="24"/>
        </w:rPr>
        <w:t xml:space="preserve"> rata-rata berusia  62,1 tahun dengan usia termuda 38 tahun dan tertua 89 tahun. Menurut Indeks Masa Tubuh (IMT) subjek peneltian pengguna </w:t>
      </w:r>
      <w:r w:rsidRPr="00D707CF">
        <w:rPr>
          <w:rFonts w:ascii="Tw Cen MT" w:hAnsi="Tw Cen MT" w:cs="Times New Roman"/>
          <w:i/>
          <w:iCs/>
          <w:sz w:val="24"/>
          <w:szCs w:val="24"/>
        </w:rPr>
        <w:t>Heparin</w:t>
      </w:r>
      <w:r w:rsidRPr="00D707CF">
        <w:rPr>
          <w:rFonts w:ascii="Tw Cen MT" w:hAnsi="Tw Cen MT" w:cs="Times New Roman"/>
          <w:sz w:val="24"/>
          <w:szCs w:val="24"/>
        </w:rPr>
        <w:t xml:space="preserve"> memiliki rata-rata IMT 23,5, dengan IMT minimal 19 dan maksimal 34,8 dan pada kelompok </w:t>
      </w:r>
      <w:r w:rsidRPr="00D707CF">
        <w:rPr>
          <w:rFonts w:ascii="Tw Cen MT" w:hAnsi="Tw Cen MT" w:cs="Times New Roman"/>
          <w:i/>
          <w:iCs/>
          <w:sz w:val="24"/>
          <w:szCs w:val="24"/>
        </w:rPr>
        <w:t xml:space="preserve">enoxaparin </w:t>
      </w:r>
      <w:r w:rsidRPr="00D707CF">
        <w:rPr>
          <w:rFonts w:ascii="Tw Cen MT" w:hAnsi="Tw Cen MT" w:cs="Times New Roman"/>
          <w:sz w:val="24"/>
          <w:szCs w:val="24"/>
        </w:rPr>
        <w:t xml:space="preserve">rata-rata IMT 23,2, dengan IMT minimal 20,2 dan maksimal 27,1.  Nilai rata-rata IMT untuk kedua kelompok subjek penelitian ini </w:t>
      </w:r>
      <w:commentRangeStart w:id="10"/>
      <w:r w:rsidRPr="00D707CF">
        <w:rPr>
          <w:rFonts w:ascii="Tw Cen MT" w:hAnsi="Tw Cen MT" w:cs="Times New Roman"/>
          <w:sz w:val="24"/>
          <w:szCs w:val="24"/>
        </w:rPr>
        <w:t>Menurut WHO (2011)</w:t>
      </w:r>
      <w:commentRangeEnd w:id="10"/>
      <w:r w:rsidR="00FF52A2">
        <w:rPr>
          <w:rStyle w:val="CommentReference"/>
        </w:rPr>
        <w:commentReference w:id="10"/>
      </w:r>
      <w:r w:rsidRPr="00D707CF">
        <w:rPr>
          <w:rFonts w:ascii="Tw Cen MT" w:hAnsi="Tw Cen MT" w:cs="Times New Roman"/>
          <w:sz w:val="24"/>
          <w:szCs w:val="24"/>
        </w:rPr>
        <w:t xml:space="preserve"> adalah normal berkisar range (18,5-24,9).</w:t>
      </w:r>
    </w:p>
    <w:p w14:paraId="1EAA1D0E" w14:textId="2CC03667" w:rsidR="002D1721" w:rsidRPr="00D707CF" w:rsidRDefault="002D1721" w:rsidP="00F62593">
      <w:pPr>
        <w:spacing w:line="240" w:lineRule="auto"/>
        <w:ind w:left="142" w:firstLine="589"/>
        <w:jc w:val="both"/>
        <w:rPr>
          <w:rFonts w:ascii="Tw Cen MT" w:hAnsi="Tw Cen MT" w:cs="Times New Roman"/>
          <w:sz w:val="24"/>
          <w:szCs w:val="24"/>
        </w:rPr>
      </w:pPr>
      <w:r w:rsidRPr="00D707CF">
        <w:rPr>
          <w:rFonts w:ascii="Tw Cen MT" w:hAnsi="Tw Cen MT" w:cs="Times New Roman"/>
          <w:sz w:val="24"/>
          <w:szCs w:val="24"/>
        </w:rPr>
        <w:t xml:space="preserve">   Rentang usia yang paling banyak terlibat dalam penelitian ini adalah &gt;45-65 tahun. Hasil yang sama juga diperoleh pada penelitian yang dilakukan oleh </w:t>
      </w:r>
      <w:commentRangeStart w:id="11"/>
      <w:r w:rsidRPr="00D707CF">
        <w:rPr>
          <w:rFonts w:ascii="Tw Cen MT" w:hAnsi="Tw Cen MT" w:cs="Times New Roman"/>
          <w:b/>
          <w:bCs/>
          <w:sz w:val="24"/>
          <w:szCs w:val="24"/>
        </w:rPr>
        <w:t>Zahtamal (2007)</w:t>
      </w:r>
      <w:commentRangeEnd w:id="11"/>
      <w:r w:rsidR="00FF52A2">
        <w:rPr>
          <w:rStyle w:val="CommentReference"/>
        </w:rPr>
        <w:commentReference w:id="11"/>
      </w:r>
      <w:r w:rsidRPr="00D707CF">
        <w:rPr>
          <w:rFonts w:ascii="Tw Cen MT" w:hAnsi="Tw Cen MT" w:cs="Times New Roman"/>
          <w:b/>
          <w:bCs/>
          <w:sz w:val="24"/>
          <w:szCs w:val="24"/>
        </w:rPr>
        <w:t xml:space="preserve"> </w:t>
      </w:r>
      <w:r w:rsidRPr="00D707CF">
        <w:rPr>
          <w:rFonts w:ascii="Tw Cen MT" w:hAnsi="Tw Cen MT" w:cs="Times New Roman"/>
          <w:sz w:val="24"/>
          <w:szCs w:val="24"/>
        </w:rPr>
        <w:t>terhadap 152 responden yang menunjukkan bahwa hubungan antara umur dengan kejadian DM Tipe 2 pada pasien yang dirawat di RSUD Arifin Achmad Provinsi Riau bermakna secara statistik, dimana orang yang berumur ≥45 tahun memiliki risiko 6 kali lebih besar terkena penyakit DM Tipe 2 dibandingkan dengan orang yang berumur kurang dari 45 tahun</w:t>
      </w:r>
      <w:r w:rsidR="00081E9C" w:rsidRPr="00D707CF">
        <w:rPr>
          <w:rFonts w:ascii="Tw Cen MT" w:hAnsi="Tw Cen MT" w:cs="Times New Roman"/>
          <w:sz w:val="24"/>
          <w:szCs w:val="24"/>
        </w:rPr>
        <w:t xml:space="preserve"> (10)</w:t>
      </w:r>
    </w:p>
    <w:p w14:paraId="328254BA" w14:textId="0432F39A" w:rsidR="00C42087" w:rsidRPr="00D707CF" w:rsidRDefault="00C42087" w:rsidP="00C42087">
      <w:pPr>
        <w:pStyle w:val="ListParagraph"/>
        <w:spacing w:line="240" w:lineRule="auto"/>
        <w:ind w:left="142"/>
        <w:jc w:val="both"/>
        <w:rPr>
          <w:rFonts w:ascii="Tw Cen MT" w:hAnsi="Tw Cen MT"/>
          <w:b/>
          <w:bCs/>
          <w:sz w:val="24"/>
          <w:szCs w:val="24"/>
        </w:rPr>
      </w:pPr>
      <w:r w:rsidRPr="00D707CF">
        <w:rPr>
          <w:rFonts w:ascii="Tw Cen MT" w:hAnsi="Tw Cen MT"/>
          <w:b/>
          <w:bCs/>
          <w:sz w:val="24"/>
          <w:szCs w:val="24"/>
        </w:rPr>
        <w:t>Pengaruh Penggunaan antikoagulan dosis profilaksis terhadap nilai D-Dimer</w:t>
      </w:r>
    </w:p>
    <w:p w14:paraId="65A4E007" w14:textId="77777777" w:rsidR="00E30050" w:rsidRPr="00D707CF" w:rsidRDefault="00E30050" w:rsidP="00C42087">
      <w:pPr>
        <w:pStyle w:val="ListParagraph"/>
        <w:spacing w:line="240" w:lineRule="auto"/>
        <w:ind w:left="142"/>
        <w:jc w:val="both"/>
        <w:rPr>
          <w:rFonts w:ascii="Tw Cen MT" w:hAnsi="Tw Cen MT"/>
          <w:b/>
          <w:bCs/>
          <w:sz w:val="24"/>
          <w:szCs w:val="24"/>
        </w:rPr>
      </w:pPr>
    </w:p>
    <w:p w14:paraId="1F6CC5A7" w14:textId="2EBA0C9B" w:rsidR="00F62593" w:rsidRPr="00D707CF" w:rsidRDefault="00F62593" w:rsidP="00C42087">
      <w:pPr>
        <w:pStyle w:val="ListParagraph"/>
        <w:spacing w:line="240" w:lineRule="auto"/>
        <w:ind w:left="142"/>
        <w:jc w:val="both"/>
        <w:rPr>
          <w:rFonts w:ascii="Tw Cen MT" w:hAnsi="Tw Cen MT"/>
          <w:sz w:val="24"/>
          <w:szCs w:val="24"/>
        </w:rPr>
      </w:pPr>
      <w:r w:rsidRPr="00D707CF">
        <w:rPr>
          <w:rFonts w:ascii="Tw Cen MT" w:hAnsi="Tw Cen MT"/>
          <w:sz w:val="24"/>
          <w:szCs w:val="24"/>
        </w:rPr>
        <w:t xml:space="preserve">Pengaruh penggunaan antikoagulan dosis profilaksis UFH dan LMWH terhadap penurunan nilai D-Dimer pada pasien Covid-19 dengan komorbid Diabetes Mellitus dapat dilihat pada Tabel berikut ini : </w:t>
      </w:r>
    </w:p>
    <w:p w14:paraId="2AE7533D" w14:textId="77777777" w:rsidR="00F62593" w:rsidRPr="00D707CF" w:rsidRDefault="00F62593" w:rsidP="00F62593">
      <w:pPr>
        <w:pStyle w:val="ListParagraph"/>
        <w:spacing w:line="240" w:lineRule="auto"/>
        <w:ind w:left="0"/>
        <w:jc w:val="both"/>
        <w:rPr>
          <w:rFonts w:ascii="Tw Cen MT" w:hAnsi="Tw Cen MT"/>
          <w:b/>
          <w:sz w:val="24"/>
          <w:szCs w:val="24"/>
        </w:rPr>
      </w:pPr>
    </w:p>
    <w:p w14:paraId="07710E26" w14:textId="4CFFBE71" w:rsidR="00F62593" w:rsidRPr="00D707CF" w:rsidRDefault="00F62593" w:rsidP="00F62593">
      <w:pPr>
        <w:pStyle w:val="ListParagraph"/>
        <w:spacing w:line="240" w:lineRule="auto"/>
        <w:ind w:left="142"/>
        <w:rPr>
          <w:rFonts w:ascii="Tw Cen MT" w:hAnsi="Tw Cen MT"/>
          <w:b/>
          <w:sz w:val="24"/>
          <w:szCs w:val="24"/>
        </w:rPr>
      </w:pPr>
      <w:commentRangeStart w:id="12"/>
      <w:r w:rsidRPr="00D707CF">
        <w:rPr>
          <w:rFonts w:ascii="Tw Cen MT" w:hAnsi="Tw Cen MT"/>
          <w:b/>
          <w:sz w:val="24"/>
          <w:szCs w:val="24"/>
        </w:rPr>
        <w:t xml:space="preserve">Tabel </w:t>
      </w:r>
      <w:r w:rsidR="00502FF2" w:rsidRPr="00D707CF">
        <w:rPr>
          <w:rFonts w:ascii="Tw Cen MT" w:hAnsi="Tw Cen MT"/>
          <w:b/>
          <w:sz w:val="24"/>
          <w:szCs w:val="24"/>
        </w:rPr>
        <w:t>2.</w:t>
      </w:r>
      <w:r w:rsidRPr="00D707CF">
        <w:rPr>
          <w:rFonts w:ascii="Tw Cen MT" w:hAnsi="Tw Cen MT"/>
          <w:b/>
          <w:sz w:val="24"/>
          <w:szCs w:val="24"/>
        </w:rPr>
        <w:t xml:space="preserve"> Pengaruh Penggunaan Antikoagulan Dosis Profilaksis UFH Dan LMWH Terhadap Penurunan Nilai D-Dimer Pada Pasien Covid-19 Dengan Komorbid Diabetes Mellitus</w:t>
      </w:r>
    </w:p>
    <w:tbl>
      <w:tblPr>
        <w:tblW w:w="405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1011"/>
        <w:gridCol w:w="481"/>
        <w:gridCol w:w="799"/>
      </w:tblGrid>
      <w:tr w:rsidR="00F62593" w:rsidRPr="00C14ED1" w14:paraId="3C745F7D" w14:textId="77777777" w:rsidTr="00C14ED1">
        <w:trPr>
          <w:trHeight w:val="466"/>
        </w:trPr>
        <w:tc>
          <w:tcPr>
            <w:tcW w:w="1760" w:type="dxa"/>
            <w:tcBorders>
              <w:left w:val="nil"/>
              <w:bottom w:val="single" w:sz="4" w:space="0" w:color="000000"/>
              <w:right w:val="nil"/>
            </w:tcBorders>
          </w:tcPr>
          <w:p w14:paraId="17388A1E" w14:textId="77777777" w:rsidR="00F62593" w:rsidRPr="00C14ED1" w:rsidRDefault="00F62593" w:rsidP="00C14ED1">
            <w:pPr>
              <w:spacing w:after="0" w:line="240" w:lineRule="auto"/>
              <w:jc w:val="center"/>
              <w:rPr>
                <w:rFonts w:ascii="Tw Cen MT" w:hAnsi="Tw Cen MT" w:cs="Times New Roman"/>
                <w:b/>
                <w:sz w:val="22"/>
                <w:szCs w:val="22"/>
              </w:rPr>
            </w:pPr>
            <w:r w:rsidRPr="00C14ED1">
              <w:rPr>
                <w:rFonts w:ascii="Tw Cen MT" w:hAnsi="Tw Cen MT" w:cs="Times New Roman"/>
                <w:b/>
                <w:sz w:val="22"/>
                <w:szCs w:val="22"/>
              </w:rPr>
              <w:t>Variabel</w:t>
            </w:r>
          </w:p>
        </w:tc>
        <w:tc>
          <w:tcPr>
            <w:tcW w:w="1011" w:type="dxa"/>
            <w:tcBorders>
              <w:left w:val="nil"/>
              <w:bottom w:val="single" w:sz="4" w:space="0" w:color="000000"/>
              <w:right w:val="nil"/>
            </w:tcBorders>
          </w:tcPr>
          <w:p w14:paraId="6F177138" w14:textId="77777777" w:rsidR="00F62593" w:rsidRPr="00C14ED1" w:rsidRDefault="00F62593" w:rsidP="00C14ED1">
            <w:pPr>
              <w:autoSpaceDE w:val="0"/>
              <w:autoSpaceDN w:val="0"/>
              <w:adjustRightInd w:val="0"/>
              <w:spacing w:after="0" w:line="240" w:lineRule="auto"/>
              <w:jc w:val="center"/>
              <w:rPr>
                <w:rFonts w:ascii="Tw Cen MT" w:hAnsi="Tw Cen MT" w:cs="Times New Roman"/>
                <w:b/>
                <w:sz w:val="22"/>
                <w:szCs w:val="22"/>
              </w:rPr>
            </w:pPr>
            <w:r w:rsidRPr="00C14ED1">
              <w:rPr>
                <w:rFonts w:ascii="Tw Cen MT" w:hAnsi="Tw Cen MT" w:cs="Times New Roman"/>
                <w:b/>
                <w:sz w:val="22"/>
                <w:szCs w:val="22"/>
              </w:rPr>
              <w:t>Mean ± SD</w:t>
            </w:r>
          </w:p>
        </w:tc>
        <w:tc>
          <w:tcPr>
            <w:tcW w:w="481" w:type="dxa"/>
            <w:tcBorders>
              <w:left w:val="nil"/>
              <w:bottom w:val="single" w:sz="4" w:space="0" w:color="000000"/>
              <w:right w:val="nil"/>
            </w:tcBorders>
          </w:tcPr>
          <w:p w14:paraId="715F66C1" w14:textId="77777777" w:rsidR="00F62593" w:rsidRPr="00C14ED1" w:rsidRDefault="00F62593" w:rsidP="00C14ED1">
            <w:pPr>
              <w:autoSpaceDE w:val="0"/>
              <w:autoSpaceDN w:val="0"/>
              <w:adjustRightInd w:val="0"/>
              <w:spacing w:after="0" w:line="240" w:lineRule="auto"/>
              <w:jc w:val="center"/>
              <w:rPr>
                <w:rFonts w:ascii="Tw Cen MT" w:hAnsi="Tw Cen MT" w:cs="Times New Roman"/>
                <w:b/>
                <w:sz w:val="22"/>
                <w:szCs w:val="22"/>
              </w:rPr>
            </w:pPr>
            <w:r w:rsidRPr="00C14ED1">
              <w:rPr>
                <w:rFonts w:ascii="Tw Cen MT" w:hAnsi="Tw Cen MT" w:cs="Times New Roman"/>
                <w:b/>
                <w:sz w:val="22"/>
                <w:szCs w:val="22"/>
              </w:rPr>
              <w:t>N</w:t>
            </w:r>
          </w:p>
        </w:tc>
        <w:tc>
          <w:tcPr>
            <w:tcW w:w="799" w:type="dxa"/>
            <w:tcBorders>
              <w:left w:val="nil"/>
              <w:bottom w:val="single" w:sz="4" w:space="0" w:color="000000"/>
              <w:right w:val="nil"/>
            </w:tcBorders>
          </w:tcPr>
          <w:p w14:paraId="73F5EC3A" w14:textId="77777777" w:rsidR="00F62593" w:rsidRPr="00C14ED1" w:rsidRDefault="00F62593" w:rsidP="00C14ED1">
            <w:pPr>
              <w:autoSpaceDE w:val="0"/>
              <w:autoSpaceDN w:val="0"/>
              <w:adjustRightInd w:val="0"/>
              <w:spacing w:after="0" w:line="240" w:lineRule="auto"/>
              <w:jc w:val="center"/>
              <w:rPr>
                <w:rFonts w:ascii="Tw Cen MT" w:hAnsi="Tw Cen MT" w:cs="Times New Roman"/>
                <w:b/>
                <w:sz w:val="22"/>
                <w:szCs w:val="22"/>
              </w:rPr>
            </w:pPr>
            <w:r w:rsidRPr="00C14ED1">
              <w:rPr>
                <w:rFonts w:ascii="Tw Cen MT" w:hAnsi="Tw Cen MT" w:cs="Times New Roman"/>
                <w:b/>
                <w:sz w:val="22"/>
                <w:szCs w:val="22"/>
              </w:rPr>
              <w:t>p value</w:t>
            </w:r>
          </w:p>
        </w:tc>
      </w:tr>
      <w:tr w:rsidR="00F62593" w:rsidRPr="00C14ED1" w14:paraId="746FE9F5" w14:textId="77777777" w:rsidTr="00C14ED1">
        <w:trPr>
          <w:trHeight w:val="1980"/>
        </w:trPr>
        <w:tc>
          <w:tcPr>
            <w:tcW w:w="1760" w:type="dxa"/>
            <w:tcBorders>
              <w:left w:val="nil"/>
              <w:bottom w:val="nil"/>
              <w:right w:val="nil"/>
            </w:tcBorders>
          </w:tcPr>
          <w:p w14:paraId="577FFFF9" w14:textId="77777777" w:rsidR="00F62593" w:rsidRPr="00C14ED1" w:rsidRDefault="00F62593" w:rsidP="00C14ED1">
            <w:pPr>
              <w:spacing w:after="0" w:line="240" w:lineRule="auto"/>
              <w:jc w:val="both"/>
              <w:rPr>
                <w:rFonts w:ascii="Tw Cen MT" w:hAnsi="Tw Cen MT" w:cs="Times New Roman"/>
                <w:sz w:val="22"/>
                <w:szCs w:val="22"/>
              </w:rPr>
            </w:pPr>
            <w:r w:rsidRPr="00C14ED1">
              <w:rPr>
                <w:rFonts w:ascii="Tw Cen MT" w:hAnsi="Tw Cen MT" w:cs="Times New Roman"/>
                <w:sz w:val="22"/>
                <w:szCs w:val="22"/>
              </w:rPr>
              <w:t>Nilai D Dimer</w:t>
            </w:r>
          </w:p>
          <w:p w14:paraId="648BCAD2" w14:textId="77777777" w:rsidR="00F62593" w:rsidRPr="00C14ED1" w:rsidRDefault="00F62593" w:rsidP="00C14ED1">
            <w:pPr>
              <w:numPr>
                <w:ilvl w:val="0"/>
                <w:numId w:val="5"/>
              </w:numPr>
              <w:autoSpaceDE w:val="0"/>
              <w:autoSpaceDN w:val="0"/>
              <w:adjustRightInd w:val="0"/>
              <w:spacing w:after="0" w:line="240" w:lineRule="auto"/>
              <w:ind w:left="284" w:hanging="284"/>
              <w:jc w:val="both"/>
              <w:rPr>
                <w:rFonts w:ascii="Tw Cen MT" w:hAnsi="Tw Cen MT" w:cs="Times New Roman"/>
                <w:sz w:val="22"/>
                <w:szCs w:val="22"/>
              </w:rPr>
            </w:pPr>
            <w:r w:rsidRPr="00C14ED1">
              <w:rPr>
                <w:rFonts w:ascii="Tw Cen MT" w:hAnsi="Tw Cen MT" w:cs="Times New Roman"/>
                <w:sz w:val="22"/>
                <w:szCs w:val="22"/>
              </w:rPr>
              <w:t>D Dimer sebelum penggunaan UFH</w:t>
            </w:r>
          </w:p>
          <w:p w14:paraId="0151ADE6" w14:textId="77777777" w:rsidR="00F62593" w:rsidRPr="00C14ED1" w:rsidRDefault="00F62593" w:rsidP="00C14ED1">
            <w:pPr>
              <w:autoSpaceDE w:val="0"/>
              <w:autoSpaceDN w:val="0"/>
              <w:adjustRightInd w:val="0"/>
              <w:spacing w:after="0" w:line="240" w:lineRule="auto"/>
              <w:ind w:left="284"/>
              <w:jc w:val="both"/>
              <w:rPr>
                <w:rFonts w:ascii="Tw Cen MT" w:hAnsi="Tw Cen MT" w:cs="Times New Roman"/>
                <w:sz w:val="22"/>
                <w:szCs w:val="22"/>
              </w:rPr>
            </w:pPr>
          </w:p>
          <w:p w14:paraId="61F0D28C" w14:textId="6DB14AAC" w:rsidR="00F62593" w:rsidRPr="00C14ED1" w:rsidRDefault="00F62593" w:rsidP="00C14ED1">
            <w:pPr>
              <w:numPr>
                <w:ilvl w:val="0"/>
                <w:numId w:val="5"/>
              </w:numPr>
              <w:autoSpaceDE w:val="0"/>
              <w:autoSpaceDN w:val="0"/>
              <w:adjustRightInd w:val="0"/>
              <w:spacing w:after="0" w:line="240" w:lineRule="auto"/>
              <w:ind w:left="284" w:hanging="284"/>
              <w:jc w:val="both"/>
              <w:rPr>
                <w:rFonts w:ascii="Tw Cen MT" w:hAnsi="Tw Cen MT" w:cs="Times New Roman"/>
                <w:sz w:val="22"/>
                <w:szCs w:val="22"/>
              </w:rPr>
            </w:pPr>
            <w:r w:rsidRPr="00C14ED1">
              <w:rPr>
                <w:rFonts w:ascii="Tw Cen MT" w:hAnsi="Tw Cen MT" w:cs="Times New Roman"/>
                <w:sz w:val="22"/>
                <w:szCs w:val="22"/>
              </w:rPr>
              <w:t>D Dimer setelah penggunaan UFH</w:t>
            </w:r>
          </w:p>
        </w:tc>
        <w:tc>
          <w:tcPr>
            <w:tcW w:w="1011" w:type="dxa"/>
            <w:tcBorders>
              <w:left w:val="nil"/>
              <w:bottom w:val="nil"/>
              <w:right w:val="nil"/>
            </w:tcBorders>
          </w:tcPr>
          <w:p w14:paraId="6ECA3327" w14:textId="77777777" w:rsidR="00F62593" w:rsidRPr="00C14ED1" w:rsidRDefault="00F62593" w:rsidP="00C14ED1">
            <w:pPr>
              <w:autoSpaceDE w:val="0"/>
              <w:autoSpaceDN w:val="0"/>
              <w:adjustRightInd w:val="0"/>
              <w:spacing w:after="0" w:line="240" w:lineRule="auto"/>
              <w:rPr>
                <w:rFonts w:ascii="Tw Cen MT" w:hAnsi="Tw Cen MT" w:cs="Times New Roman"/>
                <w:sz w:val="22"/>
                <w:szCs w:val="22"/>
              </w:rPr>
            </w:pPr>
          </w:p>
          <w:p w14:paraId="5E194764" w14:textId="7777777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r w:rsidRPr="00C14ED1">
              <w:rPr>
                <w:rFonts w:ascii="Tw Cen MT" w:hAnsi="Tw Cen MT" w:cs="Times New Roman"/>
                <w:sz w:val="22"/>
                <w:szCs w:val="22"/>
              </w:rPr>
              <w:t>5184,6 ± 3322,7</w:t>
            </w:r>
          </w:p>
          <w:p w14:paraId="0AD4BAA5" w14:textId="7777777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r w:rsidRPr="00C14ED1">
              <w:rPr>
                <w:rFonts w:ascii="Tw Cen MT" w:hAnsi="Tw Cen MT" w:cs="Times New Roman"/>
                <w:sz w:val="22"/>
                <w:szCs w:val="22"/>
              </w:rPr>
              <w:t>3668,6 ± 2784,9</w:t>
            </w:r>
          </w:p>
        </w:tc>
        <w:tc>
          <w:tcPr>
            <w:tcW w:w="481" w:type="dxa"/>
            <w:tcBorders>
              <w:left w:val="nil"/>
              <w:bottom w:val="nil"/>
              <w:right w:val="nil"/>
            </w:tcBorders>
          </w:tcPr>
          <w:p w14:paraId="1E091453" w14:textId="77777777" w:rsidR="00F62593" w:rsidRPr="00C14ED1" w:rsidRDefault="00F62593" w:rsidP="00C14ED1">
            <w:pPr>
              <w:autoSpaceDE w:val="0"/>
              <w:autoSpaceDN w:val="0"/>
              <w:adjustRightInd w:val="0"/>
              <w:spacing w:after="0" w:line="240" w:lineRule="auto"/>
              <w:rPr>
                <w:rFonts w:ascii="Tw Cen MT" w:hAnsi="Tw Cen MT" w:cs="Times New Roman"/>
                <w:sz w:val="22"/>
                <w:szCs w:val="22"/>
              </w:rPr>
            </w:pPr>
          </w:p>
          <w:p w14:paraId="5D5D7976" w14:textId="27484CBB" w:rsidR="00F62593" w:rsidRPr="00C14ED1" w:rsidRDefault="00502FF2" w:rsidP="00C14ED1">
            <w:pPr>
              <w:autoSpaceDE w:val="0"/>
              <w:autoSpaceDN w:val="0"/>
              <w:adjustRightInd w:val="0"/>
              <w:spacing w:after="0" w:line="240" w:lineRule="auto"/>
              <w:jc w:val="center"/>
              <w:rPr>
                <w:rFonts w:ascii="Tw Cen MT" w:hAnsi="Tw Cen MT" w:cs="Times New Roman"/>
                <w:sz w:val="22"/>
                <w:szCs w:val="22"/>
              </w:rPr>
            </w:pPr>
            <w:r w:rsidRPr="00C14ED1">
              <w:rPr>
                <w:rFonts w:ascii="Tw Cen MT" w:hAnsi="Tw Cen MT" w:cs="Times New Roman"/>
                <w:sz w:val="22"/>
                <w:szCs w:val="22"/>
              </w:rPr>
              <w:t>56</w:t>
            </w:r>
          </w:p>
          <w:p w14:paraId="52BBE240" w14:textId="7777777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p>
          <w:p w14:paraId="66097E61" w14:textId="53A1E281" w:rsidR="00F62593" w:rsidRPr="00C14ED1" w:rsidRDefault="00502FF2" w:rsidP="00C14ED1">
            <w:pPr>
              <w:autoSpaceDE w:val="0"/>
              <w:autoSpaceDN w:val="0"/>
              <w:adjustRightInd w:val="0"/>
              <w:spacing w:after="0" w:line="240" w:lineRule="auto"/>
              <w:jc w:val="center"/>
              <w:rPr>
                <w:rFonts w:ascii="Tw Cen MT" w:hAnsi="Tw Cen MT" w:cs="Times New Roman"/>
                <w:sz w:val="22"/>
                <w:szCs w:val="22"/>
              </w:rPr>
            </w:pPr>
            <w:r w:rsidRPr="00C14ED1">
              <w:rPr>
                <w:rFonts w:ascii="Tw Cen MT" w:hAnsi="Tw Cen MT" w:cs="Times New Roman"/>
                <w:sz w:val="22"/>
                <w:szCs w:val="22"/>
              </w:rPr>
              <w:t>56</w:t>
            </w:r>
          </w:p>
        </w:tc>
        <w:tc>
          <w:tcPr>
            <w:tcW w:w="799" w:type="dxa"/>
            <w:tcBorders>
              <w:left w:val="nil"/>
              <w:bottom w:val="nil"/>
              <w:right w:val="nil"/>
            </w:tcBorders>
            <w:vAlign w:val="center"/>
          </w:tcPr>
          <w:p w14:paraId="15423944" w14:textId="7777777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p>
          <w:p w14:paraId="12D70673" w14:textId="7777777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p>
          <w:p w14:paraId="289B9A01" w14:textId="0CE39BA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r w:rsidRPr="00C14ED1">
              <w:rPr>
                <w:rFonts w:ascii="Tw Cen MT" w:hAnsi="Tw Cen MT" w:cs="Times New Roman"/>
                <w:sz w:val="22"/>
                <w:szCs w:val="22"/>
              </w:rPr>
              <w:t>0,001</w:t>
            </w:r>
          </w:p>
        </w:tc>
      </w:tr>
      <w:tr w:rsidR="00F62593" w:rsidRPr="00C14ED1" w14:paraId="42D2939A" w14:textId="77777777" w:rsidTr="00C14ED1">
        <w:trPr>
          <w:trHeight w:val="1980"/>
        </w:trPr>
        <w:tc>
          <w:tcPr>
            <w:tcW w:w="1760" w:type="dxa"/>
            <w:tcBorders>
              <w:top w:val="nil"/>
              <w:left w:val="nil"/>
              <w:bottom w:val="single" w:sz="4" w:space="0" w:color="auto"/>
              <w:right w:val="nil"/>
            </w:tcBorders>
          </w:tcPr>
          <w:p w14:paraId="046F54CB" w14:textId="77777777" w:rsidR="00F62593" w:rsidRPr="00C14ED1" w:rsidRDefault="00F62593" w:rsidP="00C14ED1">
            <w:pPr>
              <w:spacing w:after="0" w:line="240" w:lineRule="auto"/>
              <w:jc w:val="both"/>
              <w:rPr>
                <w:rFonts w:ascii="Tw Cen MT" w:hAnsi="Tw Cen MT" w:cs="Times New Roman"/>
                <w:sz w:val="22"/>
                <w:szCs w:val="22"/>
              </w:rPr>
            </w:pPr>
            <w:r w:rsidRPr="00C14ED1">
              <w:rPr>
                <w:rFonts w:ascii="Tw Cen MT" w:hAnsi="Tw Cen MT" w:cs="Times New Roman"/>
                <w:sz w:val="22"/>
                <w:szCs w:val="22"/>
              </w:rPr>
              <w:t>Nilai D Dimer</w:t>
            </w:r>
          </w:p>
          <w:p w14:paraId="3E149BBB" w14:textId="77777777" w:rsidR="00F62593" w:rsidRPr="00C14ED1" w:rsidRDefault="00F62593" w:rsidP="00C14ED1">
            <w:pPr>
              <w:numPr>
                <w:ilvl w:val="0"/>
                <w:numId w:val="5"/>
              </w:numPr>
              <w:autoSpaceDE w:val="0"/>
              <w:autoSpaceDN w:val="0"/>
              <w:adjustRightInd w:val="0"/>
              <w:spacing w:after="0" w:line="240" w:lineRule="auto"/>
              <w:ind w:left="284" w:hanging="284"/>
              <w:jc w:val="both"/>
              <w:rPr>
                <w:rFonts w:ascii="Tw Cen MT" w:hAnsi="Tw Cen MT" w:cs="Times New Roman"/>
                <w:sz w:val="22"/>
                <w:szCs w:val="22"/>
              </w:rPr>
            </w:pPr>
            <w:r w:rsidRPr="00C14ED1">
              <w:rPr>
                <w:rFonts w:ascii="Tw Cen MT" w:hAnsi="Tw Cen MT" w:cs="Times New Roman"/>
                <w:sz w:val="22"/>
                <w:szCs w:val="22"/>
              </w:rPr>
              <w:t>D Dimer sebelum penggunaan LMWH</w:t>
            </w:r>
          </w:p>
          <w:p w14:paraId="79650F3D" w14:textId="77777777" w:rsidR="00F62593" w:rsidRPr="00C14ED1" w:rsidRDefault="00F62593" w:rsidP="00C14ED1">
            <w:pPr>
              <w:autoSpaceDE w:val="0"/>
              <w:autoSpaceDN w:val="0"/>
              <w:adjustRightInd w:val="0"/>
              <w:spacing w:after="0" w:line="240" w:lineRule="auto"/>
              <w:jc w:val="both"/>
              <w:rPr>
                <w:rFonts w:ascii="Tw Cen MT" w:hAnsi="Tw Cen MT" w:cs="Times New Roman"/>
                <w:sz w:val="22"/>
                <w:szCs w:val="22"/>
              </w:rPr>
            </w:pPr>
          </w:p>
          <w:p w14:paraId="37A72050" w14:textId="77777777" w:rsidR="00F62593" w:rsidRPr="00C14ED1" w:rsidRDefault="00F62593" w:rsidP="00C14ED1">
            <w:pPr>
              <w:numPr>
                <w:ilvl w:val="0"/>
                <w:numId w:val="5"/>
              </w:numPr>
              <w:autoSpaceDE w:val="0"/>
              <w:autoSpaceDN w:val="0"/>
              <w:adjustRightInd w:val="0"/>
              <w:spacing w:after="0" w:line="240" w:lineRule="auto"/>
              <w:ind w:left="284" w:hanging="284"/>
              <w:jc w:val="both"/>
              <w:rPr>
                <w:rFonts w:ascii="Tw Cen MT" w:hAnsi="Tw Cen MT" w:cs="Times New Roman"/>
                <w:sz w:val="22"/>
                <w:szCs w:val="22"/>
              </w:rPr>
            </w:pPr>
            <w:r w:rsidRPr="00C14ED1">
              <w:rPr>
                <w:rFonts w:ascii="Tw Cen MT" w:hAnsi="Tw Cen MT" w:cs="Times New Roman"/>
                <w:sz w:val="22"/>
                <w:szCs w:val="22"/>
              </w:rPr>
              <w:t>D Dimer setelah penggunaan LMWH</w:t>
            </w:r>
          </w:p>
        </w:tc>
        <w:tc>
          <w:tcPr>
            <w:tcW w:w="1011" w:type="dxa"/>
            <w:tcBorders>
              <w:top w:val="nil"/>
              <w:left w:val="nil"/>
              <w:bottom w:val="single" w:sz="4" w:space="0" w:color="auto"/>
              <w:right w:val="nil"/>
            </w:tcBorders>
          </w:tcPr>
          <w:p w14:paraId="218F6C90" w14:textId="77777777" w:rsidR="00F62593" w:rsidRPr="00C14ED1" w:rsidRDefault="00F62593" w:rsidP="00C14ED1">
            <w:pPr>
              <w:autoSpaceDE w:val="0"/>
              <w:autoSpaceDN w:val="0"/>
              <w:adjustRightInd w:val="0"/>
              <w:spacing w:after="0" w:line="240" w:lineRule="auto"/>
              <w:rPr>
                <w:rFonts w:ascii="Tw Cen MT" w:hAnsi="Tw Cen MT" w:cs="Times New Roman"/>
                <w:sz w:val="22"/>
                <w:szCs w:val="22"/>
              </w:rPr>
            </w:pPr>
          </w:p>
          <w:p w14:paraId="16449F71" w14:textId="7777777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r w:rsidRPr="00C14ED1">
              <w:rPr>
                <w:rFonts w:ascii="Tw Cen MT" w:hAnsi="Tw Cen MT" w:cs="Times New Roman"/>
                <w:sz w:val="22"/>
                <w:szCs w:val="22"/>
              </w:rPr>
              <w:t>4260,1 ± 3307,7</w:t>
            </w:r>
          </w:p>
          <w:p w14:paraId="61A55E55" w14:textId="59C929A3" w:rsidR="00F62593" w:rsidRPr="00C14ED1" w:rsidRDefault="00F62593" w:rsidP="00C14ED1">
            <w:pPr>
              <w:autoSpaceDE w:val="0"/>
              <w:autoSpaceDN w:val="0"/>
              <w:adjustRightInd w:val="0"/>
              <w:spacing w:after="0" w:line="240" w:lineRule="auto"/>
              <w:ind w:left="65" w:firstLine="15"/>
              <w:rPr>
                <w:rFonts w:ascii="Tw Cen MT" w:hAnsi="Tw Cen MT" w:cs="Times New Roman"/>
                <w:sz w:val="22"/>
                <w:szCs w:val="22"/>
              </w:rPr>
            </w:pPr>
            <w:r w:rsidRPr="00C14ED1">
              <w:rPr>
                <w:rFonts w:ascii="Tw Cen MT" w:hAnsi="Tw Cen MT" w:cs="Times New Roman"/>
                <w:sz w:val="22"/>
                <w:szCs w:val="22"/>
              </w:rPr>
              <w:t xml:space="preserve">2913,1 ± </w:t>
            </w:r>
            <w:r w:rsidR="00803C6E" w:rsidRPr="00C14ED1">
              <w:rPr>
                <w:rFonts w:ascii="Tw Cen MT" w:hAnsi="Tw Cen MT" w:cs="Times New Roman"/>
                <w:sz w:val="22"/>
                <w:szCs w:val="22"/>
              </w:rPr>
              <w:t>2</w:t>
            </w:r>
            <w:r w:rsidRPr="00C14ED1">
              <w:rPr>
                <w:rFonts w:ascii="Tw Cen MT" w:hAnsi="Tw Cen MT" w:cs="Times New Roman"/>
                <w:sz w:val="22"/>
                <w:szCs w:val="22"/>
              </w:rPr>
              <w:t>098,1</w:t>
            </w:r>
          </w:p>
        </w:tc>
        <w:tc>
          <w:tcPr>
            <w:tcW w:w="481" w:type="dxa"/>
            <w:tcBorders>
              <w:top w:val="nil"/>
              <w:left w:val="nil"/>
              <w:bottom w:val="single" w:sz="4" w:space="0" w:color="auto"/>
              <w:right w:val="nil"/>
            </w:tcBorders>
          </w:tcPr>
          <w:p w14:paraId="2020CA22" w14:textId="77777777" w:rsidR="00F62593" w:rsidRPr="00C14ED1" w:rsidRDefault="00F62593" w:rsidP="00C14ED1">
            <w:pPr>
              <w:autoSpaceDE w:val="0"/>
              <w:autoSpaceDN w:val="0"/>
              <w:adjustRightInd w:val="0"/>
              <w:spacing w:after="0" w:line="240" w:lineRule="auto"/>
              <w:rPr>
                <w:rFonts w:ascii="Tw Cen MT" w:hAnsi="Tw Cen MT" w:cs="Times New Roman"/>
                <w:sz w:val="22"/>
                <w:szCs w:val="22"/>
              </w:rPr>
            </w:pPr>
          </w:p>
          <w:p w14:paraId="24F7395E" w14:textId="07FD1A70"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r w:rsidRPr="00C14ED1">
              <w:rPr>
                <w:rFonts w:ascii="Tw Cen MT" w:hAnsi="Tw Cen MT" w:cs="Times New Roman"/>
                <w:sz w:val="22"/>
                <w:szCs w:val="22"/>
              </w:rPr>
              <w:t>1</w:t>
            </w:r>
            <w:r w:rsidR="00502FF2" w:rsidRPr="00C14ED1">
              <w:rPr>
                <w:rFonts w:ascii="Tw Cen MT" w:hAnsi="Tw Cen MT" w:cs="Times New Roman"/>
                <w:sz w:val="22"/>
                <w:szCs w:val="22"/>
              </w:rPr>
              <w:t>6</w:t>
            </w:r>
          </w:p>
          <w:p w14:paraId="6A03A008" w14:textId="7777777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p>
          <w:p w14:paraId="3B609BC6" w14:textId="5DC06B8E"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r w:rsidRPr="00C14ED1">
              <w:rPr>
                <w:rFonts w:ascii="Tw Cen MT" w:hAnsi="Tw Cen MT" w:cs="Times New Roman"/>
                <w:sz w:val="22"/>
                <w:szCs w:val="22"/>
              </w:rPr>
              <w:t>1</w:t>
            </w:r>
            <w:r w:rsidR="00502FF2" w:rsidRPr="00C14ED1">
              <w:rPr>
                <w:rFonts w:ascii="Tw Cen MT" w:hAnsi="Tw Cen MT" w:cs="Times New Roman"/>
                <w:sz w:val="22"/>
                <w:szCs w:val="22"/>
              </w:rPr>
              <w:t>6</w:t>
            </w:r>
          </w:p>
        </w:tc>
        <w:tc>
          <w:tcPr>
            <w:tcW w:w="799" w:type="dxa"/>
            <w:tcBorders>
              <w:top w:val="nil"/>
              <w:left w:val="nil"/>
              <w:bottom w:val="single" w:sz="4" w:space="0" w:color="auto"/>
              <w:right w:val="nil"/>
            </w:tcBorders>
            <w:vAlign w:val="center"/>
          </w:tcPr>
          <w:p w14:paraId="0444BF7E" w14:textId="7777777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p>
          <w:p w14:paraId="6C1F27DC" w14:textId="77777777"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p>
          <w:p w14:paraId="5C72FFF7" w14:textId="5E1F26C4" w:rsidR="00F62593" w:rsidRPr="00C14ED1" w:rsidRDefault="00F62593" w:rsidP="00C14ED1">
            <w:pPr>
              <w:autoSpaceDE w:val="0"/>
              <w:autoSpaceDN w:val="0"/>
              <w:adjustRightInd w:val="0"/>
              <w:spacing w:after="0" w:line="240" w:lineRule="auto"/>
              <w:jc w:val="center"/>
              <w:rPr>
                <w:rFonts w:ascii="Tw Cen MT" w:hAnsi="Tw Cen MT" w:cs="Times New Roman"/>
                <w:sz w:val="22"/>
                <w:szCs w:val="22"/>
              </w:rPr>
            </w:pPr>
            <w:r w:rsidRPr="00C14ED1">
              <w:rPr>
                <w:rFonts w:ascii="Tw Cen MT" w:hAnsi="Tw Cen MT" w:cs="Times New Roman"/>
                <w:sz w:val="22"/>
                <w:szCs w:val="22"/>
              </w:rPr>
              <w:t>0,005</w:t>
            </w:r>
          </w:p>
        </w:tc>
      </w:tr>
    </w:tbl>
    <w:commentRangeEnd w:id="12"/>
    <w:p w14:paraId="07B69874" w14:textId="77777777" w:rsidR="00F62593" w:rsidRPr="00D707CF" w:rsidRDefault="006E2E3E" w:rsidP="00F62593">
      <w:pPr>
        <w:widowControl w:val="0"/>
        <w:autoSpaceDE w:val="0"/>
        <w:autoSpaceDN w:val="0"/>
        <w:adjustRightInd w:val="0"/>
        <w:spacing w:line="240" w:lineRule="auto"/>
        <w:jc w:val="both"/>
        <w:rPr>
          <w:rFonts w:ascii="Tw Cen MT" w:hAnsi="Tw Cen MT" w:cs="Times New Roman"/>
          <w:sz w:val="24"/>
          <w:szCs w:val="24"/>
        </w:rPr>
      </w:pPr>
      <w:r>
        <w:rPr>
          <w:rStyle w:val="CommentReference"/>
        </w:rPr>
        <w:commentReference w:id="12"/>
      </w:r>
    </w:p>
    <w:p w14:paraId="2EC961F5" w14:textId="6FCD9A17" w:rsidR="00F62593" w:rsidRPr="00D707CF" w:rsidRDefault="00F62593" w:rsidP="00093815">
      <w:pPr>
        <w:widowControl w:val="0"/>
        <w:autoSpaceDE w:val="0"/>
        <w:autoSpaceDN w:val="0"/>
        <w:adjustRightInd w:val="0"/>
        <w:spacing w:line="240" w:lineRule="auto"/>
        <w:jc w:val="both"/>
        <w:rPr>
          <w:rFonts w:ascii="Tw Cen MT" w:hAnsi="Tw Cen MT" w:cs="Times New Roman"/>
          <w:sz w:val="24"/>
          <w:szCs w:val="24"/>
        </w:rPr>
      </w:pPr>
      <w:r w:rsidRPr="00D707CF">
        <w:rPr>
          <w:rFonts w:ascii="Tw Cen MT" w:hAnsi="Tw Cen MT" w:cs="Times New Roman"/>
          <w:sz w:val="24"/>
          <w:szCs w:val="24"/>
        </w:rPr>
        <w:t xml:space="preserve">Berdasarkan </w:t>
      </w:r>
      <w:r w:rsidR="00803C6E">
        <w:rPr>
          <w:rFonts w:ascii="Tw Cen MT" w:hAnsi="Tw Cen MT" w:cs="Times New Roman"/>
          <w:sz w:val="24"/>
          <w:szCs w:val="24"/>
        </w:rPr>
        <w:t>table 2</w:t>
      </w:r>
      <w:r w:rsidRPr="00D707CF">
        <w:rPr>
          <w:rFonts w:ascii="Tw Cen MT" w:hAnsi="Tw Cen MT" w:cs="Times New Roman"/>
          <w:sz w:val="24"/>
          <w:szCs w:val="24"/>
        </w:rPr>
        <w:t xml:space="preserve"> dapat diketahui bahwa rata-rata nilai D Dimer pasien COVID 19 dengan komorbid diabetes mellitus sebelum penggunaan UFH adalah 5184,6 dan setelah 3668,6. Hasil uji statistic didapatkan nilai p&lt;0,0</w:t>
      </w:r>
      <w:r w:rsidR="00081E9C" w:rsidRPr="00D707CF">
        <w:rPr>
          <w:rFonts w:ascii="Tw Cen MT" w:hAnsi="Tw Cen MT" w:cs="Times New Roman"/>
          <w:sz w:val="24"/>
          <w:szCs w:val="24"/>
        </w:rPr>
        <w:t>01</w:t>
      </w:r>
      <w:r w:rsidRPr="00D707CF">
        <w:rPr>
          <w:rFonts w:ascii="Tw Cen MT" w:hAnsi="Tw Cen MT" w:cs="Times New Roman"/>
          <w:sz w:val="24"/>
          <w:szCs w:val="24"/>
        </w:rPr>
        <w:t xml:space="preserve"> yang berarti pada alpha 5% dapat disimpulkan ada pengaruh penggunaan antikoagulan UFH terhadap nilai D Dimer pasien Covid 19 dengan komorbid diabetes mellitus.</w:t>
      </w:r>
      <w:r w:rsidR="00093815" w:rsidRPr="00D707CF">
        <w:rPr>
          <w:rFonts w:ascii="Tw Cen MT" w:hAnsi="Tw Cen MT" w:cs="Times New Roman"/>
          <w:sz w:val="24"/>
          <w:szCs w:val="24"/>
        </w:rPr>
        <w:t xml:space="preserve"> Sedangkan </w:t>
      </w:r>
      <w:r w:rsidRPr="00D707CF">
        <w:rPr>
          <w:rFonts w:ascii="Tw Cen MT" w:hAnsi="Tw Cen MT" w:cs="Times New Roman"/>
          <w:sz w:val="24"/>
          <w:szCs w:val="24"/>
        </w:rPr>
        <w:t>Rata-rata nilai D Dimer pasien Covid 19 dengan komorbid diabetess mellitus sebelum penggunaan antikoagulan LMWH adalah 4260,1 dan setelah penggunaan LMWH adalah 2913,1. Berdasarkan hasil uji statistik didapatkan nilai p=0,05 yang berarti pada alpha 5% dapat disimpulkan tidak ada pengaruh penggunaan antikoagulan LMWH terhadap nilai D Dimer pasien Covid 19 dengan komorbid diabetes mellitus.</w:t>
      </w:r>
    </w:p>
    <w:p w14:paraId="7EBFB39D" w14:textId="183DEEA2" w:rsidR="00F62593" w:rsidRDefault="00F62593" w:rsidP="00F62593">
      <w:pPr>
        <w:widowControl w:val="0"/>
        <w:autoSpaceDE w:val="0"/>
        <w:autoSpaceDN w:val="0"/>
        <w:adjustRightInd w:val="0"/>
        <w:spacing w:line="240" w:lineRule="auto"/>
        <w:ind w:firstLine="720"/>
        <w:jc w:val="both"/>
        <w:rPr>
          <w:rFonts w:ascii="Tw Cen MT" w:hAnsi="Tw Cen MT" w:cs="Times New Roman"/>
          <w:sz w:val="24"/>
          <w:szCs w:val="24"/>
        </w:rPr>
      </w:pPr>
      <w:r w:rsidRPr="00D707CF">
        <w:rPr>
          <w:rStyle w:val="y2iqfc"/>
          <w:rFonts w:ascii="Tw Cen MT" w:hAnsi="Tw Cen MT" w:cs="Times New Roman"/>
          <w:color w:val="202124"/>
          <w:sz w:val="24"/>
          <w:szCs w:val="24"/>
        </w:rPr>
        <w:t xml:space="preserve">D-Dimer adalah produk  degradasi cross linked yang merupakan hasil akhir dari pemecahan bekuan fibrin oleh plasmin dalam system fibrinolitik. Konsentrasi D-Dimer plasma dapat mewakili indikasi fibrinolisis. Adanya D Dimer karena ikatan cross link tidak dapat dipecah oleh plasmin. Jika D Dimer terbentuk berarti yang dipecah oleh plasmin adalah cross linked fibrin yang merupakan hasil kerja thrombin. Thrombin terbentuk jika koagulasi teraktivasi. Jadi terbentuknya D dimer menunjukkan telah terjadi aktivasi koagulasi </w:t>
      </w:r>
      <w:r w:rsidRPr="00D707CF">
        <w:rPr>
          <w:rStyle w:val="y2iqfc"/>
          <w:rFonts w:ascii="Tw Cen MT" w:hAnsi="Tw Cen MT" w:cs="Times New Roman"/>
          <w:color w:val="202124"/>
          <w:sz w:val="24"/>
          <w:szCs w:val="24"/>
        </w:rPr>
        <w:fldChar w:fldCharType="begin" w:fldLock="1"/>
      </w:r>
      <w:r w:rsidR="00610831" w:rsidRPr="00D707CF">
        <w:rPr>
          <w:rStyle w:val="y2iqfc"/>
          <w:rFonts w:ascii="Tw Cen MT" w:hAnsi="Tw Cen MT" w:cs="Times New Roman"/>
          <w:color w:val="202124"/>
          <w:sz w:val="24"/>
          <w:szCs w:val="24"/>
        </w:rPr>
        <w:instrText>ADDIN CSL_CITATION {"citationItems":[{"id":"ITEM-1","itemData":{"DOI":"10.1007/s40256-015-0122-7","ISSN":"1179187X","PMID":"25957095","abstract":"Venous thromboembolism is the third most common cardiovascular disease and a major cause of inpatient mortality as over 50 % of deep vein thrombosis and pulmonary embolism are undetected in medically treated patients. Several agents are approved for thromboprophylaxis, including warfarin, unfractionated heparin, low molecular-weight heparins, fondaparinux, and target-specific oral anticoagulants. The purpose of this literature review is to discuss the increased risk of venous thromboembolism in medically ill patients and the literature surrounding the efficacy and tolerability of low molecular-weight heparins and target-specific oral anticoagulants for this indication. PubMed, MEDLINE, EBSCOhost, and clinicaltrials.gov were used as search engines in the literature review. Search limits included articles containing human subjects, scholarly (peer-reviewed) journals written in English, and publication dates from 2004 to 2014. Animal studies, non-English articles, and publications dated prior to 2004 were excluded. Recurrent venous thromboembolism remains an ongoing problem affecting thousands of people in the non-surgical population annually. With limited data, it is not likely that target-specific oral anticoagulants will soon replace low molecular-weight heparins or even be considered an alternative until efficacy and tolerability have been established. Until further evidence is disclosed, low molecular-weight heparins and fondaparinux (in the absence of renal dysfunction and low body weight) should continue to be utilized as first-line agents for thromboprophylaxis in medically ill patients. The use of apixaban and rivaroxaban is discouraged for thromboprophylaxis in medically ill patients.","author":[{"dropping-particle":"","family":"Hale","given":"Genevieve","non-dropping-particle":"","parse-names":false,"suffix":""},{"dropping-particle":"","family":"Brenner","given":"Michael","non-dropping-particle":"","parse-names":false,"suffix":""}],"container-title":"American Journal of Cardiovascular Drugs","id":"ITEM-1","issued":{"date-parts":[["2015"]]},"title":"Risks and Benefits of Low Molecular-Weight Heparin and Target-Specific Oral Anticoagulant Use for Thromboprophylaxis in Medically Ill Patients","type":"article"},"uris":["http://www.mendeley.com/documents/?uuid=2ca483d8-e03d-49c2-9f2b-3cf067f7ef80"]}],"mendeley":{"formattedCitation":"[8]","plainTextFormattedCitation":"[8]","previouslyFormattedCitation":"[7]"},"properties":{"noteIndex":0},"schema":"https://github.com/citation-style-language/schema/raw/master/csl-citation.json"}</w:instrText>
      </w:r>
      <w:r w:rsidRPr="00D707CF">
        <w:rPr>
          <w:rStyle w:val="y2iqfc"/>
          <w:rFonts w:ascii="Tw Cen MT" w:hAnsi="Tw Cen MT" w:cs="Times New Roman"/>
          <w:color w:val="202124"/>
          <w:sz w:val="24"/>
          <w:szCs w:val="24"/>
        </w:rPr>
        <w:fldChar w:fldCharType="separate"/>
      </w:r>
      <w:r w:rsidR="00610831" w:rsidRPr="00D707CF">
        <w:rPr>
          <w:rStyle w:val="y2iqfc"/>
          <w:rFonts w:ascii="Tw Cen MT" w:hAnsi="Tw Cen MT" w:cs="Times New Roman"/>
          <w:noProof/>
          <w:color w:val="202124"/>
          <w:sz w:val="24"/>
          <w:szCs w:val="24"/>
        </w:rPr>
        <w:t>[8]</w:t>
      </w:r>
      <w:r w:rsidRPr="00D707CF">
        <w:rPr>
          <w:rStyle w:val="y2iqfc"/>
          <w:rFonts w:ascii="Tw Cen MT" w:hAnsi="Tw Cen MT" w:cs="Times New Roman"/>
          <w:color w:val="202124"/>
          <w:sz w:val="24"/>
          <w:szCs w:val="24"/>
        </w:rPr>
        <w:fldChar w:fldCharType="end"/>
      </w:r>
      <w:r w:rsidRPr="00D707CF">
        <w:rPr>
          <w:rStyle w:val="y2iqfc"/>
          <w:rFonts w:ascii="Tw Cen MT" w:hAnsi="Tw Cen MT" w:cs="Times New Roman"/>
          <w:color w:val="202124"/>
          <w:sz w:val="24"/>
          <w:szCs w:val="24"/>
        </w:rPr>
        <w:t xml:space="preserve">. </w:t>
      </w:r>
      <w:r w:rsidRPr="00D707CF">
        <w:rPr>
          <w:rFonts w:ascii="Tw Cen MT" w:hAnsi="Tw Cen MT" w:cs="Times New Roman"/>
          <w:sz w:val="24"/>
          <w:szCs w:val="24"/>
        </w:rPr>
        <w:t>Diperoleh hasil adanya pengaruh yang signifikan terhadap penurunan nilai D-Dimer setelah penggunaan antikoagulan UFH dosis profilaksis pada pasien kritis dengan komorbid DM tipe 2 (</w:t>
      </w:r>
      <w:commentRangeStart w:id="13"/>
      <w:r w:rsidRPr="00D707CF">
        <w:rPr>
          <w:rFonts w:ascii="Tw Cen MT" w:hAnsi="Tw Cen MT" w:cs="Times New Roman"/>
          <w:sz w:val="24"/>
          <w:szCs w:val="24"/>
        </w:rPr>
        <w:t xml:space="preserve">Yu et al) </w:t>
      </w:r>
      <w:commentRangeEnd w:id="13"/>
      <w:r w:rsidR="00FF52A2">
        <w:rPr>
          <w:rStyle w:val="CommentReference"/>
        </w:rPr>
        <w:commentReference w:id="13"/>
      </w:r>
      <w:r w:rsidRPr="00D707CF">
        <w:rPr>
          <w:rFonts w:ascii="Tw Cen MT" w:hAnsi="Tw Cen MT" w:cs="Times New Roman"/>
          <w:sz w:val="24"/>
          <w:szCs w:val="24"/>
        </w:rPr>
        <w:t>melaporkan bahwa penurunan kadar D-dimer pada pasien COVID-19 menunjukkan adanya prognosis yang baik. Penurunan jumlah D Di</w:t>
      </w:r>
      <w:r w:rsidRPr="00F62593">
        <w:rPr>
          <w:rFonts w:ascii="Tw Cen MT" w:hAnsi="Tw Cen MT" w:cs="Times New Roman"/>
          <w:sz w:val="24"/>
          <w:szCs w:val="24"/>
        </w:rPr>
        <w:t>mer  terjadi karena peran antikoagulan yang bekerja meningkatkan kerja antithrombin III sehingga jumlah fibrin yang terbentuk berkurang.  D-dimer yang merupakan produk degradasi dari fibrin otomatis juga berkurang</w:t>
      </w:r>
      <w:r w:rsidR="00081E9C">
        <w:rPr>
          <w:rFonts w:ascii="Tw Cen MT" w:hAnsi="Tw Cen MT" w:cs="Times New Roman"/>
          <w:sz w:val="24"/>
          <w:szCs w:val="24"/>
        </w:rPr>
        <w:t xml:space="preserve"> (</w:t>
      </w:r>
      <w:commentRangeStart w:id="14"/>
      <w:r w:rsidR="00081E9C">
        <w:rPr>
          <w:rFonts w:ascii="Tw Cen MT" w:hAnsi="Tw Cen MT" w:cs="Times New Roman"/>
          <w:sz w:val="24"/>
          <w:szCs w:val="24"/>
        </w:rPr>
        <w:t>10)</w:t>
      </w:r>
      <w:commentRangeEnd w:id="14"/>
      <w:r w:rsidR="00FF52A2">
        <w:rPr>
          <w:rStyle w:val="CommentReference"/>
        </w:rPr>
        <w:commentReference w:id="14"/>
      </w:r>
      <w:r w:rsidRPr="00F62593">
        <w:rPr>
          <w:rFonts w:ascii="Tw Cen MT" w:hAnsi="Tw Cen MT" w:cs="Times New Roman"/>
          <w:sz w:val="24"/>
          <w:szCs w:val="24"/>
        </w:rPr>
        <w:t xml:space="preserve">. </w:t>
      </w:r>
    </w:p>
    <w:p w14:paraId="3C721204" w14:textId="77777777" w:rsidR="00610831" w:rsidRDefault="00610831" w:rsidP="00F62593">
      <w:pPr>
        <w:widowControl w:val="0"/>
        <w:autoSpaceDE w:val="0"/>
        <w:autoSpaceDN w:val="0"/>
        <w:adjustRightInd w:val="0"/>
        <w:spacing w:line="240" w:lineRule="auto"/>
        <w:ind w:firstLine="720"/>
        <w:jc w:val="both"/>
        <w:rPr>
          <w:rFonts w:ascii="Tw Cen MT" w:hAnsi="Tw Cen MT" w:cs="Times New Roman"/>
          <w:sz w:val="24"/>
          <w:szCs w:val="24"/>
        </w:rPr>
      </w:pPr>
    </w:p>
    <w:p w14:paraId="3A8E7221" w14:textId="518751F6" w:rsidR="00C42087" w:rsidRDefault="00C42087" w:rsidP="00C42087">
      <w:pPr>
        <w:widowControl w:val="0"/>
        <w:autoSpaceDE w:val="0"/>
        <w:autoSpaceDN w:val="0"/>
        <w:adjustRightInd w:val="0"/>
        <w:spacing w:line="240" w:lineRule="auto"/>
        <w:jc w:val="both"/>
        <w:rPr>
          <w:rFonts w:ascii="Times New Roman" w:hAnsi="Times New Roman" w:cs="Times New Roman"/>
          <w:b/>
          <w:bCs/>
          <w:sz w:val="24"/>
          <w:szCs w:val="24"/>
        </w:rPr>
      </w:pPr>
      <w:r w:rsidRPr="00DF61F1">
        <w:rPr>
          <w:rFonts w:ascii="Times New Roman" w:hAnsi="Times New Roman" w:cs="Times New Roman"/>
          <w:b/>
          <w:bCs/>
          <w:sz w:val="24"/>
          <w:szCs w:val="24"/>
        </w:rPr>
        <w:t xml:space="preserve">Pengaruh penggunaan antikoagulan dosis profilaksis </w:t>
      </w:r>
      <w:r>
        <w:rPr>
          <w:rFonts w:ascii="Times New Roman" w:hAnsi="Times New Roman" w:cs="Times New Roman"/>
          <w:b/>
          <w:bCs/>
          <w:sz w:val="24"/>
          <w:szCs w:val="24"/>
        </w:rPr>
        <w:t xml:space="preserve">terhadap nilai </w:t>
      </w:r>
      <w:r w:rsidRPr="00DF61F1">
        <w:rPr>
          <w:rFonts w:ascii="Times New Roman" w:hAnsi="Times New Roman" w:cs="Times New Roman"/>
          <w:b/>
          <w:bCs/>
          <w:i/>
          <w:sz w:val="24"/>
          <w:szCs w:val="24"/>
        </w:rPr>
        <w:t xml:space="preserve">Protrombin Time </w:t>
      </w:r>
      <w:r w:rsidRPr="00DF61F1">
        <w:rPr>
          <w:rFonts w:ascii="Times New Roman" w:hAnsi="Times New Roman" w:cs="Times New Roman"/>
          <w:b/>
          <w:bCs/>
          <w:sz w:val="24"/>
          <w:szCs w:val="24"/>
        </w:rPr>
        <w:t xml:space="preserve">(PT)  </w:t>
      </w:r>
    </w:p>
    <w:p w14:paraId="000FB4F9" w14:textId="77777777" w:rsidR="00C42087" w:rsidRDefault="00C42087" w:rsidP="00C42087">
      <w:pPr>
        <w:pStyle w:val="ListParagraph"/>
        <w:spacing w:line="240" w:lineRule="auto"/>
        <w:ind w:left="0" w:firstLine="306"/>
        <w:jc w:val="both"/>
        <w:rPr>
          <w:rFonts w:ascii="Tw Cen MT" w:hAnsi="Tw Cen MT"/>
          <w:sz w:val="24"/>
          <w:szCs w:val="24"/>
          <w:lang w:val="en-US"/>
        </w:rPr>
      </w:pPr>
      <w:r w:rsidRPr="00C42087">
        <w:rPr>
          <w:rFonts w:ascii="Tw Cen MT" w:hAnsi="Tw Cen MT"/>
          <w:sz w:val="24"/>
          <w:szCs w:val="24"/>
        </w:rPr>
        <w:t xml:space="preserve">Pengaruh penggunaan antikoagulan dosis profilaksis UFH dan LMWH terhadap penurunan nilai </w:t>
      </w:r>
      <w:r w:rsidRPr="00C42087">
        <w:rPr>
          <w:rFonts w:ascii="Tw Cen MT" w:hAnsi="Tw Cen MT"/>
          <w:i/>
          <w:sz w:val="24"/>
          <w:szCs w:val="24"/>
        </w:rPr>
        <w:t xml:space="preserve">Protrombin Time </w:t>
      </w:r>
      <w:r w:rsidRPr="00C42087">
        <w:rPr>
          <w:rFonts w:ascii="Tw Cen MT" w:hAnsi="Tw Cen MT"/>
          <w:sz w:val="24"/>
          <w:szCs w:val="24"/>
        </w:rPr>
        <w:t>(PT) pada pasien Covid-19 dengan komorbid Diabetes Mellitus dapat dilihat pada Tabel berikut ini</w:t>
      </w:r>
      <w:r w:rsidRPr="00C42087">
        <w:rPr>
          <w:rFonts w:ascii="Tw Cen MT" w:hAnsi="Tw Cen MT"/>
          <w:sz w:val="24"/>
          <w:szCs w:val="24"/>
          <w:lang w:val="en-US"/>
        </w:rPr>
        <w:t>:</w:t>
      </w:r>
    </w:p>
    <w:p w14:paraId="43D12B72" w14:textId="419FCB24" w:rsidR="00575E5B" w:rsidRDefault="00575E5B" w:rsidP="00575E5B">
      <w:pPr>
        <w:spacing w:line="240" w:lineRule="auto"/>
        <w:rPr>
          <w:rFonts w:ascii="Tw Cen MT" w:hAnsi="Tw Cen MT"/>
          <w:b/>
          <w:sz w:val="20"/>
          <w:szCs w:val="20"/>
        </w:rPr>
      </w:pPr>
      <w:r w:rsidRPr="00575E5B">
        <w:rPr>
          <w:rFonts w:ascii="Tw Cen MT" w:hAnsi="Tw Cen MT"/>
          <w:b/>
          <w:sz w:val="20"/>
          <w:szCs w:val="20"/>
        </w:rPr>
        <w:t xml:space="preserve">Tabel </w:t>
      </w:r>
      <w:r w:rsidR="00803C6E">
        <w:rPr>
          <w:rFonts w:ascii="Tw Cen MT" w:hAnsi="Tw Cen MT"/>
          <w:b/>
          <w:sz w:val="20"/>
          <w:szCs w:val="20"/>
        </w:rPr>
        <w:t>3</w:t>
      </w:r>
      <w:r w:rsidRPr="00575E5B">
        <w:rPr>
          <w:rFonts w:ascii="Tw Cen MT" w:hAnsi="Tw Cen MT"/>
          <w:b/>
          <w:sz w:val="20"/>
          <w:szCs w:val="20"/>
        </w:rPr>
        <w:t xml:space="preserve"> Pengaruh Penggunaan Antikoagulan Dosis Profilaksis UFH Dan LMWH Terhadap </w:t>
      </w:r>
      <w:r w:rsidRPr="00575E5B">
        <w:rPr>
          <w:rFonts w:ascii="Tw Cen MT" w:hAnsi="Tw Cen MT"/>
          <w:b/>
          <w:i/>
          <w:sz w:val="20"/>
          <w:szCs w:val="20"/>
        </w:rPr>
        <w:t xml:space="preserve">Protrombin Time </w:t>
      </w:r>
      <w:r w:rsidRPr="00575E5B">
        <w:rPr>
          <w:rFonts w:ascii="Tw Cen MT" w:hAnsi="Tw Cen MT"/>
          <w:b/>
          <w:sz w:val="20"/>
          <w:szCs w:val="20"/>
        </w:rPr>
        <w:t>(PT) Pada Pasien Covid-19 Dengan Komorbid Diabetes Mellitus</w:t>
      </w:r>
    </w:p>
    <w:tbl>
      <w:tblPr>
        <w:tblW w:w="3862" w:type="dxa"/>
        <w:tblLook w:val="04A0" w:firstRow="1" w:lastRow="0" w:firstColumn="1" w:lastColumn="0" w:noHBand="0" w:noVBand="1"/>
      </w:tblPr>
      <w:tblGrid>
        <w:gridCol w:w="1636"/>
        <w:gridCol w:w="1003"/>
        <w:gridCol w:w="460"/>
        <w:gridCol w:w="763"/>
      </w:tblGrid>
      <w:tr w:rsidR="00502FF2" w:rsidRPr="00502FF2" w14:paraId="5B8891C6" w14:textId="77777777" w:rsidTr="00502FF2">
        <w:trPr>
          <w:trHeight w:val="344"/>
        </w:trPr>
        <w:tc>
          <w:tcPr>
            <w:tcW w:w="1636" w:type="dxa"/>
            <w:tcBorders>
              <w:top w:val="single" w:sz="8" w:space="0" w:color="000000"/>
              <w:left w:val="nil"/>
              <w:bottom w:val="single" w:sz="8" w:space="0" w:color="000000"/>
              <w:right w:val="nil"/>
            </w:tcBorders>
            <w:shd w:val="clear" w:color="auto" w:fill="auto"/>
            <w:vAlign w:val="center"/>
            <w:hideMark/>
          </w:tcPr>
          <w:p w14:paraId="5F05DE3E" w14:textId="77777777" w:rsidR="00502FF2" w:rsidRPr="00502FF2" w:rsidRDefault="00502FF2" w:rsidP="00BF33E6">
            <w:pPr>
              <w:spacing w:after="0" w:line="360" w:lineRule="auto"/>
              <w:jc w:val="center"/>
              <w:rPr>
                <w:rFonts w:ascii="Tw Cen MT" w:eastAsia="Times New Roman" w:hAnsi="Tw Cen MT" w:cs="Times New Roman"/>
                <w:b/>
                <w:bCs/>
                <w:color w:val="000000"/>
                <w:sz w:val="20"/>
                <w:szCs w:val="20"/>
                <w:lang w:val="en-ID" w:eastAsia="en-ID"/>
              </w:rPr>
            </w:pPr>
            <w:bookmarkStart w:id="15" w:name="_Hlk159322566"/>
            <w:r w:rsidRPr="00502FF2">
              <w:rPr>
                <w:rFonts w:ascii="Tw Cen MT" w:eastAsia="Times New Roman" w:hAnsi="Tw Cen MT" w:cs="Times New Roman"/>
                <w:b/>
                <w:bCs/>
                <w:color w:val="000000"/>
                <w:sz w:val="20"/>
                <w:szCs w:val="20"/>
                <w:lang w:eastAsia="en-ID"/>
              </w:rPr>
              <w:t>Variabel</w:t>
            </w:r>
          </w:p>
        </w:tc>
        <w:tc>
          <w:tcPr>
            <w:tcW w:w="1003" w:type="dxa"/>
            <w:tcBorders>
              <w:top w:val="single" w:sz="8" w:space="0" w:color="000000"/>
              <w:left w:val="nil"/>
              <w:bottom w:val="single" w:sz="8" w:space="0" w:color="000000"/>
              <w:right w:val="nil"/>
            </w:tcBorders>
            <w:shd w:val="clear" w:color="auto" w:fill="auto"/>
            <w:vAlign w:val="center"/>
            <w:hideMark/>
          </w:tcPr>
          <w:p w14:paraId="7F2BD419" w14:textId="77777777" w:rsidR="00502FF2" w:rsidRPr="00502FF2" w:rsidRDefault="00502FF2" w:rsidP="00BF33E6">
            <w:pPr>
              <w:spacing w:after="0" w:line="360" w:lineRule="auto"/>
              <w:jc w:val="center"/>
              <w:rPr>
                <w:rFonts w:ascii="Tw Cen MT" w:eastAsia="Times New Roman" w:hAnsi="Tw Cen MT" w:cs="Times New Roman"/>
                <w:b/>
                <w:bCs/>
                <w:color w:val="000000"/>
                <w:sz w:val="20"/>
                <w:szCs w:val="20"/>
                <w:lang w:val="en-ID" w:eastAsia="en-ID"/>
              </w:rPr>
            </w:pPr>
            <w:r w:rsidRPr="00502FF2">
              <w:rPr>
                <w:rFonts w:ascii="Tw Cen MT" w:eastAsia="Times New Roman" w:hAnsi="Tw Cen MT" w:cs="Times New Roman"/>
                <w:b/>
                <w:bCs/>
                <w:color w:val="000000"/>
                <w:sz w:val="20"/>
                <w:szCs w:val="20"/>
                <w:lang w:eastAsia="en-ID"/>
              </w:rPr>
              <w:t>Mean ± SD</w:t>
            </w:r>
          </w:p>
        </w:tc>
        <w:tc>
          <w:tcPr>
            <w:tcW w:w="460" w:type="dxa"/>
            <w:tcBorders>
              <w:top w:val="single" w:sz="8" w:space="0" w:color="000000"/>
              <w:left w:val="nil"/>
              <w:bottom w:val="single" w:sz="8" w:space="0" w:color="000000"/>
              <w:right w:val="nil"/>
            </w:tcBorders>
            <w:shd w:val="clear" w:color="auto" w:fill="auto"/>
            <w:vAlign w:val="center"/>
            <w:hideMark/>
          </w:tcPr>
          <w:p w14:paraId="4F74D2A5" w14:textId="77777777" w:rsidR="00502FF2" w:rsidRPr="00502FF2" w:rsidRDefault="00502FF2" w:rsidP="00BF33E6">
            <w:pPr>
              <w:spacing w:after="0" w:line="360" w:lineRule="auto"/>
              <w:jc w:val="center"/>
              <w:rPr>
                <w:rFonts w:ascii="Tw Cen MT" w:eastAsia="Times New Roman" w:hAnsi="Tw Cen MT" w:cs="Times New Roman"/>
                <w:b/>
                <w:bCs/>
                <w:color w:val="000000"/>
                <w:sz w:val="20"/>
                <w:szCs w:val="20"/>
                <w:lang w:val="en-ID" w:eastAsia="en-ID"/>
              </w:rPr>
            </w:pPr>
            <w:r w:rsidRPr="00502FF2">
              <w:rPr>
                <w:rFonts w:ascii="Tw Cen MT" w:eastAsia="Times New Roman" w:hAnsi="Tw Cen MT" w:cs="Times New Roman"/>
                <w:b/>
                <w:bCs/>
                <w:color w:val="000000"/>
                <w:sz w:val="20"/>
                <w:szCs w:val="20"/>
                <w:lang w:eastAsia="en-ID"/>
              </w:rPr>
              <w:t>N</w:t>
            </w:r>
          </w:p>
        </w:tc>
        <w:tc>
          <w:tcPr>
            <w:tcW w:w="763" w:type="dxa"/>
            <w:tcBorders>
              <w:top w:val="single" w:sz="8" w:space="0" w:color="000000"/>
              <w:left w:val="nil"/>
              <w:bottom w:val="single" w:sz="8" w:space="0" w:color="000000"/>
              <w:right w:val="nil"/>
            </w:tcBorders>
            <w:shd w:val="clear" w:color="auto" w:fill="auto"/>
            <w:vAlign w:val="center"/>
            <w:hideMark/>
          </w:tcPr>
          <w:p w14:paraId="4FC1DEAE" w14:textId="77777777" w:rsidR="00502FF2" w:rsidRPr="00502FF2" w:rsidRDefault="00502FF2" w:rsidP="00BF33E6">
            <w:pPr>
              <w:spacing w:after="0" w:line="360" w:lineRule="auto"/>
              <w:jc w:val="center"/>
              <w:rPr>
                <w:rFonts w:ascii="Tw Cen MT" w:eastAsia="Times New Roman" w:hAnsi="Tw Cen MT" w:cs="Times New Roman"/>
                <w:b/>
                <w:bCs/>
                <w:color w:val="000000"/>
                <w:sz w:val="20"/>
                <w:szCs w:val="20"/>
                <w:lang w:val="en-ID" w:eastAsia="en-ID"/>
              </w:rPr>
            </w:pPr>
            <w:r w:rsidRPr="00502FF2">
              <w:rPr>
                <w:rFonts w:ascii="Tw Cen MT" w:eastAsia="Times New Roman" w:hAnsi="Tw Cen MT" w:cs="Times New Roman"/>
                <w:b/>
                <w:bCs/>
                <w:color w:val="000000"/>
                <w:sz w:val="20"/>
                <w:szCs w:val="20"/>
                <w:lang w:eastAsia="en-ID"/>
              </w:rPr>
              <w:t>p value</w:t>
            </w:r>
          </w:p>
        </w:tc>
      </w:tr>
      <w:tr w:rsidR="00502FF2" w:rsidRPr="00502FF2" w14:paraId="6FF2D495" w14:textId="77777777" w:rsidTr="00502FF2">
        <w:trPr>
          <w:trHeight w:val="344"/>
        </w:trPr>
        <w:tc>
          <w:tcPr>
            <w:tcW w:w="1636" w:type="dxa"/>
            <w:tcBorders>
              <w:top w:val="single" w:sz="8" w:space="0" w:color="000000"/>
              <w:left w:val="nil"/>
              <w:bottom w:val="single" w:sz="8" w:space="0" w:color="000000"/>
              <w:right w:val="nil"/>
            </w:tcBorders>
            <w:shd w:val="clear" w:color="auto" w:fill="auto"/>
            <w:vAlign w:val="center"/>
          </w:tcPr>
          <w:p w14:paraId="7C8181EF" w14:textId="77777777" w:rsidR="00502FF2" w:rsidRPr="00502FF2" w:rsidRDefault="00502FF2" w:rsidP="00BF33E6">
            <w:pPr>
              <w:spacing w:after="0" w:line="360" w:lineRule="auto"/>
              <w:jc w:val="center"/>
              <w:rPr>
                <w:rFonts w:ascii="Tw Cen MT" w:eastAsia="Times New Roman" w:hAnsi="Tw Cen MT" w:cs="Times New Roman"/>
                <w:b/>
                <w:bCs/>
                <w:color w:val="000000"/>
                <w:sz w:val="20"/>
                <w:szCs w:val="20"/>
                <w:lang w:eastAsia="en-ID"/>
              </w:rPr>
            </w:pPr>
          </w:p>
        </w:tc>
        <w:tc>
          <w:tcPr>
            <w:tcW w:w="1003" w:type="dxa"/>
            <w:tcBorders>
              <w:top w:val="single" w:sz="8" w:space="0" w:color="000000"/>
              <w:left w:val="nil"/>
              <w:bottom w:val="single" w:sz="8" w:space="0" w:color="000000"/>
              <w:right w:val="nil"/>
            </w:tcBorders>
            <w:shd w:val="clear" w:color="auto" w:fill="auto"/>
            <w:vAlign w:val="center"/>
          </w:tcPr>
          <w:p w14:paraId="0F629CA5" w14:textId="77777777" w:rsidR="00502FF2" w:rsidRPr="00502FF2" w:rsidRDefault="00502FF2" w:rsidP="00BF33E6">
            <w:pPr>
              <w:spacing w:after="0" w:line="360" w:lineRule="auto"/>
              <w:jc w:val="center"/>
              <w:rPr>
                <w:rFonts w:ascii="Tw Cen MT" w:eastAsia="Times New Roman" w:hAnsi="Tw Cen MT" w:cs="Times New Roman"/>
                <w:b/>
                <w:bCs/>
                <w:color w:val="000000"/>
                <w:sz w:val="20"/>
                <w:szCs w:val="20"/>
                <w:lang w:eastAsia="en-ID"/>
              </w:rPr>
            </w:pPr>
          </w:p>
        </w:tc>
        <w:tc>
          <w:tcPr>
            <w:tcW w:w="460" w:type="dxa"/>
            <w:tcBorders>
              <w:top w:val="single" w:sz="8" w:space="0" w:color="000000"/>
              <w:left w:val="nil"/>
              <w:bottom w:val="single" w:sz="8" w:space="0" w:color="000000"/>
              <w:right w:val="nil"/>
            </w:tcBorders>
            <w:shd w:val="clear" w:color="auto" w:fill="auto"/>
            <w:vAlign w:val="center"/>
          </w:tcPr>
          <w:p w14:paraId="5520324B" w14:textId="77777777" w:rsidR="00502FF2" w:rsidRPr="00502FF2" w:rsidRDefault="00502FF2" w:rsidP="00BF33E6">
            <w:pPr>
              <w:spacing w:after="0" w:line="360" w:lineRule="auto"/>
              <w:jc w:val="center"/>
              <w:rPr>
                <w:rFonts w:ascii="Tw Cen MT" w:eastAsia="Times New Roman" w:hAnsi="Tw Cen MT" w:cs="Times New Roman"/>
                <w:b/>
                <w:bCs/>
                <w:color w:val="000000"/>
                <w:sz w:val="20"/>
                <w:szCs w:val="20"/>
                <w:lang w:eastAsia="en-ID"/>
              </w:rPr>
            </w:pPr>
          </w:p>
        </w:tc>
        <w:tc>
          <w:tcPr>
            <w:tcW w:w="763" w:type="dxa"/>
            <w:tcBorders>
              <w:top w:val="single" w:sz="8" w:space="0" w:color="000000"/>
              <w:left w:val="nil"/>
              <w:bottom w:val="single" w:sz="8" w:space="0" w:color="000000"/>
              <w:right w:val="nil"/>
            </w:tcBorders>
            <w:shd w:val="clear" w:color="auto" w:fill="auto"/>
            <w:vAlign w:val="center"/>
          </w:tcPr>
          <w:p w14:paraId="4F36449B" w14:textId="77777777" w:rsidR="00502FF2" w:rsidRPr="00502FF2" w:rsidRDefault="00502FF2" w:rsidP="00BF33E6">
            <w:pPr>
              <w:spacing w:after="0" w:line="360" w:lineRule="auto"/>
              <w:jc w:val="center"/>
              <w:rPr>
                <w:rFonts w:ascii="Tw Cen MT" w:eastAsia="Times New Roman" w:hAnsi="Tw Cen MT" w:cs="Times New Roman"/>
                <w:b/>
                <w:bCs/>
                <w:color w:val="000000"/>
                <w:sz w:val="20"/>
                <w:szCs w:val="20"/>
                <w:lang w:eastAsia="en-ID"/>
              </w:rPr>
            </w:pPr>
          </w:p>
        </w:tc>
      </w:tr>
      <w:tr w:rsidR="00502FF2" w:rsidRPr="00502FF2" w14:paraId="57D532A1" w14:textId="77777777" w:rsidTr="00502FF2">
        <w:trPr>
          <w:trHeight w:val="329"/>
        </w:trPr>
        <w:tc>
          <w:tcPr>
            <w:tcW w:w="1636" w:type="dxa"/>
            <w:tcBorders>
              <w:top w:val="nil"/>
              <w:left w:val="nil"/>
              <w:bottom w:val="nil"/>
              <w:right w:val="nil"/>
            </w:tcBorders>
            <w:shd w:val="clear" w:color="auto" w:fill="auto"/>
            <w:vAlign w:val="center"/>
            <w:hideMark/>
          </w:tcPr>
          <w:p w14:paraId="214D4D98" w14:textId="77777777" w:rsidR="00502FF2" w:rsidRPr="00502FF2" w:rsidRDefault="00502FF2" w:rsidP="00BF33E6">
            <w:pPr>
              <w:spacing w:after="0" w:line="360" w:lineRule="auto"/>
              <w:jc w:val="both"/>
              <w:rPr>
                <w:rFonts w:ascii="Tw Cen MT" w:eastAsia="Times New Roman" w:hAnsi="Tw Cen MT" w:cs="Times New Roman"/>
                <w:b/>
                <w:bCs/>
                <w:i/>
                <w:iCs/>
                <w:color w:val="000000"/>
                <w:sz w:val="20"/>
                <w:szCs w:val="20"/>
                <w:lang w:val="en-ID" w:eastAsia="en-ID"/>
              </w:rPr>
            </w:pPr>
            <w:r w:rsidRPr="00502FF2">
              <w:rPr>
                <w:rFonts w:ascii="Tw Cen MT" w:eastAsia="Times New Roman" w:hAnsi="Tw Cen MT" w:cs="Times New Roman"/>
                <w:b/>
                <w:bCs/>
                <w:i/>
                <w:iCs/>
                <w:color w:val="000000"/>
                <w:sz w:val="20"/>
                <w:szCs w:val="20"/>
                <w:lang w:eastAsia="en-ID"/>
              </w:rPr>
              <w:t xml:space="preserve">Protrombin Time </w:t>
            </w:r>
            <w:r w:rsidRPr="00502FF2">
              <w:rPr>
                <w:rFonts w:ascii="Tw Cen MT" w:eastAsia="Times New Roman" w:hAnsi="Tw Cen MT" w:cs="Times New Roman"/>
                <w:b/>
                <w:bCs/>
                <w:color w:val="000000"/>
                <w:sz w:val="20"/>
                <w:szCs w:val="20"/>
                <w:lang w:eastAsia="en-ID"/>
              </w:rPr>
              <w:t>(PT)</w:t>
            </w:r>
          </w:p>
        </w:tc>
        <w:tc>
          <w:tcPr>
            <w:tcW w:w="1003" w:type="dxa"/>
            <w:tcBorders>
              <w:top w:val="nil"/>
              <w:left w:val="nil"/>
              <w:bottom w:val="nil"/>
              <w:right w:val="nil"/>
            </w:tcBorders>
            <w:shd w:val="clear" w:color="auto" w:fill="auto"/>
            <w:vAlign w:val="center"/>
            <w:hideMark/>
          </w:tcPr>
          <w:p w14:paraId="2DA692F1" w14:textId="77777777" w:rsidR="00502FF2" w:rsidRPr="00502FF2" w:rsidRDefault="00502FF2" w:rsidP="00BF33E6">
            <w:pPr>
              <w:spacing w:after="0" w:line="360" w:lineRule="auto"/>
              <w:jc w:val="both"/>
              <w:rPr>
                <w:rFonts w:ascii="Tw Cen MT" w:eastAsia="Times New Roman" w:hAnsi="Tw Cen MT" w:cs="Times New Roman"/>
                <w:b/>
                <w:bCs/>
                <w:i/>
                <w:iCs/>
                <w:color w:val="000000"/>
                <w:sz w:val="20"/>
                <w:szCs w:val="20"/>
                <w:lang w:val="en-ID" w:eastAsia="en-ID"/>
              </w:rPr>
            </w:pPr>
          </w:p>
        </w:tc>
        <w:tc>
          <w:tcPr>
            <w:tcW w:w="460" w:type="dxa"/>
            <w:tcBorders>
              <w:top w:val="nil"/>
              <w:left w:val="nil"/>
              <w:bottom w:val="nil"/>
              <w:right w:val="nil"/>
            </w:tcBorders>
            <w:shd w:val="clear" w:color="auto" w:fill="auto"/>
            <w:vAlign w:val="center"/>
            <w:hideMark/>
          </w:tcPr>
          <w:p w14:paraId="6A5FEF68" w14:textId="77777777" w:rsidR="00502FF2" w:rsidRPr="00502FF2" w:rsidRDefault="00502FF2" w:rsidP="00BF33E6">
            <w:pPr>
              <w:spacing w:after="0" w:line="360" w:lineRule="auto"/>
              <w:rPr>
                <w:rFonts w:ascii="Tw Cen MT" w:eastAsia="Times New Roman" w:hAnsi="Tw Cen MT" w:cs="Times New Roman"/>
                <w:sz w:val="20"/>
                <w:szCs w:val="20"/>
                <w:lang w:val="en-ID" w:eastAsia="en-ID"/>
              </w:rPr>
            </w:pPr>
          </w:p>
        </w:tc>
        <w:tc>
          <w:tcPr>
            <w:tcW w:w="763" w:type="dxa"/>
            <w:tcBorders>
              <w:top w:val="nil"/>
              <w:left w:val="nil"/>
              <w:bottom w:val="nil"/>
              <w:right w:val="nil"/>
            </w:tcBorders>
            <w:shd w:val="clear" w:color="auto" w:fill="auto"/>
            <w:vAlign w:val="center"/>
            <w:hideMark/>
          </w:tcPr>
          <w:p w14:paraId="7D704A09" w14:textId="77777777" w:rsidR="00502FF2" w:rsidRPr="00502FF2" w:rsidRDefault="00502FF2" w:rsidP="00BF33E6">
            <w:pPr>
              <w:spacing w:after="0" w:line="360" w:lineRule="auto"/>
              <w:rPr>
                <w:rFonts w:ascii="Tw Cen MT" w:eastAsia="Times New Roman" w:hAnsi="Tw Cen MT" w:cs="Times New Roman"/>
                <w:sz w:val="20"/>
                <w:szCs w:val="20"/>
                <w:lang w:val="en-ID" w:eastAsia="en-ID"/>
              </w:rPr>
            </w:pPr>
          </w:p>
        </w:tc>
      </w:tr>
      <w:tr w:rsidR="00502FF2" w:rsidRPr="00502FF2" w14:paraId="122CE070" w14:textId="77777777" w:rsidTr="00502FF2">
        <w:trPr>
          <w:trHeight w:val="329"/>
        </w:trPr>
        <w:tc>
          <w:tcPr>
            <w:tcW w:w="1636" w:type="dxa"/>
            <w:tcBorders>
              <w:top w:val="nil"/>
              <w:left w:val="nil"/>
              <w:bottom w:val="nil"/>
              <w:right w:val="nil"/>
            </w:tcBorders>
            <w:shd w:val="clear" w:color="auto" w:fill="auto"/>
            <w:vAlign w:val="center"/>
            <w:hideMark/>
          </w:tcPr>
          <w:p w14:paraId="290431F7" w14:textId="77777777" w:rsidR="00502FF2" w:rsidRPr="00502FF2" w:rsidRDefault="00502FF2" w:rsidP="00BF33E6">
            <w:pPr>
              <w:spacing w:after="0" w:line="360" w:lineRule="auto"/>
              <w:jc w:val="both"/>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sebelum penggunaan UFH</w:t>
            </w:r>
          </w:p>
        </w:tc>
        <w:tc>
          <w:tcPr>
            <w:tcW w:w="1003" w:type="dxa"/>
            <w:tcBorders>
              <w:top w:val="nil"/>
              <w:left w:val="nil"/>
              <w:bottom w:val="nil"/>
              <w:right w:val="nil"/>
            </w:tcBorders>
            <w:shd w:val="clear" w:color="auto" w:fill="auto"/>
            <w:vAlign w:val="center"/>
            <w:hideMark/>
          </w:tcPr>
          <w:p w14:paraId="20FDA4A7" w14:textId="57DD4501"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 xml:space="preserve">15,6 ± </w:t>
            </w:r>
            <w:r w:rsidR="00803C6E">
              <w:rPr>
                <w:rFonts w:ascii="Tw Cen MT" w:eastAsia="Times New Roman" w:hAnsi="Tw Cen MT" w:cs="Times New Roman"/>
                <w:color w:val="000000"/>
                <w:sz w:val="20"/>
                <w:szCs w:val="20"/>
                <w:lang w:eastAsia="en-ID"/>
              </w:rPr>
              <w:t>1</w:t>
            </w:r>
            <w:r w:rsidRPr="00502FF2">
              <w:rPr>
                <w:rFonts w:ascii="Tw Cen MT" w:eastAsia="Times New Roman" w:hAnsi="Tw Cen MT" w:cs="Times New Roman"/>
                <w:color w:val="000000"/>
                <w:sz w:val="20"/>
                <w:szCs w:val="20"/>
                <w:lang w:eastAsia="en-ID"/>
              </w:rPr>
              <w:t>2,6</w:t>
            </w:r>
          </w:p>
        </w:tc>
        <w:tc>
          <w:tcPr>
            <w:tcW w:w="460" w:type="dxa"/>
            <w:tcBorders>
              <w:top w:val="nil"/>
              <w:left w:val="nil"/>
              <w:bottom w:val="nil"/>
              <w:right w:val="nil"/>
            </w:tcBorders>
            <w:shd w:val="clear" w:color="auto" w:fill="auto"/>
            <w:vAlign w:val="center"/>
            <w:hideMark/>
          </w:tcPr>
          <w:p w14:paraId="3DA25EEE" w14:textId="77777777"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56</w:t>
            </w:r>
          </w:p>
        </w:tc>
        <w:tc>
          <w:tcPr>
            <w:tcW w:w="763" w:type="dxa"/>
            <w:vMerge w:val="restart"/>
            <w:tcBorders>
              <w:top w:val="nil"/>
              <w:left w:val="nil"/>
              <w:bottom w:val="nil"/>
              <w:right w:val="nil"/>
            </w:tcBorders>
            <w:shd w:val="clear" w:color="auto" w:fill="auto"/>
            <w:vAlign w:val="center"/>
            <w:hideMark/>
          </w:tcPr>
          <w:p w14:paraId="19209626" w14:textId="77777777"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0,615</w:t>
            </w:r>
          </w:p>
        </w:tc>
      </w:tr>
      <w:tr w:rsidR="00502FF2" w:rsidRPr="00502FF2" w14:paraId="2B95504B" w14:textId="77777777" w:rsidTr="00502FF2">
        <w:trPr>
          <w:trHeight w:val="329"/>
        </w:trPr>
        <w:tc>
          <w:tcPr>
            <w:tcW w:w="1636" w:type="dxa"/>
            <w:tcBorders>
              <w:top w:val="nil"/>
              <w:left w:val="nil"/>
              <w:bottom w:val="nil"/>
              <w:right w:val="nil"/>
            </w:tcBorders>
            <w:shd w:val="clear" w:color="auto" w:fill="auto"/>
            <w:vAlign w:val="center"/>
            <w:hideMark/>
          </w:tcPr>
          <w:p w14:paraId="5EAAD7BE" w14:textId="77777777" w:rsidR="00502FF2" w:rsidRPr="00502FF2" w:rsidRDefault="00502FF2" w:rsidP="00BF33E6">
            <w:pPr>
              <w:spacing w:after="0" w:line="360" w:lineRule="auto"/>
              <w:jc w:val="both"/>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setelah penggunaan UFH</w:t>
            </w:r>
          </w:p>
        </w:tc>
        <w:tc>
          <w:tcPr>
            <w:tcW w:w="1003" w:type="dxa"/>
            <w:tcBorders>
              <w:top w:val="nil"/>
              <w:left w:val="nil"/>
              <w:bottom w:val="nil"/>
              <w:right w:val="nil"/>
            </w:tcBorders>
            <w:shd w:val="clear" w:color="auto" w:fill="auto"/>
            <w:vAlign w:val="center"/>
            <w:hideMark/>
          </w:tcPr>
          <w:p w14:paraId="5B23708F" w14:textId="77777777"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14,1 ± 10,5</w:t>
            </w:r>
          </w:p>
        </w:tc>
        <w:tc>
          <w:tcPr>
            <w:tcW w:w="460" w:type="dxa"/>
            <w:tcBorders>
              <w:top w:val="nil"/>
              <w:left w:val="nil"/>
              <w:bottom w:val="nil"/>
              <w:right w:val="nil"/>
            </w:tcBorders>
            <w:shd w:val="clear" w:color="auto" w:fill="auto"/>
            <w:vAlign w:val="center"/>
            <w:hideMark/>
          </w:tcPr>
          <w:p w14:paraId="79A2044C" w14:textId="77777777"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56</w:t>
            </w:r>
          </w:p>
        </w:tc>
        <w:tc>
          <w:tcPr>
            <w:tcW w:w="763" w:type="dxa"/>
            <w:vMerge/>
            <w:tcBorders>
              <w:top w:val="nil"/>
              <w:left w:val="nil"/>
              <w:bottom w:val="nil"/>
              <w:right w:val="nil"/>
            </w:tcBorders>
            <w:vAlign w:val="center"/>
            <w:hideMark/>
          </w:tcPr>
          <w:p w14:paraId="578BDC75" w14:textId="77777777" w:rsidR="00502FF2" w:rsidRPr="00502FF2" w:rsidRDefault="00502FF2" w:rsidP="00BF33E6">
            <w:pPr>
              <w:spacing w:after="0" w:line="360" w:lineRule="auto"/>
              <w:rPr>
                <w:rFonts w:ascii="Tw Cen MT" w:eastAsia="Times New Roman" w:hAnsi="Tw Cen MT" w:cs="Times New Roman"/>
                <w:color w:val="000000"/>
                <w:sz w:val="20"/>
                <w:szCs w:val="20"/>
                <w:lang w:val="en-ID" w:eastAsia="en-ID"/>
              </w:rPr>
            </w:pPr>
          </w:p>
        </w:tc>
      </w:tr>
      <w:tr w:rsidR="00502FF2" w:rsidRPr="00502FF2" w14:paraId="10E2B2DC" w14:textId="77777777" w:rsidTr="00502FF2">
        <w:trPr>
          <w:trHeight w:val="329"/>
        </w:trPr>
        <w:tc>
          <w:tcPr>
            <w:tcW w:w="1636" w:type="dxa"/>
            <w:tcBorders>
              <w:top w:val="nil"/>
              <w:left w:val="nil"/>
              <w:bottom w:val="nil"/>
              <w:right w:val="nil"/>
            </w:tcBorders>
            <w:shd w:val="clear" w:color="auto" w:fill="auto"/>
            <w:vAlign w:val="center"/>
            <w:hideMark/>
          </w:tcPr>
          <w:p w14:paraId="1A361448" w14:textId="77777777" w:rsidR="00502FF2" w:rsidRPr="00502FF2" w:rsidRDefault="00502FF2" w:rsidP="00BF33E6">
            <w:pPr>
              <w:spacing w:after="0" w:line="360" w:lineRule="auto"/>
              <w:jc w:val="both"/>
              <w:rPr>
                <w:rFonts w:ascii="Tw Cen MT" w:eastAsia="Times New Roman" w:hAnsi="Tw Cen MT" w:cs="Times New Roman"/>
                <w:b/>
                <w:bCs/>
                <w:i/>
                <w:iCs/>
                <w:color w:val="000000"/>
                <w:sz w:val="20"/>
                <w:szCs w:val="20"/>
                <w:lang w:eastAsia="en-ID"/>
              </w:rPr>
            </w:pPr>
          </w:p>
          <w:p w14:paraId="27B4C920" w14:textId="77777777" w:rsidR="00502FF2" w:rsidRPr="00502FF2" w:rsidRDefault="00502FF2" w:rsidP="00BF33E6">
            <w:pPr>
              <w:spacing w:after="0" w:line="360" w:lineRule="auto"/>
              <w:jc w:val="both"/>
              <w:rPr>
                <w:rFonts w:ascii="Tw Cen MT" w:eastAsia="Times New Roman" w:hAnsi="Tw Cen MT" w:cs="Times New Roman"/>
                <w:b/>
                <w:bCs/>
                <w:i/>
                <w:iCs/>
                <w:color w:val="000000"/>
                <w:sz w:val="20"/>
                <w:szCs w:val="20"/>
                <w:lang w:val="en-ID" w:eastAsia="en-ID"/>
              </w:rPr>
            </w:pPr>
            <w:r w:rsidRPr="00502FF2">
              <w:rPr>
                <w:rFonts w:ascii="Tw Cen MT" w:eastAsia="Times New Roman" w:hAnsi="Tw Cen MT" w:cs="Times New Roman"/>
                <w:b/>
                <w:bCs/>
                <w:i/>
                <w:iCs/>
                <w:color w:val="000000"/>
                <w:sz w:val="20"/>
                <w:szCs w:val="20"/>
                <w:lang w:eastAsia="en-ID"/>
              </w:rPr>
              <w:t xml:space="preserve">Protrombin Time </w:t>
            </w:r>
            <w:r w:rsidRPr="00502FF2">
              <w:rPr>
                <w:rFonts w:ascii="Tw Cen MT" w:eastAsia="Times New Roman" w:hAnsi="Tw Cen MT" w:cs="Times New Roman"/>
                <w:b/>
                <w:bCs/>
                <w:color w:val="000000"/>
                <w:sz w:val="20"/>
                <w:szCs w:val="20"/>
                <w:lang w:eastAsia="en-ID"/>
              </w:rPr>
              <w:t>(PT)</w:t>
            </w:r>
          </w:p>
        </w:tc>
        <w:tc>
          <w:tcPr>
            <w:tcW w:w="1003" w:type="dxa"/>
            <w:tcBorders>
              <w:top w:val="nil"/>
              <w:left w:val="nil"/>
              <w:bottom w:val="nil"/>
              <w:right w:val="nil"/>
            </w:tcBorders>
            <w:shd w:val="clear" w:color="auto" w:fill="auto"/>
            <w:vAlign w:val="center"/>
            <w:hideMark/>
          </w:tcPr>
          <w:p w14:paraId="5D94A897" w14:textId="77777777" w:rsidR="00502FF2" w:rsidRPr="00502FF2" w:rsidRDefault="00502FF2" w:rsidP="00BF33E6">
            <w:pPr>
              <w:spacing w:after="0" w:line="360" w:lineRule="auto"/>
              <w:jc w:val="both"/>
              <w:rPr>
                <w:rFonts w:ascii="Tw Cen MT" w:eastAsia="Times New Roman" w:hAnsi="Tw Cen MT" w:cs="Times New Roman"/>
                <w:b/>
                <w:bCs/>
                <w:i/>
                <w:iCs/>
                <w:color w:val="000000"/>
                <w:sz w:val="20"/>
                <w:szCs w:val="20"/>
                <w:lang w:val="en-ID" w:eastAsia="en-ID"/>
              </w:rPr>
            </w:pPr>
          </w:p>
        </w:tc>
        <w:tc>
          <w:tcPr>
            <w:tcW w:w="460" w:type="dxa"/>
            <w:tcBorders>
              <w:top w:val="nil"/>
              <w:left w:val="nil"/>
              <w:bottom w:val="nil"/>
              <w:right w:val="nil"/>
            </w:tcBorders>
            <w:shd w:val="clear" w:color="auto" w:fill="auto"/>
            <w:vAlign w:val="center"/>
            <w:hideMark/>
          </w:tcPr>
          <w:p w14:paraId="2B148C23" w14:textId="77777777" w:rsidR="00502FF2" w:rsidRPr="00502FF2" w:rsidRDefault="00502FF2" w:rsidP="00BF33E6">
            <w:pPr>
              <w:spacing w:after="0" w:line="360" w:lineRule="auto"/>
              <w:rPr>
                <w:rFonts w:ascii="Tw Cen MT" w:eastAsia="Times New Roman" w:hAnsi="Tw Cen MT" w:cs="Times New Roman"/>
                <w:sz w:val="20"/>
                <w:szCs w:val="20"/>
                <w:lang w:val="en-ID" w:eastAsia="en-ID"/>
              </w:rPr>
            </w:pPr>
          </w:p>
        </w:tc>
        <w:tc>
          <w:tcPr>
            <w:tcW w:w="763" w:type="dxa"/>
            <w:tcBorders>
              <w:top w:val="nil"/>
              <w:left w:val="nil"/>
              <w:bottom w:val="nil"/>
              <w:right w:val="nil"/>
            </w:tcBorders>
            <w:shd w:val="clear" w:color="auto" w:fill="auto"/>
            <w:vAlign w:val="center"/>
            <w:hideMark/>
          </w:tcPr>
          <w:p w14:paraId="4E50E80A" w14:textId="77777777" w:rsidR="00502FF2" w:rsidRPr="00502FF2" w:rsidRDefault="00502FF2" w:rsidP="00BF33E6">
            <w:pPr>
              <w:spacing w:after="0" w:line="360" w:lineRule="auto"/>
              <w:rPr>
                <w:rFonts w:ascii="Tw Cen MT" w:eastAsia="Times New Roman" w:hAnsi="Tw Cen MT" w:cs="Times New Roman"/>
                <w:sz w:val="20"/>
                <w:szCs w:val="20"/>
                <w:lang w:val="en-ID" w:eastAsia="en-ID"/>
              </w:rPr>
            </w:pPr>
          </w:p>
        </w:tc>
      </w:tr>
      <w:tr w:rsidR="00502FF2" w:rsidRPr="00502FF2" w14:paraId="03AAF066" w14:textId="77777777" w:rsidTr="00502FF2">
        <w:trPr>
          <w:trHeight w:val="329"/>
        </w:trPr>
        <w:tc>
          <w:tcPr>
            <w:tcW w:w="1636" w:type="dxa"/>
            <w:tcBorders>
              <w:top w:val="nil"/>
              <w:left w:val="nil"/>
              <w:bottom w:val="nil"/>
              <w:right w:val="nil"/>
            </w:tcBorders>
            <w:shd w:val="clear" w:color="auto" w:fill="auto"/>
            <w:vAlign w:val="center"/>
            <w:hideMark/>
          </w:tcPr>
          <w:p w14:paraId="63F452A0" w14:textId="77777777" w:rsidR="00502FF2" w:rsidRPr="00502FF2" w:rsidRDefault="00502FF2" w:rsidP="00BF33E6">
            <w:pPr>
              <w:spacing w:after="0" w:line="360" w:lineRule="auto"/>
              <w:jc w:val="both"/>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sebelum penggunaan LMWH</w:t>
            </w:r>
          </w:p>
        </w:tc>
        <w:tc>
          <w:tcPr>
            <w:tcW w:w="1003" w:type="dxa"/>
            <w:tcBorders>
              <w:top w:val="nil"/>
              <w:left w:val="nil"/>
              <w:bottom w:val="nil"/>
              <w:right w:val="nil"/>
            </w:tcBorders>
            <w:shd w:val="clear" w:color="auto" w:fill="auto"/>
            <w:vAlign w:val="center"/>
            <w:hideMark/>
          </w:tcPr>
          <w:p w14:paraId="2F12A083" w14:textId="77777777"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14,5 ± 8,0</w:t>
            </w:r>
          </w:p>
        </w:tc>
        <w:tc>
          <w:tcPr>
            <w:tcW w:w="460" w:type="dxa"/>
            <w:tcBorders>
              <w:top w:val="nil"/>
              <w:left w:val="nil"/>
              <w:bottom w:val="nil"/>
              <w:right w:val="nil"/>
            </w:tcBorders>
            <w:shd w:val="clear" w:color="auto" w:fill="auto"/>
            <w:vAlign w:val="center"/>
            <w:hideMark/>
          </w:tcPr>
          <w:p w14:paraId="78A49A01" w14:textId="77777777"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16</w:t>
            </w:r>
          </w:p>
        </w:tc>
        <w:tc>
          <w:tcPr>
            <w:tcW w:w="763" w:type="dxa"/>
            <w:vMerge w:val="restart"/>
            <w:tcBorders>
              <w:top w:val="nil"/>
              <w:left w:val="nil"/>
              <w:bottom w:val="single" w:sz="8" w:space="0" w:color="000000"/>
              <w:right w:val="nil"/>
            </w:tcBorders>
            <w:shd w:val="clear" w:color="auto" w:fill="auto"/>
            <w:vAlign w:val="center"/>
            <w:hideMark/>
          </w:tcPr>
          <w:p w14:paraId="5DB4FF17" w14:textId="77777777"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0,717</w:t>
            </w:r>
          </w:p>
        </w:tc>
      </w:tr>
      <w:tr w:rsidR="00502FF2" w:rsidRPr="00502FF2" w14:paraId="16A44CCD" w14:textId="77777777" w:rsidTr="00502FF2">
        <w:trPr>
          <w:trHeight w:val="344"/>
        </w:trPr>
        <w:tc>
          <w:tcPr>
            <w:tcW w:w="1636" w:type="dxa"/>
            <w:tcBorders>
              <w:top w:val="nil"/>
              <w:left w:val="nil"/>
              <w:bottom w:val="single" w:sz="8" w:space="0" w:color="auto"/>
              <w:right w:val="nil"/>
            </w:tcBorders>
            <w:shd w:val="clear" w:color="auto" w:fill="auto"/>
            <w:vAlign w:val="center"/>
            <w:hideMark/>
          </w:tcPr>
          <w:p w14:paraId="4FD520C4" w14:textId="77777777" w:rsidR="00502FF2" w:rsidRPr="00502FF2" w:rsidRDefault="00502FF2" w:rsidP="00BF33E6">
            <w:pPr>
              <w:spacing w:after="0" w:line="360" w:lineRule="auto"/>
              <w:jc w:val="both"/>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setelah penggunaan LMWH</w:t>
            </w:r>
          </w:p>
        </w:tc>
        <w:tc>
          <w:tcPr>
            <w:tcW w:w="1003" w:type="dxa"/>
            <w:tcBorders>
              <w:top w:val="nil"/>
              <w:left w:val="nil"/>
              <w:bottom w:val="single" w:sz="8" w:space="0" w:color="auto"/>
              <w:right w:val="nil"/>
            </w:tcBorders>
            <w:shd w:val="clear" w:color="auto" w:fill="auto"/>
            <w:vAlign w:val="center"/>
            <w:hideMark/>
          </w:tcPr>
          <w:p w14:paraId="3E56E362" w14:textId="77777777"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15,1 ± 12,6</w:t>
            </w:r>
          </w:p>
        </w:tc>
        <w:tc>
          <w:tcPr>
            <w:tcW w:w="460" w:type="dxa"/>
            <w:tcBorders>
              <w:top w:val="nil"/>
              <w:left w:val="nil"/>
              <w:bottom w:val="single" w:sz="8" w:space="0" w:color="auto"/>
              <w:right w:val="nil"/>
            </w:tcBorders>
            <w:shd w:val="clear" w:color="auto" w:fill="auto"/>
            <w:vAlign w:val="center"/>
            <w:hideMark/>
          </w:tcPr>
          <w:p w14:paraId="265DFAD3" w14:textId="77777777" w:rsidR="00502FF2" w:rsidRPr="00502FF2" w:rsidRDefault="00502FF2" w:rsidP="00BF33E6">
            <w:pPr>
              <w:spacing w:after="0" w:line="360" w:lineRule="auto"/>
              <w:jc w:val="center"/>
              <w:rPr>
                <w:rFonts w:ascii="Tw Cen MT" w:eastAsia="Times New Roman" w:hAnsi="Tw Cen MT" w:cs="Times New Roman"/>
                <w:color w:val="000000"/>
                <w:sz w:val="20"/>
                <w:szCs w:val="20"/>
                <w:lang w:val="en-ID" w:eastAsia="en-ID"/>
              </w:rPr>
            </w:pPr>
            <w:r w:rsidRPr="00502FF2">
              <w:rPr>
                <w:rFonts w:ascii="Tw Cen MT" w:eastAsia="Times New Roman" w:hAnsi="Tw Cen MT" w:cs="Times New Roman"/>
                <w:color w:val="000000"/>
                <w:sz w:val="20"/>
                <w:szCs w:val="20"/>
                <w:lang w:eastAsia="en-ID"/>
              </w:rPr>
              <w:t>16</w:t>
            </w:r>
          </w:p>
        </w:tc>
        <w:tc>
          <w:tcPr>
            <w:tcW w:w="763" w:type="dxa"/>
            <w:vMerge/>
            <w:tcBorders>
              <w:top w:val="nil"/>
              <w:left w:val="nil"/>
              <w:bottom w:val="single" w:sz="8" w:space="0" w:color="000000"/>
              <w:right w:val="nil"/>
            </w:tcBorders>
            <w:vAlign w:val="center"/>
            <w:hideMark/>
          </w:tcPr>
          <w:p w14:paraId="7E6C2A6B" w14:textId="77777777" w:rsidR="00502FF2" w:rsidRPr="00502FF2" w:rsidRDefault="00502FF2" w:rsidP="00BF33E6">
            <w:pPr>
              <w:spacing w:after="0" w:line="360" w:lineRule="auto"/>
              <w:rPr>
                <w:rFonts w:ascii="Tw Cen MT" w:eastAsia="Times New Roman" w:hAnsi="Tw Cen MT" w:cs="Times New Roman"/>
                <w:color w:val="000000"/>
                <w:sz w:val="20"/>
                <w:szCs w:val="20"/>
                <w:lang w:val="en-ID" w:eastAsia="en-ID"/>
              </w:rPr>
            </w:pPr>
          </w:p>
        </w:tc>
      </w:tr>
      <w:bookmarkEnd w:id="15"/>
    </w:tbl>
    <w:p w14:paraId="1DCD10AF" w14:textId="77777777" w:rsidR="00502FF2" w:rsidRPr="00575E5B" w:rsidRDefault="00502FF2" w:rsidP="00575E5B">
      <w:pPr>
        <w:spacing w:line="240" w:lineRule="auto"/>
        <w:rPr>
          <w:rFonts w:ascii="Tw Cen MT" w:hAnsi="Tw Cen MT"/>
          <w:b/>
          <w:sz w:val="20"/>
          <w:szCs w:val="20"/>
        </w:rPr>
      </w:pPr>
    </w:p>
    <w:p w14:paraId="3473A66F" w14:textId="7EB0A8AC" w:rsidR="00575E5B" w:rsidRPr="00575E5B" w:rsidRDefault="00575E5B" w:rsidP="00575E5B">
      <w:pPr>
        <w:widowControl w:val="0"/>
        <w:autoSpaceDE w:val="0"/>
        <w:autoSpaceDN w:val="0"/>
        <w:adjustRightInd w:val="0"/>
        <w:spacing w:line="240" w:lineRule="auto"/>
        <w:ind w:firstLine="720"/>
        <w:jc w:val="both"/>
        <w:rPr>
          <w:rFonts w:ascii="Tw Cen MT" w:hAnsi="Tw Cen MT" w:cs="Times New Roman"/>
          <w:sz w:val="24"/>
          <w:szCs w:val="24"/>
        </w:rPr>
      </w:pPr>
      <w:r w:rsidRPr="00575E5B">
        <w:rPr>
          <w:rFonts w:ascii="Tw Cen MT" w:hAnsi="Tw Cen MT" w:cs="Times New Roman"/>
          <w:sz w:val="24"/>
          <w:szCs w:val="24"/>
        </w:rPr>
        <w:t>Hasil uji statistic dengan Wilcoxon yang dilakukan pada data PT pada kedua kelompo</w:t>
      </w:r>
      <w:r w:rsidR="00502FF2">
        <w:rPr>
          <w:rFonts w:ascii="Tw Cen MT" w:hAnsi="Tw Cen MT" w:cs="Times New Roman"/>
          <w:sz w:val="24"/>
          <w:szCs w:val="24"/>
        </w:rPr>
        <w:t xml:space="preserve">k </w:t>
      </w:r>
      <w:r w:rsidRPr="00575E5B">
        <w:rPr>
          <w:rFonts w:ascii="Tw Cen MT" w:hAnsi="Tw Cen MT" w:cs="Times New Roman"/>
          <w:sz w:val="24"/>
          <w:szCs w:val="24"/>
        </w:rPr>
        <w:t xml:space="preserve">subjek penelitian didapatkan nilai p&gt;0,05 yang berarti dapat disimpulkan tidak ada pengaruh yang signifikan penggunaan antikoagulan UFH dan LMWH dosis profilaksis terhadap </w:t>
      </w:r>
      <w:r w:rsidRPr="00575E5B">
        <w:rPr>
          <w:rFonts w:ascii="Tw Cen MT" w:hAnsi="Tw Cen MT" w:cs="Times New Roman"/>
          <w:i/>
          <w:sz w:val="24"/>
          <w:szCs w:val="24"/>
        </w:rPr>
        <w:t xml:space="preserve">Protrombin Time </w:t>
      </w:r>
      <w:r w:rsidRPr="00575E5B">
        <w:rPr>
          <w:rFonts w:ascii="Tw Cen MT" w:hAnsi="Tw Cen MT" w:cs="Times New Roman"/>
          <w:sz w:val="24"/>
          <w:szCs w:val="24"/>
        </w:rPr>
        <w:t>(PT) pasien Covid-19 dengan komorbid diabetes mellitus.</w:t>
      </w:r>
    </w:p>
    <w:p w14:paraId="53C4D21B" w14:textId="77777777" w:rsidR="00575E5B" w:rsidRDefault="00575E5B" w:rsidP="00575E5B">
      <w:pPr>
        <w:widowControl w:val="0"/>
        <w:autoSpaceDE w:val="0"/>
        <w:autoSpaceDN w:val="0"/>
        <w:adjustRightInd w:val="0"/>
        <w:spacing w:line="240" w:lineRule="auto"/>
        <w:ind w:firstLine="720"/>
        <w:jc w:val="both"/>
        <w:rPr>
          <w:rFonts w:ascii="Tw Cen MT" w:hAnsi="Tw Cen MT" w:cs="Times New Roman"/>
          <w:sz w:val="24"/>
          <w:szCs w:val="24"/>
        </w:rPr>
      </w:pPr>
      <w:r w:rsidRPr="00575E5B">
        <w:rPr>
          <w:rFonts w:ascii="Tw Cen MT" w:hAnsi="Tw Cen MT" w:cs="Times New Roman"/>
          <w:i/>
          <w:iCs/>
          <w:sz w:val="24"/>
          <w:szCs w:val="24"/>
        </w:rPr>
        <w:t>Prothrombin Time</w:t>
      </w:r>
      <w:r w:rsidRPr="00575E5B">
        <w:rPr>
          <w:rFonts w:ascii="Tw Cen MT" w:hAnsi="Tw Cen MT" w:cs="Times New Roman"/>
          <w:sz w:val="24"/>
          <w:szCs w:val="24"/>
        </w:rPr>
        <w:t xml:space="preserve"> (PT) adalah prekusor tidak aktif dalam proses pembekuan darah. </w:t>
      </w:r>
      <w:r w:rsidRPr="00575E5B">
        <w:rPr>
          <w:rFonts w:ascii="Tw Cen MT" w:hAnsi="Tw Cen MT" w:cs="Times New Roman"/>
          <w:color w:val="202124"/>
          <w:sz w:val="24"/>
          <w:szCs w:val="24"/>
          <w:shd w:val="clear" w:color="auto" w:fill="FFFFFF"/>
        </w:rPr>
        <w:t xml:space="preserve">Prothrombin dikonversi menjadi trombin oleh tromboplastin yang diperlukan untuk membentuk bekuan darah. </w:t>
      </w:r>
      <w:r w:rsidRPr="00575E5B">
        <w:rPr>
          <w:rFonts w:ascii="Tw Cen MT" w:hAnsi="Tw Cen MT" w:cs="Times New Roman"/>
          <w:sz w:val="24"/>
          <w:szCs w:val="24"/>
        </w:rPr>
        <w:t>Prinsip pemeriksaan waktu protrombin adalah mengukur lamanya waktu yang dibutuhkan dalam detik untuk pembentukkan fibrin dari plasma sitrat, setelah penambahan tromboplastin jaringan dan ion Ca dalam jumlah optimal (</w:t>
      </w:r>
      <w:commentRangeStart w:id="16"/>
      <w:r w:rsidRPr="00575E5B">
        <w:rPr>
          <w:rFonts w:ascii="Tw Cen MT" w:hAnsi="Tw Cen MT" w:cs="Times New Roman"/>
          <w:sz w:val="24"/>
          <w:szCs w:val="24"/>
        </w:rPr>
        <w:t xml:space="preserve">Kamal A, </w:t>
      </w:r>
      <w:r w:rsidRPr="00575E5B">
        <w:rPr>
          <w:rFonts w:ascii="Tw Cen MT" w:hAnsi="Tw Cen MT" w:cs="Times New Roman"/>
          <w:i/>
          <w:iCs/>
          <w:sz w:val="24"/>
          <w:szCs w:val="24"/>
        </w:rPr>
        <w:t>et.al</w:t>
      </w:r>
      <w:r w:rsidRPr="00575E5B">
        <w:rPr>
          <w:rFonts w:ascii="Tw Cen MT" w:hAnsi="Tw Cen MT" w:cs="Times New Roman"/>
          <w:sz w:val="24"/>
          <w:szCs w:val="24"/>
        </w:rPr>
        <w:t xml:space="preserve">,2007). </w:t>
      </w:r>
      <w:commentRangeEnd w:id="16"/>
      <w:r w:rsidR="006E2E3E">
        <w:rPr>
          <w:rStyle w:val="CommentReference"/>
        </w:rPr>
        <w:commentReference w:id="16"/>
      </w:r>
      <w:r w:rsidRPr="00575E5B">
        <w:rPr>
          <w:rFonts w:ascii="Tw Cen MT" w:hAnsi="Tw Cen MT" w:cs="Times New Roman"/>
          <w:sz w:val="24"/>
          <w:szCs w:val="24"/>
        </w:rPr>
        <w:t xml:space="preserve">Dalamkaskade koagulasi PT berada dijalur ekstrinsik, disini factor koagulasi yang terlibat adalah factor II, V,VII dan X. PT memanjang jika terjadi defisiensi pada factor koagulasi tersebut. </w:t>
      </w:r>
      <w:r w:rsidRPr="00575E5B">
        <w:rPr>
          <w:rFonts w:ascii="Tw Cen MT" w:hAnsi="Tw Cen MT" w:cs="Times New Roman"/>
          <w:color w:val="202124"/>
          <w:sz w:val="24"/>
          <w:szCs w:val="24"/>
          <w:shd w:val="clear" w:color="auto" w:fill="FFFFFF"/>
        </w:rPr>
        <w:t xml:space="preserve">Menurut </w:t>
      </w:r>
      <w:commentRangeStart w:id="17"/>
      <w:r w:rsidRPr="00575E5B">
        <w:rPr>
          <w:rFonts w:ascii="Tw Cen MT" w:hAnsi="Tw Cen MT" w:cs="Times New Roman"/>
          <w:color w:val="202124"/>
          <w:sz w:val="24"/>
          <w:szCs w:val="24"/>
          <w:shd w:val="clear" w:color="auto" w:fill="FFFFFF"/>
        </w:rPr>
        <w:t>Scarvelis DL dan Wells PS.,2020,</w:t>
      </w:r>
      <w:commentRangeEnd w:id="17"/>
      <w:r w:rsidR="00FF52A2">
        <w:rPr>
          <w:rStyle w:val="CommentReference"/>
        </w:rPr>
        <w:commentReference w:id="17"/>
      </w:r>
      <w:r w:rsidRPr="00575E5B">
        <w:rPr>
          <w:rFonts w:ascii="Tw Cen MT" w:hAnsi="Tw Cen MT" w:cs="Times New Roman"/>
          <w:color w:val="202124"/>
          <w:sz w:val="24"/>
          <w:szCs w:val="24"/>
          <w:shd w:val="clear" w:color="auto" w:fill="FFFFFF"/>
        </w:rPr>
        <w:t xml:space="preserve"> mekanisme kerja dari heparin adalah, Heparin dan Antitrombin III membentuk kompleks dan berikatan dengan enzim-enzim koagulasi seperti factor II a (Faktor thrombin), Faktor Xa,IXa,XIa dan XIIa, sehingga mengkatalisis inaktivasi dari factor-faktor tersebut, ini adalah fungsi heparin sebagai antikoagulan. Hasil yang diperoleh PT akan memanjang pada pengguna antikoagulan. Heparin beraktivitas kuat menginaktivasi factor IIa dan Xa sementara LMWH beraktivitas kuat menginaktivasi factor Xa. Fungsi antikoagulan masih  batas dalam aman untuk tidak terjadi perdarahan jika nilai PT dalam batas 1,5-2,5 dari nilai normalnya. Nilai normal PT 10-15 detik, </w:t>
      </w:r>
      <w:r w:rsidRPr="00575E5B">
        <w:rPr>
          <w:rFonts w:ascii="Tw Cen MT" w:hAnsi="Tw Cen MT" w:cs="Times New Roman"/>
          <w:sz w:val="24"/>
          <w:szCs w:val="24"/>
        </w:rPr>
        <w:t>Namun Pemanjangan PT&gt;3 detik atau aPTT &gt;5 detik merupakan penanda koagulapati dan prediktor komplikasi trombotik pada pasien Covid-</w:t>
      </w:r>
      <w:commentRangeStart w:id="18"/>
      <w:r w:rsidRPr="00575E5B">
        <w:rPr>
          <w:rFonts w:ascii="Tw Cen MT" w:hAnsi="Tw Cen MT" w:cs="Times New Roman"/>
          <w:sz w:val="24"/>
          <w:szCs w:val="24"/>
        </w:rPr>
        <w:t>19 (Willim H A,</w:t>
      </w:r>
      <w:r w:rsidRPr="00575E5B">
        <w:rPr>
          <w:rFonts w:ascii="Tw Cen MT" w:hAnsi="Tw Cen MT" w:cs="Times New Roman"/>
          <w:i/>
          <w:iCs/>
          <w:sz w:val="24"/>
          <w:szCs w:val="24"/>
        </w:rPr>
        <w:t>et al</w:t>
      </w:r>
      <w:r w:rsidRPr="00575E5B">
        <w:rPr>
          <w:rFonts w:ascii="Tw Cen MT" w:hAnsi="Tw Cen MT" w:cs="Times New Roman"/>
          <w:sz w:val="24"/>
          <w:szCs w:val="24"/>
        </w:rPr>
        <w:t xml:space="preserve">.,2020). </w:t>
      </w:r>
      <w:commentRangeEnd w:id="18"/>
      <w:r w:rsidR="006E2E3E">
        <w:rPr>
          <w:rStyle w:val="CommentReference"/>
        </w:rPr>
        <w:commentReference w:id="18"/>
      </w:r>
    </w:p>
    <w:p w14:paraId="0BDBAD13" w14:textId="77777777" w:rsidR="00610831" w:rsidRDefault="00610831" w:rsidP="00575E5B">
      <w:pPr>
        <w:autoSpaceDE w:val="0"/>
        <w:autoSpaceDN w:val="0"/>
        <w:adjustRightInd w:val="0"/>
        <w:spacing w:after="0" w:line="240" w:lineRule="auto"/>
        <w:jc w:val="both"/>
        <w:rPr>
          <w:rFonts w:ascii="Tw Cen MT" w:hAnsi="Tw Cen MT"/>
          <w:b/>
          <w:bCs/>
          <w:sz w:val="24"/>
          <w:szCs w:val="24"/>
        </w:rPr>
      </w:pPr>
    </w:p>
    <w:p w14:paraId="79E6B4CA" w14:textId="77777777" w:rsidR="004421CC" w:rsidRDefault="00575E5B" w:rsidP="00575E5B">
      <w:pPr>
        <w:autoSpaceDE w:val="0"/>
        <w:autoSpaceDN w:val="0"/>
        <w:adjustRightInd w:val="0"/>
        <w:spacing w:after="0" w:line="240" w:lineRule="auto"/>
        <w:jc w:val="both"/>
        <w:rPr>
          <w:rFonts w:ascii="Tw Cen MT" w:hAnsi="Tw Cen MT"/>
          <w:b/>
          <w:bCs/>
          <w:sz w:val="24"/>
          <w:szCs w:val="24"/>
        </w:rPr>
      </w:pPr>
      <w:r w:rsidRPr="00575E5B">
        <w:rPr>
          <w:rFonts w:ascii="Tw Cen MT" w:hAnsi="Tw Cen MT"/>
          <w:b/>
          <w:bCs/>
          <w:sz w:val="24"/>
          <w:szCs w:val="24"/>
        </w:rPr>
        <w:t xml:space="preserve">Pengaruh penggunaan antikoagulan dosis </w:t>
      </w:r>
    </w:p>
    <w:p w14:paraId="5C7FFFBB" w14:textId="3F173F5D" w:rsidR="00575E5B" w:rsidRPr="00575E5B" w:rsidRDefault="00575E5B" w:rsidP="00575E5B">
      <w:pPr>
        <w:autoSpaceDE w:val="0"/>
        <w:autoSpaceDN w:val="0"/>
        <w:adjustRightInd w:val="0"/>
        <w:spacing w:after="0" w:line="240" w:lineRule="auto"/>
        <w:jc w:val="both"/>
        <w:rPr>
          <w:rFonts w:ascii="Tw Cen MT" w:hAnsi="Tw Cen MT"/>
          <w:b/>
          <w:bCs/>
          <w:sz w:val="24"/>
          <w:szCs w:val="24"/>
        </w:rPr>
      </w:pPr>
      <w:r w:rsidRPr="00575E5B">
        <w:rPr>
          <w:rFonts w:ascii="Tw Cen MT" w:hAnsi="Tw Cen MT"/>
          <w:b/>
          <w:bCs/>
          <w:sz w:val="24"/>
          <w:szCs w:val="24"/>
        </w:rPr>
        <w:t>profilaksis terhadap</w:t>
      </w:r>
      <w:r w:rsidRPr="00575E5B">
        <w:rPr>
          <w:rFonts w:ascii="Tw Cen MT" w:hAnsi="Tw Cen MT"/>
          <w:b/>
          <w:bCs/>
          <w:i/>
          <w:sz w:val="24"/>
          <w:szCs w:val="24"/>
        </w:rPr>
        <w:t xml:space="preserve"> </w:t>
      </w:r>
      <w:r w:rsidRPr="00575E5B">
        <w:rPr>
          <w:rFonts w:ascii="Tw Cen MT" w:hAnsi="Tw Cen MT"/>
          <w:b/>
          <w:bCs/>
          <w:sz w:val="24"/>
          <w:szCs w:val="24"/>
        </w:rPr>
        <w:t xml:space="preserve">trombosit  pada pasien Covid-19 dengan komorbid Diabetes </w:t>
      </w:r>
    </w:p>
    <w:p w14:paraId="2D4A6F27" w14:textId="0A5EDC63" w:rsidR="00610831" w:rsidRDefault="00575E5B" w:rsidP="00803C6E">
      <w:pPr>
        <w:pStyle w:val="ListParagraph"/>
        <w:spacing w:line="240" w:lineRule="auto"/>
        <w:ind w:left="0" w:firstLine="284"/>
        <w:jc w:val="both"/>
        <w:rPr>
          <w:rFonts w:ascii="Tw Cen MT" w:hAnsi="Tw Cen MT"/>
          <w:sz w:val="24"/>
          <w:szCs w:val="24"/>
        </w:rPr>
      </w:pPr>
      <w:r w:rsidRPr="00575E5B">
        <w:rPr>
          <w:rFonts w:ascii="Tw Cen MT" w:hAnsi="Tw Cen MT"/>
          <w:sz w:val="24"/>
          <w:szCs w:val="24"/>
        </w:rPr>
        <w:t xml:space="preserve">Pengaruh penggunaan antikoagulan dosis profilaksis UFH dan LMWH terhadap trombosit pasien Covid-19 dengan komorbid Diabetes Mellitus dapat dilihat pada Tabel berikut ini : </w:t>
      </w:r>
    </w:p>
    <w:p w14:paraId="5ADCC769" w14:textId="77777777" w:rsidR="00803C6E" w:rsidRPr="00803C6E" w:rsidRDefault="00803C6E" w:rsidP="00803C6E">
      <w:pPr>
        <w:pStyle w:val="ListParagraph"/>
        <w:spacing w:line="240" w:lineRule="auto"/>
        <w:ind w:left="0" w:firstLine="284"/>
        <w:jc w:val="both"/>
        <w:rPr>
          <w:rFonts w:ascii="Tw Cen MT" w:hAnsi="Tw Cen MT"/>
          <w:sz w:val="24"/>
          <w:szCs w:val="24"/>
        </w:rPr>
      </w:pPr>
    </w:p>
    <w:p w14:paraId="04501F4C" w14:textId="41DAF9C8" w:rsidR="00575E5B" w:rsidRPr="00575E5B" w:rsidRDefault="00575E5B" w:rsidP="008838F1">
      <w:pPr>
        <w:pStyle w:val="ListParagraph"/>
        <w:spacing w:line="240" w:lineRule="auto"/>
        <w:ind w:left="0"/>
        <w:jc w:val="both"/>
        <w:rPr>
          <w:rFonts w:ascii="Tw Cen MT" w:hAnsi="Tw Cen MT"/>
          <w:b/>
          <w:sz w:val="20"/>
          <w:szCs w:val="20"/>
        </w:rPr>
      </w:pPr>
      <w:r w:rsidRPr="00575E5B">
        <w:rPr>
          <w:rFonts w:ascii="Tw Cen MT" w:hAnsi="Tw Cen MT"/>
          <w:b/>
          <w:sz w:val="20"/>
          <w:szCs w:val="20"/>
        </w:rPr>
        <w:t xml:space="preserve">Tabel </w:t>
      </w:r>
      <w:r w:rsidRPr="00575E5B">
        <w:rPr>
          <w:rFonts w:ascii="Tw Cen MT" w:hAnsi="Tw Cen MT"/>
          <w:b/>
          <w:sz w:val="20"/>
          <w:szCs w:val="20"/>
          <w:lang w:val="en-US"/>
        </w:rPr>
        <w:t>4</w:t>
      </w:r>
      <w:r w:rsidR="00803C6E">
        <w:rPr>
          <w:rFonts w:ascii="Tw Cen MT" w:hAnsi="Tw Cen MT"/>
          <w:b/>
          <w:sz w:val="20"/>
          <w:szCs w:val="20"/>
          <w:lang w:val="en-US"/>
        </w:rPr>
        <w:t>.</w:t>
      </w:r>
      <w:r w:rsidRPr="00575E5B">
        <w:rPr>
          <w:rFonts w:ascii="Tw Cen MT" w:hAnsi="Tw Cen MT"/>
          <w:b/>
          <w:sz w:val="20"/>
          <w:szCs w:val="20"/>
        </w:rPr>
        <w:t xml:space="preserve"> Pengaruh Penggunaan Antikoagulan Dosis Profilaksis UFH Dan LMWH Terhadap Trombosit Pasien Covid-19 Dengan Komorbid Diabetes Mellitus</w:t>
      </w:r>
    </w:p>
    <w:tbl>
      <w:tblPr>
        <w:tblW w:w="4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1"/>
        <w:gridCol w:w="919"/>
        <w:gridCol w:w="486"/>
        <w:gridCol w:w="782"/>
      </w:tblGrid>
      <w:tr w:rsidR="008838F1" w:rsidRPr="00575E5B" w14:paraId="679BD311" w14:textId="77777777" w:rsidTr="008838F1">
        <w:trPr>
          <w:trHeight w:val="339"/>
        </w:trPr>
        <w:tc>
          <w:tcPr>
            <w:tcW w:w="2191" w:type="dxa"/>
            <w:tcBorders>
              <w:left w:val="nil"/>
              <w:bottom w:val="single" w:sz="4" w:space="0" w:color="000000"/>
              <w:right w:val="nil"/>
            </w:tcBorders>
          </w:tcPr>
          <w:p w14:paraId="10CD58DA" w14:textId="77777777" w:rsidR="00575E5B" w:rsidRPr="00575E5B" w:rsidRDefault="00575E5B" w:rsidP="00575E5B">
            <w:pPr>
              <w:spacing w:line="240" w:lineRule="auto"/>
              <w:jc w:val="center"/>
              <w:rPr>
                <w:rFonts w:ascii="Tw Cen MT" w:hAnsi="Tw Cen MT" w:cs="Times New Roman"/>
                <w:b/>
                <w:sz w:val="20"/>
                <w:szCs w:val="20"/>
              </w:rPr>
            </w:pPr>
            <w:r w:rsidRPr="00575E5B">
              <w:rPr>
                <w:rFonts w:ascii="Tw Cen MT" w:hAnsi="Tw Cen MT" w:cs="Times New Roman"/>
                <w:b/>
                <w:sz w:val="20"/>
                <w:szCs w:val="20"/>
              </w:rPr>
              <w:t>Variabel</w:t>
            </w:r>
          </w:p>
        </w:tc>
        <w:tc>
          <w:tcPr>
            <w:tcW w:w="919" w:type="dxa"/>
            <w:tcBorders>
              <w:left w:val="nil"/>
              <w:bottom w:val="single" w:sz="4" w:space="0" w:color="000000"/>
              <w:right w:val="nil"/>
            </w:tcBorders>
          </w:tcPr>
          <w:p w14:paraId="30D661CD" w14:textId="77777777" w:rsidR="00575E5B" w:rsidRPr="00575E5B" w:rsidRDefault="00575E5B" w:rsidP="00575E5B">
            <w:pPr>
              <w:autoSpaceDE w:val="0"/>
              <w:autoSpaceDN w:val="0"/>
              <w:adjustRightInd w:val="0"/>
              <w:spacing w:line="240" w:lineRule="auto"/>
              <w:jc w:val="center"/>
              <w:rPr>
                <w:rFonts w:ascii="Tw Cen MT" w:hAnsi="Tw Cen MT" w:cs="Times New Roman"/>
                <w:b/>
                <w:sz w:val="20"/>
                <w:szCs w:val="20"/>
              </w:rPr>
            </w:pPr>
            <w:r w:rsidRPr="00575E5B">
              <w:rPr>
                <w:rFonts w:ascii="Tw Cen MT" w:hAnsi="Tw Cen MT" w:cs="Times New Roman"/>
                <w:b/>
                <w:sz w:val="20"/>
                <w:szCs w:val="20"/>
              </w:rPr>
              <w:t>Mean ± SD</w:t>
            </w:r>
          </w:p>
        </w:tc>
        <w:tc>
          <w:tcPr>
            <w:tcW w:w="486" w:type="dxa"/>
            <w:tcBorders>
              <w:left w:val="nil"/>
              <w:bottom w:val="single" w:sz="4" w:space="0" w:color="000000"/>
              <w:right w:val="nil"/>
            </w:tcBorders>
          </w:tcPr>
          <w:p w14:paraId="2B72B2F4" w14:textId="77777777" w:rsidR="00575E5B" w:rsidRPr="00575E5B" w:rsidRDefault="00575E5B" w:rsidP="00575E5B">
            <w:pPr>
              <w:autoSpaceDE w:val="0"/>
              <w:autoSpaceDN w:val="0"/>
              <w:adjustRightInd w:val="0"/>
              <w:spacing w:line="240" w:lineRule="auto"/>
              <w:jc w:val="center"/>
              <w:rPr>
                <w:rFonts w:ascii="Tw Cen MT" w:hAnsi="Tw Cen MT" w:cs="Times New Roman"/>
                <w:b/>
                <w:sz w:val="20"/>
                <w:szCs w:val="20"/>
              </w:rPr>
            </w:pPr>
            <w:r w:rsidRPr="00575E5B">
              <w:rPr>
                <w:rFonts w:ascii="Tw Cen MT" w:hAnsi="Tw Cen MT" w:cs="Times New Roman"/>
                <w:b/>
                <w:sz w:val="20"/>
                <w:szCs w:val="20"/>
              </w:rPr>
              <w:t>N</w:t>
            </w:r>
          </w:p>
        </w:tc>
        <w:tc>
          <w:tcPr>
            <w:tcW w:w="782" w:type="dxa"/>
            <w:tcBorders>
              <w:left w:val="nil"/>
              <w:bottom w:val="single" w:sz="4" w:space="0" w:color="000000"/>
              <w:right w:val="nil"/>
            </w:tcBorders>
          </w:tcPr>
          <w:p w14:paraId="6A4802AF" w14:textId="77777777" w:rsidR="00575E5B" w:rsidRPr="00575E5B" w:rsidRDefault="00575E5B" w:rsidP="00575E5B">
            <w:pPr>
              <w:autoSpaceDE w:val="0"/>
              <w:autoSpaceDN w:val="0"/>
              <w:adjustRightInd w:val="0"/>
              <w:spacing w:line="240" w:lineRule="auto"/>
              <w:jc w:val="center"/>
              <w:rPr>
                <w:rFonts w:ascii="Tw Cen MT" w:hAnsi="Tw Cen MT" w:cs="Times New Roman"/>
                <w:b/>
                <w:sz w:val="20"/>
                <w:szCs w:val="20"/>
              </w:rPr>
            </w:pPr>
            <w:r w:rsidRPr="00575E5B">
              <w:rPr>
                <w:rFonts w:ascii="Tw Cen MT" w:hAnsi="Tw Cen MT" w:cs="Times New Roman"/>
                <w:b/>
                <w:sz w:val="20"/>
                <w:szCs w:val="20"/>
              </w:rPr>
              <w:t>p value</w:t>
            </w:r>
          </w:p>
        </w:tc>
      </w:tr>
      <w:tr w:rsidR="008838F1" w:rsidRPr="00575E5B" w14:paraId="078122F1" w14:textId="77777777" w:rsidTr="008838F1">
        <w:trPr>
          <w:trHeight w:val="814"/>
        </w:trPr>
        <w:tc>
          <w:tcPr>
            <w:tcW w:w="2191" w:type="dxa"/>
            <w:tcBorders>
              <w:left w:val="nil"/>
              <w:bottom w:val="nil"/>
              <w:right w:val="nil"/>
            </w:tcBorders>
          </w:tcPr>
          <w:p w14:paraId="5FFD3374" w14:textId="77777777" w:rsidR="00575E5B" w:rsidRPr="00575E5B" w:rsidRDefault="00575E5B" w:rsidP="00575E5B">
            <w:pPr>
              <w:autoSpaceDE w:val="0"/>
              <w:autoSpaceDN w:val="0"/>
              <w:adjustRightInd w:val="0"/>
              <w:spacing w:line="240" w:lineRule="auto"/>
              <w:jc w:val="both"/>
              <w:rPr>
                <w:rFonts w:ascii="Tw Cen MT" w:hAnsi="Tw Cen MT" w:cs="Times New Roman"/>
                <w:sz w:val="20"/>
                <w:szCs w:val="20"/>
              </w:rPr>
            </w:pPr>
            <w:r w:rsidRPr="00575E5B">
              <w:rPr>
                <w:rFonts w:ascii="Tw Cen MT" w:hAnsi="Tw Cen MT" w:cs="Times New Roman"/>
                <w:b/>
                <w:sz w:val="20"/>
                <w:szCs w:val="20"/>
              </w:rPr>
              <w:t>Trombosit</w:t>
            </w:r>
          </w:p>
          <w:p w14:paraId="0E0023FE" w14:textId="77777777" w:rsidR="00575E5B" w:rsidRDefault="00575E5B" w:rsidP="00575E5B">
            <w:pPr>
              <w:numPr>
                <w:ilvl w:val="0"/>
                <w:numId w:val="5"/>
              </w:numPr>
              <w:autoSpaceDE w:val="0"/>
              <w:autoSpaceDN w:val="0"/>
              <w:adjustRightInd w:val="0"/>
              <w:spacing w:after="0" w:line="240" w:lineRule="auto"/>
              <w:ind w:left="284" w:hanging="284"/>
              <w:jc w:val="both"/>
              <w:rPr>
                <w:rFonts w:ascii="Tw Cen MT" w:hAnsi="Tw Cen MT" w:cs="Times New Roman"/>
                <w:sz w:val="20"/>
                <w:szCs w:val="20"/>
              </w:rPr>
            </w:pPr>
            <w:r w:rsidRPr="00575E5B">
              <w:rPr>
                <w:rFonts w:ascii="Tw Cen MT" w:hAnsi="Tw Cen MT" w:cs="Times New Roman"/>
                <w:sz w:val="20"/>
                <w:szCs w:val="20"/>
              </w:rPr>
              <w:t>Trombosit sebelum penggunaan UFH</w:t>
            </w:r>
          </w:p>
          <w:p w14:paraId="362606A5" w14:textId="77777777" w:rsidR="00575E5B" w:rsidRDefault="00575E5B" w:rsidP="008838F1">
            <w:pPr>
              <w:autoSpaceDE w:val="0"/>
              <w:autoSpaceDN w:val="0"/>
              <w:adjustRightInd w:val="0"/>
              <w:spacing w:after="0" w:line="240" w:lineRule="auto"/>
              <w:jc w:val="both"/>
              <w:rPr>
                <w:rFonts w:ascii="Tw Cen MT" w:hAnsi="Tw Cen MT" w:cs="Times New Roman"/>
                <w:sz w:val="20"/>
                <w:szCs w:val="20"/>
              </w:rPr>
            </w:pPr>
          </w:p>
          <w:p w14:paraId="4B35EAED" w14:textId="01F8402C" w:rsidR="00575E5B" w:rsidRPr="00575E5B" w:rsidRDefault="00575E5B" w:rsidP="00575E5B">
            <w:pPr>
              <w:numPr>
                <w:ilvl w:val="0"/>
                <w:numId w:val="5"/>
              </w:numPr>
              <w:autoSpaceDE w:val="0"/>
              <w:autoSpaceDN w:val="0"/>
              <w:adjustRightInd w:val="0"/>
              <w:spacing w:after="0" w:line="240" w:lineRule="auto"/>
              <w:ind w:left="284" w:hanging="284"/>
              <w:jc w:val="both"/>
              <w:rPr>
                <w:rFonts w:ascii="Tw Cen MT" w:hAnsi="Tw Cen MT" w:cs="Times New Roman"/>
                <w:sz w:val="20"/>
                <w:szCs w:val="20"/>
              </w:rPr>
            </w:pPr>
            <w:r w:rsidRPr="00575E5B">
              <w:rPr>
                <w:rFonts w:ascii="Tw Cen MT" w:hAnsi="Tw Cen MT" w:cs="Times New Roman"/>
                <w:sz w:val="20"/>
                <w:szCs w:val="20"/>
              </w:rPr>
              <w:t>Trombosit setelah penggunaan UFH</w:t>
            </w:r>
          </w:p>
        </w:tc>
        <w:tc>
          <w:tcPr>
            <w:tcW w:w="919" w:type="dxa"/>
            <w:tcBorders>
              <w:left w:val="nil"/>
              <w:bottom w:val="nil"/>
              <w:right w:val="nil"/>
            </w:tcBorders>
          </w:tcPr>
          <w:p w14:paraId="6E8254B2" w14:textId="77777777" w:rsidR="00575E5B" w:rsidRPr="00575E5B" w:rsidRDefault="00575E5B" w:rsidP="00575E5B">
            <w:pPr>
              <w:autoSpaceDE w:val="0"/>
              <w:autoSpaceDN w:val="0"/>
              <w:adjustRightInd w:val="0"/>
              <w:spacing w:line="240" w:lineRule="auto"/>
              <w:rPr>
                <w:rFonts w:ascii="Tw Cen MT" w:hAnsi="Tw Cen MT" w:cs="Times New Roman"/>
                <w:sz w:val="20"/>
                <w:szCs w:val="20"/>
              </w:rPr>
            </w:pPr>
          </w:p>
          <w:p w14:paraId="18F81F43" w14:textId="77777777" w:rsidR="00575E5B" w:rsidRPr="00575E5B" w:rsidRDefault="00575E5B" w:rsidP="00575E5B">
            <w:pPr>
              <w:autoSpaceDE w:val="0"/>
              <w:autoSpaceDN w:val="0"/>
              <w:adjustRightInd w:val="0"/>
              <w:spacing w:line="240" w:lineRule="auto"/>
              <w:jc w:val="center"/>
              <w:rPr>
                <w:rFonts w:ascii="Tw Cen MT" w:hAnsi="Tw Cen MT" w:cs="Times New Roman"/>
                <w:sz w:val="20"/>
                <w:szCs w:val="20"/>
              </w:rPr>
            </w:pPr>
            <w:r w:rsidRPr="00575E5B">
              <w:rPr>
                <w:rFonts w:ascii="Tw Cen MT" w:hAnsi="Tw Cen MT" w:cs="Times New Roman"/>
                <w:sz w:val="20"/>
                <w:szCs w:val="20"/>
              </w:rPr>
              <w:t>233,8 ± 106,8</w:t>
            </w:r>
          </w:p>
          <w:p w14:paraId="01D404B7" w14:textId="5600D575" w:rsidR="00575E5B" w:rsidRPr="00575E5B" w:rsidRDefault="00575E5B" w:rsidP="00575E5B">
            <w:pPr>
              <w:autoSpaceDE w:val="0"/>
              <w:autoSpaceDN w:val="0"/>
              <w:adjustRightInd w:val="0"/>
              <w:spacing w:line="240" w:lineRule="auto"/>
              <w:rPr>
                <w:rFonts w:ascii="Tw Cen MT" w:hAnsi="Tw Cen MT" w:cs="Times New Roman"/>
                <w:sz w:val="20"/>
                <w:szCs w:val="20"/>
              </w:rPr>
            </w:pPr>
            <w:r w:rsidRPr="00575E5B">
              <w:rPr>
                <w:rFonts w:ascii="Tw Cen MT" w:hAnsi="Tw Cen MT" w:cs="Times New Roman"/>
                <w:sz w:val="20"/>
                <w:szCs w:val="20"/>
              </w:rPr>
              <w:t>196, 5 ± 100,4</w:t>
            </w:r>
          </w:p>
        </w:tc>
        <w:tc>
          <w:tcPr>
            <w:tcW w:w="486" w:type="dxa"/>
            <w:tcBorders>
              <w:left w:val="nil"/>
              <w:bottom w:val="nil"/>
              <w:right w:val="nil"/>
            </w:tcBorders>
          </w:tcPr>
          <w:p w14:paraId="3DC59CE0" w14:textId="77777777" w:rsidR="00575E5B" w:rsidRPr="00575E5B" w:rsidRDefault="00575E5B" w:rsidP="00575E5B">
            <w:pPr>
              <w:autoSpaceDE w:val="0"/>
              <w:autoSpaceDN w:val="0"/>
              <w:adjustRightInd w:val="0"/>
              <w:spacing w:line="240" w:lineRule="auto"/>
              <w:rPr>
                <w:rFonts w:ascii="Tw Cen MT" w:hAnsi="Tw Cen MT" w:cs="Times New Roman"/>
                <w:sz w:val="20"/>
                <w:szCs w:val="20"/>
              </w:rPr>
            </w:pPr>
          </w:p>
          <w:p w14:paraId="61200049" w14:textId="7B2569AA" w:rsidR="00575E5B" w:rsidRPr="00575E5B" w:rsidRDefault="00502FF2" w:rsidP="00575E5B">
            <w:pPr>
              <w:autoSpaceDE w:val="0"/>
              <w:autoSpaceDN w:val="0"/>
              <w:adjustRightInd w:val="0"/>
              <w:spacing w:line="240" w:lineRule="auto"/>
              <w:jc w:val="center"/>
              <w:rPr>
                <w:rFonts w:ascii="Tw Cen MT" w:hAnsi="Tw Cen MT" w:cs="Times New Roman"/>
                <w:sz w:val="20"/>
                <w:szCs w:val="20"/>
              </w:rPr>
            </w:pPr>
            <w:r>
              <w:rPr>
                <w:rFonts w:ascii="Tw Cen MT" w:hAnsi="Tw Cen MT" w:cs="Times New Roman"/>
                <w:sz w:val="20"/>
                <w:szCs w:val="20"/>
              </w:rPr>
              <w:t>56</w:t>
            </w:r>
          </w:p>
          <w:p w14:paraId="3A6B2535" w14:textId="77777777" w:rsidR="00575E5B" w:rsidRDefault="00575E5B" w:rsidP="00575E5B">
            <w:pPr>
              <w:autoSpaceDE w:val="0"/>
              <w:autoSpaceDN w:val="0"/>
              <w:adjustRightInd w:val="0"/>
              <w:spacing w:line="240" w:lineRule="auto"/>
              <w:rPr>
                <w:rFonts w:ascii="Tw Cen MT" w:hAnsi="Tw Cen MT" w:cs="Times New Roman"/>
                <w:sz w:val="20"/>
                <w:szCs w:val="20"/>
              </w:rPr>
            </w:pPr>
          </w:p>
          <w:p w14:paraId="23B7E93B" w14:textId="524C13E8" w:rsidR="00575E5B" w:rsidRPr="00575E5B" w:rsidRDefault="00502FF2" w:rsidP="00575E5B">
            <w:pPr>
              <w:autoSpaceDE w:val="0"/>
              <w:autoSpaceDN w:val="0"/>
              <w:adjustRightInd w:val="0"/>
              <w:spacing w:line="240" w:lineRule="auto"/>
              <w:jc w:val="center"/>
              <w:rPr>
                <w:rFonts w:ascii="Tw Cen MT" w:hAnsi="Tw Cen MT" w:cs="Times New Roman"/>
                <w:sz w:val="20"/>
                <w:szCs w:val="20"/>
              </w:rPr>
            </w:pPr>
            <w:r>
              <w:rPr>
                <w:rFonts w:ascii="Tw Cen MT" w:hAnsi="Tw Cen MT" w:cs="Times New Roman"/>
                <w:sz w:val="20"/>
                <w:szCs w:val="20"/>
              </w:rPr>
              <w:t>56</w:t>
            </w:r>
          </w:p>
        </w:tc>
        <w:tc>
          <w:tcPr>
            <w:tcW w:w="782" w:type="dxa"/>
            <w:tcBorders>
              <w:left w:val="nil"/>
              <w:bottom w:val="nil"/>
              <w:right w:val="nil"/>
            </w:tcBorders>
            <w:vAlign w:val="center"/>
          </w:tcPr>
          <w:p w14:paraId="617B47CF" w14:textId="77777777" w:rsidR="00575E5B" w:rsidRPr="00575E5B" w:rsidRDefault="00575E5B" w:rsidP="00575E5B">
            <w:pPr>
              <w:autoSpaceDE w:val="0"/>
              <w:autoSpaceDN w:val="0"/>
              <w:adjustRightInd w:val="0"/>
              <w:spacing w:line="240" w:lineRule="auto"/>
              <w:jc w:val="center"/>
              <w:rPr>
                <w:rFonts w:ascii="Tw Cen MT" w:hAnsi="Tw Cen MT" w:cs="Times New Roman"/>
                <w:sz w:val="20"/>
                <w:szCs w:val="20"/>
              </w:rPr>
            </w:pPr>
          </w:p>
          <w:p w14:paraId="517EC610" w14:textId="77777777" w:rsidR="00575E5B" w:rsidRPr="00575E5B" w:rsidRDefault="00575E5B" w:rsidP="00575E5B">
            <w:pPr>
              <w:autoSpaceDE w:val="0"/>
              <w:autoSpaceDN w:val="0"/>
              <w:adjustRightInd w:val="0"/>
              <w:spacing w:line="240" w:lineRule="auto"/>
              <w:jc w:val="center"/>
              <w:rPr>
                <w:rFonts w:ascii="Tw Cen MT" w:hAnsi="Tw Cen MT" w:cs="Times New Roman"/>
                <w:sz w:val="20"/>
                <w:szCs w:val="20"/>
              </w:rPr>
            </w:pPr>
            <w:r w:rsidRPr="00575E5B">
              <w:rPr>
                <w:rFonts w:ascii="Tw Cen MT" w:hAnsi="Tw Cen MT" w:cs="Times New Roman"/>
                <w:sz w:val="20"/>
                <w:szCs w:val="20"/>
              </w:rPr>
              <w:t>0,023</w:t>
            </w:r>
          </w:p>
        </w:tc>
      </w:tr>
      <w:tr w:rsidR="008838F1" w:rsidRPr="00575E5B" w14:paraId="1EF3FB2A" w14:textId="77777777" w:rsidTr="008838F1">
        <w:trPr>
          <w:trHeight w:val="814"/>
        </w:trPr>
        <w:tc>
          <w:tcPr>
            <w:tcW w:w="2191" w:type="dxa"/>
            <w:tcBorders>
              <w:top w:val="nil"/>
              <w:left w:val="nil"/>
              <w:bottom w:val="single" w:sz="4" w:space="0" w:color="auto"/>
              <w:right w:val="nil"/>
            </w:tcBorders>
          </w:tcPr>
          <w:p w14:paraId="002623D6" w14:textId="77777777" w:rsidR="00575E5B" w:rsidRPr="00575E5B" w:rsidRDefault="00575E5B" w:rsidP="00575E5B">
            <w:pPr>
              <w:autoSpaceDE w:val="0"/>
              <w:autoSpaceDN w:val="0"/>
              <w:adjustRightInd w:val="0"/>
              <w:spacing w:line="240" w:lineRule="auto"/>
              <w:jc w:val="both"/>
              <w:rPr>
                <w:rFonts w:ascii="Tw Cen MT" w:hAnsi="Tw Cen MT" w:cs="Times New Roman"/>
                <w:sz w:val="20"/>
                <w:szCs w:val="20"/>
              </w:rPr>
            </w:pPr>
            <w:r w:rsidRPr="00575E5B">
              <w:rPr>
                <w:rFonts w:ascii="Tw Cen MT" w:hAnsi="Tw Cen MT" w:cs="Times New Roman"/>
                <w:b/>
                <w:sz w:val="20"/>
                <w:szCs w:val="20"/>
              </w:rPr>
              <w:t>Trombosit</w:t>
            </w:r>
          </w:p>
          <w:p w14:paraId="3E4460D4" w14:textId="77777777" w:rsidR="00575E5B" w:rsidRDefault="00575E5B" w:rsidP="00575E5B">
            <w:pPr>
              <w:numPr>
                <w:ilvl w:val="0"/>
                <w:numId w:val="5"/>
              </w:numPr>
              <w:autoSpaceDE w:val="0"/>
              <w:autoSpaceDN w:val="0"/>
              <w:adjustRightInd w:val="0"/>
              <w:spacing w:after="0" w:line="240" w:lineRule="auto"/>
              <w:ind w:left="284" w:hanging="284"/>
              <w:jc w:val="both"/>
              <w:rPr>
                <w:rFonts w:ascii="Tw Cen MT" w:hAnsi="Tw Cen MT" w:cs="Times New Roman"/>
                <w:sz w:val="20"/>
                <w:szCs w:val="20"/>
              </w:rPr>
            </w:pPr>
            <w:r w:rsidRPr="00575E5B">
              <w:rPr>
                <w:rFonts w:ascii="Tw Cen MT" w:hAnsi="Tw Cen MT" w:cs="Times New Roman"/>
                <w:sz w:val="20"/>
                <w:szCs w:val="20"/>
              </w:rPr>
              <w:t>Trombosit sebelum penggunaan LMWH</w:t>
            </w:r>
          </w:p>
          <w:p w14:paraId="16ABBD26" w14:textId="77777777" w:rsidR="00575E5B" w:rsidRDefault="00575E5B" w:rsidP="00575E5B">
            <w:pPr>
              <w:autoSpaceDE w:val="0"/>
              <w:autoSpaceDN w:val="0"/>
              <w:adjustRightInd w:val="0"/>
              <w:spacing w:after="0" w:line="240" w:lineRule="auto"/>
              <w:ind w:left="284"/>
              <w:jc w:val="both"/>
              <w:rPr>
                <w:rFonts w:ascii="Tw Cen MT" w:hAnsi="Tw Cen MT" w:cs="Times New Roman"/>
                <w:sz w:val="20"/>
                <w:szCs w:val="20"/>
              </w:rPr>
            </w:pPr>
          </w:p>
          <w:p w14:paraId="0461CADF" w14:textId="60437350" w:rsidR="00575E5B" w:rsidRPr="00575E5B" w:rsidRDefault="00575E5B" w:rsidP="00575E5B">
            <w:pPr>
              <w:numPr>
                <w:ilvl w:val="0"/>
                <w:numId w:val="5"/>
              </w:numPr>
              <w:autoSpaceDE w:val="0"/>
              <w:autoSpaceDN w:val="0"/>
              <w:adjustRightInd w:val="0"/>
              <w:spacing w:after="0" w:line="240" w:lineRule="auto"/>
              <w:ind w:left="284" w:hanging="284"/>
              <w:jc w:val="both"/>
              <w:rPr>
                <w:rFonts w:ascii="Tw Cen MT" w:hAnsi="Tw Cen MT" w:cs="Times New Roman"/>
                <w:sz w:val="20"/>
                <w:szCs w:val="20"/>
              </w:rPr>
            </w:pPr>
            <w:r w:rsidRPr="00575E5B">
              <w:rPr>
                <w:rFonts w:ascii="Tw Cen MT" w:hAnsi="Tw Cen MT" w:cs="Times New Roman"/>
                <w:sz w:val="20"/>
                <w:szCs w:val="20"/>
              </w:rPr>
              <w:t>Trombosit setelah penggunaan LMWH</w:t>
            </w:r>
          </w:p>
        </w:tc>
        <w:tc>
          <w:tcPr>
            <w:tcW w:w="919" w:type="dxa"/>
            <w:tcBorders>
              <w:top w:val="nil"/>
              <w:left w:val="nil"/>
              <w:bottom w:val="single" w:sz="4" w:space="0" w:color="auto"/>
              <w:right w:val="nil"/>
            </w:tcBorders>
          </w:tcPr>
          <w:p w14:paraId="36B085A9" w14:textId="77777777" w:rsidR="00575E5B" w:rsidRPr="00575E5B" w:rsidRDefault="00575E5B" w:rsidP="00575E5B">
            <w:pPr>
              <w:autoSpaceDE w:val="0"/>
              <w:autoSpaceDN w:val="0"/>
              <w:adjustRightInd w:val="0"/>
              <w:spacing w:line="240" w:lineRule="auto"/>
              <w:rPr>
                <w:rFonts w:ascii="Tw Cen MT" w:hAnsi="Tw Cen MT" w:cs="Times New Roman"/>
                <w:sz w:val="20"/>
                <w:szCs w:val="20"/>
              </w:rPr>
            </w:pPr>
          </w:p>
          <w:p w14:paraId="2D046429" w14:textId="77777777" w:rsidR="00575E5B" w:rsidRPr="00575E5B" w:rsidRDefault="00575E5B" w:rsidP="00575E5B">
            <w:pPr>
              <w:autoSpaceDE w:val="0"/>
              <w:autoSpaceDN w:val="0"/>
              <w:adjustRightInd w:val="0"/>
              <w:spacing w:line="240" w:lineRule="auto"/>
              <w:jc w:val="center"/>
              <w:rPr>
                <w:rFonts w:ascii="Tw Cen MT" w:hAnsi="Tw Cen MT" w:cs="Times New Roman"/>
                <w:sz w:val="20"/>
                <w:szCs w:val="20"/>
              </w:rPr>
            </w:pPr>
            <w:r w:rsidRPr="00575E5B">
              <w:rPr>
                <w:rFonts w:ascii="Tw Cen MT" w:hAnsi="Tw Cen MT" w:cs="Times New Roman"/>
                <w:sz w:val="20"/>
                <w:szCs w:val="20"/>
              </w:rPr>
              <w:t>285,0 ± 122,8</w:t>
            </w:r>
          </w:p>
          <w:p w14:paraId="1C83427A" w14:textId="77777777" w:rsidR="00575E5B" w:rsidRPr="00575E5B" w:rsidRDefault="00575E5B" w:rsidP="00575E5B">
            <w:pPr>
              <w:autoSpaceDE w:val="0"/>
              <w:autoSpaceDN w:val="0"/>
              <w:adjustRightInd w:val="0"/>
              <w:spacing w:line="240" w:lineRule="auto"/>
              <w:jc w:val="center"/>
              <w:rPr>
                <w:rFonts w:ascii="Tw Cen MT" w:hAnsi="Tw Cen MT" w:cs="Times New Roman"/>
                <w:sz w:val="20"/>
                <w:szCs w:val="20"/>
              </w:rPr>
            </w:pPr>
            <w:r w:rsidRPr="00575E5B">
              <w:rPr>
                <w:rFonts w:ascii="Tw Cen MT" w:hAnsi="Tw Cen MT" w:cs="Times New Roman"/>
                <w:sz w:val="20"/>
                <w:szCs w:val="20"/>
              </w:rPr>
              <w:t>297,9 ± 142,0</w:t>
            </w:r>
          </w:p>
        </w:tc>
        <w:tc>
          <w:tcPr>
            <w:tcW w:w="486" w:type="dxa"/>
            <w:tcBorders>
              <w:top w:val="nil"/>
              <w:left w:val="nil"/>
              <w:bottom w:val="single" w:sz="4" w:space="0" w:color="auto"/>
              <w:right w:val="nil"/>
            </w:tcBorders>
          </w:tcPr>
          <w:p w14:paraId="729A0408" w14:textId="77777777" w:rsidR="00575E5B" w:rsidRPr="00575E5B" w:rsidRDefault="00575E5B" w:rsidP="00575E5B">
            <w:pPr>
              <w:autoSpaceDE w:val="0"/>
              <w:autoSpaceDN w:val="0"/>
              <w:adjustRightInd w:val="0"/>
              <w:spacing w:line="240" w:lineRule="auto"/>
              <w:rPr>
                <w:rFonts w:ascii="Tw Cen MT" w:hAnsi="Tw Cen MT" w:cs="Times New Roman"/>
                <w:sz w:val="20"/>
                <w:szCs w:val="20"/>
              </w:rPr>
            </w:pPr>
          </w:p>
          <w:p w14:paraId="19998C36" w14:textId="046B0738" w:rsidR="00575E5B" w:rsidRPr="00575E5B" w:rsidRDefault="00575E5B" w:rsidP="00575E5B">
            <w:pPr>
              <w:autoSpaceDE w:val="0"/>
              <w:autoSpaceDN w:val="0"/>
              <w:adjustRightInd w:val="0"/>
              <w:spacing w:line="240" w:lineRule="auto"/>
              <w:jc w:val="center"/>
              <w:rPr>
                <w:rFonts w:ascii="Tw Cen MT" w:hAnsi="Tw Cen MT" w:cs="Times New Roman"/>
                <w:sz w:val="20"/>
                <w:szCs w:val="20"/>
              </w:rPr>
            </w:pPr>
            <w:r w:rsidRPr="00575E5B">
              <w:rPr>
                <w:rFonts w:ascii="Tw Cen MT" w:hAnsi="Tw Cen MT" w:cs="Times New Roman"/>
                <w:sz w:val="20"/>
                <w:szCs w:val="20"/>
              </w:rPr>
              <w:t>1</w:t>
            </w:r>
            <w:r w:rsidR="00502FF2">
              <w:rPr>
                <w:rFonts w:ascii="Tw Cen MT" w:hAnsi="Tw Cen MT" w:cs="Times New Roman"/>
                <w:sz w:val="20"/>
                <w:szCs w:val="20"/>
              </w:rPr>
              <w:t>6</w:t>
            </w:r>
          </w:p>
          <w:p w14:paraId="6CB12436" w14:textId="77777777" w:rsidR="00575E5B" w:rsidRDefault="00575E5B" w:rsidP="00575E5B">
            <w:pPr>
              <w:autoSpaceDE w:val="0"/>
              <w:autoSpaceDN w:val="0"/>
              <w:adjustRightInd w:val="0"/>
              <w:spacing w:line="240" w:lineRule="auto"/>
              <w:jc w:val="center"/>
              <w:rPr>
                <w:rFonts w:ascii="Tw Cen MT" w:hAnsi="Tw Cen MT" w:cs="Times New Roman"/>
                <w:sz w:val="20"/>
                <w:szCs w:val="20"/>
              </w:rPr>
            </w:pPr>
          </w:p>
          <w:p w14:paraId="32A4BD46" w14:textId="475C5081" w:rsidR="00575E5B" w:rsidRPr="00575E5B" w:rsidRDefault="00575E5B" w:rsidP="00575E5B">
            <w:pPr>
              <w:autoSpaceDE w:val="0"/>
              <w:autoSpaceDN w:val="0"/>
              <w:adjustRightInd w:val="0"/>
              <w:spacing w:line="240" w:lineRule="auto"/>
              <w:jc w:val="center"/>
              <w:rPr>
                <w:rFonts w:ascii="Tw Cen MT" w:hAnsi="Tw Cen MT" w:cs="Times New Roman"/>
                <w:sz w:val="20"/>
                <w:szCs w:val="20"/>
              </w:rPr>
            </w:pPr>
            <w:r w:rsidRPr="00575E5B">
              <w:rPr>
                <w:rFonts w:ascii="Tw Cen MT" w:hAnsi="Tw Cen MT" w:cs="Times New Roman"/>
                <w:sz w:val="20"/>
                <w:szCs w:val="20"/>
              </w:rPr>
              <w:t>1</w:t>
            </w:r>
            <w:r w:rsidR="00502FF2">
              <w:rPr>
                <w:rFonts w:ascii="Tw Cen MT" w:hAnsi="Tw Cen MT" w:cs="Times New Roman"/>
                <w:sz w:val="20"/>
                <w:szCs w:val="20"/>
              </w:rPr>
              <w:t>6</w:t>
            </w:r>
          </w:p>
        </w:tc>
        <w:tc>
          <w:tcPr>
            <w:tcW w:w="782" w:type="dxa"/>
            <w:tcBorders>
              <w:top w:val="nil"/>
              <w:left w:val="nil"/>
              <w:bottom w:val="single" w:sz="4" w:space="0" w:color="auto"/>
              <w:right w:val="nil"/>
            </w:tcBorders>
            <w:vAlign w:val="center"/>
          </w:tcPr>
          <w:p w14:paraId="74FDEF1B" w14:textId="77777777" w:rsidR="00575E5B" w:rsidRPr="00575E5B" w:rsidRDefault="00575E5B" w:rsidP="00575E5B">
            <w:pPr>
              <w:autoSpaceDE w:val="0"/>
              <w:autoSpaceDN w:val="0"/>
              <w:adjustRightInd w:val="0"/>
              <w:spacing w:line="240" w:lineRule="auto"/>
              <w:jc w:val="center"/>
              <w:rPr>
                <w:rFonts w:ascii="Tw Cen MT" w:hAnsi="Tw Cen MT" w:cs="Times New Roman"/>
                <w:sz w:val="20"/>
                <w:szCs w:val="20"/>
              </w:rPr>
            </w:pPr>
          </w:p>
          <w:p w14:paraId="4CCAE65A" w14:textId="77777777" w:rsidR="00575E5B" w:rsidRPr="00575E5B" w:rsidRDefault="00575E5B" w:rsidP="00575E5B">
            <w:pPr>
              <w:autoSpaceDE w:val="0"/>
              <w:autoSpaceDN w:val="0"/>
              <w:adjustRightInd w:val="0"/>
              <w:spacing w:line="240" w:lineRule="auto"/>
              <w:jc w:val="center"/>
              <w:rPr>
                <w:rFonts w:ascii="Tw Cen MT" w:hAnsi="Tw Cen MT" w:cs="Times New Roman"/>
                <w:sz w:val="20"/>
                <w:szCs w:val="20"/>
              </w:rPr>
            </w:pPr>
            <w:r w:rsidRPr="00575E5B">
              <w:rPr>
                <w:rFonts w:ascii="Tw Cen MT" w:hAnsi="Tw Cen MT" w:cs="Times New Roman"/>
                <w:sz w:val="20"/>
                <w:szCs w:val="20"/>
              </w:rPr>
              <w:t>0,769</w:t>
            </w:r>
          </w:p>
        </w:tc>
      </w:tr>
    </w:tbl>
    <w:p w14:paraId="10F74663" w14:textId="77777777" w:rsidR="00575E5B" w:rsidRPr="00575E5B" w:rsidRDefault="00575E5B" w:rsidP="00575E5B">
      <w:pPr>
        <w:widowControl w:val="0"/>
        <w:autoSpaceDE w:val="0"/>
        <w:autoSpaceDN w:val="0"/>
        <w:adjustRightInd w:val="0"/>
        <w:spacing w:line="240" w:lineRule="auto"/>
        <w:ind w:firstLine="567"/>
        <w:jc w:val="both"/>
        <w:rPr>
          <w:rFonts w:ascii="Tw Cen MT" w:hAnsi="Tw Cen MT" w:cs="Times New Roman"/>
          <w:sz w:val="24"/>
          <w:szCs w:val="24"/>
        </w:rPr>
      </w:pPr>
    </w:p>
    <w:p w14:paraId="79540C6B" w14:textId="10C93810" w:rsidR="00575E5B" w:rsidRPr="00575E5B" w:rsidRDefault="008838F1" w:rsidP="00575E5B">
      <w:pPr>
        <w:pStyle w:val="HTMLPreformatted"/>
        <w:jc w:val="both"/>
        <w:rPr>
          <w:rFonts w:ascii="Tw Cen MT" w:hAnsi="Tw Cen MT" w:cs="Times New Roman"/>
          <w:color w:val="202124"/>
          <w:sz w:val="24"/>
          <w:szCs w:val="24"/>
          <w:lang w:val="id-ID"/>
        </w:rPr>
      </w:pPr>
      <w:r>
        <w:rPr>
          <w:rFonts w:ascii="Tw Cen MT" w:hAnsi="Tw Cen MT" w:cs="Times New Roman"/>
          <w:sz w:val="24"/>
          <w:szCs w:val="24"/>
        </w:rPr>
        <w:tab/>
      </w:r>
      <w:r w:rsidR="00575E5B" w:rsidRPr="00575E5B">
        <w:rPr>
          <w:rFonts w:ascii="Tw Cen MT" w:hAnsi="Tw Cen MT" w:cs="Times New Roman"/>
          <w:sz w:val="24"/>
          <w:szCs w:val="24"/>
        </w:rPr>
        <w:t>Hasil uji statistic dengan pair t test didapatkan pada kelompok pengguna antikoagulan UFH nilai p= 0,023, jika p&lt;0,05 berarti dapat disimpulkan ada pengaruh signifikan terhadap nilai trombosit pasien Covid 19 dengan komorbid DM tipe 2</w:t>
      </w:r>
      <w:r w:rsidR="00575E5B" w:rsidRPr="00575E5B">
        <w:rPr>
          <w:rFonts w:ascii="Tw Cen MT" w:hAnsi="Tw Cen MT" w:cs="Times New Roman"/>
          <w:sz w:val="24"/>
          <w:szCs w:val="24"/>
          <w:lang w:val="en-US"/>
        </w:rPr>
        <w:t xml:space="preserve">. Hal ini bisa terjadi karena adanya aktivitas Heparin Induksi trombositopenia (HIT), Pada Pasien Covid-19 terjadinya trombositopenia melalui beberapa mekanisme antara lain : </w:t>
      </w:r>
      <w:r w:rsidR="00575E5B" w:rsidRPr="00575E5B">
        <w:rPr>
          <w:rStyle w:val="y2iqfc"/>
          <w:rFonts w:ascii="Tw Cen MT" w:hAnsi="Tw Cen MT" w:cs="Times New Roman"/>
          <w:color w:val="202124"/>
          <w:sz w:val="24"/>
          <w:szCs w:val="24"/>
          <w:lang w:val="id-ID"/>
        </w:rPr>
        <w:t>mengurangi produksi trombosit melalui peningkata</w:t>
      </w:r>
      <w:r w:rsidR="00575E5B" w:rsidRPr="00575E5B">
        <w:rPr>
          <w:rStyle w:val="y2iqfc"/>
          <w:rFonts w:ascii="Tw Cen MT" w:hAnsi="Tw Cen MT" w:cs="Times New Roman"/>
          <w:color w:val="202124"/>
          <w:sz w:val="24"/>
          <w:szCs w:val="24"/>
          <w:lang w:val="en-US"/>
        </w:rPr>
        <w:t xml:space="preserve">n </w:t>
      </w:r>
      <w:r w:rsidR="00575E5B" w:rsidRPr="00575E5B">
        <w:rPr>
          <w:rStyle w:val="y2iqfc"/>
          <w:rFonts w:ascii="Tw Cen MT" w:hAnsi="Tw Cen MT" w:cs="Times New Roman"/>
          <w:color w:val="202124"/>
          <w:sz w:val="24"/>
          <w:szCs w:val="24"/>
          <w:lang w:val="id-ID"/>
        </w:rPr>
        <w:t>badai</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lang w:val="id-ID"/>
        </w:rPr>
        <w:t>sitokin</w:t>
      </w:r>
      <w:r w:rsidR="00575E5B" w:rsidRPr="00575E5B">
        <w:rPr>
          <w:rStyle w:val="y2iqfc"/>
          <w:rFonts w:ascii="Tw Cen MT" w:hAnsi="Tw Cen MT" w:cs="Times New Roman"/>
          <w:color w:val="202124"/>
          <w:sz w:val="24"/>
          <w:szCs w:val="24"/>
          <w:lang w:val="en-US"/>
        </w:rPr>
        <w:t>,</w:t>
      </w:r>
      <w:r w:rsidR="00575E5B" w:rsidRPr="00575E5B">
        <w:rPr>
          <w:rFonts w:ascii="Tw Cen MT" w:hAnsi="Tw Cen MT" w:cs="Times New Roman"/>
          <w:color w:val="202124"/>
          <w:sz w:val="24"/>
          <w:szCs w:val="24"/>
        </w:rPr>
        <w:t xml:space="preserve"> </w:t>
      </w:r>
      <w:r w:rsidR="00575E5B" w:rsidRPr="00575E5B">
        <w:rPr>
          <w:rStyle w:val="y2iqfc"/>
          <w:rFonts w:ascii="Tw Cen MT" w:hAnsi="Tw Cen MT" w:cs="Times New Roman"/>
          <w:color w:val="202124"/>
          <w:sz w:val="24"/>
          <w:szCs w:val="24"/>
          <w:lang w:val="id-ID"/>
        </w:rPr>
        <w:t>meningkatkan pengurangan trombosit melalu</w:t>
      </w:r>
      <w:r w:rsidR="00575E5B" w:rsidRPr="00575E5B">
        <w:rPr>
          <w:rStyle w:val="y2iqfc"/>
          <w:rFonts w:ascii="Tw Cen MT" w:hAnsi="Tw Cen MT" w:cs="Times New Roman"/>
          <w:color w:val="202124"/>
          <w:sz w:val="24"/>
          <w:szCs w:val="24"/>
          <w:lang w:val="en-US"/>
        </w:rPr>
        <w:t xml:space="preserve">i </w:t>
      </w:r>
      <w:r w:rsidR="00575E5B" w:rsidRPr="00575E5B">
        <w:rPr>
          <w:rStyle w:val="y2iqfc"/>
          <w:rFonts w:ascii="Tw Cen MT" w:hAnsi="Tw Cen MT" w:cs="Times New Roman"/>
          <w:color w:val="202124"/>
          <w:sz w:val="24"/>
          <w:szCs w:val="24"/>
          <w:lang w:val="id-ID"/>
        </w:rPr>
        <w:t>peningkatan autoantibodi</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lang w:val="id-ID"/>
        </w:rPr>
        <w:t>dan kompleks imun, yang membersihkan trombosit oleh sistem imun</w:t>
      </w:r>
      <w:r w:rsidR="00575E5B" w:rsidRPr="00575E5B">
        <w:rPr>
          <w:rStyle w:val="y2iqfc"/>
          <w:rFonts w:ascii="Tw Cen MT" w:hAnsi="Tw Cen MT" w:cs="Times New Roman"/>
          <w:color w:val="202124"/>
          <w:sz w:val="24"/>
          <w:szCs w:val="24"/>
          <w:lang w:val="en-US"/>
        </w:rPr>
        <w:t xml:space="preserve"> dan </w:t>
      </w:r>
      <w:r w:rsidR="00575E5B" w:rsidRPr="00575E5B">
        <w:rPr>
          <w:rStyle w:val="y2iqfc"/>
          <w:rFonts w:ascii="Tw Cen MT" w:hAnsi="Tw Cen MT" w:cs="Times New Roman"/>
          <w:color w:val="202124"/>
          <w:sz w:val="24"/>
          <w:szCs w:val="24"/>
          <w:lang w:val="id-ID"/>
        </w:rPr>
        <w:t>menurunkan sirkulasi trombosit melalui</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lang w:val="id-ID"/>
        </w:rPr>
        <w:t xml:space="preserve">dua cara, </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lang w:val="id-ID"/>
        </w:rPr>
        <w:t>salah satu cara adalah mengaktifkan trombosit, agregasi, dan pembungku</w:t>
      </w:r>
      <w:r w:rsidR="00575E5B" w:rsidRPr="00575E5B">
        <w:rPr>
          <w:rStyle w:val="y2iqfc"/>
          <w:rFonts w:ascii="Tw Cen MT" w:hAnsi="Tw Cen MT" w:cs="Times New Roman"/>
          <w:color w:val="202124"/>
          <w:sz w:val="24"/>
          <w:szCs w:val="24"/>
          <w:lang w:val="en-US"/>
        </w:rPr>
        <w:t xml:space="preserve">s </w:t>
      </w:r>
      <w:r w:rsidR="00575E5B" w:rsidRPr="00575E5B">
        <w:rPr>
          <w:rStyle w:val="y2iqfc"/>
          <w:rFonts w:ascii="Tw Cen MT" w:hAnsi="Tw Cen MT" w:cs="Times New Roman"/>
          <w:color w:val="202124"/>
          <w:sz w:val="24"/>
          <w:szCs w:val="24"/>
        </w:rPr>
        <w:t>dan terbentuk menjadi mikrotrombus dengan peningkatan konsumsi</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rPr>
        <w:t>trombosit dan di sisi lain, itu me</w:t>
      </w:r>
      <w:r w:rsidR="00575E5B" w:rsidRPr="00575E5B">
        <w:rPr>
          <w:rStyle w:val="y2iqfc"/>
          <w:rFonts w:ascii="Tw Cen MT" w:hAnsi="Tw Cen MT" w:cs="Times New Roman"/>
          <w:color w:val="202124"/>
          <w:sz w:val="24"/>
          <w:szCs w:val="24"/>
          <w:lang w:val="en-US"/>
        </w:rPr>
        <w:t>mpersempit pembuluh</w:t>
      </w:r>
      <w:r w:rsidR="00575E5B" w:rsidRPr="00575E5B">
        <w:rPr>
          <w:rStyle w:val="y2iqfc"/>
          <w:rFonts w:ascii="Tw Cen MT" w:hAnsi="Tw Cen MT" w:cs="Times New Roman"/>
          <w:color w:val="202124"/>
          <w:sz w:val="24"/>
          <w:szCs w:val="24"/>
        </w:rPr>
        <w:t xml:space="preserve"> kapiler di paru, selanjutnya menurunkan produksi trombosit. Secara keseluruhan, ketiga mekanisme ini seperti pengurangan primer</w:t>
      </w:r>
      <w:r w:rsidR="00575E5B" w:rsidRPr="00575E5B">
        <w:rPr>
          <w:rStyle w:val="y2iqfc"/>
          <w:rFonts w:ascii="Tw Cen MT" w:hAnsi="Tw Cen MT" w:cs="Times New Roman"/>
          <w:color w:val="202124"/>
          <w:sz w:val="24"/>
          <w:szCs w:val="24"/>
          <w:lang w:val="en-US"/>
        </w:rPr>
        <w:t xml:space="preserve"> </w:t>
      </w:r>
      <w:r w:rsidR="00575E5B" w:rsidRPr="00575E5B">
        <w:rPr>
          <w:rStyle w:val="y2iqfc"/>
          <w:rFonts w:ascii="Tw Cen MT" w:hAnsi="Tw Cen MT" w:cs="Times New Roman"/>
          <w:color w:val="202124"/>
          <w:sz w:val="24"/>
          <w:szCs w:val="24"/>
        </w:rPr>
        <w:t>produksi trombosi</w:t>
      </w:r>
      <w:r w:rsidR="00575E5B" w:rsidRPr="00575E5B">
        <w:rPr>
          <w:rStyle w:val="y2iqfc"/>
          <w:rFonts w:ascii="Tw Cen MT" w:hAnsi="Tw Cen MT" w:cs="Times New Roman"/>
          <w:color w:val="202124"/>
          <w:sz w:val="24"/>
          <w:szCs w:val="24"/>
          <w:lang w:val="en-US"/>
        </w:rPr>
        <w:t xml:space="preserve">t. ( </w:t>
      </w:r>
      <w:commentRangeStart w:id="19"/>
      <w:r w:rsidR="00575E5B" w:rsidRPr="00575E5B">
        <w:rPr>
          <w:rStyle w:val="y2iqfc"/>
          <w:rFonts w:ascii="Tw Cen MT" w:hAnsi="Tw Cen MT" w:cs="Times New Roman"/>
          <w:color w:val="202124"/>
          <w:sz w:val="24"/>
          <w:szCs w:val="24"/>
          <w:lang w:val="en-US"/>
        </w:rPr>
        <w:t xml:space="preserve">Vinayagam S, </w:t>
      </w:r>
      <w:r w:rsidR="00575E5B" w:rsidRPr="00575E5B">
        <w:rPr>
          <w:rStyle w:val="y2iqfc"/>
          <w:rFonts w:ascii="Tw Cen MT" w:hAnsi="Tw Cen MT" w:cs="Times New Roman"/>
          <w:i/>
          <w:iCs/>
          <w:color w:val="202124"/>
          <w:sz w:val="24"/>
          <w:szCs w:val="24"/>
          <w:lang w:val="en-US"/>
        </w:rPr>
        <w:t>et al</w:t>
      </w:r>
      <w:r w:rsidR="00575E5B" w:rsidRPr="00575E5B">
        <w:rPr>
          <w:rStyle w:val="y2iqfc"/>
          <w:rFonts w:ascii="Tw Cen MT" w:hAnsi="Tw Cen MT" w:cs="Times New Roman"/>
          <w:color w:val="202124"/>
          <w:sz w:val="24"/>
          <w:szCs w:val="24"/>
          <w:lang w:val="en-US"/>
        </w:rPr>
        <w:t>.,2020</w:t>
      </w:r>
      <w:commentRangeEnd w:id="19"/>
      <w:r w:rsidR="006E2E3E">
        <w:rPr>
          <w:rStyle w:val="CommentReference"/>
          <w:rFonts w:ascii="Calibri" w:eastAsiaTheme="minorEastAsia" w:hAnsi="Calibri" w:cs="Calibri"/>
          <w:lang w:val="en-US" w:eastAsia="en-US"/>
        </w:rPr>
        <w:commentReference w:id="19"/>
      </w:r>
      <w:r w:rsidR="00575E5B" w:rsidRPr="00575E5B">
        <w:rPr>
          <w:rStyle w:val="y2iqfc"/>
          <w:rFonts w:ascii="Tw Cen MT" w:hAnsi="Tw Cen MT" w:cs="Times New Roman"/>
          <w:color w:val="202124"/>
          <w:sz w:val="24"/>
          <w:szCs w:val="24"/>
          <w:lang w:val="en-US"/>
        </w:rPr>
        <w:t>).</w:t>
      </w:r>
      <w:r w:rsidR="00575E5B" w:rsidRPr="00575E5B">
        <w:rPr>
          <w:rFonts w:ascii="Tw Cen MT" w:hAnsi="Tw Cen MT" w:cs="Times New Roman"/>
          <w:sz w:val="24"/>
          <w:szCs w:val="24"/>
          <w:lang w:val="en-US"/>
        </w:rPr>
        <w:t xml:space="preserve"> Dari mekanisme kerja UFH, salah satu e</w:t>
      </w:r>
      <w:r w:rsidR="00575E5B" w:rsidRPr="00575E5B">
        <w:rPr>
          <w:rFonts w:ascii="Tw Cen MT" w:hAnsi="Tw Cen MT" w:cs="Times New Roman"/>
          <w:sz w:val="24"/>
          <w:szCs w:val="24"/>
        </w:rPr>
        <w:t>fek samping seriusnya adalah Heparin Induced Trombositopenia (HIT). HIT terjadi  akibat reaksi imunologis yang membuat platelet target respon imunologi, mengakibatkan penurunan trombosit. Inilah yang menyebabkan terjadinya trombositopenia.</w:t>
      </w:r>
    </w:p>
    <w:p w14:paraId="286D5783" w14:textId="77777777" w:rsidR="00575E5B" w:rsidRPr="00575E5B" w:rsidRDefault="00575E5B" w:rsidP="00575E5B">
      <w:pPr>
        <w:spacing w:after="0" w:line="240" w:lineRule="auto"/>
        <w:ind w:firstLine="720"/>
        <w:jc w:val="both"/>
        <w:rPr>
          <w:rFonts w:ascii="Tw Cen MT" w:hAnsi="Tw Cen MT" w:cs="Times New Roman"/>
          <w:sz w:val="24"/>
          <w:szCs w:val="24"/>
        </w:rPr>
      </w:pPr>
      <w:r w:rsidRPr="00575E5B">
        <w:rPr>
          <w:rFonts w:ascii="Tw Cen MT" w:hAnsi="Tw Cen MT" w:cs="Times New Roman"/>
          <w:sz w:val="24"/>
          <w:szCs w:val="24"/>
        </w:rPr>
        <w:t xml:space="preserve">Rata-rata trombosit pasien Covid 19 dengan komorbit diabetess mellitus sebelum penggunaan antikoagulan LMWH adalah 267,1 dan setelah penggunaan LMWH adalah 269,4. Berdasarkan hasil uji statistik didapatkan nilai p&gt;0,05 yang berarti pada alpha 5% dapat disimpulkan tidak ada pengaruh penggunaan antikoagulan LMWH terhadap trombosit pasien Covid 19 dengan komorbit diabetes mellitus. </w:t>
      </w:r>
    </w:p>
    <w:p w14:paraId="7EF7F34A" w14:textId="1FD3B2B6" w:rsidR="007106F6" w:rsidRPr="00FF3C37" w:rsidRDefault="00575E5B" w:rsidP="00FF3C37">
      <w:pPr>
        <w:spacing w:after="0" w:line="240" w:lineRule="auto"/>
        <w:ind w:firstLine="709"/>
        <w:jc w:val="both"/>
        <w:rPr>
          <w:rFonts w:ascii="Tw Cen MT" w:eastAsia="Times New Roman" w:hAnsi="Tw Cen MT" w:cs="Times New Roman"/>
          <w:color w:val="000000"/>
          <w:sz w:val="24"/>
          <w:szCs w:val="24"/>
          <w:bdr w:val="none" w:sz="0" w:space="0" w:color="auto" w:frame="1"/>
          <w:lang w:eastAsia="en-ID"/>
        </w:rPr>
      </w:pPr>
      <w:r w:rsidRPr="00575E5B">
        <w:rPr>
          <w:rFonts w:ascii="Tw Cen MT" w:hAnsi="Tw Cen MT" w:cs="Times New Roman"/>
          <w:sz w:val="24"/>
          <w:szCs w:val="24"/>
        </w:rPr>
        <w:t xml:space="preserve">Perbedaan utama antara UFH dan LMWH adalah pada mekanisme inhibisi terhadap Factor-Xa dan thrombin. Kebanyakan rantai UFH mengandung paling sedikit 18 sakarida dan membentuk kompleks dengan ATIII dan thrombin. Berbeda dengan UFH, kompleks LMWH dan Antithrombin (AT) mengikat Factor-Xa dan mengkatalisis inaktivasinya. Jadi, LMWH memperlihatkan aktivitas lebih tinggi terhadap Factor-Xa daripada Factor-IIa, dimana UFH menginaktivasi keduanya </w:t>
      </w:r>
      <w:commentRangeStart w:id="20"/>
      <w:r w:rsidRPr="00575E5B">
        <w:rPr>
          <w:rFonts w:ascii="Tw Cen MT" w:hAnsi="Tw Cen MT" w:cs="Times New Roman"/>
          <w:sz w:val="24"/>
          <w:szCs w:val="24"/>
        </w:rPr>
        <w:t>(Tsiara S dkk.,2011</w:t>
      </w:r>
      <w:commentRangeEnd w:id="20"/>
      <w:r w:rsidR="006E2E3E">
        <w:rPr>
          <w:rStyle w:val="CommentReference"/>
        </w:rPr>
        <w:commentReference w:id="20"/>
      </w:r>
      <w:r w:rsidRPr="00575E5B">
        <w:rPr>
          <w:rFonts w:ascii="Tw Cen MT" w:hAnsi="Tw Cen MT" w:cs="Times New Roman"/>
          <w:sz w:val="24"/>
          <w:szCs w:val="24"/>
        </w:rPr>
        <w:t>).</w:t>
      </w:r>
    </w:p>
    <w:p w14:paraId="027B53A1" w14:textId="77777777" w:rsidR="00FF3C37" w:rsidRDefault="00FF3C37" w:rsidP="004721E3">
      <w:pPr>
        <w:spacing w:after="0" w:line="240" w:lineRule="auto"/>
        <w:jc w:val="both"/>
        <w:rPr>
          <w:rFonts w:ascii="Tw Cen MT" w:eastAsia="Twentieth Century" w:hAnsi="Tw Cen MT" w:cs="Twentieth Century"/>
          <w:b/>
          <w:sz w:val="24"/>
          <w:szCs w:val="24"/>
        </w:rPr>
      </w:pPr>
    </w:p>
    <w:p w14:paraId="093D6C66" w14:textId="177BC683" w:rsidR="007106F6" w:rsidRPr="0096335E" w:rsidRDefault="00FF3C37" w:rsidP="004721E3">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KE</w:t>
      </w:r>
      <w:r w:rsidR="007106F6" w:rsidRPr="0096335E">
        <w:rPr>
          <w:rFonts w:ascii="Tw Cen MT" w:eastAsia="Twentieth Century" w:hAnsi="Tw Cen MT" w:cs="Twentieth Century"/>
          <w:b/>
          <w:sz w:val="24"/>
          <w:szCs w:val="24"/>
        </w:rPr>
        <w:t>SIMPULAN</w:t>
      </w:r>
    </w:p>
    <w:p w14:paraId="442AD857" w14:textId="0451712B" w:rsidR="008838F1" w:rsidRPr="008838F1" w:rsidRDefault="008838F1" w:rsidP="00AB56A0">
      <w:pPr>
        <w:spacing w:line="240" w:lineRule="auto"/>
        <w:jc w:val="both"/>
        <w:rPr>
          <w:rFonts w:ascii="Tw Cen MT" w:hAnsi="Tw Cen MT" w:cs="Times New Roman"/>
          <w:sz w:val="24"/>
          <w:szCs w:val="24"/>
        </w:rPr>
      </w:pPr>
      <w:r w:rsidRPr="008838F1">
        <w:rPr>
          <w:rFonts w:ascii="Tw Cen MT" w:hAnsi="Tw Cen MT" w:cs="Times New Roman"/>
          <w:sz w:val="24"/>
          <w:szCs w:val="24"/>
        </w:rPr>
        <w:t>Adanya hubungan yang signifikan</w:t>
      </w:r>
      <w:r w:rsidR="00AB56A0">
        <w:rPr>
          <w:rFonts w:ascii="Tw Cen MT" w:hAnsi="Tw Cen MT" w:cs="Times New Roman"/>
          <w:sz w:val="24"/>
          <w:szCs w:val="24"/>
        </w:rPr>
        <w:t xml:space="preserve"> </w:t>
      </w:r>
      <w:r w:rsidRPr="008838F1">
        <w:rPr>
          <w:rFonts w:ascii="Tw Cen MT" w:hAnsi="Tw Cen MT" w:cs="Times New Roman"/>
          <w:sz w:val="24"/>
          <w:szCs w:val="24"/>
        </w:rPr>
        <w:t xml:space="preserve">penggunaan antikoagulan profilaksis UFH </w:t>
      </w:r>
      <w:r w:rsidR="00AB56A0">
        <w:rPr>
          <w:rFonts w:ascii="Tw Cen MT" w:hAnsi="Tw Cen MT" w:cs="Times New Roman"/>
          <w:sz w:val="24"/>
          <w:szCs w:val="24"/>
        </w:rPr>
        <w:t>t</w:t>
      </w:r>
      <w:r w:rsidRPr="008838F1">
        <w:rPr>
          <w:rFonts w:ascii="Tw Cen MT" w:hAnsi="Tw Cen MT" w:cs="Times New Roman"/>
          <w:sz w:val="24"/>
          <w:szCs w:val="24"/>
        </w:rPr>
        <w:t>erhadap penurunan nilai D-Dimer pada pasien covid-19 derajat kritis dengan komorbid Diabetes (p=0,001), namun pada penggunaan LMWH dosis profilaksis tidak berpengaruh signifikan terhadap penurunan  nilai D-Dimer pasien Covid 19 derajat kritis -komorbid diabetes (p=0,05).</w:t>
      </w:r>
      <w:r w:rsidR="00AB56A0">
        <w:rPr>
          <w:rFonts w:ascii="Tw Cen MT" w:hAnsi="Tw Cen MT" w:cs="Times New Roman"/>
          <w:sz w:val="24"/>
          <w:szCs w:val="24"/>
        </w:rPr>
        <w:t xml:space="preserve"> Sedangkan hubungannya terhadap</w:t>
      </w:r>
      <w:r w:rsidRPr="008838F1">
        <w:rPr>
          <w:rFonts w:ascii="Tw Cen MT" w:hAnsi="Tw Cen MT" w:cs="Times New Roman"/>
          <w:sz w:val="24"/>
          <w:szCs w:val="24"/>
        </w:rPr>
        <w:t xml:space="preserve"> nilai Prothrombin Time (PT) </w:t>
      </w:r>
      <w:r w:rsidR="00AB56A0">
        <w:rPr>
          <w:rFonts w:ascii="Tw Cen MT" w:hAnsi="Tw Cen MT" w:cs="Times New Roman"/>
          <w:sz w:val="24"/>
          <w:szCs w:val="24"/>
        </w:rPr>
        <w:t>pada kedua kelompok tidak signifikan, terhadap nilai trombosit UFH signifikan menurunkan nilai trombosit sementara LMWH hubungannya tidak signifikan.</w:t>
      </w:r>
      <w:r w:rsidRPr="008838F1">
        <w:rPr>
          <w:rFonts w:ascii="Tw Cen MT" w:hAnsi="Tw Cen MT" w:cs="Times New Roman"/>
          <w:sz w:val="24"/>
          <w:szCs w:val="24"/>
        </w:rPr>
        <w:t xml:space="preserve"> </w:t>
      </w:r>
      <w:r w:rsidR="00AB56A0">
        <w:rPr>
          <w:rFonts w:ascii="Tw Cen MT" w:hAnsi="Tw Cen MT" w:cs="Times New Roman"/>
          <w:sz w:val="24"/>
          <w:szCs w:val="24"/>
        </w:rPr>
        <w:t>Dapat disimpulkan untuk pasien Covid-19 dengan komorbid Diabetes lebih baik menggunakan UFH sebagai alternatif terapi antikoagulan profilaksis.</w:t>
      </w: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07B19FCA" w14:textId="77777777" w:rsidR="00242EFB" w:rsidRDefault="00242EFB" w:rsidP="004721E3">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Peneliti mengucapkan terimakasih kepada Afif dan Taufik yang telah membantu pelaksanaan penelitian yang telah memfasilitasi administrasi perizinan penelitian dan penyajian rekam medik yang dibutuhkan dalam penelitian ini. </w:t>
      </w:r>
    </w:p>
    <w:p w14:paraId="179E50F3" w14:textId="77777777" w:rsidR="00610831" w:rsidRDefault="00610831" w:rsidP="004721E3">
      <w:pPr>
        <w:tabs>
          <w:tab w:val="left" w:pos="426"/>
        </w:tabs>
        <w:spacing w:after="0" w:line="240" w:lineRule="auto"/>
        <w:jc w:val="both"/>
        <w:rPr>
          <w:rFonts w:ascii="Tw Cen MT" w:eastAsia="Twentieth Century" w:hAnsi="Tw Cen MT" w:cs="Twentieth Century"/>
          <w:b/>
          <w:sz w:val="24"/>
          <w:szCs w:val="24"/>
        </w:rPr>
      </w:pPr>
    </w:p>
    <w:p w14:paraId="2B67265D" w14:textId="77777777" w:rsidR="004421CC" w:rsidRDefault="004421CC" w:rsidP="004721E3">
      <w:pPr>
        <w:tabs>
          <w:tab w:val="left" w:pos="426"/>
        </w:tabs>
        <w:spacing w:after="0" w:line="240" w:lineRule="auto"/>
        <w:jc w:val="both"/>
        <w:rPr>
          <w:rFonts w:ascii="Tw Cen MT" w:eastAsia="Twentieth Century" w:hAnsi="Tw Cen MT" w:cs="Twentieth Century"/>
          <w:b/>
          <w:sz w:val="24"/>
          <w:szCs w:val="24"/>
        </w:rPr>
      </w:pPr>
    </w:p>
    <w:p w14:paraId="19806C7C" w14:textId="77777777" w:rsidR="00610831" w:rsidRDefault="00610831" w:rsidP="004721E3">
      <w:pPr>
        <w:tabs>
          <w:tab w:val="left" w:pos="426"/>
        </w:tabs>
        <w:spacing w:after="0" w:line="240" w:lineRule="auto"/>
        <w:jc w:val="both"/>
        <w:rPr>
          <w:rFonts w:ascii="Tw Cen MT" w:eastAsia="Twentieth Century" w:hAnsi="Tw Cen MT" w:cs="Twentieth Century"/>
          <w:b/>
          <w:sz w:val="24"/>
          <w:szCs w:val="24"/>
        </w:rPr>
      </w:pPr>
    </w:p>
    <w:p w14:paraId="7E4B783F" w14:textId="33A3444F"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commentRangeStart w:id="21"/>
    <w:commentRangeStart w:id="22"/>
    <w:p w14:paraId="7939B989" w14:textId="51632C86" w:rsidR="00610831" w:rsidRPr="00610831" w:rsidRDefault="00610831" w:rsidP="00610831">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b/>
          <w:sz w:val="24"/>
          <w:szCs w:val="24"/>
        </w:rPr>
        <w:fldChar w:fldCharType="begin" w:fldLock="1"/>
      </w:r>
      <w:r>
        <w:rPr>
          <w:rFonts w:ascii="Tw Cen MT" w:eastAsia="Twentieth Century" w:hAnsi="Tw Cen MT" w:cs="Twentieth Century"/>
          <w:b/>
          <w:sz w:val="24"/>
          <w:szCs w:val="24"/>
        </w:rPr>
        <w:instrText xml:space="preserve">ADDIN Mendeley Bibliography CSL_BIBLIOGRAPHY </w:instrText>
      </w:r>
      <w:r>
        <w:rPr>
          <w:rFonts w:ascii="Tw Cen MT" w:eastAsia="Twentieth Century" w:hAnsi="Tw Cen MT" w:cs="Twentieth Century"/>
          <w:b/>
          <w:sz w:val="24"/>
          <w:szCs w:val="24"/>
        </w:rPr>
        <w:fldChar w:fldCharType="separate"/>
      </w:r>
      <w:r w:rsidRPr="00610831">
        <w:rPr>
          <w:rFonts w:ascii="Tw Cen MT" w:hAnsi="Tw Cen MT" w:cs="Times New Roman"/>
          <w:noProof/>
          <w:sz w:val="24"/>
          <w:szCs w:val="24"/>
        </w:rPr>
        <w:t>[1]</w:t>
      </w:r>
      <w:r w:rsidRPr="00610831">
        <w:rPr>
          <w:rFonts w:ascii="Tw Cen MT" w:hAnsi="Tw Cen MT" w:cs="Times New Roman"/>
          <w:noProof/>
          <w:sz w:val="24"/>
          <w:szCs w:val="24"/>
        </w:rPr>
        <w:tab/>
        <w:t xml:space="preserve">W. Y </w:t>
      </w:r>
      <w:r w:rsidRPr="00610831">
        <w:rPr>
          <w:rFonts w:ascii="Tw Cen MT" w:hAnsi="Tw Cen MT" w:cs="Times New Roman"/>
          <w:i/>
          <w:iCs/>
          <w:noProof/>
          <w:sz w:val="24"/>
          <w:szCs w:val="24"/>
        </w:rPr>
        <w:t>et al.</w:t>
      </w:r>
      <w:r w:rsidRPr="00610831">
        <w:rPr>
          <w:rFonts w:ascii="Tw Cen MT" w:hAnsi="Tw Cen MT" w:cs="Times New Roman"/>
          <w:noProof/>
          <w:sz w:val="24"/>
          <w:szCs w:val="24"/>
        </w:rPr>
        <w:t xml:space="preserve">, “Clinical features of patients infected with 2019 novel coronavirus in Wuhan, China,” </w:t>
      </w:r>
      <w:r w:rsidRPr="00610831">
        <w:rPr>
          <w:rFonts w:ascii="Tw Cen MT" w:hAnsi="Tw Cen MT" w:cs="Times New Roman"/>
          <w:i/>
          <w:iCs/>
          <w:noProof/>
          <w:sz w:val="24"/>
          <w:szCs w:val="24"/>
        </w:rPr>
        <w:t>Lancet</w:t>
      </w:r>
      <w:r w:rsidRPr="00610831">
        <w:rPr>
          <w:rFonts w:ascii="Tw Cen MT" w:hAnsi="Tw Cen MT" w:cs="Times New Roman"/>
          <w:noProof/>
          <w:sz w:val="24"/>
          <w:szCs w:val="24"/>
        </w:rPr>
        <w:t>, 2020.</w:t>
      </w:r>
    </w:p>
    <w:p w14:paraId="368FC464" w14:textId="77777777" w:rsidR="00610831" w:rsidRPr="00610831" w:rsidRDefault="00610831" w:rsidP="00610831">
      <w:pPr>
        <w:widowControl w:val="0"/>
        <w:autoSpaceDE w:val="0"/>
        <w:autoSpaceDN w:val="0"/>
        <w:adjustRightInd w:val="0"/>
        <w:spacing w:after="0" w:line="240" w:lineRule="auto"/>
        <w:ind w:left="640" w:hanging="640"/>
        <w:rPr>
          <w:rFonts w:ascii="Tw Cen MT" w:hAnsi="Tw Cen MT" w:cs="Times New Roman"/>
          <w:noProof/>
          <w:sz w:val="24"/>
          <w:szCs w:val="24"/>
        </w:rPr>
      </w:pPr>
      <w:r w:rsidRPr="00610831">
        <w:rPr>
          <w:rFonts w:ascii="Tw Cen MT" w:hAnsi="Tw Cen MT" w:cs="Times New Roman"/>
          <w:noProof/>
          <w:sz w:val="24"/>
          <w:szCs w:val="24"/>
        </w:rPr>
        <w:t>[2]</w:t>
      </w:r>
      <w:r w:rsidRPr="00610831">
        <w:rPr>
          <w:rFonts w:ascii="Tw Cen MT" w:hAnsi="Tw Cen MT" w:cs="Times New Roman"/>
          <w:noProof/>
          <w:sz w:val="24"/>
          <w:szCs w:val="24"/>
        </w:rPr>
        <w:tab/>
        <w:t xml:space="preserve">A. Cuker </w:t>
      </w:r>
      <w:r w:rsidRPr="00610831">
        <w:rPr>
          <w:rFonts w:ascii="Tw Cen MT" w:hAnsi="Tw Cen MT" w:cs="Times New Roman"/>
          <w:i/>
          <w:iCs/>
          <w:noProof/>
          <w:sz w:val="24"/>
          <w:szCs w:val="24"/>
        </w:rPr>
        <w:t>et al.</w:t>
      </w:r>
      <w:r w:rsidRPr="00610831">
        <w:rPr>
          <w:rFonts w:ascii="Tw Cen MT" w:hAnsi="Tw Cen MT" w:cs="Times New Roman"/>
          <w:noProof/>
          <w:sz w:val="24"/>
          <w:szCs w:val="24"/>
        </w:rPr>
        <w:t xml:space="preserve">, “American Society of Hematology 2021 guidelines on the use of anticoagulation for thromboprophylaxis in patients with COVID-19,” </w:t>
      </w:r>
      <w:r w:rsidRPr="00610831">
        <w:rPr>
          <w:rFonts w:ascii="Tw Cen MT" w:hAnsi="Tw Cen MT" w:cs="Times New Roman"/>
          <w:i/>
          <w:iCs/>
          <w:noProof/>
          <w:sz w:val="24"/>
          <w:szCs w:val="24"/>
        </w:rPr>
        <w:t>Blood Adv.</w:t>
      </w:r>
      <w:r w:rsidRPr="00610831">
        <w:rPr>
          <w:rFonts w:ascii="Tw Cen MT" w:hAnsi="Tw Cen MT" w:cs="Times New Roman"/>
          <w:noProof/>
          <w:sz w:val="24"/>
          <w:szCs w:val="24"/>
        </w:rPr>
        <w:t>, 2021, doi: 10.1182/bloodadvances.2020003763.</w:t>
      </w:r>
    </w:p>
    <w:p w14:paraId="446E017A" w14:textId="77777777" w:rsidR="00610831" w:rsidRPr="00610831" w:rsidRDefault="00610831" w:rsidP="00610831">
      <w:pPr>
        <w:widowControl w:val="0"/>
        <w:autoSpaceDE w:val="0"/>
        <w:autoSpaceDN w:val="0"/>
        <w:adjustRightInd w:val="0"/>
        <w:spacing w:after="0" w:line="240" w:lineRule="auto"/>
        <w:ind w:left="640" w:hanging="640"/>
        <w:rPr>
          <w:rFonts w:ascii="Tw Cen MT" w:hAnsi="Tw Cen MT" w:cs="Times New Roman"/>
          <w:noProof/>
          <w:sz w:val="24"/>
          <w:szCs w:val="24"/>
        </w:rPr>
      </w:pPr>
      <w:r w:rsidRPr="00610831">
        <w:rPr>
          <w:rFonts w:ascii="Tw Cen MT" w:hAnsi="Tw Cen MT" w:cs="Times New Roman"/>
          <w:noProof/>
          <w:sz w:val="24"/>
          <w:szCs w:val="24"/>
        </w:rPr>
        <w:t>[3]</w:t>
      </w:r>
      <w:r w:rsidRPr="00610831">
        <w:rPr>
          <w:rFonts w:ascii="Tw Cen MT" w:hAnsi="Tw Cen MT" w:cs="Times New Roman"/>
          <w:noProof/>
          <w:sz w:val="24"/>
          <w:szCs w:val="24"/>
        </w:rPr>
        <w:tab/>
        <w:t xml:space="preserve">R. Zheng </w:t>
      </w:r>
      <w:r w:rsidRPr="00610831">
        <w:rPr>
          <w:rFonts w:ascii="Tw Cen MT" w:hAnsi="Tw Cen MT" w:cs="Times New Roman"/>
          <w:i/>
          <w:iCs/>
          <w:noProof/>
          <w:sz w:val="24"/>
          <w:szCs w:val="24"/>
        </w:rPr>
        <w:t>et al.</w:t>
      </w:r>
      <w:r w:rsidRPr="00610831">
        <w:rPr>
          <w:rFonts w:ascii="Tw Cen MT" w:hAnsi="Tw Cen MT" w:cs="Times New Roman"/>
          <w:noProof/>
          <w:sz w:val="24"/>
          <w:szCs w:val="24"/>
        </w:rPr>
        <w:t xml:space="preserve">, “COVID-19-associated coagulopathy: thromboembolism prophylaxis and poor prognosis in ICU,” </w:t>
      </w:r>
      <w:r w:rsidRPr="00610831">
        <w:rPr>
          <w:rFonts w:ascii="Tw Cen MT" w:hAnsi="Tw Cen MT" w:cs="Times New Roman"/>
          <w:i/>
          <w:iCs/>
          <w:noProof/>
          <w:sz w:val="24"/>
          <w:szCs w:val="24"/>
        </w:rPr>
        <w:t>Exp. Hematol. Oncol.</w:t>
      </w:r>
      <w:r w:rsidRPr="00610831">
        <w:rPr>
          <w:rFonts w:ascii="Tw Cen MT" w:hAnsi="Tw Cen MT" w:cs="Times New Roman"/>
          <w:noProof/>
          <w:sz w:val="24"/>
          <w:szCs w:val="24"/>
        </w:rPr>
        <w:t>, 2021, doi: 10.1186/s40164-021-00202-9.</w:t>
      </w:r>
    </w:p>
    <w:p w14:paraId="4B3B744B" w14:textId="77777777" w:rsidR="00610831" w:rsidRPr="00610831" w:rsidRDefault="00610831" w:rsidP="00610831">
      <w:pPr>
        <w:widowControl w:val="0"/>
        <w:autoSpaceDE w:val="0"/>
        <w:autoSpaceDN w:val="0"/>
        <w:adjustRightInd w:val="0"/>
        <w:spacing w:after="0" w:line="240" w:lineRule="auto"/>
        <w:ind w:left="640" w:hanging="640"/>
        <w:rPr>
          <w:rFonts w:ascii="Tw Cen MT" w:hAnsi="Tw Cen MT" w:cs="Times New Roman"/>
          <w:noProof/>
          <w:sz w:val="24"/>
          <w:szCs w:val="24"/>
        </w:rPr>
      </w:pPr>
      <w:r w:rsidRPr="00610831">
        <w:rPr>
          <w:rFonts w:ascii="Tw Cen MT" w:hAnsi="Tw Cen MT" w:cs="Times New Roman"/>
          <w:noProof/>
          <w:sz w:val="24"/>
          <w:szCs w:val="24"/>
        </w:rPr>
        <w:t>[4]</w:t>
      </w:r>
      <w:r w:rsidRPr="00610831">
        <w:rPr>
          <w:rFonts w:ascii="Tw Cen MT" w:hAnsi="Tw Cen MT" w:cs="Times New Roman"/>
          <w:noProof/>
          <w:sz w:val="24"/>
          <w:szCs w:val="24"/>
        </w:rPr>
        <w:tab/>
        <w:t xml:space="preserve">E. Burhan </w:t>
      </w:r>
      <w:r w:rsidRPr="00610831">
        <w:rPr>
          <w:rFonts w:ascii="Tw Cen MT" w:hAnsi="Tw Cen MT" w:cs="Times New Roman"/>
          <w:i/>
          <w:iCs/>
          <w:noProof/>
          <w:sz w:val="24"/>
          <w:szCs w:val="24"/>
        </w:rPr>
        <w:t>et al.</w:t>
      </w:r>
      <w:r w:rsidRPr="00610831">
        <w:rPr>
          <w:rFonts w:ascii="Tw Cen MT" w:hAnsi="Tw Cen MT" w:cs="Times New Roman"/>
          <w:noProof/>
          <w:sz w:val="24"/>
          <w:szCs w:val="24"/>
        </w:rPr>
        <w:t xml:space="preserve">, </w:t>
      </w:r>
      <w:r w:rsidRPr="00610831">
        <w:rPr>
          <w:rFonts w:ascii="Tw Cen MT" w:hAnsi="Tw Cen MT" w:cs="Times New Roman"/>
          <w:i/>
          <w:iCs/>
          <w:noProof/>
          <w:sz w:val="24"/>
          <w:szCs w:val="24"/>
        </w:rPr>
        <w:t>Cedera miokardium pada infeksi COVID-19</w:t>
      </w:r>
      <w:r w:rsidRPr="00610831">
        <w:rPr>
          <w:rFonts w:ascii="Tw Cen MT" w:hAnsi="Tw Cen MT" w:cs="Times New Roman"/>
          <w:noProof/>
          <w:sz w:val="24"/>
          <w:szCs w:val="24"/>
        </w:rPr>
        <w:t>. 2022.</w:t>
      </w:r>
    </w:p>
    <w:p w14:paraId="42E94C52" w14:textId="77777777" w:rsidR="00610831" w:rsidRPr="00610831" w:rsidRDefault="00610831" w:rsidP="00610831">
      <w:pPr>
        <w:widowControl w:val="0"/>
        <w:autoSpaceDE w:val="0"/>
        <w:autoSpaceDN w:val="0"/>
        <w:adjustRightInd w:val="0"/>
        <w:spacing w:after="0" w:line="240" w:lineRule="auto"/>
        <w:ind w:left="640" w:hanging="640"/>
        <w:rPr>
          <w:rFonts w:ascii="Tw Cen MT" w:hAnsi="Tw Cen MT" w:cs="Times New Roman"/>
          <w:noProof/>
          <w:sz w:val="24"/>
          <w:szCs w:val="24"/>
        </w:rPr>
      </w:pPr>
      <w:r w:rsidRPr="00610831">
        <w:rPr>
          <w:rFonts w:ascii="Tw Cen MT" w:hAnsi="Tw Cen MT" w:cs="Times New Roman"/>
          <w:noProof/>
          <w:sz w:val="24"/>
          <w:szCs w:val="24"/>
        </w:rPr>
        <w:t>[5]</w:t>
      </w:r>
      <w:r w:rsidRPr="00610831">
        <w:rPr>
          <w:rFonts w:ascii="Tw Cen MT" w:hAnsi="Tw Cen MT" w:cs="Times New Roman"/>
          <w:noProof/>
          <w:sz w:val="24"/>
          <w:szCs w:val="24"/>
        </w:rPr>
        <w:tab/>
        <w:t xml:space="preserve">Arikunto S., “Prosedur penelitian suatu pendekatan praktik.,” </w:t>
      </w:r>
      <w:r w:rsidRPr="00610831">
        <w:rPr>
          <w:rFonts w:ascii="Tw Cen MT" w:hAnsi="Tw Cen MT" w:cs="Times New Roman"/>
          <w:i/>
          <w:iCs/>
          <w:noProof/>
          <w:sz w:val="24"/>
          <w:szCs w:val="24"/>
        </w:rPr>
        <w:t>Jakarta: Rineka Cipta</w:t>
      </w:r>
      <w:r w:rsidRPr="00610831">
        <w:rPr>
          <w:rFonts w:ascii="Tw Cen MT" w:hAnsi="Tw Cen MT" w:cs="Times New Roman"/>
          <w:noProof/>
          <w:sz w:val="24"/>
          <w:szCs w:val="24"/>
        </w:rPr>
        <w:t>. 2006.</w:t>
      </w:r>
    </w:p>
    <w:p w14:paraId="0B21AEEC" w14:textId="77777777" w:rsidR="00610831" w:rsidRPr="00610831" w:rsidRDefault="00610831" w:rsidP="00610831">
      <w:pPr>
        <w:widowControl w:val="0"/>
        <w:autoSpaceDE w:val="0"/>
        <w:autoSpaceDN w:val="0"/>
        <w:adjustRightInd w:val="0"/>
        <w:spacing w:after="0" w:line="240" w:lineRule="auto"/>
        <w:ind w:left="640" w:hanging="640"/>
        <w:rPr>
          <w:rFonts w:ascii="Tw Cen MT" w:hAnsi="Tw Cen MT" w:cs="Times New Roman"/>
          <w:noProof/>
          <w:sz w:val="24"/>
          <w:szCs w:val="24"/>
        </w:rPr>
      </w:pPr>
      <w:r w:rsidRPr="00610831">
        <w:rPr>
          <w:rFonts w:ascii="Tw Cen MT" w:hAnsi="Tw Cen MT" w:cs="Times New Roman"/>
          <w:noProof/>
          <w:sz w:val="24"/>
          <w:szCs w:val="24"/>
        </w:rPr>
        <w:t>[6]</w:t>
      </w:r>
      <w:r w:rsidRPr="00610831">
        <w:rPr>
          <w:rFonts w:ascii="Tw Cen MT" w:hAnsi="Tw Cen MT" w:cs="Times New Roman"/>
          <w:noProof/>
          <w:sz w:val="24"/>
          <w:szCs w:val="24"/>
        </w:rPr>
        <w:tab/>
        <w:t xml:space="preserve">B. S. Joly, V. Siguret, and A. Veyradier, “Understanding pathophysiology of hemostasis disorders in critically ill patients with COVID-19,” </w:t>
      </w:r>
      <w:r w:rsidRPr="00610831">
        <w:rPr>
          <w:rFonts w:ascii="Tw Cen MT" w:hAnsi="Tw Cen MT" w:cs="Times New Roman"/>
          <w:i/>
          <w:iCs/>
          <w:noProof/>
          <w:sz w:val="24"/>
          <w:szCs w:val="24"/>
        </w:rPr>
        <w:t>Intensive Care Medicine</w:t>
      </w:r>
      <w:r w:rsidRPr="00610831">
        <w:rPr>
          <w:rFonts w:ascii="Tw Cen MT" w:hAnsi="Tw Cen MT" w:cs="Times New Roman"/>
          <w:noProof/>
          <w:sz w:val="24"/>
          <w:szCs w:val="24"/>
        </w:rPr>
        <w:t>. 2020. doi: 10.1007/s00134-020-06088-1.</w:t>
      </w:r>
    </w:p>
    <w:p w14:paraId="26405200" w14:textId="77777777" w:rsidR="00610831" w:rsidRPr="00610831" w:rsidRDefault="00610831" w:rsidP="00610831">
      <w:pPr>
        <w:widowControl w:val="0"/>
        <w:autoSpaceDE w:val="0"/>
        <w:autoSpaceDN w:val="0"/>
        <w:adjustRightInd w:val="0"/>
        <w:spacing w:after="0" w:line="240" w:lineRule="auto"/>
        <w:ind w:left="640" w:hanging="640"/>
        <w:rPr>
          <w:rFonts w:ascii="Tw Cen MT" w:hAnsi="Tw Cen MT" w:cs="Times New Roman"/>
          <w:noProof/>
          <w:sz w:val="24"/>
          <w:szCs w:val="24"/>
        </w:rPr>
      </w:pPr>
      <w:r w:rsidRPr="00610831">
        <w:rPr>
          <w:rFonts w:ascii="Tw Cen MT" w:hAnsi="Tw Cen MT" w:cs="Times New Roman"/>
          <w:noProof/>
          <w:sz w:val="24"/>
          <w:szCs w:val="24"/>
        </w:rPr>
        <w:t>[7]</w:t>
      </w:r>
      <w:r w:rsidRPr="00610831">
        <w:rPr>
          <w:rFonts w:ascii="Tw Cen MT" w:hAnsi="Tw Cen MT" w:cs="Times New Roman"/>
          <w:noProof/>
          <w:sz w:val="24"/>
          <w:szCs w:val="24"/>
        </w:rPr>
        <w:tab/>
        <w:t xml:space="preserve">Zahtamal and dkk, “Faktor-Faktor Risiko Pasien Diabetes Melitus,” </w:t>
      </w:r>
      <w:r w:rsidRPr="00610831">
        <w:rPr>
          <w:rFonts w:ascii="Tw Cen MT" w:hAnsi="Tw Cen MT" w:cs="Times New Roman"/>
          <w:i/>
          <w:iCs/>
          <w:noProof/>
          <w:sz w:val="24"/>
          <w:szCs w:val="24"/>
        </w:rPr>
        <w:t>Ber. Kedokt. Masy.</w:t>
      </w:r>
      <w:r w:rsidRPr="00610831">
        <w:rPr>
          <w:rFonts w:ascii="Tw Cen MT" w:hAnsi="Tw Cen MT" w:cs="Times New Roman"/>
          <w:noProof/>
          <w:sz w:val="24"/>
          <w:szCs w:val="24"/>
        </w:rPr>
        <w:t>, 2007.</w:t>
      </w:r>
    </w:p>
    <w:p w14:paraId="0C96A1AB" w14:textId="77777777" w:rsidR="00610831" w:rsidRPr="00502FF2" w:rsidRDefault="00610831" w:rsidP="00610831">
      <w:pPr>
        <w:widowControl w:val="0"/>
        <w:autoSpaceDE w:val="0"/>
        <w:autoSpaceDN w:val="0"/>
        <w:adjustRightInd w:val="0"/>
        <w:spacing w:after="0" w:line="240" w:lineRule="auto"/>
        <w:ind w:left="640" w:hanging="640"/>
        <w:rPr>
          <w:rFonts w:ascii="Tw Cen MT" w:hAnsi="Tw Cen MT" w:cs="Times New Roman"/>
          <w:noProof/>
          <w:sz w:val="24"/>
          <w:szCs w:val="24"/>
        </w:rPr>
      </w:pPr>
      <w:r w:rsidRPr="00610831">
        <w:rPr>
          <w:rFonts w:ascii="Tw Cen MT" w:hAnsi="Tw Cen MT" w:cs="Times New Roman"/>
          <w:noProof/>
          <w:sz w:val="24"/>
          <w:szCs w:val="24"/>
        </w:rPr>
        <w:t>[8]</w:t>
      </w:r>
      <w:r w:rsidRPr="00610831">
        <w:rPr>
          <w:rFonts w:ascii="Tw Cen MT" w:hAnsi="Tw Cen MT" w:cs="Times New Roman"/>
          <w:noProof/>
          <w:sz w:val="24"/>
          <w:szCs w:val="24"/>
        </w:rPr>
        <w:tab/>
        <w:t xml:space="preserve">G. Hale and M. Brenner, “Risks and Benefits of Low Molecular-Weight Heparin and Target-Specific Oral Anticoagulant Use for Thromboprophylaxis in Medically Ill </w:t>
      </w:r>
      <w:r w:rsidRPr="00502FF2">
        <w:rPr>
          <w:rFonts w:ascii="Tw Cen MT" w:hAnsi="Tw Cen MT" w:cs="Times New Roman"/>
          <w:noProof/>
          <w:sz w:val="24"/>
          <w:szCs w:val="24"/>
        </w:rPr>
        <w:t xml:space="preserve">Patients,” </w:t>
      </w:r>
      <w:r w:rsidRPr="00502FF2">
        <w:rPr>
          <w:rFonts w:ascii="Tw Cen MT" w:hAnsi="Tw Cen MT" w:cs="Times New Roman"/>
          <w:i/>
          <w:iCs/>
          <w:noProof/>
          <w:sz w:val="24"/>
          <w:szCs w:val="24"/>
        </w:rPr>
        <w:t>American Journal of Cardiovascular Drugs</w:t>
      </w:r>
      <w:r w:rsidRPr="00502FF2">
        <w:rPr>
          <w:rFonts w:ascii="Tw Cen MT" w:hAnsi="Tw Cen MT" w:cs="Times New Roman"/>
          <w:noProof/>
          <w:sz w:val="24"/>
          <w:szCs w:val="24"/>
        </w:rPr>
        <w:t>. 2015. doi: 10.1007/s40256-015-0122-7.</w:t>
      </w:r>
    </w:p>
    <w:p w14:paraId="0F200AD7" w14:textId="0918582A" w:rsidR="00081E9C" w:rsidRPr="00502FF2" w:rsidRDefault="004421CC" w:rsidP="004421CC">
      <w:pPr>
        <w:widowControl w:val="0"/>
        <w:autoSpaceDE w:val="0"/>
        <w:autoSpaceDN w:val="0"/>
        <w:adjustRightInd w:val="0"/>
        <w:spacing w:line="240" w:lineRule="auto"/>
        <w:ind w:left="567" w:hanging="567"/>
        <w:rPr>
          <w:rFonts w:ascii="Tw Cen MT" w:hAnsi="Tw Cen MT" w:cs="Times New Roman"/>
          <w:noProof/>
          <w:sz w:val="24"/>
          <w:szCs w:val="24"/>
        </w:rPr>
      </w:pPr>
      <w:r w:rsidRPr="00502FF2">
        <w:rPr>
          <w:rFonts w:ascii="Tw Cen MT" w:hAnsi="Tw Cen MT" w:cs="Times New Roman"/>
          <w:noProof/>
          <w:sz w:val="24"/>
          <w:szCs w:val="24"/>
        </w:rPr>
        <w:t xml:space="preserve">(9)     </w:t>
      </w:r>
      <w:r w:rsidR="00081E9C" w:rsidRPr="00502FF2">
        <w:rPr>
          <w:rFonts w:ascii="Tw Cen MT" w:hAnsi="Tw Cen MT" w:cs="Times New Roman"/>
          <w:noProof/>
          <w:sz w:val="24"/>
          <w:szCs w:val="24"/>
        </w:rPr>
        <w:t xml:space="preserve">Terpos, E. </w:t>
      </w:r>
      <w:r w:rsidR="00081E9C" w:rsidRPr="00502FF2">
        <w:rPr>
          <w:rFonts w:ascii="Tw Cen MT" w:hAnsi="Tw Cen MT" w:cs="Times New Roman"/>
          <w:i/>
          <w:iCs/>
          <w:noProof/>
          <w:sz w:val="24"/>
          <w:szCs w:val="24"/>
        </w:rPr>
        <w:t>et al.</w:t>
      </w:r>
      <w:r w:rsidR="00081E9C" w:rsidRPr="00502FF2">
        <w:rPr>
          <w:rFonts w:ascii="Tw Cen MT" w:hAnsi="Tw Cen MT" w:cs="Times New Roman"/>
          <w:noProof/>
          <w:sz w:val="24"/>
          <w:szCs w:val="24"/>
        </w:rPr>
        <w:t xml:space="preserve"> (2020) ‘Hematological findings and complications of COVID-19’, </w:t>
      </w:r>
      <w:r w:rsidR="00081E9C" w:rsidRPr="00502FF2">
        <w:rPr>
          <w:rFonts w:ascii="Tw Cen MT" w:hAnsi="Tw Cen MT" w:cs="Times New Roman"/>
          <w:i/>
          <w:iCs/>
          <w:noProof/>
          <w:sz w:val="24"/>
          <w:szCs w:val="24"/>
        </w:rPr>
        <w:t>American Journal of Hematology</w:t>
      </w:r>
      <w:r w:rsidR="00081E9C" w:rsidRPr="00502FF2">
        <w:rPr>
          <w:rFonts w:ascii="Tw Cen MT" w:hAnsi="Tw Cen MT" w:cs="Times New Roman"/>
          <w:noProof/>
          <w:sz w:val="24"/>
          <w:szCs w:val="24"/>
        </w:rPr>
        <w:t xml:space="preserve"> [Preprint]. doi:10.1002/ajh.25829.</w:t>
      </w:r>
    </w:p>
    <w:p w14:paraId="670E6252" w14:textId="21E6EA07" w:rsidR="00081E9C" w:rsidRPr="00502FF2" w:rsidRDefault="004421CC" w:rsidP="004421CC">
      <w:pPr>
        <w:widowControl w:val="0"/>
        <w:autoSpaceDE w:val="0"/>
        <w:autoSpaceDN w:val="0"/>
        <w:adjustRightInd w:val="0"/>
        <w:spacing w:line="240" w:lineRule="auto"/>
        <w:ind w:left="567" w:hanging="567"/>
        <w:rPr>
          <w:rFonts w:ascii="Tw Cen MT" w:hAnsi="Tw Cen MT" w:cs="Times New Roman"/>
          <w:noProof/>
          <w:sz w:val="24"/>
          <w:szCs w:val="24"/>
        </w:rPr>
      </w:pPr>
      <w:r w:rsidRPr="00502FF2">
        <w:rPr>
          <w:rFonts w:ascii="Tw Cen MT" w:hAnsi="Tw Cen MT" w:cs="Times New Roman"/>
          <w:noProof/>
          <w:sz w:val="24"/>
          <w:szCs w:val="24"/>
        </w:rPr>
        <w:t xml:space="preserve">(10)  </w:t>
      </w:r>
      <w:r w:rsidR="00081E9C" w:rsidRPr="00502FF2">
        <w:rPr>
          <w:rFonts w:ascii="Tw Cen MT" w:hAnsi="Tw Cen MT" w:cs="Times New Roman"/>
          <w:noProof/>
          <w:sz w:val="24"/>
          <w:szCs w:val="24"/>
        </w:rPr>
        <w:t xml:space="preserve">Y, W. </w:t>
      </w:r>
      <w:r w:rsidR="00081E9C" w:rsidRPr="00502FF2">
        <w:rPr>
          <w:rFonts w:ascii="Tw Cen MT" w:hAnsi="Tw Cen MT" w:cs="Times New Roman"/>
          <w:i/>
          <w:iCs/>
          <w:noProof/>
          <w:sz w:val="24"/>
          <w:szCs w:val="24"/>
        </w:rPr>
        <w:t>et al.</w:t>
      </w:r>
      <w:r w:rsidR="00081E9C" w:rsidRPr="00502FF2">
        <w:rPr>
          <w:rFonts w:ascii="Tw Cen MT" w:hAnsi="Tw Cen MT" w:cs="Times New Roman"/>
          <w:noProof/>
          <w:sz w:val="24"/>
          <w:szCs w:val="24"/>
        </w:rPr>
        <w:t xml:space="preserve"> (2020) ‘Clinical features of patients infected with 2019 novel coronavirus in Wuhan, China’, </w:t>
      </w:r>
      <w:r w:rsidR="00081E9C" w:rsidRPr="00502FF2">
        <w:rPr>
          <w:rFonts w:ascii="Tw Cen MT" w:hAnsi="Tw Cen MT" w:cs="Times New Roman"/>
          <w:i/>
          <w:iCs/>
          <w:noProof/>
          <w:sz w:val="24"/>
          <w:szCs w:val="24"/>
        </w:rPr>
        <w:t>The Lancet</w:t>
      </w:r>
      <w:r w:rsidR="00081E9C" w:rsidRPr="00502FF2">
        <w:rPr>
          <w:rFonts w:ascii="Tw Cen MT" w:hAnsi="Tw Cen MT" w:cs="Times New Roman"/>
          <w:noProof/>
          <w:sz w:val="24"/>
          <w:szCs w:val="24"/>
        </w:rPr>
        <w:t xml:space="preserve"> [Preprint].</w:t>
      </w:r>
    </w:p>
    <w:p w14:paraId="4BCF3418" w14:textId="77777777" w:rsidR="00081E9C" w:rsidRPr="00502FF2" w:rsidRDefault="00081E9C" w:rsidP="00081E9C">
      <w:pPr>
        <w:widowControl w:val="0"/>
        <w:autoSpaceDE w:val="0"/>
        <w:autoSpaceDN w:val="0"/>
        <w:adjustRightInd w:val="0"/>
        <w:spacing w:line="240" w:lineRule="auto"/>
        <w:rPr>
          <w:rFonts w:ascii="Tw Cen MT" w:hAnsi="Tw Cen MT" w:cs="Times New Roman"/>
          <w:noProof/>
          <w:sz w:val="24"/>
          <w:szCs w:val="24"/>
        </w:rPr>
      </w:pPr>
    </w:p>
    <w:p w14:paraId="62CBC635" w14:textId="77777777" w:rsidR="00081E9C" w:rsidRPr="00CC41A3" w:rsidRDefault="00081E9C" w:rsidP="00081E9C">
      <w:pPr>
        <w:widowControl w:val="0"/>
        <w:autoSpaceDE w:val="0"/>
        <w:autoSpaceDN w:val="0"/>
        <w:adjustRightInd w:val="0"/>
        <w:spacing w:line="240" w:lineRule="auto"/>
        <w:rPr>
          <w:rFonts w:ascii="Times New Roman" w:hAnsi="Times New Roman" w:cs="Times New Roman"/>
          <w:noProof/>
          <w:sz w:val="24"/>
          <w:szCs w:val="24"/>
        </w:rPr>
      </w:pPr>
      <w:bookmarkStart w:id="23" w:name="_GoBack"/>
      <w:bookmarkEnd w:id="23"/>
    </w:p>
    <w:p w14:paraId="1328610E" w14:textId="77777777" w:rsidR="00081E9C" w:rsidRDefault="00081E9C" w:rsidP="00502FF2">
      <w:pPr>
        <w:widowControl w:val="0"/>
        <w:autoSpaceDE w:val="0"/>
        <w:autoSpaceDN w:val="0"/>
        <w:adjustRightInd w:val="0"/>
        <w:spacing w:after="0" w:line="240" w:lineRule="auto"/>
        <w:ind w:left="640" w:hanging="640"/>
        <w:jc w:val="both"/>
        <w:rPr>
          <w:rFonts w:ascii="Tw Cen MT" w:hAnsi="Tw Cen MT" w:cs="Times New Roman"/>
          <w:noProof/>
          <w:sz w:val="24"/>
          <w:szCs w:val="24"/>
        </w:rPr>
      </w:pPr>
    </w:p>
    <w:p w14:paraId="2EADD0B6" w14:textId="77777777" w:rsidR="00081E9C" w:rsidRPr="00610831" w:rsidRDefault="00081E9C" w:rsidP="00610831">
      <w:pPr>
        <w:widowControl w:val="0"/>
        <w:autoSpaceDE w:val="0"/>
        <w:autoSpaceDN w:val="0"/>
        <w:adjustRightInd w:val="0"/>
        <w:spacing w:after="0" w:line="240" w:lineRule="auto"/>
        <w:ind w:left="640" w:hanging="640"/>
        <w:rPr>
          <w:rFonts w:ascii="Tw Cen MT" w:hAnsi="Tw Cen MT"/>
          <w:noProof/>
          <w:sz w:val="24"/>
        </w:rPr>
      </w:pPr>
    </w:p>
    <w:p w14:paraId="505120A3" w14:textId="03AE50EC" w:rsidR="00610831" w:rsidRPr="002E23D7" w:rsidRDefault="00610831" w:rsidP="004721E3">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fldChar w:fldCharType="end"/>
      </w:r>
      <w:commentRangeEnd w:id="21"/>
      <w:commentRangeEnd w:id="22"/>
      <w:r w:rsidR="00915862">
        <w:rPr>
          <w:rStyle w:val="CommentReference"/>
        </w:rPr>
        <w:commentReference w:id="22"/>
      </w:r>
      <w:r w:rsidR="00915862">
        <w:rPr>
          <w:rStyle w:val="CommentReference"/>
        </w:rPr>
        <w:commentReference w:id="21"/>
      </w:r>
    </w:p>
    <w:p w14:paraId="3050F456" w14:textId="786AFA21" w:rsidR="004721E3" w:rsidRDefault="004721E3" w:rsidP="004721E3">
      <w:pPr>
        <w:spacing w:after="0" w:line="240" w:lineRule="auto"/>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544E11">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HIA-MUTU" w:date="2024-05-22T15:13:00Z" w:initials="T">
    <w:p w14:paraId="709DD8FB" w14:textId="75BA786D" w:rsidR="006E2E3E" w:rsidRDefault="006E2E3E">
      <w:pPr>
        <w:pStyle w:val="CommentText"/>
      </w:pPr>
      <w:r>
        <w:rPr>
          <w:rStyle w:val="CommentReference"/>
        </w:rPr>
        <w:annotationRef/>
      </w:r>
      <w:r>
        <w:rPr>
          <w:rStyle w:val="CommentReference"/>
        </w:rPr>
        <w:t>sila</w:t>
      </w:r>
      <w:r>
        <w:t xml:space="preserve"> direduksi menjadi 10 kata</w:t>
      </w:r>
    </w:p>
  </w:comment>
  <w:comment w:id="3" w:author="THIA-MUTU" w:date="2024-05-22T15:14:00Z" w:initials="T">
    <w:p w14:paraId="0DAAEFE7" w14:textId="3F4310A4" w:rsidR="006E2E3E" w:rsidRDefault="006E2E3E">
      <w:pPr>
        <w:pStyle w:val="CommentText"/>
      </w:pPr>
      <w:r>
        <w:rPr>
          <w:rStyle w:val="CommentReference"/>
        </w:rPr>
        <w:annotationRef/>
      </w:r>
      <w:r>
        <w:t>berasal dari institusi yang sama tidak perlu menambahkan nomor</w:t>
      </w:r>
    </w:p>
  </w:comment>
  <w:comment w:id="4" w:author="THIA-MUTU" w:date="2024-05-22T15:16:00Z" w:initials="T">
    <w:p w14:paraId="00ABA278" w14:textId="1EA2482E" w:rsidR="006E2E3E" w:rsidRDefault="006E2E3E">
      <w:pPr>
        <w:pStyle w:val="CommentText"/>
      </w:pPr>
      <w:r>
        <w:rPr>
          <w:rStyle w:val="CommentReference"/>
        </w:rPr>
        <w:annotationRef/>
      </w:r>
      <w:r>
        <w:t>ada spasinya</w:t>
      </w:r>
    </w:p>
  </w:comment>
  <w:comment w:id="6" w:author="THIA-MUTU" w:date="2024-05-22T15:24:00Z" w:initials="T">
    <w:p w14:paraId="1B13756A" w14:textId="28E2D6C1" w:rsidR="00FF52A2" w:rsidRDefault="00FF52A2">
      <w:pPr>
        <w:pStyle w:val="CommentText"/>
      </w:pPr>
      <w:r>
        <w:rPr>
          <w:rStyle w:val="CommentReference"/>
        </w:rPr>
        <w:annotationRef/>
      </w:r>
      <w:r>
        <w:t>? silakan sitasi dengan penomornan diurut dari 1 dst</w:t>
      </w:r>
    </w:p>
  </w:comment>
  <w:comment w:id="7" w:author="THIA-MUTU" w:date="2024-05-22T15:20:00Z" w:initials="T">
    <w:p w14:paraId="52B7D098" w14:textId="1B0A789E" w:rsidR="006E2E3E" w:rsidRDefault="006E2E3E">
      <w:pPr>
        <w:pStyle w:val="CommentText"/>
      </w:pPr>
      <w:r>
        <w:rPr>
          <w:rStyle w:val="CommentReference"/>
        </w:rPr>
        <w:annotationRef/>
      </w:r>
      <w:r>
        <w:t>spasi</w:t>
      </w:r>
    </w:p>
  </w:comment>
  <w:comment w:id="8" w:author="THIA-MUTU" w:date="2024-05-22T15:20:00Z" w:initials="T">
    <w:p w14:paraId="7BC218F1" w14:textId="22B75E1B" w:rsidR="006E2E3E" w:rsidRDefault="006E2E3E">
      <w:pPr>
        <w:pStyle w:val="CommentText"/>
      </w:pPr>
      <w:r>
        <w:rPr>
          <w:rStyle w:val="CommentReference"/>
        </w:rPr>
        <w:annotationRef/>
      </w:r>
      <w:r>
        <w:t>spasi</w:t>
      </w:r>
    </w:p>
  </w:comment>
  <w:comment w:id="10" w:author="THIA-MUTU" w:date="2024-05-22T15:23:00Z" w:initials="T">
    <w:p w14:paraId="65E6F77E" w14:textId="0016BD8D" w:rsidR="00FF52A2" w:rsidRDefault="00FF52A2">
      <w:pPr>
        <w:pStyle w:val="CommentText"/>
      </w:pPr>
      <w:r>
        <w:rPr>
          <w:rStyle w:val="CommentReference"/>
        </w:rPr>
        <w:annotationRef/>
      </w:r>
      <w:r>
        <w:t>?</w:t>
      </w:r>
    </w:p>
  </w:comment>
  <w:comment w:id="11" w:author="THIA-MUTU" w:date="2024-05-22T15:24:00Z" w:initials="T">
    <w:p w14:paraId="03726AD2" w14:textId="4BC336A0" w:rsidR="00FF52A2" w:rsidRDefault="00FF52A2">
      <w:pPr>
        <w:pStyle w:val="CommentText"/>
      </w:pPr>
      <w:r>
        <w:rPr>
          <w:rStyle w:val="CommentReference"/>
        </w:rPr>
        <w:annotationRef/>
      </w:r>
      <w:r>
        <w:t>?</w:t>
      </w:r>
    </w:p>
  </w:comment>
  <w:comment w:id="12" w:author="THIA-MUTU" w:date="2024-05-22T15:21:00Z" w:initials="T">
    <w:p w14:paraId="6FA1EE7F" w14:textId="7C8458D0" w:rsidR="006E2E3E" w:rsidRDefault="006E2E3E">
      <w:pPr>
        <w:pStyle w:val="CommentText"/>
      </w:pPr>
      <w:r>
        <w:rPr>
          <w:rStyle w:val="CommentReference"/>
        </w:rPr>
        <w:annotationRef/>
      </w:r>
      <w:r>
        <w:t>font 10</w:t>
      </w:r>
    </w:p>
  </w:comment>
  <w:comment w:id="13" w:author="THIA-MUTU" w:date="2024-05-22T15:26:00Z" w:initials="T">
    <w:p w14:paraId="21556D53" w14:textId="445F6079" w:rsidR="00FF52A2" w:rsidRDefault="00FF52A2">
      <w:pPr>
        <w:pStyle w:val="CommentText"/>
      </w:pPr>
      <w:r>
        <w:rPr>
          <w:rStyle w:val="CommentReference"/>
        </w:rPr>
        <w:annotationRef/>
      </w:r>
      <w:r>
        <w:t>?</w:t>
      </w:r>
    </w:p>
  </w:comment>
  <w:comment w:id="14" w:author="THIA-MUTU" w:date="2024-05-22T15:23:00Z" w:initials="T">
    <w:p w14:paraId="587EF2BC" w14:textId="52641E30" w:rsidR="00FF52A2" w:rsidRDefault="00FF52A2">
      <w:pPr>
        <w:pStyle w:val="CommentText"/>
      </w:pPr>
      <w:r>
        <w:rPr>
          <w:rStyle w:val="CommentReference"/>
        </w:rPr>
        <w:annotationRef/>
      </w:r>
      <w:r>
        <w:t>gunakan mendeley</w:t>
      </w:r>
    </w:p>
  </w:comment>
  <w:comment w:id="16" w:author="THIA-MUTU" w:date="2024-05-22T15:23:00Z" w:initials="T">
    <w:p w14:paraId="6BB71DFD" w14:textId="6F478AA1" w:rsidR="006E2E3E" w:rsidRDefault="006E2E3E">
      <w:pPr>
        <w:pStyle w:val="CommentText"/>
      </w:pPr>
      <w:r>
        <w:rPr>
          <w:rStyle w:val="CommentReference"/>
        </w:rPr>
        <w:annotationRef/>
      </w:r>
      <w:r>
        <w:t>?</w:t>
      </w:r>
    </w:p>
  </w:comment>
  <w:comment w:id="17" w:author="THIA-MUTU" w:date="2024-05-22T15:23:00Z" w:initials="T">
    <w:p w14:paraId="6294760F" w14:textId="3C9919C8" w:rsidR="00FF52A2" w:rsidRDefault="00FF52A2">
      <w:pPr>
        <w:pStyle w:val="CommentText"/>
      </w:pPr>
      <w:r>
        <w:rPr>
          <w:rStyle w:val="CommentReference"/>
        </w:rPr>
        <w:annotationRef/>
      </w:r>
      <w:r>
        <w:t>?</w:t>
      </w:r>
    </w:p>
  </w:comment>
  <w:comment w:id="18" w:author="THIA-MUTU" w:date="2024-05-22T15:22:00Z" w:initials="T">
    <w:p w14:paraId="7C5026D5" w14:textId="7CB608D2" w:rsidR="006E2E3E" w:rsidRDefault="006E2E3E">
      <w:pPr>
        <w:pStyle w:val="CommentText"/>
      </w:pPr>
      <w:r>
        <w:rPr>
          <w:rStyle w:val="CommentReference"/>
        </w:rPr>
        <w:annotationRef/>
      </w:r>
      <w:r>
        <w:t>pakai penomoran</w:t>
      </w:r>
    </w:p>
  </w:comment>
  <w:comment w:id="19" w:author="THIA-MUTU" w:date="2024-05-22T15:22:00Z" w:initials="T">
    <w:p w14:paraId="6E74E18D" w14:textId="47CF031C" w:rsidR="006E2E3E" w:rsidRDefault="006E2E3E">
      <w:pPr>
        <w:pStyle w:val="CommentText"/>
      </w:pPr>
      <w:r>
        <w:rPr>
          <w:rStyle w:val="CommentReference"/>
        </w:rPr>
        <w:annotationRef/>
      </w:r>
      <w:r>
        <w:t>penomoran</w:t>
      </w:r>
    </w:p>
  </w:comment>
  <w:comment w:id="20" w:author="THIA-MUTU" w:date="2024-05-22T15:22:00Z" w:initials="T">
    <w:p w14:paraId="6E7D6416" w14:textId="47BB1080" w:rsidR="006E2E3E" w:rsidRDefault="006E2E3E">
      <w:pPr>
        <w:pStyle w:val="CommentText"/>
      </w:pPr>
      <w:r>
        <w:rPr>
          <w:rStyle w:val="CommentReference"/>
        </w:rPr>
        <w:annotationRef/>
      </w:r>
      <w:r>
        <w:t>pakai penomoran</w:t>
      </w:r>
    </w:p>
  </w:comment>
  <w:comment w:id="22" w:author="THIA-MUTU" w:date="2024-05-22T15:30:00Z" w:initials="T">
    <w:p w14:paraId="78E63DD8" w14:textId="1F341C61" w:rsidR="00915862" w:rsidRDefault="00915862">
      <w:pPr>
        <w:pStyle w:val="CommentText"/>
      </w:pPr>
      <w:r>
        <w:rPr>
          <w:rStyle w:val="CommentReference"/>
        </w:rPr>
        <w:annotationRef/>
      </w:r>
      <w:r>
        <w:t>10 tahun terakhir</w:t>
      </w:r>
    </w:p>
  </w:comment>
  <w:comment w:id="21" w:author="THIA-MUTU" w:date="2024-05-22T15:30:00Z" w:initials="T">
    <w:p w14:paraId="1FF794CC" w14:textId="380D7FA2" w:rsidR="00915862" w:rsidRDefault="00915862">
      <w:pPr>
        <w:pStyle w:val="CommentText"/>
      </w:pPr>
      <w:r>
        <w:rPr>
          <w:rStyle w:val="CommentReference"/>
        </w:rPr>
        <w:annotationRef/>
      </w:r>
      <w:r>
        <w:t>10 tahun terakhir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679C5" w14:textId="77777777" w:rsidR="00704B33" w:rsidRDefault="00704B33">
      <w:pPr>
        <w:spacing w:after="0" w:line="240" w:lineRule="auto"/>
      </w:pPr>
      <w:r>
        <w:separator/>
      </w:r>
    </w:p>
  </w:endnote>
  <w:endnote w:type="continuationSeparator" w:id="0">
    <w:p w14:paraId="3EA7700D" w14:textId="77777777" w:rsidR="00704B33" w:rsidRDefault="0070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5E3A3DA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showingPlcHdr/>
            <w:dataBinding w:prefixMappings="xmlns:ns0='http://schemas.openxmlformats.org/package/2006/metadata/core-properties' xmlns:ns1='http://purl.org/dc/elements/1.1/'" w:xpath="/ns0:coreProperties[1]/ns1:creator[1]" w:storeItemID="{6C3C8BC8-F283-45AE-878A-BAB7291924A1}"/>
            <w:text/>
          </w:sdtPr>
          <w:sdtEndPr/>
          <w:sdtContent>
            <w:r w:rsidR="00915862">
              <w:rPr>
                <w:rFonts w:ascii="Tw Cen MT" w:hAnsi="Tw Cen MT"/>
                <w:color w:val="000000" w:themeColor="text1"/>
                <w:sz w:val="20"/>
                <w:szCs w:val="24"/>
              </w:rPr>
              <w:t xml:space="preserve">     </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704B33">
          <w:rPr>
            <w:rFonts w:ascii="Tw Cen MT" w:hAnsi="Tw Cen MT"/>
            <w:noProof/>
            <w:sz w:val="24"/>
            <w:szCs w:val="24"/>
          </w:rPr>
          <w:t>1</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12D06" w14:textId="77777777" w:rsidR="00704B33" w:rsidRDefault="00704B33">
      <w:pPr>
        <w:spacing w:after="0" w:line="240" w:lineRule="auto"/>
      </w:pPr>
      <w:r>
        <w:separator/>
      </w:r>
    </w:p>
  </w:footnote>
  <w:footnote w:type="continuationSeparator" w:id="0">
    <w:p w14:paraId="771D682F" w14:textId="77777777" w:rsidR="00704B33" w:rsidRDefault="00704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92F0EA0"/>
    <w:multiLevelType w:val="hybridMultilevel"/>
    <w:tmpl w:val="6756CFA8"/>
    <w:lvl w:ilvl="0" w:tplc="B3E6220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2A455C4E"/>
    <w:multiLevelType w:val="hybridMultilevel"/>
    <w:tmpl w:val="8004B418"/>
    <w:lvl w:ilvl="0" w:tplc="F83803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35A37"/>
    <w:rsid w:val="00046906"/>
    <w:rsid w:val="00081E9C"/>
    <w:rsid w:val="00082EFF"/>
    <w:rsid w:val="00093815"/>
    <w:rsid w:val="00096D8F"/>
    <w:rsid w:val="000A46F4"/>
    <w:rsid w:val="000A7A80"/>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E13E1"/>
    <w:rsid w:val="001F1073"/>
    <w:rsid w:val="002113FB"/>
    <w:rsid w:val="00222E32"/>
    <w:rsid w:val="00223B20"/>
    <w:rsid w:val="00242EFB"/>
    <w:rsid w:val="00261BB2"/>
    <w:rsid w:val="0027621D"/>
    <w:rsid w:val="002878E0"/>
    <w:rsid w:val="00292E42"/>
    <w:rsid w:val="00293DB9"/>
    <w:rsid w:val="002B20BA"/>
    <w:rsid w:val="002C693D"/>
    <w:rsid w:val="002C73F4"/>
    <w:rsid w:val="002D1721"/>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F93"/>
    <w:rsid w:val="00431AAB"/>
    <w:rsid w:val="004421CC"/>
    <w:rsid w:val="00463B9A"/>
    <w:rsid w:val="0046541C"/>
    <w:rsid w:val="004721E3"/>
    <w:rsid w:val="004A3EFA"/>
    <w:rsid w:val="004B41B7"/>
    <w:rsid w:val="004C01E6"/>
    <w:rsid w:val="004E128A"/>
    <w:rsid w:val="004F0C66"/>
    <w:rsid w:val="00502FF2"/>
    <w:rsid w:val="0050746D"/>
    <w:rsid w:val="005424FD"/>
    <w:rsid w:val="00544E11"/>
    <w:rsid w:val="005458B9"/>
    <w:rsid w:val="005471FC"/>
    <w:rsid w:val="005553B8"/>
    <w:rsid w:val="005642A1"/>
    <w:rsid w:val="00565328"/>
    <w:rsid w:val="00575E5B"/>
    <w:rsid w:val="005C1635"/>
    <w:rsid w:val="005C30BC"/>
    <w:rsid w:val="005C5210"/>
    <w:rsid w:val="005E0707"/>
    <w:rsid w:val="005F46FD"/>
    <w:rsid w:val="00610831"/>
    <w:rsid w:val="00611369"/>
    <w:rsid w:val="00624B47"/>
    <w:rsid w:val="006334E1"/>
    <w:rsid w:val="006431BA"/>
    <w:rsid w:val="00655189"/>
    <w:rsid w:val="00665737"/>
    <w:rsid w:val="00670815"/>
    <w:rsid w:val="006B1D84"/>
    <w:rsid w:val="006D261F"/>
    <w:rsid w:val="006E2E3E"/>
    <w:rsid w:val="007006B9"/>
    <w:rsid w:val="00704B33"/>
    <w:rsid w:val="007106F6"/>
    <w:rsid w:val="007368A2"/>
    <w:rsid w:val="00762C0B"/>
    <w:rsid w:val="00765F40"/>
    <w:rsid w:val="00797338"/>
    <w:rsid w:val="007A1AEF"/>
    <w:rsid w:val="007A770B"/>
    <w:rsid w:val="007B4BC9"/>
    <w:rsid w:val="007D6D9D"/>
    <w:rsid w:val="007E655E"/>
    <w:rsid w:val="007E6A66"/>
    <w:rsid w:val="007F4948"/>
    <w:rsid w:val="00803C6E"/>
    <w:rsid w:val="00812425"/>
    <w:rsid w:val="0081569B"/>
    <w:rsid w:val="0086728C"/>
    <w:rsid w:val="008838F1"/>
    <w:rsid w:val="008A326F"/>
    <w:rsid w:val="00915862"/>
    <w:rsid w:val="00942731"/>
    <w:rsid w:val="00943EB9"/>
    <w:rsid w:val="0096335E"/>
    <w:rsid w:val="009873F0"/>
    <w:rsid w:val="009940A0"/>
    <w:rsid w:val="00994D4B"/>
    <w:rsid w:val="00997349"/>
    <w:rsid w:val="009A70E3"/>
    <w:rsid w:val="009B1E9A"/>
    <w:rsid w:val="009D73CD"/>
    <w:rsid w:val="009F5E84"/>
    <w:rsid w:val="009F6554"/>
    <w:rsid w:val="00A343E3"/>
    <w:rsid w:val="00A36329"/>
    <w:rsid w:val="00A5526F"/>
    <w:rsid w:val="00A71279"/>
    <w:rsid w:val="00A73BDE"/>
    <w:rsid w:val="00AB2BCC"/>
    <w:rsid w:val="00AB56A0"/>
    <w:rsid w:val="00AD307E"/>
    <w:rsid w:val="00AE2862"/>
    <w:rsid w:val="00B057E2"/>
    <w:rsid w:val="00B241B6"/>
    <w:rsid w:val="00B25240"/>
    <w:rsid w:val="00B41001"/>
    <w:rsid w:val="00B63555"/>
    <w:rsid w:val="00B674AF"/>
    <w:rsid w:val="00BB3F2A"/>
    <w:rsid w:val="00BC34CC"/>
    <w:rsid w:val="00BE7B4C"/>
    <w:rsid w:val="00C133E7"/>
    <w:rsid w:val="00C14ED1"/>
    <w:rsid w:val="00C20FA8"/>
    <w:rsid w:val="00C42087"/>
    <w:rsid w:val="00C812B9"/>
    <w:rsid w:val="00C96B4B"/>
    <w:rsid w:val="00CB0A6C"/>
    <w:rsid w:val="00CB3237"/>
    <w:rsid w:val="00CB338B"/>
    <w:rsid w:val="00CD6253"/>
    <w:rsid w:val="00CF5715"/>
    <w:rsid w:val="00D0123F"/>
    <w:rsid w:val="00D06530"/>
    <w:rsid w:val="00D2571D"/>
    <w:rsid w:val="00D31D13"/>
    <w:rsid w:val="00D37FC1"/>
    <w:rsid w:val="00D428B5"/>
    <w:rsid w:val="00D43CB2"/>
    <w:rsid w:val="00D44301"/>
    <w:rsid w:val="00D466FC"/>
    <w:rsid w:val="00D56013"/>
    <w:rsid w:val="00D707CF"/>
    <w:rsid w:val="00D70D6D"/>
    <w:rsid w:val="00D9262D"/>
    <w:rsid w:val="00D9785A"/>
    <w:rsid w:val="00DB156A"/>
    <w:rsid w:val="00DB7592"/>
    <w:rsid w:val="00DC2BB5"/>
    <w:rsid w:val="00DE3780"/>
    <w:rsid w:val="00DF0B65"/>
    <w:rsid w:val="00DF6E07"/>
    <w:rsid w:val="00E00E3E"/>
    <w:rsid w:val="00E03962"/>
    <w:rsid w:val="00E067A8"/>
    <w:rsid w:val="00E25196"/>
    <w:rsid w:val="00E30050"/>
    <w:rsid w:val="00E37E90"/>
    <w:rsid w:val="00E62B60"/>
    <w:rsid w:val="00E81E13"/>
    <w:rsid w:val="00EA57B9"/>
    <w:rsid w:val="00ED0E10"/>
    <w:rsid w:val="00F1133F"/>
    <w:rsid w:val="00F5431A"/>
    <w:rsid w:val="00F6187B"/>
    <w:rsid w:val="00F62593"/>
    <w:rsid w:val="00F64252"/>
    <w:rsid w:val="00F73710"/>
    <w:rsid w:val="00F817F4"/>
    <w:rsid w:val="00F841D1"/>
    <w:rsid w:val="00F9233C"/>
    <w:rsid w:val="00FE0EBE"/>
    <w:rsid w:val="00FE4F92"/>
    <w:rsid w:val="00FF3C37"/>
    <w:rsid w:val="00FF5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HTMLPreformatted">
    <w:name w:val="HTML Preformatted"/>
    <w:basedOn w:val="Normal"/>
    <w:link w:val="HTMLPreformattedChar"/>
    <w:uiPriority w:val="99"/>
    <w:unhideWhenUsed/>
    <w:rsid w:val="0057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575E5B"/>
    <w:rPr>
      <w:rFonts w:ascii="Courier New" w:eastAsia="Times New Roman" w:hAnsi="Courier New" w:cs="Courier New"/>
      <w:sz w:val="20"/>
      <w:szCs w:val="20"/>
      <w:lang w:val="en-ID" w:eastAsia="en-ID"/>
    </w:rPr>
  </w:style>
  <w:style w:type="character" w:styleId="Emphasis">
    <w:name w:val="Emphasis"/>
    <w:basedOn w:val="DefaultParagraphFont"/>
    <w:uiPriority w:val="20"/>
    <w:qFormat/>
    <w:rsid w:val="008838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HTMLPreformatted">
    <w:name w:val="HTML Preformatted"/>
    <w:basedOn w:val="Normal"/>
    <w:link w:val="HTMLPreformattedChar"/>
    <w:uiPriority w:val="99"/>
    <w:unhideWhenUsed/>
    <w:rsid w:val="00575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575E5B"/>
    <w:rPr>
      <w:rFonts w:ascii="Courier New" w:eastAsia="Times New Roman" w:hAnsi="Courier New" w:cs="Courier New"/>
      <w:sz w:val="20"/>
      <w:szCs w:val="20"/>
      <w:lang w:val="en-ID" w:eastAsia="en-ID"/>
    </w:rPr>
  </w:style>
  <w:style w:type="character" w:styleId="Emphasis">
    <w:name w:val="Emphasis"/>
    <w:basedOn w:val="DefaultParagraphFont"/>
    <w:uiPriority w:val="20"/>
    <w:qFormat/>
    <w:rsid w:val="008838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4225">
      <w:bodyDiv w:val="1"/>
      <w:marLeft w:val="0"/>
      <w:marRight w:val="0"/>
      <w:marTop w:val="0"/>
      <w:marBottom w:val="0"/>
      <w:divBdr>
        <w:top w:val="none" w:sz="0" w:space="0" w:color="auto"/>
        <w:left w:val="none" w:sz="0" w:space="0" w:color="auto"/>
        <w:bottom w:val="none" w:sz="0" w:space="0" w:color="auto"/>
        <w:right w:val="none" w:sz="0" w:space="0" w:color="auto"/>
      </w:divBdr>
      <w:divsChild>
        <w:div w:id="269778125">
          <w:marLeft w:val="0"/>
          <w:marRight w:val="0"/>
          <w:marTop w:val="0"/>
          <w:marBottom w:val="0"/>
          <w:divBdr>
            <w:top w:val="single" w:sz="12" w:space="0" w:color="D2D2D2"/>
            <w:left w:val="single" w:sz="12" w:space="0" w:color="D2D2D2"/>
            <w:bottom w:val="single" w:sz="12" w:space="0" w:color="D2D2D2"/>
            <w:right w:val="single" w:sz="12" w:space="0" w:color="D2D2D2"/>
          </w:divBdr>
          <w:divsChild>
            <w:div w:id="1093551537">
              <w:marLeft w:val="0"/>
              <w:marRight w:val="0"/>
              <w:marTop w:val="0"/>
              <w:marBottom w:val="0"/>
              <w:divBdr>
                <w:top w:val="none" w:sz="0" w:space="0" w:color="auto"/>
                <w:left w:val="none" w:sz="0" w:space="0" w:color="auto"/>
                <w:bottom w:val="none" w:sz="0" w:space="0" w:color="auto"/>
                <w:right w:val="none" w:sz="0" w:space="0" w:color="auto"/>
              </w:divBdr>
            </w:div>
            <w:div w:id="114216304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287697"/>
    <w:rsid w:val="00342DE1"/>
    <w:rsid w:val="003C444D"/>
    <w:rsid w:val="003D7BD9"/>
    <w:rsid w:val="00511E40"/>
    <w:rsid w:val="00637CD0"/>
    <w:rsid w:val="00666C01"/>
    <w:rsid w:val="006A5D0B"/>
    <w:rsid w:val="00A85543"/>
    <w:rsid w:val="00C16D7C"/>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BE2154-29B8-4F00-B8F0-EDB098E5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6658</Words>
  <Characters>37957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44526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cp:lastModifiedBy>THIA-MUTU</cp:lastModifiedBy>
  <cp:revision>3</cp:revision>
  <cp:lastPrinted>2023-05-24T01:37:00Z</cp:lastPrinted>
  <dcterms:created xsi:type="dcterms:W3CDTF">2024-05-22T08:28:00Z</dcterms:created>
  <dcterms:modified xsi:type="dcterms:W3CDTF">2024-05-22T08:30:00Z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e813a057-5b73-3b24-8c36-01c4a0f30e19</vt:lpwstr>
  </property>
  <property fmtid="{D5CDD505-2E9C-101B-9397-08002B2CF9AE}" pid="24" name="Mendeley Citation Style_1">
    <vt:lpwstr>http://www.zotero.org/styles/ieee</vt:lpwstr>
  </property>
</Properties>
</file>