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30369327" w:rsidR="0027621D" w:rsidRPr="0096335E" w:rsidRDefault="003D5A1C" w:rsidP="0027621D">
      <w:pPr>
        <w:spacing w:after="0" w:line="240" w:lineRule="auto"/>
        <w:jc w:val="center"/>
        <w:rPr>
          <w:rFonts w:ascii="Tw Cen MT" w:hAnsi="Tw Cen MT" w:cs="Arial"/>
          <w:b/>
          <w:bCs/>
          <w:color w:val="000000"/>
          <w:sz w:val="32"/>
          <w:szCs w:val="32"/>
        </w:rPr>
      </w:pPr>
      <w:r w:rsidRPr="003D5A1C">
        <w:rPr>
          <w:rFonts w:ascii="Tw Cen MT" w:hAnsi="Tw Cen MT" w:cs="Arial"/>
          <w:b/>
          <w:bCs/>
          <w:color w:val="000000"/>
          <w:sz w:val="32"/>
          <w:szCs w:val="32"/>
        </w:rPr>
        <w:t>Feeding Practice and Nutritional Status of The Toddler in Kampar District</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7B9DBF4B" w:rsidR="0027621D" w:rsidRDefault="003D5A1C" w:rsidP="003D5A1C">
      <w:pPr>
        <w:spacing w:after="0" w:line="240" w:lineRule="auto"/>
        <w:jc w:val="center"/>
        <w:rPr>
          <w:rFonts w:ascii="Tw Cen MT" w:hAnsi="Tw Cen MT" w:cs="Times New Roman"/>
          <w:b/>
          <w:bCs/>
          <w:iCs/>
          <w:sz w:val="32"/>
          <w:szCs w:val="32"/>
        </w:rPr>
      </w:pPr>
      <w:bookmarkStart w:id="0" w:name="_heading=h.ku3htxpixa9v" w:colFirst="0" w:colLast="0"/>
      <w:bookmarkEnd w:id="0"/>
      <w:r w:rsidRPr="003D5A1C">
        <w:rPr>
          <w:rFonts w:ascii="Tw Cen MT" w:hAnsi="Tw Cen MT" w:cs="Times New Roman"/>
          <w:b/>
          <w:bCs/>
          <w:iCs/>
          <w:sz w:val="32"/>
          <w:szCs w:val="32"/>
        </w:rPr>
        <w:t>Praktik Pemberian MP-ASI dan Status Gizi (PB/U) Balita di Kabupaten Kampar</w:t>
      </w:r>
    </w:p>
    <w:p w14:paraId="13C69748" w14:textId="77777777" w:rsidR="003D5A1C" w:rsidRPr="0096335E" w:rsidRDefault="003D5A1C" w:rsidP="003D5A1C">
      <w:pPr>
        <w:spacing w:after="0" w:line="240" w:lineRule="auto"/>
        <w:jc w:val="center"/>
        <w:rPr>
          <w:rFonts w:ascii="Tw Cen MT" w:hAnsi="Tw Cen MT" w:cs="Times New Roman"/>
          <w:b/>
          <w:bCs/>
          <w:iCs/>
          <w:sz w:val="32"/>
          <w:szCs w:val="32"/>
        </w:rPr>
      </w:pPr>
    </w:p>
    <w:p w14:paraId="781ACE20" w14:textId="2D680D35" w:rsidR="004721E3" w:rsidRPr="003D5A1C" w:rsidRDefault="003D5A1C" w:rsidP="004721E3">
      <w:pPr>
        <w:widowControl w:val="0"/>
        <w:spacing w:after="0" w:line="218" w:lineRule="auto"/>
        <w:ind w:left="7" w:right="-20"/>
        <w:jc w:val="center"/>
        <w:rPr>
          <w:rFonts w:ascii="Tw Cen MT" w:eastAsia="Twentieth Century" w:hAnsi="Tw Cen MT" w:cs="Twentieth Century"/>
          <w:sz w:val="24"/>
          <w:szCs w:val="24"/>
          <w:vertAlign w:val="superscript"/>
          <w:lang w:val="en-ID"/>
        </w:rPr>
      </w:pPr>
      <w:r w:rsidRPr="003D5A1C">
        <w:rPr>
          <w:rFonts w:ascii="Tw Cen MT" w:eastAsia="Twentieth Century" w:hAnsi="Tw Cen MT" w:cs="Twentieth Century"/>
          <w:sz w:val="24"/>
          <w:szCs w:val="24"/>
          <w:lang w:val="en-ID"/>
        </w:rPr>
        <w:t>Yessi Marlina</w:t>
      </w:r>
      <w:r w:rsidR="004721E3" w:rsidRPr="003D5A1C">
        <w:rPr>
          <w:rFonts w:ascii="Tw Cen MT" w:eastAsia="Twentieth Century" w:hAnsi="Tw Cen MT" w:cs="Twentieth Century"/>
          <w:sz w:val="24"/>
          <w:szCs w:val="24"/>
          <w:vertAlign w:val="superscript"/>
          <w:lang w:val="en-ID"/>
        </w:rPr>
        <w:t xml:space="preserve">1, </w:t>
      </w:r>
      <w:r w:rsidRPr="003D5A1C">
        <w:rPr>
          <w:rFonts w:ascii="Tw Cen MT" w:eastAsia="Twentieth Century" w:hAnsi="Tw Cen MT" w:cs="Twentieth Century"/>
          <w:sz w:val="24"/>
          <w:szCs w:val="24"/>
          <w:lang w:val="en-ID"/>
        </w:rPr>
        <w:t>Dewi Erowati</w:t>
      </w:r>
      <w:r w:rsidR="004721E3" w:rsidRPr="003D5A1C">
        <w:rPr>
          <w:rFonts w:ascii="Tw Cen MT" w:eastAsia="Twentieth Century" w:hAnsi="Tw Cen MT" w:cs="Twentieth Century"/>
          <w:sz w:val="24"/>
          <w:szCs w:val="24"/>
          <w:vertAlign w:val="superscript"/>
          <w:lang w:val="en-ID"/>
        </w:rPr>
        <w:t xml:space="preserve">2 </w:t>
      </w:r>
      <w:r w:rsidRPr="003D5A1C">
        <w:rPr>
          <w:rFonts w:ascii="Tw Cen MT" w:eastAsia="Twentieth Century" w:hAnsi="Tw Cen MT" w:cs="Twentieth Century"/>
          <w:sz w:val="24"/>
          <w:szCs w:val="24"/>
          <w:lang w:val="en-ID"/>
        </w:rPr>
        <w:t>, Yola Humaroh</w:t>
      </w:r>
      <w:r w:rsidRPr="003D5A1C">
        <w:rPr>
          <w:rFonts w:ascii="Tw Cen MT" w:eastAsia="Twentieth Century" w:hAnsi="Tw Cen MT" w:cs="Twentieth Century"/>
          <w:sz w:val="24"/>
          <w:szCs w:val="24"/>
          <w:vertAlign w:val="superscript"/>
          <w:lang w:val="en-ID"/>
        </w:rPr>
        <w:t>3</w:t>
      </w:r>
    </w:p>
    <w:p w14:paraId="37629F48" w14:textId="523293BD" w:rsidR="004721E3" w:rsidRPr="002E23D7" w:rsidRDefault="003D5A1C"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Poltekkes Kemenkes Riau</w:t>
      </w:r>
      <w:r w:rsidR="004721E3" w:rsidRPr="002E23D7">
        <w:rPr>
          <w:rFonts w:ascii="Tw Cen MT" w:eastAsia="Twentieth Century" w:hAnsi="Tw Cen MT" w:cs="Twentieth Century"/>
          <w:sz w:val="20"/>
          <w:szCs w:val="20"/>
          <w:vertAlign w:val="superscript"/>
        </w:rPr>
        <w:t>12</w:t>
      </w:r>
      <w:r>
        <w:rPr>
          <w:rFonts w:ascii="Tw Cen MT" w:eastAsia="Twentieth Century" w:hAnsi="Tw Cen MT" w:cs="Twentieth Century"/>
          <w:sz w:val="20"/>
          <w:szCs w:val="20"/>
          <w:vertAlign w:val="superscript"/>
        </w:rPr>
        <w:t>3</w:t>
      </w:r>
    </w:p>
    <w:p w14:paraId="23FA8100" w14:textId="771D1465"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Coresponden </w:t>
      </w:r>
      <w:r w:rsidR="003D5A1C">
        <w:rPr>
          <w:rFonts w:ascii="Tw Cen MT" w:eastAsia="Twentieth Century" w:hAnsi="Tw Cen MT" w:cs="Twentieth Century"/>
          <w:sz w:val="20"/>
          <w:szCs w:val="20"/>
        </w:rPr>
        <w:t xml:space="preserve">: </w:t>
      </w:r>
      <w:hyperlink r:id="rId9" w:history="1">
        <w:r w:rsidR="003D5A1C" w:rsidRPr="006E2A86">
          <w:rPr>
            <w:rStyle w:val="Hyperlink"/>
            <w:rFonts w:ascii="Tw Cen MT" w:eastAsia="Twentieth Century" w:hAnsi="Tw Cen MT" w:cs="Twentieth Century"/>
            <w:sz w:val="20"/>
            <w:szCs w:val="20"/>
          </w:rPr>
          <w:t>yessi.marlina@pkr.ac.id</w:t>
        </w:r>
      </w:hyperlink>
      <w:r w:rsidR="003D5A1C">
        <w:rPr>
          <w:rFonts w:ascii="Tw Cen MT" w:eastAsia="Twentieth Century" w:hAnsi="Tw Cen MT" w:cs="Twentieth Century"/>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7ED350E" w:rsidR="006334E1" w:rsidRPr="0096335E" w:rsidRDefault="003D5A1C">
      <w:pPr>
        <w:widowControl w:val="0"/>
        <w:spacing w:after="0" w:line="228" w:lineRule="auto"/>
        <w:ind w:left="3150" w:right="-19"/>
        <w:jc w:val="both"/>
        <w:rPr>
          <w:rFonts w:ascii="Tw Cen MT" w:eastAsia="Twentieth Century" w:hAnsi="Tw Cen MT" w:cs="Twentieth Century"/>
          <w:i/>
          <w:sz w:val="20"/>
          <w:szCs w:val="20"/>
        </w:rPr>
      </w:pPr>
      <w:r w:rsidRPr="003D5A1C">
        <w:rPr>
          <w:rFonts w:ascii="Tw Cen MT" w:eastAsia="Twentieth Century" w:hAnsi="Tw Cen MT" w:cs="Twentieth Century"/>
          <w:i/>
          <w:sz w:val="20"/>
          <w:szCs w:val="20"/>
        </w:rPr>
        <w:t>Background: Complementary feeding practices that are not optimal are one of the causing factors of stunting. The purpose of this study was to to determine the relationship between complementary feeding practice and stunting among children in Kampar Districts. Methods: The cross-sectional study with a population of all children aged 6-23 months. The proportionate stratified random sampling technique was used with a total sample is 100 children. Body length was measured using a length board, feeding practices were obtained through observation using a checklist sheet, and nutritional intake through food recall for 1x24 hours. Data analysis was univariate and bivariate using the chi-square test. Results: There are 17% stunted and 83% non-stunted. As many as 29% received early complementary feeding, 70% texture was inappropriate, 66% frequency was inappropriate, 69% portion was inappropriate, 83% menu did not vary, 95% was not hygienic, 38% was unresponsive and inadequate intake. There was a significant relationship between responsive feeding and nutritional status (p&lt;0.05). It is recommended for cadres and health workers to provide education and motivation for mothers in the appropriate feeding practice and cross-sectoral involvement.</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EDCDA1" w14:textId="586D08AA" w:rsidR="007F4948" w:rsidRPr="003D5A1C" w:rsidRDefault="0086728C" w:rsidP="003D5A1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r w:rsidR="003D5A1C">
        <w:rPr>
          <w:rFonts w:ascii="Tw Cen MT" w:eastAsia="Twentieth Century" w:hAnsi="Tw Cen MT" w:cs="Twentieth Century"/>
          <w:b/>
          <w:i/>
          <w:sz w:val="20"/>
          <w:szCs w:val="20"/>
        </w:rPr>
        <w:t xml:space="preserve"> </w:t>
      </w:r>
      <w:r w:rsidR="003D5A1C" w:rsidRPr="003D5A1C">
        <w:rPr>
          <w:rFonts w:ascii="Tw Cen MT" w:eastAsia="Twentieth Century" w:hAnsi="Tw Cen MT" w:cs="Twentieth Century"/>
          <w:bCs/>
          <w:sz w:val="20"/>
          <w:szCs w:val="20"/>
        </w:rPr>
        <w:t>S</w:t>
      </w:r>
      <w:r w:rsidR="003D5A1C" w:rsidRPr="003D5A1C">
        <w:rPr>
          <w:rFonts w:ascii="Tw Cen MT" w:eastAsia="Twentieth Century" w:hAnsi="Tw Cen MT" w:cs="Twentieth Century"/>
          <w:bCs/>
          <w:sz w:val="20"/>
          <w:szCs w:val="20"/>
        </w:rPr>
        <w:t xml:space="preserve">tunted toddler; </w:t>
      </w:r>
      <w:r w:rsidR="003D5A1C" w:rsidRPr="003D5A1C">
        <w:rPr>
          <w:rFonts w:ascii="Tw Cen MT" w:eastAsia="Twentieth Century" w:hAnsi="Tw Cen MT" w:cs="Twentieth Century"/>
          <w:bCs/>
          <w:sz w:val="20"/>
          <w:szCs w:val="20"/>
        </w:rPr>
        <w:t>S</w:t>
      </w:r>
      <w:r w:rsidR="003D5A1C" w:rsidRPr="003D5A1C">
        <w:rPr>
          <w:rFonts w:ascii="Tw Cen MT" w:eastAsia="Twentieth Century" w:hAnsi="Tw Cen MT" w:cs="Twentieth Century"/>
          <w:bCs/>
          <w:sz w:val="20"/>
          <w:szCs w:val="20"/>
        </w:rPr>
        <w:t xml:space="preserve">tunting; </w:t>
      </w:r>
      <w:r w:rsidR="003D5A1C" w:rsidRPr="003D5A1C">
        <w:rPr>
          <w:rFonts w:ascii="Tw Cen MT" w:eastAsia="Twentieth Century" w:hAnsi="Tw Cen MT" w:cs="Twentieth Century"/>
          <w:bCs/>
          <w:sz w:val="20"/>
          <w:szCs w:val="20"/>
        </w:rPr>
        <w:t>C</w:t>
      </w:r>
      <w:r w:rsidR="003D5A1C" w:rsidRPr="003D5A1C">
        <w:rPr>
          <w:rFonts w:ascii="Tw Cen MT" w:eastAsia="Twentieth Century" w:hAnsi="Tw Cen MT" w:cs="Twentieth Century"/>
          <w:bCs/>
          <w:sz w:val="20"/>
          <w:szCs w:val="20"/>
        </w:rPr>
        <w:t>omplementary feeding</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3576684" w14:textId="77777777" w:rsidR="003D5A1C" w:rsidRDefault="003D5A1C" w:rsidP="003D5A1C">
      <w:pPr>
        <w:tabs>
          <w:tab w:val="left" w:pos="426"/>
        </w:tabs>
        <w:spacing w:after="0"/>
        <w:ind w:left="3150"/>
        <w:jc w:val="both"/>
        <w:rPr>
          <w:rFonts w:ascii="Tw Cen MT" w:eastAsia="Twentieth Century" w:hAnsi="Tw Cen MT" w:cs="Twentieth Century"/>
          <w:iCs/>
          <w:color w:val="000000"/>
          <w:sz w:val="20"/>
          <w:szCs w:val="20"/>
        </w:rPr>
      </w:pPr>
      <w:r w:rsidRPr="003D5A1C">
        <w:rPr>
          <w:rFonts w:ascii="Tw Cen MT" w:eastAsia="Twentieth Century" w:hAnsi="Tw Cen MT" w:cs="Twentieth Century"/>
          <w:iCs/>
          <w:color w:val="000000"/>
          <w:sz w:val="20"/>
          <w:szCs w:val="20"/>
        </w:rPr>
        <w:t>Latar Belakang: Praktik pemberian MP-ASI yang tidak optimal menjadi salah satu penyebab stunting. Tujuan penelitian ini adalah untuk mengetahui hubungan praktik pemberian MP-ASI dan kejadian stunting di Kabupaten Kampar. Metode: Disain penelitian adalah cross-sectional dengan populasi seluruh balita usia 6-23 bulan. Sampel berjumlah 100 balita dengan menggunakan teknik proportionate stratified random sampling. Panjang badan diukur menggunakan length board, praktik MP-ASI diperoleh melalui observasi menggunakan lembar checklist, dan data asupan melalui food recall 1x24jam. Analisis data dilakukan secara univariat dan bivariat menggunakan uji chi-square. Hasil: Terdapat 17% balita stunting dan 83% tidak stunting. Sebanyak 29% balita mendapatkan MP-ASI dini, 70% tekstur MP ASI tidak sesuai, 66% frekuensi MP ASI tidak tepat, 69% porsi MP ASI tidak sesuai, 83% menu tidak bervariasi, 95% MP ASI tidak hygiene dan 38% pemberian MP ASI tidak responsif. Terdapat hubungan signifikan antara responsive feeding dengan status gizi (p&lt;0.05). Disarankan bagi para kader dan tenaga kesehatan untuk memberikan edukasi dan motivasi bagi para Ibu dalam praktik pemberian MP ASI yang benar dan keterlibatan lintas sectoral.</w:t>
      </w:r>
    </w:p>
    <w:p w14:paraId="68659279" w14:textId="5BEC5713" w:rsidR="007F4948" w:rsidRPr="003D5A1C" w:rsidRDefault="0086728C" w:rsidP="003D5A1C">
      <w:pPr>
        <w:tabs>
          <w:tab w:val="left" w:pos="426"/>
        </w:tabs>
        <w:spacing w:after="0"/>
        <w:ind w:left="3150"/>
        <w:jc w:val="both"/>
        <w:rPr>
          <w:rFonts w:ascii="Tw Cen MT" w:eastAsia="Twentieth Century" w:hAnsi="Tw Cen MT" w:cs="Twentieth Century"/>
          <w:bCs/>
          <w:iCs/>
          <w:color w:val="000000"/>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r w:rsidR="003D5A1C" w:rsidRPr="003D5A1C">
        <w:t xml:space="preserve"> </w:t>
      </w:r>
      <w:r w:rsidR="003D5A1C" w:rsidRPr="003D5A1C">
        <w:rPr>
          <w:rFonts w:ascii="Tw Cen MT" w:eastAsia="Twentieth Century" w:hAnsi="Tw Cen MT" w:cs="Twentieth Century"/>
          <w:bCs/>
          <w:sz w:val="20"/>
          <w:szCs w:val="20"/>
        </w:rPr>
        <w:t>balita pendek; stunting; MP ASI</w:t>
      </w:r>
    </w:p>
    <w:p w14:paraId="240275AD" w14:textId="01B07036"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w:lastRenderedPageBreak/>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3E24C9">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156594E3" w14:textId="1A01DF7A" w:rsidR="0054693E" w:rsidRPr="0054693E" w:rsidRDefault="0054693E" w:rsidP="0054693E">
      <w:pPr>
        <w:spacing w:after="0" w:line="240" w:lineRule="auto"/>
        <w:ind w:firstLine="567"/>
        <w:jc w:val="both"/>
        <w:rPr>
          <w:rFonts w:ascii="Tw Cen MT" w:eastAsia="Times New Roman" w:hAnsi="Tw Cen MT" w:cs="Times New Roman"/>
          <w:sz w:val="24"/>
          <w:szCs w:val="24"/>
          <w:lang w:val="id-ID"/>
        </w:rPr>
      </w:pPr>
      <w:r w:rsidRPr="0054693E">
        <w:rPr>
          <w:rFonts w:ascii="Tw Cen MT" w:hAnsi="Tw Cen MT" w:cs="Times New Roman"/>
          <w:sz w:val="24"/>
          <w:szCs w:val="24"/>
        </w:rPr>
        <w:t>Salah satu permasalahan gizi yang masih dihadapi</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Indonesia saat ini adalah </w:t>
      </w:r>
      <w:r w:rsidRPr="0054693E">
        <w:rPr>
          <w:rFonts w:ascii="Tw Cen MT" w:hAnsi="Tw Cen MT" w:cs="Times New Roman"/>
          <w:i/>
          <w:iCs/>
          <w:sz w:val="24"/>
          <w:szCs w:val="24"/>
        </w:rPr>
        <w:t>stunting</w:t>
      </w:r>
      <w:r w:rsidRPr="0054693E">
        <w:rPr>
          <w:rFonts w:ascii="Tw Cen MT" w:hAnsi="Tw Cen MT" w:cs="Times New Roman"/>
          <w:sz w:val="24"/>
          <w:szCs w:val="24"/>
        </w:rPr>
        <w:t xml:space="preserve">. </w:t>
      </w:r>
      <w:r w:rsidRPr="0054693E">
        <w:rPr>
          <w:rFonts w:ascii="Tw Cen MT" w:hAnsi="Tw Cen MT" w:cs="Times New Roman"/>
          <w:sz w:val="24"/>
          <w:szCs w:val="24"/>
          <w:lang w:val="id-ID"/>
        </w:rPr>
        <w:t xml:space="preserve"> </w:t>
      </w:r>
      <w:r w:rsidRPr="0054693E">
        <w:rPr>
          <w:rFonts w:ascii="Tw Cen MT" w:hAnsi="Tw Cen MT" w:cs="Times New Roman"/>
          <w:i/>
          <w:iCs/>
          <w:sz w:val="24"/>
          <w:szCs w:val="24"/>
          <w:lang w:val="id-ID"/>
        </w:rPr>
        <w:t xml:space="preserve">Stunting </w:t>
      </w:r>
      <w:r w:rsidRPr="0054693E">
        <w:rPr>
          <w:rFonts w:ascii="Tw Cen MT" w:hAnsi="Tw Cen MT" w:cs="Times New Roman"/>
          <w:sz w:val="24"/>
          <w:szCs w:val="24"/>
          <w:lang w:val="id-ID"/>
        </w:rPr>
        <w:t xml:space="preserve">digambarkan sebagai suatu masalah gizi kronis yang dapat memberikan gambaran kegagalan pertumbuhan yang terakumulasi sejak sebelum dan sesudah kelahiran yang diakibatkan oleh tidak tercukupinya asupan zat gizi </w:t>
      </w:r>
      <w:r w:rsidRPr="0054693E">
        <w:rPr>
          <w:rFonts w:ascii="Tw Cen MT" w:hAnsi="Tw Cen MT" w:cs="Times New Roman"/>
          <w:sz w:val="24"/>
          <w:szCs w:val="24"/>
        </w:rPr>
        <w:fldChar w:fldCharType="begin" w:fldLock="1"/>
      </w:r>
      <w:r w:rsidR="00C81D96">
        <w:rPr>
          <w:rFonts w:ascii="Tw Cen MT" w:hAnsi="Tw Cen MT" w:cs="Times New Roman"/>
          <w:sz w:val="24"/>
          <w:szCs w:val="24"/>
          <w:lang w:val="id-ID"/>
        </w:rPr>
        <w:instrText>ADDIN CSL_CITATION {"citationItems":[{"id":"ITEM-1","itemData":{"author":[{"dropping-particle":"","family":"Asweros","given":"Umbu Zogata","non-dropping-particle":"","parse-names":false,"suffix":""},{"dropping-particle":"","family":"Hadi","given":"Hamam","non-dropping-particle":"","parse-names":false,"suffix":""},{"dropping-particle":"","family":"Arjuna","given":"Tony","non-dropping-particle":"","parse-names":false,"suffix":""}],"container-title":"Jurnal Gizi dan Dietetik Indonesia","id":"ITEM-1","issue":"1","issued":{"date-parts":[["2014"]]},"page":"41-50","title":"Riwayat Pemberian ASI Eksklusif dan MPASI Dini Sebagai Prediktor Terjadinya Stunting Pada Baduta di Kabupaten Timor Tengah Selatan, Nusa Tenggara Timur","type":"article-journal","volume":"2"},"uris":["http://www.mendeley.com/documents/?uuid=96d4f84d-cefa-4565-b29f-faf9c23360d8","http://www.mendeley.com/documents/?uuid=e618e5da-d4ce-4191-adcc-1dcbaf6d37b9"]}],"mendeley":{"formattedCitation":"[1]","plainTextFormattedCitation":"[1]","previouslyFormattedCitation":"[1]"},"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lang w:val="id-ID"/>
        </w:rPr>
        <w:t>[1]</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Menurut Peraturan Menteri Kesehatan No.2 Tahun 2020 tentang Standar Antropometri Anak, anak dikatakan pendek atau </w:t>
      </w:r>
      <w:r w:rsidRPr="0054693E">
        <w:rPr>
          <w:rFonts w:ascii="Tw Cen MT" w:hAnsi="Tw Cen MT" w:cs="Times New Roman"/>
          <w:i/>
          <w:iCs/>
          <w:sz w:val="24"/>
          <w:szCs w:val="24"/>
          <w:lang w:val="id-ID"/>
        </w:rPr>
        <w:t xml:space="preserve">stunted </w:t>
      </w:r>
      <w:r w:rsidRPr="0054693E">
        <w:rPr>
          <w:rFonts w:ascii="Tw Cen MT" w:hAnsi="Tw Cen MT" w:cs="Times New Roman"/>
          <w:sz w:val="24"/>
          <w:szCs w:val="24"/>
          <w:lang w:val="id-ID"/>
        </w:rPr>
        <w:t xml:space="preserve">apabila nilai </w:t>
      </w:r>
      <w:r w:rsidRPr="0054693E">
        <w:rPr>
          <w:rFonts w:ascii="Tw Cen MT" w:hAnsi="Tw Cen MT" w:cs="Times New Roman"/>
          <w:i/>
          <w:iCs/>
          <w:sz w:val="24"/>
          <w:szCs w:val="24"/>
          <w:lang w:val="id-ID"/>
        </w:rPr>
        <w:t xml:space="preserve">z-score </w:t>
      </w:r>
      <w:r w:rsidRPr="0054693E">
        <w:rPr>
          <w:rFonts w:ascii="Tw Cen MT" w:hAnsi="Tw Cen MT" w:cs="Times New Roman"/>
          <w:sz w:val="24"/>
          <w:szCs w:val="24"/>
          <w:lang w:val="id-ID"/>
        </w:rPr>
        <w:t xml:space="preserve">pengukuran panjang badan atau tinggi badan menurut umur berada pada rentang -3 SD s/d &lt;-2 SD. </w:t>
      </w:r>
      <w:r w:rsidRPr="0054693E">
        <w:rPr>
          <w:rFonts w:ascii="Tw Cen MT" w:hAnsi="Tw Cen MT" w:cs="Times New Roman"/>
          <w:sz w:val="24"/>
          <w:szCs w:val="24"/>
          <w:lang w:val="pt-BR"/>
        </w:rPr>
        <w:t xml:space="preserve">Di Indonesia sendiri, </w:t>
      </w:r>
      <w:r w:rsidRPr="0054693E">
        <w:rPr>
          <w:rFonts w:ascii="Tw Cen MT" w:hAnsi="Tw Cen MT" w:cs="Times New Roman"/>
          <w:sz w:val="24"/>
          <w:szCs w:val="24"/>
          <w:lang w:val="id-ID"/>
        </w:rPr>
        <w:t xml:space="preserve">prevalensi balita pendek </w:t>
      </w:r>
      <w:r w:rsidRPr="0054693E">
        <w:rPr>
          <w:rFonts w:ascii="Tw Cen MT" w:hAnsi="Tw Cen MT" w:cs="Times New Roman"/>
          <w:sz w:val="24"/>
          <w:szCs w:val="24"/>
          <w:lang w:val="pt-BR"/>
        </w:rPr>
        <w:t>berdasarkan hasil Laporan SSGI tahun 2021 sebesar 24,2</w:t>
      </w:r>
      <w:r w:rsidRPr="0054693E">
        <w:rPr>
          <w:rFonts w:ascii="Tw Cen MT" w:hAnsi="Tw Cen MT" w:cs="Times New Roman"/>
          <w:sz w:val="24"/>
          <w:szCs w:val="24"/>
          <w:lang w:val="id-ID"/>
        </w:rPr>
        <w:t>%</w:t>
      </w:r>
      <w:r w:rsidRPr="0054693E">
        <w:rPr>
          <w:rFonts w:ascii="Tw Cen MT" w:hAnsi="Tw Cen MT" w:cs="Times New Roman"/>
          <w:sz w:val="24"/>
          <w:szCs w:val="24"/>
          <w:lang w:val="pt-BR"/>
        </w:rPr>
        <w:t xml:space="preserve"> </w:t>
      </w:r>
      <w:r w:rsidRPr="0054693E">
        <w:rPr>
          <w:rFonts w:ascii="Tw Cen MT" w:hAnsi="Tw Cen MT" w:cs="Times New Roman"/>
          <w:sz w:val="24"/>
          <w:szCs w:val="24"/>
        </w:rPr>
        <w:fldChar w:fldCharType="begin" w:fldLock="1"/>
      </w:r>
      <w:r w:rsidR="00C81D96">
        <w:rPr>
          <w:rFonts w:ascii="Tw Cen MT" w:hAnsi="Tw Cen MT" w:cs="Times New Roman"/>
          <w:sz w:val="24"/>
          <w:szCs w:val="24"/>
          <w:lang w:val="pt-BR"/>
        </w:rPr>
        <w:instrText>ADDIN CSL_CITATION {"citationItems":[{"id":"ITEM-1","itemData":{"abstract":"Laporan Hasil Riset Kesehatan Dasar (Riskesdas) Indonesia tahun 2018","author":[{"dropping-particle":"","family":"Kemenkes RI","given":"Badan Penelitian dan Pengembangan (Balitbang)","non-dropping-particle":"","parse-names":false,"suffix":""}],"container-title":"Riset Kesehatan Dasar 2018","id":"ITEM-1","issued":{"date-parts":[["2019"]]},"title":"Laporan Hasil Riset Kesehatan Dasar (Riskesdas) Indonesia tahun 2018","type":"article"},"uris":["http://www.mendeley.com/documents/?uuid=2b2ae80f-ea4d-4e54-a12a-ee94fb86da26","http://www.mendeley.com/documents/?uuid=1e558730-4974-4b24-9dd3-a8ac8a880aec"]}],"mendeley":{"formattedCitation":"[2]","plainTextFormattedCitation":"[2]","previouslyFormattedCitation":"[2]"},"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lang w:val="pt-BR"/>
        </w:rPr>
        <w:t>[2]</w:t>
      </w:r>
      <w:r w:rsidRPr="0054693E">
        <w:rPr>
          <w:rFonts w:ascii="Tw Cen MT" w:hAnsi="Tw Cen MT" w:cs="Times New Roman"/>
          <w:sz w:val="24"/>
          <w:szCs w:val="24"/>
        </w:rPr>
        <w:fldChar w:fldCharType="end"/>
      </w:r>
      <w:r w:rsidRPr="0054693E">
        <w:rPr>
          <w:rFonts w:ascii="Tw Cen MT" w:hAnsi="Tw Cen MT" w:cs="Times New Roman"/>
          <w:sz w:val="24"/>
          <w:szCs w:val="24"/>
          <w:lang w:val="pt-BR"/>
        </w:rPr>
        <w:t xml:space="preserve"> </w:t>
      </w:r>
      <w:r w:rsidRPr="0054693E">
        <w:rPr>
          <w:rFonts w:ascii="Tw Cen MT" w:eastAsia="Times New Roman" w:hAnsi="Tw Cen MT" w:cs="Times New Roman"/>
          <w:sz w:val="24"/>
          <w:szCs w:val="24"/>
          <w:lang w:val="pt-BR"/>
        </w:rPr>
        <w:t xml:space="preserve">dan menurun menjadi 21,6% tahun 2022 </w:t>
      </w:r>
      <w:r w:rsidRPr="0054693E">
        <w:rPr>
          <w:rFonts w:ascii="Tw Cen MT" w:eastAsia="Times New Roman" w:hAnsi="Tw Cen MT" w:cs="Times New Roman"/>
          <w:sz w:val="24"/>
          <w:szCs w:val="24"/>
        </w:rPr>
        <w:fldChar w:fldCharType="begin" w:fldLock="1"/>
      </w:r>
      <w:r w:rsidR="00C81D96">
        <w:rPr>
          <w:rFonts w:ascii="Tw Cen MT" w:eastAsia="Times New Roman" w:hAnsi="Tw Cen MT" w:cs="Times New Roman"/>
          <w:sz w:val="24"/>
          <w:szCs w:val="24"/>
          <w:lang w:val="pt-BR"/>
        </w:rPr>
        <w:instrText>ADDIN CSL_CITATION {"citationItems":[{"id":"ITEM-1","itemData":{"author":[{"dropping-particle":"","family":"Kementerian Kesehatan Republik Indonesia","given":"","non-dropping-particle":"","parse-names":false,"suffix":""}],"id":"ITEM-1","issued":{"date-parts":[["2022"]]},"title":"Buku Saku Hasil Survei Status Gizi Indonesia (SSGI) Tahun 2022 - Badan Kebijakan Pembangunan Kesehatan | BKPK Kemenkes","type":"article-journal"},"uris":["http://www.mendeley.com/documents/?uuid=953a4e65-0c05-4a3a-a8c7-e7f6b3016914"]}],"mendeley":{"formattedCitation":"[3]","plainTextFormattedCitation":"[3]","previouslyFormattedCitation":"[3]"},"properties":{"noteIndex":0},"schema":"https://github.com/citation-style-language/schema/raw/master/csl-citation.json"}</w:instrText>
      </w:r>
      <w:r w:rsidRPr="0054693E">
        <w:rPr>
          <w:rFonts w:ascii="Tw Cen MT" w:eastAsia="Times New Roman" w:hAnsi="Tw Cen MT" w:cs="Times New Roman"/>
          <w:sz w:val="24"/>
          <w:szCs w:val="24"/>
        </w:rPr>
        <w:fldChar w:fldCharType="separate"/>
      </w:r>
      <w:r w:rsidRPr="0054693E">
        <w:rPr>
          <w:rFonts w:ascii="Tw Cen MT" w:eastAsia="Times New Roman" w:hAnsi="Tw Cen MT" w:cs="Times New Roman"/>
          <w:noProof/>
          <w:sz w:val="24"/>
          <w:szCs w:val="24"/>
          <w:lang w:val="pt-BR"/>
        </w:rPr>
        <w:t>[3]</w:t>
      </w:r>
      <w:r w:rsidRPr="0054693E">
        <w:rPr>
          <w:rFonts w:ascii="Tw Cen MT" w:eastAsia="Times New Roman" w:hAnsi="Tw Cen MT" w:cs="Times New Roman"/>
          <w:sz w:val="24"/>
          <w:szCs w:val="24"/>
        </w:rPr>
        <w:fldChar w:fldCharType="end"/>
      </w:r>
      <w:r w:rsidRPr="0054693E">
        <w:rPr>
          <w:rFonts w:ascii="Tw Cen MT" w:eastAsia="Times New Roman" w:hAnsi="Tw Cen MT" w:cs="Times New Roman"/>
          <w:sz w:val="24"/>
          <w:szCs w:val="24"/>
          <w:lang w:val="pt-BR"/>
        </w:rPr>
        <w:t>.</w:t>
      </w:r>
    </w:p>
    <w:p w14:paraId="750D909E" w14:textId="6C19DFBC" w:rsidR="0054693E" w:rsidRPr="0054693E" w:rsidRDefault="0054693E" w:rsidP="0054693E">
      <w:pPr>
        <w:spacing w:after="0" w:line="240" w:lineRule="auto"/>
        <w:ind w:firstLine="567"/>
        <w:jc w:val="both"/>
        <w:rPr>
          <w:rFonts w:ascii="Tw Cen MT" w:eastAsia="Times New Roman" w:hAnsi="Tw Cen MT" w:cs="Times New Roman"/>
          <w:sz w:val="24"/>
          <w:szCs w:val="24"/>
          <w:lang w:val="id-ID"/>
        </w:rPr>
      </w:pPr>
      <w:r w:rsidRPr="0054693E">
        <w:rPr>
          <w:rFonts w:ascii="Tw Cen MT" w:hAnsi="Tw Cen MT" w:cs="Times New Roman"/>
          <w:sz w:val="24"/>
          <w:szCs w:val="24"/>
          <w:lang w:val="id-ID"/>
        </w:rPr>
        <w:t xml:space="preserve">Generasi yang tumbuh secara optimal atau dengan kata lain tidak </w:t>
      </w:r>
      <w:r w:rsidRPr="0054693E">
        <w:rPr>
          <w:rFonts w:ascii="Tw Cen MT" w:hAnsi="Tw Cen MT" w:cs="Times New Roman"/>
          <w:i/>
          <w:iCs/>
          <w:sz w:val="24"/>
          <w:szCs w:val="24"/>
          <w:lang w:val="id-ID"/>
        </w:rPr>
        <w:t>stunting</w:t>
      </w:r>
      <w:r w:rsidRPr="0054693E">
        <w:rPr>
          <w:rFonts w:ascii="Tw Cen MT" w:hAnsi="Tw Cen MT" w:cs="Times New Roman"/>
          <w:sz w:val="24"/>
          <w:szCs w:val="24"/>
          <w:lang w:val="id-ID"/>
        </w:rPr>
        <w:t xml:space="preserve"> pada umumnya memiliki tingkat kecerdasan yang lebih baik, sehingga akan memberikan daya saing yang baik dalam bidang pembangunan dan ekonomi </w:t>
      </w:r>
      <w:r w:rsidRPr="0054693E">
        <w:rPr>
          <w:rFonts w:ascii="Tw Cen MT" w:hAnsi="Tw Cen MT" w:cs="Times New Roman"/>
          <w:sz w:val="24"/>
          <w:szCs w:val="24"/>
        </w:rPr>
        <w:fldChar w:fldCharType="begin" w:fldLock="1"/>
      </w:r>
      <w:r w:rsidR="00C81D96">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0b3a6297-db4f-4712-b13e-9f7728623f34","http://www.mendeley.com/documents/?uuid=2ece3828-1277-4eaf-a459-f50c442dc592"]}],"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Periode 1000 hari pertama kehidupan (1000 HPK) merupakan simpul kritis sebagai awal terjadinya pertumbuhan stunting, yang sebaliknya berdampak jangka panjang hingga berulang dalam siklus kehidupan </w:t>
      </w:r>
      <w:r w:rsidRPr="0054693E">
        <w:rPr>
          <w:rFonts w:ascii="Tw Cen MT" w:hAnsi="Tw Cen MT" w:cs="Times New Roman"/>
          <w:sz w:val="24"/>
          <w:szCs w:val="24"/>
        </w:rPr>
        <w:fldChar w:fldCharType="begin" w:fldLock="1"/>
      </w:r>
      <w:r w:rsidR="00C81D96">
        <w:rPr>
          <w:rFonts w:ascii="Tw Cen MT" w:hAnsi="Tw Cen MT" w:cs="Times New Roman"/>
          <w:sz w:val="24"/>
          <w:szCs w:val="24"/>
          <w:lang w:val="id-ID"/>
        </w:rPr>
        <w:instrText>ADDIN CSL_CITATION {"citationItems":[{"id":"ITEM-1","itemData":{"DOI":"10.22435/bpk.v45i4.7465.233-240","ISSN":"0125-9695","abstract":"Stunting prevalence in Indonesia has been almost stagnant at 37% from year 2007 to 2013. With the cut-off point greater than 20%, WHO classified Indonesia has a public health problem. The purpose of this review is to analyze policy related problems and gaps that could be filled as a policy option. Policy analysis was conducted through searching and analyzing legal documents, policy as well as programs following the policy formulation. Finally, round table discussion inviting experts was conducted to construct a recommendation. Stunting prevalence has barely reducing within the last ten year which was only 4% from 1992 to 2013, though programs and budget allocation has been made, even scaling up nutrition is mentioned in Presidential Regulation no.42/2013 through National Movement of First Thousand Days of Life. Stunting has a long term effect that bring about non communicable diseases causing economic burden, although stunting can be corrected. Serious integrated effort should be taken into account at all levels as a policy recommendation. Mothers or future brides should be given information of healthy pregnancy and nutrition. Exclusive breast feeding should be done mandatory to healthy delivery mothers. In addition, proper complementary feeding should be well understood by mothers and health workers.","author":[{"dropping-particle":"","family":"Aryastami","given":"Ni Ketut","non-dropping-particle":"","parse-names":false,"suffix":""}],"container-title":"Buletin Penelitian Kesehatan","id":"ITEM-1","issue":"4","issued":{"date-parts":[["2017"]]},"page":"233-240","title":"Kajian Kebijakan dan Penanggulangan Masalah Gizi Stunting di Indonesia","type":"article-journal","volume":"45"},"uris":["http://www.mendeley.com/documents/?uuid=2ece3828-1277-4eaf-a459-f50c442dc592","http://www.mendeley.com/documents/?uuid=0b3a6297-db4f-4712-b13e-9f7728623f34"]}],"mendeley":{"formattedCitation":"[4]","plainTextFormattedCitation":"[4]","previouslyFormattedCitation":"[4]"},"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lang w:val="id-ID"/>
        </w:rPr>
        <w:t>[4]</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r w:rsidRPr="0054693E">
        <w:rPr>
          <w:rFonts w:ascii="Tw Cen MT" w:hAnsi="Tw Cen MT" w:cs="Times New Roman"/>
          <w:color w:val="000000"/>
          <w:sz w:val="24"/>
          <w:szCs w:val="24"/>
          <w:lang w:val="id-ID"/>
        </w:rPr>
        <w:t xml:space="preserve">Periode 1000 HPK dimulai dari saat janin dalam kandungan (270 hari) hingga bayi berusia dua tahun, </w:t>
      </w:r>
      <w:r w:rsidRPr="0054693E">
        <w:rPr>
          <w:rFonts w:ascii="Tw Cen MT" w:hAnsi="Tw Cen MT" w:cs="Times New Roman"/>
          <w:sz w:val="24"/>
          <w:szCs w:val="24"/>
          <w:lang w:val="id-ID"/>
        </w:rPr>
        <w:t xml:space="preserve">memiliki pengaruh permanen dan tidak dapat dikoreksi terhadap pertumbuhan fisik, mental, dan kecerdasan </w:t>
      </w:r>
      <w:r w:rsidRPr="0054693E">
        <w:rPr>
          <w:rFonts w:ascii="Tw Cen MT" w:hAnsi="Tw Cen MT" w:cs="Times New Roman"/>
          <w:sz w:val="24"/>
          <w:szCs w:val="24"/>
        </w:rPr>
        <w:fldChar w:fldCharType="begin" w:fldLock="1"/>
      </w:r>
      <w:r w:rsidR="00C81D96">
        <w:rPr>
          <w:rFonts w:ascii="Tw Cen MT" w:hAnsi="Tw Cen MT" w:cs="Times New Roman"/>
          <w:sz w:val="24"/>
          <w:szCs w:val="24"/>
          <w:lang w:val="id-ID"/>
        </w:rPr>
        <w:instrText>ADDIN CSL_CITATION {"citationItems":[{"id":"ITEM-1","itemData":{"author":[{"dropping-particle":"","family":"Kementerian Kesehatan RI","given":"","non-dropping-particle":"","parse-names":false,"suffix":""}],"id":"ITEM-1","issued":{"date-parts":[["2012"]]},"title":"Kerangka Kebijakan Gerakan Nasional Sadar Gizi dalam Rangka Seribu Hari Pertama Kehidupan (Gerakan 1000 HPK)","type":"report"},"uris":["http://www.mendeley.com/documents/?uuid=0fbab539-2af3-4766-9afb-cdfb0ee65544"]}],"mendeley":{"formattedCitation":"[5]","plainTextFormattedCitation":"[5]","previouslyFormattedCitation":"[5]"},"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lang w:val="id-ID"/>
        </w:rPr>
        <w:t>[5]</w:t>
      </w:r>
      <w:r w:rsidRPr="0054693E">
        <w:rPr>
          <w:rFonts w:ascii="Tw Cen MT" w:hAnsi="Tw Cen MT" w:cs="Times New Roman"/>
          <w:sz w:val="24"/>
          <w:szCs w:val="24"/>
        </w:rPr>
        <w:fldChar w:fldCharType="end"/>
      </w:r>
      <w:r w:rsidRPr="0054693E">
        <w:rPr>
          <w:rFonts w:ascii="Tw Cen MT" w:hAnsi="Tw Cen MT" w:cs="Times New Roman"/>
          <w:sz w:val="24"/>
          <w:szCs w:val="24"/>
          <w:lang w:val="id-ID"/>
        </w:rPr>
        <w:t xml:space="preserve">. </w:t>
      </w:r>
    </w:p>
    <w:p w14:paraId="2471FA88" w14:textId="063852F3" w:rsidR="0054693E" w:rsidRPr="0054693E" w:rsidRDefault="0054693E" w:rsidP="0054693E">
      <w:pPr>
        <w:spacing w:after="0" w:line="240" w:lineRule="auto"/>
        <w:ind w:firstLine="567"/>
        <w:jc w:val="both"/>
        <w:rPr>
          <w:rFonts w:ascii="Tw Cen MT" w:hAnsi="Tw Cen MT" w:cs="Times New Roman"/>
          <w:sz w:val="24"/>
          <w:szCs w:val="24"/>
        </w:rPr>
      </w:pPr>
      <w:r w:rsidRPr="0054693E">
        <w:rPr>
          <w:rFonts w:ascii="Tw Cen MT" w:hAnsi="Tw Cen MT" w:cs="Times New Roman"/>
          <w:sz w:val="24"/>
          <w:szCs w:val="24"/>
        </w:rPr>
        <w:t xml:space="preserve">ASI merupakan pilihan makanan yang optimal pada bayi. Namun setelah usia 6 bulan, ASI saja tidak lagi mampu mencukupi kebutuhan gizi bayi sehingga perlu tambahan zat gizi lain dari MP ASI. WHO merekomendasikan pemberian ASI eksklusif 6 bulan pertama kehidupan dan dilanjutkan dengan pengenalan MP-ASI dengan terus </w:t>
      </w:r>
      <w:r w:rsidRPr="0054693E">
        <w:rPr>
          <w:rFonts w:ascii="Tw Cen MT" w:hAnsi="Tw Cen MT" w:cs="Times New Roman"/>
          <w:sz w:val="24"/>
          <w:szCs w:val="24"/>
        </w:rPr>
        <w:t xml:space="preserve">memberikan ASI sampai usia 2 tahun </w:t>
      </w:r>
      <w:r w:rsidRPr="0054693E">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0b5f5342-ebd7-4298-bf45-2f769de78529","http://www.mendeley.com/documents/?uuid=d6033567-69a5-4737-a847-82cc8ced722d"]}],"mendeley":{"formattedCitation":"[6]","plainTextFormattedCitation":"[6]","previouslyFormattedCitation":"[6]"},"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rPr>
        <w:t>[6]</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Data WHO menunjukkan hanya sepertiga dari anak balita di negara berkembang yang mendapatkan MP ASI yang adekuat, sementara di Indonesia, sebagian besar anak tidak menerima MP ASI yang tepat akibat pola asuh yang salah </w:t>
      </w:r>
      <w:r w:rsidRPr="0054693E">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{"citationItems":[{"id":"ITEM-1","itemData":{"author":[{"dropping-particle":"","family":"TNP2K","given":"","non-dropping-particle":"","parse-names":false,"suffix":""}],"id":"ITEM-1","issued":{"date-parts":[["2018"]]},"title":"Strategi Nasional Percepatan Pencegahan Anak Kerdil (STUNTING) Periode 2018-2024","type":"report"},"uris":["http://www.mendeley.com/documents/?uuid=048ac584-9ca7-4e86-8098-a4c5a2973797"]}],"mendeley":{"formattedCitation":"[7]","plainTextFormattedCitation":"[7]","previouslyFormattedCitation":"[7]"},"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rPr>
        <w:t>[7]</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Praktik pemberian MP ASI yang tidak optimal menjadi salah satu penyebab langsung terjadinya kekurangan gizi dan stunting </w:t>
      </w:r>
      <w:r w:rsidRPr="0054693E">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{"citationItems":[{"id":"ITEM-1","itemData":{"DOI":"10.22146/ijcn.34560","ISSN":"1693-900X","abstract":"Maternal knowledge, attitude, motivation and complementary feeding practice of children aged 6-23 months: formative study in AcehBackground: Poor knowledge, attitude, and motivation of the mother determine complementary feeding (CF) practice of the child resulting in poor nutrition fulfillment. Objective: This study aimed to analyze maternal knowledge, attitude, motivation, and relationships with the CF practice of children aged 6-23 months.Method: A cross-sectional study and cluster random sampling was applied to select 392 mothers of children aged 6-23 months in Aceh Besar District. Data on maternal knowledge, attitude, and motivation were collected using valid and reliable structured questionnaire. CF practice quality was assessed using indicators of timely introduction to CF, minimum meal frequency, minimum dietary diversity, and minimum acceptable diet according to WHO recommenda</w:instrText>
      </w:r>
      <w:r w:rsidR="00C81D96">
        <w:rPr>
          <w:rFonts w:ascii="Tw Cen MT" w:hAnsi="Tw Cen MT" w:cs="Times New Roman" w:hint="eastAsia"/>
          <w:sz w:val="24"/>
          <w:szCs w:val="24"/>
        </w:rPr>
        <w:instrText>tion. The association of maternal knowledge, attitude, and motivation with CF practice was analyzed using binary logistic regression with a 95% confidence level (</w:instrText>
      </w:r>
      <w:r w:rsidR="00C81D96">
        <w:rPr>
          <w:rFonts w:ascii="Tw Cen MT" w:hAnsi="Tw Cen MT" w:cs="Times New Roman" w:hint="eastAsia"/>
          <w:sz w:val="24"/>
          <w:szCs w:val="24"/>
        </w:rPr>
        <w:instrText>α</w:instrText>
      </w:r>
      <w:r w:rsidR="00C81D96">
        <w:rPr>
          <w:rFonts w:ascii="Tw Cen MT" w:hAnsi="Tw Cen MT" w:cs="Times New Roman" w:hint="eastAsia"/>
          <w:sz w:val="24"/>
          <w:szCs w:val="24"/>
        </w:rPr>
        <w:instrText>=0.05).Results: There was a small proportion of mothers (20.2%, 8.7%, 33.9%) having good kno</w:instrText>
      </w:r>
      <w:r w:rsidR="00C81D96">
        <w:rPr>
          <w:rFonts w:ascii="Tw Cen MT" w:hAnsi="Tw Cen MT" w:cs="Times New Roman"/>
          <w:sz w:val="24"/>
          <w:szCs w:val="24"/>
        </w:rPr>
        <w:instrText>wledge, attitude, and motivation, respectively. Overall, there was one-fourth (23%) of the children aged 6-23 months receiving CF as recommended by WHO. There were significant correlations between maternal knowledge and attitude (r=0.606, p&lt;0.01) and motivation (r=0.103, p&lt;0.05). Education level and motivation were the risk factors of improper CF practice (OR=4.25; 95% CI: 1.10-16.36; p=0.035and OR=1.83; 95% CI: 1.05-3.16; p=0.031, respectively). Conclusion: Maternal knowledge, attitude, and motivation of children aged 6-23 months in Aceh were still poor, shown by improper CF practice. Therefore, an effort to improve nutrition education, particularly by health personnel and stakeholder, to be specific and targeted is important. ","author":[{"dropping-particle":"","family":"Ahmad","given":"Aripin","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Meti","non-dropping-particle":"","parse-names":false,"suffix":""},{"dropping-particle":"","family":"Kolopaking","given":"Risatianti","non-dropping-particle":"","parse-names":false,"suffix":""}],"container-title":"Jurnal Gizi Klinik Indonesia","id":"ITEM-1","issue":"1","issued":{"date-parts":[["2019"]]},"page":"1","title":"Pengetahuan, sikap, motivasi ibu, dan praktik pemberian MP-ASI pada anak usia 6-23 bulan: studi formatif di Aceh","type":"article-journal","volume":"16"},"uris":["http://www.mendeley.com/documents/?uuid=65abb29a-c3da-427a-abb5-a36e5e9b818d","http://www.mendeley.com/documents/?uuid=8826f800-70d8-43d8-b329-2115c79aa01e"]}],"mendeley":{"formattedCitation":"[8]","plainTextFormattedCitation":"[8]","previouslyFormattedCitation":"[8]"},"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rPr>
        <w:t>[8]</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w:t>
      </w:r>
    </w:p>
    <w:p w14:paraId="43A4F412" w14:textId="3357F4B6" w:rsidR="0054693E" w:rsidRPr="0054693E" w:rsidRDefault="0054693E" w:rsidP="0054693E">
      <w:pPr>
        <w:spacing w:after="0" w:line="240" w:lineRule="auto"/>
        <w:ind w:firstLine="567"/>
        <w:jc w:val="both"/>
        <w:rPr>
          <w:rFonts w:ascii="Tw Cen MT" w:hAnsi="Tw Cen MT" w:cs="Times New Roman"/>
          <w:sz w:val="24"/>
          <w:szCs w:val="24"/>
        </w:rPr>
      </w:pPr>
      <w:r w:rsidRPr="0054693E">
        <w:rPr>
          <w:rFonts w:ascii="Tw Cen MT" w:hAnsi="Tw Cen MT" w:cs="Times New Roman"/>
          <w:sz w:val="24"/>
          <w:szCs w:val="24"/>
        </w:rPr>
        <w:t>Menurut WHO</w:t>
      </w:r>
      <w:r w:rsidRPr="0054693E">
        <w:rPr>
          <w:rFonts w:ascii="Tw Cen MT" w:hAnsi="Tw Cen MT" w:cs="Times New Roman"/>
          <w:sz w:val="24"/>
          <w:szCs w:val="24"/>
          <w:lang w:val="id-ID"/>
        </w:rPr>
        <w:t xml:space="preserve"> (2003)</w:t>
      </w:r>
      <w:r w:rsidRPr="0054693E">
        <w:rPr>
          <w:rFonts w:ascii="Tw Cen MT" w:hAnsi="Tw Cen MT" w:cs="Times New Roman"/>
          <w:sz w:val="24"/>
          <w:szCs w:val="24"/>
        </w:rPr>
        <w:t xml:space="preserve">, ada 6 aspek yang perlu diperhatikan dalam praktik pemberian MP-ASI yaitu respon/sikap anak terhadap makanan yang diberikan, </w:t>
      </w:r>
      <w:r w:rsidRPr="0054693E">
        <w:rPr>
          <w:rFonts w:ascii="Tw Cen MT" w:hAnsi="Tw Cen MT" w:cs="Times New Roman"/>
          <w:i/>
          <w:iCs/>
          <w:sz w:val="24"/>
          <w:szCs w:val="24"/>
        </w:rPr>
        <w:t xml:space="preserve">hygiene </w:t>
      </w:r>
      <w:r w:rsidRPr="0054693E">
        <w:rPr>
          <w:rFonts w:ascii="Tw Cen MT" w:hAnsi="Tw Cen MT" w:cs="Times New Roman"/>
          <w:sz w:val="24"/>
          <w:szCs w:val="24"/>
        </w:rPr>
        <w:t>dan sanitasi dalam pengolahan dan penyajian, jumlah porsi yang diberikan, konsistensi makanan, frekuensi pemberian dan kandungan energi, variasi bahan makanan serta usia awal pemberian MP-ASI.</w:t>
      </w:r>
      <w:r w:rsidRPr="0054693E">
        <w:rPr>
          <w:rFonts w:ascii="Tw Cen MT" w:hAnsi="Tw Cen MT" w:cs="Times New Roman"/>
          <w:sz w:val="24"/>
          <w:szCs w:val="24"/>
          <w:lang w:val="id-ID"/>
        </w:rPr>
        <w:t xml:space="preserve"> </w:t>
      </w:r>
      <w:r w:rsidRPr="0054693E">
        <w:rPr>
          <w:rFonts w:ascii="Tw Cen MT" w:hAnsi="Tw Cen MT" w:cs="Times New Roman"/>
          <w:sz w:val="24"/>
          <w:szCs w:val="24"/>
        </w:rPr>
        <w:t>Waktu pemberian MP-ASI berhubungan dengan kejadian stunting anak usia 6-23 bulan</w:t>
      </w:r>
      <w:r w:rsidRPr="0054693E">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{"citationItems":[{"id":"ITEM-1","itemData":{"DOI":"10.21927/ijnd.2016.4(2).105-111","ISSN":"2303-3045","abstract":"&lt;p&gt;&lt;strong&gt;ABSTRACT&lt;/strong&gt;&lt;/p&gt;&lt;p&gt;&lt;em&gt;&lt;strong&gt;Background&lt;/strong&gt;: Stunting in children 6-23 months old was not directly realized and can be looked after they are 2 years old. Almost 18.08% in District Bantul suffered from stunting. Stunting in children 6-23 months, may be correlated with the first time of complementary feeding introduction and inadequate intake of nutrients (energy and protein).&lt;/em&gt;&lt;/p&gt;&lt;p&gt;&lt;em&gt;&lt;strong&gt;Objectives&lt;/strong&gt;: To know the association between time of complementary feeding introduction, energy and protein intake with stunting in children 6-23 months old in Sedayu.&lt;/em&gt;&lt;/p&gt;&lt;p&gt;&lt;em&gt;&lt;strong&gt;Methods&lt;/strong&gt;: This was an observational study with cross sectional design. Research locations was in District of Sedayu, Bantul, Yogyakarta.The subject of study was children 6-23 months old in Sedayu. Samples were 190 children aged 6-23 months selected by using technique probability proportional to size (pps). The status of stunting in children was measured based on body length/age and used to analyze the risk of complementary feeding with stunting.&lt;/em&gt;&lt;/p&gt;&lt;p&gt;&lt;em&gt;&lt;strong&gt;Results&lt;/strong&gt;: The results of the analysis bivariat showed that early complementary feeding was significantly associated with stunting (OR=2.867, 95% CI:1.453-5.656). Intake of energy and proteins had no association with stunting (p=0.005).&lt;/em&gt;&lt;/p&gt;&lt;p&gt;&lt;em&gt;&lt;strong&gt;Conclusions&lt;/strong&gt;: There were association between time of complementary feeding introduction with stunting. Intake of energy and protein were not risk factors of stunting in children aged 6-23 months in Sedayu Subdistrict, Bantul, Yogyakarta.&lt;/em&gt;&lt;/p&gt;&lt;p&gt;&lt;strong&gt;KEYWORDS&lt;/strong&gt;&lt;em&gt;: complementary feeding, intake of energy, intake of protein, stunting&lt;/em&gt;&lt;/p&gt;&lt;p&gt;&lt;strong&gt;ABSTRACT&lt;/strong&gt;&lt;/p&gt;&lt;p&gt;&lt;em&gt;&lt;strong&gt;Latar belakang&lt;/strong&gt;: Terjadinya stunting pada baduta seringkali tidak disadari, dan setelah dua tahun baru terlihat ternyata balita tersebut pendek. Sebesar 18,08% balita di Kabupaten Bantul menderita stunting. Penyebab terjadinya stunting pada anak usia 6-23 bulan erat kaitannya dengan waktu pertama pemberian&lt;/em&gt;&lt;br /&gt;&lt;em&gt;makanan pendamping ASI (MP-ASI) serta asupan zat gizi (energi dan protein) pada makanan yang kurang memadai.&lt;/em&gt;&lt;/p&gt;&lt;p&gt;&lt;em&gt;&lt;strong&gt;Tujuan&lt;/strong&gt;: Mengetahui hubungan antara waktu memulai pemberian serta jumlah asupan energi dan protein dari MP-ASI dengan kejadian stunting pada anak usia 6-23 bulan di Kecamatan Sedayu.&lt;/em&gt;&lt;/p&gt;&lt;p&gt;&lt;em&gt;&lt;strong&gt;Metode&lt;/strong&gt;: Jenis penelitian adal…","author":[{"dropping-particle":"","family":"Khasanah","given":"Dwi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 (Indonesian Journal of Nutrition and Dietetics)","id":"ITEM-1","issue":"2","issued":{"date-parts":[["2016"]]},"page":"105","title":"Waktu pemberian makanan pendamping ASI (MP-ASI) berhubungan dengan kejadian stunting anak usia 6-23 bulan di Kecamatan Sedayu","type":"article-journal","volume":"4"},"uris":["http://www.mendeley.com/documents/?uuid=df56a8da-20aa-4cef-852f-fdd1ede4db8f","http://www.mendeley.com/documents/?uuid=e9118805-a6ee-4f92-a579-08a7a91fa493"]}],"mendeley":{"formattedCitation":"[9]","plainTextFormattedCitation":"[9]","previouslyFormattedCitation":"[9]"},"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rPr>
        <w:t>[9]</w:t>
      </w:r>
      <w:r w:rsidRPr="0054693E">
        <w:rPr>
          <w:rFonts w:ascii="Tw Cen MT" w:hAnsi="Tw Cen MT" w:cs="Times New Roman"/>
          <w:sz w:val="24"/>
          <w:szCs w:val="24"/>
        </w:rPr>
        <w:fldChar w:fldCharType="end"/>
      </w:r>
      <w:r w:rsidRPr="0054693E">
        <w:rPr>
          <w:rFonts w:ascii="Tw Cen MT" w:hAnsi="Tw Cen MT" w:cs="Times New Roman"/>
          <w:sz w:val="24"/>
          <w:szCs w:val="24"/>
        </w:rPr>
        <w:t xml:space="preserve">. Anak yang mendapatkan MP-ASI dini berisiko 18 kali lebih besar untuk mengalami </w:t>
      </w:r>
      <w:r w:rsidRPr="0054693E">
        <w:rPr>
          <w:rFonts w:ascii="Tw Cen MT" w:hAnsi="Tw Cen MT" w:cs="Times New Roman"/>
          <w:i/>
          <w:iCs/>
          <w:sz w:val="24"/>
          <w:szCs w:val="24"/>
        </w:rPr>
        <w:t>stunting</w:t>
      </w:r>
      <w:r w:rsidRPr="0054693E">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b2992028-ff95-4fac-83f5-7d757d2346d3","http://www.mendeley.com/documents/?uuid=df87d372-1c9a-4236-9c7e-fbe7ba7b0fb1"]}],"mendeley":{"formattedCitation":"[10]","plainTextFormattedCitation":"[10]","previouslyFormattedCitation":"[10]"},"properties":{"noteIndex":0},"schema":"https://github.com/citation-style-language/schema/raw/master/csl-citation.json"}</w:instrText>
      </w:r>
      <w:r w:rsidRPr="0054693E">
        <w:rPr>
          <w:rFonts w:ascii="Tw Cen MT" w:hAnsi="Tw Cen MT" w:cs="Times New Roman"/>
          <w:sz w:val="24"/>
          <w:szCs w:val="24"/>
        </w:rPr>
        <w:fldChar w:fldCharType="separate"/>
      </w:r>
      <w:r w:rsidRPr="0054693E">
        <w:rPr>
          <w:rFonts w:ascii="Tw Cen MT" w:hAnsi="Tw Cen MT" w:cs="Times New Roman"/>
          <w:noProof/>
          <w:sz w:val="24"/>
          <w:szCs w:val="24"/>
        </w:rPr>
        <w:t>[10]</w:t>
      </w:r>
      <w:r w:rsidRPr="0054693E">
        <w:rPr>
          <w:rFonts w:ascii="Tw Cen MT" w:hAnsi="Tw Cen MT" w:cs="Times New Roman"/>
          <w:sz w:val="24"/>
          <w:szCs w:val="24"/>
        </w:rPr>
        <w:fldChar w:fldCharType="end"/>
      </w:r>
      <w:r w:rsidRPr="0054693E">
        <w:rPr>
          <w:rFonts w:ascii="Tw Cen MT" w:hAnsi="Tw Cen MT" w:cs="Times New Roman"/>
          <w:sz w:val="24"/>
          <w:szCs w:val="24"/>
        </w:rPr>
        <w:t>. Kuantitas MP-ASI yang rendah dipengaruhi oleh faktor ibu yang tidak memperhatikan porsi yang dikonsumsi anak dan rendahnya rata-rata asupan zat gizi makro.</w:t>
      </w:r>
    </w:p>
    <w:p w14:paraId="2A342704" w14:textId="4C9B28C4" w:rsidR="0054693E" w:rsidRPr="0054693E" w:rsidRDefault="0054693E" w:rsidP="0054693E">
      <w:pPr>
        <w:spacing w:after="0" w:line="240" w:lineRule="auto"/>
        <w:ind w:firstLine="567"/>
        <w:jc w:val="both"/>
        <w:rPr>
          <w:rFonts w:ascii="Tw Cen MT" w:hAnsi="Tw Cen MT" w:cs="Times New Roman"/>
          <w:sz w:val="24"/>
          <w:szCs w:val="24"/>
        </w:rPr>
      </w:pPr>
      <w:r w:rsidRPr="0054693E">
        <w:rPr>
          <w:rFonts w:ascii="Tw Cen MT" w:hAnsi="Tw Cen MT" w:cs="Times New Roman"/>
          <w:sz w:val="24"/>
          <w:szCs w:val="24"/>
        </w:rPr>
        <w:t xml:space="preserve">Kabupaten Kampar merupakan </w:t>
      </w:r>
      <w:r w:rsidRPr="0054693E">
        <w:rPr>
          <w:rFonts w:ascii="Tw Cen MT" w:hAnsi="Tw Cen MT" w:cs="Times New Roman"/>
          <w:sz w:val="24"/>
          <w:szCs w:val="24"/>
          <w:lang w:val="en-ID"/>
        </w:rPr>
        <w:t xml:space="preserve">penyumbang terbesar produksi ikan budidaya air tawar di Provinsi Riau khususnya ikan patin. Data Badan Pusat Statistik Provinsi Riau menyebutkan bahwa produksi ikan patin Kabupaten Kampar tahun 2020 sebesar 21.549 ton. Ikan patin sendiri mengandung 17 g protein dalam 100 g bahan </w:t>
      </w:r>
      <w:r w:rsidRPr="0054693E">
        <w:rPr>
          <w:rFonts w:ascii="Tw Cen MT" w:hAnsi="Tw Cen MT" w:cs="Times New Roman"/>
          <w:sz w:val="24"/>
          <w:szCs w:val="24"/>
          <w:lang w:val="en-ID"/>
        </w:rPr>
        <w:fldChar w:fldCharType="begin" w:fldLock="1"/>
      </w:r>
      <w:r w:rsidR="00C81D96">
        <w:rPr>
          <w:rFonts w:ascii="Tw Cen MT" w:hAnsi="Tw Cen MT" w:cs="Times New Roman"/>
          <w:sz w:val="24"/>
          <w:szCs w:val="24"/>
          <w:lang w:val="en-ID"/>
        </w:rPr>
        <w:instrText>ADDIN CSL_CITATION {"citationItems":[{"id":"ITEM-1","itemData":{"ISBN":"9786024164072","abstract":"Indonesian food composition table.","author":[{"dropping-particle":"","family":"Direktorat Jendral Kesehatan Masyarakat","given":"Direktorat Gizi Masyarakat","non-dropping-particle":"","parse-names":false,"suffix":""}],"container-title":"Kementerian Kesehatan Republik Indonesia","id":"ITEM-1","issued":{"date-parts":[["2017"]]},"number-of-pages":"1-135","title":"Tabel Komposisi Pangan Indoensia 2017","type":"book"},"uris":["http://www.mendeley.com/documents/?uuid=31a290dd-e2d0-4a94-a68f-2d612e7fbaeb","http://www.mendeley.com/documents/?uuid=160e76c6-50bc-4319-b371-847aa6799b54"]}],"mendeley":{"formattedCitation":"[11]","plainTextFormattedCitation":"[11]","previouslyFormattedCitation":"[11]"},"properties":{"noteIndex":0},"schema":"https://github.com/citation-style-language/schema/raw/master/csl-citation.json"}</w:instrText>
      </w:r>
      <w:r w:rsidRPr="0054693E">
        <w:rPr>
          <w:rFonts w:ascii="Tw Cen MT" w:hAnsi="Tw Cen MT" w:cs="Times New Roman"/>
          <w:sz w:val="24"/>
          <w:szCs w:val="24"/>
          <w:lang w:val="en-ID"/>
        </w:rPr>
        <w:fldChar w:fldCharType="separate"/>
      </w:r>
      <w:r w:rsidRPr="0054693E">
        <w:rPr>
          <w:rFonts w:ascii="Tw Cen MT" w:hAnsi="Tw Cen MT" w:cs="Times New Roman"/>
          <w:noProof/>
          <w:sz w:val="24"/>
          <w:szCs w:val="24"/>
          <w:lang w:val="en-ID"/>
        </w:rPr>
        <w:t>[11]</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Walaupun memiliki sumber daya berupa bahan pangan sumber protein, Kabupaten Kampar sendiri memiliki prevalensi balita stunting yang tinggi. Sejak tahun 2019 hingga 2021, Kampar selalu masuk dalam lokus penurunan stunting. Prevalensi balita stunting di Kampar tahun 2021 sebesar 25,7% dan menurun di tahun </w:t>
      </w:r>
      <w:r w:rsidRPr="0054693E">
        <w:rPr>
          <w:rFonts w:ascii="Tw Cen MT" w:hAnsi="Tw Cen MT" w:cs="Times New Roman"/>
          <w:sz w:val="24"/>
          <w:szCs w:val="24"/>
          <w:lang w:val="en-ID"/>
        </w:rPr>
        <w:lastRenderedPageBreak/>
        <w:t xml:space="preserve">2022 menjadi 14,5% </w:t>
      </w:r>
      <w:r w:rsidRPr="0054693E">
        <w:rPr>
          <w:rFonts w:ascii="Tw Cen MT" w:hAnsi="Tw Cen MT" w:cs="Times New Roman"/>
          <w:sz w:val="24"/>
          <w:szCs w:val="24"/>
          <w:lang w:val="en-ID"/>
        </w:rPr>
        <w:fldChar w:fldCharType="begin" w:fldLock="1"/>
      </w:r>
      <w:r w:rsidR="00C81D96">
        <w:rPr>
          <w:rFonts w:ascii="Tw Cen MT" w:hAnsi="Tw Cen MT" w:cs="Times New Roman"/>
          <w:sz w:val="24"/>
          <w:szCs w:val="24"/>
          <w:lang w:val="en-ID"/>
        </w:rPr>
        <w:instrText>ADDIN CSL_CITATION {"citationItems":[{"id":"ITEM-1","itemData":{"author":[{"dropping-particle":"","family":"Kementerian Kesehatan","given":"","non-dropping-particle":"","parse-names":false,"suffix":""}],"id":"ITEM-1","issued":{"date-parts":[["2021"]]},"title":"Hasil Studi Status Gizi Indonesia (SSGI) Kabupaten/Kota tahun 2021","type":"report"},"uris":["http://www.mendeley.com/documents/?uuid=81e27025-58ee-4bd7-a1a2-b0269cb693cb","http://www.mendeley.com/documents/?uuid=dabf17b6-2c67-49a9-837a-59c605d41be9"]}],"mendeley":{"formattedCitation":"[12]","plainTextFormattedCitation":"[12]","previouslyFormattedCitation":"[12]"},"properties":{"noteIndex":0},"schema":"https://github.com/citation-style-language/schema/raw/master/csl-citation.json"}</w:instrText>
      </w:r>
      <w:r w:rsidRPr="0054693E">
        <w:rPr>
          <w:rFonts w:ascii="Tw Cen MT" w:hAnsi="Tw Cen MT" w:cs="Times New Roman"/>
          <w:sz w:val="24"/>
          <w:szCs w:val="24"/>
          <w:lang w:val="en-ID"/>
        </w:rPr>
        <w:fldChar w:fldCharType="separate"/>
      </w:r>
      <w:r w:rsidRPr="0054693E">
        <w:rPr>
          <w:rFonts w:ascii="Tw Cen MT" w:hAnsi="Tw Cen MT" w:cs="Times New Roman"/>
          <w:noProof/>
          <w:sz w:val="24"/>
          <w:szCs w:val="24"/>
          <w:lang w:val="en-ID"/>
        </w:rPr>
        <w:t>[12]</w:t>
      </w:r>
      <w:r w:rsidRPr="0054693E">
        <w:rPr>
          <w:rFonts w:ascii="Tw Cen MT" w:hAnsi="Tw Cen MT" w:cs="Times New Roman"/>
          <w:sz w:val="24"/>
          <w:szCs w:val="24"/>
          <w:lang w:val="en-ID"/>
        </w:rPr>
        <w:fldChar w:fldCharType="end"/>
      </w:r>
      <w:r w:rsidRPr="0054693E">
        <w:rPr>
          <w:rFonts w:ascii="Tw Cen MT" w:hAnsi="Tw Cen MT" w:cs="Times New Roman"/>
          <w:sz w:val="24"/>
          <w:szCs w:val="24"/>
          <w:lang w:val="en-ID"/>
        </w:rPr>
        <w:t xml:space="preserve">. </w:t>
      </w:r>
      <w:r w:rsidRPr="0054693E">
        <w:rPr>
          <w:rFonts w:ascii="Tw Cen MT" w:eastAsia="Times New Roman" w:hAnsi="Tw Cen MT" w:cs="Times New Roman"/>
          <w:sz w:val="24"/>
          <w:szCs w:val="24"/>
        </w:rPr>
        <w:t>Tujuan penelitian ini adalah</w:t>
      </w:r>
      <w:r w:rsidRPr="0054693E">
        <w:rPr>
          <w:rFonts w:ascii="Tw Cen MT" w:eastAsia="Times New Roman" w:hAnsi="Tw Cen MT" w:cs="Times New Roman"/>
          <w:sz w:val="24"/>
          <w:szCs w:val="24"/>
          <w:lang w:val="id-ID"/>
        </w:rPr>
        <w:t xml:space="preserve"> untuk </w:t>
      </w:r>
      <w:r w:rsidRPr="0054693E">
        <w:rPr>
          <w:rFonts w:ascii="Tw Cen MT" w:hAnsi="Tw Cen MT" w:cs="Times New Roman"/>
          <w:sz w:val="24"/>
          <w:szCs w:val="24"/>
          <w:lang w:val="id-ID"/>
        </w:rPr>
        <w:t>m</w:t>
      </w:r>
      <w:r w:rsidRPr="0054693E">
        <w:rPr>
          <w:rFonts w:ascii="Tw Cen MT" w:hAnsi="Tw Cen MT" w:cs="Times New Roman"/>
          <w:sz w:val="24"/>
          <w:szCs w:val="24"/>
        </w:rPr>
        <w:t>engetahui hubungan praktik pemberian MP ASI dan kejadian stunting di Kabupaten Kampar.</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744B910" w14:textId="77777777" w:rsidR="0054693E" w:rsidRPr="0054693E" w:rsidRDefault="0054693E" w:rsidP="0054693E">
      <w:pPr>
        <w:spacing w:after="0" w:line="240" w:lineRule="auto"/>
        <w:jc w:val="both"/>
        <w:rPr>
          <w:rFonts w:ascii="Tw Cen MT" w:eastAsia="Times New Roman" w:hAnsi="Tw Cen MT" w:cs="Times New Roman"/>
          <w:sz w:val="24"/>
          <w:szCs w:val="24"/>
        </w:rPr>
      </w:pPr>
      <w:r w:rsidRPr="0054693E">
        <w:rPr>
          <w:rFonts w:ascii="Tw Cen MT" w:hAnsi="Tw Cen MT" w:cs="Times New Roman"/>
          <w:color w:val="000000"/>
          <w:sz w:val="24"/>
          <w:szCs w:val="24"/>
        </w:rPr>
        <w:t xml:space="preserve">Jenis </w:t>
      </w:r>
      <w:r w:rsidRPr="0054693E">
        <w:rPr>
          <w:rFonts w:ascii="Tw Cen MT" w:hAnsi="Tw Cen MT" w:cs="Times New Roman"/>
          <w:sz w:val="24"/>
          <w:szCs w:val="24"/>
        </w:rPr>
        <w:t xml:space="preserve">penelitian ini adalah deskriptif dengan desain </w:t>
      </w:r>
      <w:r w:rsidRPr="0054693E">
        <w:rPr>
          <w:rFonts w:ascii="Tw Cen MT" w:hAnsi="Tw Cen MT" w:cs="Times New Roman"/>
          <w:i/>
          <w:sz w:val="24"/>
          <w:szCs w:val="24"/>
        </w:rPr>
        <w:t>cross sectional</w:t>
      </w:r>
      <w:r w:rsidRPr="0054693E">
        <w:rPr>
          <w:rFonts w:ascii="Tw Cen MT" w:hAnsi="Tw Cen MT" w:cs="Times New Roman"/>
          <w:sz w:val="24"/>
          <w:szCs w:val="24"/>
        </w:rPr>
        <w:t xml:space="preserve"> di wilayah kerja Puskesmas Bangkinang Kota Kabupaten Kampar.</w:t>
      </w:r>
      <w:r w:rsidRPr="0054693E">
        <w:rPr>
          <w:rFonts w:ascii="Tw Cen MT" w:hAnsi="Tw Cen MT" w:cs="Times New Roman"/>
          <w:sz w:val="24"/>
          <w:szCs w:val="24"/>
          <w:lang w:val="id-ID"/>
        </w:rPr>
        <w:t xml:space="preserve"> </w:t>
      </w:r>
      <w:r w:rsidRPr="0054693E">
        <w:rPr>
          <w:rFonts w:ascii="Tw Cen MT" w:hAnsi="Tw Cen MT" w:cs="Times New Roman"/>
          <w:sz w:val="24"/>
          <w:szCs w:val="24"/>
        </w:rPr>
        <w:t xml:space="preserve">Populasi penelitian ini adalah balita usia 6-23 bulan dengan </w:t>
      </w:r>
      <w:r w:rsidRPr="0054693E">
        <w:rPr>
          <w:rFonts w:ascii="Tw Cen MT" w:eastAsia="Times New Roman" w:hAnsi="Tw Cen MT" w:cs="Times New Roman"/>
          <w:sz w:val="24"/>
          <w:szCs w:val="24"/>
        </w:rPr>
        <w:t xml:space="preserve">metode </w:t>
      </w:r>
      <w:r w:rsidRPr="0054693E">
        <w:rPr>
          <w:rFonts w:ascii="Tw Cen MT" w:eastAsia="Times New Roman" w:hAnsi="Tw Cen MT" w:cs="Times New Roman"/>
          <w:i/>
          <w:iCs/>
          <w:sz w:val="24"/>
          <w:szCs w:val="24"/>
        </w:rPr>
        <w:t xml:space="preserve">sampling </w:t>
      </w:r>
      <w:r w:rsidRPr="0054693E">
        <w:rPr>
          <w:rFonts w:ascii="Tw Cen MT" w:eastAsia="Times New Roman" w:hAnsi="Tw Cen MT" w:cs="Times New Roman"/>
          <w:sz w:val="24"/>
          <w:szCs w:val="24"/>
        </w:rPr>
        <w:t xml:space="preserve">adalah </w:t>
      </w:r>
      <w:r w:rsidRPr="0054693E">
        <w:rPr>
          <w:rFonts w:ascii="Tw Cen MT" w:eastAsia="Times New Roman" w:hAnsi="Tw Cen MT" w:cs="Times New Roman"/>
          <w:i/>
          <w:iCs/>
          <w:sz w:val="24"/>
          <w:szCs w:val="24"/>
        </w:rPr>
        <w:t xml:space="preserve">proportionate stratified random sampling, </w:t>
      </w:r>
      <w:r w:rsidRPr="0054693E">
        <w:rPr>
          <w:rFonts w:ascii="Tw Cen MT" w:eastAsia="Times New Roman" w:hAnsi="Tw Cen MT" w:cs="Times New Roman"/>
          <w:sz w:val="24"/>
          <w:szCs w:val="24"/>
        </w:rPr>
        <w:t xml:space="preserve">dengan mengambil sampel berdasarkan proporsi masing-masing desa di wilayah kerja puskesmas tersebut. Kriteria inklusi pada penelitian ini adalah bayi/balita berusia 6-23 bulan, terdaftar atau teregistrasi sebagai penduduk tetap di Kabupaten Kampar (dilihat dari kepemilikan KK) dan ibu bayi/balita bersedia menjadi responden dengan menandatangani </w:t>
      </w:r>
      <w:r w:rsidRPr="0054693E">
        <w:rPr>
          <w:rFonts w:ascii="Tw Cen MT" w:eastAsia="Times New Roman" w:hAnsi="Tw Cen MT" w:cs="Times New Roman"/>
          <w:i/>
          <w:iCs/>
          <w:sz w:val="24"/>
          <w:szCs w:val="24"/>
        </w:rPr>
        <w:t xml:space="preserve">informed consent, </w:t>
      </w:r>
      <w:r w:rsidRPr="0054693E">
        <w:rPr>
          <w:rFonts w:ascii="Tw Cen MT" w:eastAsia="Times New Roman" w:hAnsi="Tw Cen MT" w:cs="Times New Roman"/>
          <w:sz w:val="24"/>
          <w:szCs w:val="24"/>
        </w:rPr>
        <w:t xml:space="preserve">sedangkan kriteria eksklusi adalah bayi/balita yang mengalami sakit (penyakit infeksi) yang berpengaruh terhadap pemberian makanan (dalam kurun waktu satu minggu), bayi/balita berkebutuhan khusus dan cacat fisik, pindah tempat tinggal pada saat pengambilan data dan ibu bayi/balita yang mengundurkan diri saat penelitian masih berlangsung. Jumlah sampel yang diperoleh sebesar 100 balita. Indeks antropometri PB/U menggunakan aplikasi </w:t>
      </w:r>
      <w:r w:rsidRPr="0054693E">
        <w:rPr>
          <w:rFonts w:ascii="Tw Cen MT" w:eastAsia="Times New Roman" w:hAnsi="Tw Cen MT" w:cs="Times New Roman"/>
          <w:i/>
          <w:iCs/>
          <w:sz w:val="24"/>
          <w:szCs w:val="24"/>
        </w:rPr>
        <w:t xml:space="preserve">WHO Anthro </w:t>
      </w:r>
      <w:r w:rsidRPr="0054693E">
        <w:rPr>
          <w:rFonts w:ascii="Tw Cen MT" w:eastAsia="Times New Roman" w:hAnsi="Tw Cen MT" w:cs="Times New Roman"/>
          <w:sz w:val="24"/>
          <w:szCs w:val="24"/>
        </w:rPr>
        <w:t xml:space="preserve">yang diperoleh dari hasil pengukuran panjang badan menggunakan </w:t>
      </w:r>
      <w:r w:rsidRPr="0054693E">
        <w:rPr>
          <w:rFonts w:ascii="Tw Cen MT" w:eastAsia="Times New Roman" w:hAnsi="Tw Cen MT" w:cs="Times New Roman"/>
          <w:i/>
          <w:iCs/>
          <w:sz w:val="24"/>
          <w:szCs w:val="24"/>
        </w:rPr>
        <w:t>lengthboard</w:t>
      </w:r>
      <w:r w:rsidRPr="0054693E">
        <w:rPr>
          <w:rFonts w:ascii="Tw Cen MT" w:eastAsia="Times New Roman" w:hAnsi="Tw Cen MT" w:cs="Times New Roman"/>
          <w:sz w:val="24"/>
          <w:szCs w:val="24"/>
        </w:rPr>
        <w:t xml:space="preserve">. </w:t>
      </w:r>
      <w:r w:rsidRPr="0054693E">
        <w:rPr>
          <w:rFonts w:ascii="Tahoma" w:eastAsia="Times New Roman" w:hAnsi="Tahoma" w:cs="Tahoma"/>
          <w:sz w:val="24"/>
          <w:szCs w:val="24"/>
        </w:rPr>
        <w:t>﻿</w:t>
      </w:r>
      <w:r w:rsidRPr="0054693E">
        <w:rPr>
          <w:rFonts w:ascii="Tw Cen MT" w:eastAsia="Times New Roman" w:hAnsi="Tw Cen MT" w:cs="Times New Roman"/>
          <w:sz w:val="24"/>
          <w:szCs w:val="24"/>
        </w:rPr>
        <w:t xml:space="preserve">Balita dengan status gizi pendek dan sangat pendek dikategorikan ke dalam kelompok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dan bayi dengan status gizi normal dan tinggi dikategorikan ke dalam kelompok tidak </w:t>
      </w:r>
      <w:r w:rsidRPr="0054693E">
        <w:rPr>
          <w:rFonts w:ascii="Tw Cen MT" w:eastAsia="Times New Roman" w:hAnsi="Tw Cen MT" w:cs="Times New Roman"/>
          <w:i/>
          <w:iCs/>
          <w:sz w:val="24"/>
          <w:szCs w:val="24"/>
        </w:rPr>
        <w:t>stunting</w:t>
      </w:r>
      <w:r w:rsidRPr="0054693E">
        <w:rPr>
          <w:rFonts w:ascii="Tw Cen MT" w:eastAsia="Times New Roman" w:hAnsi="Tw Cen MT" w:cs="Times New Roman"/>
          <w:sz w:val="24"/>
          <w:szCs w:val="24"/>
        </w:rPr>
        <w:t xml:space="preserve">. Praktik MP-ASI berupa usia awal pemberian, tekstur, frekuensi, porsi, variasi,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sanitasi dan </w:t>
      </w:r>
      <w:r w:rsidRPr="0054693E">
        <w:rPr>
          <w:rFonts w:ascii="Tw Cen MT" w:eastAsia="Times New Roman" w:hAnsi="Tw Cen MT" w:cs="Times New Roman"/>
          <w:i/>
          <w:iCs/>
          <w:sz w:val="24"/>
          <w:szCs w:val="24"/>
        </w:rPr>
        <w:t xml:space="preserve">responsive feeding </w:t>
      </w:r>
      <w:r w:rsidRPr="0054693E">
        <w:rPr>
          <w:rFonts w:ascii="Tw Cen MT" w:eastAsia="Times New Roman" w:hAnsi="Tw Cen MT" w:cs="Times New Roman"/>
          <w:sz w:val="24"/>
          <w:szCs w:val="24"/>
        </w:rPr>
        <w:t xml:space="preserve">diperoleh dari hasil wawancara dan observasi menggunakan kuisioner dan lembar </w:t>
      </w:r>
      <w:r w:rsidRPr="0054693E">
        <w:rPr>
          <w:rFonts w:ascii="Tw Cen MT" w:eastAsia="Times New Roman" w:hAnsi="Tw Cen MT" w:cs="Times New Roman"/>
          <w:i/>
          <w:iCs/>
          <w:sz w:val="24"/>
          <w:szCs w:val="24"/>
        </w:rPr>
        <w:t xml:space="preserve">checklist. </w:t>
      </w:r>
      <w:r w:rsidRPr="0054693E">
        <w:rPr>
          <w:rFonts w:ascii="Tw Cen MT" w:eastAsia="Times New Roman" w:hAnsi="Tw Cen MT" w:cs="Times New Roman"/>
          <w:sz w:val="24"/>
          <w:szCs w:val="24"/>
        </w:rPr>
        <w:t xml:space="preserve"> Usia awal pemberian dikategorikan menjadi &lt;6bulan dan &gt;=6bulan. Tekstur, frekuensi, porsi, dan </w:t>
      </w:r>
      <w:r w:rsidRPr="0054693E">
        <w:rPr>
          <w:rFonts w:ascii="Tw Cen MT" w:eastAsia="Times New Roman" w:hAnsi="Tw Cen MT" w:cs="Times New Roman"/>
          <w:sz w:val="24"/>
          <w:szCs w:val="24"/>
        </w:rPr>
        <w:t xml:space="preserve">variasi MP-ASI yang diperoleh dari hasil wawancara dan observasi akan dibandingkan dengan pedoman MP-ASI lalu dikategorikan menjadi sesuai dan tidak sesuai.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sanitasi dikategorikan menjadi </w:t>
      </w:r>
      <w:r w:rsidRPr="0054693E">
        <w:rPr>
          <w:rFonts w:ascii="Tw Cen MT" w:eastAsia="Times New Roman" w:hAnsi="Tw Cen MT" w:cs="Times New Roman"/>
          <w:i/>
          <w:iCs/>
          <w:sz w:val="24"/>
          <w:szCs w:val="24"/>
        </w:rPr>
        <w:t xml:space="preserve">hygiene </w:t>
      </w:r>
      <w:r w:rsidRPr="0054693E">
        <w:rPr>
          <w:rFonts w:ascii="Tw Cen MT" w:eastAsia="Times New Roman" w:hAnsi="Tw Cen MT" w:cs="Times New Roman"/>
          <w:sz w:val="24"/>
          <w:szCs w:val="24"/>
        </w:rPr>
        <w:t xml:space="preserve">dan tidak </w:t>
      </w:r>
      <w:r w:rsidRPr="0054693E">
        <w:rPr>
          <w:rFonts w:ascii="Tw Cen MT" w:eastAsia="Times New Roman" w:hAnsi="Tw Cen MT" w:cs="Times New Roman"/>
          <w:i/>
          <w:iCs/>
          <w:sz w:val="24"/>
          <w:szCs w:val="24"/>
        </w:rPr>
        <w:t>hygiene</w:t>
      </w:r>
      <w:r w:rsidRPr="0054693E">
        <w:rPr>
          <w:rFonts w:ascii="Tw Cen MT" w:eastAsia="Times New Roman" w:hAnsi="Tw Cen MT" w:cs="Times New Roman"/>
          <w:sz w:val="24"/>
          <w:szCs w:val="24"/>
        </w:rPr>
        <w:t xml:space="preserve">, sedangkan </w:t>
      </w:r>
      <w:r w:rsidRPr="0054693E">
        <w:rPr>
          <w:rFonts w:ascii="Tw Cen MT" w:eastAsia="Times New Roman" w:hAnsi="Tw Cen MT" w:cs="Times New Roman"/>
          <w:i/>
          <w:iCs/>
          <w:sz w:val="24"/>
          <w:szCs w:val="24"/>
        </w:rPr>
        <w:t xml:space="preserve">responsive feeding </w:t>
      </w:r>
      <w:r w:rsidRPr="0054693E">
        <w:rPr>
          <w:rFonts w:ascii="Tw Cen MT" w:eastAsia="Times New Roman" w:hAnsi="Tw Cen MT" w:cs="Times New Roman"/>
          <w:sz w:val="24"/>
          <w:szCs w:val="24"/>
        </w:rPr>
        <w:t xml:space="preserve">dikategorikan menjadi responsif dan tidak responsif. Kandungan gizi MP-ASI yakni energi, karbohidrat, protein dan lemak diperoleh melalui </w:t>
      </w:r>
      <w:r w:rsidRPr="0054693E">
        <w:rPr>
          <w:rFonts w:ascii="Tw Cen MT" w:eastAsia="Times New Roman" w:hAnsi="Tw Cen MT" w:cs="Times New Roman"/>
          <w:i/>
          <w:iCs/>
          <w:sz w:val="24"/>
          <w:szCs w:val="24"/>
        </w:rPr>
        <w:t xml:space="preserve">food recall </w:t>
      </w:r>
      <w:r w:rsidRPr="0054693E">
        <w:rPr>
          <w:rFonts w:ascii="Tw Cen MT" w:eastAsia="Times New Roman" w:hAnsi="Tw Cen MT" w:cs="Times New Roman"/>
          <w:sz w:val="24"/>
          <w:szCs w:val="24"/>
        </w:rPr>
        <w:t xml:space="preserve">1x24 jam kemudian dibandingkan dengan kecukupan AKG berdasarkan kategori umur balita lalu dikategorikan menjadi adekuat dan inadekuat. </w:t>
      </w:r>
      <w:r w:rsidRPr="0054693E">
        <w:rPr>
          <w:rFonts w:ascii="Tahoma" w:eastAsia="Times New Roman" w:hAnsi="Tahoma" w:cs="Tahoma"/>
          <w:sz w:val="24"/>
          <w:szCs w:val="24"/>
        </w:rPr>
        <w:t>﻿</w:t>
      </w:r>
      <w:r w:rsidRPr="0054693E">
        <w:rPr>
          <w:rFonts w:ascii="Tw Cen MT" w:eastAsia="Times New Roman" w:hAnsi="Tw Cen MT" w:cs="Times New Roman"/>
          <w:sz w:val="24"/>
          <w:szCs w:val="24"/>
        </w:rPr>
        <w:t xml:space="preserve">Analisis data menggunakan uji </w:t>
      </w:r>
      <w:r w:rsidRPr="0054693E">
        <w:rPr>
          <w:rFonts w:ascii="Tw Cen MT" w:eastAsia="Times New Roman" w:hAnsi="Tw Cen MT" w:cs="Times New Roman"/>
          <w:i/>
          <w:iCs/>
          <w:sz w:val="24"/>
          <w:szCs w:val="24"/>
        </w:rPr>
        <w:t>chi square</w:t>
      </w:r>
      <w:r w:rsidRPr="0054693E">
        <w:rPr>
          <w:rFonts w:ascii="Tw Cen MT" w:eastAsia="Times New Roman" w:hAnsi="Tw Cen MT" w:cs="Times New Roman"/>
          <w:sz w:val="24"/>
          <w:szCs w:val="24"/>
        </w:rPr>
        <w:t xml:space="preserve"> dengan nilai p&lt;0,05 maka hasil perhitungan statistik bermakna yang berarti terdapat hubungan yang signifikan antara satu variabel dengan variabel lainnya.</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8486720" w14:textId="77777777" w:rsidR="002B0F6E" w:rsidRPr="002B0F6E" w:rsidRDefault="002B0F6E" w:rsidP="002B0F6E">
      <w:pPr>
        <w:tabs>
          <w:tab w:val="left" w:pos="426"/>
        </w:tabs>
        <w:spacing w:after="0"/>
        <w:jc w:val="both"/>
        <w:rPr>
          <w:rFonts w:ascii="Tw Cen MT" w:eastAsia="Twentieth Century" w:hAnsi="Tw Cen MT" w:cs="Twentieth Century"/>
          <w:b/>
          <w:bCs/>
          <w:sz w:val="24"/>
          <w:szCs w:val="24"/>
        </w:rPr>
      </w:pPr>
      <w:r w:rsidRPr="002B0F6E">
        <w:rPr>
          <w:rFonts w:ascii="Tw Cen MT" w:eastAsia="Twentieth Century" w:hAnsi="Tw Cen MT" w:cs="Twentieth Century"/>
          <w:b/>
          <w:bCs/>
          <w:sz w:val="24"/>
          <w:szCs w:val="24"/>
        </w:rPr>
        <w:t>Analisis Univariat</w:t>
      </w:r>
    </w:p>
    <w:p w14:paraId="6FCE5C3D" w14:textId="0CA92DFD" w:rsidR="004721E3" w:rsidRPr="002E23D7" w:rsidRDefault="002B0F6E" w:rsidP="002B0F6E">
      <w:pPr>
        <w:tabs>
          <w:tab w:val="left" w:pos="426"/>
        </w:tabs>
        <w:spacing w:after="0"/>
        <w:jc w:val="both"/>
        <w:rPr>
          <w:rFonts w:ascii="Tw Cen MT" w:eastAsia="Twentieth Century" w:hAnsi="Tw Cen MT" w:cs="Twentieth Century"/>
          <w:sz w:val="24"/>
          <w:szCs w:val="24"/>
        </w:rPr>
      </w:pPr>
      <w:r w:rsidRPr="002B0F6E">
        <w:rPr>
          <w:rFonts w:ascii="Tw Cen MT" w:eastAsia="Twentieth Century" w:hAnsi="Tw Cen MT" w:cs="Twentieth Century"/>
          <w:sz w:val="24"/>
          <w:szCs w:val="24"/>
        </w:rPr>
        <w:tab/>
        <w:t>Pengumpulan data dilakukan terhadap 100 balita berusia 6-23 bulan di wilayah kerja Puskesmas Bangkinang Kota yang terdiri dari Desa Ridan, Desa Bangkinang, Desa Langgini dan Desa Kumantan. Karakteristik responden dapat dilihat pada Tabel 1</w:t>
      </w:r>
    </w:p>
    <w:p w14:paraId="33391136" w14:textId="6873BCE5" w:rsidR="004E128A" w:rsidRPr="00C5696F" w:rsidRDefault="002B0F6E" w:rsidP="002B0F6E">
      <w:pPr>
        <w:spacing w:after="0" w:line="240" w:lineRule="auto"/>
        <w:jc w:val="center"/>
        <w:rPr>
          <w:rFonts w:ascii="Tw Cen MT" w:hAnsi="Tw Cen MT"/>
          <w:noProof/>
          <w:sz w:val="22"/>
          <w:szCs w:val="22"/>
          <w:lang w:eastAsia="id-ID"/>
        </w:rPr>
      </w:pPr>
      <w:r w:rsidRPr="00C5696F">
        <w:rPr>
          <w:rFonts w:ascii="Tw Cen MT" w:hAnsi="Tw Cen MT"/>
          <w:noProof/>
          <w:sz w:val="22"/>
          <w:szCs w:val="22"/>
          <w:lang w:eastAsia="id-ID"/>
        </w:rPr>
        <w:t>Tabel 1. Karakteristik Responden</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856"/>
        <w:gridCol w:w="459"/>
        <w:gridCol w:w="1005"/>
      </w:tblGrid>
      <w:tr w:rsidR="002B0F6E" w:rsidRPr="002B0F6E" w14:paraId="4FEDFEDE" w14:textId="77777777" w:rsidTr="002B0F6E">
        <w:trPr>
          <w:tblHeader/>
          <w:jc w:val="center"/>
        </w:trPr>
        <w:tc>
          <w:tcPr>
            <w:tcW w:w="2856" w:type="dxa"/>
          </w:tcPr>
          <w:p w14:paraId="08571377" w14:textId="77777777" w:rsidR="002B0F6E" w:rsidRPr="002B0F6E" w:rsidRDefault="002B0F6E" w:rsidP="002B0F6E">
            <w:pPr>
              <w:jc w:val="center"/>
              <w:rPr>
                <w:rFonts w:ascii="Tw Cen MT" w:hAnsi="Tw Cen MT"/>
                <w:b/>
              </w:rPr>
            </w:pPr>
            <w:r w:rsidRPr="002B0F6E">
              <w:rPr>
                <w:rFonts w:ascii="Tw Cen MT" w:hAnsi="Tw Cen MT"/>
                <w:b/>
              </w:rPr>
              <w:t>Karakteristik Responden</w:t>
            </w:r>
          </w:p>
        </w:tc>
        <w:tc>
          <w:tcPr>
            <w:tcW w:w="459" w:type="dxa"/>
          </w:tcPr>
          <w:p w14:paraId="0F927D7F" w14:textId="77777777" w:rsidR="002B0F6E" w:rsidRPr="002B0F6E" w:rsidRDefault="002B0F6E" w:rsidP="002B0F6E">
            <w:pPr>
              <w:jc w:val="center"/>
              <w:rPr>
                <w:rFonts w:ascii="Tw Cen MT" w:hAnsi="Tw Cen MT"/>
                <w:b/>
              </w:rPr>
            </w:pPr>
            <w:r w:rsidRPr="002B0F6E">
              <w:rPr>
                <w:rFonts w:ascii="Tw Cen MT" w:hAnsi="Tw Cen MT"/>
                <w:b/>
              </w:rPr>
              <w:t>n</w:t>
            </w:r>
          </w:p>
        </w:tc>
        <w:tc>
          <w:tcPr>
            <w:tcW w:w="1005" w:type="dxa"/>
          </w:tcPr>
          <w:p w14:paraId="01E52CA2" w14:textId="77777777" w:rsidR="002B0F6E" w:rsidRPr="002B0F6E" w:rsidRDefault="002B0F6E" w:rsidP="002B0F6E">
            <w:pPr>
              <w:jc w:val="center"/>
              <w:rPr>
                <w:rFonts w:ascii="Tw Cen MT" w:hAnsi="Tw Cen MT"/>
                <w:b/>
              </w:rPr>
            </w:pPr>
            <w:r w:rsidRPr="002B0F6E">
              <w:rPr>
                <w:rFonts w:ascii="Tw Cen MT" w:hAnsi="Tw Cen MT"/>
                <w:b/>
              </w:rPr>
              <w:t>%</w:t>
            </w:r>
          </w:p>
        </w:tc>
      </w:tr>
      <w:tr w:rsidR="002B0F6E" w:rsidRPr="002B0F6E" w14:paraId="00539EDA" w14:textId="77777777" w:rsidTr="002B0F6E">
        <w:trPr>
          <w:jc w:val="center"/>
        </w:trPr>
        <w:tc>
          <w:tcPr>
            <w:tcW w:w="2856" w:type="dxa"/>
          </w:tcPr>
          <w:p w14:paraId="78577772" w14:textId="77777777" w:rsidR="002B0F6E" w:rsidRPr="002B0F6E" w:rsidRDefault="002B0F6E" w:rsidP="002B0F6E">
            <w:pPr>
              <w:rPr>
                <w:rFonts w:ascii="Tw Cen MT" w:hAnsi="Tw Cen MT"/>
                <w:b/>
              </w:rPr>
            </w:pPr>
            <w:r w:rsidRPr="002B0F6E">
              <w:rPr>
                <w:rFonts w:ascii="Tw Cen MT" w:hAnsi="Tw Cen MT"/>
                <w:b/>
              </w:rPr>
              <w:t>Umur</w:t>
            </w:r>
          </w:p>
          <w:p w14:paraId="4E8E375D" w14:textId="77777777" w:rsidR="002B0F6E" w:rsidRPr="002B0F6E" w:rsidRDefault="002B0F6E" w:rsidP="002B0F6E">
            <w:pPr>
              <w:ind w:left="360"/>
              <w:rPr>
                <w:rFonts w:ascii="Tw Cen MT" w:hAnsi="Tw Cen MT"/>
              </w:rPr>
            </w:pPr>
            <w:r w:rsidRPr="002B0F6E">
              <w:rPr>
                <w:rFonts w:ascii="Tw Cen MT" w:hAnsi="Tw Cen MT"/>
              </w:rPr>
              <w:t>21 – 25 tahun</w:t>
            </w:r>
          </w:p>
          <w:p w14:paraId="40EEDACE" w14:textId="77777777" w:rsidR="002B0F6E" w:rsidRPr="002B0F6E" w:rsidRDefault="002B0F6E" w:rsidP="002B0F6E">
            <w:pPr>
              <w:ind w:left="360"/>
              <w:rPr>
                <w:rFonts w:ascii="Tw Cen MT" w:hAnsi="Tw Cen MT"/>
              </w:rPr>
            </w:pPr>
            <w:r w:rsidRPr="002B0F6E">
              <w:rPr>
                <w:rFonts w:ascii="Tw Cen MT" w:hAnsi="Tw Cen MT"/>
              </w:rPr>
              <w:t>26 – 30 tahun</w:t>
            </w:r>
          </w:p>
          <w:p w14:paraId="264CD985" w14:textId="77777777" w:rsidR="002B0F6E" w:rsidRPr="002B0F6E" w:rsidRDefault="002B0F6E" w:rsidP="002B0F6E">
            <w:pPr>
              <w:ind w:left="360"/>
              <w:rPr>
                <w:rFonts w:ascii="Tw Cen MT" w:hAnsi="Tw Cen MT"/>
              </w:rPr>
            </w:pPr>
            <w:r w:rsidRPr="002B0F6E">
              <w:rPr>
                <w:rFonts w:ascii="Tw Cen MT" w:hAnsi="Tw Cen MT"/>
              </w:rPr>
              <w:t>31 – 35 tahun</w:t>
            </w:r>
          </w:p>
          <w:p w14:paraId="6D417E22" w14:textId="77777777" w:rsidR="002B0F6E" w:rsidRPr="002B0F6E" w:rsidRDefault="002B0F6E" w:rsidP="002B0F6E">
            <w:pPr>
              <w:ind w:left="360"/>
              <w:rPr>
                <w:rFonts w:ascii="Tw Cen MT" w:hAnsi="Tw Cen MT"/>
              </w:rPr>
            </w:pPr>
            <w:r w:rsidRPr="002B0F6E">
              <w:rPr>
                <w:rFonts w:ascii="Tw Cen MT" w:hAnsi="Tw Cen MT"/>
              </w:rPr>
              <w:t>36 – 40 tahun</w:t>
            </w:r>
          </w:p>
          <w:p w14:paraId="0490CEBF" w14:textId="77777777" w:rsidR="002B0F6E" w:rsidRPr="002B0F6E" w:rsidRDefault="002B0F6E" w:rsidP="002B0F6E">
            <w:pPr>
              <w:ind w:left="360"/>
              <w:rPr>
                <w:rFonts w:ascii="Tw Cen MT" w:hAnsi="Tw Cen MT"/>
              </w:rPr>
            </w:pPr>
            <w:r w:rsidRPr="002B0F6E">
              <w:rPr>
                <w:rFonts w:ascii="Tw Cen MT" w:hAnsi="Tw Cen MT"/>
              </w:rPr>
              <w:t>&gt;40 tahun</w:t>
            </w:r>
          </w:p>
        </w:tc>
        <w:tc>
          <w:tcPr>
            <w:tcW w:w="459" w:type="dxa"/>
          </w:tcPr>
          <w:p w14:paraId="42583A8C" w14:textId="77777777" w:rsidR="002B0F6E" w:rsidRPr="002B0F6E" w:rsidRDefault="002B0F6E" w:rsidP="002B0F6E">
            <w:pPr>
              <w:jc w:val="center"/>
              <w:rPr>
                <w:rFonts w:ascii="Tw Cen MT" w:hAnsi="Tw Cen MT"/>
              </w:rPr>
            </w:pPr>
          </w:p>
          <w:p w14:paraId="4DCAD970" w14:textId="77777777" w:rsidR="002B0F6E" w:rsidRPr="002B0F6E" w:rsidRDefault="002B0F6E" w:rsidP="002B0F6E">
            <w:pPr>
              <w:jc w:val="center"/>
              <w:rPr>
                <w:rFonts w:ascii="Tw Cen MT" w:hAnsi="Tw Cen MT"/>
              </w:rPr>
            </w:pPr>
            <w:r w:rsidRPr="002B0F6E">
              <w:rPr>
                <w:rFonts w:ascii="Tw Cen MT" w:hAnsi="Tw Cen MT"/>
              </w:rPr>
              <w:t>24</w:t>
            </w:r>
          </w:p>
          <w:p w14:paraId="7A046996" w14:textId="77777777" w:rsidR="002B0F6E" w:rsidRPr="002B0F6E" w:rsidRDefault="002B0F6E" w:rsidP="002B0F6E">
            <w:pPr>
              <w:jc w:val="center"/>
              <w:rPr>
                <w:rFonts w:ascii="Tw Cen MT" w:hAnsi="Tw Cen MT"/>
              </w:rPr>
            </w:pPr>
            <w:r w:rsidRPr="002B0F6E">
              <w:rPr>
                <w:rFonts w:ascii="Tw Cen MT" w:hAnsi="Tw Cen MT"/>
              </w:rPr>
              <w:t>35</w:t>
            </w:r>
          </w:p>
          <w:p w14:paraId="16539FC6" w14:textId="77777777" w:rsidR="002B0F6E" w:rsidRPr="002B0F6E" w:rsidRDefault="002B0F6E" w:rsidP="002B0F6E">
            <w:pPr>
              <w:jc w:val="center"/>
              <w:rPr>
                <w:rFonts w:ascii="Tw Cen MT" w:hAnsi="Tw Cen MT"/>
              </w:rPr>
            </w:pPr>
            <w:r w:rsidRPr="002B0F6E">
              <w:rPr>
                <w:rFonts w:ascii="Tw Cen MT" w:hAnsi="Tw Cen MT"/>
              </w:rPr>
              <w:t>23</w:t>
            </w:r>
          </w:p>
          <w:p w14:paraId="21252135" w14:textId="77777777" w:rsidR="002B0F6E" w:rsidRPr="002B0F6E" w:rsidRDefault="002B0F6E" w:rsidP="002B0F6E">
            <w:pPr>
              <w:jc w:val="center"/>
              <w:rPr>
                <w:rFonts w:ascii="Tw Cen MT" w:hAnsi="Tw Cen MT"/>
              </w:rPr>
            </w:pPr>
            <w:r w:rsidRPr="002B0F6E">
              <w:rPr>
                <w:rFonts w:ascii="Tw Cen MT" w:hAnsi="Tw Cen MT"/>
              </w:rPr>
              <w:t>13</w:t>
            </w:r>
          </w:p>
          <w:p w14:paraId="2877C386" w14:textId="77777777" w:rsidR="002B0F6E" w:rsidRPr="002B0F6E" w:rsidRDefault="002B0F6E" w:rsidP="002B0F6E">
            <w:pPr>
              <w:jc w:val="center"/>
              <w:rPr>
                <w:rFonts w:ascii="Tw Cen MT" w:hAnsi="Tw Cen MT"/>
                <w:b/>
              </w:rPr>
            </w:pPr>
            <w:r w:rsidRPr="002B0F6E">
              <w:rPr>
                <w:rFonts w:ascii="Tw Cen MT" w:hAnsi="Tw Cen MT"/>
              </w:rPr>
              <w:t>5</w:t>
            </w:r>
          </w:p>
        </w:tc>
        <w:tc>
          <w:tcPr>
            <w:tcW w:w="1005" w:type="dxa"/>
          </w:tcPr>
          <w:p w14:paraId="1594BA48" w14:textId="77777777" w:rsidR="002B0F6E" w:rsidRPr="002B0F6E" w:rsidRDefault="002B0F6E" w:rsidP="002B0F6E">
            <w:pPr>
              <w:jc w:val="center"/>
              <w:rPr>
                <w:rFonts w:ascii="Tw Cen MT" w:hAnsi="Tw Cen MT"/>
              </w:rPr>
            </w:pPr>
          </w:p>
          <w:p w14:paraId="05BB2464" w14:textId="77777777" w:rsidR="002B0F6E" w:rsidRPr="002B0F6E" w:rsidRDefault="002B0F6E" w:rsidP="002B0F6E">
            <w:pPr>
              <w:jc w:val="center"/>
              <w:rPr>
                <w:rFonts w:ascii="Tw Cen MT" w:hAnsi="Tw Cen MT"/>
              </w:rPr>
            </w:pPr>
            <w:r w:rsidRPr="002B0F6E">
              <w:rPr>
                <w:rFonts w:ascii="Tw Cen MT" w:hAnsi="Tw Cen MT"/>
              </w:rPr>
              <w:t>24.0</w:t>
            </w:r>
          </w:p>
          <w:p w14:paraId="776FC7B2" w14:textId="77777777" w:rsidR="002B0F6E" w:rsidRPr="002B0F6E" w:rsidRDefault="002B0F6E" w:rsidP="002B0F6E">
            <w:pPr>
              <w:jc w:val="center"/>
              <w:rPr>
                <w:rFonts w:ascii="Tw Cen MT" w:hAnsi="Tw Cen MT"/>
              </w:rPr>
            </w:pPr>
            <w:r w:rsidRPr="002B0F6E">
              <w:rPr>
                <w:rFonts w:ascii="Tw Cen MT" w:hAnsi="Tw Cen MT"/>
              </w:rPr>
              <w:t>35.0</w:t>
            </w:r>
          </w:p>
          <w:p w14:paraId="164D00C9" w14:textId="77777777" w:rsidR="002B0F6E" w:rsidRPr="002B0F6E" w:rsidRDefault="002B0F6E" w:rsidP="002B0F6E">
            <w:pPr>
              <w:jc w:val="center"/>
              <w:rPr>
                <w:rFonts w:ascii="Tw Cen MT" w:hAnsi="Tw Cen MT"/>
              </w:rPr>
            </w:pPr>
            <w:r w:rsidRPr="002B0F6E">
              <w:rPr>
                <w:rFonts w:ascii="Tw Cen MT" w:hAnsi="Tw Cen MT"/>
              </w:rPr>
              <w:t>23.0</w:t>
            </w:r>
          </w:p>
          <w:p w14:paraId="2323E215" w14:textId="77777777" w:rsidR="002B0F6E" w:rsidRPr="002B0F6E" w:rsidRDefault="002B0F6E" w:rsidP="002B0F6E">
            <w:pPr>
              <w:jc w:val="center"/>
              <w:rPr>
                <w:rFonts w:ascii="Tw Cen MT" w:hAnsi="Tw Cen MT"/>
              </w:rPr>
            </w:pPr>
            <w:r w:rsidRPr="002B0F6E">
              <w:rPr>
                <w:rFonts w:ascii="Tw Cen MT" w:hAnsi="Tw Cen MT"/>
              </w:rPr>
              <w:t>13.0</w:t>
            </w:r>
          </w:p>
          <w:p w14:paraId="32A508E9" w14:textId="77777777" w:rsidR="002B0F6E" w:rsidRPr="002B0F6E" w:rsidRDefault="002B0F6E" w:rsidP="002B0F6E">
            <w:pPr>
              <w:jc w:val="center"/>
              <w:rPr>
                <w:rFonts w:ascii="Tw Cen MT" w:hAnsi="Tw Cen MT"/>
                <w:b/>
              </w:rPr>
            </w:pPr>
            <w:r w:rsidRPr="002B0F6E">
              <w:rPr>
                <w:rFonts w:ascii="Tw Cen MT" w:hAnsi="Tw Cen MT"/>
              </w:rPr>
              <w:t>5.0</w:t>
            </w:r>
          </w:p>
        </w:tc>
      </w:tr>
      <w:tr w:rsidR="002B0F6E" w:rsidRPr="002B0F6E" w14:paraId="371667F5" w14:textId="77777777" w:rsidTr="002B0F6E">
        <w:trPr>
          <w:jc w:val="center"/>
        </w:trPr>
        <w:tc>
          <w:tcPr>
            <w:tcW w:w="2856" w:type="dxa"/>
          </w:tcPr>
          <w:p w14:paraId="2301BA42" w14:textId="77777777" w:rsidR="002B0F6E" w:rsidRPr="002B0F6E" w:rsidRDefault="002B0F6E" w:rsidP="002B0F6E">
            <w:pPr>
              <w:rPr>
                <w:rFonts w:ascii="Tw Cen MT" w:hAnsi="Tw Cen MT"/>
                <w:b/>
              </w:rPr>
            </w:pPr>
            <w:r w:rsidRPr="002B0F6E">
              <w:rPr>
                <w:rFonts w:ascii="Tw Cen MT" w:hAnsi="Tw Cen MT"/>
                <w:b/>
              </w:rPr>
              <w:t>Status Gizi Ibu Berdasarkan IMT</w:t>
            </w:r>
          </w:p>
          <w:p w14:paraId="14533E23" w14:textId="77777777" w:rsidR="002B0F6E" w:rsidRPr="002B0F6E" w:rsidRDefault="002B0F6E" w:rsidP="002B0F6E">
            <w:pPr>
              <w:ind w:left="360"/>
              <w:rPr>
                <w:rFonts w:ascii="Tw Cen MT" w:hAnsi="Tw Cen MT"/>
              </w:rPr>
            </w:pPr>
            <w:r w:rsidRPr="002B0F6E">
              <w:rPr>
                <w:rFonts w:ascii="Tw Cen MT" w:hAnsi="Tw Cen MT"/>
                <w:i/>
              </w:rPr>
              <w:t>Underweight</w:t>
            </w:r>
            <w:r w:rsidRPr="002B0F6E">
              <w:rPr>
                <w:rFonts w:ascii="Tw Cen MT" w:hAnsi="Tw Cen MT"/>
              </w:rPr>
              <w:t xml:space="preserve"> (IMT &lt;18.5 kg/m</w:t>
            </w:r>
            <w:r w:rsidRPr="002B0F6E">
              <w:rPr>
                <w:rFonts w:ascii="Tw Cen MT" w:hAnsi="Tw Cen MT"/>
                <w:vertAlign w:val="superscript"/>
              </w:rPr>
              <w:t>2</w:t>
            </w:r>
            <w:r w:rsidRPr="002B0F6E">
              <w:rPr>
                <w:rFonts w:ascii="Tw Cen MT" w:hAnsi="Tw Cen MT"/>
              </w:rPr>
              <w:t>)</w:t>
            </w:r>
          </w:p>
          <w:p w14:paraId="58838381" w14:textId="77777777" w:rsidR="002B0F6E" w:rsidRPr="002B0F6E" w:rsidRDefault="002B0F6E" w:rsidP="002B0F6E">
            <w:pPr>
              <w:ind w:left="360"/>
              <w:rPr>
                <w:rFonts w:ascii="Tw Cen MT" w:hAnsi="Tw Cen MT"/>
              </w:rPr>
            </w:pPr>
            <w:r w:rsidRPr="002B0F6E">
              <w:rPr>
                <w:rFonts w:ascii="Tw Cen MT" w:hAnsi="Tw Cen MT"/>
              </w:rPr>
              <w:t>Normal (IMT 18.5 – 22.9 kg/m</w:t>
            </w:r>
            <w:r w:rsidRPr="002B0F6E">
              <w:rPr>
                <w:rFonts w:ascii="Tw Cen MT" w:hAnsi="Tw Cen MT"/>
                <w:vertAlign w:val="superscript"/>
              </w:rPr>
              <w:t>2</w:t>
            </w:r>
            <w:r w:rsidRPr="002B0F6E">
              <w:rPr>
                <w:rFonts w:ascii="Tw Cen MT" w:hAnsi="Tw Cen MT"/>
              </w:rPr>
              <w:t>)</w:t>
            </w:r>
          </w:p>
          <w:p w14:paraId="4858CDF2" w14:textId="77777777" w:rsidR="002B0F6E" w:rsidRPr="002B0F6E" w:rsidRDefault="002B0F6E" w:rsidP="002B0F6E">
            <w:pPr>
              <w:ind w:left="360"/>
              <w:rPr>
                <w:rFonts w:ascii="Tw Cen MT" w:hAnsi="Tw Cen MT"/>
              </w:rPr>
            </w:pPr>
            <w:r w:rsidRPr="002B0F6E">
              <w:rPr>
                <w:rFonts w:ascii="Tw Cen MT" w:hAnsi="Tw Cen MT"/>
              </w:rPr>
              <w:t>Overweight (IMT 23 – 24.9 kg/m</w:t>
            </w:r>
            <w:r w:rsidRPr="002B0F6E">
              <w:rPr>
                <w:rFonts w:ascii="Tw Cen MT" w:hAnsi="Tw Cen MT"/>
                <w:vertAlign w:val="superscript"/>
              </w:rPr>
              <w:t>2</w:t>
            </w:r>
            <w:r w:rsidRPr="002B0F6E">
              <w:rPr>
                <w:rFonts w:ascii="Tw Cen MT" w:hAnsi="Tw Cen MT"/>
              </w:rPr>
              <w:t>)</w:t>
            </w:r>
          </w:p>
          <w:p w14:paraId="11E18DD7" w14:textId="77777777" w:rsidR="002B0F6E" w:rsidRPr="002B0F6E" w:rsidRDefault="002B0F6E" w:rsidP="002B0F6E">
            <w:pPr>
              <w:ind w:left="360"/>
              <w:rPr>
                <w:rFonts w:ascii="Tw Cen MT" w:hAnsi="Tw Cen MT"/>
                <w:lang w:val="en-ID"/>
              </w:rPr>
            </w:pPr>
            <w:r w:rsidRPr="002B0F6E">
              <w:rPr>
                <w:rFonts w:ascii="Tw Cen MT" w:hAnsi="Tw Cen MT"/>
                <w:lang w:val="en-ID"/>
              </w:rPr>
              <w:lastRenderedPageBreak/>
              <w:t>Obesitas I (IMT 25 – 29.9 kg/m</w:t>
            </w:r>
            <w:r w:rsidRPr="002B0F6E">
              <w:rPr>
                <w:rFonts w:ascii="Tw Cen MT" w:hAnsi="Tw Cen MT"/>
                <w:vertAlign w:val="superscript"/>
                <w:lang w:val="en-ID"/>
              </w:rPr>
              <w:t>2</w:t>
            </w:r>
            <w:r w:rsidRPr="002B0F6E">
              <w:rPr>
                <w:rFonts w:ascii="Tw Cen MT" w:hAnsi="Tw Cen MT"/>
                <w:lang w:val="en-ID"/>
              </w:rPr>
              <w:t>)</w:t>
            </w:r>
          </w:p>
          <w:p w14:paraId="150B2B2E" w14:textId="77777777" w:rsidR="002B0F6E" w:rsidRPr="002B0F6E" w:rsidRDefault="002B0F6E" w:rsidP="002B0F6E">
            <w:pPr>
              <w:ind w:left="360"/>
              <w:rPr>
                <w:rFonts w:ascii="Tw Cen MT" w:hAnsi="Tw Cen MT"/>
                <w:lang w:val="pt-BR"/>
              </w:rPr>
            </w:pPr>
            <w:r w:rsidRPr="002B0F6E">
              <w:rPr>
                <w:rFonts w:ascii="Tw Cen MT" w:hAnsi="Tw Cen MT"/>
                <w:lang w:val="pt-BR"/>
              </w:rPr>
              <w:t>Obesitas II (IMT ≥30 kg/m</w:t>
            </w:r>
            <w:r w:rsidRPr="002B0F6E">
              <w:rPr>
                <w:rFonts w:ascii="Tw Cen MT" w:hAnsi="Tw Cen MT"/>
                <w:vertAlign w:val="superscript"/>
                <w:lang w:val="pt-BR"/>
              </w:rPr>
              <w:t>2</w:t>
            </w:r>
            <w:r w:rsidRPr="002B0F6E">
              <w:rPr>
                <w:rFonts w:ascii="Tw Cen MT" w:hAnsi="Tw Cen MT"/>
                <w:lang w:val="pt-BR"/>
              </w:rPr>
              <w:t>)</w:t>
            </w:r>
          </w:p>
        </w:tc>
        <w:tc>
          <w:tcPr>
            <w:tcW w:w="459" w:type="dxa"/>
          </w:tcPr>
          <w:p w14:paraId="68842E6B" w14:textId="77777777" w:rsidR="002B0F6E" w:rsidRPr="002B0F6E" w:rsidRDefault="002B0F6E" w:rsidP="002B0F6E">
            <w:pPr>
              <w:jc w:val="center"/>
              <w:rPr>
                <w:rFonts w:ascii="Tw Cen MT" w:hAnsi="Tw Cen MT"/>
                <w:lang w:val="pt-BR"/>
              </w:rPr>
            </w:pPr>
          </w:p>
          <w:p w14:paraId="31F5AD3E" w14:textId="77777777" w:rsidR="002B0F6E" w:rsidRPr="002B0F6E" w:rsidRDefault="002B0F6E" w:rsidP="002B0F6E">
            <w:pPr>
              <w:jc w:val="center"/>
              <w:rPr>
                <w:rFonts w:ascii="Tw Cen MT" w:hAnsi="Tw Cen MT"/>
              </w:rPr>
            </w:pPr>
            <w:r w:rsidRPr="002B0F6E">
              <w:rPr>
                <w:rFonts w:ascii="Tw Cen MT" w:hAnsi="Tw Cen MT"/>
              </w:rPr>
              <w:t>3</w:t>
            </w:r>
          </w:p>
          <w:p w14:paraId="3903EC5B" w14:textId="77777777" w:rsidR="002B0F6E" w:rsidRPr="002B0F6E" w:rsidRDefault="002B0F6E" w:rsidP="002B0F6E">
            <w:pPr>
              <w:jc w:val="center"/>
              <w:rPr>
                <w:rFonts w:ascii="Tw Cen MT" w:hAnsi="Tw Cen MT"/>
              </w:rPr>
            </w:pPr>
            <w:r w:rsidRPr="002B0F6E">
              <w:rPr>
                <w:rFonts w:ascii="Tw Cen MT" w:hAnsi="Tw Cen MT"/>
              </w:rPr>
              <w:t>43</w:t>
            </w:r>
          </w:p>
          <w:p w14:paraId="668F27D0" w14:textId="77777777" w:rsidR="002B0F6E" w:rsidRPr="002B0F6E" w:rsidRDefault="002B0F6E" w:rsidP="002B0F6E">
            <w:pPr>
              <w:jc w:val="center"/>
              <w:rPr>
                <w:rFonts w:ascii="Tw Cen MT" w:hAnsi="Tw Cen MT"/>
              </w:rPr>
            </w:pPr>
            <w:r w:rsidRPr="002B0F6E">
              <w:rPr>
                <w:rFonts w:ascii="Tw Cen MT" w:hAnsi="Tw Cen MT"/>
              </w:rPr>
              <w:t>29</w:t>
            </w:r>
          </w:p>
          <w:p w14:paraId="1CF73EB7" w14:textId="77777777" w:rsidR="002B0F6E" w:rsidRPr="002B0F6E" w:rsidRDefault="002B0F6E" w:rsidP="002B0F6E">
            <w:pPr>
              <w:jc w:val="center"/>
              <w:rPr>
                <w:rFonts w:ascii="Tw Cen MT" w:hAnsi="Tw Cen MT"/>
              </w:rPr>
            </w:pPr>
            <w:r w:rsidRPr="002B0F6E">
              <w:rPr>
                <w:rFonts w:ascii="Tw Cen MT" w:hAnsi="Tw Cen MT"/>
              </w:rPr>
              <w:t>21</w:t>
            </w:r>
          </w:p>
          <w:p w14:paraId="542DB863" w14:textId="77777777" w:rsidR="002B0F6E" w:rsidRPr="002B0F6E" w:rsidRDefault="002B0F6E" w:rsidP="002B0F6E">
            <w:pPr>
              <w:jc w:val="center"/>
              <w:rPr>
                <w:rFonts w:ascii="Tw Cen MT" w:hAnsi="Tw Cen MT"/>
              </w:rPr>
            </w:pPr>
            <w:r w:rsidRPr="002B0F6E">
              <w:rPr>
                <w:rFonts w:ascii="Tw Cen MT" w:hAnsi="Tw Cen MT"/>
              </w:rPr>
              <w:t>4</w:t>
            </w:r>
          </w:p>
        </w:tc>
        <w:tc>
          <w:tcPr>
            <w:tcW w:w="1005" w:type="dxa"/>
          </w:tcPr>
          <w:p w14:paraId="790799DC" w14:textId="77777777" w:rsidR="002B0F6E" w:rsidRPr="002B0F6E" w:rsidRDefault="002B0F6E" w:rsidP="002B0F6E">
            <w:pPr>
              <w:jc w:val="center"/>
              <w:rPr>
                <w:rFonts w:ascii="Tw Cen MT" w:hAnsi="Tw Cen MT"/>
              </w:rPr>
            </w:pPr>
          </w:p>
          <w:p w14:paraId="33A67C57" w14:textId="77777777" w:rsidR="002B0F6E" w:rsidRPr="002B0F6E" w:rsidRDefault="002B0F6E" w:rsidP="002B0F6E">
            <w:pPr>
              <w:jc w:val="center"/>
              <w:rPr>
                <w:rFonts w:ascii="Tw Cen MT" w:hAnsi="Tw Cen MT"/>
              </w:rPr>
            </w:pPr>
            <w:r w:rsidRPr="002B0F6E">
              <w:rPr>
                <w:rFonts w:ascii="Tw Cen MT" w:hAnsi="Tw Cen MT"/>
              </w:rPr>
              <w:t>3.0</w:t>
            </w:r>
          </w:p>
          <w:p w14:paraId="14FCF358" w14:textId="77777777" w:rsidR="002B0F6E" w:rsidRPr="002B0F6E" w:rsidRDefault="002B0F6E" w:rsidP="002B0F6E">
            <w:pPr>
              <w:jc w:val="center"/>
              <w:rPr>
                <w:rFonts w:ascii="Tw Cen MT" w:hAnsi="Tw Cen MT"/>
              </w:rPr>
            </w:pPr>
            <w:r w:rsidRPr="002B0F6E">
              <w:rPr>
                <w:rFonts w:ascii="Tw Cen MT" w:hAnsi="Tw Cen MT"/>
              </w:rPr>
              <w:t>43.0</w:t>
            </w:r>
          </w:p>
          <w:p w14:paraId="4710335C" w14:textId="77777777" w:rsidR="002B0F6E" w:rsidRPr="002B0F6E" w:rsidRDefault="002B0F6E" w:rsidP="002B0F6E">
            <w:pPr>
              <w:jc w:val="center"/>
              <w:rPr>
                <w:rFonts w:ascii="Tw Cen MT" w:hAnsi="Tw Cen MT"/>
              </w:rPr>
            </w:pPr>
            <w:r w:rsidRPr="002B0F6E">
              <w:rPr>
                <w:rFonts w:ascii="Tw Cen MT" w:hAnsi="Tw Cen MT"/>
              </w:rPr>
              <w:t>29.0</w:t>
            </w:r>
          </w:p>
          <w:p w14:paraId="538F39B2" w14:textId="77777777" w:rsidR="002B0F6E" w:rsidRPr="002B0F6E" w:rsidRDefault="002B0F6E" w:rsidP="002B0F6E">
            <w:pPr>
              <w:jc w:val="center"/>
              <w:rPr>
                <w:rFonts w:ascii="Tw Cen MT" w:hAnsi="Tw Cen MT"/>
              </w:rPr>
            </w:pPr>
            <w:r w:rsidRPr="002B0F6E">
              <w:rPr>
                <w:rFonts w:ascii="Tw Cen MT" w:hAnsi="Tw Cen MT"/>
              </w:rPr>
              <w:t>21.0</w:t>
            </w:r>
          </w:p>
          <w:p w14:paraId="38A5435F" w14:textId="77777777" w:rsidR="002B0F6E" w:rsidRPr="002B0F6E" w:rsidRDefault="002B0F6E" w:rsidP="002B0F6E">
            <w:pPr>
              <w:jc w:val="center"/>
              <w:rPr>
                <w:rFonts w:ascii="Tw Cen MT" w:hAnsi="Tw Cen MT"/>
              </w:rPr>
            </w:pPr>
            <w:r w:rsidRPr="002B0F6E">
              <w:rPr>
                <w:rFonts w:ascii="Tw Cen MT" w:hAnsi="Tw Cen MT"/>
              </w:rPr>
              <w:t>4.0</w:t>
            </w:r>
          </w:p>
        </w:tc>
      </w:tr>
      <w:tr w:rsidR="002B0F6E" w:rsidRPr="002B0F6E" w14:paraId="473318E9" w14:textId="77777777" w:rsidTr="002B0F6E">
        <w:trPr>
          <w:jc w:val="center"/>
        </w:trPr>
        <w:tc>
          <w:tcPr>
            <w:tcW w:w="2856" w:type="dxa"/>
          </w:tcPr>
          <w:p w14:paraId="719EF0AD" w14:textId="77777777" w:rsidR="002B0F6E" w:rsidRPr="002B0F6E" w:rsidRDefault="002B0F6E" w:rsidP="002B0F6E">
            <w:pPr>
              <w:rPr>
                <w:rFonts w:ascii="Tw Cen MT" w:hAnsi="Tw Cen MT"/>
                <w:b/>
              </w:rPr>
            </w:pPr>
            <w:r w:rsidRPr="002B0F6E">
              <w:rPr>
                <w:rFonts w:ascii="Tw Cen MT" w:hAnsi="Tw Cen MT"/>
                <w:b/>
              </w:rPr>
              <w:t>Pekerjaan Ibu</w:t>
            </w:r>
          </w:p>
          <w:p w14:paraId="79841268" w14:textId="77777777" w:rsidR="002B0F6E" w:rsidRPr="002B0F6E" w:rsidRDefault="002B0F6E" w:rsidP="002B0F6E">
            <w:pPr>
              <w:ind w:left="360"/>
              <w:rPr>
                <w:rFonts w:ascii="Tw Cen MT" w:hAnsi="Tw Cen MT"/>
              </w:rPr>
            </w:pPr>
            <w:r w:rsidRPr="002B0F6E">
              <w:rPr>
                <w:rFonts w:ascii="Tw Cen MT" w:hAnsi="Tw Cen MT"/>
              </w:rPr>
              <w:t>Bekerja</w:t>
            </w:r>
          </w:p>
          <w:p w14:paraId="5AC31FD5" w14:textId="77777777" w:rsidR="002B0F6E" w:rsidRPr="002B0F6E" w:rsidRDefault="002B0F6E" w:rsidP="002B0F6E">
            <w:pPr>
              <w:ind w:left="360" w:firstLine="349"/>
              <w:rPr>
                <w:rFonts w:ascii="Tw Cen MT" w:hAnsi="Tw Cen MT"/>
              </w:rPr>
            </w:pPr>
            <w:r w:rsidRPr="002B0F6E">
              <w:rPr>
                <w:rFonts w:ascii="Tw Cen MT" w:hAnsi="Tw Cen MT"/>
              </w:rPr>
              <w:t>- Guru</w:t>
            </w:r>
          </w:p>
          <w:p w14:paraId="0AA9188E" w14:textId="77777777" w:rsidR="002B0F6E" w:rsidRPr="002B0F6E" w:rsidRDefault="002B0F6E" w:rsidP="002B0F6E">
            <w:pPr>
              <w:ind w:left="360" w:firstLine="349"/>
              <w:rPr>
                <w:rFonts w:ascii="Tw Cen MT" w:hAnsi="Tw Cen MT"/>
              </w:rPr>
            </w:pPr>
            <w:r w:rsidRPr="002B0F6E">
              <w:rPr>
                <w:rFonts w:ascii="Tw Cen MT" w:hAnsi="Tw Cen MT"/>
              </w:rPr>
              <w:t>- Petani Karet</w:t>
            </w:r>
          </w:p>
          <w:p w14:paraId="141FC1D3" w14:textId="77777777" w:rsidR="002B0F6E" w:rsidRPr="002B0F6E" w:rsidRDefault="002B0F6E" w:rsidP="002B0F6E">
            <w:pPr>
              <w:ind w:left="360" w:firstLine="349"/>
              <w:rPr>
                <w:rFonts w:ascii="Tw Cen MT" w:hAnsi="Tw Cen MT"/>
              </w:rPr>
            </w:pPr>
            <w:r w:rsidRPr="002B0F6E">
              <w:rPr>
                <w:rFonts w:ascii="Tw Cen MT" w:hAnsi="Tw Cen MT"/>
              </w:rPr>
              <w:t>- Wirausaha</w:t>
            </w:r>
          </w:p>
          <w:p w14:paraId="215B8502" w14:textId="77777777" w:rsidR="002B0F6E" w:rsidRPr="002B0F6E" w:rsidRDefault="002B0F6E" w:rsidP="002B0F6E">
            <w:pPr>
              <w:ind w:left="360" w:firstLine="349"/>
              <w:rPr>
                <w:rFonts w:ascii="Tw Cen MT" w:hAnsi="Tw Cen MT"/>
              </w:rPr>
            </w:pPr>
            <w:r w:rsidRPr="002B0F6E">
              <w:rPr>
                <w:rFonts w:ascii="Tw Cen MT" w:hAnsi="Tw Cen MT"/>
              </w:rPr>
              <w:t>- Pegawai Swasta</w:t>
            </w:r>
          </w:p>
          <w:p w14:paraId="4F0A70E5" w14:textId="77777777" w:rsidR="002B0F6E" w:rsidRPr="002B0F6E" w:rsidRDefault="002B0F6E" w:rsidP="002B0F6E">
            <w:pPr>
              <w:ind w:left="360" w:firstLine="349"/>
              <w:rPr>
                <w:rFonts w:ascii="Tw Cen MT" w:hAnsi="Tw Cen MT"/>
              </w:rPr>
            </w:pPr>
            <w:r w:rsidRPr="002B0F6E">
              <w:rPr>
                <w:rFonts w:ascii="Tw Cen MT" w:hAnsi="Tw Cen MT"/>
              </w:rPr>
              <w:t>- Buruh</w:t>
            </w:r>
          </w:p>
          <w:p w14:paraId="5E99F2DB" w14:textId="77777777" w:rsidR="002B0F6E" w:rsidRPr="002B0F6E" w:rsidRDefault="002B0F6E" w:rsidP="002B0F6E">
            <w:pPr>
              <w:ind w:left="360" w:firstLine="349"/>
              <w:rPr>
                <w:rFonts w:ascii="Tw Cen MT" w:hAnsi="Tw Cen MT"/>
              </w:rPr>
            </w:pPr>
            <w:r w:rsidRPr="002B0F6E">
              <w:rPr>
                <w:rFonts w:ascii="Tw Cen MT" w:hAnsi="Tw Cen MT"/>
              </w:rPr>
              <w:t>- Perawat</w:t>
            </w:r>
          </w:p>
          <w:p w14:paraId="5306AA74" w14:textId="77777777" w:rsidR="002B0F6E" w:rsidRPr="002B0F6E" w:rsidRDefault="002B0F6E" w:rsidP="002B0F6E">
            <w:pPr>
              <w:ind w:left="360" w:firstLine="349"/>
              <w:rPr>
                <w:rFonts w:ascii="Tw Cen MT" w:hAnsi="Tw Cen MT"/>
              </w:rPr>
            </w:pPr>
            <w:r w:rsidRPr="002B0F6E">
              <w:rPr>
                <w:rFonts w:ascii="Tw Cen MT" w:hAnsi="Tw Cen MT"/>
              </w:rPr>
              <w:t>- Dokter</w:t>
            </w:r>
          </w:p>
          <w:p w14:paraId="41C5F763" w14:textId="77777777" w:rsidR="002B0F6E" w:rsidRPr="002B0F6E" w:rsidRDefault="002B0F6E" w:rsidP="002B0F6E">
            <w:pPr>
              <w:ind w:left="360"/>
              <w:rPr>
                <w:rFonts w:ascii="Tw Cen MT" w:hAnsi="Tw Cen MT"/>
              </w:rPr>
            </w:pPr>
            <w:r w:rsidRPr="002B0F6E">
              <w:rPr>
                <w:rFonts w:ascii="Tw Cen MT" w:hAnsi="Tw Cen MT"/>
              </w:rPr>
              <w:t>Tidak bekerja</w:t>
            </w:r>
          </w:p>
        </w:tc>
        <w:tc>
          <w:tcPr>
            <w:tcW w:w="459" w:type="dxa"/>
          </w:tcPr>
          <w:p w14:paraId="62B0633C" w14:textId="77777777" w:rsidR="002B0F6E" w:rsidRPr="002B0F6E" w:rsidRDefault="002B0F6E" w:rsidP="002B0F6E">
            <w:pPr>
              <w:jc w:val="center"/>
              <w:rPr>
                <w:rFonts w:ascii="Tw Cen MT" w:hAnsi="Tw Cen MT"/>
              </w:rPr>
            </w:pPr>
          </w:p>
          <w:p w14:paraId="23DBDF92" w14:textId="77777777" w:rsidR="002B0F6E" w:rsidRPr="002B0F6E" w:rsidRDefault="002B0F6E" w:rsidP="002B0F6E">
            <w:pPr>
              <w:jc w:val="center"/>
              <w:rPr>
                <w:rFonts w:ascii="Tw Cen MT" w:hAnsi="Tw Cen MT"/>
              </w:rPr>
            </w:pPr>
          </w:p>
          <w:p w14:paraId="451CB7A9" w14:textId="77777777" w:rsidR="002B0F6E" w:rsidRPr="002B0F6E" w:rsidRDefault="002B0F6E" w:rsidP="002B0F6E">
            <w:pPr>
              <w:jc w:val="center"/>
              <w:rPr>
                <w:rFonts w:ascii="Tw Cen MT" w:hAnsi="Tw Cen MT"/>
              </w:rPr>
            </w:pPr>
            <w:r w:rsidRPr="002B0F6E">
              <w:rPr>
                <w:rFonts w:ascii="Tw Cen MT" w:hAnsi="Tw Cen MT"/>
              </w:rPr>
              <w:t>8</w:t>
            </w:r>
          </w:p>
          <w:p w14:paraId="79BE9D24" w14:textId="77777777" w:rsidR="002B0F6E" w:rsidRPr="002B0F6E" w:rsidRDefault="002B0F6E" w:rsidP="002B0F6E">
            <w:pPr>
              <w:jc w:val="center"/>
              <w:rPr>
                <w:rFonts w:ascii="Tw Cen MT" w:hAnsi="Tw Cen MT"/>
              </w:rPr>
            </w:pPr>
            <w:r w:rsidRPr="002B0F6E">
              <w:rPr>
                <w:rFonts w:ascii="Tw Cen MT" w:hAnsi="Tw Cen MT"/>
              </w:rPr>
              <w:t>1</w:t>
            </w:r>
          </w:p>
          <w:p w14:paraId="209F6A9C" w14:textId="77777777" w:rsidR="002B0F6E" w:rsidRPr="002B0F6E" w:rsidRDefault="002B0F6E" w:rsidP="002B0F6E">
            <w:pPr>
              <w:jc w:val="center"/>
              <w:rPr>
                <w:rFonts w:ascii="Tw Cen MT" w:hAnsi="Tw Cen MT"/>
              </w:rPr>
            </w:pPr>
            <w:r w:rsidRPr="002B0F6E">
              <w:rPr>
                <w:rFonts w:ascii="Tw Cen MT" w:hAnsi="Tw Cen MT"/>
              </w:rPr>
              <w:t>4</w:t>
            </w:r>
          </w:p>
          <w:p w14:paraId="1EC9B851" w14:textId="77777777" w:rsidR="002B0F6E" w:rsidRPr="002B0F6E" w:rsidRDefault="002B0F6E" w:rsidP="002B0F6E">
            <w:pPr>
              <w:jc w:val="center"/>
              <w:rPr>
                <w:rFonts w:ascii="Tw Cen MT" w:hAnsi="Tw Cen MT"/>
              </w:rPr>
            </w:pPr>
            <w:r w:rsidRPr="002B0F6E">
              <w:rPr>
                <w:rFonts w:ascii="Tw Cen MT" w:hAnsi="Tw Cen MT"/>
              </w:rPr>
              <w:t>2</w:t>
            </w:r>
          </w:p>
          <w:p w14:paraId="3BB0C681" w14:textId="77777777" w:rsidR="002B0F6E" w:rsidRPr="002B0F6E" w:rsidRDefault="002B0F6E" w:rsidP="002B0F6E">
            <w:pPr>
              <w:jc w:val="center"/>
              <w:rPr>
                <w:rFonts w:ascii="Tw Cen MT" w:hAnsi="Tw Cen MT"/>
              </w:rPr>
            </w:pPr>
            <w:r w:rsidRPr="002B0F6E">
              <w:rPr>
                <w:rFonts w:ascii="Tw Cen MT" w:hAnsi="Tw Cen MT"/>
              </w:rPr>
              <w:t>1</w:t>
            </w:r>
          </w:p>
          <w:p w14:paraId="07BC1CDB" w14:textId="77777777" w:rsidR="002B0F6E" w:rsidRPr="002B0F6E" w:rsidRDefault="002B0F6E" w:rsidP="002B0F6E">
            <w:pPr>
              <w:jc w:val="center"/>
              <w:rPr>
                <w:rFonts w:ascii="Tw Cen MT" w:hAnsi="Tw Cen MT"/>
              </w:rPr>
            </w:pPr>
            <w:r w:rsidRPr="002B0F6E">
              <w:rPr>
                <w:rFonts w:ascii="Tw Cen MT" w:hAnsi="Tw Cen MT"/>
              </w:rPr>
              <w:t>2</w:t>
            </w:r>
          </w:p>
          <w:p w14:paraId="56ABB6CE" w14:textId="77777777" w:rsidR="002B0F6E" w:rsidRPr="002B0F6E" w:rsidRDefault="002B0F6E" w:rsidP="002B0F6E">
            <w:pPr>
              <w:jc w:val="center"/>
              <w:rPr>
                <w:rFonts w:ascii="Tw Cen MT" w:hAnsi="Tw Cen MT"/>
              </w:rPr>
            </w:pPr>
            <w:r w:rsidRPr="002B0F6E">
              <w:rPr>
                <w:rFonts w:ascii="Tw Cen MT" w:hAnsi="Tw Cen MT"/>
              </w:rPr>
              <w:t>1</w:t>
            </w:r>
          </w:p>
          <w:p w14:paraId="1490CDFC" w14:textId="77777777" w:rsidR="002B0F6E" w:rsidRPr="002B0F6E" w:rsidRDefault="002B0F6E" w:rsidP="002B0F6E">
            <w:pPr>
              <w:jc w:val="center"/>
              <w:rPr>
                <w:rFonts w:ascii="Tw Cen MT" w:hAnsi="Tw Cen MT"/>
              </w:rPr>
            </w:pPr>
            <w:r w:rsidRPr="002B0F6E">
              <w:rPr>
                <w:rFonts w:ascii="Tw Cen MT" w:hAnsi="Tw Cen MT"/>
              </w:rPr>
              <w:t>81</w:t>
            </w:r>
          </w:p>
        </w:tc>
        <w:tc>
          <w:tcPr>
            <w:tcW w:w="1005" w:type="dxa"/>
          </w:tcPr>
          <w:p w14:paraId="123B0B86" w14:textId="77777777" w:rsidR="002B0F6E" w:rsidRPr="002B0F6E" w:rsidRDefault="002B0F6E" w:rsidP="002B0F6E">
            <w:pPr>
              <w:jc w:val="center"/>
              <w:rPr>
                <w:rFonts w:ascii="Tw Cen MT" w:hAnsi="Tw Cen MT"/>
              </w:rPr>
            </w:pPr>
          </w:p>
          <w:p w14:paraId="7E35D863" w14:textId="77777777" w:rsidR="002B0F6E" w:rsidRPr="002B0F6E" w:rsidRDefault="002B0F6E" w:rsidP="002B0F6E">
            <w:pPr>
              <w:jc w:val="center"/>
              <w:rPr>
                <w:rFonts w:ascii="Tw Cen MT" w:hAnsi="Tw Cen MT"/>
              </w:rPr>
            </w:pPr>
          </w:p>
          <w:p w14:paraId="72BB3D75" w14:textId="77777777" w:rsidR="002B0F6E" w:rsidRPr="002B0F6E" w:rsidRDefault="002B0F6E" w:rsidP="002B0F6E">
            <w:pPr>
              <w:jc w:val="center"/>
              <w:rPr>
                <w:rFonts w:ascii="Tw Cen MT" w:hAnsi="Tw Cen MT"/>
              </w:rPr>
            </w:pPr>
            <w:r w:rsidRPr="002B0F6E">
              <w:rPr>
                <w:rFonts w:ascii="Tw Cen MT" w:hAnsi="Tw Cen MT"/>
              </w:rPr>
              <w:t>8.0</w:t>
            </w:r>
          </w:p>
          <w:p w14:paraId="14319623" w14:textId="77777777" w:rsidR="002B0F6E" w:rsidRPr="002B0F6E" w:rsidRDefault="002B0F6E" w:rsidP="002B0F6E">
            <w:pPr>
              <w:jc w:val="center"/>
              <w:rPr>
                <w:rFonts w:ascii="Tw Cen MT" w:hAnsi="Tw Cen MT"/>
              </w:rPr>
            </w:pPr>
            <w:r w:rsidRPr="002B0F6E">
              <w:rPr>
                <w:rFonts w:ascii="Tw Cen MT" w:hAnsi="Tw Cen MT"/>
              </w:rPr>
              <w:t>1.0</w:t>
            </w:r>
          </w:p>
          <w:p w14:paraId="4D596E18" w14:textId="77777777" w:rsidR="002B0F6E" w:rsidRPr="002B0F6E" w:rsidRDefault="002B0F6E" w:rsidP="002B0F6E">
            <w:pPr>
              <w:jc w:val="center"/>
              <w:rPr>
                <w:rFonts w:ascii="Tw Cen MT" w:hAnsi="Tw Cen MT"/>
              </w:rPr>
            </w:pPr>
            <w:r w:rsidRPr="002B0F6E">
              <w:rPr>
                <w:rFonts w:ascii="Tw Cen MT" w:hAnsi="Tw Cen MT"/>
              </w:rPr>
              <w:t>4.0</w:t>
            </w:r>
          </w:p>
          <w:p w14:paraId="7AE15D17" w14:textId="77777777" w:rsidR="002B0F6E" w:rsidRPr="002B0F6E" w:rsidRDefault="002B0F6E" w:rsidP="002B0F6E">
            <w:pPr>
              <w:jc w:val="center"/>
              <w:rPr>
                <w:rFonts w:ascii="Tw Cen MT" w:hAnsi="Tw Cen MT"/>
              </w:rPr>
            </w:pPr>
            <w:r w:rsidRPr="002B0F6E">
              <w:rPr>
                <w:rFonts w:ascii="Tw Cen MT" w:hAnsi="Tw Cen MT"/>
              </w:rPr>
              <w:t>2.0</w:t>
            </w:r>
          </w:p>
          <w:p w14:paraId="32BD3B69" w14:textId="77777777" w:rsidR="002B0F6E" w:rsidRPr="002B0F6E" w:rsidRDefault="002B0F6E" w:rsidP="002B0F6E">
            <w:pPr>
              <w:jc w:val="center"/>
              <w:rPr>
                <w:rFonts w:ascii="Tw Cen MT" w:hAnsi="Tw Cen MT"/>
              </w:rPr>
            </w:pPr>
            <w:r w:rsidRPr="002B0F6E">
              <w:rPr>
                <w:rFonts w:ascii="Tw Cen MT" w:hAnsi="Tw Cen MT"/>
              </w:rPr>
              <w:t>1.0</w:t>
            </w:r>
          </w:p>
          <w:p w14:paraId="209CEEF5" w14:textId="77777777" w:rsidR="002B0F6E" w:rsidRPr="002B0F6E" w:rsidRDefault="002B0F6E" w:rsidP="002B0F6E">
            <w:pPr>
              <w:jc w:val="center"/>
              <w:rPr>
                <w:rFonts w:ascii="Tw Cen MT" w:hAnsi="Tw Cen MT"/>
              </w:rPr>
            </w:pPr>
            <w:r w:rsidRPr="002B0F6E">
              <w:rPr>
                <w:rFonts w:ascii="Tw Cen MT" w:hAnsi="Tw Cen MT"/>
              </w:rPr>
              <w:t>2.0</w:t>
            </w:r>
          </w:p>
          <w:p w14:paraId="3F87EF3E" w14:textId="77777777" w:rsidR="002B0F6E" w:rsidRPr="002B0F6E" w:rsidRDefault="002B0F6E" w:rsidP="002B0F6E">
            <w:pPr>
              <w:jc w:val="center"/>
              <w:rPr>
                <w:rFonts w:ascii="Tw Cen MT" w:hAnsi="Tw Cen MT"/>
              </w:rPr>
            </w:pPr>
            <w:r w:rsidRPr="002B0F6E">
              <w:rPr>
                <w:rFonts w:ascii="Tw Cen MT" w:hAnsi="Tw Cen MT"/>
              </w:rPr>
              <w:t>1.0</w:t>
            </w:r>
          </w:p>
          <w:p w14:paraId="5CF1E6E0" w14:textId="77777777" w:rsidR="002B0F6E" w:rsidRPr="002B0F6E" w:rsidRDefault="002B0F6E" w:rsidP="002B0F6E">
            <w:pPr>
              <w:jc w:val="center"/>
              <w:rPr>
                <w:rFonts w:ascii="Tw Cen MT" w:hAnsi="Tw Cen MT"/>
              </w:rPr>
            </w:pPr>
            <w:r w:rsidRPr="002B0F6E">
              <w:rPr>
                <w:rFonts w:ascii="Tw Cen MT" w:hAnsi="Tw Cen MT"/>
              </w:rPr>
              <w:t>81.0</w:t>
            </w:r>
          </w:p>
        </w:tc>
      </w:tr>
      <w:tr w:rsidR="002B0F6E" w:rsidRPr="002B0F6E" w14:paraId="3E37EE02" w14:textId="77777777" w:rsidTr="002B0F6E">
        <w:trPr>
          <w:jc w:val="center"/>
        </w:trPr>
        <w:tc>
          <w:tcPr>
            <w:tcW w:w="2856" w:type="dxa"/>
          </w:tcPr>
          <w:p w14:paraId="0E4F6DF3" w14:textId="77777777" w:rsidR="002B0F6E" w:rsidRPr="002B0F6E" w:rsidRDefault="002B0F6E" w:rsidP="002B0F6E">
            <w:pPr>
              <w:rPr>
                <w:rFonts w:ascii="Tw Cen MT" w:hAnsi="Tw Cen MT"/>
                <w:b/>
              </w:rPr>
            </w:pPr>
            <w:r w:rsidRPr="002B0F6E">
              <w:rPr>
                <w:rFonts w:ascii="Tw Cen MT" w:hAnsi="Tw Cen MT"/>
                <w:b/>
              </w:rPr>
              <w:t>Pendidikan Terakhir</w:t>
            </w:r>
          </w:p>
          <w:p w14:paraId="1839CBD0" w14:textId="77777777" w:rsidR="002B0F6E" w:rsidRPr="002B0F6E" w:rsidRDefault="002B0F6E" w:rsidP="002B0F6E">
            <w:pPr>
              <w:ind w:left="360"/>
              <w:rPr>
                <w:rFonts w:ascii="Tw Cen MT" w:hAnsi="Tw Cen MT"/>
              </w:rPr>
            </w:pPr>
            <w:r w:rsidRPr="002B0F6E">
              <w:rPr>
                <w:rFonts w:ascii="Tw Cen MT" w:hAnsi="Tw Cen MT"/>
              </w:rPr>
              <w:t>Tamat SD</w:t>
            </w:r>
          </w:p>
          <w:p w14:paraId="7C4C9771" w14:textId="77777777" w:rsidR="002B0F6E" w:rsidRPr="002B0F6E" w:rsidRDefault="002B0F6E" w:rsidP="002B0F6E">
            <w:pPr>
              <w:ind w:left="360"/>
              <w:rPr>
                <w:rFonts w:ascii="Tw Cen MT" w:hAnsi="Tw Cen MT"/>
              </w:rPr>
            </w:pPr>
            <w:r w:rsidRPr="002B0F6E">
              <w:rPr>
                <w:rFonts w:ascii="Tw Cen MT" w:hAnsi="Tw Cen MT"/>
              </w:rPr>
              <w:t>Tamat SMP</w:t>
            </w:r>
          </w:p>
          <w:p w14:paraId="215AC2B0" w14:textId="77777777" w:rsidR="002B0F6E" w:rsidRPr="002B0F6E" w:rsidRDefault="002B0F6E" w:rsidP="002B0F6E">
            <w:pPr>
              <w:ind w:left="360"/>
              <w:rPr>
                <w:rFonts w:ascii="Tw Cen MT" w:hAnsi="Tw Cen MT"/>
                <w:lang w:val="pt-BR"/>
              </w:rPr>
            </w:pPr>
            <w:r w:rsidRPr="002B0F6E">
              <w:rPr>
                <w:rFonts w:ascii="Tw Cen MT" w:hAnsi="Tw Cen MT"/>
                <w:lang w:val="pt-BR"/>
              </w:rPr>
              <w:t>Tamat SMA</w:t>
            </w:r>
          </w:p>
          <w:p w14:paraId="31EB9E80" w14:textId="77777777" w:rsidR="002B0F6E" w:rsidRPr="002B0F6E" w:rsidRDefault="002B0F6E" w:rsidP="002B0F6E">
            <w:pPr>
              <w:ind w:left="360"/>
              <w:rPr>
                <w:rFonts w:ascii="Tw Cen MT" w:hAnsi="Tw Cen MT"/>
                <w:lang w:val="pt-BR"/>
              </w:rPr>
            </w:pPr>
            <w:r w:rsidRPr="002B0F6E">
              <w:rPr>
                <w:rFonts w:ascii="Tw Cen MT" w:hAnsi="Tw Cen MT"/>
                <w:lang w:val="pt-BR"/>
              </w:rPr>
              <w:t>Perguruan Tinggi/ Akademi</w:t>
            </w:r>
          </w:p>
        </w:tc>
        <w:tc>
          <w:tcPr>
            <w:tcW w:w="459" w:type="dxa"/>
          </w:tcPr>
          <w:p w14:paraId="372C4FB2" w14:textId="77777777" w:rsidR="002B0F6E" w:rsidRPr="002B0F6E" w:rsidRDefault="002B0F6E" w:rsidP="002B0F6E">
            <w:pPr>
              <w:jc w:val="center"/>
              <w:rPr>
                <w:rFonts w:ascii="Tw Cen MT" w:hAnsi="Tw Cen MT"/>
                <w:lang w:val="pt-BR"/>
              </w:rPr>
            </w:pPr>
          </w:p>
          <w:p w14:paraId="39FA262C" w14:textId="77777777" w:rsidR="002B0F6E" w:rsidRPr="002B0F6E" w:rsidRDefault="002B0F6E" w:rsidP="002B0F6E">
            <w:pPr>
              <w:jc w:val="center"/>
              <w:rPr>
                <w:rFonts w:ascii="Tw Cen MT" w:hAnsi="Tw Cen MT"/>
              </w:rPr>
            </w:pPr>
            <w:r w:rsidRPr="002B0F6E">
              <w:rPr>
                <w:rFonts w:ascii="Tw Cen MT" w:hAnsi="Tw Cen MT"/>
              </w:rPr>
              <w:t>4</w:t>
            </w:r>
          </w:p>
          <w:p w14:paraId="4C973CE7" w14:textId="77777777" w:rsidR="002B0F6E" w:rsidRPr="002B0F6E" w:rsidRDefault="002B0F6E" w:rsidP="002B0F6E">
            <w:pPr>
              <w:jc w:val="center"/>
              <w:rPr>
                <w:rFonts w:ascii="Tw Cen MT" w:hAnsi="Tw Cen MT"/>
              </w:rPr>
            </w:pPr>
            <w:r w:rsidRPr="002B0F6E">
              <w:rPr>
                <w:rFonts w:ascii="Tw Cen MT" w:hAnsi="Tw Cen MT"/>
              </w:rPr>
              <w:t>16</w:t>
            </w:r>
          </w:p>
          <w:p w14:paraId="6108385E" w14:textId="77777777" w:rsidR="002B0F6E" w:rsidRPr="002B0F6E" w:rsidRDefault="002B0F6E" w:rsidP="002B0F6E">
            <w:pPr>
              <w:jc w:val="center"/>
              <w:rPr>
                <w:rFonts w:ascii="Tw Cen MT" w:hAnsi="Tw Cen MT"/>
              </w:rPr>
            </w:pPr>
            <w:r w:rsidRPr="002B0F6E">
              <w:rPr>
                <w:rFonts w:ascii="Tw Cen MT" w:hAnsi="Tw Cen MT"/>
              </w:rPr>
              <w:t>60</w:t>
            </w:r>
          </w:p>
          <w:p w14:paraId="13674ECF" w14:textId="77777777" w:rsidR="002B0F6E" w:rsidRPr="002B0F6E" w:rsidRDefault="002B0F6E" w:rsidP="002B0F6E">
            <w:pPr>
              <w:jc w:val="center"/>
              <w:rPr>
                <w:rFonts w:ascii="Tw Cen MT" w:hAnsi="Tw Cen MT"/>
              </w:rPr>
            </w:pPr>
            <w:r w:rsidRPr="002B0F6E">
              <w:rPr>
                <w:rFonts w:ascii="Tw Cen MT" w:hAnsi="Tw Cen MT"/>
              </w:rPr>
              <w:t>20</w:t>
            </w:r>
          </w:p>
        </w:tc>
        <w:tc>
          <w:tcPr>
            <w:tcW w:w="1005" w:type="dxa"/>
          </w:tcPr>
          <w:p w14:paraId="7D471ACF" w14:textId="77777777" w:rsidR="002B0F6E" w:rsidRPr="002B0F6E" w:rsidRDefault="002B0F6E" w:rsidP="002B0F6E">
            <w:pPr>
              <w:jc w:val="center"/>
              <w:rPr>
                <w:rFonts w:ascii="Tw Cen MT" w:hAnsi="Tw Cen MT"/>
              </w:rPr>
            </w:pPr>
          </w:p>
          <w:p w14:paraId="2BDC7F92" w14:textId="77777777" w:rsidR="002B0F6E" w:rsidRPr="002B0F6E" w:rsidRDefault="002B0F6E" w:rsidP="002B0F6E">
            <w:pPr>
              <w:jc w:val="center"/>
              <w:rPr>
                <w:rFonts w:ascii="Tw Cen MT" w:hAnsi="Tw Cen MT"/>
              </w:rPr>
            </w:pPr>
            <w:r w:rsidRPr="002B0F6E">
              <w:rPr>
                <w:rFonts w:ascii="Tw Cen MT" w:hAnsi="Tw Cen MT"/>
              </w:rPr>
              <w:t>4.0</w:t>
            </w:r>
          </w:p>
          <w:p w14:paraId="4516CDFE" w14:textId="77777777" w:rsidR="002B0F6E" w:rsidRPr="002B0F6E" w:rsidRDefault="002B0F6E" w:rsidP="002B0F6E">
            <w:pPr>
              <w:jc w:val="center"/>
              <w:rPr>
                <w:rFonts w:ascii="Tw Cen MT" w:hAnsi="Tw Cen MT"/>
              </w:rPr>
            </w:pPr>
            <w:r w:rsidRPr="002B0F6E">
              <w:rPr>
                <w:rFonts w:ascii="Tw Cen MT" w:hAnsi="Tw Cen MT"/>
              </w:rPr>
              <w:t>16.0</w:t>
            </w:r>
          </w:p>
          <w:p w14:paraId="16E96DD4" w14:textId="77777777" w:rsidR="002B0F6E" w:rsidRPr="002B0F6E" w:rsidRDefault="002B0F6E" w:rsidP="002B0F6E">
            <w:pPr>
              <w:jc w:val="center"/>
              <w:rPr>
                <w:rFonts w:ascii="Tw Cen MT" w:hAnsi="Tw Cen MT"/>
              </w:rPr>
            </w:pPr>
            <w:r w:rsidRPr="002B0F6E">
              <w:rPr>
                <w:rFonts w:ascii="Tw Cen MT" w:hAnsi="Tw Cen MT"/>
              </w:rPr>
              <w:t>60.0</w:t>
            </w:r>
          </w:p>
          <w:p w14:paraId="14272EB7" w14:textId="77777777" w:rsidR="002B0F6E" w:rsidRPr="002B0F6E" w:rsidRDefault="002B0F6E" w:rsidP="002B0F6E">
            <w:pPr>
              <w:jc w:val="center"/>
              <w:rPr>
                <w:rFonts w:ascii="Tw Cen MT" w:hAnsi="Tw Cen MT"/>
              </w:rPr>
            </w:pPr>
            <w:r w:rsidRPr="002B0F6E">
              <w:rPr>
                <w:rFonts w:ascii="Tw Cen MT" w:hAnsi="Tw Cen MT"/>
              </w:rPr>
              <w:t>20.0</w:t>
            </w:r>
          </w:p>
        </w:tc>
      </w:tr>
      <w:tr w:rsidR="002B0F6E" w:rsidRPr="002B0F6E" w14:paraId="4F618596" w14:textId="77777777" w:rsidTr="002B0F6E">
        <w:trPr>
          <w:jc w:val="center"/>
        </w:trPr>
        <w:tc>
          <w:tcPr>
            <w:tcW w:w="2856" w:type="dxa"/>
          </w:tcPr>
          <w:p w14:paraId="02B2A02B" w14:textId="77777777" w:rsidR="002B0F6E" w:rsidRPr="002B0F6E" w:rsidRDefault="002B0F6E" w:rsidP="002B0F6E">
            <w:pPr>
              <w:rPr>
                <w:rFonts w:ascii="Tw Cen MT" w:hAnsi="Tw Cen MT"/>
                <w:b/>
              </w:rPr>
            </w:pPr>
            <w:r w:rsidRPr="002B0F6E">
              <w:rPr>
                <w:rFonts w:ascii="Tw Cen MT" w:hAnsi="Tw Cen MT"/>
                <w:b/>
              </w:rPr>
              <w:t>Pendapatan</w:t>
            </w:r>
          </w:p>
          <w:p w14:paraId="19B73225" w14:textId="77777777" w:rsidR="002B0F6E" w:rsidRPr="002B0F6E" w:rsidRDefault="002B0F6E" w:rsidP="002B0F6E">
            <w:pPr>
              <w:ind w:left="360"/>
              <w:rPr>
                <w:rFonts w:ascii="Tw Cen MT" w:hAnsi="Tw Cen MT"/>
              </w:rPr>
            </w:pPr>
            <w:r w:rsidRPr="002B0F6E">
              <w:rPr>
                <w:rFonts w:ascii="Tw Cen MT" w:hAnsi="Tw Cen MT"/>
              </w:rPr>
              <w:t>≥UMK</w:t>
            </w:r>
          </w:p>
          <w:p w14:paraId="240B627A" w14:textId="77777777" w:rsidR="002B0F6E" w:rsidRPr="002B0F6E" w:rsidRDefault="002B0F6E" w:rsidP="002B0F6E">
            <w:pPr>
              <w:ind w:left="360"/>
              <w:rPr>
                <w:rFonts w:ascii="Tw Cen MT" w:hAnsi="Tw Cen MT"/>
              </w:rPr>
            </w:pPr>
            <w:r w:rsidRPr="002B0F6E">
              <w:rPr>
                <w:rFonts w:ascii="Tw Cen MT" w:hAnsi="Tw Cen MT"/>
              </w:rPr>
              <w:t>&lt; UMK</w:t>
            </w:r>
          </w:p>
        </w:tc>
        <w:tc>
          <w:tcPr>
            <w:tcW w:w="459" w:type="dxa"/>
          </w:tcPr>
          <w:p w14:paraId="63CDB32B" w14:textId="77777777" w:rsidR="002B0F6E" w:rsidRPr="002B0F6E" w:rsidRDefault="002B0F6E" w:rsidP="002B0F6E">
            <w:pPr>
              <w:jc w:val="center"/>
              <w:rPr>
                <w:rFonts w:ascii="Tw Cen MT" w:hAnsi="Tw Cen MT"/>
              </w:rPr>
            </w:pPr>
          </w:p>
          <w:p w14:paraId="655F5215" w14:textId="77777777" w:rsidR="002B0F6E" w:rsidRPr="002B0F6E" w:rsidRDefault="002B0F6E" w:rsidP="002B0F6E">
            <w:pPr>
              <w:jc w:val="center"/>
              <w:rPr>
                <w:rFonts w:ascii="Tw Cen MT" w:hAnsi="Tw Cen MT"/>
              </w:rPr>
            </w:pPr>
            <w:r w:rsidRPr="002B0F6E">
              <w:rPr>
                <w:rFonts w:ascii="Tw Cen MT" w:hAnsi="Tw Cen MT"/>
              </w:rPr>
              <w:t>41</w:t>
            </w:r>
          </w:p>
          <w:p w14:paraId="14DCEB30" w14:textId="77777777" w:rsidR="002B0F6E" w:rsidRPr="002B0F6E" w:rsidRDefault="002B0F6E" w:rsidP="002B0F6E">
            <w:pPr>
              <w:jc w:val="center"/>
              <w:rPr>
                <w:rFonts w:ascii="Tw Cen MT" w:hAnsi="Tw Cen MT"/>
              </w:rPr>
            </w:pPr>
            <w:r w:rsidRPr="002B0F6E">
              <w:rPr>
                <w:rFonts w:ascii="Tw Cen MT" w:hAnsi="Tw Cen MT"/>
              </w:rPr>
              <w:t>59</w:t>
            </w:r>
          </w:p>
        </w:tc>
        <w:tc>
          <w:tcPr>
            <w:tcW w:w="1005" w:type="dxa"/>
          </w:tcPr>
          <w:p w14:paraId="7A375811" w14:textId="77777777" w:rsidR="002B0F6E" w:rsidRPr="002B0F6E" w:rsidRDefault="002B0F6E" w:rsidP="002B0F6E">
            <w:pPr>
              <w:jc w:val="center"/>
              <w:rPr>
                <w:rFonts w:ascii="Tw Cen MT" w:hAnsi="Tw Cen MT"/>
              </w:rPr>
            </w:pPr>
          </w:p>
          <w:p w14:paraId="383A76E4" w14:textId="77777777" w:rsidR="002B0F6E" w:rsidRPr="002B0F6E" w:rsidRDefault="002B0F6E" w:rsidP="002B0F6E">
            <w:pPr>
              <w:jc w:val="center"/>
              <w:rPr>
                <w:rFonts w:ascii="Tw Cen MT" w:hAnsi="Tw Cen MT"/>
              </w:rPr>
            </w:pPr>
            <w:r w:rsidRPr="002B0F6E">
              <w:rPr>
                <w:rFonts w:ascii="Tw Cen MT" w:hAnsi="Tw Cen MT"/>
              </w:rPr>
              <w:t>41.0</w:t>
            </w:r>
          </w:p>
          <w:p w14:paraId="35EFE644" w14:textId="77777777" w:rsidR="002B0F6E" w:rsidRPr="002B0F6E" w:rsidRDefault="002B0F6E" w:rsidP="002B0F6E">
            <w:pPr>
              <w:jc w:val="center"/>
              <w:rPr>
                <w:rFonts w:ascii="Tw Cen MT" w:hAnsi="Tw Cen MT"/>
              </w:rPr>
            </w:pPr>
            <w:r w:rsidRPr="002B0F6E">
              <w:rPr>
                <w:rFonts w:ascii="Tw Cen MT" w:hAnsi="Tw Cen MT"/>
              </w:rPr>
              <w:t>59.0</w:t>
            </w:r>
          </w:p>
        </w:tc>
      </w:tr>
      <w:tr w:rsidR="002B0F6E" w:rsidRPr="002B0F6E" w14:paraId="413FD65F" w14:textId="77777777" w:rsidTr="002B0F6E">
        <w:trPr>
          <w:jc w:val="center"/>
        </w:trPr>
        <w:tc>
          <w:tcPr>
            <w:tcW w:w="2856" w:type="dxa"/>
          </w:tcPr>
          <w:p w14:paraId="6B4E9EE3" w14:textId="77777777" w:rsidR="002B0F6E" w:rsidRPr="002B0F6E" w:rsidRDefault="002B0F6E" w:rsidP="002B0F6E">
            <w:pPr>
              <w:rPr>
                <w:rFonts w:ascii="Tw Cen MT" w:hAnsi="Tw Cen MT"/>
                <w:b/>
              </w:rPr>
            </w:pPr>
            <w:r w:rsidRPr="002B0F6E">
              <w:rPr>
                <w:rFonts w:ascii="Tw Cen MT" w:hAnsi="Tw Cen MT"/>
                <w:b/>
              </w:rPr>
              <w:t>Jumlah Anggota Keluarga</w:t>
            </w:r>
          </w:p>
          <w:p w14:paraId="42324AAC" w14:textId="77777777" w:rsidR="002B0F6E" w:rsidRPr="002B0F6E" w:rsidRDefault="002B0F6E" w:rsidP="002B0F6E">
            <w:pPr>
              <w:ind w:left="360"/>
              <w:rPr>
                <w:rFonts w:ascii="Tw Cen MT" w:hAnsi="Tw Cen MT"/>
              </w:rPr>
            </w:pPr>
            <w:r w:rsidRPr="002B0F6E">
              <w:rPr>
                <w:rFonts w:ascii="Tw Cen MT" w:hAnsi="Tw Cen MT"/>
              </w:rPr>
              <w:t>≤ 4 anggota keluarga</w:t>
            </w:r>
          </w:p>
          <w:p w14:paraId="1E678B04" w14:textId="77777777" w:rsidR="002B0F6E" w:rsidRPr="002B0F6E" w:rsidRDefault="002B0F6E" w:rsidP="002B0F6E">
            <w:pPr>
              <w:ind w:left="360"/>
              <w:rPr>
                <w:rFonts w:ascii="Tw Cen MT" w:hAnsi="Tw Cen MT"/>
              </w:rPr>
            </w:pPr>
            <w:r w:rsidRPr="002B0F6E">
              <w:rPr>
                <w:rFonts w:ascii="Tw Cen MT" w:hAnsi="Tw Cen MT"/>
              </w:rPr>
              <w:t>&gt; 4 anggota keluarga</w:t>
            </w:r>
          </w:p>
        </w:tc>
        <w:tc>
          <w:tcPr>
            <w:tcW w:w="459" w:type="dxa"/>
          </w:tcPr>
          <w:p w14:paraId="054CECD4" w14:textId="77777777" w:rsidR="002B0F6E" w:rsidRPr="002B0F6E" w:rsidRDefault="002B0F6E" w:rsidP="002B0F6E">
            <w:pPr>
              <w:jc w:val="center"/>
              <w:rPr>
                <w:rFonts w:ascii="Tw Cen MT" w:hAnsi="Tw Cen MT"/>
              </w:rPr>
            </w:pPr>
          </w:p>
          <w:p w14:paraId="7326225B" w14:textId="77777777" w:rsidR="002B0F6E" w:rsidRPr="002B0F6E" w:rsidRDefault="002B0F6E" w:rsidP="002B0F6E">
            <w:pPr>
              <w:jc w:val="center"/>
              <w:rPr>
                <w:rFonts w:ascii="Tw Cen MT" w:hAnsi="Tw Cen MT"/>
              </w:rPr>
            </w:pPr>
            <w:r w:rsidRPr="002B0F6E">
              <w:rPr>
                <w:rFonts w:ascii="Tw Cen MT" w:hAnsi="Tw Cen MT"/>
              </w:rPr>
              <w:t>64</w:t>
            </w:r>
          </w:p>
          <w:p w14:paraId="1900F6BF" w14:textId="77777777" w:rsidR="002B0F6E" w:rsidRPr="002B0F6E" w:rsidRDefault="002B0F6E" w:rsidP="002B0F6E">
            <w:pPr>
              <w:jc w:val="center"/>
              <w:rPr>
                <w:rFonts w:ascii="Tw Cen MT" w:hAnsi="Tw Cen MT"/>
              </w:rPr>
            </w:pPr>
            <w:r w:rsidRPr="002B0F6E">
              <w:rPr>
                <w:rFonts w:ascii="Tw Cen MT" w:hAnsi="Tw Cen MT"/>
              </w:rPr>
              <w:t>36</w:t>
            </w:r>
          </w:p>
        </w:tc>
        <w:tc>
          <w:tcPr>
            <w:tcW w:w="1005" w:type="dxa"/>
          </w:tcPr>
          <w:p w14:paraId="5506B043" w14:textId="77777777" w:rsidR="002B0F6E" w:rsidRPr="002B0F6E" w:rsidRDefault="002B0F6E" w:rsidP="002B0F6E">
            <w:pPr>
              <w:jc w:val="center"/>
              <w:rPr>
                <w:rFonts w:ascii="Tw Cen MT" w:hAnsi="Tw Cen MT"/>
              </w:rPr>
            </w:pPr>
          </w:p>
          <w:p w14:paraId="7CA4E0FD" w14:textId="77777777" w:rsidR="002B0F6E" w:rsidRPr="002B0F6E" w:rsidRDefault="002B0F6E" w:rsidP="002B0F6E">
            <w:pPr>
              <w:jc w:val="center"/>
              <w:rPr>
                <w:rFonts w:ascii="Tw Cen MT" w:hAnsi="Tw Cen MT"/>
              </w:rPr>
            </w:pPr>
            <w:r w:rsidRPr="002B0F6E">
              <w:rPr>
                <w:rFonts w:ascii="Tw Cen MT" w:hAnsi="Tw Cen MT"/>
              </w:rPr>
              <w:t>64.0</w:t>
            </w:r>
          </w:p>
          <w:p w14:paraId="5C584444" w14:textId="77777777" w:rsidR="002B0F6E" w:rsidRPr="002B0F6E" w:rsidRDefault="002B0F6E" w:rsidP="002B0F6E">
            <w:pPr>
              <w:jc w:val="center"/>
              <w:rPr>
                <w:rFonts w:ascii="Tw Cen MT" w:hAnsi="Tw Cen MT"/>
              </w:rPr>
            </w:pPr>
            <w:r w:rsidRPr="002B0F6E">
              <w:rPr>
                <w:rFonts w:ascii="Tw Cen MT" w:hAnsi="Tw Cen MT"/>
              </w:rPr>
              <w:t>36.0</w:t>
            </w:r>
          </w:p>
        </w:tc>
      </w:tr>
      <w:tr w:rsidR="002B0F6E" w:rsidRPr="002B0F6E" w14:paraId="4920731C" w14:textId="77777777" w:rsidTr="002B0F6E">
        <w:trPr>
          <w:jc w:val="center"/>
        </w:trPr>
        <w:tc>
          <w:tcPr>
            <w:tcW w:w="2856" w:type="dxa"/>
            <w:tcBorders>
              <w:bottom w:val="single" w:sz="4" w:space="0" w:color="000000" w:themeColor="text1"/>
            </w:tcBorders>
          </w:tcPr>
          <w:p w14:paraId="490FC30B" w14:textId="77777777" w:rsidR="002B0F6E" w:rsidRPr="002B0F6E" w:rsidRDefault="002B0F6E" w:rsidP="002B0F6E">
            <w:pPr>
              <w:rPr>
                <w:rFonts w:ascii="Tw Cen MT" w:hAnsi="Tw Cen MT"/>
                <w:b/>
              </w:rPr>
            </w:pPr>
            <w:r w:rsidRPr="002B0F6E">
              <w:rPr>
                <w:rFonts w:ascii="Tw Cen MT" w:hAnsi="Tw Cen MT"/>
                <w:b/>
              </w:rPr>
              <w:t>Anggota Keluarga</w:t>
            </w:r>
          </w:p>
          <w:p w14:paraId="7CBA503D" w14:textId="77777777" w:rsidR="002B0F6E" w:rsidRPr="002B0F6E" w:rsidRDefault="002B0F6E" w:rsidP="002B0F6E">
            <w:pPr>
              <w:ind w:left="360"/>
              <w:rPr>
                <w:rFonts w:ascii="Tw Cen MT" w:hAnsi="Tw Cen MT"/>
              </w:rPr>
            </w:pPr>
            <w:r w:rsidRPr="002B0F6E">
              <w:rPr>
                <w:rFonts w:ascii="Tw Cen MT" w:hAnsi="Tw Cen MT"/>
              </w:rPr>
              <w:t>Keluarga Inti</w:t>
            </w:r>
          </w:p>
          <w:p w14:paraId="12A52CCC" w14:textId="77777777" w:rsidR="002B0F6E" w:rsidRPr="002B0F6E" w:rsidRDefault="002B0F6E" w:rsidP="002B0F6E">
            <w:pPr>
              <w:ind w:left="360"/>
              <w:rPr>
                <w:rFonts w:ascii="Tw Cen MT" w:hAnsi="Tw Cen MT"/>
              </w:rPr>
            </w:pPr>
            <w:r w:rsidRPr="002B0F6E">
              <w:rPr>
                <w:rFonts w:ascii="Tw Cen MT" w:hAnsi="Tw Cen MT"/>
              </w:rPr>
              <w:t>Bukan Keluarga Inti</w:t>
            </w:r>
          </w:p>
        </w:tc>
        <w:tc>
          <w:tcPr>
            <w:tcW w:w="459" w:type="dxa"/>
            <w:tcBorders>
              <w:bottom w:val="single" w:sz="4" w:space="0" w:color="000000" w:themeColor="text1"/>
            </w:tcBorders>
          </w:tcPr>
          <w:p w14:paraId="65B452AB" w14:textId="77777777" w:rsidR="002B0F6E" w:rsidRPr="002B0F6E" w:rsidRDefault="002B0F6E" w:rsidP="002B0F6E">
            <w:pPr>
              <w:jc w:val="center"/>
              <w:rPr>
                <w:rFonts w:ascii="Tw Cen MT" w:hAnsi="Tw Cen MT"/>
              </w:rPr>
            </w:pPr>
          </w:p>
          <w:p w14:paraId="51D44BAD" w14:textId="77777777" w:rsidR="002B0F6E" w:rsidRPr="002B0F6E" w:rsidRDefault="002B0F6E" w:rsidP="002B0F6E">
            <w:pPr>
              <w:jc w:val="center"/>
              <w:rPr>
                <w:rFonts w:ascii="Tw Cen MT" w:hAnsi="Tw Cen MT"/>
              </w:rPr>
            </w:pPr>
            <w:r w:rsidRPr="002B0F6E">
              <w:rPr>
                <w:rFonts w:ascii="Tw Cen MT" w:hAnsi="Tw Cen MT"/>
              </w:rPr>
              <w:t>99</w:t>
            </w:r>
          </w:p>
          <w:p w14:paraId="586818B8" w14:textId="77777777" w:rsidR="002B0F6E" w:rsidRPr="002B0F6E" w:rsidRDefault="002B0F6E" w:rsidP="002B0F6E">
            <w:pPr>
              <w:jc w:val="center"/>
              <w:rPr>
                <w:rFonts w:ascii="Tw Cen MT" w:hAnsi="Tw Cen MT"/>
              </w:rPr>
            </w:pPr>
            <w:r w:rsidRPr="002B0F6E">
              <w:rPr>
                <w:rFonts w:ascii="Tw Cen MT" w:hAnsi="Tw Cen MT"/>
              </w:rPr>
              <w:t>1</w:t>
            </w:r>
          </w:p>
        </w:tc>
        <w:tc>
          <w:tcPr>
            <w:tcW w:w="1005" w:type="dxa"/>
            <w:tcBorders>
              <w:bottom w:val="single" w:sz="4" w:space="0" w:color="000000" w:themeColor="text1"/>
            </w:tcBorders>
          </w:tcPr>
          <w:p w14:paraId="2C8921C3" w14:textId="77777777" w:rsidR="002B0F6E" w:rsidRPr="002B0F6E" w:rsidRDefault="002B0F6E" w:rsidP="002B0F6E">
            <w:pPr>
              <w:jc w:val="center"/>
              <w:rPr>
                <w:rFonts w:ascii="Tw Cen MT" w:hAnsi="Tw Cen MT"/>
              </w:rPr>
            </w:pPr>
          </w:p>
          <w:p w14:paraId="23E1044B" w14:textId="77777777" w:rsidR="002B0F6E" w:rsidRPr="002B0F6E" w:rsidRDefault="002B0F6E" w:rsidP="002B0F6E">
            <w:pPr>
              <w:jc w:val="center"/>
              <w:rPr>
                <w:rFonts w:ascii="Tw Cen MT" w:hAnsi="Tw Cen MT"/>
              </w:rPr>
            </w:pPr>
            <w:r w:rsidRPr="002B0F6E">
              <w:rPr>
                <w:rFonts w:ascii="Tw Cen MT" w:hAnsi="Tw Cen MT"/>
              </w:rPr>
              <w:t>99.0</w:t>
            </w:r>
          </w:p>
          <w:p w14:paraId="0A6E6B8B" w14:textId="77777777" w:rsidR="002B0F6E" w:rsidRPr="002B0F6E" w:rsidRDefault="002B0F6E" w:rsidP="002B0F6E">
            <w:pPr>
              <w:jc w:val="center"/>
              <w:rPr>
                <w:rFonts w:ascii="Tw Cen MT" w:hAnsi="Tw Cen MT"/>
              </w:rPr>
            </w:pPr>
            <w:r w:rsidRPr="002B0F6E">
              <w:rPr>
                <w:rFonts w:ascii="Tw Cen MT" w:hAnsi="Tw Cen MT"/>
              </w:rPr>
              <w:t>1.0</w:t>
            </w:r>
          </w:p>
        </w:tc>
      </w:tr>
    </w:tbl>
    <w:p w14:paraId="3725BE15" w14:textId="1ADA696D" w:rsidR="002B0F6E" w:rsidRPr="002B0F6E" w:rsidRDefault="002B0F6E" w:rsidP="002B0F6E">
      <w:pPr>
        <w:spacing w:after="0" w:line="240" w:lineRule="auto"/>
        <w:rPr>
          <w:rFonts w:ascii="Tw Cen MT" w:hAnsi="Tw Cen MT"/>
          <w:i/>
          <w:iCs/>
          <w:noProof/>
          <w:sz w:val="22"/>
          <w:szCs w:val="22"/>
          <w:lang w:eastAsia="id-ID"/>
        </w:rPr>
      </w:pPr>
      <w:r w:rsidRPr="002B0F6E">
        <w:rPr>
          <w:rFonts w:ascii="Tw Cen MT" w:hAnsi="Tw Cen MT"/>
          <w:i/>
          <w:iCs/>
          <w:noProof/>
          <w:sz w:val="22"/>
          <w:szCs w:val="22"/>
          <w:lang w:eastAsia="id-ID"/>
        </w:rPr>
        <w:t>*UMK (Rp2.950.088,28/per bulan)</w:t>
      </w:r>
    </w:p>
    <w:p w14:paraId="611C9BB7" w14:textId="51560406" w:rsidR="004E128A" w:rsidRPr="0096335E" w:rsidRDefault="004E128A" w:rsidP="004E128A">
      <w:pPr>
        <w:spacing w:after="0" w:line="240" w:lineRule="auto"/>
        <w:jc w:val="both"/>
        <w:rPr>
          <w:rFonts w:ascii="Tw Cen MT" w:hAnsi="Tw Cen MT"/>
          <w:sz w:val="24"/>
          <w:szCs w:val="24"/>
        </w:rPr>
      </w:pPr>
    </w:p>
    <w:p w14:paraId="7EF7F34A" w14:textId="77927170" w:rsidR="007106F6" w:rsidRDefault="0053164C" w:rsidP="0053164C">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 xml:space="preserve">Berdasarkan Tabel 1, sebanyak 43% ibu memiliki status gizi normal, 3% underweight dan 54% overweight dan obesitas. </w:t>
      </w:r>
      <w:r w:rsidRPr="0053164C">
        <w:rPr>
          <w:rFonts w:ascii="Tw Cen MT" w:eastAsia="Twentieth Century" w:hAnsi="Tw Cen MT" w:cs="Twentieth Century"/>
          <w:sz w:val="24"/>
          <w:szCs w:val="24"/>
          <w:lang w:val="pt-BR"/>
        </w:rPr>
        <w:t xml:space="preserve">Nilai rata-rata IMT ibu sebesar 23.62 dengan IMT terendah adalah 17.33 dan tertinggi sebesar 36.51. </w:t>
      </w:r>
      <w:r w:rsidRPr="0053164C">
        <w:rPr>
          <w:rFonts w:ascii="Tw Cen MT" w:eastAsia="Twentieth Century" w:hAnsi="Tw Cen MT" w:cs="Twentieth Century"/>
          <w:sz w:val="24"/>
          <w:szCs w:val="24"/>
        </w:rPr>
        <w:t>Sebanyak 81% ibu tidak bekerja, dan 60% memiliki pendidikan terakhir tamat SMA. Karakteristik balita yang menjadi sampel penelitian dapat dilihat ada Tabel 2.</w:t>
      </w:r>
    </w:p>
    <w:p w14:paraId="2FB14294" w14:textId="77777777" w:rsidR="0053164C" w:rsidRDefault="0053164C" w:rsidP="0053164C">
      <w:pPr>
        <w:spacing w:line="240" w:lineRule="auto"/>
        <w:jc w:val="center"/>
        <w:rPr>
          <w:rFonts w:ascii="Tw Cen MT" w:eastAsia="Twentieth Century" w:hAnsi="Tw Cen MT" w:cs="Twentieth Century"/>
          <w:sz w:val="24"/>
          <w:szCs w:val="24"/>
        </w:rPr>
      </w:pPr>
    </w:p>
    <w:p w14:paraId="382A64D8" w14:textId="77777777" w:rsidR="0053164C" w:rsidRDefault="0053164C" w:rsidP="0053164C">
      <w:pPr>
        <w:spacing w:line="240" w:lineRule="auto"/>
        <w:jc w:val="center"/>
        <w:rPr>
          <w:rFonts w:ascii="Tw Cen MT" w:eastAsia="Twentieth Century" w:hAnsi="Tw Cen MT" w:cs="Twentieth Century"/>
          <w:sz w:val="24"/>
          <w:szCs w:val="24"/>
        </w:rPr>
      </w:pPr>
    </w:p>
    <w:p w14:paraId="2F5D621E" w14:textId="77777777" w:rsidR="0053164C" w:rsidRDefault="0053164C" w:rsidP="0053164C">
      <w:pPr>
        <w:spacing w:line="240" w:lineRule="auto"/>
        <w:jc w:val="center"/>
        <w:rPr>
          <w:rFonts w:ascii="Tw Cen MT" w:eastAsia="Twentieth Century" w:hAnsi="Tw Cen MT" w:cs="Twentieth Century"/>
          <w:sz w:val="24"/>
          <w:szCs w:val="24"/>
        </w:rPr>
      </w:pPr>
    </w:p>
    <w:p w14:paraId="4171A282" w14:textId="77777777" w:rsidR="0053164C" w:rsidRDefault="0053164C" w:rsidP="0053164C">
      <w:pPr>
        <w:spacing w:line="240" w:lineRule="auto"/>
        <w:jc w:val="center"/>
        <w:rPr>
          <w:rFonts w:ascii="Tw Cen MT" w:eastAsia="Twentieth Century" w:hAnsi="Tw Cen MT" w:cs="Twentieth Century"/>
          <w:sz w:val="24"/>
          <w:szCs w:val="24"/>
        </w:rPr>
      </w:pPr>
    </w:p>
    <w:p w14:paraId="1A2F40C3" w14:textId="2C89E70D" w:rsidR="0053164C" w:rsidRPr="00C5696F" w:rsidRDefault="0053164C" w:rsidP="00C5696F">
      <w:pPr>
        <w:spacing w:after="0" w:line="240" w:lineRule="auto"/>
        <w:jc w:val="center"/>
        <w:rPr>
          <w:rFonts w:ascii="Tw Cen MT" w:eastAsia="Twentieth Century" w:hAnsi="Tw Cen MT" w:cs="Twentieth Century"/>
          <w:sz w:val="22"/>
          <w:szCs w:val="22"/>
        </w:rPr>
      </w:pPr>
      <w:r w:rsidRPr="00C5696F">
        <w:rPr>
          <w:rFonts w:ascii="Tw Cen MT" w:eastAsia="Twentieth Century" w:hAnsi="Tw Cen MT" w:cs="Twentieth Century"/>
          <w:sz w:val="22"/>
          <w:szCs w:val="22"/>
        </w:rPr>
        <w:t>Tabel 2. Karakteristik Balita</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843"/>
        <w:gridCol w:w="851"/>
        <w:gridCol w:w="850"/>
      </w:tblGrid>
      <w:tr w:rsidR="0053164C" w:rsidRPr="00231730" w14:paraId="4B95426E" w14:textId="77777777" w:rsidTr="0053164C">
        <w:trPr>
          <w:tblHeader/>
          <w:jc w:val="center"/>
        </w:trPr>
        <w:tc>
          <w:tcPr>
            <w:tcW w:w="1843" w:type="dxa"/>
          </w:tcPr>
          <w:p w14:paraId="152166B4" w14:textId="77777777" w:rsidR="0053164C" w:rsidRPr="0053164C" w:rsidRDefault="0053164C" w:rsidP="00190977">
            <w:pPr>
              <w:rPr>
                <w:rFonts w:ascii="Tw Cen MT" w:hAnsi="Tw Cen MT"/>
                <w:b/>
              </w:rPr>
            </w:pPr>
            <w:r w:rsidRPr="0053164C">
              <w:rPr>
                <w:rFonts w:ascii="Tw Cen MT" w:hAnsi="Tw Cen MT"/>
                <w:b/>
              </w:rPr>
              <w:t>Karakteristik Responden</w:t>
            </w:r>
          </w:p>
        </w:tc>
        <w:tc>
          <w:tcPr>
            <w:tcW w:w="851" w:type="dxa"/>
          </w:tcPr>
          <w:p w14:paraId="3D6DC0DC" w14:textId="77777777" w:rsidR="0053164C" w:rsidRPr="0053164C" w:rsidRDefault="0053164C" w:rsidP="00190977">
            <w:pPr>
              <w:rPr>
                <w:rFonts w:ascii="Tw Cen MT" w:hAnsi="Tw Cen MT"/>
                <w:b/>
              </w:rPr>
            </w:pPr>
            <w:r w:rsidRPr="0053164C">
              <w:rPr>
                <w:rFonts w:ascii="Tw Cen MT" w:hAnsi="Tw Cen MT"/>
                <w:b/>
              </w:rPr>
              <w:t>N</w:t>
            </w:r>
          </w:p>
        </w:tc>
        <w:tc>
          <w:tcPr>
            <w:tcW w:w="850" w:type="dxa"/>
          </w:tcPr>
          <w:p w14:paraId="368C9DFA" w14:textId="77777777" w:rsidR="0053164C" w:rsidRPr="0053164C" w:rsidRDefault="0053164C" w:rsidP="00190977">
            <w:pPr>
              <w:rPr>
                <w:rFonts w:ascii="Tw Cen MT" w:hAnsi="Tw Cen MT"/>
                <w:b/>
              </w:rPr>
            </w:pPr>
            <w:r w:rsidRPr="0053164C">
              <w:rPr>
                <w:rFonts w:ascii="Tw Cen MT" w:hAnsi="Tw Cen MT"/>
                <w:b/>
              </w:rPr>
              <w:t>%</w:t>
            </w:r>
          </w:p>
        </w:tc>
      </w:tr>
      <w:tr w:rsidR="0053164C" w:rsidRPr="00231730" w14:paraId="342AB440" w14:textId="77777777" w:rsidTr="0053164C">
        <w:trPr>
          <w:tblHeader/>
          <w:jc w:val="center"/>
        </w:trPr>
        <w:tc>
          <w:tcPr>
            <w:tcW w:w="1843" w:type="dxa"/>
          </w:tcPr>
          <w:p w14:paraId="38226228" w14:textId="77777777" w:rsidR="0053164C" w:rsidRPr="0053164C" w:rsidRDefault="0053164C" w:rsidP="00190977">
            <w:pPr>
              <w:rPr>
                <w:rFonts w:ascii="Tw Cen MT" w:hAnsi="Tw Cen MT"/>
                <w:b/>
              </w:rPr>
            </w:pPr>
            <w:r w:rsidRPr="0053164C">
              <w:rPr>
                <w:rFonts w:ascii="Tw Cen MT" w:hAnsi="Tw Cen MT"/>
                <w:b/>
              </w:rPr>
              <w:t>Usia Anak</w:t>
            </w:r>
          </w:p>
          <w:p w14:paraId="1A1C7D76" w14:textId="77777777" w:rsidR="0053164C" w:rsidRPr="0053164C" w:rsidRDefault="0053164C" w:rsidP="00190977">
            <w:pPr>
              <w:ind w:left="360"/>
              <w:rPr>
                <w:rFonts w:ascii="Tw Cen MT" w:hAnsi="Tw Cen MT"/>
              </w:rPr>
            </w:pPr>
            <w:r w:rsidRPr="0053164C">
              <w:rPr>
                <w:rFonts w:ascii="Tw Cen MT" w:hAnsi="Tw Cen MT"/>
              </w:rPr>
              <w:t>6-11 bulan</w:t>
            </w:r>
          </w:p>
          <w:p w14:paraId="5205E50B" w14:textId="77777777" w:rsidR="0053164C" w:rsidRPr="0053164C" w:rsidRDefault="0053164C" w:rsidP="00190977">
            <w:pPr>
              <w:ind w:left="360"/>
              <w:rPr>
                <w:rFonts w:ascii="Tw Cen MT" w:hAnsi="Tw Cen MT"/>
              </w:rPr>
            </w:pPr>
            <w:r w:rsidRPr="0053164C">
              <w:rPr>
                <w:rFonts w:ascii="Tw Cen MT" w:hAnsi="Tw Cen MT"/>
              </w:rPr>
              <w:t>12-24 bulan</w:t>
            </w:r>
          </w:p>
        </w:tc>
        <w:tc>
          <w:tcPr>
            <w:tcW w:w="851" w:type="dxa"/>
          </w:tcPr>
          <w:p w14:paraId="4730B448" w14:textId="77777777" w:rsidR="0053164C" w:rsidRPr="0053164C" w:rsidRDefault="0053164C" w:rsidP="00190977">
            <w:pPr>
              <w:rPr>
                <w:rFonts w:ascii="Tw Cen MT" w:hAnsi="Tw Cen MT"/>
              </w:rPr>
            </w:pPr>
          </w:p>
          <w:p w14:paraId="32810D77" w14:textId="77777777" w:rsidR="0053164C" w:rsidRPr="0053164C" w:rsidRDefault="0053164C" w:rsidP="00190977">
            <w:pPr>
              <w:rPr>
                <w:rFonts w:ascii="Tw Cen MT" w:hAnsi="Tw Cen MT"/>
              </w:rPr>
            </w:pPr>
            <w:r w:rsidRPr="0053164C">
              <w:rPr>
                <w:rFonts w:ascii="Tw Cen MT" w:hAnsi="Tw Cen MT"/>
              </w:rPr>
              <w:t>36</w:t>
            </w:r>
          </w:p>
          <w:p w14:paraId="1BEE69DF" w14:textId="77777777" w:rsidR="0053164C" w:rsidRPr="0053164C" w:rsidRDefault="0053164C" w:rsidP="00190977">
            <w:pPr>
              <w:rPr>
                <w:rFonts w:ascii="Tw Cen MT" w:hAnsi="Tw Cen MT"/>
              </w:rPr>
            </w:pPr>
            <w:r w:rsidRPr="0053164C">
              <w:rPr>
                <w:rFonts w:ascii="Tw Cen MT" w:hAnsi="Tw Cen MT"/>
              </w:rPr>
              <w:t>64</w:t>
            </w:r>
          </w:p>
        </w:tc>
        <w:tc>
          <w:tcPr>
            <w:tcW w:w="850" w:type="dxa"/>
          </w:tcPr>
          <w:p w14:paraId="2460491C" w14:textId="77777777" w:rsidR="0053164C" w:rsidRPr="0053164C" w:rsidRDefault="0053164C" w:rsidP="00190977">
            <w:pPr>
              <w:rPr>
                <w:rFonts w:ascii="Tw Cen MT" w:hAnsi="Tw Cen MT"/>
              </w:rPr>
            </w:pPr>
          </w:p>
          <w:p w14:paraId="1CE17A63" w14:textId="77777777" w:rsidR="0053164C" w:rsidRPr="0053164C" w:rsidRDefault="0053164C" w:rsidP="00190977">
            <w:pPr>
              <w:rPr>
                <w:rFonts w:ascii="Tw Cen MT" w:hAnsi="Tw Cen MT"/>
              </w:rPr>
            </w:pPr>
            <w:r w:rsidRPr="0053164C">
              <w:rPr>
                <w:rFonts w:ascii="Tw Cen MT" w:hAnsi="Tw Cen MT"/>
              </w:rPr>
              <w:t>36.0</w:t>
            </w:r>
          </w:p>
          <w:p w14:paraId="1120D8D2" w14:textId="77777777" w:rsidR="0053164C" w:rsidRPr="0053164C" w:rsidRDefault="0053164C" w:rsidP="00190977">
            <w:pPr>
              <w:rPr>
                <w:rFonts w:ascii="Tw Cen MT" w:hAnsi="Tw Cen MT"/>
              </w:rPr>
            </w:pPr>
            <w:r w:rsidRPr="0053164C">
              <w:rPr>
                <w:rFonts w:ascii="Tw Cen MT" w:hAnsi="Tw Cen MT"/>
              </w:rPr>
              <w:t>64.0</w:t>
            </w:r>
          </w:p>
        </w:tc>
      </w:tr>
      <w:tr w:rsidR="0053164C" w:rsidRPr="00231730" w14:paraId="4413FF94" w14:textId="77777777" w:rsidTr="0053164C">
        <w:trPr>
          <w:tblHeader/>
          <w:jc w:val="center"/>
        </w:trPr>
        <w:tc>
          <w:tcPr>
            <w:tcW w:w="1843" w:type="dxa"/>
          </w:tcPr>
          <w:p w14:paraId="6551CB6C" w14:textId="77777777" w:rsidR="0053164C" w:rsidRPr="0053164C" w:rsidRDefault="0053164C" w:rsidP="00190977">
            <w:pPr>
              <w:rPr>
                <w:rFonts w:ascii="Tw Cen MT" w:hAnsi="Tw Cen MT"/>
                <w:b/>
              </w:rPr>
            </w:pPr>
            <w:r w:rsidRPr="0053164C">
              <w:rPr>
                <w:rFonts w:ascii="Tw Cen MT" w:hAnsi="Tw Cen MT"/>
                <w:b/>
              </w:rPr>
              <w:t>Jenis Kelamin</w:t>
            </w:r>
          </w:p>
          <w:p w14:paraId="0DF5D5B7" w14:textId="77777777" w:rsidR="0053164C" w:rsidRPr="0053164C" w:rsidRDefault="0053164C" w:rsidP="00190977">
            <w:pPr>
              <w:ind w:left="360"/>
              <w:rPr>
                <w:rFonts w:ascii="Tw Cen MT" w:hAnsi="Tw Cen MT"/>
              </w:rPr>
            </w:pPr>
            <w:r w:rsidRPr="0053164C">
              <w:rPr>
                <w:rFonts w:ascii="Tw Cen MT" w:hAnsi="Tw Cen MT"/>
              </w:rPr>
              <w:t>Laki-laki</w:t>
            </w:r>
          </w:p>
          <w:p w14:paraId="2B147B0A" w14:textId="77777777" w:rsidR="0053164C" w:rsidRPr="0053164C" w:rsidRDefault="0053164C" w:rsidP="00190977">
            <w:pPr>
              <w:ind w:left="360"/>
              <w:rPr>
                <w:rFonts w:ascii="Tw Cen MT" w:hAnsi="Tw Cen MT"/>
              </w:rPr>
            </w:pPr>
            <w:r w:rsidRPr="0053164C">
              <w:rPr>
                <w:rFonts w:ascii="Tw Cen MT" w:hAnsi="Tw Cen MT"/>
              </w:rPr>
              <w:t>Perempuan</w:t>
            </w:r>
          </w:p>
        </w:tc>
        <w:tc>
          <w:tcPr>
            <w:tcW w:w="851" w:type="dxa"/>
          </w:tcPr>
          <w:p w14:paraId="4BC0F2E4" w14:textId="77777777" w:rsidR="0053164C" w:rsidRPr="0053164C" w:rsidRDefault="0053164C" w:rsidP="00190977">
            <w:pPr>
              <w:rPr>
                <w:rFonts w:ascii="Tw Cen MT" w:hAnsi="Tw Cen MT"/>
              </w:rPr>
            </w:pPr>
          </w:p>
          <w:p w14:paraId="443300E0" w14:textId="77777777" w:rsidR="0053164C" w:rsidRPr="0053164C" w:rsidRDefault="0053164C" w:rsidP="00190977">
            <w:pPr>
              <w:rPr>
                <w:rFonts w:ascii="Tw Cen MT" w:hAnsi="Tw Cen MT"/>
              </w:rPr>
            </w:pPr>
            <w:r w:rsidRPr="0053164C">
              <w:rPr>
                <w:rFonts w:ascii="Tw Cen MT" w:hAnsi="Tw Cen MT"/>
              </w:rPr>
              <w:t>49</w:t>
            </w:r>
          </w:p>
          <w:p w14:paraId="73B5685D" w14:textId="77777777" w:rsidR="0053164C" w:rsidRPr="0053164C" w:rsidRDefault="0053164C" w:rsidP="00190977">
            <w:pPr>
              <w:rPr>
                <w:rFonts w:ascii="Tw Cen MT" w:hAnsi="Tw Cen MT"/>
              </w:rPr>
            </w:pPr>
            <w:r w:rsidRPr="0053164C">
              <w:rPr>
                <w:rFonts w:ascii="Tw Cen MT" w:hAnsi="Tw Cen MT"/>
              </w:rPr>
              <w:t>51</w:t>
            </w:r>
          </w:p>
        </w:tc>
        <w:tc>
          <w:tcPr>
            <w:tcW w:w="850" w:type="dxa"/>
          </w:tcPr>
          <w:p w14:paraId="1171B392" w14:textId="77777777" w:rsidR="0053164C" w:rsidRPr="0053164C" w:rsidRDefault="0053164C" w:rsidP="00190977">
            <w:pPr>
              <w:rPr>
                <w:rFonts w:ascii="Tw Cen MT" w:hAnsi="Tw Cen MT"/>
              </w:rPr>
            </w:pPr>
          </w:p>
          <w:p w14:paraId="52029E36" w14:textId="77777777" w:rsidR="0053164C" w:rsidRPr="0053164C" w:rsidRDefault="0053164C" w:rsidP="00190977">
            <w:pPr>
              <w:rPr>
                <w:rFonts w:ascii="Tw Cen MT" w:hAnsi="Tw Cen MT"/>
              </w:rPr>
            </w:pPr>
            <w:r w:rsidRPr="0053164C">
              <w:rPr>
                <w:rFonts w:ascii="Tw Cen MT" w:hAnsi="Tw Cen MT"/>
              </w:rPr>
              <w:t>49.0</w:t>
            </w:r>
          </w:p>
          <w:p w14:paraId="497C63F8" w14:textId="77777777" w:rsidR="0053164C" w:rsidRPr="0053164C" w:rsidRDefault="0053164C" w:rsidP="00190977">
            <w:pPr>
              <w:rPr>
                <w:rFonts w:ascii="Tw Cen MT" w:hAnsi="Tw Cen MT"/>
              </w:rPr>
            </w:pPr>
            <w:r w:rsidRPr="0053164C">
              <w:rPr>
                <w:rFonts w:ascii="Tw Cen MT" w:hAnsi="Tw Cen MT"/>
              </w:rPr>
              <w:t>51.0</w:t>
            </w:r>
          </w:p>
        </w:tc>
      </w:tr>
      <w:tr w:rsidR="0053164C" w:rsidRPr="00231730" w14:paraId="155DA23F" w14:textId="77777777" w:rsidTr="0053164C">
        <w:trPr>
          <w:tblHeader/>
          <w:jc w:val="center"/>
        </w:trPr>
        <w:tc>
          <w:tcPr>
            <w:tcW w:w="1843" w:type="dxa"/>
          </w:tcPr>
          <w:p w14:paraId="4E40AC7A" w14:textId="77777777" w:rsidR="0053164C" w:rsidRPr="0053164C" w:rsidRDefault="0053164C" w:rsidP="00190977">
            <w:pPr>
              <w:rPr>
                <w:rFonts w:ascii="Tw Cen MT" w:hAnsi="Tw Cen MT"/>
                <w:b/>
              </w:rPr>
            </w:pPr>
            <w:r w:rsidRPr="0053164C">
              <w:rPr>
                <w:rFonts w:ascii="Tw Cen MT" w:hAnsi="Tw Cen MT"/>
                <w:b/>
              </w:rPr>
              <w:t>BB Lahir</w:t>
            </w:r>
          </w:p>
          <w:p w14:paraId="2225AAC0" w14:textId="77777777" w:rsidR="0053164C" w:rsidRPr="0053164C" w:rsidRDefault="0053164C" w:rsidP="00190977">
            <w:pPr>
              <w:ind w:left="360"/>
              <w:rPr>
                <w:rFonts w:ascii="Tw Cen MT" w:hAnsi="Tw Cen MT"/>
              </w:rPr>
            </w:pPr>
            <w:r w:rsidRPr="0053164C">
              <w:rPr>
                <w:rFonts w:ascii="Tw Cen MT" w:hAnsi="Tw Cen MT"/>
              </w:rPr>
              <w:t>&lt; 2500gr</w:t>
            </w:r>
          </w:p>
          <w:p w14:paraId="1A1446D8" w14:textId="77777777" w:rsidR="0053164C" w:rsidRPr="0053164C" w:rsidRDefault="0053164C" w:rsidP="00190977">
            <w:pPr>
              <w:ind w:left="360"/>
              <w:rPr>
                <w:rFonts w:ascii="Tw Cen MT" w:hAnsi="Tw Cen MT"/>
              </w:rPr>
            </w:pPr>
            <w:r w:rsidRPr="0053164C">
              <w:rPr>
                <w:rFonts w:ascii="Tw Cen MT" w:hAnsi="Tw Cen MT"/>
              </w:rPr>
              <w:t>≥ 2500gr</w:t>
            </w:r>
          </w:p>
        </w:tc>
        <w:tc>
          <w:tcPr>
            <w:tcW w:w="851" w:type="dxa"/>
          </w:tcPr>
          <w:p w14:paraId="16EE7DB3" w14:textId="77777777" w:rsidR="0053164C" w:rsidRPr="0053164C" w:rsidRDefault="0053164C" w:rsidP="00190977">
            <w:pPr>
              <w:rPr>
                <w:rFonts w:ascii="Tw Cen MT" w:hAnsi="Tw Cen MT"/>
              </w:rPr>
            </w:pPr>
          </w:p>
          <w:p w14:paraId="5658FC77" w14:textId="77777777" w:rsidR="0053164C" w:rsidRPr="0053164C" w:rsidRDefault="0053164C" w:rsidP="00190977">
            <w:pPr>
              <w:rPr>
                <w:rFonts w:ascii="Tw Cen MT" w:hAnsi="Tw Cen MT"/>
              </w:rPr>
            </w:pPr>
            <w:r w:rsidRPr="0053164C">
              <w:rPr>
                <w:rFonts w:ascii="Tw Cen MT" w:hAnsi="Tw Cen MT"/>
              </w:rPr>
              <w:t>22</w:t>
            </w:r>
          </w:p>
          <w:p w14:paraId="2EDA432A" w14:textId="77777777" w:rsidR="0053164C" w:rsidRPr="0053164C" w:rsidRDefault="0053164C" w:rsidP="00190977">
            <w:pPr>
              <w:rPr>
                <w:rFonts w:ascii="Tw Cen MT" w:hAnsi="Tw Cen MT"/>
              </w:rPr>
            </w:pPr>
            <w:r w:rsidRPr="0053164C">
              <w:rPr>
                <w:rFonts w:ascii="Tw Cen MT" w:hAnsi="Tw Cen MT"/>
              </w:rPr>
              <w:t>78</w:t>
            </w:r>
          </w:p>
        </w:tc>
        <w:tc>
          <w:tcPr>
            <w:tcW w:w="850" w:type="dxa"/>
          </w:tcPr>
          <w:p w14:paraId="064F653F" w14:textId="77777777" w:rsidR="0053164C" w:rsidRPr="0053164C" w:rsidRDefault="0053164C" w:rsidP="00190977">
            <w:pPr>
              <w:rPr>
                <w:rFonts w:ascii="Tw Cen MT" w:hAnsi="Tw Cen MT"/>
              </w:rPr>
            </w:pPr>
          </w:p>
          <w:p w14:paraId="2EEBE433" w14:textId="77777777" w:rsidR="0053164C" w:rsidRPr="0053164C" w:rsidRDefault="0053164C" w:rsidP="00190977">
            <w:pPr>
              <w:rPr>
                <w:rFonts w:ascii="Tw Cen MT" w:hAnsi="Tw Cen MT"/>
              </w:rPr>
            </w:pPr>
            <w:r w:rsidRPr="0053164C">
              <w:rPr>
                <w:rFonts w:ascii="Tw Cen MT" w:hAnsi="Tw Cen MT"/>
              </w:rPr>
              <w:t>22.0</w:t>
            </w:r>
          </w:p>
          <w:p w14:paraId="2A9E48DA" w14:textId="77777777" w:rsidR="0053164C" w:rsidRPr="0053164C" w:rsidRDefault="0053164C" w:rsidP="00190977">
            <w:pPr>
              <w:rPr>
                <w:rFonts w:ascii="Tw Cen MT" w:hAnsi="Tw Cen MT"/>
              </w:rPr>
            </w:pPr>
            <w:r w:rsidRPr="0053164C">
              <w:rPr>
                <w:rFonts w:ascii="Tw Cen MT" w:hAnsi="Tw Cen MT"/>
              </w:rPr>
              <w:t>78.0</w:t>
            </w:r>
          </w:p>
        </w:tc>
      </w:tr>
      <w:tr w:rsidR="0053164C" w:rsidRPr="00231730" w14:paraId="2AC4BDCC" w14:textId="77777777" w:rsidTr="0053164C">
        <w:trPr>
          <w:tblHeader/>
          <w:jc w:val="center"/>
        </w:trPr>
        <w:tc>
          <w:tcPr>
            <w:tcW w:w="1843" w:type="dxa"/>
          </w:tcPr>
          <w:p w14:paraId="44261690" w14:textId="77777777" w:rsidR="0053164C" w:rsidRPr="0053164C" w:rsidRDefault="0053164C" w:rsidP="00190977">
            <w:pPr>
              <w:rPr>
                <w:rFonts w:ascii="Tw Cen MT" w:hAnsi="Tw Cen MT"/>
                <w:b/>
              </w:rPr>
            </w:pPr>
            <w:r w:rsidRPr="0053164C">
              <w:rPr>
                <w:rFonts w:ascii="Tw Cen MT" w:hAnsi="Tw Cen MT"/>
                <w:b/>
              </w:rPr>
              <w:t>PB Lahir</w:t>
            </w:r>
          </w:p>
          <w:p w14:paraId="043C7DB0" w14:textId="77777777" w:rsidR="0053164C" w:rsidRPr="0053164C" w:rsidRDefault="0053164C" w:rsidP="00190977">
            <w:pPr>
              <w:ind w:left="360"/>
              <w:rPr>
                <w:rFonts w:ascii="Tw Cen MT" w:hAnsi="Tw Cen MT"/>
              </w:rPr>
            </w:pPr>
            <w:r w:rsidRPr="0053164C">
              <w:rPr>
                <w:rFonts w:ascii="Tw Cen MT" w:hAnsi="Tw Cen MT"/>
              </w:rPr>
              <w:t>&lt; 48cm</w:t>
            </w:r>
          </w:p>
          <w:p w14:paraId="1FAE8794" w14:textId="77777777" w:rsidR="0053164C" w:rsidRPr="0053164C" w:rsidRDefault="0053164C" w:rsidP="00190977">
            <w:pPr>
              <w:ind w:left="360"/>
              <w:rPr>
                <w:rFonts w:ascii="Tw Cen MT" w:hAnsi="Tw Cen MT"/>
              </w:rPr>
            </w:pPr>
            <w:r w:rsidRPr="0053164C">
              <w:rPr>
                <w:rFonts w:ascii="Tw Cen MT" w:hAnsi="Tw Cen MT"/>
              </w:rPr>
              <w:t>≥ 48cm</w:t>
            </w:r>
          </w:p>
        </w:tc>
        <w:tc>
          <w:tcPr>
            <w:tcW w:w="851" w:type="dxa"/>
          </w:tcPr>
          <w:p w14:paraId="05940CEA" w14:textId="77777777" w:rsidR="0053164C" w:rsidRPr="0053164C" w:rsidRDefault="0053164C" w:rsidP="00190977">
            <w:pPr>
              <w:rPr>
                <w:rFonts w:ascii="Tw Cen MT" w:hAnsi="Tw Cen MT"/>
              </w:rPr>
            </w:pPr>
          </w:p>
          <w:p w14:paraId="1BC01FD0" w14:textId="77777777" w:rsidR="0053164C" w:rsidRPr="0053164C" w:rsidRDefault="0053164C" w:rsidP="00190977">
            <w:pPr>
              <w:rPr>
                <w:rFonts w:ascii="Tw Cen MT" w:hAnsi="Tw Cen MT"/>
              </w:rPr>
            </w:pPr>
            <w:r w:rsidRPr="0053164C">
              <w:rPr>
                <w:rFonts w:ascii="Tw Cen MT" w:hAnsi="Tw Cen MT"/>
              </w:rPr>
              <w:t>68</w:t>
            </w:r>
          </w:p>
          <w:p w14:paraId="349127E2" w14:textId="77777777" w:rsidR="0053164C" w:rsidRPr="0053164C" w:rsidRDefault="0053164C" w:rsidP="00190977">
            <w:pPr>
              <w:rPr>
                <w:rFonts w:ascii="Tw Cen MT" w:hAnsi="Tw Cen MT"/>
              </w:rPr>
            </w:pPr>
            <w:r w:rsidRPr="0053164C">
              <w:rPr>
                <w:rFonts w:ascii="Tw Cen MT" w:hAnsi="Tw Cen MT"/>
              </w:rPr>
              <w:t>32</w:t>
            </w:r>
          </w:p>
        </w:tc>
        <w:tc>
          <w:tcPr>
            <w:tcW w:w="850" w:type="dxa"/>
          </w:tcPr>
          <w:p w14:paraId="3FB3E138" w14:textId="77777777" w:rsidR="0053164C" w:rsidRPr="0053164C" w:rsidRDefault="0053164C" w:rsidP="00190977">
            <w:pPr>
              <w:rPr>
                <w:rFonts w:ascii="Tw Cen MT" w:hAnsi="Tw Cen MT"/>
              </w:rPr>
            </w:pPr>
          </w:p>
          <w:p w14:paraId="72D3EC32" w14:textId="77777777" w:rsidR="0053164C" w:rsidRPr="0053164C" w:rsidRDefault="0053164C" w:rsidP="00190977">
            <w:pPr>
              <w:rPr>
                <w:rFonts w:ascii="Tw Cen MT" w:hAnsi="Tw Cen MT"/>
              </w:rPr>
            </w:pPr>
            <w:r w:rsidRPr="0053164C">
              <w:rPr>
                <w:rFonts w:ascii="Tw Cen MT" w:hAnsi="Tw Cen MT"/>
              </w:rPr>
              <w:t>68.0</w:t>
            </w:r>
          </w:p>
          <w:p w14:paraId="4719259C" w14:textId="77777777" w:rsidR="0053164C" w:rsidRPr="0053164C" w:rsidRDefault="0053164C" w:rsidP="00190977">
            <w:pPr>
              <w:rPr>
                <w:rFonts w:ascii="Tw Cen MT" w:hAnsi="Tw Cen MT"/>
              </w:rPr>
            </w:pPr>
            <w:r w:rsidRPr="0053164C">
              <w:rPr>
                <w:rFonts w:ascii="Tw Cen MT" w:hAnsi="Tw Cen MT"/>
              </w:rPr>
              <w:t>32.0</w:t>
            </w:r>
          </w:p>
        </w:tc>
      </w:tr>
      <w:tr w:rsidR="0053164C" w:rsidRPr="00231730" w14:paraId="1967C046" w14:textId="77777777" w:rsidTr="0053164C">
        <w:trPr>
          <w:tblHeader/>
          <w:jc w:val="center"/>
        </w:trPr>
        <w:tc>
          <w:tcPr>
            <w:tcW w:w="1843" w:type="dxa"/>
          </w:tcPr>
          <w:p w14:paraId="58B1F2B4" w14:textId="77777777" w:rsidR="0053164C" w:rsidRPr="0053164C" w:rsidRDefault="0053164C" w:rsidP="00190977">
            <w:pPr>
              <w:rPr>
                <w:rFonts w:ascii="Tw Cen MT" w:hAnsi="Tw Cen MT"/>
                <w:b/>
              </w:rPr>
            </w:pPr>
            <w:r w:rsidRPr="0053164C">
              <w:rPr>
                <w:rFonts w:ascii="Tw Cen MT" w:hAnsi="Tw Cen MT"/>
                <w:b/>
              </w:rPr>
              <w:t>Status Gizi Balita Berdasarkan TB/U</w:t>
            </w:r>
          </w:p>
          <w:p w14:paraId="3DB8DB0D" w14:textId="77777777" w:rsidR="0053164C" w:rsidRPr="0053164C" w:rsidRDefault="0053164C" w:rsidP="00190977">
            <w:pPr>
              <w:ind w:left="360"/>
              <w:rPr>
                <w:rFonts w:ascii="Tw Cen MT" w:hAnsi="Tw Cen MT"/>
              </w:rPr>
            </w:pPr>
            <w:r w:rsidRPr="0053164C">
              <w:rPr>
                <w:rFonts w:ascii="Tw Cen MT" w:hAnsi="Tw Cen MT"/>
              </w:rPr>
              <w:t>stunting</w:t>
            </w:r>
          </w:p>
          <w:p w14:paraId="77B85EA1" w14:textId="77777777" w:rsidR="0053164C" w:rsidRPr="0053164C" w:rsidRDefault="0053164C" w:rsidP="00190977">
            <w:pPr>
              <w:ind w:left="360"/>
              <w:rPr>
                <w:rFonts w:ascii="Tw Cen MT" w:hAnsi="Tw Cen MT"/>
              </w:rPr>
            </w:pPr>
            <w:r w:rsidRPr="0053164C">
              <w:rPr>
                <w:rFonts w:ascii="Tw Cen MT" w:hAnsi="Tw Cen MT"/>
              </w:rPr>
              <w:t>tidak stunting</w:t>
            </w:r>
          </w:p>
        </w:tc>
        <w:tc>
          <w:tcPr>
            <w:tcW w:w="851" w:type="dxa"/>
          </w:tcPr>
          <w:p w14:paraId="77134FAE" w14:textId="77777777" w:rsidR="0053164C" w:rsidRPr="0053164C" w:rsidRDefault="0053164C" w:rsidP="00190977">
            <w:pPr>
              <w:rPr>
                <w:rFonts w:ascii="Tw Cen MT" w:hAnsi="Tw Cen MT"/>
              </w:rPr>
            </w:pPr>
          </w:p>
          <w:p w14:paraId="3AE4B687" w14:textId="77777777" w:rsidR="0053164C" w:rsidRPr="0053164C" w:rsidRDefault="0053164C" w:rsidP="00190977">
            <w:pPr>
              <w:rPr>
                <w:rFonts w:ascii="Tw Cen MT" w:hAnsi="Tw Cen MT"/>
              </w:rPr>
            </w:pPr>
            <w:r w:rsidRPr="0053164C">
              <w:rPr>
                <w:rFonts w:ascii="Tw Cen MT" w:hAnsi="Tw Cen MT"/>
              </w:rPr>
              <w:t>17</w:t>
            </w:r>
          </w:p>
          <w:p w14:paraId="733B3DAB" w14:textId="77777777" w:rsidR="0053164C" w:rsidRPr="0053164C" w:rsidRDefault="0053164C" w:rsidP="00190977">
            <w:pPr>
              <w:rPr>
                <w:rFonts w:ascii="Tw Cen MT" w:hAnsi="Tw Cen MT"/>
              </w:rPr>
            </w:pPr>
            <w:r w:rsidRPr="0053164C">
              <w:rPr>
                <w:rFonts w:ascii="Tw Cen MT" w:hAnsi="Tw Cen MT"/>
              </w:rPr>
              <w:t>83</w:t>
            </w:r>
          </w:p>
        </w:tc>
        <w:tc>
          <w:tcPr>
            <w:tcW w:w="850" w:type="dxa"/>
          </w:tcPr>
          <w:p w14:paraId="42B9C727" w14:textId="77777777" w:rsidR="0053164C" w:rsidRPr="0053164C" w:rsidRDefault="0053164C" w:rsidP="00190977">
            <w:pPr>
              <w:rPr>
                <w:rFonts w:ascii="Tw Cen MT" w:hAnsi="Tw Cen MT"/>
              </w:rPr>
            </w:pPr>
          </w:p>
          <w:p w14:paraId="6C19EAB9" w14:textId="77777777" w:rsidR="0053164C" w:rsidRPr="0053164C" w:rsidRDefault="0053164C" w:rsidP="00190977">
            <w:pPr>
              <w:rPr>
                <w:rFonts w:ascii="Tw Cen MT" w:hAnsi="Tw Cen MT"/>
              </w:rPr>
            </w:pPr>
            <w:r w:rsidRPr="0053164C">
              <w:rPr>
                <w:rFonts w:ascii="Tw Cen MT" w:hAnsi="Tw Cen MT"/>
              </w:rPr>
              <w:t>17.0</w:t>
            </w:r>
          </w:p>
          <w:p w14:paraId="394EA6F4" w14:textId="77777777" w:rsidR="0053164C" w:rsidRPr="0053164C" w:rsidRDefault="0053164C" w:rsidP="00190977">
            <w:pPr>
              <w:rPr>
                <w:rFonts w:ascii="Tw Cen MT" w:hAnsi="Tw Cen MT"/>
              </w:rPr>
            </w:pPr>
            <w:r w:rsidRPr="0053164C">
              <w:rPr>
                <w:rFonts w:ascii="Tw Cen MT" w:hAnsi="Tw Cen MT"/>
              </w:rPr>
              <w:t>83.0</w:t>
            </w:r>
          </w:p>
        </w:tc>
      </w:tr>
      <w:tr w:rsidR="0053164C" w:rsidRPr="00231730" w14:paraId="1F2EDEED" w14:textId="77777777" w:rsidTr="0053164C">
        <w:trPr>
          <w:trHeight w:val="649"/>
          <w:tblHeader/>
          <w:jc w:val="center"/>
        </w:trPr>
        <w:tc>
          <w:tcPr>
            <w:tcW w:w="1843" w:type="dxa"/>
          </w:tcPr>
          <w:p w14:paraId="3C480AE8" w14:textId="77777777" w:rsidR="0053164C" w:rsidRPr="0053164C" w:rsidRDefault="0053164C" w:rsidP="00190977">
            <w:pPr>
              <w:rPr>
                <w:rFonts w:ascii="Tw Cen MT" w:hAnsi="Tw Cen MT"/>
                <w:b/>
              </w:rPr>
            </w:pPr>
            <w:r w:rsidRPr="0053164C">
              <w:rPr>
                <w:rFonts w:ascii="Tw Cen MT" w:hAnsi="Tw Cen MT"/>
                <w:b/>
              </w:rPr>
              <w:t>Status Menyusu</w:t>
            </w:r>
          </w:p>
          <w:p w14:paraId="32D73914" w14:textId="77777777" w:rsidR="0053164C" w:rsidRPr="0053164C" w:rsidRDefault="0053164C" w:rsidP="00190977">
            <w:pPr>
              <w:ind w:left="360"/>
              <w:rPr>
                <w:rFonts w:ascii="Tw Cen MT" w:hAnsi="Tw Cen MT"/>
                <w:bCs/>
              </w:rPr>
            </w:pPr>
            <w:r w:rsidRPr="0053164C">
              <w:rPr>
                <w:rFonts w:ascii="Tw Cen MT" w:hAnsi="Tw Cen MT"/>
                <w:bCs/>
              </w:rPr>
              <w:t>Masih ASI</w:t>
            </w:r>
          </w:p>
          <w:p w14:paraId="05B58318" w14:textId="77777777" w:rsidR="0053164C" w:rsidRPr="0053164C" w:rsidRDefault="0053164C" w:rsidP="00190977">
            <w:pPr>
              <w:ind w:left="360"/>
              <w:rPr>
                <w:rFonts w:ascii="Tw Cen MT" w:hAnsi="Tw Cen MT"/>
                <w:bCs/>
              </w:rPr>
            </w:pPr>
            <w:r w:rsidRPr="0053164C">
              <w:rPr>
                <w:rFonts w:ascii="Tw Cen MT" w:hAnsi="Tw Cen MT"/>
                <w:bCs/>
              </w:rPr>
              <w:t>Tidak ASI</w:t>
            </w:r>
          </w:p>
        </w:tc>
        <w:tc>
          <w:tcPr>
            <w:tcW w:w="851" w:type="dxa"/>
          </w:tcPr>
          <w:p w14:paraId="1F72E67E" w14:textId="77777777" w:rsidR="0053164C" w:rsidRPr="0053164C" w:rsidRDefault="0053164C" w:rsidP="00190977">
            <w:pPr>
              <w:rPr>
                <w:rFonts w:ascii="Tw Cen MT" w:hAnsi="Tw Cen MT"/>
              </w:rPr>
            </w:pPr>
          </w:p>
          <w:p w14:paraId="16014126" w14:textId="77777777" w:rsidR="0053164C" w:rsidRPr="0053164C" w:rsidRDefault="0053164C" w:rsidP="00190977">
            <w:pPr>
              <w:rPr>
                <w:rFonts w:ascii="Tw Cen MT" w:hAnsi="Tw Cen MT"/>
              </w:rPr>
            </w:pPr>
            <w:r w:rsidRPr="0053164C">
              <w:rPr>
                <w:rFonts w:ascii="Tw Cen MT" w:hAnsi="Tw Cen MT"/>
              </w:rPr>
              <w:t>79</w:t>
            </w:r>
          </w:p>
          <w:p w14:paraId="492D0C52" w14:textId="77777777" w:rsidR="0053164C" w:rsidRPr="0053164C" w:rsidRDefault="0053164C" w:rsidP="00190977">
            <w:pPr>
              <w:rPr>
                <w:rFonts w:ascii="Tw Cen MT" w:hAnsi="Tw Cen MT"/>
              </w:rPr>
            </w:pPr>
            <w:r w:rsidRPr="0053164C">
              <w:rPr>
                <w:rFonts w:ascii="Tw Cen MT" w:hAnsi="Tw Cen MT"/>
              </w:rPr>
              <w:t>21</w:t>
            </w:r>
          </w:p>
        </w:tc>
        <w:tc>
          <w:tcPr>
            <w:tcW w:w="850" w:type="dxa"/>
          </w:tcPr>
          <w:p w14:paraId="603E847F" w14:textId="77777777" w:rsidR="0053164C" w:rsidRPr="0053164C" w:rsidRDefault="0053164C" w:rsidP="00190977">
            <w:pPr>
              <w:rPr>
                <w:rFonts w:ascii="Tw Cen MT" w:hAnsi="Tw Cen MT"/>
              </w:rPr>
            </w:pPr>
          </w:p>
          <w:p w14:paraId="596DECC1" w14:textId="77777777" w:rsidR="0053164C" w:rsidRPr="0053164C" w:rsidRDefault="0053164C" w:rsidP="00190977">
            <w:pPr>
              <w:rPr>
                <w:rFonts w:ascii="Tw Cen MT" w:hAnsi="Tw Cen MT"/>
              </w:rPr>
            </w:pPr>
            <w:r w:rsidRPr="0053164C">
              <w:rPr>
                <w:rFonts w:ascii="Tw Cen MT" w:hAnsi="Tw Cen MT"/>
              </w:rPr>
              <w:t>79</w:t>
            </w:r>
          </w:p>
          <w:p w14:paraId="6920822D" w14:textId="77777777" w:rsidR="0053164C" w:rsidRPr="0053164C" w:rsidRDefault="0053164C" w:rsidP="00190977">
            <w:pPr>
              <w:rPr>
                <w:rFonts w:ascii="Tw Cen MT" w:hAnsi="Tw Cen MT"/>
              </w:rPr>
            </w:pPr>
            <w:r w:rsidRPr="0053164C">
              <w:rPr>
                <w:rFonts w:ascii="Tw Cen MT" w:hAnsi="Tw Cen MT"/>
              </w:rPr>
              <w:t>21</w:t>
            </w:r>
          </w:p>
        </w:tc>
      </w:tr>
    </w:tbl>
    <w:p w14:paraId="2318461A" w14:textId="77777777" w:rsidR="0053164C" w:rsidRDefault="0053164C" w:rsidP="0053164C">
      <w:pPr>
        <w:spacing w:line="240" w:lineRule="auto"/>
        <w:rPr>
          <w:rFonts w:ascii="Tw Cen MT" w:eastAsia="Twentieth Century" w:hAnsi="Tw Cen MT" w:cs="Twentieth Century"/>
          <w:sz w:val="24"/>
          <w:szCs w:val="24"/>
        </w:rPr>
      </w:pPr>
    </w:p>
    <w:p w14:paraId="5C1F3BDB" w14:textId="77777777" w:rsidR="0053164C" w:rsidRPr="0053164C" w:rsidRDefault="0053164C" w:rsidP="0053164C">
      <w:pPr>
        <w:spacing w:after="0"/>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Berdasarkan Tabel 2, sebanyak 17% balita termasuk stunting dan 83% balita tidak stunting dengan rata-rata nilai zscore adalah -0.27. Berdasarkan hasil wawancara menggunakan kuisioner, sebanyak 79% balita masih menyusu dengan ibunya, 32% balita mengkonsumsi susu formula, dan 13% balita mengkonsumsi susu formula dan ASI.</w:t>
      </w:r>
    </w:p>
    <w:p w14:paraId="7C3B6704" w14:textId="77777777" w:rsidR="0053164C" w:rsidRDefault="0053164C" w:rsidP="0053164C">
      <w:pPr>
        <w:spacing w:line="240" w:lineRule="auto"/>
        <w:rPr>
          <w:rFonts w:ascii="Tw Cen MT" w:eastAsia="Twentieth Century" w:hAnsi="Tw Cen MT" w:cs="Twentieth Century"/>
          <w:sz w:val="24"/>
          <w:szCs w:val="24"/>
        </w:rPr>
      </w:pPr>
    </w:p>
    <w:p w14:paraId="106A4603" w14:textId="77777777" w:rsidR="0053164C" w:rsidRPr="0053164C" w:rsidRDefault="0053164C" w:rsidP="0053164C">
      <w:pPr>
        <w:spacing w:line="240" w:lineRule="auto"/>
        <w:rPr>
          <w:rFonts w:ascii="Tw Cen MT" w:eastAsia="Twentieth Century" w:hAnsi="Tw Cen MT" w:cs="Twentieth Century"/>
          <w:b/>
          <w:bCs/>
          <w:sz w:val="24"/>
          <w:szCs w:val="24"/>
        </w:rPr>
      </w:pPr>
      <w:r w:rsidRPr="0053164C">
        <w:rPr>
          <w:rFonts w:ascii="Tw Cen MT" w:eastAsia="Twentieth Century" w:hAnsi="Tw Cen MT" w:cs="Twentieth Century"/>
          <w:b/>
          <w:bCs/>
          <w:sz w:val="24"/>
          <w:szCs w:val="24"/>
        </w:rPr>
        <w:t>Analisis Bivariat</w:t>
      </w:r>
    </w:p>
    <w:p w14:paraId="33B24F45" w14:textId="77D9F741" w:rsidR="0053164C" w:rsidRDefault="0053164C" w:rsidP="0053164C">
      <w:pPr>
        <w:spacing w:after="0" w:line="240" w:lineRule="auto"/>
        <w:jc w:val="both"/>
        <w:rPr>
          <w:rFonts w:ascii="Tw Cen MT" w:eastAsia="Twentieth Century" w:hAnsi="Tw Cen MT" w:cs="Twentieth Century"/>
          <w:sz w:val="24"/>
          <w:szCs w:val="24"/>
        </w:rPr>
      </w:pPr>
      <w:r w:rsidRPr="0053164C">
        <w:rPr>
          <w:rFonts w:ascii="Tw Cen MT" w:eastAsia="Twentieth Century" w:hAnsi="Tw Cen MT" w:cs="Twentieth Century"/>
          <w:sz w:val="24"/>
          <w:szCs w:val="24"/>
        </w:rPr>
        <w:t>Analisis Bivariat penelitian ini menggunakan uji Chi Square untuk melihat hubungan antara praktik pemberian MP-ASI seperti usia awal pemberian, tekstur, frekuensi, porsi, variasi, hygiene sanitasi, responsive feeding dan asupan terhadap status gizi (TB/U).</w:t>
      </w:r>
    </w:p>
    <w:p w14:paraId="42721B32" w14:textId="77777777" w:rsidR="0053164C" w:rsidRDefault="0053164C" w:rsidP="0053164C">
      <w:pPr>
        <w:spacing w:after="0" w:line="240" w:lineRule="auto"/>
        <w:jc w:val="both"/>
        <w:rPr>
          <w:rFonts w:ascii="Tw Cen MT" w:eastAsia="Twentieth Century" w:hAnsi="Tw Cen MT" w:cs="Twentieth Century"/>
          <w:sz w:val="24"/>
          <w:szCs w:val="24"/>
        </w:rPr>
      </w:pPr>
    </w:p>
    <w:p w14:paraId="67EE956A" w14:textId="77777777" w:rsidR="0053164C" w:rsidRDefault="0053164C" w:rsidP="0053164C">
      <w:pPr>
        <w:spacing w:after="0" w:line="240" w:lineRule="auto"/>
        <w:jc w:val="both"/>
        <w:rPr>
          <w:rFonts w:ascii="Tw Cen MT" w:eastAsia="Twentieth Century" w:hAnsi="Tw Cen MT" w:cs="Twentieth Century"/>
          <w:sz w:val="24"/>
          <w:szCs w:val="24"/>
        </w:rPr>
        <w:sectPr w:rsidR="0053164C" w:rsidSect="003E24C9">
          <w:type w:val="continuous"/>
          <w:pgSz w:w="12240" w:h="15840"/>
          <w:pgMar w:top="1440" w:right="1440" w:bottom="1440" w:left="1440" w:header="720" w:footer="720" w:gutter="0"/>
          <w:cols w:num="2" w:space="720" w:equalWidth="0">
            <w:col w:w="4320" w:space="720"/>
            <w:col w:w="4320" w:space="0"/>
          </w:cols>
        </w:sectPr>
      </w:pPr>
    </w:p>
    <w:p w14:paraId="592C6C69" w14:textId="77777777" w:rsidR="0053164C" w:rsidRPr="0053164C" w:rsidRDefault="0053164C" w:rsidP="0053164C">
      <w:pPr>
        <w:spacing w:after="0" w:line="240" w:lineRule="auto"/>
        <w:jc w:val="center"/>
        <w:rPr>
          <w:rFonts w:ascii="Tw Cen MT" w:hAnsi="Tw Cen MT" w:cs="Times New Roman"/>
          <w:b/>
          <w:bCs/>
          <w:i/>
          <w:iCs/>
          <w:sz w:val="22"/>
          <w:szCs w:val="22"/>
        </w:rPr>
      </w:pPr>
      <w:bookmarkStart w:id="1" w:name="_Toc83110345"/>
      <w:r w:rsidRPr="0053164C">
        <w:rPr>
          <w:rFonts w:ascii="Tw Cen MT" w:hAnsi="Tw Cen MT" w:cs="Times New Roman"/>
          <w:color w:val="000000" w:themeColor="text1"/>
          <w:sz w:val="22"/>
          <w:szCs w:val="22"/>
        </w:rPr>
        <w:lastRenderedPageBreak/>
        <w:t>Tabel</w:t>
      </w:r>
      <w:r w:rsidRPr="0053164C">
        <w:rPr>
          <w:rFonts w:ascii="Tw Cen MT" w:hAnsi="Tw Cen MT" w:cs="Times New Roman"/>
          <w:iCs/>
          <w:color w:val="000000" w:themeColor="text1"/>
          <w:sz w:val="22"/>
          <w:szCs w:val="22"/>
          <w:lang w:val="id-ID"/>
        </w:rPr>
        <w:t xml:space="preserve"> 3</w:t>
      </w:r>
      <w:r w:rsidRPr="0053164C">
        <w:rPr>
          <w:rFonts w:ascii="Tw Cen MT" w:hAnsi="Tw Cen MT" w:cs="Times New Roman"/>
          <w:color w:val="000000" w:themeColor="text1"/>
          <w:sz w:val="22"/>
          <w:szCs w:val="22"/>
        </w:rPr>
        <w:t>. Hasil Analisis Bivariat Usia Awal Pemberian MP-ASI dan Status Gizi (PB/U)</w:t>
      </w:r>
      <w:bookmarkEnd w:id="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1911"/>
        <w:gridCol w:w="1911"/>
        <w:gridCol w:w="1830"/>
        <w:gridCol w:w="1631"/>
      </w:tblGrid>
      <w:tr w:rsidR="0053164C" w:rsidRPr="0053164C" w14:paraId="1D0EFC8C" w14:textId="77777777" w:rsidTr="00190977">
        <w:tc>
          <w:tcPr>
            <w:tcW w:w="2102" w:type="dxa"/>
            <w:vMerge w:val="restart"/>
            <w:tcBorders>
              <w:top w:val="single" w:sz="4" w:space="0" w:color="auto"/>
            </w:tcBorders>
            <w:vAlign w:val="center"/>
          </w:tcPr>
          <w:p w14:paraId="1847CBEB" w14:textId="77777777" w:rsidR="0053164C" w:rsidRPr="0053164C" w:rsidRDefault="0053164C" w:rsidP="00190977">
            <w:pPr>
              <w:autoSpaceDE w:val="0"/>
              <w:autoSpaceDN w:val="0"/>
              <w:adjustRightInd w:val="0"/>
              <w:jc w:val="center"/>
              <w:rPr>
                <w:rFonts w:ascii="Tw Cen MT" w:hAnsi="Tw Cen MT"/>
                <w:b/>
              </w:rPr>
            </w:pPr>
            <w:r w:rsidRPr="0053164C">
              <w:rPr>
                <w:rFonts w:ascii="Tw Cen MT" w:hAnsi="Tw Cen MT"/>
                <w:b/>
              </w:rPr>
              <w:t>Variabel</w:t>
            </w:r>
          </w:p>
        </w:tc>
        <w:tc>
          <w:tcPr>
            <w:tcW w:w="3914" w:type="dxa"/>
            <w:gridSpan w:val="2"/>
            <w:tcBorders>
              <w:top w:val="single" w:sz="4" w:space="0" w:color="auto"/>
              <w:bottom w:val="nil"/>
            </w:tcBorders>
            <w:vAlign w:val="center"/>
          </w:tcPr>
          <w:p w14:paraId="1566ACB2" w14:textId="77777777" w:rsidR="0053164C" w:rsidRPr="0053164C" w:rsidRDefault="0053164C" w:rsidP="00190977">
            <w:pPr>
              <w:autoSpaceDE w:val="0"/>
              <w:autoSpaceDN w:val="0"/>
              <w:adjustRightInd w:val="0"/>
              <w:jc w:val="center"/>
              <w:rPr>
                <w:rFonts w:ascii="Tw Cen MT" w:hAnsi="Tw Cen MT"/>
                <w:b/>
              </w:rPr>
            </w:pPr>
            <w:r w:rsidRPr="0053164C">
              <w:rPr>
                <w:rFonts w:ascii="Tw Cen MT" w:hAnsi="Tw Cen MT"/>
                <w:b/>
              </w:rPr>
              <w:t>Status Gizi (TB/U)</w:t>
            </w:r>
          </w:p>
        </w:tc>
        <w:tc>
          <w:tcPr>
            <w:tcW w:w="1886" w:type="dxa"/>
            <w:vMerge w:val="restart"/>
            <w:tcBorders>
              <w:top w:val="single" w:sz="4" w:space="0" w:color="auto"/>
            </w:tcBorders>
            <w:vAlign w:val="center"/>
          </w:tcPr>
          <w:p w14:paraId="1EFBF698" w14:textId="77777777" w:rsidR="0053164C" w:rsidRPr="0053164C" w:rsidRDefault="0053164C" w:rsidP="00190977">
            <w:pPr>
              <w:autoSpaceDE w:val="0"/>
              <w:autoSpaceDN w:val="0"/>
              <w:adjustRightInd w:val="0"/>
              <w:jc w:val="center"/>
              <w:rPr>
                <w:rFonts w:ascii="Tw Cen MT" w:hAnsi="Tw Cen MT"/>
                <w:b/>
              </w:rPr>
            </w:pPr>
            <w:r w:rsidRPr="0053164C">
              <w:rPr>
                <w:rFonts w:ascii="Tw Cen MT" w:hAnsi="Tw Cen MT"/>
                <w:b/>
              </w:rPr>
              <w:t>Total</w:t>
            </w:r>
          </w:p>
        </w:tc>
        <w:tc>
          <w:tcPr>
            <w:tcW w:w="1674" w:type="dxa"/>
            <w:vMerge w:val="restart"/>
            <w:tcBorders>
              <w:top w:val="single" w:sz="4" w:space="0" w:color="auto"/>
            </w:tcBorders>
            <w:vAlign w:val="center"/>
          </w:tcPr>
          <w:p w14:paraId="432FD519" w14:textId="77777777" w:rsidR="0053164C" w:rsidRPr="0053164C" w:rsidRDefault="0053164C" w:rsidP="00190977">
            <w:pPr>
              <w:autoSpaceDE w:val="0"/>
              <w:autoSpaceDN w:val="0"/>
              <w:adjustRightInd w:val="0"/>
              <w:jc w:val="center"/>
              <w:rPr>
                <w:rFonts w:ascii="Tw Cen MT" w:hAnsi="Tw Cen MT"/>
                <w:b/>
                <w:i/>
                <w:iCs/>
              </w:rPr>
            </w:pPr>
            <w:r w:rsidRPr="0053164C">
              <w:rPr>
                <w:rFonts w:ascii="Tw Cen MT" w:hAnsi="Tw Cen MT"/>
                <w:b/>
                <w:i/>
                <w:iCs/>
              </w:rPr>
              <w:t>p value</w:t>
            </w:r>
          </w:p>
        </w:tc>
      </w:tr>
      <w:tr w:rsidR="0053164C" w:rsidRPr="0053164C" w14:paraId="68CB75B2" w14:textId="77777777" w:rsidTr="00190977">
        <w:trPr>
          <w:trHeight w:val="194"/>
        </w:trPr>
        <w:tc>
          <w:tcPr>
            <w:tcW w:w="2102" w:type="dxa"/>
            <w:vMerge/>
            <w:tcBorders>
              <w:bottom w:val="single" w:sz="4" w:space="0" w:color="auto"/>
            </w:tcBorders>
            <w:vAlign w:val="center"/>
          </w:tcPr>
          <w:p w14:paraId="62FB3FE1" w14:textId="77777777" w:rsidR="0053164C" w:rsidRPr="0053164C" w:rsidRDefault="0053164C" w:rsidP="00190977">
            <w:pPr>
              <w:autoSpaceDE w:val="0"/>
              <w:autoSpaceDN w:val="0"/>
              <w:adjustRightInd w:val="0"/>
              <w:jc w:val="center"/>
              <w:rPr>
                <w:rFonts w:ascii="Tw Cen MT" w:hAnsi="Tw Cen MT"/>
                <w:b/>
              </w:rPr>
            </w:pPr>
          </w:p>
        </w:tc>
        <w:tc>
          <w:tcPr>
            <w:tcW w:w="1957" w:type="dxa"/>
            <w:tcBorders>
              <w:top w:val="nil"/>
              <w:bottom w:val="single" w:sz="4" w:space="0" w:color="auto"/>
            </w:tcBorders>
            <w:vAlign w:val="center"/>
          </w:tcPr>
          <w:p w14:paraId="5BCE7D58" w14:textId="77777777" w:rsidR="0053164C" w:rsidRPr="0053164C" w:rsidRDefault="0053164C" w:rsidP="00190977">
            <w:pPr>
              <w:autoSpaceDE w:val="0"/>
              <w:autoSpaceDN w:val="0"/>
              <w:adjustRightInd w:val="0"/>
              <w:jc w:val="center"/>
              <w:rPr>
                <w:rFonts w:ascii="Tw Cen MT" w:hAnsi="Tw Cen MT"/>
                <w:b/>
              </w:rPr>
            </w:pPr>
            <w:r w:rsidRPr="0053164C">
              <w:rPr>
                <w:rFonts w:ascii="Tw Cen MT" w:hAnsi="Tw Cen MT"/>
                <w:b/>
              </w:rPr>
              <w:t>Stunting</w:t>
            </w:r>
          </w:p>
        </w:tc>
        <w:tc>
          <w:tcPr>
            <w:tcW w:w="1957" w:type="dxa"/>
            <w:tcBorders>
              <w:top w:val="nil"/>
              <w:bottom w:val="single" w:sz="4" w:space="0" w:color="auto"/>
            </w:tcBorders>
            <w:vAlign w:val="center"/>
          </w:tcPr>
          <w:p w14:paraId="1BAB744F" w14:textId="77777777" w:rsidR="0053164C" w:rsidRPr="0053164C" w:rsidRDefault="0053164C" w:rsidP="00190977">
            <w:pPr>
              <w:autoSpaceDE w:val="0"/>
              <w:autoSpaceDN w:val="0"/>
              <w:adjustRightInd w:val="0"/>
              <w:jc w:val="center"/>
              <w:rPr>
                <w:rFonts w:ascii="Tw Cen MT" w:hAnsi="Tw Cen MT"/>
                <w:b/>
              </w:rPr>
            </w:pPr>
            <w:r w:rsidRPr="0053164C">
              <w:rPr>
                <w:rFonts w:ascii="Tw Cen MT" w:hAnsi="Tw Cen MT"/>
                <w:b/>
              </w:rPr>
              <w:t>Tidak Stunting</w:t>
            </w:r>
          </w:p>
        </w:tc>
        <w:tc>
          <w:tcPr>
            <w:tcW w:w="1886" w:type="dxa"/>
            <w:vMerge/>
            <w:tcBorders>
              <w:bottom w:val="single" w:sz="4" w:space="0" w:color="auto"/>
            </w:tcBorders>
            <w:vAlign w:val="center"/>
          </w:tcPr>
          <w:p w14:paraId="1B99BE49" w14:textId="77777777" w:rsidR="0053164C" w:rsidRPr="0053164C" w:rsidRDefault="0053164C" w:rsidP="00190977">
            <w:pPr>
              <w:autoSpaceDE w:val="0"/>
              <w:autoSpaceDN w:val="0"/>
              <w:adjustRightInd w:val="0"/>
              <w:jc w:val="center"/>
              <w:rPr>
                <w:rFonts w:ascii="Tw Cen MT" w:hAnsi="Tw Cen MT"/>
                <w:b/>
              </w:rPr>
            </w:pPr>
          </w:p>
        </w:tc>
        <w:tc>
          <w:tcPr>
            <w:tcW w:w="1674" w:type="dxa"/>
            <w:vMerge/>
            <w:tcBorders>
              <w:bottom w:val="single" w:sz="4" w:space="0" w:color="auto"/>
            </w:tcBorders>
            <w:vAlign w:val="center"/>
          </w:tcPr>
          <w:p w14:paraId="7425CA36" w14:textId="77777777" w:rsidR="0053164C" w:rsidRPr="0053164C" w:rsidRDefault="0053164C" w:rsidP="00190977">
            <w:pPr>
              <w:autoSpaceDE w:val="0"/>
              <w:autoSpaceDN w:val="0"/>
              <w:adjustRightInd w:val="0"/>
              <w:jc w:val="center"/>
              <w:rPr>
                <w:rFonts w:ascii="Tw Cen MT" w:hAnsi="Tw Cen MT"/>
                <w:b/>
              </w:rPr>
            </w:pPr>
          </w:p>
        </w:tc>
      </w:tr>
      <w:tr w:rsidR="0053164C" w:rsidRPr="0053164C" w14:paraId="5FF59490" w14:textId="77777777" w:rsidTr="00190977">
        <w:tc>
          <w:tcPr>
            <w:tcW w:w="2102" w:type="dxa"/>
            <w:vMerge w:val="restart"/>
            <w:tcBorders>
              <w:top w:val="single" w:sz="4" w:space="0" w:color="auto"/>
              <w:bottom w:val="nil"/>
            </w:tcBorders>
            <w:vAlign w:val="center"/>
          </w:tcPr>
          <w:p w14:paraId="606F2612"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b/>
              </w:rPr>
              <w:t>Awal Pemberian MPASI</w:t>
            </w:r>
          </w:p>
        </w:tc>
        <w:tc>
          <w:tcPr>
            <w:tcW w:w="3914" w:type="dxa"/>
            <w:gridSpan w:val="2"/>
            <w:tcBorders>
              <w:top w:val="single" w:sz="4" w:space="0" w:color="auto"/>
              <w:bottom w:val="nil"/>
            </w:tcBorders>
            <w:vAlign w:val="center"/>
          </w:tcPr>
          <w:p w14:paraId="23147CC6" w14:textId="77777777" w:rsidR="0053164C" w:rsidRPr="0053164C" w:rsidRDefault="0053164C" w:rsidP="00190977">
            <w:pPr>
              <w:autoSpaceDE w:val="0"/>
              <w:autoSpaceDN w:val="0"/>
              <w:adjustRightInd w:val="0"/>
              <w:rPr>
                <w:rFonts w:ascii="Tw Cen MT" w:hAnsi="Tw Cen MT"/>
                <w:b/>
              </w:rPr>
            </w:pPr>
          </w:p>
        </w:tc>
        <w:tc>
          <w:tcPr>
            <w:tcW w:w="1886" w:type="dxa"/>
            <w:vMerge w:val="restart"/>
            <w:tcBorders>
              <w:top w:val="single" w:sz="4" w:space="0" w:color="auto"/>
              <w:bottom w:val="nil"/>
            </w:tcBorders>
            <w:vAlign w:val="center"/>
          </w:tcPr>
          <w:p w14:paraId="6403718C" w14:textId="77777777" w:rsidR="0053164C" w:rsidRPr="0053164C" w:rsidRDefault="0053164C" w:rsidP="00190977">
            <w:pPr>
              <w:autoSpaceDE w:val="0"/>
              <w:autoSpaceDN w:val="0"/>
              <w:adjustRightInd w:val="0"/>
              <w:rPr>
                <w:rFonts w:ascii="Tw Cen MT" w:hAnsi="Tw Cen MT"/>
                <w:b/>
              </w:rPr>
            </w:pPr>
          </w:p>
        </w:tc>
        <w:tc>
          <w:tcPr>
            <w:tcW w:w="1674" w:type="dxa"/>
            <w:vMerge w:val="restart"/>
            <w:tcBorders>
              <w:top w:val="single" w:sz="4" w:space="0" w:color="auto"/>
              <w:bottom w:val="nil"/>
            </w:tcBorders>
            <w:vAlign w:val="center"/>
          </w:tcPr>
          <w:p w14:paraId="7327FBD8" w14:textId="77777777" w:rsidR="0053164C" w:rsidRPr="0053164C" w:rsidRDefault="0053164C" w:rsidP="00190977">
            <w:pPr>
              <w:autoSpaceDE w:val="0"/>
              <w:autoSpaceDN w:val="0"/>
              <w:adjustRightInd w:val="0"/>
              <w:rPr>
                <w:rFonts w:ascii="Tw Cen MT" w:hAnsi="Tw Cen MT"/>
                <w:b/>
              </w:rPr>
            </w:pPr>
          </w:p>
        </w:tc>
      </w:tr>
      <w:tr w:rsidR="0053164C" w:rsidRPr="0053164C" w14:paraId="42BF4F4E" w14:textId="77777777" w:rsidTr="00190977">
        <w:tc>
          <w:tcPr>
            <w:tcW w:w="2102" w:type="dxa"/>
            <w:vMerge/>
            <w:tcBorders>
              <w:top w:val="nil"/>
              <w:bottom w:val="nil"/>
            </w:tcBorders>
            <w:vAlign w:val="center"/>
          </w:tcPr>
          <w:p w14:paraId="6B514555" w14:textId="77777777" w:rsidR="0053164C" w:rsidRPr="0053164C" w:rsidRDefault="0053164C" w:rsidP="00190977">
            <w:pPr>
              <w:autoSpaceDE w:val="0"/>
              <w:autoSpaceDN w:val="0"/>
              <w:adjustRightInd w:val="0"/>
              <w:jc w:val="center"/>
              <w:rPr>
                <w:rFonts w:ascii="Tw Cen MT" w:hAnsi="Tw Cen MT"/>
                <w:b/>
              </w:rPr>
            </w:pPr>
          </w:p>
        </w:tc>
        <w:tc>
          <w:tcPr>
            <w:tcW w:w="1957" w:type="dxa"/>
            <w:tcBorders>
              <w:top w:val="nil"/>
              <w:bottom w:val="nil"/>
            </w:tcBorders>
            <w:vAlign w:val="center"/>
          </w:tcPr>
          <w:p w14:paraId="27DDB2BC" w14:textId="77777777" w:rsidR="0053164C" w:rsidRPr="0053164C" w:rsidRDefault="0053164C" w:rsidP="00190977">
            <w:pPr>
              <w:autoSpaceDE w:val="0"/>
              <w:autoSpaceDN w:val="0"/>
              <w:adjustRightInd w:val="0"/>
              <w:rPr>
                <w:rFonts w:ascii="Tw Cen MT" w:hAnsi="Tw Cen MT"/>
                <w:b/>
              </w:rPr>
            </w:pPr>
          </w:p>
        </w:tc>
        <w:tc>
          <w:tcPr>
            <w:tcW w:w="1957" w:type="dxa"/>
            <w:tcBorders>
              <w:top w:val="nil"/>
              <w:bottom w:val="nil"/>
            </w:tcBorders>
            <w:vAlign w:val="center"/>
          </w:tcPr>
          <w:p w14:paraId="7F1E9CA7" w14:textId="77777777" w:rsidR="0053164C" w:rsidRPr="0053164C" w:rsidRDefault="0053164C" w:rsidP="00190977">
            <w:pPr>
              <w:autoSpaceDE w:val="0"/>
              <w:autoSpaceDN w:val="0"/>
              <w:adjustRightInd w:val="0"/>
              <w:rPr>
                <w:rFonts w:ascii="Tw Cen MT" w:hAnsi="Tw Cen MT"/>
                <w:b/>
              </w:rPr>
            </w:pPr>
          </w:p>
        </w:tc>
        <w:tc>
          <w:tcPr>
            <w:tcW w:w="1886" w:type="dxa"/>
            <w:vMerge/>
            <w:tcBorders>
              <w:top w:val="nil"/>
              <w:bottom w:val="nil"/>
            </w:tcBorders>
            <w:vAlign w:val="center"/>
          </w:tcPr>
          <w:p w14:paraId="546CA203" w14:textId="77777777" w:rsidR="0053164C" w:rsidRPr="0053164C" w:rsidRDefault="0053164C" w:rsidP="00190977">
            <w:pPr>
              <w:autoSpaceDE w:val="0"/>
              <w:autoSpaceDN w:val="0"/>
              <w:adjustRightInd w:val="0"/>
              <w:jc w:val="center"/>
              <w:rPr>
                <w:rFonts w:ascii="Tw Cen MT" w:hAnsi="Tw Cen MT"/>
                <w:b/>
              </w:rPr>
            </w:pPr>
          </w:p>
        </w:tc>
        <w:tc>
          <w:tcPr>
            <w:tcW w:w="1674" w:type="dxa"/>
            <w:vMerge/>
            <w:tcBorders>
              <w:top w:val="nil"/>
              <w:bottom w:val="nil"/>
            </w:tcBorders>
          </w:tcPr>
          <w:p w14:paraId="669023EE" w14:textId="77777777" w:rsidR="0053164C" w:rsidRPr="0053164C" w:rsidRDefault="0053164C" w:rsidP="00190977">
            <w:pPr>
              <w:autoSpaceDE w:val="0"/>
              <w:autoSpaceDN w:val="0"/>
              <w:adjustRightInd w:val="0"/>
              <w:jc w:val="center"/>
              <w:rPr>
                <w:rFonts w:ascii="Tw Cen MT" w:hAnsi="Tw Cen MT"/>
                <w:b/>
              </w:rPr>
            </w:pPr>
          </w:p>
        </w:tc>
      </w:tr>
      <w:tr w:rsidR="0053164C" w:rsidRPr="0053164C" w14:paraId="1A598BC0" w14:textId="77777777" w:rsidTr="00190977">
        <w:tc>
          <w:tcPr>
            <w:tcW w:w="2102" w:type="dxa"/>
            <w:tcBorders>
              <w:top w:val="nil"/>
              <w:bottom w:val="nil"/>
            </w:tcBorders>
            <w:vAlign w:val="center"/>
          </w:tcPr>
          <w:p w14:paraId="4052481D" w14:textId="77777777" w:rsidR="0053164C" w:rsidRPr="0053164C" w:rsidRDefault="0053164C" w:rsidP="0053164C">
            <w:pPr>
              <w:pStyle w:val="ListParagraph"/>
              <w:numPr>
                <w:ilvl w:val="0"/>
                <w:numId w:val="5"/>
              </w:numPr>
              <w:autoSpaceDE w:val="0"/>
              <w:autoSpaceDN w:val="0"/>
              <w:adjustRightInd w:val="0"/>
              <w:spacing w:line="240" w:lineRule="auto"/>
              <w:ind w:left="567" w:hanging="425"/>
              <w:rPr>
                <w:rFonts w:ascii="Tw Cen MT" w:hAnsi="Tw Cen MT"/>
                <w:b/>
              </w:rPr>
            </w:pPr>
            <w:r w:rsidRPr="0053164C">
              <w:rPr>
                <w:rFonts w:ascii="Tw Cen MT" w:hAnsi="Tw Cen MT"/>
                <w:b/>
              </w:rPr>
              <w:t>≥6 bulan</w:t>
            </w:r>
          </w:p>
        </w:tc>
        <w:tc>
          <w:tcPr>
            <w:tcW w:w="1957" w:type="dxa"/>
            <w:tcBorders>
              <w:top w:val="nil"/>
              <w:bottom w:val="nil"/>
            </w:tcBorders>
            <w:vAlign w:val="center"/>
          </w:tcPr>
          <w:p w14:paraId="2FA56624"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w:t>
            </w:r>
          </w:p>
        </w:tc>
        <w:tc>
          <w:tcPr>
            <w:tcW w:w="1957" w:type="dxa"/>
            <w:tcBorders>
              <w:top w:val="nil"/>
              <w:bottom w:val="nil"/>
            </w:tcBorders>
            <w:vAlign w:val="center"/>
          </w:tcPr>
          <w:p w14:paraId="774C323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25</w:t>
            </w:r>
          </w:p>
        </w:tc>
        <w:tc>
          <w:tcPr>
            <w:tcW w:w="1886" w:type="dxa"/>
            <w:tcBorders>
              <w:top w:val="nil"/>
              <w:bottom w:val="nil"/>
            </w:tcBorders>
            <w:vAlign w:val="center"/>
          </w:tcPr>
          <w:p w14:paraId="41305315"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29</w:t>
            </w:r>
          </w:p>
        </w:tc>
        <w:tc>
          <w:tcPr>
            <w:tcW w:w="1674" w:type="dxa"/>
            <w:vMerge w:val="restart"/>
            <w:tcBorders>
              <w:top w:val="nil"/>
            </w:tcBorders>
          </w:tcPr>
          <w:p w14:paraId="75F02F75"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.585</w:t>
            </w:r>
          </w:p>
        </w:tc>
      </w:tr>
      <w:tr w:rsidR="0053164C" w:rsidRPr="0053164C" w14:paraId="5D409250" w14:textId="77777777" w:rsidTr="00190977">
        <w:tc>
          <w:tcPr>
            <w:tcW w:w="2102" w:type="dxa"/>
            <w:tcBorders>
              <w:top w:val="nil"/>
              <w:bottom w:val="single" w:sz="4" w:space="0" w:color="auto"/>
            </w:tcBorders>
            <w:vAlign w:val="center"/>
          </w:tcPr>
          <w:p w14:paraId="7852FC1E" w14:textId="77777777" w:rsidR="0053164C" w:rsidRPr="0053164C" w:rsidRDefault="0053164C" w:rsidP="0053164C">
            <w:pPr>
              <w:pStyle w:val="ListParagraph"/>
              <w:numPr>
                <w:ilvl w:val="0"/>
                <w:numId w:val="5"/>
              </w:numPr>
              <w:autoSpaceDE w:val="0"/>
              <w:autoSpaceDN w:val="0"/>
              <w:adjustRightInd w:val="0"/>
              <w:spacing w:line="240" w:lineRule="auto"/>
              <w:ind w:left="567" w:hanging="425"/>
              <w:rPr>
                <w:rFonts w:ascii="Tw Cen MT" w:hAnsi="Tw Cen MT"/>
                <w:b/>
              </w:rPr>
            </w:pPr>
            <w:r w:rsidRPr="0053164C">
              <w:rPr>
                <w:rFonts w:ascii="Tw Cen MT" w:hAnsi="Tw Cen MT"/>
                <w:b/>
              </w:rPr>
              <w:t>&lt;6 bulan</w:t>
            </w:r>
          </w:p>
        </w:tc>
        <w:tc>
          <w:tcPr>
            <w:tcW w:w="1957" w:type="dxa"/>
            <w:tcBorders>
              <w:top w:val="nil"/>
              <w:bottom w:val="single" w:sz="4" w:space="0" w:color="auto"/>
            </w:tcBorders>
            <w:vAlign w:val="center"/>
          </w:tcPr>
          <w:p w14:paraId="229F1405"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13</w:t>
            </w:r>
          </w:p>
        </w:tc>
        <w:tc>
          <w:tcPr>
            <w:tcW w:w="1957" w:type="dxa"/>
            <w:tcBorders>
              <w:top w:val="nil"/>
              <w:bottom w:val="single" w:sz="4" w:space="0" w:color="auto"/>
            </w:tcBorders>
            <w:vAlign w:val="center"/>
          </w:tcPr>
          <w:p w14:paraId="4BCFC6E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58</w:t>
            </w:r>
          </w:p>
        </w:tc>
        <w:tc>
          <w:tcPr>
            <w:tcW w:w="1886" w:type="dxa"/>
            <w:tcBorders>
              <w:top w:val="nil"/>
              <w:bottom w:val="single" w:sz="4" w:space="0" w:color="auto"/>
            </w:tcBorders>
            <w:vAlign w:val="center"/>
          </w:tcPr>
          <w:p w14:paraId="7D0D6F04"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71</w:t>
            </w:r>
          </w:p>
        </w:tc>
        <w:tc>
          <w:tcPr>
            <w:tcW w:w="1674" w:type="dxa"/>
            <w:vMerge/>
            <w:tcBorders>
              <w:bottom w:val="single" w:sz="4" w:space="0" w:color="auto"/>
            </w:tcBorders>
          </w:tcPr>
          <w:p w14:paraId="0768DF06" w14:textId="77777777" w:rsidR="0053164C" w:rsidRPr="0053164C" w:rsidRDefault="0053164C" w:rsidP="00190977">
            <w:pPr>
              <w:autoSpaceDE w:val="0"/>
              <w:autoSpaceDN w:val="0"/>
              <w:adjustRightInd w:val="0"/>
              <w:jc w:val="center"/>
              <w:rPr>
                <w:rFonts w:ascii="Tw Cen MT" w:hAnsi="Tw Cen MT"/>
              </w:rPr>
            </w:pPr>
          </w:p>
        </w:tc>
      </w:tr>
      <w:tr w:rsidR="0053164C" w:rsidRPr="0053164C" w14:paraId="0D10131F" w14:textId="77777777" w:rsidTr="00190977">
        <w:tc>
          <w:tcPr>
            <w:tcW w:w="2102" w:type="dxa"/>
            <w:tcBorders>
              <w:top w:val="single" w:sz="4" w:space="0" w:color="auto"/>
              <w:bottom w:val="nil"/>
            </w:tcBorders>
            <w:vAlign w:val="center"/>
          </w:tcPr>
          <w:p w14:paraId="1139FC8E" w14:textId="77777777" w:rsidR="0053164C" w:rsidRPr="0053164C" w:rsidRDefault="0053164C" w:rsidP="00190977">
            <w:pPr>
              <w:autoSpaceDE w:val="0"/>
              <w:autoSpaceDN w:val="0"/>
              <w:adjustRightInd w:val="0"/>
              <w:jc w:val="center"/>
              <w:rPr>
                <w:rFonts w:ascii="Tw Cen MT" w:hAnsi="Tw Cen MT"/>
                <w:b/>
              </w:rPr>
            </w:pPr>
            <w:r w:rsidRPr="0053164C">
              <w:rPr>
                <w:rFonts w:ascii="Tw Cen MT" w:hAnsi="Tw Cen MT"/>
                <w:b/>
              </w:rPr>
              <w:t>Tekstur MP-ASI</w:t>
            </w:r>
          </w:p>
        </w:tc>
        <w:tc>
          <w:tcPr>
            <w:tcW w:w="1957" w:type="dxa"/>
            <w:tcBorders>
              <w:top w:val="single" w:sz="4" w:space="0" w:color="auto"/>
              <w:bottom w:val="nil"/>
            </w:tcBorders>
            <w:vAlign w:val="center"/>
          </w:tcPr>
          <w:p w14:paraId="789A7FDE" w14:textId="77777777" w:rsidR="0053164C" w:rsidRPr="0053164C" w:rsidRDefault="0053164C" w:rsidP="00190977">
            <w:pPr>
              <w:autoSpaceDE w:val="0"/>
              <w:autoSpaceDN w:val="0"/>
              <w:adjustRightInd w:val="0"/>
              <w:jc w:val="center"/>
              <w:rPr>
                <w:rFonts w:ascii="Tw Cen MT" w:hAnsi="Tw Cen MT"/>
              </w:rPr>
            </w:pPr>
          </w:p>
        </w:tc>
        <w:tc>
          <w:tcPr>
            <w:tcW w:w="1957" w:type="dxa"/>
            <w:tcBorders>
              <w:top w:val="single" w:sz="4" w:space="0" w:color="auto"/>
              <w:bottom w:val="nil"/>
            </w:tcBorders>
            <w:vAlign w:val="center"/>
          </w:tcPr>
          <w:p w14:paraId="5A284EE6" w14:textId="77777777" w:rsidR="0053164C" w:rsidRPr="0053164C" w:rsidRDefault="0053164C" w:rsidP="00190977">
            <w:pPr>
              <w:autoSpaceDE w:val="0"/>
              <w:autoSpaceDN w:val="0"/>
              <w:adjustRightInd w:val="0"/>
              <w:jc w:val="center"/>
              <w:rPr>
                <w:rFonts w:ascii="Tw Cen MT" w:hAnsi="Tw Cen MT"/>
              </w:rPr>
            </w:pPr>
          </w:p>
        </w:tc>
        <w:tc>
          <w:tcPr>
            <w:tcW w:w="1886" w:type="dxa"/>
            <w:tcBorders>
              <w:top w:val="single" w:sz="4" w:space="0" w:color="auto"/>
              <w:bottom w:val="nil"/>
            </w:tcBorders>
            <w:vAlign w:val="center"/>
          </w:tcPr>
          <w:p w14:paraId="5767B315" w14:textId="77777777" w:rsidR="0053164C" w:rsidRPr="0053164C" w:rsidRDefault="0053164C" w:rsidP="00190977">
            <w:pPr>
              <w:autoSpaceDE w:val="0"/>
              <w:autoSpaceDN w:val="0"/>
              <w:adjustRightInd w:val="0"/>
              <w:jc w:val="center"/>
              <w:rPr>
                <w:rFonts w:ascii="Tw Cen MT" w:hAnsi="Tw Cen MT"/>
              </w:rPr>
            </w:pPr>
          </w:p>
        </w:tc>
        <w:tc>
          <w:tcPr>
            <w:tcW w:w="1674" w:type="dxa"/>
            <w:tcBorders>
              <w:top w:val="single" w:sz="4" w:space="0" w:color="auto"/>
              <w:bottom w:val="nil"/>
            </w:tcBorders>
          </w:tcPr>
          <w:p w14:paraId="404E0B30" w14:textId="77777777" w:rsidR="0053164C" w:rsidRPr="0053164C" w:rsidRDefault="0053164C" w:rsidP="00190977">
            <w:pPr>
              <w:autoSpaceDE w:val="0"/>
              <w:autoSpaceDN w:val="0"/>
              <w:adjustRightInd w:val="0"/>
              <w:jc w:val="center"/>
              <w:rPr>
                <w:rFonts w:ascii="Tw Cen MT" w:hAnsi="Tw Cen MT"/>
              </w:rPr>
            </w:pPr>
          </w:p>
        </w:tc>
      </w:tr>
      <w:tr w:rsidR="0053164C" w:rsidRPr="0053164C" w14:paraId="4B7EE034" w14:textId="77777777" w:rsidTr="00190977">
        <w:tc>
          <w:tcPr>
            <w:tcW w:w="2102" w:type="dxa"/>
            <w:tcBorders>
              <w:top w:val="nil"/>
              <w:bottom w:val="single" w:sz="4" w:space="0" w:color="auto"/>
            </w:tcBorders>
            <w:vAlign w:val="center"/>
          </w:tcPr>
          <w:p w14:paraId="3CBA4834" w14:textId="77777777" w:rsidR="0053164C" w:rsidRPr="0053164C" w:rsidRDefault="0053164C" w:rsidP="0053164C">
            <w:pPr>
              <w:pStyle w:val="ListParagraph"/>
              <w:numPr>
                <w:ilvl w:val="0"/>
                <w:numId w:val="5"/>
              </w:numPr>
              <w:autoSpaceDE w:val="0"/>
              <w:autoSpaceDN w:val="0"/>
              <w:adjustRightInd w:val="0"/>
              <w:spacing w:line="240" w:lineRule="auto"/>
              <w:ind w:left="426" w:hanging="284"/>
              <w:rPr>
                <w:rFonts w:ascii="Tw Cen MT" w:hAnsi="Tw Cen MT"/>
                <w:b/>
              </w:rPr>
            </w:pPr>
            <w:r w:rsidRPr="0053164C">
              <w:rPr>
                <w:rFonts w:ascii="Tw Cen MT" w:hAnsi="Tw Cen MT"/>
                <w:b/>
              </w:rPr>
              <w:t>Sesuai</w:t>
            </w:r>
          </w:p>
          <w:p w14:paraId="5170D8B8" w14:textId="77777777" w:rsidR="0053164C" w:rsidRPr="0053164C" w:rsidRDefault="0053164C" w:rsidP="0053164C">
            <w:pPr>
              <w:pStyle w:val="ListParagraph"/>
              <w:numPr>
                <w:ilvl w:val="0"/>
                <w:numId w:val="5"/>
              </w:numPr>
              <w:autoSpaceDE w:val="0"/>
              <w:autoSpaceDN w:val="0"/>
              <w:adjustRightInd w:val="0"/>
              <w:spacing w:line="240" w:lineRule="auto"/>
              <w:ind w:left="426" w:hanging="284"/>
              <w:rPr>
                <w:rFonts w:ascii="Tw Cen MT" w:hAnsi="Tw Cen MT"/>
                <w:b/>
              </w:rPr>
            </w:pPr>
            <w:r w:rsidRPr="0053164C">
              <w:rPr>
                <w:rFonts w:ascii="Tw Cen MT" w:hAnsi="Tw Cen MT"/>
                <w:b/>
              </w:rPr>
              <w:t>Tidak Sesuai</w:t>
            </w:r>
          </w:p>
        </w:tc>
        <w:tc>
          <w:tcPr>
            <w:tcW w:w="1957" w:type="dxa"/>
            <w:tcBorders>
              <w:top w:val="nil"/>
              <w:bottom w:val="single" w:sz="4" w:space="0" w:color="auto"/>
            </w:tcBorders>
            <w:vAlign w:val="center"/>
          </w:tcPr>
          <w:p w14:paraId="7136DEE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w:t>
            </w:r>
          </w:p>
          <w:p w14:paraId="61128934"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13</w:t>
            </w:r>
          </w:p>
        </w:tc>
        <w:tc>
          <w:tcPr>
            <w:tcW w:w="1957" w:type="dxa"/>
            <w:tcBorders>
              <w:top w:val="nil"/>
              <w:bottom w:val="single" w:sz="4" w:space="0" w:color="auto"/>
            </w:tcBorders>
            <w:vAlign w:val="center"/>
          </w:tcPr>
          <w:p w14:paraId="1F2673C6"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26</w:t>
            </w:r>
          </w:p>
          <w:p w14:paraId="21342B47"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57</w:t>
            </w:r>
          </w:p>
        </w:tc>
        <w:tc>
          <w:tcPr>
            <w:tcW w:w="1886" w:type="dxa"/>
            <w:tcBorders>
              <w:top w:val="nil"/>
              <w:bottom w:val="single" w:sz="4" w:space="0" w:color="auto"/>
            </w:tcBorders>
            <w:vAlign w:val="center"/>
          </w:tcPr>
          <w:p w14:paraId="696D0D0B"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30</w:t>
            </w:r>
          </w:p>
          <w:p w14:paraId="179A5F6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70</w:t>
            </w:r>
          </w:p>
        </w:tc>
        <w:tc>
          <w:tcPr>
            <w:tcW w:w="1674" w:type="dxa"/>
            <w:tcBorders>
              <w:top w:val="nil"/>
              <w:bottom w:val="single" w:sz="4" w:space="0" w:color="auto"/>
            </w:tcBorders>
          </w:tcPr>
          <w:p w14:paraId="184B98D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.523</w:t>
            </w:r>
          </w:p>
          <w:p w14:paraId="27323097" w14:textId="77777777" w:rsidR="0053164C" w:rsidRPr="0053164C" w:rsidRDefault="0053164C" w:rsidP="00190977">
            <w:pPr>
              <w:autoSpaceDE w:val="0"/>
              <w:autoSpaceDN w:val="0"/>
              <w:adjustRightInd w:val="0"/>
              <w:jc w:val="center"/>
              <w:rPr>
                <w:rFonts w:ascii="Tw Cen MT" w:hAnsi="Tw Cen MT"/>
              </w:rPr>
            </w:pPr>
          </w:p>
        </w:tc>
      </w:tr>
      <w:tr w:rsidR="0053164C" w:rsidRPr="0053164C" w14:paraId="210C5DE1" w14:textId="77777777" w:rsidTr="00190977">
        <w:tc>
          <w:tcPr>
            <w:tcW w:w="2102" w:type="dxa"/>
            <w:tcBorders>
              <w:top w:val="single" w:sz="4" w:space="0" w:color="auto"/>
              <w:bottom w:val="nil"/>
            </w:tcBorders>
            <w:vAlign w:val="center"/>
          </w:tcPr>
          <w:p w14:paraId="5D6C1271"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Frekuensi Pemberian MPASI</w:t>
            </w:r>
          </w:p>
        </w:tc>
        <w:tc>
          <w:tcPr>
            <w:tcW w:w="1957" w:type="dxa"/>
            <w:tcBorders>
              <w:top w:val="single" w:sz="4" w:space="0" w:color="auto"/>
              <w:bottom w:val="nil"/>
            </w:tcBorders>
            <w:vAlign w:val="center"/>
          </w:tcPr>
          <w:p w14:paraId="160C53F1" w14:textId="77777777" w:rsidR="0053164C" w:rsidRPr="0053164C" w:rsidRDefault="0053164C" w:rsidP="00190977">
            <w:pPr>
              <w:autoSpaceDE w:val="0"/>
              <w:autoSpaceDN w:val="0"/>
              <w:adjustRightInd w:val="0"/>
              <w:jc w:val="center"/>
              <w:rPr>
                <w:rFonts w:ascii="Tw Cen MT" w:hAnsi="Tw Cen MT"/>
              </w:rPr>
            </w:pPr>
          </w:p>
        </w:tc>
        <w:tc>
          <w:tcPr>
            <w:tcW w:w="1957" w:type="dxa"/>
            <w:tcBorders>
              <w:top w:val="single" w:sz="4" w:space="0" w:color="auto"/>
              <w:bottom w:val="nil"/>
            </w:tcBorders>
            <w:vAlign w:val="center"/>
          </w:tcPr>
          <w:p w14:paraId="71FD04B0" w14:textId="77777777" w:rsidR="0053164C" w:rsidRPr="0053164C" w:rsidRDefault="0053164C" w:rsidP="00190977">
            <w:pPr>
              <w:autoSpaceDE w:val="0"/>
              <w:autoSpaceDN w:val="0"/>
              <w:adjustRightInd w:val="0"/>
              <w:jc w:val="center"/>
              <w:rPr>
                <w:rFonts w:ascii="Tw Cen MT" w:hAnsi="Tw Cen MT"/>
              </w:rPr>
            </w:pPr>
          </w:p>
        </w:tc>
        <w:tc>
          <w:tcPr>
            <w:tcW w:w="1886" w:type="dxa"/>
            <w:tcBorders>
              <w:top w:val="single" w:sz="4" w:space="0" w:color="auto"/>
              <w:bottom w:val="nil"/>
            </w:tcBorders>
            <w:vAlign w:val="center"/>
          </w:tcPr>
          <w:p w14:paraId="12A9C05D" w14:textId="77777777" w:rsidR="0053164C" w:rsidRPr="0053164C" w:rsidRDefault="0053164C" w:rsidP="00190977">
            <w:pPr>
              <w:autoSpaceDE w:val="0"/>
              <w:autoSpaceDN w:val="0"/>
              <w:adjustRightInd w:val="0"/>
              <w:jc w:val="center"/>
              <w:rPr>
                <w:rFonts w:ascii="Tw Cen MT" w:hAnsi="Tw Cen MT"/>
              </w:rPr>
            </w:pPr>
          </w:p>
        </w:tc>
        <w:tc>
          <w:tcPr>
            <w:tcW w:w="1674" w:type="dxa"/>
            <w:tcBorders>
              <w:top w:val="single" w:sz="4" w:space="0" w:color="auto"/>
              <w:bottom w:val="nil"/>
            </w:tcBorders>
          </w:tcPr>
          <w:p w14:paraId="15455CF8" w14:textId="77777777" w:rsidR="0053164C" w:rsidRPr="0053164C" w:rsidRDefault="0053164C" w:rsidP="00190977">
            <w:pPr>
              <w:autoSpaceDE w:val="0"/>
              <w:autoSpaceDN w:val="0"/>
              <w:adjustRightInd w:val="0"/>
              <w:jc w:val="center"/>
              <w:rPr>
                <w:rFonts w:ascii="Tw Cen MT" w:hAnsi="Tw Cen MT"/>
              </w:rPr>
            </w:pPr>
          </w:p>
        </w:tc>
      </w:tr>
      <w:tr w:rsidR="0053164C" w:rsidRPr="0053164C" w14:paraId="3D9E415D" w14:textId="77777777" w:rsidTr="00190977">
        <w:tc>
          <w:tcPr>
            <w:tcW w:w="2102" w:type="dxa"/>
            <w:tcBorders>
              <w:top w:val="nil"/>
              <w:bottom w:val="nil"/>
            </w:tcBorders>
            <w:vAlign w:val="center"/>
          </w:tcPr>
          <w:p w14:paraId="727A34A9" w14:textId="77777777" w:rsidR="0053164C" w:rsidRPr="0053164C" w:rsidRDefault="0053164C" w:rsidP="0053164C">
            <w:pPr>
              <w:pStyle w:val="ListParagraph"/>
              <w:numPr>
                <w:ilvl w:val="0"/>
                <w:numId w:val="6"/>
              </w:numPr>
              <w:autoSpaceDE w:val="0"/>
              <w:autoSpaceDN w:val="0"/>
              <w:adjustRightInd w:val="0"/>
              <w:spacing w:line="240" w:lineRule="auto"/>
              <w:ind w:left="426" w:hanging="284"/>
              <w:rPr>
                <w:rFonts w:ascii="Tw Cen MT" w:hAnsi="Tw Cen MT"/>
                <w:b/>
              </w:rPr>
            </w:pPr>
            <w:r w:rsidRPr="0053164C">
              <w:rPr>
                <w:rFonts w:ascii="Tw Cen MT" w:hAnsi="Tw Cen MT"/>
                <w:b/>
              </w:rPr>
              <w:t>Sesuai</w:t>
            </w:r>
          </w:p>
        </w:tc>
        <w:tc>
          <w:tcPr>
            <w:tcW w:w="1957" w:type="dxa"/>
            <w:tcBorders>
              <w:top w:val="nil"/>
              <w:bottom w:val="nil"/>
            </w:tcBorders>
            <w:vAlign w:val="center"/>
          </w:tcPr>
          <w:p w14:paraId="554332E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w:t>
            </w:r>
          </w:p>
        </w:tc>
        <w:tc>
          <w:tcPr>
            <w:tcW w:w="1957" w:type="dxa"/>
            <w:tcBorders>
              <w:top w:val="nil"/>
              <w:bottom w:val="nil"/>
            </w:tcBorders>
            <w:vAlign w:val="center"/>
          </w:tcPr>
          <w:p w14:paraId="0E03A268"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28</w:t>
            </w:r>
          </w:p>
        </w:tc>
        <w:tc>
          <w:tcPr>
            <w:tcW w:w="1886" w:type="dxa"/>
            <w:tcBorders>
              <w:top w:val="nil"/>
              <w:bottom w:val="nil"/>
            </w:tcBorders>
            <w:vAlign w:val="center"/>
          </w:tcPr>
          <w:p w14:paraId="3C7A19E4"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34</w:t>
            </w:r>
          </w:p>
        </w:tc>
        <w:tc>
          <w:tcPr>
            <w:tcW w:w="1674" w:type="dxa"/>
            <w:tcBorders>
              <w:top w:val="nil"/>
              <w:bottom w:val="nil"/>
            </w:tcBorders>
          </w:tcPr>
          <w:p w14:paraId="33401CD1"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.902</w:t>
            </w:r>
          </w:p>
        </w:tc>
      </w:tr>
      <w:tr w:rsidR="0053164C" w:rsidRPr="0053164C" w14:paraId="65CECC59" w14:textId="77777777" w:rsidTr="00190977">
        <w:tc>
          <w:tcPr>
            <w:tcW w:w="2102" w:type="dxa"/>
            <w:tcBorders>
              <w:top w:val="nil"/>
              <w:bottom w:val="single" w:sz="4" w:space="0" w:color="auto"/>
            </w:tcBorders>
            <w:vAlign w:val="center"/>
          </w:tcPr>
          <w:p w14:paraId="7B3E528A" w14:textId="77777777" w:rsidR="0053164C" w:rsidRPr="0053164C" w:rsidRDefault="0053164C" w:rsidP="0053164C">
            <w:pPr>
              <w:pStyle w:val="ListParagraph"/>
              <w:numPr>
                <w:ilvl w:val="0"/>
                <w:numId w:val="6"/>
              </w:numPr>
              <w:autoSpaceDE w:val="0"/>
              <w:autoSpaceDN w:val="0"/>
              <w:adjustRightInd w:val="0"/>
              <w:spacing w:line="240" w:lineRule="auto"/>
              <w:ind w:left="426" w:hanging="284"/>
              <w:rPr>
                <w:rFonts w:ascii="Tw Cen MT" w:hAnsi="Tw Cen MT"/>
                <w:b/>
              </w:rPr>
            </w:pPr>
            <w:r w:rsidRPr="0053164C">
              <w:rPr>
                <w:rFonts w:ascii="Tw Cen MT" w:hAnsi="Tw Cen MT"/>
                <w:b/>
              </w:rPr>
              <w:t>Tidak Sesuai</w:t>
            </w:r>
          </w:p>
        </w:tc>
        <w:tc>
          <w:tcPr>
            <w:tcW w:w="1957" w:type="dxa"/>
            <w:tcBorders>
              <w:top w:val="nil"/>
              <w:bottom w:val="single" w:sz="4" w:space="0" w:color="auto"/>
            </w:tcBorders>
            <w:vAlign w:val="center"/>
          </w:tcPr>
          <w:p w14:paraId="20F17C75"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11</w:t>
            </w:r>
          </w:p>
        </w:tc>
        <w:tc>
          <w:tcPr>
            <w:tcW w:w="1957" w:type="dxa"/>
            <w:tcBorders>
              <w:top w:val="nil"/>
              <w:bottom w:val="single" w:sz="4" w:space="0" w:color="auto"/>
            </w:tcBorders>
            <w:vAlign w:val="center"/>
          </w:tcPr>
          <w:p w14:paraId="6B4065F3"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55</w:t>
            </w:r>
          </w:p>
        </w:tc>
        <w:tc>
          <w:tcPr>
            <w:tcW w:w="1886" w:type="dxa"/>
            <w:tcBorders>
              <w:top w:val="nil"/>
              <w:bottom w:val="single" w:sz="4" w:space="0" w:color="auto"/>
            </w:tcBorders>
            <w:vAlign w:val="center"/>
          </w:tcPr>
          <w:p w14:paraId="20940621"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66</w:t>
            </w:r>
          </w:p>
        </w:tc>
        <w:tc>
          <w:tcPr>
            <w:tcW w:w="1674" w:type="dxa"/>
            <w:tcBorders>
              <w:top w:val="nil"/>
              <w:bottom w:val="single" w:sz="4" w:space="0" w:color="auto"/>
            </w:tcBorders>
          </w:tcPr>
          <w:p w14:paraId="69BBD45C" w14:textId="77777777" w:rsidR="0053164C" w:rsidRPr="0053164C" w:rsidRDefault="0053164C" w:rsidP="00190977">
            <w:pPr>
              <w:autoSpaceDE w:val="0"/>
              <w:autoSpaceDN w:val="0"/>
              <w:adjustRightInd w:val="0"/>
              <w:jc w:val="center"/>
              <w:rPr>
                <w:rFonts w:ascii="Tw Cen MT" w:hAnsi="Tw Cen MT"/>
              </w:rPr>
            </w:pPr>
          </w:p>
        </w:tc>
      </w:tr>
      <w:tr w:rsidR="0053164C" w:rsidRPr="0053164C" w14:paraId="0DDD9904" w14:textId="77777777" w:rsidTr="00190977">
        <w:tc>
          <w:tcPr>
            <w:tcW w:w="2102" w:type="dxa"/>
            <w:tcBorders>
              <w:top w:val="single" w:sz="4" w:space="0" w:color="auto"/>
              <w:bottom w:val="single" w:sz="4" w:space="0" w:color="auto"/>
            </w:tcBorders>
            <w:vAlign w:val="center"/>
          </w:tcPr>
          <w:p w14:paraId="498266FF"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Jumlah Porsi MPASI</w:t>
            </w:r>
          </w:p>
          <w:p w14:paraId="2AB6175C" w14:textId="77777777" w:rsidR="0053164C" w:rsidRPr="0053164C" w:rsidRDefault="0053164C" w:rsidP="0053164C">
            <w:pPr>
              <w:pStyle w:val="ListParagraph"/>
              <w:numPr>
                <w:ilvl w:val="0"/>
                <w:numId w:val="6"/>
              </w:numPr>
              <w:autoSpaceDE w:val="0"/>
              <w:autoSpaceDN w:val="0"/>
              <w:adjustRightInd w:val="0"/>
              <w:spacing w:line="240" w:lineRule="auto"/>
              <w:ind w:left="426" w:hanging="284"/>
              <w:rPr>
                <w:rFonts w:ascii="Tw Cen MT" w:hAnsi="Tw Cen MT"/>
                <w:b/>
              </w:rPr>
            </w:pPr>
            <w:r w:rsidRPr="0053164C">
              <w:rPr>
                <w:rFonts w:ascii="Tw Cen MT" w:hAnsi="Tw Cen MT"/>
                <w:b/>
              </w:rPr>
              <w:t>sesuai</w:t>
            </w:r>
          </w:p>
          <w:p w14:paraId="26AAEC48" w14:textId="77777777" w:rsidR="0053164C" w:rsidRPr="0053164C" w:rsidRDefault="0053164C" w:rsidP="0053164C">
            <w:pPr>
              <w:pStyle w:val="ListParagraph"/>
              <w:numPr>
                <w:ilvl w:val="0"/>
                <w:numId w:val="6"/>
              </w:numPr>
              <w:autoSpaceDE w:val="0"/>
              <w:autoSpaceDN w:val="0"/>
              <w:adjustRightInd w:val="0"/>
              <w:spacing w:line="240" w:lineRule="auto"/>
              <w:ind w:left="426" w:hanging="284"/>
              <w:rPr>
                <w:rFonts w:ascii="Tw Cen MT" w:hAnsi="Tw Cen MT"/>
                <w:b/>
              </w:rPr>
            </w:pPr>
            <w:r w:rsidRPr="0053164C">
              <w:rPr>
                <w:rFonts w:ascii="Tw Cen MT" w:hAnsi="Tw Cen MT"/>
                <w:b/>
              </w:rPr>
              <w:t>tidak sesuai</w:t>
            </w:r>
          </w:p>
        </w:tc>
        <w:tc>
          <w:tcPr>
            <w:tcW w:w="1957" w:type="dxa"/>
            <w:tcBorders>
              <w:top w:val="single" w:sz="4" w:space="0" w:color="auto"/>
              <w:bottom w:val="single" w:sz="4" w:space="0" w:color="auto"/>
            </w:tcBorders>
            <w:vAlign w:val="center"/>
          </w:tcPr>
          <w:p w14:paraId="0637410E"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w:t>
            </w:r>
          </w:p>
          <w:p w14:paraId="10C760B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13</w:t>
            </w:r>
          </w:p>
        </w:tc>
        <w:tc>
          <w:tcPr>
            <w:tcW w:w="1957" w:type="dxa"/>
            <w:tcBorders>
              <w:top w:val="single" w:sz="4" w:space="0" w:color="auto"/>
              <w:bottom w:val="single" w:sz="4" w:space="0" w:color="auto"/>
            </w:tcBorders>
            <w:vAlign w:val="center"/>
          </w:tcPr>
          <w:p w14:paraId="4BD65A3F"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27</w:t>
            </w:r>
          </w:p>
          <w:p w14:paraId="7950EFD6"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56</w:t>
            </w:r>
          </w:p>
        </w:tc>
        <w:tc>
          <w:tcPr>
            <w:tcW w:w="1886" w:type="dxa"/>
            <w:tcBorders>
              <w:top w:val="single" w:sz="4" w:space="0" w:color="auto"/>
              <w:bottom w:val="single" w:sz="4" w:space="0" w:color="auto"/>
            </w:tcBorders>
            <w:vAlign w:val="center"/>
          </w:tcPr>
          <w:p w14:paraId="310DD37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31</w:t>
            </w:r>
          </w:p>
          <w:p w14:paraId="7A7727DE"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69</w:t>
            </w:r>
          </w:p>
        </w:tc>
        <w:tc>
          <w:tcPr>
            <w:tcW w:w="1674" w:type="dxa"/>
            <w:tcBorders>
              <w:top w:val="single" w:sz="4" w:space="0" w:color="auto"/>
              <w:bottom w:val="single" w:sz="4" w:space="0" w:color="auto"/>
            </w:tcBorders>
            <w:vAlign w:val="center"/>
          </w:tcPr>
          <w:p w14:paraId="4841581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.465</w:t>
            </w:r>
          </w:p>
        </w:tc>
      </w:tr>
      <w:tr w:rsidR="0053164C" w:rsidRPr="0053164C" w14:paraId="12C4D7BA" w14:textId="77777777" w:rsidTr="00190977">
        <w:tc>
          <w:tcPr>
            <w:tcW w:w="2102" w:type="dxa"/>
            <w:tcBorders>
              <w:top w:val="single" w:sz="4" w:space="0" w:color="auto"/>
              <w:bottom w:val="single" w:sz="4" w:space="0" w:color="auto"/>
            </w:tcBorders>
            <w:vAlign w:val="center"/>
          </w:tcPr>
          <w:p w14:paraId="0943F171"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Variasi MP-ASI</w:t>
            </w:r>
          </w:p>
          <w:p w14:paraId="0E923E5E" w14:textId="77777777" w:rsidR="0053164C" w:rsidRPr="0053164C" w:rsidRDefault="0053164C" w:rsidP="0053164C">
            <w:pPr>
              <w:pStyle w:val="ListParagraph"/>
              <w:numPr>
                <w:ilvl w:val="0"/>
                <w:numId w:val="7"/>
              </w:numPr>
              <w:autoSpaceDE w:val="0"/>
              <w:autoSpaceDN w:val="0"/>
              <w:adjustRightInd w:val="0"/>
              <w:spacing w:line="240" w:lineRule="auto"/>
              <w:ind w:left="426" w:hanging="284"/>
              <w:rPr>
                <w:rFonts w:ascii="Tw Cen MT" w:hAnsi="Tw Cen MT"/>
                <w:b/>
              </w:rPr>
            </w:pPr>
            <w:r w:rsidRPr="0053164C">
              <w:rPr>
                <w:rFonts w:ascii="Tw Cen MT" w:hAnsi="Tw Cen MT"/>
                <w:b/>
              </w:rPr>
              <w:t>bervariasi</w:t>
            </w:r>
          </w:p>
          <w:p w14:paraId="1B6F461C" w14:textId="77777777" w:rsidR="0053164C" w:rsidRPr="0053164C" w:rsidRDefault="0053164C" w:rsidP="0053164C">
            <w:pPr>
              <w:pStyle w:val="ListParagraph"/>
              <w:numPr>
                <w:ilvl w:val="0"/>
                <w:numId w:val="7"/>
              </w:numPr>
              <w:autoSpaceDE w:val="0"/>
              <w:autoSpaceDN w:val="0"/>
              <w:adjustRightInd w:val="0"/>
              <w:spacing w:line="240" w:lineRule="auto"/>
              <w:ind w:left="426" w:hanging="284"/>
              <w:rPr>
                <w:rFonts w:ascii="Tw Cen MT" w:hAnsi="Tw Cen MT"/>
                <w:b/>
              </w:rPr>
            </w:pPr>
            <w:r w:rsidRPr="0053164C">
              <w:rPr>
                <w:rFonts w:ascii="Tw Cen MT" w:hAnsi="Tw Cen MT"/>
                <w:b/>
              </w:rPr>
              <w:t>tidak bervariasi</w:t>
            </w:r>
          </w:p>
        </w:tc>
        <w:tc>
          <w:tcPr>
            <w:tcW w:w="1957" w:type="dxa"/>
            <w:tcBorders>
              <w:top w:val="single" w:sz="4" w:space="0" w:color="auto"/>
              <w:bottom w:val="single" w:sz="4" w:space="0" w:color="auto"/>
            </w:tcBorders>
            <w:vAlign w:val="center"/>
          </w:tcPr>
          <w:p w14:paraId="16E16F3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w:t>
            </w:r>
          </w:p>
          <w:p w14:paraId="6174A962"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14</w:t>
            </w:r>
          </w:p>
        </w:tc>
        <w:tc>
          <w:tcPr>
            <w:tcW w:w="1957" w:type="dxa"/>
            <w:tcBorders>
              <w:top w:val="single" w:sz="4" w:space="0" w:color="auto"/>
              <w:bottom w:val="single" w:sz="4" w:space="0" w:color="auto"/>
            </w:tcBorders>
            <w:vAlign w:val="center"/>
          </w:tcPr>
          <w:p w14:paraId="5392FFF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14</w:t>
            </w:r>
          </w:p>
          <w:p w14:paraId="4972D876"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69</w:t>
            </w:r>
          </w:p>
        </w:tc>
        <w:tc>
          <w:tcPr>
            <w:tcW w:w="1886" w:type="dxa"/>
            <w:tcBorders>
              <w:top w:val="single" w:sz="4" w:space="0" w:color="auto"/>
              <w:bottom w:val="single" w:sz="4" w:space="0" w:color="auto"/>
            </w:tcBorders>
            <w:vAlign w:val="center"/>
          </w:tcPr>
          <w:p w14:paraId="55E6FB03"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17</w:t>
            </w:r>
          </w:p>
          <w:p w14:paraId="19387B42"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83</w:t>
            </w:r>
          </w:p>
        </w:tc>
        <w:tc>
          <w:tcPr>
            <w:tcW w:w="1674" w:type="dxa"/>
            <w:tcBorders>
              <w:top w:val="single" w:sz="4" w:space="0" w:color="auto"/>
              <w:bottom w:val="single" w:sz="4" w:space="0" w:color="auto"/>
            </w:tcBorders>
            <w:vAlign w:val="center"/>
          </w:tcPr>
          <w:p w14:paraId="26DD4C4C"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lang w:val="id-ID"/>
              </w:rPr>
              <w:t>0,</w:t>
            </w:r>
            <w:r w:rsidRPr="0053164C">
              <w:rPr>
                <w:rFonts w:ascii="Tw Cen MT" w:hAnsi="Tw Cen MT"/>
              </w:rPr>
              <w:t>938</w:t>
            </w:r>
          </w:p>
        </w:tc>
      </w:tr>
      <w:tr w:rsidR="0053164C" w:rsidRPr="0053164C" w14:paraId="2701CE9C" w14:textId="77777777" w:rsidTr="00190977">
        <w:tc>
          <w:tcPr>
            <w:tcW w:w="2102" w:type="dxa"/>
            <w:tcBorders>
              <w:top w:val="single" w:sz="4" w:space="0" w:color="auto"/>
              <w:bottom w:val="single" w:sz="4" w:space="0" w:color="auto"/>
            </w:tcBorders>
            <w:vAlign w:val="center"/>
          </w:tcPr>
          <w:p w14:paraId="2494C56D"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Hygiene Sanitasi</w:t>
            </w:r>
          </w:p>
          <w:p w14:paraId="7A66ABAE" w14:textId="77777777" w:rsidR="0053164C" w:rsidRPr="0053164C" w:rsidRDefault="0053164C" w:rsidP="0053164C">
            <w:pPr>
              <w:pStyle w:val="ListParagraph"/>
              <w:numPr>
                <w:ilvl w:val="0"/>
                <w:numId w:val="8"/>
              </w:numPr>
              <w:autoSpaceDE w:val="0"/>
              <w:autoSpaceDN w:val="0"/>
              <w:adjustRightInd w:val="0"/>
              <w:spacing w:line="240" w:lineRule="auto"/>
              <w:ind w:left="426" w:hanging="284"/>
              <w:rPr>
                <w:rFonts w:ascii="Tw Cen MT" w:hAnsi="Tw Cen MT"/>
                <w:b/>
              </w:rPr>
            </w:pPr>
            <w:r w:rsidRPr="0053164C">
              <w:rPr>
                <w:rFonts w:ascii="Tw Cen MT" w:hAnsi="Tw Cen MT"/>
                <w:b/>
              </w:rPr>
              <w:t>sesuai</w:t>
            </w:r>
          </w:p>
          <w:p w14:paraId="4FD51E2F" w14:textId="77777777" w:rsidR="0053164C" w:rsidRPr="0053164C" w:rsidRDefault="0053164C" w:rsidP="0053164C">
            <w:pPr>
              <w:pStyle w:val="ListParagraph"/>
              <w:numPr>
                <w:ilvl w:val="0"/>
                <w:numId w:val="8"/>
              </w:numPr>
              <w:autoSpaceDE w:val="0"/>
              <w:autoSpaceDN w:val="0"/>
              <w:adjustRightInd w:val="0"/>
              <w:spacing w:line="240" w:lineRule="auto"/>
              <w:ind w:left="426" w:hanging="284"/>
              <w:rPr>
                <w:rFonts w:ascii="Tw Cen MT" w:hAnsi="Tw Cen MT"/>
                <w:b/>
              </w:rPr>
            </w:pPr>
            <w:r w:rsidRPr="0053164C">
              <w:rPr>
                <w:rFonts w:ascii="Tw Cen MT" w:hAnsi="Tw Cen MT"/>
                <w:b/>
              </w:rPr>
              <w:t>tidak sesuai</w:t>
            </w:r>
          </w:p>
        </w:tc>
        <w:tc>
          <w:tcPr>
            <w:tcW w:w="1957" w:type="dxa"/>
            <w:tcBorders>
              <w:top w:val="single" w:sz="4" w:space="0" w:color="auto"/>
              <w:bottom w:val="single" w:sz="4" w:space="0" w:color="auto"/>
            </w:tcBorders>
            <w:vAlign w:val="center"/>
          </w:tcPr>
          <w:p w14:paraId="3DF3C12C"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w:t>
            </w:r>
          </w:p>
          <w:p w14:paraId="4B46957E"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16</w:t>
            </w:r>
          </w:p>
        </w:tc>
        <w:tc>
          <w:tcPr>
            <w:tcW w:w="1957" w:type="dxa"/>
            <w:tcBorders>
              <w:top w:val="single" w:sz="4" w:space="0" w:color="auto"/>
              <w:bottom w:val="single" w:sz="4" w:space="0" w:color="auto"/>
            </w:tcBorders>
            <w:vAlign w:val="center"/>
          </w:tcPr>
          <w:p w14:paraId="6DE1DAD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w:t>
            </w:r>
          </w:p>
          <w:p w14:paraId="0C9447D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79</w:t>
            </w:r>
          </w:p>
        </w:tc>
        <w:tc>
          <w:tcPr>
            <w:tcW w:w="1886" w:type="dxa"/>
            <w:tcBorders>
              <w:top w:val="single" w:sz="4" w:space="0" w:color="auto"/>
              <w:bottom w:val="single" w:sz="4" w:space="0" w:color="auto"/>
            </w:tcBorders>
            <w:vAlign w:val="center"/>
          </w:tcPr>
          <w:p w14:paraId="2F93BFEB"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w:t>
            </w:r>
          </w:p>
          <w:p w14:paraId="52366D8A"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95</w:t>
            </w:r>
          </w:p>
        </w:tc>
        <w:tc>
          <w:tcPr>
            <w:tcW w:w="1674" w:type="dxa"/>
            <w:tcBorders>
              <w:top w:val="single" w:sz="4" w:space="0" w:color="auto"/>
              <w:bottom w:val="single" w:sz="4" w:space="0" w:color="auto"/>
            </w:tcBorders>
            <w:vAlign w:val="center"/>
          </w:tcPr>
          <w:p w14:paraId="0D1538C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.855</w:t>
            </w:r>
          </w:p>
          <w:p w14:paraId="0230D902" w14:textId="77777777" w:rsidR="0053164C" w:rsidRPr="0053164C" w:rsidRDefault="0053164C" w:rsidP="00190977">
            <w:pPr>
              <w:autoSpaceDE w:val="0"/>
              <w:autoSpaceDN w:val="0"/>
              <w:adjustRightInd w:val="0"/>
              <w:jc w:val="center"/>
              <w:rPr>
                <w:rFonts w:ascii="Tw Cen MT" w:hAnsi="Tw Cen MT"/>
              </w:rPr>
            </w:pPr>
          </w:p>
        </w:tc>
      </w:tr>
      <w:tr w:rsidR="0053164C" w:rsidRPr="0053164C" w14:paraId="767E1DFE" w14:textId="77777777" w:rsidTr="00190977">
        <w:tc>
          <w:tcPr>
            <w:tcW w:w="2102" w:type="dxa"/>
            <w:tcBorders>
              <w:top w:val="single" w:sz="4" w:space="0" w:color="auto"/>
              <w:bottom w:val="single" w:sz="4" w:space="0" w:color="auto"/>
            </w:tcBorders>
            <w:vAlign w:val="center"/>
          </w:tcPr>
          <w:p w14:paraId="0B6008F3"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Responsive Feeding</w:t>
            </w:r>
          </w:p>
          <w:p w14:paraId="7E440753" w14:textId="77777777" w:rsidR="0053164C" w:rsidRPr="0053164C" w:rsidRDefault="0053164C" w:rsidP="0053164C">
            <w:pPr>
              <w:pStyle w:val="ListParagraph"/>
              <w:numPr>
                <w:ilvl w:val="0"/>
                <w:numId w:val="9"/>
              </w:numPr>
              <w:autoSpaceDE w:val="0"/>
              <w:autoSpaceDN w:val="0"/>
              <w:adjustRightInd w:val="0"/>
              <w:spacing w:line="240" w:lineRule="auto"/>
              <w:ind w:left="426" w:hanging="284"/>
              <w:rPr>
                <w:rFonts w:ascii="Tw Cen MT" w:hAnsi="Tw Cen MT"/>
                <w:b/>
              </w:rPr>
            </w:pPr>
            <w:r w:rsidRPr="0053164C">
              <w:rPr>
                <w:rFonts w:ascii="Tw Cen MT" w:hAnsi="Tw Cen MT"/>
                <w:b/>
              </w:rPr>
              <w:t>Responsif</w:t>
            </w:r>
          </w:p>
          <w:p w14:paraId="12D9EC13" w14:textId="77777777" w:rsidR="0053164C" w:rsidRPr="0053164C" w:rsidRDefault="0053164C" w:rsidP="0053164C">
            <w:pPr>
              <w:pStyle w:val="ListParagraph"/>
              <w:numPr>
                <w:ilvl w:val="0"/>
                <w:numId w:val="9"/>
              </w:numPr>
              <w:autoSpaceDE w:val="0"/>
              <w:autoSpaceDN w:val="0"/>
              <w:adjustRightInd w:val="0"/>
              <w:spacing w:line="240" w:lineRule="auto"/>
              <w:ind w:left="426" w:hanging="284"/>
              <w:rPr>
                <w:rFonts w:ascii="Tw Cen MT" w:hAnsi="Tw Cen MT"/>
                <w:b/>
              </w:rPr>
            </w:pPr>
            <w:r w:rsidRPr="0053164C">
              <w:rPr>
                <w:rFonts w:ascii="Tw Cen MT" w:hAnsi="Tw Cen MT"/>
                <w:b/>
              </w:rPr>
              <w:t>tidak responsif</w:t>
            </w:r>
          </w:p>
        </w:tc>
        <w:tc>
          <w:tcPr>
            <w:tcW w:w="1957" w:type="dxa"/>
            <w:tcBorders>
              <w:top w:val="single" w:sz="4" w:space="0" w:color="auto"/>
              <w:bottom w:val="single" w:sz="4" w:space="0" w:color="auto"/>
            </w:tcBorders>
            <w:vAlign w:val="center"/>
          </w:tcPr>
          <w:p w14:paraId="4D423E3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w:t>
            </w:r>
          </w:p>
          <w:p w14:paraId="01589481"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12</w:t>
            </w:r>
          </w:p>
        </w:tc>
        <w:tc>
          <w:tcPr>
            <w:tcW w:w="1957" w:type="dxa"/>
            <w:tcBorders>
              <w:top w:val="single" w:sz="4" w:space="0" w:color="auto"/>
              <w:bottom w:val="single" w:sz="4" w:space="0" w:color="auto"/>
            </w:tcBorders>
            <w:vAlign w:val="center"/>
          </w:tcPr>
          <w:p w14:paraId="3E45BCE7"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57</w:t>
            </w:r>
          </w:p>
          <w:p w14:paraId="146CD1EC"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26</w:t>
            </w:r>
          </w:p>
        </w:tc>
        <w:tc>
          <w:tcPr>
            <w:tcW w:w="1886" w:type="dxa"/>
            <w:tcBorders>
              <w:top w:val="single" w:sz="4" w:space="0" w:color="auto"/>
              <w:bottom w:val="single" w:sz="4" w:space="0" w:color="auto"/>
            </w:tcBorders>
            <w:vAlign w:val="center"/>
          </w:tcPr>
          <w:p w14:paraId="2DBE0E2C"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62</w:t>
            </w:r>
          </w:p>
          <w:p w14:paraId="6F3273B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38</w:t>
            </w:r>
          </w:p>
        </w:tc>
        <w:tc>
          <w:tcPr>
            <w:tcW w:w="1674" w:type="dxa"/>
            <w:tcBorders>
              <w:top w:val="single" w:sz="4" w:space="0" w:color="auto"/>
              <w:bottom w:val="single" w:sz="4" w:space="0" w:color="auto"/>
            </w:tcBorders>
            <w:vAlign w:val="center"/>
          </w:tcPr>
          <w:p w14:paraId="7D8F1DFB"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.002</w:t>
            </w:r>
          </w:p>
        </w:tc>
      </w:tr>
      <w:tr w:rsidR="0053164C" w:rsidRPr="0053164C" w14:paraId="7570FFF6" w14:textId="77777777" w:rsidTr="00190977">
        <w:tc>
          <w:tcPr>
            <w:tcW w:w="2102" w:type="dxa"/>
            <w:tcBorders>
              <w:top w:val="single" w:sz="4" w:space="0" w:color="auto"/>
              <w:bottom w:val="single" w:sz="4" w:space="0" w:color="auto"/>
            </w:tcBorders>
            <w:vAlign w:val="center"/>
          </w:tcPr>
          <w:p w14:paraId="5F518432"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Asupan Energi</w:t>
            </w:r>
          </w:p>
          <w:p w14:paraId="554953CB" w14:textId="77777777" w:rsidR="0053164C" w:rsidRPr="0053164C" w:rsidRDefault="0053164C" w:rsidP="0053164C">
            <w:pPr>
              <w:pStyle w:val="ListParagraph"/>
              <w:numPr>
                <w:ilvl w:val="0"/>
                <w:numId w:val="10"/>
              </w:numPr>
              <w:autoSpaceDE w:val="0"/>
              <w:autoSpaceDN w:val="0"/>
              <w:adjustRightInd w:val="0"/>
              <w:spacing w:line="240" w:lineRule="auto"/>
              <w:ind w:left="426" w:hanging="284"/>
              <w:rPr>
                <w:rFonts w:ascii="Tw Cen MT" w:hAnsi="Tw Cen MT"/>
                <w:b/>
              </w:rPr>
            </w:pPr>
            <w:r w:rsidRPr="0053164C">
              <w:rPr>
                <w:rFonts w:ascii="Tw Cen MT" w:hAnsi="Tw Cen MT"/>
                <w:b/>
              </w:rPr>
              <w:t>Adekuat</w:t>
            </w:r>
          </w:p>
          <w:p w14:paraId="79208695" w14:textId="77777777" w:rsidR="0053164C" w:rsidRPr="0053164C" w:rsidRDefault="0053164C" w:rsidP="0053164C">
            <w:pPr>
              <w:pStyle w:val="ListParagraph"/>
              <w:numPr>
                <w:ilvl w:val="0"/>
                <w:numId w:val="10"/>
              </w:numPr>
              <w:autoSpaceDE w:val="0"/>
              <w:autoSpaceDN w:val="0"/>
              <w:adjustRightInd w:val="0"/>
              <w:spacing w:line="240" w:lineRule="auto"/>
              <w:ind w:left="426" w:hanging="284"/>
              <w:rPr>
                <w:rFonts w:ascii="Tw Cen MT" w:hAnsi="Tw Cen MT"/>
                <w:b/>
              </w:rPr>
            </w:pPr>
            <w:r w:rsidRPr="0053164C">
              <w:rPr>
                <w:rFonts w:ascii="Tw Cen MT" w:hAnsi="Tw Cen MT"/>
                <w:b/>
              </w:rPr>
              <w:t>Tidak Adekuat</w:t>
            </w:r>
          </w:p>
        </w:tc>
        <w:tc>
          <w:tcPr>
            <w:tcW w:w="1957" w:type="dxa"/>
            <w:tcBorders>
              <w:top w:val="single" w:sz="4" w:space="0" w:color="auto"/>
              <w:bottom w:val="single" w:sz="4" w:space="0" w:color="auto"/>
            </w:tcBorders>
            <w:vAlign w:val="center"/>
          </w:tcPr>
          <w:p w14:paraId="6FD7FB4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9</w:t>
            </w:r>
          </w:p>
          <w:p w14:paraId="4BD014C8"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8</w:t>
            </w:r>
          </w:p>
        </w:tc>
        <w:tc>
          <w:tcPr>
            <w:tcW w:w="1957" w:type="dxa"/>
            <w:tcBorders>
              <w:top w:val="single" w:sz="4" w:space="0" w:color="auto"/>
              <w:bottom w:val="single" w:sz="4" w:space="0" w:color="auto"/>
            </w:tcBorders>
            <w:vAlign w:val="center"/>
          </w:tcPr>
          <w:p w14:paraId="08BA20D7"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49</w:t>
            </w:r>
          </w:p>
          <w:p w14:paraId="678A85F6"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34</w:t>
            </w:r>
          </w:p>
        </w:tc>
        <w:tc>
          <w:tcPr>
            <w:tcW w:w="1886" w:type="dxa"/>
            <w:tcBorders>
              <w:top w:val="single" w:sz="4" w:space="0" w:color="auto"/>
              <w:bottom w:val="single" w:sz="4" w:space="0" w:color="auto"/>
            </w:tcBorders>
            <w:vAlign w:val="center"/>
          </w:tcPr>
          <w:p w14:paraId="48420E8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58</w:t>
            </w:r>
          </w:p>
          <w:p w14:paraId="2933201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42</w:t>
            </w:r>
          </w:p>
        </w:tc>
        <w:tc>
          <w:tcPr>
            <w:tcW w:w="1674" w:type="dxa"/>
            <w:tcBorders>
              <w:top w:val="single" w:sz="4" w:space="0" w:color="auto"/>
              <w:bottom w:val="single" w:sz="4" w:space="0" w:color="auto"/>
            </w:tcBorders>
            <w:vAlign w:val="center"/>
          </w:tcPr>
          <w:p w14:paraId="2961DE4E"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.643</w:t>
            </w:r>
          </w:p>
          <w:p w14:paraId="2A9A1DAB" w14:textId="77777777" w:rsidR="0053164C" w:rsidRPr="0053164C" w:rsidRDefault="0053164C" w:rsidP="00190977">
            <w:pPr>
              <w:autoSpaceDE w:val="0"/>
              <w:autoSpaceDN w:val="0"/>
              <w:adjustRightInd w:val="0"/>
              <w:jc w:val="center"/>
              <w:rPr>
                <w:rFonts w:ascii="Tw Cen MT" w:hAnsi="Tw Cen MT"/>
              </w:rPr>
            </w:pPr>
          </w:p>
        </w:tc>
      </w:tr>
      <w:tr w:rsidR="0053164C" w:rsidRPr="0053164C" w14:paraId="6831D965" w14:textId="77777777" w:rsidTr="00190977">
        <w:tc>
          <w:tcPr>
            <w:tcW w:w="2102" w:type="dxa"/>
            <w:tcBorders>
              <w:top w:val="single" w:sz="4" w:space="0" w:color="auto"/>
              <w:bottom w:val="single" w:sz="4" w:space="0" w:color="auto"/>
            </w:tcBorders>
            <w:vAlign w:val="center"/>
          </w:tcPr>
          <w:p w14:paraId="0B186E37"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Asupan Lemak</w:t>
            </w:r>
          </w:p>
          <w:p w14:paraId="4348F28C" w14:textId="77777777" w:rsidR="0053164C" w:rsidRPr="0053164C" w:rsidRDefault="0053164C" w:rsidP="0053164C">
            <w:pPr>
              <w:pStyle w:val="ListParagraph"/>
              <w:numPr>
                <w:ilvl w:val="0"/>
                <w:numId w:val="11"/>
              </w:numPr>
              <w:autoSpaceDE w:val="0"/>
              <w:autoSpaceDN w:val="0"/>
              <w:adjustRightInd w:val="0"/>
              <w:spacing w:line="240" w:lineRule="auto"/>
              <w:ind w:left="426" w:hanging="284"/>
              <w:rPr>
                <w:rFonts w:ascii="Tw Cen MT" w:hAnsi="Tw Cen MT"/>
                <w:b/>
              </w:rPr>
            </w:pPr>
            <w:r w:rsidRPr="0053164C">
              <w:rPr>
                <w:rFonts w:ascii="Tw Cen MT" w:hAnsi="Tw Cen MT"/>
                <w:b/>
              </w:rPr>
              <w:t>Adekuat</w:t>
            </w:r>
          </w:p>
          <w:p w14:paraId="608DB209" w14:textId="77777777" w:rsidR="0053164C" w:rsidRPr="0053164C" w:rsidRDefault="0053164C" w:rsidP="0053164C">
            <w:pPr>
              <w:pStyle w:val="ListParagraph"/>
              <w:numPr>
                <w:ilvl w:val="0"/>
                <w:numId w:val="11"/>
              </w:numPr>
              <w:autoSpaceDE w:val="0"/>
              <w:autoSpaceDN w:val="0"/>
              <w:adjustRightInd w:val="0"/>
              <w:spacing w:line="240" w:lineRule="auto"/>
              <w:ind w:left="426" w:hanging="284"/>
              <w:rPr>
                <w:rFonts w:ascii="Tw Cen MT" w:hAnsi="Tw Cen MT"/>
                <w:b/>
              </w:rPr>
            </w:pPr>
            <w:r w:rsidRPr="0053164C">
              <w:rPr>
                <w:rFonts w:ascii="Tw Cen MT" w:hAnsi="Tw Cen MT"/>
                <w:b/>
              </w:rPr>
              <w:t>Tidak Adekuat</w:t>
            </w:r>
          </w:p>
        </w:tc>
        <w:tc>
          <w:tcPr>
            <w:tcW w:w="1957" w:type="dxa"/>
            <w:tcBorders>
              <w:top w:val="single" w:sz="4" w:space="0" w:color="auto"/>
              <w:bottom w:val="single" w:sz="4" w:space="0" w:color="auto"/>
            </w:tcBorders>
            <w:vAlign w:val="center"/>
          </w:tcPr>
          <w:p w14:paraId="36F3E08E" w14:textId="77777777" w:rsidR="0053164C" w:rsidRPr="0053164C" w:rsidRDefault="0053164C" w:rsidP="00190977">
            <w:pPr>
              <w:autoSpaceDE w:val="0"/>
              <w:autoSpaceDN w:val="0"/>
              <w:adjustRightInd w:val="0"/>
              <w:jc w:val="center"/>
              <w:rPr>
                <w:rFonts w:ascii="Tw Cen MT" w:hAnsi="Tw Cen MT"/>
              </w:rPr>
            </w:pPr>
          </w:p>
          <w:p w14:paraId="44FA86E5"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w:t>
            </w:r>
          </w:p>
          <w:p w14:paraId="5A15DAD4"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15</w:t>
            </w:r>
          </w:p>
        </w:tc>
        <w:tc>
          <w:tcPr>
            <w:tcW w:w="1957" w:type="dxa"/>
            <w:tcBorders>
              <w:top w:val="single" w:sz="4" w:space="0" w:color="auto"/>
              <w:bottom w:val="single" w:sz="4" w:space="0" w:color="auto"/>
            </w:tcBorders>
            <w:vAlign w:val="center"/>
          </w:tcPr>
          <w:p w14:paraId="1378D67A" w14:textId="77777777" w:rsidR="0053164C" w:rsidRPr="0053164C" w:rsidRDefault="0053164C" w:rsidP="00190977">
            <w:pPr>
              <w:autoSpaceDE w:val="0"/>
              <w:autoSpaceDN w:val="0"/>
              <w:adjustRightInd w:val="0"/>
              <w:jc w:val="center"/>
              <w:rPr>
                <w:rFonts w:ascii="Tw Cen MT" w:hAnsi="Tw Cen MT"/>
              </w:rPr>
            </w:pPr>
          </w:p>
          <w:p w14:paraId="1DC8C98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26</w:t>
            </w:r>
          </w:p>
          <w:p w14:paraId="3AE83DA0"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57</w:t>
            </w:r>
          </w:p>
        </w:tc>
        <w:tc>
          <w:tcPr>
            <w:tcW w:w="1886" w:type="dxa"/>
            <w:tcBorders>
              <w:top w:val="single" w:sz="4" w:space="0" w:color="auto"/>
              <w:bottom w:val="single" w:sz="4" w:space="0" w:color="auto"/>
            </w:tcBorders>
            <w:vAlign w:val="center"/>
          </w:tcPr>
          <w:p w14:paraId="7A90E715" w14:textId="77777777" w:rsidR="0053164C" w:rsidRPr="0053164C" w:rsidRDefault="0053164C" w:rsidP="00190977">
            <w:pPr>
              <w:autoSpaceDE w:val="0"/>
              <w:autoSpaceDN w:val="0"/>
              <w:adjustRightInd w:val="0"/>
              <w:jc w:val="center"/>
              <w:rPr>
                <w:rFonts w:ascii="Tw Cen MT" w:hAnsi="Tw Cen MT"/>
              </w:rPr>
            </w:pPr>
          </w:p>
          <w:p w14:paraId="23FE072B"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28</w:t>
            </w:r>
          </w:p>
          <w:p w14:paraId="6365BDE2"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72</w:t>
            </w:r>
          </w:p>
        </w:tc>
        <w:tc>
          <w:tcPr>
            <w:tcW w:w="1674" w:type="dxa"/>
            <w:tcBorders>
              <w:top w:val="single" w:sz="4" w:space="0" w:color="auto"/>
              <w:bottom w:val="single" w:sz="4" w:space="0" w:color="auto"/>
            </w:tcBorders>
          </w:tcPr>
          <w:p w14:paraId="513268F5" w14:textId="77777777" w:rsidR="0053164C" w:rsidRPr="0053164C" w:rsidRDefault="0053164C" w:rsidP="00190977">
            <w:pPr>
              <w:autoSpaceDE w:val="0"/>
              <w:autoSpaceDN w:val="0"/>
              <w:adjustRightInd w:val="0"/>
              <w:jc w:val="center"/>
              <w:rPr>
                <w:rFonts w:ascii="Tw Cen MT" w:hAnsi="Tw Cen MT"/>
              </w:rPr>
            </w:pPr>
          </w:p>
          <w:p w14:paraId="15F16163"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.102</w:t>
            </w:r>
          </w:p>
        </w:tc>
      </w:tr>
      <w:tr w:rsidR="0053164C" w:rsidRPr="0053164C" w14:paraId="490CF06F" w14:textId="77777777" w:rsidTr="00190977">
        <w:tc>
          <w:tcPr>
            <w:tcW w:w="2102" w:type="dxa"/>
            <w:tcBorders>
              <w:top w:val="single" w:sz="4" w:space="0" w:color="auto"/>
              <w:bottom w:val="single" w:sz="4" w:space="0" w:color="auto"/>
            </w:tcBorders>
            <w:vAlign w:val="center"/>
          </w:tcPr>
          <w:p w14:paraId="5B6DEE00"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Asupan Protein</w:t>
            </w:r>
          </w:p>
          <w:p w14:paraId="23506EF0" w14:textId="77777777" w:rsidR="0053164C" w:rsidRPr="0053164C" w:rsidRDefault="0053164C" w:rsidP="0053164C">
            <w:pPr>
              <w:pStyle w:val="ListParagraph"/>
              <w:numPr>
                <w:ilvl w:val="0"/>
                <w:numId w:val="12"/>
              </w:numPr>
              <w:autoSpaceDE w:val="0"/>
              <w:autoSpaceDN w:val="0"/>
              <w:adjustRightInd w:val="0"/>
              <w:spacing w:line="240" w:lineRule="auto"/>
              <w:ind w:left="426" w:hanging="284"/>
              <w:rPr>
                <w:rFonts w:ascii="Tw Cen MT" w:hAnsi="Tw Cen MT"/>
                <w:b/>
              </w:rPr>
            </w:pPr>
            <w:r w:rsidRPr="0053164C">
              <w:rPr>
                <w:rFonts w:ascii="Tw Cen MT" w:hAnsi="Tw Cen MT"/>
                <w:b/>
              </w:rPr>
              <w:t>Adekuat</w:t>
            </w:r>
          </w:p>
          <w:p w14:paraId="5FBCA71B" w14:textId="77777777" w:rsidR="0053164C" w:rsidRPr="0053164C" w:rsidRDefault="0053164C" w:rsidP="0053164C">
            <w:pPr>
              <w:pStyle w:val="ListParagraph"/>
              <w:numPr>
                <w:ilvl w:val="0"/>
                <w:numId w:val="12"/>
              </w:numPr>
              <w:autoSpaceDE w:val="0"/>
              <w:autoSpaceDN w:val="0"/>
              <w:adjustRightInd w:val="0"/>
              <w:spacing w:line="240" w:lineRule="auto"/>
              <w:ind w:left="426" w:hanging="284"/>
              <w:rPr>
                <w:rFonts w:ascii="Tw Cen MT" w:hAnsi="Tw Cen MT"/>
                <w:b/>
              </w:rPr>
            </w:pPr>
            <w:r w:rsidRPr="0053164C">
              <w:rPr>
                <w:rFonts w:ascii="Tw Cen MT" w:hAnsi="Tw Cen MT"/>
                <w:b/>
              </w:rPr>
              <w:t>Tidak Adekuat</w:t>
            </w:r>
          </w:p>
        </w:tc>
        <w:tc>
          <w:tcPr>
            <w:tcW w:w="1957" w:type="dxa"/>
            <w:tcBorders>
              <w:top w:val="single" w:sz="4" w:space="0" w:color="auto"/>
              <w:bottom w:val="single" w:sz="4" w:space="0" w:color="auto"/>
            </w:tcBorders>
            <w:vAlign w:val="center"/>
          </w:tcPr>
          <w:p w14:paraId="6363A04E"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15</w:t>
            </w:r>
          </w:p>
          <w:p w14:paraId="0009C6F4"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2</w:t>
            </w:r>
          </w:p>
        </w:tc>
        <w:tc>
          <w:tcPr>
            <w:tcW w:w="1957" w:type="dxa"/>
            <w:tcBorders>
              <w:top w:val="single" w:sz="4" w:space="0" w:color="auto"/>
              <w:bottom w:val="single" w:sz="4" w:space="0" w:color="auto"/>
            </w:tcBorders>
            <w:vAlign w:val="center"/>
          </w:tcPr>
          <w:p w14:paraId="1222205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70</w:t>
            </w:r>
          </w:p>
          <w:p w14:paraId="4240393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13</w:t>
            </w:r>
          </w:p>
        </w:tc>
        <w:tc>
          <w:tcPr>
            <w:tcW w:w="1886" w:type="dxa"/>
            <w:tcBorders>
              <w:top w:val="single" w:sz="4" w:space="0" w:color="auto"/>
              <w:bottom w:val="single" w:sz="4" w:space="0" w:color="auto"/>
            </w:tcBorders>
            <w:vAlign w:val="center"/>
          </w:tcPr>
          <w:p w14:paraId="34E011FF"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85</w:t>
            </w:r>
          </w:p>
          <w:p w14:paraId="131F468C"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15</w:t>
            </w:r>
          </w:p>
        </w:tc>
        <w:tc>
          <w:tcPr>
            <w:tcW w:w="1674" w:type="dxa"/>
            <w:tcBorders>
              <w:top w:val="single" w:sz="4" w:space="0" w:color="auto"/>
              <w:bottom w:val="single" w:sz="4" w:space="0" w:color="auto"/>
            </w:tcBorders>
            <w:vAlign w:val="center"/>
          </w:tcPr>
          <w:p w14:paraId="31E21358"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.682</w:t>
            </w:r>
          </w:p>
        </w:tc>
      </w:tr>
      <w:tr w:rsidR="0053164C" w:rsidRPr="0053164C" w14:paraId="483C0845" w14:textId="77777777" w:rsidTr="00190977">
        <w:tc>
          <w:tcPr>
            <w:tcW w:w="2102" w:type="dxa"/>
            <w:tcBorders>
              <w:top w:val="single" w:sz="4" w:space="0" w:color="auto"/>
              <w:bottom w:val="single" w:sz="4" w:space="0" w:color="auto"/>
            </w:tcBorders>
            <w:vAlign w:val="center"/>
          </w:tcPr>
          <w:p w14:paraId="1070A785" w14:textId="77777777" w:rsidR="0053164C" w:rsidRPr="0053164C" w:rsidRDefault="0053164C" w:rsidP="00190977">
            <w:pPr>
              <w:autoSpaceDE w:val="0"/>
              <w:autoSpaceDN w:val="0"/>
              <w:adjustRightInd w:val="0"/>
              <w:rPr>
                <w:rFonts w:ascii="Tw Cen MT" w:hAnsi="Tw Cen MT"/>
                <w:b/>
              </w:rPr>
            </w:pPr>
            <w:r w:rsidRPr="0053164C">
              <w:rPr>
                <w:rFonts w:ascii="Tw Cen MT" w:hAnsi="Tw Cen MT"/>
                <w:b/>
              </w:rPr>
              <w:t>Asupan Karbohidrat</w:t>
            </w:r>
          </w:p>
          <w:p w14:paraId="4CD760F3" w14:textId="77777777" w:rsidR="0053164C" w:rsidRPr="0053164C" w:rsidRDefault="0053164C" w:rsidP="0053164C">
            <w:pPr>
              <w:pStyle w:val="ListParagraph"/>
              <w:numPr>
                <w:ilvl w:val="0"/>
                <w:numId w:val="13"/>
              </w:numPr>
              <w:autoSpaceDE w:val="0"/>
              <w:autoSpaceDN w:val="0"/>
              <w:adjustRightInd w:val="0"/>
              <w:spacing w:line="240" w:lineRule="auto"/>
              <w:ind w:left="426" w:hanging="284"/>
              <w:rPr>
                <w:rFonts w:ascii="Tw Cen MT" w:hAnsi="Tw Cen MT"/>
                <w:b/>
              </w:rPr>
            </w:pPr>
            <w:r w:rsidRPr="0053164C">
              <w:rPr>
                <w:rFonts w:ascii="Tw Cen MT" w:hAnsi="Tw Cen MT"/>
                <w:b/>
              </w:rPr>
              <w:t>Adekuat</w:t>
            </w:r>
          </w:p>
          <w:p w14:paraId="7DAF16A0" w14:textId="77777777" w:rsidR="0053164C" w:rsidRPr="0053164C" w:rsidRDefault="0053164C" w:rsidP="0053164C">
            <w:pPr>
              <w:pStyle w:val="ListParagraph"/>
              <w:numPr>
                <w:ilvl w:val="0"/>
                <w:numId w:val="13"/>
              </w:numPr>
              <w:autoSpaceDE w:val="0"/>
              <w:autoSpaceDN w:val="0"/>
              <w:adjustRightInd w:val="0"/>
              <w:spacing w:line="240" w:lineRule="auto"/>
              <w:ind w:left="426" w:hanging="284"/>
              <w:rPr>
                <w:rFonts w:ascii="Tw Cen MT" w:hAnsi="Tw Cen MT"/>
                <w:b/>
              </w:rPr>
            </w:pPr>
            <w:r w:rsidRPr="0053164C">
              <w:rPr>
                <w:rFonts w:ascii="Tw Cen MT" w:hAnsi="Tw Cen MT"/>
                <w:b/>
              </w:rPr>
              <w:t>Tidak Adekuat</w:t>
            </w:r>
          </w:p>
        </w:tc>
        <w:tc>
          <w:tcPr>
            <w:tcW w:w="1957" w:type="dxa"/>
            <w:tcBorders>
              <w:top w:val="single" w:sz="4" w:space="0" w:color="auto"/>
              <w:bottom w:val="single" w:sz="4" w:space="0" w:color="auto"/>
            </w:tcBorders>
            <w:vAlign w:val="center"/>
          </w:tcPr>
          <w:p w14:paraId="4103FBD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13</w:t>
            </w:r>
          </w:p>
          <w:p w14:paraId="50E19A42"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w:t>
            </w:r>
          </w:p>
        </w:tc>
        <w:tc>
          <w:tcPr>
            <w:tcW w:w="1957" w:type="dxa"/>
            <w:tcBorders>
              <w:top w:val="single" w:sz="4" w:space="0" w:color="auto"/>
              <w:bottom w:val="single" w:sz="4" w:space="0" w:color="auto"/>
            </w:tcBorders>
            <w:vAlign w:val="center"/>
          </w:tcPr>
          <w:p w14:paraId="79E7BB6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49</w:t>
            </w:r>
          </w:p>
          <w:p w14:paraId="4A0E428D"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34</w:t>
            </w:r>
          </w:p>
        </w:tc>
        <w:tc>
          <w:tcPr>
            <w:tcW w:w="1886" w:type="dxa"/>
            <w:tcBorders>
              <w:top w:val="single" w:sz="4" w:space="0" w:color="auto"/>
              <w:bottom w:val="single" w:sz="4" w:space="0" w:color="auto"/>
            </w:tcBorders>
            <w:vAlign w:val="center"/>
          </w:tcPr>
          <w:p w14:paraId="201C021A"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62</w:t>
            </w:r>
          </w:p>
          <w:p w14:paraId="6D8961FB"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38</w:t>
            </w:r>
          </w:p>
        </w:tc>
        <w:tc>
          <w:tcPr>
            <w:tcW w:w="1674" w:type="dxa"/>
            <w:tcBorders>
              <w:top w:val="single" w:sz="4" w:space="0" w:color="auto"/>
              <w:bottom w:val="single" w:sz="4" w:space="0" w:color="auto"/>
            </w:tcBorders>
            <w:vAlign w:val="center"/>
          </w:tcPr>
          <w:p w14:paraId="4A80BF69" w14:textId="77777777" w:rsidR="0053164C" w:rsidRPr="0053164C" w:rsidRDefault="0053164C" w:rsidP="00190977">
            <w:pPr>
              <w:autoSpaceDE w:val="0"/>
              <w:autoSpaceDN w:val="0"/>
              <w:adjustRightInd w:val="0"/>
              <w:jc w:val="center"/>
              <w:rPr>
                <w:rFonts w:ascii="Tw Cen MT" w:hAnsi="Tw Cen MT"/>
              </w:rPr>
            </w:pPr>
            <w:r w:rsidRPr="0053164C">
              <w:rPr>
                <w:rFonts w:ascii="Tw Cen MT" w:hAnsi="Tw Cen MT"/>
              </w:rPr>
              <w:t>.177</w:t>
            </w:r>
          </w:p>
        </w:tc>
      </w:tr>
    </w:tbl>
    <w:p w14:paraId="060CB745" w14:textId="77777777" w:rsidR="0053164C" w:rsidRDefault="0053164C" w:rsidP="0053164C">
      <w:pPr>
        <w:spacing w:after="0" w:line="240" w:lineRule="auto"/>
        <w:jc w:val="both"/>
        <w:rPr>
          <w:rFonts w:ascii="Tw Cen MT" w:eastAsia="Twentieth Century" w:hAnsi="Tw Cen MT" w:cs="Twentieth Century"/>
          <w:sz w:val="24"/>
          <w:szCs w:val="24"/>
        </w:rPr>
      </w:pPr>
    </w:p>
    <w:p w14:paraId="5E35B9D0" w14:textId="77777777" w:rsidR="0053164C" w:rsidRDefault="0053164C" w:rsidP="0053164C">
      <w:pPr>
        <w:spacing w:after="0" w:line="240" w:lineRule="auto"/>
        <w:jc w:val="both"/>
        <w:rPr>
          <w:rFonts w:ascii="Tw Cen MT" w:eastAsia="Twentieth Century" w:hAnsi="Tw Cen MT" w:cs="Twentieth Century"/>
          <w:sz w:val="24"/>
          <w:szCs w:val="24"/>
        </w:rPr>
        <w:sectPr w:rsidR="0053164C" w:rsidSect="003E24C9">
          <w:type w:val="continuous"/>
          <w:pgSz w:w="12240" w:h="15840"/>
          <w:pgMar w:top="1440" w:right="1440" w:bottom="1440" w:left="1440" w:header="720" w:footer="720" w:gutter="0"/>
          <w:cols w:space="720"/>
        </w:sectPr>
      </w:pPr>
    </w:p>
    <w:p w14:paraId="36D6BA71" w14:textId="033ACE71" w:rsidR="0053164C" w:rsidRPr="0053164C" w:rsidRDefault="0053164C" w:rsidP="0053164C">
      <w:pPr>
        <w:spacing w:after="0" w:line="240" w:lineRule="auto"/>
        <w:ind w:firstLine="567"/>
        <w:jc w:val="both"/>
        <w:rPr>
          <w:rFonts w:ascii="Tw Cen MT" w:hAnsi="Tw Cen MT" w:cs="Times New Roman"/>
          <w:sz w:val="24"/>
          <w:szCs w:val="24"/>
        </w:rPr>
      </w:pPr>
      <w:r w:rsidRPr="0053164C">
        <w:rPr>
          <w:rFonts w:ascii="Tw Cen MT" w:hAnsi="Tw Cen MT" w:cs="Times New Roman"/>
          <w:sz w:val="24"/>
          <w:szCs w:val="24"/>
        </w:rPr>
        <w:t>Salah satu indikator dalam praktik pemberian MP-ASI adalah usia. Menurut WHO (2003), pemberian MP-ASI yang tepat diberikan ketika anak berusia 6 bulan atau 180 hari dan proses menyusui tetap dilanjutkan</w:t>
      </w:r>
      <w:r w:rsidRPr="0053164C">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d6033567-69a5-4737-a847-82cc8ced722d"]}],"mendeley":{"formattedCitation":"[6]","plainTextFormattedCitation":"[6]","previouslyFormattedCitation":"(6)"},"properties":{"noteIndex":0},"schema":"https://github.com/citation-style-language/schema/raw/master/csl-citation.json"}</w:instrText>
      </w:r>
      <w:r w:rsidRPr="0053164C">
        <w:rPr>
          <w:rFonts w:ascii="Tw Cen MT" w:hAnsi="Tw Cen MT" w:cs="Times New Roman"/>
          <w:sz w:val="24"/>
          <w:szCs w:val="24"/>
        </w:rPr>
        <w:fldChar w:fldCharType="separate"/>
      </w:r>
      <w:r w:rsidR="00C81D96" w:rsidRPr="00C81D96">
        <w:rPr>
          <w:rFonts w:ascii="Tw Cen MT" w:hAnsi="Tw Cen MT" w:cs="Times New Roman"/>
          <w:noProof/>
          <w:sz w:val="24"/>
          <w:szCs w:val="24"/>
        </w:rPr>
        <w:t>[6]</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ASI merupakan sumber zat gizi </w:t>
      </w:r>
      <w:r w:rsidRPr="0053164C">
        <w:rPr>
          <w:rFonts w:ascii="Tw Cen MT" w:hAnsi="Tw Cen MT" w:cs="Times New Roman"/>
          <w:sz w:val="24"/>
          <w:szCs w:val="24"/>
        </w:rPr>
        <w:t xml:space="preserve">utama yang mampu memenuhi segala kebutuhan gizi bayi hingga berusia 6 bulan. </w:t>
      </w:r>
      <w:r w:rsidRPr="0053164C">
        <w:rPr>
          <w:rFonts w:ascii="Tw Cen MT" w:hAnsi="Tw Cen MT" w:cs="Times New Roman"/>
          <w:sz w:val="24"/>
          <w:szCs w:val="24"/>
          <w:lang w:val="id-ID"/>
        </w:rPr>
        <w:t xml:space="preserve">Namun, setelah usia enam bulan, semakin sulit bagi bayi yang disusui untuk memenuhi kebutuhan </w:t>
      </w:r>
      <w:r w:rsidRPr="0053164C">
        <w:rPr>
          <w:rFonts w:ascii="Tw Cen MT" w:hAnsi="Tw Cen MT" w:cs="Times New Roman"/>
          <w:sz w:val="24"/>
          <w:szCs w:val="24"/>
        </w:rPr>
        <w:t>gizinya hanya</w:t>
      </w:r>
      <w:r w:rsidRPr="0053164C">
        <w:rPr>
          <w:rFonts w:ascii="Tw Cen MT" w:hAnsi="Tw Cen MT" w:cs="Times New Roman"/>
          <w:sz w:val="24"/>
          <w:szCs w:val="24"/>
          <w:lang w:val="id-ID"/>
        </w:rPr>
        <w:t xml:space="preserve"> dari ASI saja</w:t>
      </w:r>
      <w:r w:rsidRPr="0053164C">
        <w:rPr>
          <w:rFonts w:ascii="Tw Cen MT" w:hAnsi="Tw Cen MT" w:cs="Times New Roman"/>
          <w:sz w:val="24"/>
          <w:szCs w:val="24"/>
        </w:rPr>
        <w:t xml:space="preserve">, sehingga perlu tambahan dari MP-ASI. </w:t>
      </w:r>
      <w:r w:rsidRPr="0053164C">
        <w:rPr>
          <w:rFonts w:ascii="Tw Cen MT" w:hAnsi="Tw Cen MT" w:cs="Times New Roman"/>
          <w:sz w:val="24"/>
          <w:szCs w:val="24"/>
          <w:lang w:val="id-ID"/>
        </w:rPr>
        <w:t xml:space="preserve">Selain </w:t>
      </w:r>
      <w:r w:rsidRPr="0053164C">
        <w:rPr>
          <w:rFonts w:ascii="Tw Cen MT" w:hAnsi="Tw Cen MT" w:cs="Times New Roman"/>
          <w:sz w:val="24"/>
          <w:szCs w:val="24"/>
          <w:lang w:val="id-ID"/>
        </w:rPr>
        <w:lastRenderedPageBreak/>
        <w:t xml:space="preserve">itu, sebagian besar bayi secara perkembangan siap untuk </w:t>
      </w:r>
      <w:r w:rsidRPr="0053164C">
        <w:rPr>
          <w:rFonts w:ascii="Tw Cen MT" w:hAnsi="Tw Cen MT" w:cs="Times New Roman"/>
          <w:sz w:val="24"/>
          <w:szCs w:val="24"/>
        </w:rPr>
        <w:t xml:space="preserve">menerima </w:t>
      </w:r>
      <w:r w:rsidRPr="0053164C">
        <w:rPr>
          <w:rFonts w:ascii="Tw Cen MT" w:hAnsi="Tw Cen MT" w:cs="Times New Roman"/>
          <w:sz w:val="24"/>
          <w:szCs w:val="24"/>
          <w:lang w:val="id-ID"/>
        </w:rPr>
        <w:t xml:space="preserve">makanan </w:t>
      </w:r>
      <w:r w:rsidRPr="0053164C">
        <w:rPr>
          <w:rFonts w:ascii="Tw Cen MT" w:hAnsi="Tw Cen MT" w:cs="Times New Roman"/>
          <w:sz w:val="24"/>
          <w:szCs w:val="24"/>
        </w:rPr>
        <w:t xml:space="preserve">selain dari ASI </w:t>
      </w:r>
      <w:r w:rsidRPr="0053164C">
        <w:rPr>
          <w:rFonts w:ascii="Tw Cen MT" w:hAnsi="Tw Cen MT" w:cs="Times New Roman"/>
          <w:sz w:val="24"/>
          <w:szCs w:val="24"/>
          <w:lang w:val="id-ID"/>
        </w:rPr>
        <w:t>sekitar</w:t>
      </w:r>
      <w:r w:rsidRPr="0053164C">
        <w:rPr>
          <w:rFonts w:ascii="Tw Cen MT" w:hAnsi="Tw Cen MT" w:cs="Times New Roman"/>
          <w:sz w:val="24"/>
          <w:szCs w:val="24"/>
        </w:rPr>
        <w:t xml:space="preserve"> usia</w:t>
      </w:r>
      <w:r w:rsidRPr="0053164C">
        <w:rPr>
          <w:rFonts w:ascii="Tw Cen MT" w:hAnsi="Tw Cen MT" w:cs="Times New Roman"/>
          <w:sz w:val="24"/>
          <w:szCs w:val="24"/>
          <w:lang w:val="id-ID"/>
        </w:rPr>
        <w:t xml:space="preserve"> enam bulan</w:t>
      </w:r>
      <w:r w:rsidRPr="0053164C">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a0fd1f71-48a6-47fa-b95b-141622c2622a","http://www.mendeley.com/documents/?uuid=43b74df4-ac2a-432b-9e2d-96e634844ac4","http://www.mendeley.com/documents/?uuid=77296d76-935e-4d91-b7f1-d5a66789d313"]}],"mendeley":{"formattedCitation":"[13]","plainTextFormattedCitation":"[13]","previouslyFormattedCitation":"(13)"},"properties":{"noteIndex":0},"schema":"https://github.com/citation-style-language/schema/raw/master/csl-citation.json"}</w:instrText>
      </w:r>
      <w:r w:rsidRPr="0053164C">
        <w:rPr>
          <w:rFonts w:ascii="Tw Cen MT" w:hAnsi="Tw Cen MT" w:cs="Times New Roman"/>
          <w:sz w:val="24"/>
          <w:szCs w:val="24"/>
        </w:rPr>
        <w:fldChar w:fldCharType="separate"/>
      </w:r>
      <w:r w:rsidR="00C81D96" w:rsidRPr="00C81D96">
        <w:rPr>
          <w:rFonts w:ascii="Tw Cen MT" w:hAnsi="Tw Cen MT" w:cs="Times New Roman"/>
          <w:noProof/>
          <w:sz w:val="24"/>
          <w:szCs w:val="24"/>
        </w:rPr>
        <w:t>[13]</w:t>
      </w:r>
      <w:r w:rsidRPr="0053164C">
        <w:rPr>
          <w:rFonts w:ascii="Tw Cen MT" w:hAnsi="Tw Cen MT" w:cs="Times New Roman"/>
          <w:sz w:val="24"/>
          <w:szCs w:val="24"/>
        </w:rPr>
        <w:fldChar w:fldCharType="end"/>
      </w:r>
      <w:r w:rsidRPr="0053164C">
        <w:rPr>
          <w:rFonts w:ascii="Tw Cen MT" w:hAnsi="Tw Cen MT" w:cs="Times New Roman"/>
          <w:sz w:val="24"/>
          <w:szCs w:val="24"/>
        </w:rPr>
        <w:t>. Adapun tanda bahwa anak sudah siap untuk menerima MP-ASI</w:t>
      </w:r>
      <w:r w:rsidRPr="0053164C">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f5a99c48-5f06-4c32-a250-eccdc74f8f02","http://www.mendeley.com/documents/?uuid=f41e6871-01b6-4996-a0a6-1ef1273ce999","http://www.mendeley.com/documents/?uuid=8fcaea8b-2173-40b0-af81-444b91c7ca0c"]}],"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00C81D96" w:rsidRPr="00C81D96">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 xml:space="preserve"> adalah anak dapat duduk dengan leher tegak dan mengangkat kepalanya sendiri tanpa memerlukan bantuan, anak menunjukkan ketertarikan terhadap makanan dan ana</w:t>
      </w:r>
      <w:r w:rsidRPr="0053164C">
        <w:rPr>
          <w:rFonts w:ascii="Tw Cen MT" w:hAnsi="Tw Cen MT" w:cs="Times New Roman"/>
          <w:sz w:val="24"/>
          <w:szCs w:val="24"/>
          <w:lang w:val="id-ID"/>
        </w:rPr>
        <w:t>k</w:t>
      </w:r>
      <w:r w:rsidRPr="0053164C">
        <w:rPr>
          <w:rFonts w:ascii="Tw Cen MT" w:hAnsi="Tw Cen MT" w:cs="Times New Roman"/>
          <w:sz w:val="24"/>
          <w:szCs w:val="24"/>
        </w:rPr>
        <w:t xml:space="preserve"> menjadi lebih lapar, dan tetap menunjukkan tanda lapar, walaupun ibu sudah memberikan ASI secara rutin.</w:t>
      </w:r>
    </w:p>
    <w:p w14:paraId="66BB5531" w14:textId="2501A913" w:rsidR="0053164C" w:rsidRPr="0053164C" w:rsidRDefault="0053164C" w:rsidP="0053164C">
      <w:pPr>
        <w:spacing w:after="0" w:line="240" w:lineRule="auto"/>
        <w:ind w:firstLine="567"/>
        <w:jc w:val="both"/>
        <w:rPr>
          <w:rFonts w:ascii="Tw Cen MT" w:hAnsi="Tw Cen MT" w:cs="Times New Roman"/>
          <w:sz w:val="24"/>
          <w:szCs w:val="24"/>
        </w:rPr>
      </w:pPr>
      <w:r w:rsidRPr="0053164C">
        <w:rPr>
          <w:rFonts w:ascii="Tw Cen MT" w:eastAsia="Times New Roman" w:hAnsi="Tw Cen MT" w:cs="Times New Roman"/>
          <w:color w:val="111111"/>
          <w:sz w:val="24"/>
          <w:szCs w:val="24"/>
          <w:lang w:eastAsia="id-ID"/>
        </w:rPr>
        <w:t>Berdasarkan Tabel 3, terdapat 71% anak yang menerima MP-ASI sebelum berusia 6 bulan.</w:t>
      </w:r>
      <w:r w:rsidRPr="0053164C">
        <w:rPr>
          <w:rFonts w:ascii="Tw Cen MT" w:hAnsi="Tw Cen MT" w:cs="Times New Roman"/>
          <w:sz w:val="24"/>
          <w:szCs w:val="24"/>
        </w:rPr>
        <w:t xml:space="preserve"> Berdasarkan hasil wawancara, diketahui usia paling awal bayi memperoleh MP-ASI adalah ketika berusia 1 bulan. Kelompok makanan yang diperkenalkan untuk pertama kalinya juga bervariasi, seperti air putih, air madu, pisang, susu formula, bahkan bubur halus. Bayi sereng rewel, gelisah, bahkan menangis, menjadi alasan pemberian MP-ASI dini. Para ibu berasumsi bahwa anak rewel dan menangis karena lapar sehingga ibu menganggap pemberian ASI tidak lagi mencukupi kebutuhan si anak. </w:t>
      </w:r>
      <w:r w:rsidRPr="0053164C">
        <w:rPr>
          <w:rFonts w:ascii="Tw Cen MT" w:eastAsia="Times New Roman" w:hAnsi="Tw Cen MT" w:cs="Times New Roman"/>
          <w:color w:val="111111"/>
          <w:sz w:val="24"/>
          <w:szCs w:val="24"/>
          <w:lang w:eastAsia="id-ID"/>
        </w:rPr>
        <w:t>Pengenalan awal MP-ASI dapat menyebabkan timbulnya masalah pencernaan seperti muntah, diare dan sembelit</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{"citationItems":[{"id":"ITEM-1","itemData":{"DOI":"10.33860/jik.v17i1.1889","ISSN":"1907-459X","abstract":"In 2021, the prevalence of stunting among toddlers in Wani Primary Health Care (Puskesmas) was still high at 18.2%. Delayed introduction of complementary feeding (MP-ASI) and inappropriate feeding practices, such as lack of responsive feeding, contribute to the occurrence of stunting. The objective of this study was to investigate the relationship between the timing of MP-ASI introduction and maternal knowledge of responsive feeding with the occurrence of stunting among children aged 6 to 24 months. This research employed a cross-sectional design using quantitative analytic observational methods. Simple random sampling was used to select the sample, and data were collected through questionnaire surveys from 126 mothers with children between the ages of 6 and 24 months. The study was conducted in the communities of Nupa Bomba, Bale, and Wani Lumbumpetigo, all located within the working area of Wani Primary Health Care. The results showed that 80.2% of the timing of MP-ASI introduction was inappropriate, and 62.7% of the mothers had insufficient knowledge of responsive feeding. The chi-square test revealed a significant association between the timing of MP-ASI introduction and the occurrence of stunting (p value = 0.047, OR = 0.290), as well as between the occurrence of stunting and maternal knowledge of responsive feeding (p value = 0.008, OR = 0.298). In conclusion, there is a relationship between the occurrence of stunting and the timing of MP-ASI introduction, as well as maternal knowledge of responsive feeding. It is recommended to enhance parental knowledge and attitudes and prevent stunting by providing nutrition education through counseling on proper complementary feeding and responsible childcare practices. This study highlights the importance of improving education and support for mothers to prevent stunting.","author":[{"dropping-particle":"","family":"Waqiyah","given":"Hidayatul","non-dropping-particle":"","parse-names":false,"suffix":""},{"dropping-particle":"","family":"Maineny","given":"Arie","non-dropping-particle":"","parse-names":false,"suffix":""},{"dropping-particle":"","family":"Nurfatimah","given":"Nurfatimah","non-dropping-particle":"","parse-names":false,"suffix":""}],"container-title":"Poltekita : Jurnal Ilmu Kesehatan","id":"ITEM-1","issue":"1","issued":{"date-parts":[["2023"]]},"page":"147-154","title":"The Relationship between the Timing of Complementary Feeding and Maternal Knowledge of Responsive Feeding and the Incidence of Stunting in Children Aged 6-24 Months","type":"article-journal","volume":"17"},"uris":["http://www.mendeley.com/documents/?uuid=787a7bc6-731b-4c76-a143-14715dc8bee2","http://www.mendeley.com/documents/?uuid=ca269cea-01fe-487e-b853-afa89d5ee4d4"]}],"mendeley":{"formattedCitation":"[15]","plainTextFormattedCitation":"[15]","previouslyFormattedCitation":"(15)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[15]</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Hal ini disebabkan karena sistem pencernaan anak dalam mengolah makanan padat belum berfungsi optimal.</w:t>
      </w:r>
    </w:p>
    <w:p w14:paraId="3BC03854" w14:textId="0ECB277F"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Hasil penelitian ini sejalan dengan penelitian yang dilakukan Nai (2014), dimana tidak ditemukan hubunga</w:t>
      </w:r>
      <w:r w:rsidRPr="0053164C">
        <w:rPr>
          <w:rFonts w:ascii="Tw Cen MT" w:eastAsia="Times New Roman" w:hAnsi="Tw Cen MT"/>
          <w:color w:val="111111"/>
          <w:sz w:val="24"/>
          <w:szCs w:val="24"/>
          <w:lang w:eastAsia="id-ID"/>
        </w:rPr>
        <w:t xml:space="preserve">n </w:t>
      </w:r>
      <w:r w:rsidRPr="0053164C">
        <w:rPr>
          <w:rFonts w:ascii="Tw Cen MT" w:eastAsia="Times New Roman" w:hAnsi="Tw Cen MT" w:cs="Times New Roman"/>
          <w:color w:val="111111"/>
          <w:sz w:val="24"/>
          <w:szCs w:val="24"/>
          <w:lang w:eastAsia="id-ID"/>
        </w:rPr>
        <w:t>yang signifikan antara tingkatan usia pengenalan MP-ASI dengan risiko kejadian stunting</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7d0f2ddc-6479-4cc7-984b-85d4c9b32b41","http://www.mendeley.com/documents/?uuid=d5930db6-f691-432e-b58a-e7cfb10d48fd"]}],"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Pada saat anak diberikan makanan tambahan selain ASI sebelum berusia 6 bulan, anak akan berisiko mengalami kontaminasi bakteri sehingga dapat menyebabkan timbulnya penyakit infeksi</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{"citationItems":[{"id":"ITEM-1","itemData":{"DOI":"10.22146/ijcn.53788","ISSN":"1693-900X","abstract":"Background: Indonesia’s national stunting prevalence remains high. The transition from exclusive breastfeeding to poor complementary feeding practices may put infants at higher risk of becoming stunting. Objective: This study aimed to analyze the relationship between the early introduction of complementary food and stunting among young children aged 6-23 months in Kebumen Regency. Methods: A cross-sectional study design was conducted among 307 young children in Kebumen Regency, Central Java Province, Indonesia, by using multistage cluster sampling. Our primary outcome was stunting or height-for-age z-score &lt;-2, whereas independent variables were child, maternal, and household factors. Univariate and multivariate logistic regression were performed to assess significant determinants at the level of significance 0.05. Results: Timely introduction of complementary food was a protective factor against stunting (AOR= 0.54; 95%CI: 0.31-0.94). Female children were less likely to be associated with stunting (AOR= 0.54; 95%CI: 0.32-0.93). Conversely, variables which significantly increased the risk of becoming stunting included older children aged 12-17 months (AOR= 2.01; 95%CI: 1.05-3.84) and 18-23 months (AOR= 4.17; 95%CI: 2.15-8.08) and maternal occupation in agricultural sectors (AOR= 3.77; 95%CI: 1.17-12.1). Conclusions: Child factors associated with stunting was the first timing of complementary feeding, child sex, and child age. The maternal factor linked to stunting was the mother's occupation in the agricultural sector. This study indicated that child and maternal factors play essential roles in childhood stunting.","author":[{"dropping-particle":"","family":"Paramashanti","given":"Bunga Astria","non-dropping-particle":"","parse-names":false,"suffix":""},{"dropping-particle":"","family":"Benita","given":"Stella","non-dropping-particle":"","parse-names":false,"suffix":""}],"container-title":"Jurnal Gizi Klinik Indonesia","id":"ITEM-1","issue":"1","issued":{"date-parts":[["2020"]]},"page":"1","title":"Early introduction of complementary food and childhood stunting were linked among children aged 6-23 months","type":"article-journal","volume":"17"},"uris":["http://www.mendeley.com/documents/?uuid=bf815622-19d9-4d28-adfe-64086fea3867","http://www.mendeley.com/documents/?uuid=ebb078eb-c72e-488a-8606-326036adf8e3","http://www.mendeley.com/documents/?uuid=27dae0f4-521c-4991-99ff-bc9b98d79eba"]}],"mendeley":{"formattedCitation":"[17]","plainTextFormattedCitation":"[17]","previouslyFormattedCitation":"(17)"},"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[17]</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yang jika berlangsung lama dapat berdampak terhadap status gizi ataupun pertumbuhan anak. </w:t>
      </w:r>
      <w:r w:rsidRPr="0053164C">
        <w:rPr>
          <w:rFonts w:ascii="Tw Cen MT" w:eastAsia="Times New Roman" w:hAnsi="Tw Cen MT" w:cs="Times New Roman"/>
          <w:color w:val="111111"/>
          <w:sz w:val="24"/>
          <w:szCs w:val="24"/>
          <w:lang w:val="pt-BR" w:eastAsia="id-ID"/>
        </w:rPr>
        <w:t xml:space="preserve">Namun data mengenai penyakit infeksi tidak diteliti dalam penelitian ini. Pemberian </w:t>
      </w:r>
      <w:r w:rsidRPr="0053164C">
        <w:rPr>
          <w:rFonts w:ascii="Tw Cen MT" w:eastAsia="Times New Roman" w:hAnsi="Tw Cen MT" w:cs="Times New Roman"/>
          <w:color w:val="111111"/>
          <w:sz w:val="24"/>
          <w:szCs w:val="24"/>
          <w:lang w:val="pt-BR" w:eastAsia="id-ID"/>
        </w:rPr>
        <w:t>MP-ASI dini tidak secara langsung berdampak terhadap status gizi atau pertumbuhan anak melainkan terhadap status kesehatan anak. Pemberian MP-ASI dini akan menyebabkan anak memiliki risiko tinggi untuk tersedak, mengalami alergi makanan, penurunan asupan ASI atau susu formula</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val="pt-BR" w:eastAsia="id-ID"/>
        </w:rPr>
        <w:instrText>ADDIN CSL_CITATION {"citationItems":[{"id":"ITEM-1","itemData":{"DOI":"10.3389/fnut.2016.00041","ISSN":"2296861X","abstract":"Breastfeeding provides the ideal food during the first 6 months of life. Complementary feeding starts when breast milk is no longer sufficient by itself, where the target age is for 6–23 months. The gap between nutritional requirement and amount obtained from breast milk increases with age. For energy, 200, 300, and 550 kcal per day is expected to be covered by complementary foods at 6–8, 9–11, and 12–23 months, respectively. In addition, the complementary foods must provide relatively large proportions of micronutrients such as iron, zinc, phosphorus, magnesium, calcium, and vitamin B6. In several parts of the developing world, complementary feeding continues as a challenge to good nutrition in children. In Ethiopia, only 4.2% of breastfed children of 6–23 months of age have a minimum acceptable diet. The gaps are mostly attributed to either poor dietary quality or poor feeding practices, if not both. Commercial fortified foods are often beyond the reach of the poor. Thus, homemade complementary foods remain commonly used. Even when based on an improved recipe, however, unfortified plant-based complementary foods provide insufficient key micronutrients (especially, iron, zinc, and calcium) during the age of 6–23 months. Thus, this review assessed complementary feeding practice and recommendation and reviewed the level of adequacy of homemade complementary foods.","author":[{"dropping-particle":"","family":"Abeshu","given":"Motuma Adimasu","non-dropping-particle":"","parse-names":false,"suffix":""},{"dropping-particle":"","family":"Lelisa","given":"Azeb","non-dropping-particle":"","parse-names":false,"suffix":""},{"dropping-particle":"","family":"Geleta","given":"Bekesho","non-dropping-particle":"","parse-names":false,"suffix":""}],"container-title":"Frontiers in Nutrition","id":"ITEM-1","issued":{"date-parts":[["2016"]]},"page":"41","title":"Complementary Feeding: Review of Recommendations, Feeding Practices, and Adequacy of Homemade Complementary Food Preparations in Developing Countries – Lessons from Ethiopia","type":"article-journal","volume":"3"},"uris":["http://www.mendeley.com/documents/?uuid=0f14a783-8e81-44de-ab7d-86c0e902d272","http://www.mendeley.com/documents/?uuid=fa038282-0179-4379-97ab-273265f829db"]}],"mendeley":{"formattedCitation":"[18]","plainTextFormattedCitation":"[18]","previouslyFormattedCitation":"(18)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val="pt-BR" w:eastAsia="id-ID"/>
        </w:rPr>
        <w:t>[18]</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val="pt-BR" w:eastAsia="id-ID"/>
        </w:rPr>
        <w:t>. Selain itu, pengenalan awal MP-ASI seperti susu sapi, buah dan jus buah juga dapat meningkatkan risiko masalah kesehatan lainnya, misalnya Diabetes Mellitus Tipe 1</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val="pt-BR"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Pediatrics","id":"ITEM-1","issue":"1","issued":{"date-parts":[["2015","12"]]},"page":"36","publisher":"BioMed Central","title":"Recommendations on complementary feeding for healthy, full-term infants","type":"article-journal","volume":"41"},"uris":["http://www.mendeley.com/documents/?uuid=23539c6d-cc56-393c-98b3-29b467ed1a7c","http://www.mendeley.com/documents/?uuid=c7d2a541-c54d-416a-bf3c-bf41245f7f39","http://www.mendeley.com/documents/?uuid=f49f21d2-2640-40d0-b370-c3253199b4ce"]}],"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i/>
          <w:iCs/>
          <w:color w:val="111111"/>
          <w:sz w:val="24"/>
          <w:szCs w:val="24"/>
          <w:lang w:eastAsia="id-ID"/>
        </w:rPr>
        <w:t xml:space="preserve">American Academy of Pediatrics </w:t>
      </w:r>
      <w:r w:rsidRPr="0053164C">
        <w:rPr>
          <w:rFonts w:ascii="Tw Cen MT" w:eastAsia="Times New Roman" w:hAnsi="Tw Cen MT" w:cs="Times New Roman"/>
          <w:color w:val="111111"/>
          <w:sz w:val="24"/>
          <w:szCs w:val="24"/>
          <w:lang w:eastAsia="id-ID"/>
        </w:rPr>
        <w:t>(AAP) menyarankan bahwa bayi &lt;6 bulan tidak diperbolehkan untuk mengkonsumsi jus buah hingga berusia 1 tahun</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583DCE33" w14:textId="62BFCAAA"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Berdasarkan hasil analisis Tabel 3, diketahui bahwa tidak terdapat hubungan yang signifikan antara tekstur MP-ASI yang diberikan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=0.523). </w:t>
      </w:r>
      <w:r w:rsidRPr="0053164C">
        <w:rPr>
          <w:rFonts w:ascii="Tw Cen MT" w:eastAsia="Calibri" w:hAnsi="Tw Cen MT" w:cs="Times New Roman"/>
          <w:sz w:val="24"/>
          <w:szCs w:val="24"/>
        </w:rPr>
        <w:t>Menurut</w:t>
      </w:r>
      <w:r w:rsidRPr="0053164C">
        <w:rPr>
          <w:rFonts w:ascii="Tw Cen MT" w:eastAsia="Calibri" w:hAnsi="Tw Cen MT" w:cs="Times New Roman"/>
          <w:sz w:val="24"/>
          <w:szCs w:val="24"/>
          <w:lang w:val="id-ID"/>
        </w:rPr>
        <w:t xml:space="preserve"> </w:t>
      </w:r>
      <w:r w:rsidRPr="0053164C">
        <w:rPr>
          <w:rFonts w:ascii="Tw Cen MT" w:eastAsia="Calibri" w:hAnsi="Tw Cen MT" w:cs="Times New Roman"/>
          <w:sz w:val="24"/>
          <w:szCs w:val="24"/>
        </w:rPr>
        <w:t>IDAI tahun 2018, tekstur MP-ASI diberikan secara bertahap sesuai perkembangan usia, dimulai dari makanan yang dihaluskan hingga menjadi bubur kental (</w:t>
      </w:r>
      <w:r w:rsidRPr="0053164C">
        <w:rPr>
          <w:rFonts w:ascii="Tw Cen MT" w:eastAsia="Calibri" w:hAnsi="Tw Cen MT" w:cs="Times New Roman"/>
          <w:i/>
          <w:iCs/>
          <w:sz w:val="24"/>
          <w:szCs w:val="24"/>
        </w:rPr>
        <w:t xml:space="preserve">puree) </w:t>
      </w:r>
      <w:r w:rsidRPr="0053164C">
        <w:rPr>
          <w:rFonts w:ascii="Tw Cen MT" w:eastAsia="Calibri" w:hAnsi="Tw Cen MT" w:cs="Times New Roman"/>
          <w:sz w:val="24"/>
          <w:szCs w:val="24"/>
        </w:rPr>
        <w:t>untuk usia 6 bulan</w:t>
      </w:r>
      <w:r w:rsidRPr="0053164C">
        <w:rPr>
          <w:rFonts w:ascii="Tw Cen MT" w:eastAsia="Calibri" w:hAnsi="Tw Cen MT" w:cs="Times New Roman"/>
          <w:i/>
          <w:iCs/>
          <w:sz w:val="24"/>
          <w:szCs w:val="24"/>
        </w:rPr>
        <w:t xml:space="preserve">, </w:t>
      </w:r>
      <w:r w:rsidRPr="0053164C">
        <w:rPr>
          <w:rFonts w:ascii="Tw Cen MT" w:eastAsia="Calibri" w:hAnsi="Tw Cen MT" w:cs="Times New Roman"/>
          <w:sz w:val="24"/>
          <w:szCs w:val="24"/>
        </w:rPr>
        <w:t>makanan yang dilumatkan halus (</w:t>
      </w:r>
      <w:r w:rsidRPr="0053164C">
        <w:rPr>
          <w:rFonts w:ascii="Tw Cen MT" w:eastAsia="Calibri" w:hAnsi="Tw Cen MT" w:cs="Times New Roman"/>
          <w:i/>
          <w:iCs/>
          <w:sz w:val="24"/>
          <w:szCs w:val="24"/>
        </w:rPr>
        <w:t>mashed)</w:t>
      </w:r>
      <w:r w:rsidRPr="0053164C">
        <w:rPr>
          <w:rFonts w:ascii="Tw Cen MT" w:eastAsia="Calibri" w:hAnsi="Tw Cen MT" w:cs="Times New Roman"/>
          <w:sz w:val="24"/>
          <w:szCs w:val="24"/>
        </w:rPr>
        <w:t xml:space="preserve"> untuk usia 6-9 bulan</w:t>
      </w:r>
      <w:r w:rsidRPr="0053164C">
        <w:rPr>
          <w:rFonts w:ascii="Tw Cen MT" w:eastAsia="Calibri" w:hAnsi="Tw Cen MT" w:cs="Times New Roman"/>
          <w:i/>
          <w:iCs/>
          <w:sz w:val="24"/>
          <w:szCs w:val="24"/>
        </w:rPr>
        <w:t xml:space="preserve">, </w:t>
      </w:r>
      <w:r w:rsidRPr="0053164C">
        <w:rPr>
          <w:rFonts w:ascii="Tw Cen MT" w:eastAsia="Calibri" w:hAnsi="Tw Cen MT" w:cs="Times New Roman"/>
          <w:sz w:val="24"/>
          <w:szCs w:val="24"/>
        </w:rPr>
        <w:t>makanan yang dicincang halus (</w:t>
      </w:r>
      <w:r w:rsidRPr="0053164C">
        <w:rPr>
          <w:rFonts w:ascii="Tw Cen MT" w:eastAsia="Calibri" w:hAnsi="Tw Cen MT" w:cs="Times New Roman"/>
          <w:i/>
          <w:iCs/>
          <w:sz w:val="24"/>
          <w:szCs w:val="24"/>
        </w:rPr>
        <w:t xml:space="preserve">minced), </w:t>
      </w:r>
      <w:r w:rsidRPr="0053164C">
        <w:rPr>
          <w:rFonts w:ascii="Tw Cen MT" w:eastAsia="Calibri" w:hAnsi="Tw Cen MT" w:cs="Times New Roman"/>
          <w:sz w:val="24"/>
          <w:szCs w:val="24"/>
        </w:rPr>
        <w:t>dicincang kasar (</w:t>
      </w:r>
      <w:r w:rsidRPr="0053164C">
        <w:rPr>
          <w:rFonts w:ascii="Tw Cen MT" w:eastAsia="Calibri" w:hAnsi="Tw Cen MT" w:cs="Times New Roman"/>
          <w:i/>
          <w:iCs/>
          <w:sz w:val="24"/>
          <w:szCs w:val="24"/>
        </w:rPr>
        <w:t xml:space="preserve">chopped), </w:t>
      </w:r>
      <w:r w:rsidRPr="0053164C">
        <w:rPr>
          <w:rFonts w:ascii="Tw Cen MT" w:eastAsia="Calibri" w:hAnsi="Tw Cen MT" w:cs="Times New Roman"/>
          <w:sz w:val="24"/>
          <w:szCs w:val="24"/>
        </w:rPr>
        <w:t>atau makanan yang dapat dipegang sendiri (</w:t>
      </w:r>
      <w:r w:rsidRPr="0053164C">
        <w:rPr>
          <w:rFonts w:ascii="Tw Cen MT" w:eastAsia="Calibri" w:hAnsi="Tw Cen MT" w:cs="Times New Roman"/>
          <w:i/>
          <w:iCs/>
          <w:sz w:val="24"/>
          <w:szCs w:val="24"/>
        </w:rPr>
        <w:t xml:space="preserve">finger foods) </w:t>
      </w:r>
      <w:r w:rsidRPr="0053164C">
        <w:rPr>
          <w:rFonts w:ascii="Tw Cen MT" w:eastAsia="Calibri" w:hAnsi="Tw Cen MT" w:cs="Times New Roman"/>
          <w:sz w:val="24"/>
          <w:szCs w:val="24"/>
        </w:rPr>
        <w:t>untuk usia 9-12 bulan, serta makanan keluarga yang dihaluskan atau dicincang seperlunya untuk usia diatas 12 bulan</w:t>
      </w:r>
      <w:r w:rsidRPr="0053164C">
        <w:rPr>
          <w:rFonts w:ascii="Tw Cen MT" w:eastAsia="Calibri" w:hAnsi="Tw Cen MT" w:cs="Times New Roman"/>
          <w:sz w:val="24"/>
          <w:szCs w:val="24"/>
          <w:lang w:val="id-ID"/>
        </w:rPr>
        <w:fldChar w:fldCharType="begin" w:fldLock="1"/>
      </w:r>
      <w:r w:rsidR="00C81D96">
        <w:rPr>
          <w:rFonts w:ascii="Tw Cen MT" w:eastAsia="Calibri" w:hAnsi="Tw Cen MT" w:cs="Times New Roman"/>
          <w:sz w:val="24"/>
          <w:szCs w:val="24"/>
          <w:lang w:val="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Calibri" w:hAnsi="Tw Cen MT" w:cs="Times New Roman"/>
          <w:sz w:val="24"/>
          <w:szCs w:val="24"/>
          <w:lang w:val="id-ID"/>
        </w:rPr>
        <w:fldChar w:fldCharType="separate"/>
      </w:r>
      <w:r w:rsidR="00C81D96" w:rsidRPr="00C81D96">
        <w:rPr>
          <w:rFonts w:ascii="Tw Cen MT" w:eastAsia="Calibri" w:hAnsi="Tw Cen MT" w:cs="Times New Roman"/>
          <w:noProof/>
          <w:sz w:val="24"/>
          <w:szCs w:val="24"/>
          <w:lang w:val="id-ID"/>
        </w:rPr>
        <w:t>[14]</w:t>
      </w:r>
      <w:r w:rsidRPr="0053164C">
        <w:rPr>
          <w:rFonts w:ascii="Tw Cen MT" w:eastAsia="Calibri" w:hAnsi="Tw Cen MT" w:cs="Times New Roman"/>
          <w:sz w:val="24"/>
          <w:szCs w:val="24"/>
          <w:lang w:val="id-ID"/>
        </w:rPr>
        <w:fldChar w:fldCharType="end"/>
      </w:r>
      <w:r w:rsidRPr="0053164C">
        <w:rPr>
          <w:rFonts w:ascii="Tw Cen MT" w:eastAsia="Calibri" w:hAnsi="Tw Cen MT" w:cs="Times New Roman"/>
          <w:sz w:val="24"/>
          <w:szCs w:val="24"/>
        </w:rPr>
        <w:t xml:space="preserve">. Hasil penelitian ini menunjukkan bahwa sebanyak </w:t>
      </w:r>
      <w:r w:rsidRPr="0053164C">
        <w:rPr>
          <w:rFonts w:ascii="Tw Cen MT" w:eastAsia="Times New Roman" w:hAnsi="Tw Cen MT" w:cs="Times New Roman"/>
          <w:color w:val="111111"/>
          <w:sz w:val="24"/>
          <w:szCs w:val="24"/>
          <w:lang w:eastAsia="id-ID"/>
        </w:rPr>
        <w:t xml:space="preserve">70% anak belum mendapatkan MP-ASI dengan tekstur yang sesuai dengan usianya. </w:t>
      </w:r>
    </w:p>
    <w:p w14:paraId="561C52A4" w14:textId="7F97724A"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Pemberian MP-ASI dengan tekstur yang tidak sesuai dengan tahapan usia tidak berdampak secara langsung terhadap status gizi. Menurut</w:t>
      </w:r>
      <w:r w:rsidRPr="0053164C">
        <w:rPr>
          <w:rFonts w:ascii="Tw Cen MT" w:eastAsia="Times New Roman" w:hAnsi="Tw Cen MT" w:cs="Times New Roman"/>
          <w:color w:val="111111"/>
          <w:sz w:val="24"/>
          <w:szCs w:val="24"/>
          <w:lang w:val="id-ID" w:eastAsia="id-ID"/>
        </w:rPr>
        <w:t xml:space="preserve"> WHO (2003)</w:t>
      </w:r>
      <w:r w:rsidRPr="0053164C">
        <w:rPr>
          <w:rFonts w:ascii="Tw Cen MT" w:eastAsia="Times New Roman" w:hAnsi="Tw Cen MT" w:cs="Times New Roman"/>
          <w:color w:val="111111"/>
          <w:sz w:val="24"/>
          <w:szCs w:val="24"/>
          <w:lang w:eastAsia="id-ID"/>
        </w:rPr>
        <w:t>, apabila anak diberikan makanan dengan tekstur yang tidak sesuai dengan perkembangan usianya, anak mungkin tidak dapat mengkonsumsi porsi makanan yang diberikan atau anak memerlukan waktu yang lebih lama untuk menghabiskan makanannya sehingga asupan makan menjadi terganggu</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d6033567-69a5-4737-a847-82cc8ced722d"]}],"mendeley":{"formattedCitation":"[6]","plainTextFormattedCitation":"[6]","previouslyFormattedCitation":"(6)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jika dibiarkan </w:t>
      </w:r>
      <w:r w:rsidRPr="0053164C">
        <w:rPr>
          <w:rFonts w:ascii="Tw Cen MT" w:eastAsia="Times New Roman" w:hAnsi="Tw Cen MT" w:cs="Times New Roman"/>
          <w:color w:val="111111"/>
          <w:sz w:val="24"/>
          <w:szCs w:val="24"/>
          <w:lang w:eastAsia="id-ID"/>
        </w:rPr>
        <w:lastRenderedPageBreak/>
        <w:t>dalam waktu yang lama akan berdampak terhadap peurunan status gizi. Pemberian MP-ASI dengan tekstur keras terlalu awal tidak dianjurkan karena akan menyebabkan anak membutuhkan waktu yang lebih lama untuk mengunyah sehingga jumlah asupan menjadi berkurang dan berdampak secara tidak langsung terhadap status gizi anak</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id":"ITEM-1","issue":"2","issued":{"date-parts":[["2020"]]},"page":"81-88","title":"Praktik Pemberian Mp-Asi Terhadap Risiko Stunting Pada Anak Usia 6-12 Bulan Di Lombok Tengah","type":"article-journal","volume":"43"},"uris":["http://www.mendeley.com/documents/?uuid=9e4536de-770c-4b9b-86a5-2458d5e7e85d"]}],"mendeley":{"formattedCitation":"[20]","plainTextFormattedCitation":"[20]","previouslyFormattedCitation":"(20)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Pemberian makanan dengan tekstur bubur dalam waktu yang lama juga harus dihindari. Pengenalan terhadap tekstur makanan yang tepat berkaitan dengan fungsi berbicara, mengingat organ-organ yang terlibat dalam proses mengunyah juga terlibat dalam proses pelafalan</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{"citationItems":[{"id":"ITEM-1","itemData":{"DOI":"10.1016/j.arcped.2017.10.025","ISSN":"1769664X","PMID":"29273447","abstract":"Introduction: Complementary feeding plays a crucial role in the development of infants and toddlers and studies suggest benefits specific to the introduction of food textures. Objectives: Evaluate the recommendations given to parents, their practices, and their attitudes towards the introduction of food textures during complementary feeding in France. Methods: This was a cross-sectional pilot study conducted in 2013. One hundred and eighty-one parents with at least one child aged 6–36 months living in France completed an ad hoc questionnaire. Results: Eighty-eight percent of the parents surveyed received oral information on complementary feeding, but only 46% received such information on the introduction of food textures. Pediatricians were the most frequently listed source of oral information on complementary feeding. More than half the parents also looked for additional information in books and on the internet. While oral recommendations matched parents’ practices, they seemed to occur at a later age compared to infants’ physiological ability to handle new textures. The quality of information on food texture advice available in paper and electronic formats evaluated using a 4-point scale was found to be limited. Introducing new food texture was spontaneously reported as the most common difficulty in complementary feeding (16%). Fear of choking when first introducing food pieces was reported by 54% of the parents. Conclusions: The parents’ lack of information on the introduction of food textures, as well as their fear that their child may choke, should encourage providing new recommendations in France.","author":[{"dropping-particle":"","family":"Marduel Boulanger","given":"A.","non-dropping-particle":"","parse-names":false,"suffix":""},{"dropping-particle":"","family":"Vernet","given":"M.","non-dropping-particle":"","parse-names":false,"suffix":""}],"container-title":"Archives de Pediatrie","id":"ITEM-1","issue":"1","issued":{"date-parts":[["2018"]]},"page":"6-12","publisher":"Elsevier Masson SAS","title":"Introduction of new food textures during complementary feeding: Observations in France","type":"article-journal","volume":"25"},"uris":["http://www.mendeley.com/documents/?uuid=0c208f1d-f660-4033-8c74-d3e5ceefd99b","http://www.mendeley.com/documents/?uuid=517b20aa-2b2e-4f3f-a050-bdb570808eee","http://www.mendeley.com/documents/?uuid=13236e8b-8c17-4ef5-bd8e-475b2927897e"]}],"mendeley":{"formattedCitation":"[21]","plainTextFormattedCitation":"[21]","previouslyFormattedCitation":"(21)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
    <w:p w14:paraId="179B4ECC" w14:textId="414D0279"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val="id-ID" w:eastAsia="id-ID"/>
        </w:rPr>
        <w:t xml:space="preserve">Berdasarkan Tabel </w:t>
      </w:r>
      <w:r w:rsidRPr="0053164C">
        <w:rPr>
          <w:rFonts w:ascii="Tw Cen MT" w:eastAsia="Times New Roman" w:hAnsi="Tw Cen MT" w:cs="Times New Roman"/>
          <w:color w:val="111111"/>
          <w:sz w:val="24"/>
          <w:szCs w:val="24"/>
          <w:lang w:eastAsia="id-ID"/>
        </w:rPr>
        <w:t>3,</w:t>
      </w:r>
      <w:r w:rsidRPr="0053164C">
        <w:rPr>
          <w:rFonts w:ascii="Tw Cen MT" w:eastAsia="Times New Roman" w:hAnsi="Tw Cen MT" w:cs="Times New Roman"/>
          <w:color w:val="111111"/>
          <w:sz w:val="24"/>
          <w:szCs w:val="24"/>
          <w:lang w:val="id-ID" w:eastAsia="id-ID"/>
        </w:rPr>
        <w:t xml:space="preserve"> proporsi anak yang mendapatkan frekuensi MP-ASI yang tidak sesuai kategori umur lebih besar (66%) dibandingkan yang sesuai (34%).</w:t>
      </w:r>
      <w:r w:rsidRPr="0053164C">
        <w:rPr>
          <w:rFonts w:ascii="Tw Cen MT" w:eastAsia="Times New Roman" w:hAnsi="Tw Cen MT" w:cs="Times New Roman"/>
          <w:color w:val="111111"/>
          <w:sz w:val="24"/>
          <w:szCs w:val="24"/>
          <w:lang w:eastAsia="id-ID"/>
        </w:rPr>
        <w:t xml:space="preserve"> Frekuensi makan anak seharusnya 3-4x sehari, ternyata kenyataan di lapangan hanya diberikan 2-3x sehari saja. Anak yang tidak lagi menyusui sebaiknya diberikan makanan dengan frekuensi yang lebih sering</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{"citationItems":[{"id":"ITEM-1","itemData":{"ISSN":"2540-8844","abstract":"Latar Belakang Stunting atau perawakan pendek merupakan kondisi terhambatnya pertumbuhan tubuh akibat salah satu bentuk kekurangan gizi yang ditandai dengan tinggi badan menurut umur di bawah standar deviasi (&lt;-2SD) dengan referensi World Health Organization (WHO) tahun 2006. Tujuan Menganalisis peran pemberian makanan pendamping air susu ibu dini sebagai faktor risiko kejadian stunting pada anak usia 2-3 tahun. Metode Penelitian analitik observasional dengan rancangan penelitian kasus-kontrol. Sampel terdiri dari 104 anak umur 2-3 tahun di wilayah kerja Puskesmas Rowosari Kota Semarang selama periode Maret-Agustus 2017. Uji statistik menggunakan uji komparatif Chi-square . Hasil Berdasarkan 104 subjek kasus-kontrol di wilayah Puskesmas Rowosari Semarang, didapatkan hubungan bermakna pada pemberian MP-ASI dini ( p =0,000). Hubungan tidak bermakna didapatkan pada jenis MP-ASI ( p =0,680), konsistensi MP-ASI ( p= 0,290), pendapatan orang tua ( p= 1,000). Kesimpulan Pada penelitian ini terdapat hubungan yang signifikan pada variabel pemberian MP-ASI dini terhadap stunting . Selain itu terdapat hubungan yang tidak signifikan pada variabel jenis MP-ASI, konsistensi MP-ASI, dan pendapatan orang tua.","author":[{"dropping-particle":"","family":"Prihutama","given":"Noverian Yoshua","non-dropping-particle":"","parse-names":false,"suffix":""},{"dropping-particle":"","family":"Rahmadi","given":"Farid Agung","non-dropping-particle":"","parse-names":false,"suffix":""},{"dropping-particle":"","family":"Hardaningsih","given":"Galuh","non-dropping-particle":"","parse-names":false,"suffix":""}],"container-title":"Jurnal Kedokteran Diponegoro","id":"ITEM-1","issue":"2","issued":{"date-parts":[["2018"]]},"page":"1419-1430","title":"Pemberian Makanan Pendamping Asi Dini Sebagai Faktor Risiko Kejadian Stunting Pada Anak Usia 2-3 Tahun","type":"article-journal","volume":"7"},"uris":["http://www.mendeley.com/documents/?uuid=df87d372-1c9a-4236-9c7e-fbe7ba7b0fb1"]}],"mendeley":{"formattedCitation":"[10]","plainTextFormattedCitation":"[10]","previouslyFormattedCitation":"(10)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Anak berusia 6-12 bulan memerlukan makanan tambahan selain ASI untuk memenuhi kebutuhan energi dan zat gizi lainnya. Oleh karena itu, perlu pemberian makanan yang mengandung energi dan zat gizi yang tinggi atau melalui pemberian makanan sesering mungkin</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Namun, hasil analisa penelitian ini menunjukkan tidak terdapat hubungan yang signifikan antara frekuensi pemberian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 0.902). Hasil ini berbeda dengan penelitian </w:t>
      </w:r>
      <w:r w:rsidRPr="0053164C">
        <w:rPr>
          <w:rFonts w:ascii="Tw Cen MT" w:eastAsia="Times New Roman" w:hAnsi="Tw Cen MT" w:cs="Times New Roman"/>
          <w:color w:val="111111"/>
          <w:sz w:val="24"/>
          <w:szCs w:val="24"/>
          <w:lang w:val="id-ID" w:eastAsia="id-ID"/>
        </w:rPr>
        <w:t xml:space="preserve">Wangiyana (2020), </w:t>
      </w:r>
      <w:r w:rsidRPr="0053164C">
        <w:rPr>
          <w:rFonts w:ascii="Tw Cen MT" w:eastAsia="Times New Roman" w:hAnsi="Tw Cen MT" w:cs="Times New Roman"/>
          <w:color w:val="111111"/>
          <w:sz w:val="24"/>
          <w:szCs w:val="24"/>
          <w:lang w:eastAsia="id-ID"/>
        </w:rPr>
        <w:t>dimana anak yang mendapatkan MP-ASI dengan frekuensi yang tidak tepat berisiko 2.02 kali lebih besar untuk mengalami stunting</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{"citationItems":[{"id":"ITEM-1","itemData":{"ISSN":"0125-9717","abstract":"Budaya jajan menjadi bagian dari keseharian pada hampir semua kelompok usia dan kelas sosial, termasuk anak usia sekolah dan golongan remaja. Makanan jajanan bermanfaat terhadap penganekaragaman makanan sejak kecil dalam rangka peningkatan mutu gizi makanan yang dikonsumsi. Aspek negatif makanan jajanan yaitu apabila dikonsumsi berlebihan dapat menyebabkan terjadinya kelebihan asupan energi. Seringnya mengkonsumsi makanan diluar rumah berkaitan dengan rendahnya asupan buah dan sayuran dan rendahnya asupan mikronutrien Kontribusi dari makanan jajanan tinggi akan lemak dan lemak jenuh serta kurang akan kalsium, serat, dan zat besi dibandingkan dengan makanan dari rumah. Tujuan penelitian untuk mengetahui kontribusi zat gizi (energi, karbohidrat, lemak dan protein) makanan jajanan terhadap total energi. Analisis lanjut data Survey Konsumsi Makanan Individu 2014. Definisi makanan jajanan adalah makanan dan minuman yang diolah di luar rumah tetapi dikonsumsi di rumah tangga, makanan dan minuman yang diolah dan dikonsumsi di sekolah/tempat kerja serta makanan dan minuman yang diolah dan dikonsumsi selain tempat yang diatas (rumah makan, pedagang kaki lima, dll). Jumlah responden yang mengonsumsi makanan jajanan sebanyak 86.529 dengan sebaran tertinggi 53,9 persen diperkotaan, 51,5 persen pada perempuan, 44,3 persen pada kelompok umur 26-58 tahun dan 24,3 persen pada tingkat ekonomi teratas. Kontribusi makanan jajanan terhadap total asupan energi sehari sebesar 34,4 persen. (606,9 kkal), protein 4,7 persen (20,7 gr), lemak 11,6 persen (23,2 gr) dan karbohidrat 18,6 persen (81,1 gr). Kelompok bahan makanan jajanan yang sering dikonsumsi adalah serealia dan olahan serta kelompok umbi-umbian dan olahan. [Penel","author":[{"dropping-particle":"","family":"Wangiyana","given":"Ni Komang Ayu Swanitri","non-dropping-particle":"","parse-names":false,"suffix":""},{"dropping-particle":"","family":"Karuniawaty","given":"Titi Pambudi","non-dropping-particle":"","parse-names":false,"suffix":""},{"dropping-particle":"","family":"John","given":"Ristania Ellya","non-dropping-particle":"","parse-names":false,"suffix":""},{"dropping-particle":"","family":"Qurani","given":"Ratu Missa","non-dropping-particle":"","parse-names":false,"suffix":""},{"dropping-particle":"","family":"Tengkawan","given":"Jeslyn","non-dropping-particle":"","parse-names":false,"suffix":""},{"dropping-particle":"","family":"Sptisari","given":"Ayu Anandhika","non-dropping-particle":"","parse-names":false,"suffix":""},{"dropping-particle":"","family":"Ihyauddin","given":"Zulfikar","non-dropping-particle":"","parse-names":false,"suffix":""}],"id":"ITEM-1","issue":"2","issued":{"date-parts":[["2020"]]},"page":"81-88","title":"Praktik Pemberian Mp-Asi Terhadap Risiko Stunting Pada Anak Usia 6-12 Bulan Di Lombok Tengah","type":"article-journal","volume":"43"},"uris":["http://www.mendeley.com/documents/?uuid=9e4536de-770c-4b9b-86a5-2458d5e7e85d"]}],"mendeley":{"formattedCitation":"[20]","plainTextFormattedCitation":"[20]","previouslyFormattedCitation":"(22)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Hubungan yang tidak signifikan antara frekuensi pemberian dengan status gizi (PB/U) bisa saja terjadi, dikarenakan walaupun frekuensi yang diberikan telah sesuai, namun jumlah dan kualitas makanan yang diberikan tidak sesuai, maka kecukupan gizi anak tidak terpenuhi, dan apabila berlangsung dalam </w:t>
      </w:r>
      <w:r w:rsidRPr="0053164C">
        <w:rPr>
          <w:rFonts w:ascii="Tw Cen MT" w:eastAsia="Times New Roman" w:hAnsi="Tw Cen MT" w:cs="Times New Roman"/>
          <w:color w:val="111111"/>
          <w:sz w:val="24"/>
          <w:szCs w:val="24"/>
          <w:lang w:eastAsia="id-ID"/>
        </w:rPr>
        <w:t>waktu yang lama dapat menyebabkan stunting</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77663362-fb6c-4a17-9034-c0d7f1e363c5"]}],"mendeley":{"formattedCitation":"[22]","plainTextFormattedCitation":"[22]","previouslyFormattedCitation":"(23)"},"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3C2AAD32" w14:textId="1A72DEE6"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Proporsi anak yang mendapatkan porsi MP-ASI yang tidak sesuai lebih besar (69%) dibandingkan sesuai (31%). Berdasarkan Tabel 3, tidak terdapat hubungan signifikan antara porsi pemberian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=0.465). Apabila porsi pemberian MP-ASI sudah sesuai dengan pedoman pemberian namun jika kualitas makanan yang diberikan kurang baik atau tidak beragam, maka anak berisiko mengalami defisiensi zat gizi seperti defisiensi vitamin A dan zink yang berpengaruh terhadap proses pertumbuhan linier</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{"citationItems":[{"id":"ITEM-1","itemData":{"DOI":"10.2473/amnt.v3i2.2019.78-84","ISBN":"1969030119","abstract":"Background: Stunting is a short body condition that occurs due to a lack of intake of various nutrients. Maternal body size may be one of the factors causing stunting in children.\nObjective: The purpose of this study was to analyze the relationship between maternal height and complementary feeding history with The Incidence of Stunting on Age 24-59 months.\nMethods: The cross-sectional study was carried out in Maron District, Probolinggo Regency.The sampling was carried out by multistage random sampling method with a sample of 97 pairs of mothers and under five years old children. Independent variables observed were maternal stature and complementary feeding history which consists of the age of first given food, complementary feeding texture, frequency, and amount of complementary food given. The dependent variable was the occurrence of stunting. Data analysis used in this study was chi-square test.\nResults: This study shows the results of a significant association between complementary feeding at the age of first given food at the age of first given food that is before, during, or after a 6 month old with the incidence of stunting p=0.012. On the other hand, there was no correlation between complementary feeding texture p=0.788, frequency p=0.208, amount of complementary food given p=0.107, and maternal height p=0.704 with the incidence of stunting.\nConclusion: In conclusion, complementary feeding history was related to the incidence of stunting in infants, whereas complementary feeding texture, frequency, amount of complementary food and maternal height had no impact on the incidence of stunting in infants.","author":[{"dropping-particle":"","family":"Nur Hadibah Hanum","given":"","non-dropping-particle":"","parse-names":false,"suffix":""}],"container-title":"Amerta Nutrition","id":"ITEM-1","issue":"2","issued":{"date-parts":[["2019"]]},"page":"78-84","title":"Hubungan Tinggi Badan Ibu dan Riwayat Pemberian MP-ASI dengan Kejadian Stunting pada Balita Usia 24-59 Bulan","type":"article-journal","volume":"3"},"uris":["http://www.mendeley.com/documents/?uuid=77663362-fb6c-4a17-9034-c0d7f1e363c5"]}],"mendeley":{"formattedCitation":"[22]","plainTextFormattedCitation":"[22]","previouslyFormattedCitation":"(23)"},"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[22]</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w:t>
      </w:r>
    </w:p>
    <w:p w14:paraId="4C431CC6" w14:textId="0F05F1E1" w:rsidR="0053164C" w:rsidRPr="0053164C" w:rsidRDefault="0053164C" w:rsidP="0053164C">
      <w:pPr>
        <w:spacing w:after="0" w:line="240" w:lineRule="auto"/>
        <w:ind w:firstLine="567"/>
        <w:jc w:val="both"/>
        <w:rPr>
          <w:rFonts w:ascii="Tw Cen MT" w:eastAsia="Calibri" w:hAnsi="Tw Cen MT" w:cs="Times New Roman"/>
          <w:sz w:val="24"/>
          <w:szCs w:val="24"/>
        </w:rPr>
      </w:pPr>
      <w:r w:rsidRPr="0053164C">
        <w:rPr>
          <w:rFonts w:ascii="Tw Cen MT" w:eastAsia="Calibri" w:hAnsi="Tw Cen MT" w:cs="Times New Roman"/>
          <w:sz w:val="24"/>
          <w:szCs w:val="24"/>
        </w:rPr>
        <w:t>Pemberian MP-ASI dikatakan bervariasi jika anak diberikan ≥4 kelompok makanan dalam sehari</w:t>
      </w:r>
      <w:r w:rsidRPr="0053164C">
        <w:rPr>
          <w:rFonts w:ascii="Tw Cen MT" w:eastAsia="Calibri" w:hAnsi="Tw Cen MT" w:cs="Times New Roman"/>
          <w:sz w:val="24"/>
          <w:szCs w:val="24"/>
        </w:rPr>
        <w:fldChar w:fldCharType="begin" w:fldLock="1"/>
      </w:r>
      <w:r w:rsidR="00C81D96">
        <w:rPr>
          <w:rFonts w:ascii="Tw Cen MT" w:eastAsia="Calibri" w:hAnsi="Tw Cen MT" w:cs="Times New Roman"/>
          <w:sz w:val="24"/>
          <w:szCs w:val="24"/>
        </w:rPr>
        <w:instrText>ADDIN CSL_CITATION {"citationItems":[{"id":"ITEM-1","itemData":{"abstract":"a l t h P r o m o t i o n a n d P r o t e c t i o n F o o d a n d N u t r i t i o n P r o g r a m","author":[{"dropping-particle":"","family":"WHO","given":"","non-dropping-particle":"","parse-names":false,"suffix":""}],"id":"ITEM-1","issued":{"date-parts":[["2003"]]},"title":"Guiding Principles for Complementary Feeding of the Breastfed Child","type":"book"},"uris":["http://www.mendeley.com/documents/?uuid=d6033567-69a5-4737-a847-82cc8ced722d"]}],"mendeley":{"formattedCitation":"[6]","plainTextFormattedCitation":"[6]","previouslyFormattedCitation":"(6)"},"properties":{"noteIndex":0},"schema":"https://github.com/citation-style-language/schema/raw/master/csl-citation.json"}</w:instrText>
      </w:r>
      <w:r w:rsidRPr="0053164C">
        <w:rPr>
          <w:rFonts w:ascii="Tw Cen MT" w:eastAsia="Calibri" w:hAnsi="Tw Cen MT" w:cs="Times New Roman"/>
          <w:sz w:val="24"/>
          <w:szCs w:val="24"/>
        </w:rPr>
        <w:fldChar w:fldCharType="separate"/>
      </w:r>
      <w:r w:rsidR="00C81D96" w:rsidRPr="00C81D96">
        <w:rPr>
          <w:rFonts w:ascii="Tw Cen MT" w:eastAsia="Calibri" w:hAnsi="Tw Cen MT" w:cs="Times New Roman"/>
          <w:noProof/>
          <w:sz w:val="24"/>
          <w:szCs w:val="24"/>
        </w:rPr>
        <w:t>[6]</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Pada penelitian ini, susunan menu MP-ASI yang diberikan ibu umumnya hanya terdiri dari 2 kelompok makanan yaitu karbohidrat dan protein hewani, sementara kelompok makanan seperti protein nabati, sayur dan buah jarang diberikan. Protein yang berasal dari tumbuhan biasanya sulit dicerna dan mengandung asam amino yang lebih sedikit dibandingkan protein hewani, namun dikarenakan kebutuhan protein pada bayi dan balita yang cukup tinggi, maka asupan protein nabati tetap diperlukan </w:t>
      </w:r>
      <w:r w:rsidRPr="0053164C">
        <w:rPr>
          <w:rFonts w:ascii="Tw Cen MT" w:eastAsia="Calibri" w:hAnsi="Tw Cen MT" w:cs="Times New Roman"/>
          <w:sz w:val="24"/>
          <w:szCs w:val="24"/>
        </w:rPr>
        <w:fldChar w:fldCharType="begin" w:fldLock="1"/>
      </w:r>
      <w:r w:rsidR="00C81D96">
        <w:rPr>
          <w:rFonts w:ascii="Tw Cen MT" w:eastAsia="Calibri" w:hAnsi="Tw Cen MT" w:cs="Times New Roman"/>
          <w:sz w:val="24"/>
          <w:szCs w:val="24"/>
        </w:rPr>
        <w:instrText>ADDIN CSL_CITATION {"citationItems":[{"id":"ITEM-1","itemData":{"DOI":"10.1016/j.bmhime.2017.11.007","ISSN":"24443409","abstract":"© 2016 Hospital Infantil de México Federico Gómez A proper nutrition during the first two years of life is critical to reach the full potential of every human being; now, this period is recognized as a critical window for promoting optimal growth, development, and good health. Therefore, adequate feeding at this stage of life has an impact on health, nutritional status, growth and development of children; not only in the short term, but in the medium and long term. This paper provides recommendations on complementary feeding (CF) presented as questions or statements that are important for those who take care for children during this stage of life. For example: When to start complementary feedings: 4 or 6 months of age?; Exposure to potentially allergenic foods; Introduction of sweetened beverages; Use of artificial sweeteners and light products; Food introduction sequence; Food consistency changes according to neurological maturation; Number of days to test acceptance and tolerance to new foods; Amounts for each meal; Inadequate complementary feeding practices; Myths and realities of complementary feeding; Developmental milestones; Practice of “Baby Led Weaning” and practice of vegetarianism.","author":[{"dropping-particle":"","family":"Romero-Velarde","given":"Enrique","non-dropping-particle":"","parse-names":false,"suffix":""},{"dropping-particle":"","family":"Villalpando-Carrión","given":"Salvador","non-dropping-particle":"","parse-names":false,"suffix":""},{"dropping-particle":"","family":"Pérez-Lizaur","given":"Ana Berta","non-dropping-particle":"","parse-names":false,"suffix":""},{"dropping-particle":"","family":"Iracheta-Gerez","given":"Ma. de la Luz","non-dropping-particle":"","parse-names":false,"suffix":""},{"dropping-particle":"","family":"Alonso-Rivera","given":"Carlos Gilberto","non-dropping-particle":"","parse-names":false,"suffix":""},{"dropping-particle":"","family":"López-Navarrete","given":"Gloria Elena","non-dropping-particle":"","parse-names":false,"suffix":""},{"dropping-particle":"","family":"García-Contreras","given":"Andrea","non-dropping-particle":"","parse-names":false,"suffix":""},{"dropping-particle":"","family":"Ochoa-Ortiz","given":"Erika","non-dropping-particle":"","parse-names":false,"suffix":""},{"dropping-particle":"","family":"Zarate-Mondragón","given":"Flora","non-dropping-particle":"","parse-names":false,"suffix":""},{"dropping-particle":"","family":"López-Pérez","given":"Gerardo Tiburcio","non-dropping-particle":"","parse-names":false,"suffix":""},{"dropping-particle":"","family":"Chávez-Palencia","given":"Clío","non-dropping-particle":"","parse-names":false,"suffix":""},{"dropping-particle":"","family":"Guajardo-Jáquez","given":"Manuel","non-dropping-particle":"","parse-names":false,"suffix":""},{"dropping-particle":"","family":"Vázquez-Ortiz","given":"Salvador","non-dropping-particle":"","parse-names":false,"suffix":""},{"dropping-particle":"","family":"Pinzón-Navarro","given":"Beatriz Adriana","non-dropping-particle":"","parse-names":false,"suffix":""},{"dropping-particle":"","family":"Torres-Duarte","given":"Karely Noemy","non-dropping-particle":"","parse-names":false,"suffix":""},{"dropping-particle":"","family":"Vidal-Guzmán","given":"José Domingo","non-dropping-particle":"","parse-names":false,"suffix":""},{"dropping-particle":"","family":"Michel-Gómez","given":"Pedro Luis","non-dropping-particle":"","parse-names":false,"suffix":""},{"dropping-particle":"","family":"López-Contreras","given":"Iris Nallely","non-dropping-particle":"","parse-names":false,"suffix":""},{"dropping-particle":"","family":"Arroyo-Cruz","given":"Liliana Verenice","non-dropping-particle":"","parse-names":false,"suffix":""},{"dropping-particle":"","family":"Almada-Velasco","given":"Pamela","non-dropping-particle":"","parse-names":false,"suffix":""},{"dropping-particle":"","family":"Saltigeral-Simental","given":"Patricia","non-dropping-particle":"","parse-names":false,"suffix":""},{"dropping-particle":"","family":"Ríos-Aguirre","given":"Alejandro","non-dropping-particle":"","parse-names":false,"suffix":""},{"dropping-particle":"","family":"Domínguez-Pineda","given":"Lorena","non-dropping-particle":"","parse-names":false,"suffix":""},{"dropping-particle":"","family":"Rodríguez-González","given":"Perla","non-dropping-particle":"","parse-names":false,"suffix":""},{"dropping-particle":"","family":"Crabtree-Ramírez","given":"Úrsula","non-dropping-particle":"","parse-names":false,"suffix":""},{"dropping-particle":"","family":"Hernández-Rosiles","given":"Vanessa","non-dropping-particle":"","parse-names":false,"suffix":""},{"dropping-particle":"","family":"Pinacho-Velázquez","given":"José Luis","non-dropping-particle":"","parse-names":false,"suffix":""}],"container-title":"Boletín Médico Del Hospital Infantil de México (English Edition)","id":"ITEM-1","issue":"5","issued":{"date-parts":[["2016"]]},"page":"338-356","publisher":"Hospital Infantil de México Federico Gómez","title":"Guidelines for complementary feeding in healthy infants","type":"article-journal","volume":"73"},"uris":["http://www.mendeley.com/documents/?uuid=118eafe8-6220-4ba3-88b0-9e36db13f67f","http://www.mendeley.com/documents/?uuid=1219702d-e6be-47c5-888d-080306f881dd"]}],"mendeley":{"formattedCitation":"[23]","plainTextFormattedCitation":"[23]","previouslyFormattedCitation":"(24)"},"properties":{"noteIndex":0},"schema":"https://github.com/citation-style-language/schema/raw/master/csl-citation.json"}</w:instrText>
      </w:r>
      <w:r w:rsidRPr="0053164C">
        <w:rPr>
          <w:rFonts w:ascii="Tw Cen MT" w:eastAsia="Calibri" w:hAnsi="Tw Cen MT" w:cs="Times New Roman"/>
          <w:sz w:val="24"/>
          <w:szCs w:val="24"/>
        </w:rPr>
        <w:fldChar w:fldCharType="separate"/>
      </w:r>
      <w:r w:rsidR="00C81D96" w:rsidRPr="00C81D96">
        <w:rPr>
          <w:rFonts w:ascii="Tw Cen MT" w:eastAsia="Calibri" w:hAnsi="Tw Cen MT" w:cs="Times New Roman"/>
          <w:noProof/>
          <w:sz w:val="24"/>
          <w:szCs w:val="24"/>
        </w:rPr>
        <w:t>[23]</w:t>
      </w:r>
      <w:r w:rsidRPr="0053164C">
        <w:rPr>
          <w:rFonts w:ascii="Tw Cen MT" w:eastAsia="Calibri" w:hAnsi="Tw Cen MT" w:cs="Times New Roman"/>
          <w:sz w:val="24"/>
          <w:szCs w:val="24"/>
        </w:rPr>
        <w:fldChar w:fldCharType="end"/>
      </w:r>
      <w:r w:rsidRPr="0053164C">
        <w:rPr>
          <w:rFonts w:ascii="Tw Cen MT" w:eastAsia="Calibri" w:hAnsi="Tw Cen MT" w:cs="Times New Roman"/>
          <w:sz w:val="24"/>
          <w:szCs w:val="24"/>
        </w:rPr>
        <w:t xml:space="preserve">. </w:t>
      </w:r>
    </w:p>
    <w:p w14:paraId="45B3A7F4" w14:textId="6F85DD77"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Proporsi anak yang mendapatkan MP-ASI bervariasi pada penelitian ini lebih sedikit (17%) dibandingkan anak yang mendapatkan MP-ASI tidak bervariasi (83%). Hal ini dapat disebabkan oleh status ekonomi keluarga, dimana berdasarkan Tabel 1, sebanyak 59% balita berasal dari keluarga dengan penghasilan &lt;UMK. Pendapatan merupakan faktor yang menentukan kuantitas dan kualitas pangan yang dikonsumsi seseorang. Semakin tinggi tingkat pendapatan maka semakin besar pula persentase pertambahan pembelanjaannya termasuk untuk pangan dari golongan sayur dan buah-buahan serta </w:t>
      </w:r>
      <w:r w:rsidRPr="0053164C">
        <w:rPr>
          <w:rFonts w:ascii="Tw Cen MT" w:eastAsia="Times New Roman" w:hAnsi="Tw Cen MT" w:cs="Times New Roman"/>
          <w:color w:val="111111"/>
          <w:sz w:val="24"/>
          <w:szCs w:val="24"/>
          <w:lang w:eastAsia="id-ID"/>
        </w:rPr>
        <w:lastRenderedPageBreak/>
        <w:t>berbagai jenis pangan lainnya, tetapi pertambahan kuantitas ini tidak selalu memperbaiki susunan menu makanan yang dikonsumsinya</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b0f85d55-a83e-475e-a915-693b666d1efe","http://www.mendeley.com/documents/?uuid=97c3c800-3913-4d9e-a453-a69cb325e975","http://www.mendeley.com/documents/?uuid=25c2c4a8-c847-40f0-9bcc-af2fbe207992"]}],"mendeley":{"formattedCitation":"[24]","plainTextFormattedCitation":"[24]","previouslyFormattedCitation":"(25)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Anak-anak yang berasal dari keluarga mampu memiliki MP-ASI yang lebih bervariasi dalam susunan menunya</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{"citationItems":[{"id":"ITEM-1","itemData":{"DOI":"10.1186/s41043-019-0172-6","ISSN":"20721315","PMID":"31159861","abstract":"BACKGROUND: Mothers and caregivers typically feed infants according to their culture, purchase power and level of awareness with no due diligence to nutritional quality of the diet. Scientific evidence on nutritional adequacy of predominant complementary foods is critical for planning and prioritising interventions. The purpose of the current study was to evaluate the quality of complementary foods and the optimality of complementary feeding practices in Southwest Ethiopia. METHODS: In this cross-sectional study, a stratified multistage sampling procedure was used to sample 433 children, 6-24 months old. A semi-structured questionnaire was used to collect demographic, socio-economic and dietary data. Dietary diversity score was measured using a 24-h dietary recall. Six customary complementary food types were assayed for proximate composition, energy and mineral density using standard methods. Adequacy of the complementary foods in nutrients for complementary feeding purposes was assessed as a ratio between actual composition and recommended composition of complementary foods. RESULTS: Only 16.1% of the children get the minimum dietary diversity. The children were reported to be fed with cereals &amp; grains (68.8%), discretionary calories (53.6%), protein-rich foods (44.6%), oils and fat (40.5%), vegetables (38.5%), dairy products (17.9%) and fruits (28.1%). The sampled foods contained 4.3-24.4%, 0.9-8.5%, 8.2-11.9%, 27.9-162.6 Kcal/100 g, 168.4-250.4 mg/100 g, 1.8-4.1 mg/100 g and 22.5-42.4 mg/100 g of total carbohydrate, crude fat, protein, energy content, calcium, zinc and iron, respectively. All the complementary food samples predominantly fed to children were not composed of adequate protein, fat, carbohydrate, energy and calcium as recommended for complementary feeding purposes. However, most of the complementary foods are composed of adequate iron and zinc. CONCLUSIONS: The nutrient density and diversity of complementary foods of 6-24-month-old children in the study area were found to be sub-optimal. Upgrading the nutritional composition of the starchy complementary foods should be of highest priority to improve nutrition of the infants and young children.","author":[{"dropping-particle":"","family":"Forsido","given":"Sirawdink Fikreyesus","non-dropping-particle":"","parse-names":false,"suffix":""},{"dropping-particle":"","family":"Kiyak","given":"Nejat","non-dropping-particle":"","parse-names":false,"suffix":""},{"dropping-particle":"","family":"Belachew","given":"Tefera","non-dropping-particle":"","parse-names":false,"suffix":""},{"dropping-particle":"","family":"Hensel","given":"Oliver","non-dropping-particle":"","parse-names":false,"suffix":""}],"container-title":"Journal of health, population, and nutrition","id":"ITEM-1","issue":"14","issued":{"date-parts":[["2019"]]},"page":"1-7","publisher":"Journal of Health, Population and Nutrition","title":"Complementary feeding practices, dietary diversity, and nutrient composition of complementary foods of children 6-24 months old in Jimma Zone, Southwest Ethiopia","type":"article-journal","volume":"38"},"uris":["http://www.mendeley.com/documents/?uuid=9d8585dd-1070-43bb-9b4d-97eccf687bc8","http://www.mendeley.com/documents/?uuid=25056e85-970f-403e-92cd-6147ebbbf908","http://www.mendeley.com/documents/?uuid=6c91dfb0-a0bb-4e17-abb9-0546029d7145"]}],"mendeley":{"formattedCitation":"[25]","plainTextFormattedCitation":"[25]","previouslyFormattedCitation":"(26)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[25]</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vertAlign w:val="superscript"/>
          <w:lang w:eastAsia="id-ID"/>
        </w:rPr>
        <w:t>,</w:t>
      </w:r>
      <w:r w:rsidRPr="0053164C">
        <w:rPr>
          <w:rFonts w:ascii="Tw Cen MT" w:eastAsia="Times New Roman" w:hAnsi="Tw Cen MT" w:cs="Times New Roman"/>
          <w:color w:val="111111"/>
          <w:sz w:val="24"/>
          <w:szCs w:val="24"/>
          <w:lang w:val="id-ID" w:eastAsia="id-ID"/>
        </w:rPr>
        <w:fldChar w:fldCharType="begin" w:fldLock="1"/>
      </w:r>
      <w:r w:rsidR="00C81D96">
        <w:rPr>
          <w:rFonts w:ascii="Tw Cen MT" w:eastAsia="Times New Roman" w:hAnsi="Tw Cen MT" w:cs="Times New Roman"/>
          <w:color w:val="111111"/>
          <w:sz w:val="24"/>
          <w:szCs w:val="24"/>
          <w:lang w:val="id-ID" w:eastAsia="id-ID"/>
        </w:rPr>
        <w:instrText>ADDIN CSL_CITATION {"citationItems":[{"id":"ITEM-1","itemData":{"author":[{"dropping-particle":"","family":"Marlina","given":"Yessi","non-dropping-particle":"","parse-names":false,"suffix":""},{"dropping-particle":"","family":"Erowati","given":"Dewi","non-dropping-particle":"","parse-names":false,"suffix":""}],"container-title":"Logista Jurnal Ilmiah Pengabdian kepada Masyarakat","id":"ITEM-1","issue":"2","issued":{"date-parts":[["2021"]]},"page":"202-208","title":"Pengolahan MP ASI Berbasis Pangan Lokal di Desa Ranah Singkuang Kabupaten Kampar","type":"article-journal","volume":"5"},"uris":["http://www.mendeley.com/documents/?uuid=7ed340e4-f25e-4a6a-be04-82a01efcae13","http://www.mendeley.com/documents/?uuid=c00e6374-8e84-4800-977c-7fbaa7b14678","http://www.mendeley.com/documents/?uuid=63ee7fe7-cc12-4460-a99b-fd3f17867700"]}],"mendeley":{"formattedCitation":"[26]","plainTextFormattedCitation":"[26]","previouslyFormattedCitation":"(27)"},"properties":{"noteIndex":0},"schema":"https://github.com/citation-style-language/schema/raw/master/csl-citation.json"}</w:instrText>
      </w:r>
      <w:r w:rsidRPr="0053164C">
        <w:rPr>
          <w:rFonts w:ascii="Tw Cen MT" w:eastAsia="Times New Roman" w:hAnsi="Tw Cen MT" w:cs="Times New Roman"/>
          <w:color w:val="111111"/>
          <w:sz w:val="24"/>
          <w:szCs w:val="24"/>
          <w:lang w:val="id-ID" w:eastAsia="id-ID"/>
        </w:rPr>
        <w:fldChar w:fldCharType="separate"/>
      </w:r>
      <w:r w:rsidR="00C81D96" w:rsidRPr="00C81D96">
        <w:rPr>
          <w:rFonts w:ascii="Tw Cen MT" w:eastAsia="Times New Roman" w:hAnsi="Tw Cen MT" w:cs="Times New Roman"/>
          <w:noProof/>
          <w:color w:val="111111"/>
          <w:sz w:val="24"/>
          <w:szCs w:val="24"/>
          <w:lang w:val="id-ID" w:eastAsia="id-ID"/>
        </w:rPr>
        <w:t>[26]</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w:t>
      </w:r>
    </w:p>
    <w:p w14:paraId="183F152F" w14:textId="1471F2B4"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Namun dari hasil analisis pada Tabel 3, tidak terdapat hubungan signifikan antara variasi MP-ASI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=0.938). Variasi makanan pada penelitian ini diperoleh berdasarkan hasil </w:t>
      </w:r>
      <w:r w:rsidRPr="0053164C">
        <w:rPr>
          <w:rFonts w:ascii="Tw Cen MT" w:eastAsia="Times New Roman" w:hAnsi="Tw Cen MT" w:cs="Times New Roman"/>
          <w:i/>
          <w:iCs/>
          <w:color w:val="111111"/>
          <w:sz w:val="24"/>
          <w:szCs w:val="24"/>
          <w:lang w:eastAsia="id-ID"/>
        </w:rPr>
        <w:t xml:space="preserve">recall </w:t>
      </w:r>
      <w:r w:rsidRPr="0053164C">
        <w:rPr>
          <w:rFonts w:ascii="Tw Cen MT" w:eastAsia="Times New Roman" w:hAnsi="Tw Cen MT" w:cs="Times New Roman"/>
          <w:color w:val="111111"/>
          <w:sz w:val="24"/>
          <w:szCs w:val="24"/>
          <w:lang w:eastAsia="id-ID"/>
        </w:rPr>
        <w:t xml:space="preserve">1x24 jam dan kuisioner, sehingga kurang menggambarkan pola keragaman makanan responden. Selain itu, status menyusui (79% balita masih mendapatkan ASI), dapat menjadi faktor penyebab tidak terdapatnya hubungan yang signifikan antara variasi makanan dengan status gizi. Risiko kejadian stunting mengalami penurunan dengan dengan adanya pemberian ASI pada anak-anak yang diberi MP-ASI yang tidak beragam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{"citationItems":[{"id":"ITEM-1","itemData":{"DOI":"10.1039/c0an00880j","ISBN":"0003-2654","abstract":"It is not currently known how dietary assessment in older persons is affected by cognition. In a 1997-2000 study, the authors assessed the validity and reproducibility of a modified Harvard self-administered food frequency questionnaire (SFFQ) among 118 Black and 114 White randomly selected participants, aged 68-99 years, of the Chicago Health and Aging Project. Participants completed multiple 24-hour dietary recall interviews (mean=3.6) over 12 months and two SFFQs in the first and 12th months. The average energy-adjusted intraclass correlation coefficient for 15 nutrients was 0.59 for 1-year reproducibility in nutrient intake levels assessed by the SFFQ. The average energy-adjusted Pearson correlation coefficient was 0.46 for comparative validity between nutrient intake levels on the SFFQ and the dietary recalls. SFFQ reproducibility was higher among men, and comparative validity with the dietary recalls was higher among women. There were no remarkable differences in the correlations by age, race, educational level, presence of chronic conditions, or cognitive ability. The modified Harvard SFFQ is a reasonable method of dietary assessment even in a population of older persons, some of whom are at advanced age, have chronic health conditions, and have cognitive impairment., (C) Copyright Oxford University Press 2003.","author":[{"dropping-particle":"","family":"Nai","given":"Hildagardis","non-dropping-particle":"","parse-names":false,"suffix":""},{"dropping-particle":"","family":"Gunawan","given":"I Made Alit","non-dropping-particle":"","parse-names":false,"suffix":""},{"dropping-particle":"","family":"Nurwanti","given":"Esti","non-dropping-particle":"","parse-names":false,"suffix":""}],"container-title":"Jurnal Gizi dan Dietetik Indonesia","id":"ITEM-1","issue":"3","issued":{"date-parts":[["2014"]]},"page":"126-139","title":"Praktik pemberian makanan pendamping asi (mp-asi) sebagai faktor risiko kejadian stunting pada anak usia 6-23 bulan","type":"article-journal","volume":"2"},"uris":["http://www.mendeley.com/documents/?uuid=d5930db6-f691-432e-b58a-e7cfb10d48fd","http://www.mendeley.com/documents/?uuid=7d0f2ddc-6479-4cc7-984b-85d4c9b32b41","http://www.mendeley.com/documents/?uuid=1bf97a36-c6f7-4332-8eab-52a0d3038c06"]}],"mendeley":{"formattedCitation":"[16]","plainTextFormattedCitation":"[16]","previouslyFormattedCitation":"(16)"},"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[16]</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w:t>
      </w:r>
    </w:p>
    <w:p w14:paraId="471C61DF" w14:textId="159A43CB" w:rsidR="0053164C" w:rsidRPr="0053164C" w:rsidRDefault="0053164C" w:rsidP="0053164C">
      <w:pPr>
        <w:spacing w:after="0" w:line="240" w:lineRule="auto"/>
        <w:ind w:firstLine="567"/>
        <w:jc w:val="both"/>
        <w:rPr>
          <w:rFonts w:ascii="Tw Cen MT" w:hAnsi="Tw Cen MT" w:cs="Times New Roman"/>
          <w:sz w:val="24"/>
          <w:szCs w:val="24"/>
        </w:rPr>
      </w:pPr>
      <w:r w:rsidRPr="0053164C">
        <w:rPr>
          <w:rFonts w:ascii="Tw Cen MT" w:eastAsia="Times New Roman" w:hAnsi="Tw Cen MT" w:cs="Times New Roman"/>
          <w:color w:val="111111"/>
          <w:sz w:val="24"/>
          <w:szCs w:val="24"/>
          <w:lang w:eastAsia="id-ID"/>
        </w:rPr>
        <w:t xml:space="preserve">Proporsi pemberian MP-ASI yang aman dan higienis hanya berjumlah 5%, lebih sedikit dibandingkan MP-ASI yang tidak aman dan tidak hygiene (95%). Ada tujuh indikator yang digunakan dalam menilai </w:t>
      </w:r>
      <w:r w:rsidRPr="0053164C">
        <w:rPr>
          <w:rFonts w:ascii="Tw Cen MT" w:eastAsia="Times New Roman" w:hAnsi="Tw Cen MT" w:cs="Times New Roman"/>
          <w:i/>
          <w:iCs/>
          <w:color w:val="111111"/>
          <w:sz w:val="24"/>
          <w:szCs w:val="24"/>
          <w:lang w:eastAsia="id-ID"/>
        </w:rPr>
        <w:t>hygiene</w:t>
      </w:r>
      <w:r w:rsidRPr="0053164C">
        <w:rPr>
          <w:rFonts w:ascii="Tw Cen MT" w:eastAsia="Times New Roman" w:hAnsi="Tw Cen MT" w:cs="Times New Roman"/>
          <w:color w:val="111111"/>
          <w:sz w:val="24"/>
          <w:szCs w:val="24"/>
          <w:lang w:eastAsia="id-ID"/>
        </w:rPr>
        <w:t xml:space="preserve"> sanitasi dan keamanan pangan MP-ASI yang diberikan yaitu </w:t>
      </w:r>
      <w:r w:rsidRPr="0053164C">
        <w:rPr>
          <w:rFonts w:ascii="Tw Cen MT" w:hAnsi="Tw Cen MT" w:cs="Times New Roman"/>
          <w:sz w:val="24"/>
          <w:szCs w:val="24"/>
        </w:rPr>
        <w:t>Ibu/pengasuh mencuci tangan sebelum mengolah makanan, mencuci tangan sebelum memberikan makanan kepada anak, menggunakan talenan terpisah antara bahan mentah dan bahan matang, mencuci tangan anak sebelum makan, menggunakan peralatan makan yang bersih, penyimpanan makanan pada suhu yang aman, dan tidak menggunakan bahan tambahan pangan</w:t>
      </w:r>
      <w:r w:rsidRPr="0053164C">
        <w:rPr>
          <w:rFonts w:ascii="Tw Cen MT" w:hAnsi="Tw Cen MT" w:cs="Times New Roman"/>
          <w:sz w:val="24"/>
          <w:szCs w:val="24"/>
        </w:rPr>
        <w:fldChar w:fldCharType="begin" w:fldLock="1"/>
      </w:r>
      <w:r w:rsidR="00C81D96">
        <w:rPr>
          <w:rFonts w:ascii="Tw Cen MT" w:hAnsi="Tw Cen MT" w:cs="Times New Roman"/>
          <w:sz w:val="24"/>
          <w:szCs w:val="24"/>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hAnsi="Tw Cen MT" w:cs="Times New Roman"/>
          <w:sz w:val="24"/>
          <w:szCs w:val="24"/>
        </w:rPr>
        <w:fldChar w:fldCharType="separate"/>
      </w:r>
      <w:r w:rsidR="00C81D96" w:rsidRPr="00C81D96">
        <w:rPr>
          <w:rFonts w:ascii="Tw Cen MT" w:hAnsi="Tw Cen MT" w:cs="Times New Roman"/>
          <w:noProof/>
          <w:sz w:val="24"/>
          <w:szCs w:val="24"/>
        </w:rPr>
        <w:t>[14]</w:t>
      </w:r>
      <w:r w:rsidRPr="0053164C">
        <w:rPr>
          <w:rFonts w:ascii="Tw Cen MT" w:hAnsi="Tw Cen MT" w:cs="Times New Roman"/>
          <w:sz w:val="24"/>
          <w:szCs w:val="24"/>
        </w:rPr>
        <w:fldChar w:fldCharType="end"/>
      </w:r>
      <w:r w:rsidRPr="0053164C">
        <w:rPr>
          <w:rFonts w:ascii="Tw Cen MT" w:hAnsi="Tw Cen MT" w:cs="Times New Roman"/>
          <w:sz w:val="24"/>
          <w:szCs w:val="24"/>
        </w:rPr>
        <w:t>.</w:t>
      </w:r>
    </w:p>
    <w:p w14:paraId="26E391E3" w14:textId="3AA211BF"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Hasil analisis Tabel 3 menunjukkan bahwa tidak terdapat hubungan antara hygiene sanitasi dan keamanan pangan MP-ASI yang diberikan dengan status gizi (PB/U) (</w:t>
      </w:r>
      <w:r w:rsidRPr="0053164C">
        <w:rPr>
          <w:rFonts w:ascii="Tw Cen MT" w:eastAsia="Times New Roman" w:hAnsi="Tw Cen MT" w:cs="Times New Roman"/>
          <w:i/>
          <w:iCs/>
          <w:color w:val="111111"/>
          <w:sz w:val="24"/>
          <w:szCs w:val="24"/>
          <w:lang w:eastAsia="id-ID"/>
        </w:rPr>
        <w:t>p</w:t>
      </w:r>
      <w:r w:rsidRPr="0053164C">
        <w:rPr>
          <w:rFonts w:ascii="Tw Cen MT" w:eastAsia="Times New Roman" w:hAnsi="Tw Cen MT" w:cs="Times New Roman"/>
          <w:color w:val="111111"/>
          <w:sz w:val="24"/>
          <w:szCs w:val="24"/>
          <w:lang w:eastAsia="id-ID"/>
        </w:rPr>
        <w:t xml:space="preserve">=0.855). Hygiene sanitasi tidak berdampak langsung terhadap penurunan status gizi. Berdasarkan data dari kuisioner, </w:t>
      </w:r>
      <w:r w:rsidRPr="0053164C">
        <w:rPr>
          <w:rFonts w:ascii="Tw Cen MT" w:eastAsia="Times New Roman" w:hAnsi="Tw Cen MT" w:cs="Times New Roman"/>
          <w:color w:val="111111"/>
          <w:sz w:val="24"/>
          <w:szCs w:val="24"/>
          <w:lang w:eastAsia="id-ID"/>
        </w:rPr>
        <w:t>sebanyak 9% responden (ibu) tidak mencuci tangan sebelum mengolah makanan dengan berbagai alasan seperti, menganggap tangannya sudah bersih, lupa dan tidak tahu. Sebanyak 18% ibu tidak mencuci tangan sebelum memberi makanan pada anak dengan alasan karena makanan diberikan menggunakan sendok, anak disuap oleh ibunya, anak makan sendiri, dan ada yang menganggap tangan anak sudah bersih sehingga tidak perlu dicuci. Mencuci tangan sebelum mengolah makanan dan sebelum memberikan makanan pada anak wajib dilakukan ibu untuk menjamin keamanan makanan yang diterima anak</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Proses </w:t>
      </w:r>
      <w:r w:rsidRPr="0053164C">
        <w:rPr>
          <w:rFonts w:ascii="Tahoma" w:eastAsia="Times New Roman" w:hAnsi="Tahoma" w:cs="Tahoma"/>
          <w:color w:val="111111"/>
          <w:sz w:val="24"/>
          <w:szCs w:val="24"/>
          <w:lang w:eastAsia="id-ID"/>
        </w:rPr>
        <w:t>﻿</w:t>
      </w:r>
      <w:r w:rsidRPr="0053164C">
        <w:rPr>
          <w:rFonts w:ascii="Tw Cen MT" w:eastAsia="Times New Roman" w:hAnsi="Tw Cen MT" w:cs="Times New Roman"/>
          <w:color w:val="111111"/>
          <w:sz w:val="24"/>
          <w:szCs w:val="24"/>
          <w:lang w:eastAsia="id-ID"/>
        </w:rPr>
        <w:t>persiapan makanan, penyimpanan, dan pemberian makanan adalah sumber umum kontaminasi bakteri penyebab diare</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{"citationItems":[{"id":"ITEM-1","itemData":{"DOI":"10.20473/imhsj.v6i1.2022.37-48","abstract":"Background: Complementary foods for breast milk are foods or drinks that have energy and nutrients that are given to infants or children aged 6-24 months to meet nutritional needs not only from breast milk. One of the causes of diarrhea in toddlers is hygiene, including knowledge and attitudes of mothers in feeding, where babies have been fed other than breast milk before the age of 6 months. The pattern of giving complementary foods to breast milk affects the incidence of diarrhea. According to WHO, infants who receive complementary feeding before the age of six months will have a 17 times greater risk of experiencing diarrhea and 3 times more likely to develop upper respiratory tract infections (ARI) than infants who only receive exclusive breastfeeding and receive complementary feeding on time. The purpose of this study was to determine the relationship between complementary feeding and the incidence of diarrhea in infants by using a literature review study. Methods: This study uses a systematic review of articles published between 2014-2020 in the Science Direct, Scopus, Pubmed, and Google Scholar databases so that the results are 11 articles that are reviewed and meet the inclusion and exclusion criteria, included as samples for further review. Results: The factors that cause diarrhea are the child's age (6-11 months), the nutritional status of the child, exclusive breastfeeding, bottle feeding, washing hands with water, water supply, use of healthy latrines, and season. Conclusion: there is a relationship between complementary feeding and the incidence of diarrhea in infants.Keywords: Complementary Foods for Breastfeeding, Diarrhea, Infants, Literature Review","author":[{"dropping-particle":"","family":"Agestika","given":"Revina","non-dropping-particle":"","parse-names":false,"suffix":""}],"container-title":"Indonesian Midwifery and Health Sciences Journal","id":"ITEM-1","issue":"1","issued":{"date-parts":[["2022"]]},"page":"37-48","title":"the Pattern of Complementary Feeding Affects the Incidence of Diarrhea in Infants","type":"article-journal","volume":"6"},"uris":["http://www.mendeley.com/documents/?uuid=7337a7fe-fbad-4dc4-b8b7-f4e9363ff1b8","http://www.mendeley.com/documents/?uuid=83fa27bf-6452-4ef6-8d66-6b0937d1ce35"]}],"mendeley":{"formattedCitation":"[27]","plainTextFormattedCitation":"[27]","previouslyFormattedCitation":"(28)"},"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[27]</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Berdasarkan penggunaan talenan, sebanyak 46% ibu tidak menggunakan talenan yang terpisah dengan alasan hanya memiliki 1 talenan di rumah.  Selain itu, sebanyak 45% ibu tidak mencuci tangan anak sebelum makan, 3% tidak menggunakan peralatan makan yang bersih, dan 30% ibu menggunakan bahan tambahan pangan berupa bumbu penyedap dan 100% ibu menyimpan makanan pada suhu yang aman. </w:t>
      </w:r>
    </w:p>
    <w:p w14:paraId="03607E32" w14:textId="3C6B8ABA"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 xml:space="preserve">Pemberian makan yang responsif </w:t>
      </w:r>
      <w:r w:rsidRPr="0053164C">
        <w:rPr>
          <w:rFonts w:ascii="Tw Cen MT" w:eastAsia="Times New Roman" w:hAnsi="Tw Cen MT" w:cs="Times New Roman"/>
          <w:color w:val="111111"/>
          <w:sz w:val="24"/>
          <w:szCs w:val="24"/>
          <w:lang w:val="id-ID" w:eastAsia="id-ID"/>
        </w:rPr>
        <w:t>adalah ketika orang tua atau pengasuh terlibat dalam perilaku positif dengan anak, sambil mendorong dan memperhatikan minat anak selama waktu makan</w:t>
      </w:r>
      <w:r w:rsidRPr="0053164C">
        <w:rPr>
          <w:rFonts w:ascii="Tw Cen MT" w:eastAsia="Times New Roman" w:hAnsi="Tw Cen MT" w:cs="Times New Roman"/>
          <w:color w:val="111111"/>
          <w:sz w:val="24"/>
          <w:szCs w:val="24"/>
          <w:lang w:eastAsia="id-ID"/>
        </w:rPr>
        <w:t xml:space="preserve">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{"citationItems":[{"id":"ITEM-1","itemData":{"abstract":"Responsive feeding (RF) refers to a reciprocal relationship between an infant or child and his or her caregiver that is characterised by the child communicating feelings of hunger and satiety through verbal or nonverbal cues, followed by an immediate response from the caregiver. The response includes the provision of appropriate and nutritious food in a supportive manner, while maintaining an appropriate feeding environment. The literature indicates that RF is the foundation for the development of healthy eating behaviour and optimal skills for self-regulation and self-control of food intake. Therefore, practising RF is associated with ideal growth standards, optimal nutrient intake and long-term regulation of weight. On the other hand, nonresponsive feeding (NRF) practices are associated with feeding problems and the development of under- or overnutrition. Different types of NRF behaviour have been described, where the caregiver is either uninvolved during meals, too restrictive or controlling, or allows the child to control mealtimes. Consequently, mealtimes may become cumbersome, characterised by inconsistent, nonresponsive interaction, and may result in a relationship that is lacking in trust. The effects of RF and NRF are reviewed in this article and the practical guideline to “Feed slowly and patiently, and encourage your baby to eat, but do not force them” is suggested as appropriate for inclusion in the proposed South African paediatric Food Based Dietary Guidelines. It is also acknowledged that RF practices are best established when mothers choose to breastfeed on demand, as they are less controlling and more responsive to their infants’ internal hunger and satiety cues.","author":[{"dropping-particle":"","family":"Harbron","given":"Janetta","non-dropping-particle":"","parse-names":false,"suffix":""},{"dropping-particle":"","family":"Booley","given":"S","non-dropping-particle":"","parse-names":false,"suffix":""},{"dropping-particle":"","family":"Najaar","given":"B","non-dropping-particle":"","parse-names":false,"suffix":""}],"container-title":"South 'African Journal of Clinical Nutrition","id":"ITEM-1","issue":"3","issued":{"date-parts":[["2013"]]},"page":"141-149","title":"Paediatric Food-Based Dietary Guidelines for South Africa: Responsive feeding: establishing healthy eating behaviour early on in life","type":"article-journal","volume":"26"},"uris":["http://www.mendeley.com/documents/?uuid=f0ae6232-1f1c-4967-8a7c-5fb8ae32d08e","http://www.mendeley.com/documents/?uuid=9b21c02b-f570-42b9-9d0d-ee099f43c564","http://www.mendeley.com/documents/?uuid=aba54b69-97c9-4b5b-b9dc-d06e77dbbc39"]}],"mendeley":{"formattedCitation":"[28]","plainTextFormattedCitation":"[28]","previouslyFormattedCitation":"(29)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[28]</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Berdasarkan hasil analisis dari Tabel 3, proporsi MP-ASI yang diberikan secara responsif berjumlah 62%, lebih banyak dibandingkan yang tidak </w:t>
      </w:r>
      <w:r w:rsidRPr="0053164C">
        <w:rPr>
          <w:rFonts w:ascii="Tw Cen MT" w:eastAsia="Times New Roman" w:hAnsi="Tw Cen MT" w:cs="Times New Roman"/>
          <w:i/>
          <w:iCs/>
          <w:color w:val="111111"/>
          <w:sz w:val="24"/>
          <w:szCs w:val="24"/>
          <w:lang w:eastAsia="id-ID"/>
        </w:rPr>
        <w:t>responsif</w:t>
      </w:r>
      <w:r w:rsidRPr="0053164C">
        <w:rPr>
          <w:rFonts w:ascii="Tw Cen MT" w:eastAsia="Times New Roman" w:hAnsi="Tw Cen MT" w:cs="Times New Roman"/>
          <w:color w:val="111111"/>
          <w:sz w:val="24"/>
          <w:szCs w:val="24"/>
          <w:lang w:eastAsia="id-ID"/>
        </w:rPr>
        <w:t xml:space="preserve"> (38%). Sebagian besar anak diberi makan langsung oleh ibunya dikarenakan faktor ibu yang tidak bekerja (81%), sedangkan bagi ibu yang bekerja, pada umumnya menitipkan anak pada kerabat terdekat. Dalam proses pemberian makan, hal yang utama adalah menciptakan suasana yang menyenangkan sehingga anak tidak hanya mampu menghabiskan makannya, </w:t>
      </w:r>
      <w:r w:rsidRPr="0053164C">
        <w:rPr>
          <w:rFonts w:ascii="Tw Cen MT" w:eastAsia="Times New Roman" w:hAnsi="Tw Cen MT" w:cs="Times New Roman"/>
          <w:color w:val="111111"/>
          <w:sz w:val="24"/>
          <w:szCs w:val="24"/>
          <w:lang w:eastAsia="id-ID"/>
        </w:rPr>
        <w:lastRenderedPageBreak/>
        <w:t xml:space="preserve">namun juga merasa aman dan gembira, sehingga kegiatan makan merupakan kegiatan menyenangkan yang akan memberikan dampak positif terhadap asupan gizi anak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{"citationItems":[{"id":"ITEM-1","itemData":{"DOI":"10.26630/jk.v9i2.757","ISSN":"2086-7751","abstract":"&lt;p&gt;WHO in WHA reported that 60% of direct and indirect infant deaths were caused by malnutrition and 2/3 of these deaths were associated with poor feeding practices in infants and children. Based on PSG results in 2016, Lampung and Bandar Lampung acute and chronic community nutritional problems (short prevalence ≥20% and thin ≥5%). The purpose of this study is to know the pattern of giving of breast milk in infants aged 6-24 months in the work area of Puskesmas Kota Baru New Town Bandar Lampung in 2017. This research is a qualitative research with phenomenology approach. Information obtained by conducting in-depth interviews, FGD, and observation. Informants in this study consisted of 5 main informants, 2 informants triangulation. The results showed that the form of MP-ASI have given for the age of 6-8 months and 12-24 months was appropriate but for 9-11 months age was not yet appropriate. The amount given is still less than the need with the frequency of giving 2-3 times a day plus 2 times a distraction. Type of MP-ASI is a local MP-ASI and MP-ASI manufacturer. How to serve in the form of dilute and liquid who fed by the mother. Raw food ingredients are stored separately with cooked foods. Feeding meals and suggestions are from their own mothers. Advice for MP-ASI counselors to provide regular and recorded counseling so that the stages and success of counseling can be evaluated.&lt;/p&gt;","author":[{"dropping-particle":"","family":"Amperaningsih","given":"Yuliati","non-dropping-particle":"","parse-names":false,"suffix":""},{"dropping-particle":"","family":"Sari","given":"Siska Aulia","non-dropping-particle":"","parse-names":false,"suffix":""},{"dropping-particle":"","family":"Perdana","given":"Agung Aji","non-dropping-particle":"","parse-names":false,"suffix":""}],"container-title":"Jurnal Kesehatan","id":"ITEM-1","issue":"2","issued":{"date-parts":[["2018"]]},"page":"310","title":"Pola Pemberian MP-ASI pada Balita Usia 6-24 Bulan","type":"article-journal","volume":"9"},"uris":["http://www.mendeley.com/documents/?uuid=25c2c4a8-c847-40f0-9bcc-af2fbe207992","http://www.mendeley.com/documents/?uuid=97c3c800-3913-4d9e-a453-a69cb325e975","http://www.mendeley.com/documents/?uuid=b0f85d55-a83e-475e-a915-693b666d1efe"]}],"mendeley":{"formattedCitation":"[24]","plainTextFormattedCitation":"[24]","previouslyFormattedCitation":"(25)"},"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p>
    <w:p w14:paraId="27D5F7A4" w14:textId="5E347220" w:rsidR="0053164C" w:rsidRPr="0053164C" w:rsidRDefault="0053164C" w:rsidP="0053164C">
      <w:pPr>
        <w:spacing w:after="0" w:line="240" w:lineRule="auto"/>
        <w:ind w:firstLine="567"/>
        <w:jc w:val="both"/>
        <w:rPr>
          <w:rFonts w:ascii="Tw Cen MT" w:eastAsia="Times New Roman" w:hAnsi="Tw Cen MT" w:cs="Times New Roman"/>
          <w:color w:val="111111"/>
          <w:lang w:eastAsia="id-ID"/>
        </w:rPr>
      </w:pPr>
      <w:r w:rsidRPr="0053164C">
        <w:rPr>
          <w:rFonts w:ascii="Tw Cen MT" w:eastAsia="Times New Roman" w:hAnsi="Tw Cen MT" w:cs="Times New Roman"/>
          <w:color w:val="111111"/>
          <w:sz w:val="24"/>
          <w:szCs w:val="24"/>
          <w:lang w:eastAsia="id-ID"/>
        </w:rPr>
        <w:t xml:space="preserve">Hasil analisis menunjukkan adanya hubungan yang signifikan antara </w:t>
      </w:r>
      <w:r w:rsidRPr="0053164C">
        <w:rPr>
          <w:rFonts w:ascii="Tw Cen MT" w:eastAsia="Times New Roman" w:hAnsi="Tw Cen MT" w:cs="Times New Roman"/>
          <w:i/>
          <w:iCs/>
          <w:color w:val="111111"/>
          <w:sz w:val="24"/>
          <w:szCs w:val="24"/>
          <w:lang w:eastAsia="id-ID"/>
        </w:rPr>
        <w:t xml:space="preserve">responsive feeding </w:t>
      </w:r>
      <w:r w:rsidRPr="0053164C">
        <w:rPr>
          <w:rFonts w:ascii="Tw Cen MT" w:eastAsia="Times New Roman" w:hAnsi="Tw Cen MT" w:cs="Times New Roman"/>
          <w:color w:val="111111"/>
          <w:sz w:val="24"/>
          <w:szCs w:val="24"/>
          <w:lang w:eastAsia="id-ID"/>
        </w:rPr>
        <w:t>dengan status gizi (PB/U) (</w:t>
      </w:r>
      <w:r w:rsidRPr="0053164C">
        <w:rPr>
          <w:rFonts w:ascii="Tw Cen MT" w:eastAsia="Times New Roman" w:hAnsi="Tw Cen MT" w:cs="Times New Roman"/>
          <w:i/>
          <w:iCs/>
          <w:color w:val="111111"/>
          <w:sz w:val="24"/>
          <w:szCs w:val="24"/>
          <w:lang w:eastAsia="id-ID"/>
        </w:rPr>
        <w:t xml:space="preserve">p=0.002). </w:t>
      </w:r>
      <w:r w:rsidRPr="0053164C">
        <w:rPr>
          <w:rFonts w:ascii="Tw Cen MT" w:eastAsia="Times New Roman" w:hAnsi="Tw Cen MT" w:cs="Times New Roman"/>
          <w:color w:val="111111"/>
          <w:sz w:val="24"/>
          <w:szCs w:val="24"/>
          <w:lang w:eastAsia="id-ID"/>
        </w:rPr>
        <w:t xml:space="preserve">Perilaku orang tua yang cenderung memberikan tekanan saat anak makan menunjukkan hubungan signifikan secara negatif dengan status gizi anak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{"citationItems":[{"id":"ITEM-1","itemData":{"DOI":"10.22146/ijcn.19281","ISSN":"1693-900X","abstract":"Background: The issue of child nutrition is still a problem in developing countries, including Indonesia. Nowadays, there is double burden related to child nutrition, due to lack of nutrition that has not been resolved and at the same time, there is an increasing problem of excess nutrients. Parents are responsible for the care of children, including fulfilling a balanced nutritional intake.Objective: To identify the relationship between parent’s behavior in feeding and nutritional status of children aged 2-5 years.Method: Design used in this study was observational with the cross-sectional study was conducted 153 parents with children aged 2-5 years who fit the inclusion and exclusion criteria in the region of Integrated Health Center Catholic Hospital St. Vincentius a Paulo Surabaya. Parent’s behavior in feeding was assessed using the Comprehensive Feeding Practices Questionnaire (CFPQ) which consists of 49 questions and 12 behavioral aspects. The nutritional status of children assessed by weight indicator according to height (weight/height) were compared with z-score WHO 2006 standard. Data were analyzed using the Spearman correlation.Results: The average nutritional status of children aged 2-5 years based on the weight/height z-score indicator was 0.17 indicating that is in normal condition. Parent’s behavior that involves children in the planning and preparation of meals, positively associated with nutritional status of children in all conditions of nutritional status of children who are very thin to obese (</w:instrText>
      </w:r>
      <w:r w:rsidR="00C81D96">
        <w:rPr>
          <w:rFonts w:eastAsia="Times New Roman"/>
          <w:color w:val="111111"/>
          <w:sz w:val="24"/>
          <w:szCs w:val="24"/>
          <w:lang w:eastAsia="id-ID"/>
        </w:rPr>
        <w:instrText>ρ</w:instrText>
      </w:r>
      <w:r w:rsidR="00C81D96">
        <w:rPr>
          <w:rFonts w:ascii="Tw Cen MT" w:eastAsia="Times New Roman" w:hAnsi="Tw Cen MT" w:cs="Times New Roman"/>
          <w:color w:val="111111"/>
          <w:sz w:val="24"/>
          <w:szCs w:val="24"/>
          <w:lang w:eastAsia="id-ID"/>
        </w:rPr>
        <w:instrText>=0.43; p=0.001). Pressure, when children eat, was negatively associated with nutritional status of children aged 2-5 years in normal nutritional status to obese (</w:instrText>
      </w:r>
      <w:r w:rsidR="00C81D96">
        <w:rPr>
          <w:rFonts w:eastAsia="Times New Roman"/>
          <w:color w:val="111111"/>
          <w:sz w:val="24"/>
          <w:szCs w:val="24"/>
          <w:lang w:eastAsia="id-ID"/>
        </w:rPr>
        <w:instrText>ρ</w:instrText>
      </w:r>
      <w:r w:rsidR="00C81D96">
        <w:rPr>
          <w:rFonts w:ascii="Tw Cen MT" w:eastAsia="Times New Roman" w:hAnsi="Tw Cen MT" w:cs="Times New Roman"/>
          <w:color w:val="111111"/>
          <w:sz w:val="24"/>
          <w:szCs w:val="24"/>
          <w:lang w:eastAsia="id-ID"/>
        </w:rPr>
        <w:instrText>=-0.34; p=0.001). Restriction of food intake to control body weight was positively associated with nutritional status of children aged 2-5 years in all conditions of nutritional status of children who are very thin to obese (</w:instrText>
      </w:r>
      <w:r w:rsidR="00C81D96">
        <w:rPr>
          <w:rFonts w:eastAsia="Times New Roman"/>
          <w:color w:val="111111"/>
          <w:sz w:val="24"/>
          <w:szCs w:val="24"/>
          <w:lang w:eastAsia="id-ID"/>
        </w:rPr>
        <w:instrText>ρ</w:instrText>
      </w:r>
      <w:r w:rsidR="00C81D96">
        <w:rPr>
          <w:rFonts w:ascii="Tw Cen MT" w:eastAsia="Times New Roman" w:hAnsi="Tw Cen MT" w:cs="Times New Roman"/>
          <w:color w:val="111111"/>
          <w:sz w:val="24"/>
          <w:szCs w:val="24"/>
          <w:lang w:eastAsia="id-ID"/>
        </w:rPr>
        <w:instrText>=0.29; p=0.001).Conclusion: Parent’s behavior in feeding the children associated with nutritional status of children aged 2-5 years.","author":[{"dropping-particle":"","family":"Purnama","given":"Ni Luh Agustini","non-dropping-particle":"","parse-names":false,"suffix":""},{"dropping-particle":"","family":"Lusmilasari","given":"Lely","non-dropping-particle":"","parse-names":false,"suffix":""},{"dropping-particle":"","family":"Julia","given":"Madarina","non-dropping-particle":"","parse-names":false,"suffix":""}],"container-title":"Jurnal Gizi Klinik Indonesia","id":"ITEM-1","issue":"3","issued":{"date-parts":[["2015"]]},"page":"97-104","title":"Perilaku orang tua dalam pemberian makan dan status gizi anak usia 2-5 tahun","type":"article-journal","volume":"11"},"uris":["http://www.mendeley.com/documents/?uuid=ef8183f6-6843-4ce6-ae74-651d18708b5b","http://www.mendeley.com/documents/?uuid=06d1d140-e3e9-4215-bd24-98b7237c2958","http://www.mendeley.com/documents/?uuid=74cb9731-5e54-42be-b11a-6676ff4c6c7d"]}],"mendeley":{"formattedCitation":"[29]","plainTextFormattedCitation":"[29]","previouslyFormattedCitation":"(30)"},"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[29]</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Menurut Latifah, ibu dengan perilaku responsif memiliki risiko 0.15x lebih rendah memiliki anak stunting dibanding yang tidak responsif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d84fb87a-b6e5-4ed4-8782-ecef66cc3a1c","http://www.mendeley.com/documents/?uuid=6fffb45c-7c83-42b6-bb69-1aa1fe93f24f","http://www.mendeley.com/documents/?uuid=ee941f40-6d95-4af5-96fa-085bdee8af65"]}],"mendeley":{"formattedCitation":"[30]","plainTextFormattedCitation":"[30]","previouslyFormattedCitation":"(31)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eastAsia="id-ID"/>
        </w:rPr>
        <w:fldChar w:fldCharType="end"/>
      </w:r>
      <w:r w:rsidRPr="0053164C">
        <w:rPr>
          <w:rFonts w:ascii="Tw Cen MT" w:eastAsia="Times New Roman" w:hAnsi="Tw Cen MT" w:cs="Times New Roman"/>
          <w:color w:val="111111"/>
          <w:sz w:val="24"/>
          <w:szCs w:val="24"/>
          <w:lang w:eastAsia="id-ID"/>
        </w:rPr>
        <w:t xml:space="preserve">. Ibu/pengasuh yang diberi pemahaman dan edukasi khususnya berkaitan dengan pola pengasuhan anak (pemberian makan anak) akan berpengaruh positif terhadap status gizi anak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{"citationItems":[{"id":"ITEM-1","itemData":{"DOI":"10.31983/jkb.v10i2.6286","ISSN":"2089-7669","abstract":"Hyperemesis Gravidarum is a common symptom and is often seen in the first trimester of pregnancy, which occurs in 60-80% of primigravida and 40-60% of multigravida. Nausea usually occurs in the morning, but can occur at any time of the night. These symptoms approximately occur after 6 weeks after the first day of the last menstrual period and last for approximately 10 weeks. The incidence of Hyperemesis Gravidarum is influenced by the knowledge of pregnant women, the age of pregnant women and gravidas at Batara Guru Belopa Regional Hospital in 2020. The type of research used is quantitative research with cross sectional design. The sample in this study were pregnant women who experienced hyperemesis gravidarum, both those who experienced grade I hyperemesis, Level II and level III who came to visit the Batara Guru Belopa Regional Hospital for the March - June 2020 period were 47 pregnant women. The results of the research conducted at Batara Guru Belopa, Luwu Regency, showed that in general knowledge, age and gravidity had a significant relationship with the incidence of hyperememesis gravidarum in Batara Guru Belopa Regional Hospital, where the chi-square value count was ≥ X2 table. In the knowledge variable with the occurrence of hyperemesis gravidarum, it is a value of &lt;0.002 and in the age variable the value is &lt;0.003, while the gravid variable with the occurrence of hyperemesis gravidarum is a value of &lt;0.001","author":[{"dropping-particle":"","family":"Latifah","given":"Ulfatul","non-dropping-particle":"","parse-names":false,"suffix":""},{"dropping-particle":"","family":"Prastiwi","given":"Ratih Sakti","non-dropping-particle":"","parse-names":false,"suffix":""},{"dropping-particle":"","family":"Baroroh","given":"Umi","non-dropping-particle":"","parse-names":false,"suffix":""}],"container-title":"Jurnal Kebidanan","id":"ITEM-1","issue":"2","issued":{"date-parts":[["2020"]]},"page":"143-148","title":"The Responsive Feeding Behavior and Stunting Incident on Toddlers","type":"article-journal","volume":"10"},"uris":["http://www.mendeley.com/documents/?uuid=ee941f40-6d95-4af5-96fa-085bdee8af65","http://www.mendeley.com/documents/?uuid=d84fb87a-b6e5-4ed4-8782-ecef66cc3a1c","http://www.mendeley.com/documents/?uuid=dac4b2bf-0c2d-4f92-bb91-1651a95ace97"]}],"mendeley":{"formattedCitation":"[30]","plainTextFormattedCitation":"[30]","previouslyFormattedCitation":"(31)"},"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[30]</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w:t>
      </w:r>
      <w:r w:rsidRPr="0053164C">
        <w:rPr>
          <w:rFonts w:ascii="Tw Cen MT" w:eastAsia="Times New Roman" w:hAnsi="Tw Cen MT" w:cs="Times New Roman"/>
          <w:color w:val="111111"/>
          <w:lang w:eastAsia="id-ID"/>
        </w:rPr>
        <w:t xml:space="preserve"> </w:t>
      </w:r>
    </w:p>
    <w:p w14:paraId="568A2040" w14:textId="5E65AC71" w:rsidR="0053164C" w:rsidRPr="0053164C" w:rsidRDefault="0053164C" w:rsidP="0053164C">
      <w:pPr>
        <w:spacing w:after="0" w:line="240" w:lineRule="auto"/>
        <w:ind w:firstLine="567"/>
        <w:jc w:val="both"/>
        <w:rPr>
          <w:rFonts w:ascii="Tw Cen MT" w:eastAsia="Times New Roman" w:hAnsi="Tw Cen MT" w:cs="Times New Roman"/>
          <w:color w:val="111111"/>
          <w:sz w:val="24"/>
          <w:szCs w:val="24"/>
          <w:lang w:eastAsia="id-ID"/>
        </w:rPr>
      </w:pPr>
      <w:r w:rsidRPr="0053164C">
        <w:rPr>
          <w:rFonts w:ascii="Tw Cen MT" w:eastAsia="Times New Roman" w:hAnsi="Tw Cen MT" w:cs="Times New Roman"/>
          <w:color w:val="111111"/>
          <w:sz w:val="24"/>
          <w:szCs w:val="24"/>
          <w:lang w:eastAsia="id-ID"/>
        </w:rPr>
        <w:t>Jumlah energi yang terkandung dalam MP-ASI ditentukan berdasarkan</w:t>
      </w:r>
      <w:r w:rsidRPr="0053164C">
        <w:rPr>
          <w:rFonts w:ascii="Tw Cen MT" w:eastAsia="Times New Roman" w:hAnsi="Tw Cen MT" w:cs="Times New Roman"/>
          <w:color w:val="111111"/>
          <w:sz w:val="24"/>
          <w:szCs w:val="24"/>
          <w:lang w:val="id-ID" w:eastAsia="id-ID"/>
        </w:rPr>
        <w:t xml:space="preserve"> asumsi </w:t>
      </w:r>
      <w:r w:rsidRPr="0053164C">
        <w:rPr>
          <w:rFonts w:ascii="Tw Cen MT" w:eastAsia="Times New Roman" w:hAnsi="Tw Cen MT" w:cs="Times New Roman"/>
          <w:color w:val="111111"/>
          <w:sz w:val="24"/>
          <w:szCs w:val="24"/>
          <w:lang w:eastAsia="id-ID"/>
        </w:rPr>
        <w:t xml:space="preserve">rata-rata </w:t>
      </w:r>
      <w:r w:rsidRPr="0053164C">
        <w:rPr>
          <w:rFonts w:ascii="Tw Cen MT" w:eastAsia="Times New Roman" w:hAnsi="Tw Cen MT" w:cs="Times New Roman"/>
          <w:color w:val="111111"/>
          <w:sz w:val="24"/>
          <w:szCs w:val="24"/>
          <w:lang w:val="id-ID" w:eastAsia="id-ID"/>
        </w:rPr>
        <w:t xml:space="preserve">konsumsi ASI </w:t>
      </w:r>
      <w:r w:rsidRPr="0053164C">
        <w:rPr>
          <w:rFonts w:ascii="Tw Cen MT" w:eastAsia="Times New Roman" w:hAnsi="Tw Cen MT" w:cs="Times New Roman"/>
          <w:color w:val="111111"/>
          <w:sz w:val="24"/>
          <w:szCs w:val="24"/>
          <w:lang w:eastAsia="id-ID"/>
        </w:rPr>
        <w:t xml:space="preserve">per hari, </w:t>
      </w:r>
      <w:r w:rsidRPr="0053164C">
        <w:rPr>
          <w:rFonts w:ascii="Tw Cen MT" w:eastAsia="Times New Roman" w:hAnsi="Tw Cen MT" w:cs="Times New Roman"/>
          <w:color w:val="111111"/>
          <w:sz w:val="24"/>
          <w:szCs w:val="24"/>
          <w:lang w:val="id-ID" w:eastAsia="id-ID"/>
        </w:rPr>
        <w:t xml:space="preserve">sehingga ada kemungkinan bahwa anak </w:t>
      </w:r>
      <w:r w:rsidRPr="0053164C">
        <w:rPr>
          <w:rFonts w:ascii="Tw Cen MT" w:eastAsia="Times New Roman" w:hAnsi="Tw Cen MT" w:cs="Times New Roman"/>
          <w:color w:val="111111"/>
          <w:sz w:val="24"/>
          <w:szCs w:val="24"/>
          <w:lang w:eastAsia="id-ID"/>
        </w:rPr>
        <w:t xml:space="preserve">dengan </w:t>
      </w:r>
      <w:r w:rsidRPr="0053164C">
        <w:rPr>
          <w:rFonts w:ascii="Tw Cen MT" w:eastAsia="Times New Roman" w:hAnsi="Tw Cen MT" w:cs="Times New Roman"/>
          <w:color w:val="111111"/>
          <w:sz w:val="24"/>
          <w:szCs w:val="24"/>
          <w:lang w:val="id-ID" w:eastAsia="id-ID"/>
        </w:rPr>
        <w:t>asupan ASI yang lebih tinggi</w:t>
      </w:r>
      <w:r w:rsidRPr="0053164C">
        <w:rPr>
          <w:rFonts w:ascii="Tw Cen MT" w:eastAsia="Times New Roman" w:hAnsi="Tw Cen MT" w:cs="Times New Roman"/>
          <w:color w:val="111111"/>
          <w:sz w:val="24"/>
          <w:szCs w:val="24"/>
          <w:lang w:eastAsia="id-ID"/>
        </w:rPr>
        <w:t xml:space="preserve"> maka kebutuhan energi yang bersumber dari MP-ASI nya cenderung lebih rendah, dan sebaliknya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{"citationItems":[{"id":"ITEM-1","itemData":{"DOI":"10.1111/mcn.12324","ISSN":"17408709","PMID":"27265847","abstract":"The first two years of life are critical for growth and development. Little is known about infant and young child feeding (IYCF) practices in the Ecuadorian highlands and how they contribute to stunting. With the objective of understanding nutritional status and the influencing factors to design an intervention, we assessed the nutritional status of 293 infants and children between 0 and 24 months of age, living in 14 communities in the provinces of Tungurahua and Chimborazo using a cross-sectional study design. We used the WHO IYCF indicators to assess feeding practices; estimated dietary intake with 24-h recalls; and identified nutritious local foods by food frequency questionnaires. Multiple regression modelling was performed to identify correlates of nutritional status. Stunting was found in 56.2% of children. Mean protein, vitamin A and vitamin C intakes were above recommendations for all ages. Only infants 6.0 to 8.9 months of age and non-breastfed children 12–23.9 months of age consumed energy intakes below recommendations. Younger age groups had below recommended intakes for iron and calcium. While mean complementary food densities met recommendations for protein, vitamin A, vitamin C and energy, those for zinc, iron and calcium were lower than recommended. Older age, respiratory infections and being male were predictors of lower HAZ, whereas early initiation of breastfeeding, higher socioeconomic status, consumption of iron-rich foods and higher dietary protein density were protective. Interventions that promote and support optimal breastfeeding practices and enable increased consumption of nutritious local foods have potential to contribute to reducing stunting in this vulnerable population. © 2016 John Wiley &amp; Sons Ltd.","author":[{"dropping-particle":"","family":"Roche","given":"Marion L.","non-dropping-particle":"","parse-names":false,"suffix":""},{"dropping-particle":"","family":"Gyorkos","given":"Theresa W.","non-dropping-particle":"","parse-names":false,"suffix":""},{"dropping-particle":"","family":"Blouin","given":"Brittany","non-dropping-particle":"","parse-names":false,"suffix":""},{"dropping-particle":"","family":"Marquis","given":"Grace S.","non-dropping-particle":"","parse-names":false,"suffix":""},{"dropping-particle":"","family":"Sarsoza","given":"Julieta","non-dropping-particle":"","parse-names":false,"suffix":""},{"dropping-particle":"V.","family":"Kuhnlein","given":"Harriet","non-dropping-particle":"","parse-names":false,"suffix":""}],"container-title":"Maternal and Child Nutrition","id":"ITEM-1","issue":"2","issued":{"date-parts":[["2017"]]},"page":"1-15","title":"Infant and young child feeding practices and stunting in two highland provinces in Ecuador","type":"article-journal","volume":"13"},"uris":["http://www.mendeley.com/documents/?uuid=f47290f7-ad08-4a79-b88a-a686310bebea","http://www.mendeley.com/documents/?uuid=7909c8b4-ae81-4ac7-b028-e00cf3827b95","http://www.mendeley.com/documents/?uuid=d4ce7045-fac1-4ea2-8729-cb4c45143eeb"]}],"mendeley":{"formattedCitation":"[31]","plainTextFormattedCitation":"[31]","previouslyFormattedCitation":"(32)"},"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[31]</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Menurut IDAI (2018), jumlah tambahan kalori yang harus terkandung dalam MP-ASI untuk kategori usia 6-8 bulan sebesar 200kkal, 9-12 bulan sebesar 300kkal dan 12-24 bulan sebesar 550kkal setiap harinya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{"citationItems":[{"id":"ITEM-1","itemData":{"abstract":"TAHUKAH IBU? Kebutuhan energi dan nutrisi anak hingga usia 6 bulan dapat tercukupi oleh pemberian ASI saja. Akan tetapi tidak bagi anak diatas usia 6 bulan.","author":[{"dropping-particle":"","family":"IDAI","given":"","non-dropping-particle":"","parse-names":false,"suffix":""}],"container-title":"UKK Nutrisi dan Penyakit Metabolik Ikatan DOkter Anak Indonesia","id":"ITEM-1","issued":{"date-parts":[["2018"]]},"title":"Pemberian Makanan Pendamping Air Susu Ibu (MPASI)","type":"book"},"uris":["http://www.mendeley.com/documents/?uuid=8fcaea8b-2173-40b0-af81-444b91c7ca0c","http://www.mendeley.com/documents/?uuid=f41e6871-01b6-4996-a0a6-1ef1273ce999","http://www.mendeley.com/documents/?uuid=f5a99c48-5f06-4c32-a250-eccdc74f8f02"]}],"mendeley":{"formattedCitation":"[14]","plainTextFormattedCitation":"[14]","previouslyFormattedCitation":"(14)"},"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[14]</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Sama halnya dengan energi, jumlah lemak yang dibutuhkan dari MP-ASI untuk memenuhi kebutuhan sehari-hari pada anak tergantung pada tingkat asupan ASI. Anjuran lemak yang terkandung dalam MP-ASI adalah sekitar 30-45% dari total kalori sehari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{"citationItems":[{"id":"ITEM-1","itemData":{"DOI":"10.1177/156482650302400102","ISSN":"03795721","PMID":"12664525","abstract":"This paper provides an update to the 1998 WHO/UNICEF report on complementary feeding. New research findings are generally consistent with the guidelines in that report, but the adoption of new energy and micronutrient requirements for infants and young children will result in lower recommendations regarding minimum meal frequency and energy density of complementary foods, and will alter the list of \"problem nutrients.\" Without fortification, the densities of iron, zinc, and vitamin B6 in complementary foods are often inadequate, and the intake of other nutrients may also be low in some populations. Strategies for obtaining the needed amounts of problem nutrients, as well as optimizing breastmilk intake when other foods are added to the diet, are discussed. The impact of complementary feeding interventions on child growth has been variable, which calls attention to the need for more comprehensive programs. A six-step approach to planning, implementing, and evaluating such programs is recommended.","author":[{"dropping-particle":"","family":"Dewey","given":"Kathryn G.","non-dropping-particle":"","parse-names":false,"suffix":""},{"dropping-particle":"","family":"Brown","given":"Kenneth H.","non-dropping-particle":"","parse-names":false,"suffix":""}],"container-title":"Food and Nutrition Bulletin","id":"ITEM-1","issue":"1","issued":{"date-parts":[["2003"]]},"page":"5-28","title":"Update on technical issues concerning complementary feeding of young children in developing countries and implications for intervention programs","type":"article-journal","volume":"24"},"uris":["http://www.mendeley.com/documents/?uuid=99233a66-d84c-4133-810d-611d8448b0ed","http://www.mendeley.com/documents/?uuid=a30b27c8-c213-48ea-91b4-897985684ca2","http://www.mendeley.com/documents/?uuid=f94b12da-fe14-4557-a41e-edfd19864f16"]}],"mendeley":{"formattedCitation":"[32]","plainTextFormattedCitation":"[32]","previouslyFormattedCitation":"(33)"},"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[32]</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Kebutuhan protein pada anak meningkat seiring pertambahan usia. Asupan protein harian yang direkomendasikan adalah 1.1g/kg/hari atau sekitar 10% dari total kalori </w:t>
      </w:r>
      <w:r w:rsidRPr="0053164C">
        <w:rPr>
          <w:rFonts w:ascii="Tw Cen MT" w:eastAsia="Times New Roman" w:hAnsi="Tw Cen MT" w:cs="Times New Roman"/>
          <w:color w:val="111111"/>
          <w:sz w:val="24"/>
          <w:szCs w:val="24"/>
          <w:lang w:eastAsia="id-ID"/>
        </w:rPr>
        <w:fldChar w:fldCharType="begin" w:fldLock="1"/>
      </w:r>
      <w:r w:rsidR="00C81D96">
        <w:rPr>
          <w:rFonts w:ascii="Tw Cen MT" w:eastAsia="Times New Roman" w:hAnsi="Tw Cen MT" w:cs="Times New Roman"/>
          <w:color w:val="111111"/>
          <w:sz w:val="24"/>
          <w:szCs w:val="24"/>
          <w:lang w:eastAsia="id-ID"/>
        </w:rPr>
        <w:instrText>ADDIN CSL_CITATION {"citationItems":[{"id":"ITEM-1","itemData":{"DOI":"10.1186/s13052-015-0143-5","ISSN":"1824-7288","abstract":"Weaning (or introduction of complementary feeding) is a special and important moment in the growth of a child, both for the family and the infant itself, and it can play a major role in the child’s future health. Throughout the years, various weaning modes have come in succession, the latest being baby-led weaning; the timing for introducing foods and the requirements of which sort of nutrient for weaning have also changed over time. Furthermore, the role played by nutrition, especially in the early stages of life, for the onset of later non-communicable disorders, such as diabetes, obesity or coeliac disease has also been increasingly highlighted. Members of Italian Society of Gastroenterology, Hepathology and Pediatric Nutrition (SIGENP) and the Italian Society of Allergology and Pediatric Immunology (SIAIP) Emilia Romagna here propose a practical approach for pediatricians to deal with daily practice. The four main areas for discussion were weaning in relation with the onset of allergic diseases, coeliac disease, diabetes and metabolic syndrome, the nutrition requirements to take into account for assessing the diet of infants under one year of age and about the practice of baby-led weaning focusing on limits and benefits, respectively.","author":[{"dropping-particle":"","family":"Alvisi","given":"Patrizia","non-dropping-particle":"","parse-names":false,"suffix":""},{"dropping-particle":"","family":"Brusa","given":"Sandra","non-dropping-particle":"","parse-names":false,"suffix":""},{"dropping-particle":"","family":"Alboresi","given":"Stefano","non-dropping-particle":"","parse-names":false,"suffix":""},{"dropping-particle":"","family":"Amarri","given":"Sergio","non-dropping-particle":"","parse-names":false,"suffix":""},{"dropping-particle":"","family":"Bottau","given":"Paolo","non-dropping-particle":"","parse-names":false,"suffix":""},{"dropping-particle":"","family":"Cavagni","given":"Giovanni","non-dropping-particle":"","parse-names":false,"suffix":""},{"dropping-particle":"","family":"Corradini","given":"Barbara","non-dropping-particle":"","parse-names":false,"suffix":""},{"dropping-particle":"","family":"Landi","given":"Linda","non-dropping-particle":"","parse-names":false,"suffix":""},{"dropping-particle":"","family":"Loroni","given":"Leonardo","non-dropping-particle":"","parse-names":false,"suffix":""},{"dropping-particle":"","family":"Marani","given":"Miris","non-dropping-particle":"","parse-names":false,"suffix":""},{"dropping-particle":"","family":"Osti","given":"Irene M","non-dropping-particle":"","parse-names":false,"suffix":""},{"dropping-particle":"","family":"Povesi-Dascola","given":"Carlotta","non-dropping-particle":"","parse-names":false,"suffix":""},{"dropping-particle":"","family":"Caffarelli","given":"Carlo","non-dropping-particle":"","parse-names":false,"suffix":""},{"dropping-particle":"","family":"Valeriani","given":"Luca","non-dropping-particle":"","parse-names":false,"suffix":""},{"dropping-particle":"","family":"Agostoni","given":"Carlo","non-dropping-particle":"","parse-names":false,"suffix":""}],"container-title":"Italian Journal of Pediatrics","id":"ITEM-1","issue":"1","issued":{"date-parts":[["2015","12"]]},"page":"36","publisher":"BioMed Central","title":"Recommendations on complementary feeding for healthy, full-term infants","type":"article-journal","volume":"41"},"uris":["http://www.mendeley.com/documents/?uuid=f49f21d2-2640-40d0-b370-c3253199b4ce","http://www.mendeley.com/documents/?uuid=c7d2a541-c54d-416a-bf3c-bf41245f7f39","http://www.mendeley.com/documents/?uuid=23539c6d-cc56-393c-98b3-29b467ed1a7c"]}],"mendeley":{"formattedCitation":"[19]","plainTextFormattedCitation":"[19]","previouslyFormattedCitation":"(19)"},"properties":{"noteIndex":0},"schema":"https://github.com/citation-style-language/schema/raw/master/csl-citation.json"}</w:instrText>
      </w:r>
      <w:r w:rsidRPr="0053164C">
        <w:rPr>
          <w:rFonts w:ascii="Tw Cen MT" w:eastAsia="Times New Roman" w:hAnsi="Tw Cen MT" w:cs="Times New Roman"/>
          <w:color w:val="111111"/>
          <w:sz w:val="24"/>
          <w:szCs w:val="24"/>
          <w:lang w:eastAsia="id-ID"/>
        </w:rPr>
        <w:fldChar w:fldCharType="separate"/>
      </w:r>
      <w:r w:rsidR="00C81D96" w:rsidRPr="00C81D96">
        <w:rPr>
          <w:rFonts w:ascii="Tw Cen MT" w:eastAsia="Times New Roman" w:hAnsi="Tw Cen MT" w:cs="Times New Roman"/>
          <w:noProof/>
          <w:color w:val="111111"/>
          <w:sz w:val="24"/>
          <w:szCs w:val="24"/>
          <w:lang w:eastAsia="id-ID"/>
        </w:rPr>
        <w:t>[19]</w:t>
      </w:r>
      <w:r w:rsidRPr="0053164C">
        <w:rPr>
          <w:rFonts w:ascii="Tw Cen MT" w:eastAsia="Times New Roman" w:hAnsi="Tw Cen MT" w:cs="Times New Roman"/>
          <w:color w:val="111111"/>
          <w:sz w:val="24"/>
          <w:szCs w:val="24"/>
          <w:lang w:val="id-ID" w:eastAsia="id-ID"/>
        </w:rPr>
        <w:fldChar w:fldCharType="end"/>
      </w:r>
      <w:r w:rsidRPr="0053164C">
        <w:rPr>
          <w:rFonts w:ascii="Tw Cen MT" w:eastAsia="Times New Roman" w:hAnsi="Tw Cen MT" w:cs="Times New Roman"/>
          <w:color w:val="111111"/>
          <w:sz w:val="24"/>
          <w:szCs w:val="24"/>
          <w:lang w:eastAsia="id-ID"/>
        </w:rPr>
        <w:t xml:space="preserve">. Berdasarkan Tabel 3 diketahui bahwa tidak ada hubungan antara asupan energi, protein, lemak dan karbohidrat pada MP-ASI dengan status gizi (PB/U). Selain dari </w:t>
      </w:r>
      <w:r w:rsidRPr="0053164C">
        <w:rPr>
          <w:rFonts w:ascii="Tw Cen MT" w:eastAsia="Times New Roman" w:hAnsi="Tw Cen MT" w:cs="Times New Roman"/>
          <w:color w:val="111111"/>
          <w:sz w:val="24"/>
          <w:szCs w:val="24"/>
          <w:lang w:eastAsia="id-ID"/>
        </w:rPr>
        <w:t xml:space="preserve">MP-ASI, pemenuhan kebutuhan energi dan zat gizi pada anak juga berasal dari asupan ASI maupun susu formula. Berdasarkan Tabel 5 diketahui sebanyak 79% anak masih mengkonsumsi asi. Dari hasil kuisioner juga diketahui bahwa sebanyak 64% balita memiliki sumbangan energi terbesar dari ASI/susu formula. </w:t>
      </w:r>
    </w:p>
    <w:p w14:paraId="0B4C4913" w14:textId="77777777" w:rsidR="0053164C" w:rsidRPr="0096335E" w:rsidRDefault="0053164C" w:rsidP="0053164C">
      <w:pPr>
        <w:spacing w:after="0"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046928FC" w:rsidR="007106F6" w:rsidRPr="00C81D96" w:rsidRDefault="00C81D96" w:rsidP="004721E3">
      <w:pPr>
        <w:spacing w:line="240" w:lineRule="auto"/>
        <w:jc w:val="both"/>
        <w:rPr>
          <w:rFonts w:ascii="Tw Cen MT" w:eastAsia="Twentieth Century" w:hAnsi="Tw Cen MT" w:cs="Twentieth Century"/>
          <w:sz w:val="24"/>
          <w:szCs w:val="24"/>
          <w:lang w:val="en-ID"/>
        </w:rPr>
      </w:pPr>
      <w:r w:rsidRPr="00C81D96">
        <w:rPr>
          <w:rFonts w:ascii="Tw Cen MT" w:eastAsia="Twentieth Century" w:hAnsi="Tw Cen MT" w:cs="Twentieth Century"/>
          <w:sz w:val="24"/>
          <w:szCs w:val="24"/>
          <w:lang w:val="en-ID"/>
        </w:rPr>
        <w:t>Berdasarkan indeks PB/U terdapat 17% balita kategori stunting dan 83% balita kategori tidak stunting. Tidak terdapat hubungan signifikan antara usia awal pemberian, tekstur, variasi, frekuensi pemberian, porsi pemberian, hygiene sanitasi dan asupan gizi pada MP ASI dengan status gizi (PB/U), sedangkan responsive feeding memiliki hubungan signifikan dengan status gizi (PB/U).</w:t>
      </w:r>
    </w:p>
    <w:p w14:paraId="7E4B783F" w14:textId="77777777" w:rsidR="004721E3" w:rsidRPr="003D5A1C" w:rsidRDefault="004721E3" w:rsidP="004721E3">
      <w:pPr>
        <w:tabs>
          <w:tab w:val="left" w:pos="426"/>
        </w:tabs>
        <w:spacing w:after="0" w:line="240" w:lineRule="auto"/>
        <w:jc w:val="both"/>
        <w:rPr>
          <w:rFonts w:ascii="Tw Cen MT" w:eastAsia="Twentieth Century" w:hAnsi="Tw Cen MT" w:cs="Twentieth Century"/>
          <w:b/>
          <w:sz w:val="24"/>
          <w:szCs w:val="24"/>
          <w:lang w:val="pt-BR"/>
        </w:rPr>
      </w:pPr>
      <w:r w:rsidRPr="003D5A1C">
        <w:rPr>
          <w:rFonts w:ascii="Tw Cen MT" w:eastAsia="Twentieth Century" w:hAnsi="Tw Cen MT" w:cs="Twentieth Century"/>
          <w:b/>
          <w:sz w:val="24"/>
          <w:szCs w:val="24"/>
          <w:lang w:val="pt-BR"/>
        </w:rPr>
        <w:t>DAFTAR PUSTAKA</w:t>
      </w:r>
    </w:p>
    <w:p w14:paraId="680C7A1C" w14:textId="77777777" w:rsidR="004721E3" w:rsidRDefault="004721E3" w:rsidP="004721E3">
      <w:pPr>
        <w:spacing w:after="0" w:line="240" w:lineRule="auto"/>
        <w:ind w:left="426" w:hanging="426"/>
        <w:jc w:val="both"/>
        <w:rPr>
          <w:rFonts w:ascii="Tw Cen MT" w:eastAsia="Twentieth Century" w:hAnsi="Tw Cen MT" w:cs="Twentieth Century"/>
          <w:sz w:val="24"/>
          <w:szCs w:val="24"/>
          <w:lang w:val="pt-BR"/>
        </w:rPr>
      </w:pPr>
    </w:p>
    <w:p w14:paraId="40E1ABF0" w14:textId="680BCC2C"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Pr="00C81D96">
        <w:rPr>
          <w:rFonts w:ascii="Tw Cen MT" w:hAnsi="Tw Cen MT" w:cs="Times New Roman"/>
          <w:noProof/>
          <w:sz w:val="24"/>
          <w:szCs w:val="24"/>
        </w:rPr>
        <w:t>[1]</w:t>
      </w:r>
      <w:r w:rsidRPr="00C81D96">
        <w:rPr>
          <w:rFonts w:ascii="Tw Cen MT" w:hAnsi="Tw Cen MT" w:cs="Times New Roman"/>
          <w:noProof/>
          <w:sz w:val="24"/>
          <w:szCs w:val="24"/>
        </w:rPr>
        <w:tab/>
        <w:t xml:space="preserve">U. Z. Asweros, H. Hadi, and T. Arjuna, “Riwayat Pemberian ASI Eksklusif dan MPASI Dini Sebagai Prediktor Terjadinya Stunting Pada Baduta di Kabupaten Timor Tengah Selatan, Nusa Tenggara Timur,” </w:t>
      </w:r>
      <w:r w:rsidRPr="00C81D96">
        <w:rPr>
          <w:rFonts w:ascii="Tw Cen MT" w:hAnsi="Tw Cen MT" w:cs="Times New Roman"/>
          <w:i/>
          <w:iCs/>
          <w:noProof/>
          <w:sz w:val="24"/>
          <w:szCs w:val="24"/>
        </w:rPr>
        <w:t>J. Gizi dan Diet. Indones.</w:t>
      </w:r>
      <w:r w:rsidRPr="00C81D96">
        <w:rPr>
          <w:rFonts w:ascii="Tw Cen MT" w:hAnsi="Tw Cen MT" w:cs="Times New Roman"/>
          <w:noProof/>
          <w:sz w:val="24"/>
          <w:szCs w:val="24"/>
        </w:rPr>
        <w:t>, vol. 2, no. 1, pp. 41–50, 2014.</w:t>
      </w:r>
    </w:p>
    <w:p w14:paraId="2C8DFA5E"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w:t>
      </w:r>
      <w:r w:rsidRPr="00C81D96">
        <w:rPr>
          <w:rFonts w:ascii="Tw Cen MT" w:hAnsi="Tw Cen MT" w:cs="Times New Roman"/>
          <w:noProof/>
          <w:sz w:val="24"/>
          <w:szCs w:val="24"/>
        </w:rPr>
        <w:tab/>
        <w:t xml:space="preserve">B. P. dan P. (Balitbang) Kemenkes RI, “Laporan Hasil Riset Kesehatan Dasar (Riskesdas) Indonesia tahun 2018,” </w:t>
      </w:r>
      <w:r w:rsidRPr="00C81D96">
        <w:rPr>
          <w:rFonts w:ascii="Tw Cen MT" w:hAnsi="Tw Cen MT" w:cs="Times New Roman"/>
          <w:i/>
          <w:iCs/>
          <w:noProof/>
          <w:sz w:val="24"/>
          <w:szCs w:val="24"/>
        </w:rPr>
        <w:t>Riset Kesehatan Dasar 2018</w:t>
      </w:r>
      <w:r w:rsidRPr="00C81D96">
        <w:rPr>
          <w:rFonts w:ascii="Tw Cen MT" w:hAnsi="Tw Cen MT" w:cs="Times New Roman"/>
          <w:noProof/>
          <w:sz w:val="24"/>
          <w:szCs w:val="24"/>
        </w:rPr>
        <w:t>. 2019.</w:t>
      </w:r>
    </w:p>
    <w:p w14:paraId="5DCABC5E"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[3]</w:t>
      </w:r>
      <w:r w:rsidRPr="00C81D96">
        <w:rPr>
          <w:rFonts w:ascii="Tw Cen MT" w:hAnsi="Tw Cen MT" w:cs="Times New Roman"/>
          <w:noProof/>
          <w:sz w:val="24"/>
          <w:szCs w:val="24"/>
        </w:rPr>
        <w:tab/>
        <w:t>Kementerian Kesehatan Republik Indonesia, “Buku Saku Hasil Survei Status Gizi Indonesia (SSGI) Tahun 2022 - Badan Kebijakan Pembangunan Kesehatan | BKPK Kemenkes,” 2022, [Online]. Available: https://www.badankebijakan.kemkes.go.id/buku-saku-hasil-survei-status-gizi-indonesia-ssgi-tahun-2022/.</w:t>
      </w:r>
    </w:p>
    <w:p w14:paraId="45A94248"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[4]</w:t>
      </w:r>
      <w:r w:rsidRPr="00C81D96">
        <w:rPr>
          <w:rFonts w:ascii="Tw Cen MT" w:hAnsi="Tw Cen MT" w:cs="Times New Roman"/>
          <w:noProof/>
          <w:sz w:val="24"/>
          <w:szCs w:val="24"/>
        </w:rPr>
        <w:tab/>
        <w:t xml:space="preserve">N. K. Aryastami, “Kajian Kebijakan dan Penanggulangan Masalah Gizi </w:t>
      </w:r>
      <w:r w:rsidRPr="00C81D96">
        <w:rPr>
          <w:rFonts w:ascii="Tw Cen MT" w:hAnsi="Tw Cen MT" w:cs="Times New Roman"/>
          <w:noProof/>
          <w:sz w:val="24"/>
          <w:szCs w:val="24"/>
        </w:rPr>
        <w:lastRenderedPageBreak/>
        <w:t xml:space="preserve">Stunting di Indonesia,” </w:t>
      </w:r>
      <w:r w:rsidRPr="00C81D96">
        <w:rPr>
          <w:rFonts w:ascii="Tw Cen MT" w:hAnsi="Tw Cen MT" w:cs="Times New Roman"/>
          <w:i/>
          <w:iCs/>
          <w:noProof/>
          <w:sz w:val="24"/>
          <w:szCs w:val="24"/>
        </w:rPr>
        <w:t>Bul. Penelit. Kesehat.</w:t>
      </w:r>
      <w:r w:rsidRPr="00C81D96">
        <w:rPr>
          <w:rFonts w:ascii="Tw Cen MT" w:hAnsi="Tw Cen MT" w:cs="Times New Roman"/>
          <w:noProof/>
          <w:sz w:val="24"/>
          <w:szCs w:val="24"/>
        </w:rPr>
        <w:t>, vol. 45, no. 4, pp. 233–240, 2017, doi: 10.22435/bpk.v45i4.7465.233-240.</w:t>
      </w:r>
    </w:p>
    <w:p w14:paraId="09609FB9"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[5]</w:t>
      </w:r>
      <w:r w:rsidRPr="00C81D96">
        <w:rPr>
          <w:rFonts w:ascii="Tw Cen MT" w:hAnsi="Tw Cen MT" w:cs="Times New Roman"/>
          <w:noProof/>
          <w:sz w:val="24"/>
          <w:szCs w:val="24"/>
        </w:rPr>
        <w:tab/>
        <w:t>Kementerian Kesehatan RI, “Kerangka Kebijakan Gerakan Nasional Sadar Gizi dalam Rangka Seribu Hari Pertama Kehidupan (Gerakan 1000 HPK),” 2012.</w:t>
      </w:r>
    </w:p>
    <w:p w14:paraId="5ADC2E55"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[6]</w:t>
      </w:r>
      <w:r w:rsidRPr="00C81D96">
        <w:rPr>
          <w:rFonts w:ascii="Tw Cen MT" w:hAnsi="Tw Cen MT" w:cs="Times New Roman"/>
          <w:noProof/>
          <w:sz w:val="24"/>
          <w:szCs w:val="24"/>
        </w:rPr>
        <w:tab/>
        <w:t xml:space="preserve">WHO, </w:t>
      </w:r>
      <w:r w:rsidRPr="00C81D96">
        <w:rPr>
          <w:rFonts w:ascii="Tw Cen MT" w:hAnsi="Tw Cen MT" w:cs="Times New Roman"/>
          <w:i/>
          <w:iCs/>
          <w:noProof/>
          <w:sz w:val="24"/>
          <w:szCs w:val="24"/>
        </w:rPr>
        <w:t>Guiding Principles for Complementary Feeding of the Breastfed Child</w:t>
      </w:r>
      <w:r w:rsidRPr="00C81D96">
        <w:rPr>
          <w:rFonts w:ascii="Tw Cen MT" w:hAnsi="Tw Cen MT" w:cs="Times New Roman"/>
          <w:noProof/>
          <w:sz w:val="24"/>
          <w:szCs w:val="24"/>
        </w:rPr>
        <w:t>. 2003.</w:t>
      </w:r>
    </w:p>
    <w:p w14:paraId="4BEA6093"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[7]</w:t>
      </w:r>
      <w:r w:rsidRPr="00C81D96">
        <w:rPr>
          <w:rFonts w:ascii="Tw Cen MT" w:hAnsi="Tw Cen MT" w:cs="Times New Roman"/>
          <w:noProof/>
          <w:sz w:val="24"/>
          <w:szCs w:val="24"/>
        </w:rPr>
        <w:tab/>
        <w:t>TNP2K, “Strategi Nasional Percepatan Pencegahan Anak Kerdil (STUNTING) Periode 2018-2024,” 2018.</w:t>
      </w:r>
    </w:p>
    <w:p w14:paraId="7987BE3E"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[8]</w:t>
      </w:r>
      <w:r w:rsidRPr="00C81D96">
        <w:rPr>
          <w:rFonts w:ascii="Tw Cen MT" w:hAnsi="Tw Cen MT" w:cs="Times New Roman"/>
          <w:noProof/>
          <w:sz w:val="24"/>
          <w:szCs w:val="24"/>
        </w:rPr>
        <w:tab/>
        <w:t xml:space="preserve">A. Ahmad, S. Madanijah, C. M. Dwiriani, and R. Kolopaking, “Pengetahuan, sikap, motivasi ibu, dan praktik pemberian MP-ASI pada anak usia 6-23 bulan: studi formatif di Aceh,” </w:t>
      </w:r>
      <w:r w:rsidRPr="00C81D96">
        <w:rPr>
          <w:rFonts w:ascii="Tw Cen MT" w:hAnsi="Tw Cen MT" w:cs="Times New Roman"/>
          <w:i/>
          <w:iCs/>
          <w:noProof/>
          <w:sz w:val="24"/>
          <w:szCs w:val="24"/>
        </w:rPr>
        <w:t>J. Gizi Klin. Indones.</w:t>
      </w:r>
      <w:r w:rsidRPr="00C81D96">
        <w:rPr>
          <w:rFonts w:ascii="Tw Cen MT" w:hAnsi="Tw Cen MT" w:cs="Times New Roman"/>
          <w:noProof/>
          <w:sz w:val="24"/>
          <w:szCs w:val="24"/>
        </w:rPr>
        <w:t>, vol. 16, no. 1, p. 1, 2019, doi: 10.22146/ijcn.34560.</w:t>
      </w:r>
    </w:p>
    <w:p w14:paraId="679A3E5E"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[9]</w:t>
      </w:r>
      <w:r w:rsidRPr="00C81D96">
        <w:rPr>
          <w:rFonts w:ascii="Tw Cen MT" w:hAnsi="Tw Cen MT" w:cs="Times New Roman"/>
          <w:noProof/>
          <w:sz w:val="24"/>
          <w:szCs w:val="24"/>
        </w:rPr>
        <w:tab/>
        <w:t xml:space="preserve">D. P. Khasanah, H. Hadi, and B. A. Paramashanti, “Waktu pemberian makanan pendamping ASI (MP-ASI) berhubungan dengan kejadian stunting anak usia 6-23 bulan di Kecamatan Sedayu,” </w:t>
      </w:r>
      <w:r w:rsidRPr="00C81D96">
        <w:rPr>
          <w:rFonts w:ascii="Tw Cen MT" w:hAnsi="Tw Cen MT" w:cs="Times New Roman"/>
          <w:i/>
          <w:iCs/>
          <w:noProof/>
          <w:sz w:val="24"/>
          <w:szCs w:val="24"/>
        </w:rPr>
        <w:t>J. Gizi dan Diet. Indones. (Indonesian J. Nutr. Diet.</w:t>
      </w:r>
      <w:r w:rsidRPr="00C81D96">
        <w:rPr>
          <w:rFonts w:ascii="Tw Cen MT" w:hAnsi="Tw Cen MT" w:cs="Times New Roman"/>
          <w:noProof/>
          <w:sz w:val="24"/>
          <w:szCs w:val="24"/>
        </w:rPr>
        <w:t>, vol. 4, no. 2, p. 105, 2016, doi: 10.21927/ijnd.2016.4(2).105-111.</w:t>
      </w:r>
    </w:p>
    <w:p w14:paraId="23578114"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[10]</w:t>
      </w:r>
      <w:r w:rsidRPr="00C81D96">
        <w:rPr>
          <w:rFonts w:ascii="Tw Cen MT" w:hAnsi="Tw Cen MT" w:cs="Times New Roman"/>
          <w:noProof/>
          <w:sz w:val="24"/>
          <w:szCs w:val="24"/>
        </w:rPr>
        <w:tab/>
        <w:t xml:space="preserve">N. Y. Prihutama, F. A. Rahmadi, and G. Hardaningsih, “Pemberian Makanan Pendamping Asi Dini Sebagai Faktor Risiko Kejadian Stunting Pada Anak Usia 2-3 Tahun,” </w:t>
      </w:r>
      <w:r w:rsidRPr="00C81D96">
        <w:rPr>
          <w:rFonts w:ascii="Tw Cen MT" w:hAnsi="Tw Cen MT" w:cs="Times New Roman"/>
          <w:i/>
          <w:iCs/>
          <w:noProof/>
          <w:sz w:val="24"/>
          <w:szCs w:val="24"/>
        </w:rPr>
        <w:t>J. Kedokt. Diponegoro</w:t>
      </w:r>
      <w:r w:rsidRPr="00C81D96">
        <w:rPr>
          <w:rFonts w:ascii="Tw Cen MT" w:hAnsi="Tw Cen MT" w:cs="Times New Roman"/>
          <w:noProof/>
          <w:sz w:val="24"/>
          <w:szCs w:val="24"/>
        </w:rPr>
        <w:t>, vol. 7, no. 2, pp. 1419–1430, 2018.</w:t>
      </w:r>
    </w:p>
    <w:p w14:paraId="6EFFA970"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[11]</w:t>
      </w:r>
      <w:r w:rsidRPr="00C81D96">
        <w:rPr>
          <w:rFonts w:ascii="Tw Cen MT" w:hAnsi="Tw Cen MT" w:cs="Times New Roman"/>
          <w:noProof/>
          <w:sz w:val="24"/>
          <w:szCs w:val="24"/>
        </w:rPr>
        <w:tab/>
        <w:t xml:space="preserve">D. G. M. Direktorat Jendral Kesehatan Masyarakat, </w:t>
      </w:r>
      <w:r w:rsidRPr="00C81D96">
        <w:rPr>
          <w:rFonts w:ascii="Tw Cen MT" w:hAnsi="Tw Cen MT" w:cs="Times New Roman"/>
          <w:i/>
          <w:iCs/>
          <w:noProof/>
          <w:sz w:val="24"/>
          <w:szCs w:val="24"/>
        </w:rPr>
        <w:t>Tabel Komposisi Pangan Indoensia 2017</w:t>
      </w:r>
      <w:r w:rsidRPr="00C81D96">
        <w:rPr>
          <w:rFonts w:ascii="Tw Cen MT" w:hAnsi="Tw Cen MT" w:cs="Times New Roman"/>
          <w:noProof/>
          <w:sz w:val="24"/>
          <w:szCs w:val="24"/>
        </w:rPr>
        <w:t>. 2017.</w:t>
      </w:r>
    </w:p>
    <w:p w14:paraId="61143156"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[12]</w:t>
      </w:r>
      <w:r w:rsidRPr="00C81D96">
        <w:rPr>
          <w:rFonts w:ascii="Tw Cen MT" w:hAnsi="Tw Cen MT" w:cs="Times New Roman"/>
          <w:noProof/>
          <w:sz w:val="24"/>
          <w:szCs w:val="24"/>
        </w:rPr>
        <w:tab/>
        <w:t>Kementerian Kesehatan, “Hasil Studi Status Gizi Indonesia (SSGI) Kabupaten/Kota tahun 2021,” 2021.</w:t>
      </w:r>
    </w:p>
    <w:p w14:paraId="5EB58FA0"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[13]</w:t>
      </w:r>
      <w:r w:rsidRPr="00C81D96">
        <w:rPr>
          <w:rFonts w:ascii="Tw Cen MT" w:hAnsi="Tw Cen MT" w:cs="Times New Roman"/>
          <w:noProof/>
          <w:sz w:val="24"/>
          <w:szCs w:val="24"/>
        </w:rPr>
        <w:tab/>
        <w:t>F. A. Wijaya, “ASI Eksklusif</w:t>
      </w:r>
      <w:r w:rsidRPr="00C81D96">
        <w:rPr>
          <w:rFonts w:ascii="Arial" w:hAnsi="Arial" w:cs="Arial"/>
          <w:noProof/>
          <w:sz w:val="24"/>
          <w:szCs w:val="24"/>
        </w:rPr>
        <w:t> </w:t>
      </w:r>
      <w:r w:rsidRPr="00C81D96">
        <w:rPr>
          <w:rFonts w:ascii="Tw Cen MT" w:hAnsi="Tw Cen MT" w:cs="Times New Roman"/>
          <w:noProof/>
          <w:sz w:val="24"/>
          <w:szCs w:val="24"/>
        </w:rPr>
        <w:t xml:space="preserve">: Nutrisi </w:t>
      </w:r>
      <w:r w:rsidRPr="00C81D96">
        <w:rPr>
          <w:rFonts w:ascii="Tw Cen MT" w:hAnsi="Tw Cen MT" w:cs="Times New Roman"/>
          <w:noProof/>
          <w:sz w:val="24"/>
          <w:szCs w:val="24"/>
        </w:rPr>
        <w:t xml:space="preserve">Ideal untuk Bayi 0-6 Bulan,” </w:t>
      </w:r>
      <w:r w:rsidRPr="00C81D96">
        <w:rPr>
          <w:rFonts w:ascii="Tw Cen MT" w:hAnsi="Tw Cen MT" w:cs="Times New Roman"/>
          <w:i/>
          <w:iCs/>
          <w:noProof/>
          <w:sz w:val="24"/>
          <w:szCs w:val="24"/>
        </w:rPr>
        <w:t>Contin. Med. Educ.</w:t>
      </w:r>
      <w:r w:rsidRPr="00C81D96">
        <w:rPr>
          <w:rFonts w:ascii="Tw Cen MT" w:hAnsi="Tw Cen MT" w:cs="Times New Roman"/>
          <w:noProof/>
          <w:sz w:val="24"/>
          <w:szCs w:val="24"/>
        </w:rPr>
        <w:t>, vol. 46, no. 4, pp. 296–300, 2019.</w:t>
      </w:r>
    </w:p>
    <w:p w14:paraId="7653CFBA"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[14]</w:t>
      </w:r>
      <w:r w:rsidRPr="00C81D96">
        <w:rPr>
          <w:rFonts w:ascii="Tw Cen MT" w:hAnsi="Tw Cen MT" w:cs="Times New Roman"/>
          <w:noProof/>
          <w:sz w:val="24"/>
          <w:szCs w:val="24"/>
        </w:rPr>
        <w:tab/>
        <w:t xml:space="preserve">IDAI, </w:t>
      </w:r>
      <w:r w:rsidRPr="00C81D96">
        <w:rPr>
          <w:rFonts w:ascii="Tw Cen MT" w:hAnsi="Tw Cen MT" w:cs="Times New Roman"/>
          <w:i/>
          <w:iCs/>
          <w:noProof/>
          <w:sz w:val="24"/>
          <w:szCs w:val="24"/>
        </w:rPr>
        <w:t>Pemberian Makanan Pendamping Air Susu Ibu (MPASI)</w:t>
      </w:r>
      <w:r w:rsidRPr="00C81D96">
        <w:rPr>
          <w:rFonts w:ascii="Tw Cen MT" w:hAnsi="Tw Cen MT" w:cs="Times New Roman"/>
          <w:noProof/>
          <w:sz w:val="24"/>
          <w:szCs w:val="24"/>
        </w:rPr>
        <w:t>. 2018.</w:t>
      </w:r>
    </w:p>
    <w:p w14:paraId="08551446"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[15]</w:t>
      </w:r>
      <w:r w:rsidRPr="00C81D96">
        <w:rPr>
          <w:rFonts w:ascii="Tw Cen MT" w:hAnsi="Tw Cen MT" w:cs="Times New Roman"/>
          <w:noProof/>
          <w:sz w:val="24"/>
          <w:szCs w:val="24"/>
        </w:rPr>
        <w:tab/>
        <w:t xml:space="preserve">H. Waqiyah, A. Maineny, and N. Nurfatimah, “The Relationship between the Timing of Complementary Feeding and Maternal Knowledge of Responsive Feeding and the Incidence of Stunting in Children Aged 6-24 Months,” </w:t>
      </w:r>
      <w:r w:rsidRPr="00C81D96">
        <w:rPr>
          <w:rFonts w:ascii="Tw Cen MT" w:hAnsi="Tw Cen MT" w:cs="Times New Roman"/>
          <w:i/>
          <w:iCs/>
          <w:noProof/>
          <w:sz w:val="24"/>
          <w:szCs w:val="24"/>
        </w:rPr>
        <w:t>Poltekita  J. Ilmu Kesehat.</w:t>
      </w:r>
      <w:r w:rsidRPr="00C81D96">
        <w:rPr>
          <w:rFonts w:ascii="Tw Cen MT" w:hAnsi="Tw Cen MT" w:cs="Times New Roman"/>
          <w:noProof/>
          <w:sz w:val="24"/>
          <w:szCs w:val="24"/>
        </w:rPr>
        <w:t>, vol. 17, no. 1, pp. 147–154, 2023, doi: 10.33860/jik.v17i1.1889.</w:t>
      </w:r>
    </w:p>
    <w:p w14:paraId="42F78517"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[16]</w:t>
      </w:r>
      <w:r w:rsidRPr="00C81D96">
        <w:rPr>
          <w:rFonts w:ascii="Tw Cen MT" w:hAnsi="Tw Cen MT" w:cs="Times New Roman"/>
          <w:noProof/>
          <w:sz w:val="24"/>
          <w:szCs w:val="24"/>
        </w:rPr>
        <w:tab/>
        <w:t xml:space="preserve">H. Nai, I. M. A. Gunawan, and E. Nurwanti, “Praktik pemberian makanan pendamping asi (mp-asi) sebagai faktor risiko kejadian stunting pada anak usia 6-23 bulan,” </w:t>
      </w:r>
      <w:r w:rsidRPr="00C81D96">
        <w:rPr>
          <w:rFonts w:ascii="Tw Cen MT" w:hAnsi="Tw Cen MT" w:cs="Times New Roman"/>
          <w:i/>
          <w:iCs/>
          <w:noProof/>
          <w:sz w:val="24"/>
          <w:szCs w:val="24"/>
        </w:rPr>
        <w:t>J. Gizi dan Diet. Indones.</w:t>
      </w:r>
      <w:r w:rsidRPr="00C81D96">
        <w:rPr>
          <w:rFonts w:ascii="Tw Cen MT" w:hAnsi="Tw Cen MT" w:cs="Times New Roman"/>
          <w:noProof/>
          <w:sz w:val="24"/>
          <w:szCs w:val="24"/>
        </w:rPr>
        <w:t>, vol. 2, no. 3, pp. 126–139, 2014, doi: 10.1039/c0an00880j.</w:t>
      </w:r>
    </w:p>
    <w:p w14:paraId="2CB99E05"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[17]</w:t>
      </w:r>
      <w:r w:rsidRPr="00C81D96">
        <w:rPr>
          <w:rFonts w:ascii="Tw Cen MT" w:hAnsi="Tw Cen MT" w:cs="Times New Roman"/>
          <w:noProof/>
          <w:sz w:val="24"/>
          <w:szCs w:val="24"/>
        </w:rPr>
        <w:tab/>
        <w:t xml:space="preserve">B. A. Paramashanti and S. Benita, “Early introduction of complementary food and childhood stunting were linked among children aged 6-23 months,” </w:t>
      </w:r>
      <w:r w:rsidRPr="00C81D96">
        <w:rPr>
          <w:rFonts w:ascii="Tw Cen MT" w:hAnsi="Tw Cen MT" w:cs="Times New Roman"/>
          <w:i/>
          <w:iCs/>
          <w:noProof/>
          <w:sz w:val="24"/>
          <w:szCs w:val="24"/>
        </w:rPr>
        <w:t>J. Gizi Klin. Indones.</w:t>
      </w:r>
      <w:r w:rsidRPr="00C81D96">
        <w:rPr>
          <w:rFonts w:ascii="Tw Cen MT" w:hAnsi="Tw Cen MT" w:cs="Times New Roman"/>
          <w:noProof/>
          <w:sz w:val="24"/>
          <w:szCs w:val="24"/>
        </w:rPr>
        <w:t>, vol. 17, no. 1, p. 1, 2020, doi: 10.22146/ijcn.53788.</w:t>
      </w:r>
    </w:p>
    <w:p w14:paraId="67EFF769"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[18]</w:t>
      </w:r>
      <w:r w:rsidRPr="00C81D96">
        <w:rPr>
          <w:rFonts w:ascii="Tw Cen MT" w:hAnsi="Tw Cen MT" w:cs="Times New Roman"/>
          <w:noProof/>
          <w:sz w:val="24"/>
          <w:szCs w:val="24"/>
        </w:rPr>
        <w:tab/>
        <w:t xml:space="preserve">M. A. Abeshu, A. Lelisa, and B. Geleta, “Complementary Feeding: Review of Recommendations, Feeding Practices, and Adequacy of Homemade Complementary Food Preparations in Developing Countries – Lessons from Ethiopia,” </w:t>
      </w:r>
      <w:r w:rsidRPr="00C81D96">
        <w:rPr>
          <w:rFonts w:ascii="Tw Cen MT" w:hAnsi="Tw Cen MT" w:cs="Times New Roman"/>
          <w:i/>
          <w:iCs/>
          <w:noProof/>
          <w:sz w:val="24"/>
          <w:szCs w:val="24"/>
        </w:rPr>
        <w:t>Front. Nutr.</w:t>
      </w:r>
      <w:r w:rsidRPr="00C81D96">
        <w:rPr>
          <w:rFonts w:ascii="Tw Cen MT" w:hAnsi="Tw Cen MT" w:cs="Times New Roman"/>
          <w:noProof/>
          <w:sz w:val="24"/>
          <w:szCs w:val="24"/>
        </w:rPr>
        <w:t>, vol. 3, p. 41, 2016, doi: 10.3389/fnut.2016.00041.</w:t>
      </w:r>
    </w:p>
    <w:p w14:paraId="7BF36FED"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[19]</w:t>
      </w:r>
      <w:r w:rsidRPr="00C81D96">
        <w:rPr>
          <w:rFonts w:ascii="Tw Cen MT" w:hAnsi="Tw Cen MT" w:cs="Times New Roman"/>
          <w:noProof/>
          <w:sz w:val="24"/>
          <w:szCs w:val="24"/>
        </w:rPr>
        <w:tab/>
        <w:t xml:space="preserve">P. Alvisi </w:t>
      </w:r>
      <w:r w:rsidRPr="00C81D96">
        <w:rPr>
          <w:rFonts w:ascii="Tw Cen MT" w:hAnsi="Tw Cen MT" w:cs="Times New Roman"/>
          <w:i/>
          <w:iCs/>
          <w:noProof/>
          <w:sz w:val="24"/>
          <w:szCs w:val="24"/>
        </w:rPr>
        <w:t>et al.</w:t>
      </w:r>
      <w:r w:rsidRPr="00C81D96">
        <w:rPr>
          <w:rFonts w:ascii="Tw Cen MT" w:hAnsi="Tw Cen MT" w:cs="Times New Roman"/>
          <w:noProof/>
          <w:sz w:val="24"/>
          <w:szCs w:val="24"/>
        </w:rPr>
        <w:t xml:space="preserve">, “Recommendations on complementary feeding for healthy, full-term infants,” </w:t>
      </w:r>
      <w:r w:rsidRPr="00C81D96">
        <w:rPr>
          <w:rFonts w:ascii="Tw Cen MT" w:hAnsi="Tw Cen MT" w:cs="Times New Roman"/>
          <w:i/>
          <w:iCs/>
          <w:noProof/>
          <w:sz w:val="24"/>
          <w:szCs w:val="24"/>
        </w:rPr>
        <w:t>Ital. J. Pediatr.</w:t>
      </w:r>
      <w:r w:rsidRPr="00C81D96">
        <w:rPr>
          <w:rFonts w:ascii="Tw Cen MT" w:hAnsi="Tw Cen MT" w:cs="Times New Roman"/>
          <w:noProof/>
          <w:sz w:val="24"/>
          <w:szCs w:val="24"/>
        </w:rPr>
        <w:t>, vol. 41, no. 1, p. 36, Dec. 2015, doi: 10.1186/s13052-015-0143-5.</w:t>
      </w:r>
    </w:p>
    <w:p w14:paraId="4519CFCF"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[20]</w:t>
      </w:r>
      <w:r w:rsidRPr="00C81D96">
        <w:rPr>
          <w:rFonts w:ascii="Tw Cen MT" w:hAnsi="Tw Cen MT" w:cs="Times New Roman"/>
          <w:noProof/>
          <w:sz w:val="24"/>
          <w:szCs w:val="24"/>
        </w:rPr>
        <w:tab/>
        <w:t xml:space="preserve">N. K. A. S. Wangiyana </w:t>
      </w:r>
      <w:r w:rsidRPr="00C81D96">
        <w:rPr>
          <w:rFonts w:ascii="Tw Cen MT" w:hAnsi="Tw Cen MT" w:cs="Times New Roman"/>
          <w:i/>
          <w:iCs/>
          <w:noProof/>
          <w:sz w:val="24"/>
          <w:szCs w:val="24"/>
        </w:rPr>
        <w:t>et al.</w:t>
      </w:r>
      <w:r w:rsidRPr="00C81D96">
        <w:rPr>
          <w:rFonts w:ascii="Tw Cen MT" w:hAnsi="Tw Cen MT" w:cs="Times New Roman"/>
          <w:noProof/>
          <w:sz w:val="24"/>
          <w:szCs w:val="24"/>
        </w:rPr>
        <w:t xml:space="preserve">, “Praktik Pemberian Mp-Asi Terhadap Risiko Stunting Pada Anak Usia 6-12 Bulan Di </w:t>
      </w:r>
      <w:r w:rsidRPr="00C81D96">
        <w:rPr>
          <w:rFonts w:ascii="Tw Cen MT" w:hAnsi="Tw Cen MT" w:cs="Times New Roman"/>
          <w:noProof/>
          <w:sz w:val="24"/>
          <w:szCs w:val="24"/>
        </w:rPr>
        <w:lastRenderedPageBreak/>
        <w:t>Lombok Tengah,” vol. 43, no. 2, pp. 81–88, 2020.</w:t>
      </w:r>
    </w:p>
    <w:p w14:paraId="0A4603A8"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[21]</w:t>
      </w:r>
      <w:r w:rsidRPr="00C81D96">
        <w:rPr>
          <w:rFonts w:ascii="Tw Cen MT" w:hAnsi="Tw Cen MT" w:cs="Times New Roman"/>
          <w:noProof/>
          <w:sz w:val="24"/>
          <w:szCs w:val="24"/>
        </w:rPr>
        <w:tab/>
        <w:t xml:space="preserve">A. Marduel Boulanger and M. Vernet, “Introduction of new food textures during complementary feeding: Observations in France,” </w:t>
      </w:r>
      <w:r w:rsidRPr="00C81D96">
        <w:rPr>
          <w:rFonts w:ascii="Tw Cen MT" w:hAnsi="Tw Cen MT" w:cs="Times New Roman"/>
          <w:i/>
          <w:iCs/>
          <w:noProof/>
          <w:sz w:val="24"/>
          <w:szCs w:val="24"/>
        </w:rPr>
        <w:t>Arch. Pediatr.</w:t>
      </w:r>
      <w:r w:rsidRPr="00C81D96">
        <w:rPr>
          <w:rFonts w:ascii="Tw Cen MT" w:hAnsi="Tw Cen MT" w:cs="Times New Roman"/>
          <w:noProof/>
          <w:sz w:val="24"/>
          <w:szCs w:val="24"/>
        </w:rPr>
        <w:t>, vol. 25, no. 1, pp. 6–12, 2018, doi: 10.1016/j.arcped.2017.10.025.</w:t>
      </w:r>
    </w:p>
    <w:p w14:paraId="3B06F423"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[22]</w:t>
      </w:r>
      <w:r w:rsidRPr="00C81D96">
        <w:rPr>
          <w:rFonts w:ascii="Tw Cen MT" w:hAnsi="Tw Cen MT" w:cs="Times New Roman"/>
          <w:noProof/>
          <w:sz w:val="24"/>
          <w:szCs w:val="24"/>
        </w:rPr>
        <w:tab/>
        <w:t xml:space="preserve">Nur Hadibah Hanum, “Hubungan Tinggi Badan Ibu dan Riwayat Pemberian MP-ASI dengan Kejadian Stunting pada Balita Usia 24-59 Bulan,” </w:t>
      </w:r>
      <w:r w:rsidRPr="00C81D96">
        <w:rPr>
          <w:rFonts w:ascii="Tw Cen MT" w:hAnsi="Tw Cen MT" w:cs="Times New Roman"/>
          <w:i/>
          <w:iCs/>
          <w:noProof/>
          <w:sz w:val="24"/>
          <w:szCs w:val="24"/>
        </w:rPr>
        <w:t>Amerta Nutr.</w:t>
      </w:r>
      <w:r w:rsidRPr="00C81D96">
        <w:rPr>
          <w:rFonts w:ascii="Tw Cen MT" w:hAnsi="Tw Cen MT" w:cs="Times New Roman"/>
          <w:noProof/>
          <w:sz w:val="24"/>
          <w:szCs w:val="24"/>
        </w:rPr>
        <w:t>, vol. 3, no. 2, pp. 78–84, 2019, doi: 10.2473/amnt.v3i2.2019.78-84.</w:t>
      </w:r>
    </w:p>
    <w:p w14:paraId="14D0ADB9"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[23]</w:t>
      </w:r>
      <w:r w:rsidRPr="00C81D96">
        <w:rPr>
          <w:rFonts w:ascii="Tw Cen MT" w:hAnsi="Tw Cen MT" w:cs="Times New Roman"/>
          <w:noProof/>
          <w:sz w:val="24"/>
          <w:szCs w:val="24"/>
        </w:rPr>
        <w:tab/>
        <w:t xml:space="preserve">E. Romero-Velarde </w:t>
      </w:r>
      <w:r w:rsidRPr="00C81D96">
        <w:rPr>
          <w:rFonts w:ascii="Tw Cen MT" w:hAnsi="Tw Cen MT" w:cs="Times New Roman"/>
          <w:i/>
          <w:iCs/>
          <w:noProof/>
          <w:sz w:val="24"/>
          <w:szCs w:val="24"/>
        </w:rPr>
        <w:t>et al.</w:t>
      </w:r>
      <w:r w:rsidRPr="00C81D96">
        <w:rPr>
          <w:rFonts w:ascii="Tw Cen MT" w:hAnsi="Tw Cen MT" w:cs="Times New Roman"/>
          <w:noProof/>
          <w:sz w:val="24"/>
          <w:szCs w:val="24"/>
        </w:rPr>
        <w:t xml:space="preserve">, “Guidelines for complementary feeding in healthy infants,” </w:t>
      </w:r>
      <w:r w:rsidRPr="00C81D96">
        <w:rPr>
          <w:rFonts w:ascii="Tw Cen MT" w:hAnsi="Tw Cen MT" w:cs="Times New Roman"/>
          <w:i/>
          <w:iCs/>
          <w:noProof/>
          <w:sz w:val="24"/>
          <w:szCs w:val="24"/>
        </w:rPr>
        <w:t>Boletín Médico Del Hosp. Infant. México (English Ed.</w:t>
      </w:r>
      <w:r w:rsidRPr="00C81D96">
        <w:rPr>
          <w:rFonts w:ascii="Tw Cen MT" w:hAnsi="Tw Cen MT" w:cs="Times New Roman"/>
          <w:noProof/>
          <w:sz w:val="24"/>
          <w:szCs w:val="24"/>
        </w:rPr>
        <w:t>, vol. 73, no. 5, pp. 338–356, 2016, doi: 10.1016/j.bmhime.2017.11.007.</w:t>
      </w:r>
    </w:p>
    <w:p w14:paraId="24A53EDE"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[24]</w:t>
      </w:r>
      <w:r w:rsidRPr="00C81D96">
        <w:rPr>
          <w:rFonts w:ascii="Tw Cen MT" w:hAnsi="Tw Cen MT" w:cs="Times New Roman"/>
          <w:noProof/>
          <w:sz w:val="24"/>
          <w:szCs w:val="24"/>
        </w:rPr>
        <w:tab/>
        <w:t xml:space="preserve">Y. Amperaningsih, S. A. Sari, and A. A. Perdana, “Pola Pemberian MP-ASI pada Balita Usia 6-24 Bulan,” </w:t>
      </w:r>
      <w:r w:rsidRPr="00C81D96">
        <w:rPr>
          <w:rFonts w:ascii="Tw Cen MT" w:hAnsi="Tw Cen MT" w:cs="Times New Roman"/>
          <w:i/>
          <w:iCs/>
          <w:noProof/>
          <w:sz w:val="24"/>
          <w:szCs w:val="24"/>
        </w:rPr>
        <w:t>J. Kesehat.</w:t>
      </w:r>
      <w:r w:rsidRPr="00C81D96">
        <w:rPr>
          <w:rFonts w:ascii="Tw Cen MT" w:hAnsi="Tw Cen MT" w:cs="Times New Roman"/>
          <w:noProof/>
          <w:sz w:val="24"/>
          <w:szCs w:val="24"/>
        </w:rPr>
        <w:t>, vol. 9, no. 2, p. 310, 2018, doi: 10.26630/jk.v9i2.757.</w:t>
      </w:r>
    </w:p>
    <w:p w14:paraId="72698803"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[25]</w:t>
      </w:r>
      <w:r w:rsidRPr="00C81D96">
        <w:rPr>
          <w:rFonts w:ascii="Tw Cen MT" w:hAnsi="Tw Cen MT" w:cs="Times New Roman"/>
          <w:noProof/>
          <w:sz w:val="24"/>
          <w:szCs w:val="24"/>
        </w:rPr>
        <w:tab/>
        <w:t xml:space="preserve">S. F. Forsido, N. Kiyak, T. Belachew, and O. Hensel, “Complementary feeding practices, dietary diversity, and nutrient composition of complementary foods of children 6-24 months old in Jimma Zone, Southwest Ethiopia,” </w:t>
      </w:r>
      <w:r w:rsidRPr="00C81D96">
        <w:rPr>
          <w:rFonts w:ascii="Tw Cen MT" w:hAnsi="Tw Cen MT" w:cs="Times New Roman"/>
          <w:i/>
          <w:iCs/>
          <w:noProof/>
          <w:sz w:val="24"/>
          <w:szCs w:val="24"/>
        </w:rPr>
        <w:t>J. Health. Popul. Nutr.</w:t>
      </w:r>
      <w:r w:rsidRPr="00C81D96">
        <w:rPr>
          <w:rFonts w:ascii="Tw Cen MT" w:hAnsi="Tw Cen MT" w:cs="Times New Roman"/>
          <w:noProof/>
          <w:sz w:val="24"/>
          <w:szCs w:val="24"/>
        </w:rPr>
        <w:t>, vol. 38, no. 14, pp. 1–7, 2019, doi: 10.1186/s41043-019-0172-6.</w:t>
      </w:r>
    </w:p>
    <w:p w14:paraId="5593D23A"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[26]</w:t>
      </w:r>
      <w:r w:rsidRPr="00C81D96">
        <w:rPr>
          <w:rFonts w:ascii="Tw Cen MT" w:hAnsi="Tw Cen MT" w:cs="Times New Roman"/>
          <w:noProof/>
          <w:sz w:val="24"/>
          <w:szCs w:val="24"/>
        </w:rPr>
        <w:tab/>
        <w:t xml:space="preserve">Y. Marlina and D. Erowati, “Pengolahan MP ASI Berbasis Pangan Lokal di Desa Ranah Singkuang Kabupaten Kampar,” </w:t>
      </w:r>
      <w:r w:rsidRPr="00C81D96">
        <w:rPr>
          <w:rFonts w:ascii="Tw Cen MT" w:hAnsi="Tw Cen MT" w:cs="Times New Roman"/>
          <w:i/>
          <w:iCs/>
          <w:noProof/>
          <w:sz w:val="24"/>
          <w:szCs w:val="24"/>
        </w:rPr>
        <w:t>Logista J. Ilm. Pengabdi. Kpd. Masy.</w:t>
      </w:r>
      <w:r w:rsidRPr="00C81D96">
        <w:rPr>
          <w:rFonts w:ascii="Tw Cen MT" w:hAnsi="Tw Cen MT" w:cs="Times New Roman"/>
          <w:noProof/>
          <w:sz w:val="24"/>
          <w:szCs w:val="24"/>
        </w:rPr>
        <w:t>, vol. 5, no. 2, pp. 202–208, 2021.</w:t>
      </w:r>
    </w:p>
    <w:p w14:paraId="22F4CDB8"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[27]</w:t>
      </w:r>
      <w:r w:rsidRPr="00C81D96">
        <w:rPr>
          <w:rFonts w:ascii="Tw Cen MT" w:hAnsi="Tw Cen MT" w:cs="Times New Roman"/>
          <w:noProof/>
          <w:sz w:val="24"/>
          <w:szCs w:val="24"/>
        </w:rPr>
        <w:tab/>
        <w:t xml:space="preserve">R. Agestika, “the Pattern of Complementary Feeding Affects the Incidence of Diarrhea in Infants,” </w:t>
      </w:r>
      <w:r w:rsidRPr="00C81D96">
        <w:rPr>
          <w:rFonts w:ascii="Tw Cen MT" w:hAnsi="Tw Cen MT" w:cs="Times New Roman"/>
          <w:i/>
          <w:iCs/>
          <w:noProof/>
          <w:sz w:val="24"/>
          <w:szCs w:val="24"/>
        </w:rPr>
        <w:t>Indones. Midwifery Heal. Sci. J.</w:t>
      </w:r>
      <w:r w:rsidRPr="00C81D96">
        <w:rPr>
          <w:rFonts w:ascii="Tw Cen MT" w:hAnsi="Tw Cen MT" w:cs="Times New Roman"/>
          <w:noProof/>
          <w:sz w:val="24"/>
          <w:szCs w:val="24"/>
        </w:rPr>
        <w:t>, vol. 6, no. 1, pp. 37–48, 2022, doi: 10.20473/imhsj.v6i1.2022.37-48.</w:t>
      </w:r>
    </w:p>
    <w:p w14:paraId="2484CCBC"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[28]</w:t>
      </w:r>
      <w:r w:rsidRPr="00C81D96">
        <w:rPr>
          <w:rFonts w:ascii="Tw Cen MT" w:hAnsi="Tw Cen MT" w:cs="Times New Roman"/>
          <w:noProof/>
          <w:sz w:val="24"/>
          <w:szCs w:val="24"/>
        </w:rPr>
        <w:tab/>
        <w:t xml:space="preserve">J. Harbron, S. Booley, and B. Najaar, “Paediatric Food-Based Dietary Guidelines for South Africa: Responsive feeding: establishing healthy eating behaviour early on in life,” </w:t>
      </w:r>
      <w:r w:rsidRPr="00C81D96">
        <w:rPr>
          <w:rFonts w:ascii="Tw Cen MT" w:hAnsi="Tw Cen MT" w:cs="Times New Roman"/>
          <w:i/>
          <w:iCs/>
          <w:noProof/>
          <w:sz w:val="24"/>
          <w:szCs w:val="24"/>
        </w:rPr>
        <w:t>South ’African J. Clin. Nutr.</w:t>
      </w:r>
      <w:r w:rsidRPr="00C81D96">
        <w:rPr>
          <w:rFonts w:ascii="Tw Cen MT" w:hAnsi="Tw Cen MT" w:cs="Times New Roman"/>
          <w:noProof/>
          <w:sz w:val="24"/>
          <w:szCs w:val="24"/>
        </w:rPr>
        <w:t>, vol. 26, no. 3, pp. 141–149, 2013.</w:t>
      </w:r>
    </w:p>
    <w:p w14:paraId="15AF0751"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[29]</w:t>
      </w:r>
      <w:r w:rsidRPr="00C81D96">
        <w:rPr>
          <w:rFonts w:ascii="Tw Cen MT" w:hAnsi="Tw Cen MT" w:cs="Times New Roman"/>
          <w:noProof/>
          <w:sz w:val="24"/>
          <w:szCs w:val="24"/>
        </w:rPr>
        <w:tab/>
        <w:t xml:space="preserve">N. L. A. Purnama, L. Lusmilasari, and M. Julia, “Perilaku orang tua dalam pemberian makan dan status gizi anak usia 2-5 tahun,” </w:t>
      </w:r>
      <w:r w:rsidRPr="00C81D96">
        <w:rPr>
          <w:rFonts w:ascii="Tw Cen MT" w:hAnsi="Tw Cen MT" w:cs="Times New Roman"/>
          <w:i/>
          <w:iCs/>
          <w:noProof/>
          <w:sz w:val="24"/>
          <w:szCs w:val="24"/>
        </w:rPr>
        <w:t>J. Gizi Klin. Indones.</w:t>
      </w:r>
      <w:r w:rsidRPr="00C81D96">
        <w:rPr>
          <w:rFonts w:ascii="Tw Cen MT" w:hAnsi="Tw Cen MT" w:cs="Times New Roman"/>
          <w:noProof/>
          <w:sz w:val="24"/>
          <w:szCs w:val="24"/>
        </w:rPr>
        <w:t>, vol. 11, no. 3, pp. 97–104, 2015, doi: 10.22146/ijcn.19281.</w:t>
      </w:r>
    </w:p>
    <w:p w14:paraId="76B858AF"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[30]</w:t>
      </w:r>
      <w:r w:rsidRPr="00C81D96">
        <w:rPr>
          <w:rFonts w:ascii="Tw Cen MT" w:hAnsi="Tw Cen MT" w:cs="Times New Roman"/>
          <w:noProof/>
          <w:sz w:val="24"/>
          <w:szCs w:val="24"/>
        </w:rPr>
        <w:tab/>
        <w:t xml:space="preserve">U. Latifah, R. S. Prastiwi, and U. Baroroh, “The Responsive Feeding Behavior and Stunting Incident on Toddlers,” </w:t>
      </w:r>
      <w:r w:rsidRPr="00C81D96">
        <w:rPr>
          <w:rFonts w:ascii="Tw Cen MT" w:hAnsi="Tw Cen MT" w:cs="Times New Roman"/>
          <w:i/>
          <w:iCs/>
          <w:noProof/>
          <w:sz w:val="24"/>
          <w:szCs w:val="24"/>
        </w:rPr>
        <w:t>J. Kebidanan</w:t>
      </w:r>
      <w:r w:rsidRPr="00C81D96">
        <w:rPr>
          <w:rFonts w:ascii="Tw Cen MT" w:hAnsi="Tw Cen MT" w:cs="Times New Roman"/>
          <w:noProof/>
          <w:sz w:val="24"/>
          <w:szCs w:val="24"/>
        </w:rPr>
        <w:t>, vol. 10, no. 2, pp. 143–148, 2020, doi: 10.31983/jkb.v10i2.6286.</w:t>
      </w:r>
    </w:p>
    <w:p w14:paraId="192F1C80"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1D96">
        <w:rPr>
          <w:rFonts w:ascii="Tw Cen MT" w:hAnsi="Tw Cen MT" w:cs="Times New Roman"/>
          <w:noProof/>
          <w:sz w:val="24"/>
          <w:szCs w:val="24"/>
        </w:rPr>
        <w:t>[31]</w:t>
      </w:r>
      <w:r w:rsidRPr="00C81D96">
        <w:rPr>
          <w:rFonts w:ascii="Tw Cen MT" w:hAnsi="Tw Cen MT" w:cs="Times New Roman"/>
          <w:noProof/>
          <w:sz w:val="24"/>
          <w:szCs w:val="24"/>
        </w:rPr>
        <w:tab/>
        <w:t xml:space="preserve">M. L. Roche, T. W. Gyorkos, B. Blouin, G. S. Marquis, J. Sarsoza, and H. V. Kuhnlein, “Infant and young child feeding practices and stunting in two highland provinces in Ecuador,” </w:t>
      </w:r>
      <w:r w:rsidRPr="00C81D96">
        <w:rPr>
          <w:rFonts w:ascii="Tw Cen MT" w:hAnsi="Tw Cen MT" w:cs="Times New Roman"/>
          <w:i/>
          <w:iCs/>
          <w:noProof/>
          <w:sz w:val="24"/>
          <w:szCs w:val="24"/>
        </w:rPr>
        <w:t>Matern. Child Nutr.</w:t>
      </w:r>
      <w:r w:rsidRPr="00C81D96">
        <w:rPr>
          <w:rFonts w:ascii="Tw Cen MT" w:hAnsi="Tw Cen MT" w:cs="Times New Roman"/>
          <w:noProof/>
          <w:sz w:val="24"/>
          <w:szCs w:val="24"/>
        </w:rPr>
        <w:t>, vol. 13, no. 2, pp. 1–15, 2017, doi: 10.1111/mcn.12324.</w:t>
      </w:r>
    </w:p>
    <w:p w14:paraId="3F6515C5" w14:textId="77777777" w:rsidR="00C81D96" w:rsidRPr="00C81D96" w:rsidRDefault="00C81D96" w:rsidP="0013609D">
      <w:pPr>
        <w:widowControl w:val="0"/>
        <w:autoSpaceDE w:val="0"/>
        <w:autoSpaceDN w:val="0"/>
        <w:adjustRightInd w:val="0"/>
        <w:spacing w:after="0" w:line="240" w:lineRule="auto"/>
        <w:ind w:left="640" w:hanging="640"/>
        <w:jc w:val="both"/>
        <w:rPr>
          <w:rFonts w:ascii="Tw Cen MT" w:hAnsi="Tw Cen MT"/>
          <w:noProof/>
          <w:sz w:val="24"/>
        </w:rPr>
      </w:pPr>
      <w:r w:rsidRPr="00C81D96">
        <w:rPr>
          <w:rFonts w:ascii="Tw Cen MT" w:hAnsi="Tw Cen MT" w:cs="Times New Roman"/>
          <w:noProof/>
          <w:sz w:val="24"/>
          <w:szCs w:val="24"/>
        </w:rPr>
        <w:t>[32]</w:t>
      </w:r>
      <w:r w:rsidRPr="00C81D96">
        <w:rPr>
          <w:rFonts w:ascii="Tw Cen MT" w:hAnsi="Tw Cen MT" w:cs="Times New Roman"/>
          <w:noProof/>
          <w:sz w:val="24"/>
          <w:szCs w:val="24"/>
        </w:rPr>
        <w:tab/>
        <w:t xml:space="preserve">K. G. Dewey and K. H. Brown, “Update on technical issues concerning complementary feeding of young children in developing countries and implications for intervention programs,” </w:t>
      </w:r>
      <w:r w:rsidRPr="00C81D96">
        <w:rPr>
          <w:rFonts w:ascii="Tw Cen MT" w:hAnsi="Tw Cen MT" w:cs="Times New Roman"/>
          <w:i/>
          <w:iCs/>
          <w:noProof/>
          <w:sz w:val="24"/>
          <w:szCs w:val="24"/>
        </w:rPr>
        <w:t>Food Nutr. Bull.</w:t>
      </w:r>
      <w:r w:rsidRPr="00C81D96">
        <w:rPr>
          <w:rFonts w:ascii="Tw Cen MT" w:hAnsi="Tw Cen MT" w:cs="Times New Roman"/>
          <w:noProof/>
          <w:sz w:val="24"/>
          <w:szCs w:val="24"/>
        </w:rPr>
        <w:t>, vol. 24, no. 1, pp. 5–28, 2003, doi: 10.1177/156482650302400102.</w:t>
      </w:r>
    </w:p>
    <w:p w14:paraId="2DC7BB5D" w14:textId="1A206693" w:rsidR="00C81D96" w:rsidRPr="002E23D7" w:rsidRDefault="00C81D96" w:rsidP="0013609D">
      <w:pPr>
        <w:spacing w:after="0" w:line="240" w:lineRule="auto"/>
        <w:ind w:left="426" w:hanging="426"/>
        <w:jc w:val="both"/>
        <w:rPr>
          <w:rFonts w:ascii="Tw Cen MT" w:eastAsia="Twentieth Century" w:hAnsi="Tw Cen MT" w:cs="Twentieth Century"/>
          <w:color w:val="0D0D0D"/>
          <w:sz w:val="24"/>
          <w:szCs w:val="24"/>
        </w:rPr>
        <w:sectPr w:rsidR="00C81D96" w:rsidRPr="002E23D7" w:rsidSect="003E24C9">
          <w:type w:val="continuous"/>
          <w:pgSz w:w="12240" w:h="15840"/>
          <w:pgMar w:top="1440" w:right="1440" w:bottom="1440" w:left="1440" w:header="720" w:footer="720" w:gutter="0"/>
          <w:cols w:num="2" w:space="720"/>
        </w:sectPr>
      </w:pPr>
      <w:r>
        <w:rPr>
          <w:rFonts w:ascii="Tw Cen MT" w:eastAsia="Twentieth Century" w:hAnsi="Tw Cen MT" w:cs="Twentieth Century"/>
          <w:color w:val="0D0D0D"/>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3E24C9">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FE0A3" w14:textId="77777777" w:rsidR="003E24C9" w:rsidRDefault="003E24C9">
      <w:pPr>
        <w:spacing w:after="0" w:line="240" w:lineRule="auto"/>
      </w:pPr>
      <w:r>
        <w:separator/>
      </w:r>
    </w:p>
  </w:endnote>
  <w:endnote w:type="continuationSeparator" w:id="0">
    <w:p w14:paraId="32A8517A" w14:textId="77777777" w:rsidR="003E24C9" w:rsidRDefault="003E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9700A" w14:textId="77777777" w:rsidR="003E24C9" w:rsidRDefault="003E24C9">
      <w:pPr>
        <w:spacing w:after="0" w:line="240" w:lineRule="auto"/>
      </w:pPr>
      <w:r>
        <w:separator/>
      </w:r>
    </w:p>
  </w:footnote>
  <w:footnote w:type="continuationSeparator" w:id="0">
    <w:p w14:paraId="4B6AC59E" w14:textId="77777777" w:rsidR="003E24C9" w:rsidRDefault="003E2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2853"/>
    <w:multiLevelType w:val="hybridMultilevel"/>
    <w:tmpl w:val="451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A6989"/>
    <w:multiLevelType w:val="hybridMultilevel"/>
    <w:tmpl w:val="BC3E49B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A7E224E"/>
    <w:multiLevelType w:val="hybridMultilevel"/>
    <w:tmpl w:val="7AE8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33598"/>
    <w:multiLevelType w:val="hybridMultilevel"/>
    <w:tmpl w:val="AED8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2244F"/>
    <w:multiLevelType w:val="hybridMultilevel"/>
    <w:tmpl w:val="26C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F586C"/>
    <w:multiLevelType w:val="hybridMultilevel"/>
    <w:tmpl w:val="C38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B5C57"/>
    <w:multiLevelType w:val="hybridMultilevel"/>
    <w:tmpl w:val="77F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33212"/>
    <w:multiLevelType w:val="hybridMultilevel"/>
    <w:tmpl w:val="C2D6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97ACE"/>
    <w:multiLevelType w:val="hybridMultilevel"/>
    <w:tmpl w:val="2B94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9"/>
  </w:num>
  <w:num w:numId="2" w16cid:durableId="949356608">
    <w:abstractNumId w:val="12"/>
  </w:num>
  <w:num w:numId="3" w16cid:durableId="1651202949">
    <w:abstractNumId w:val="3"/>
  </w:num>
  <w:num w:numId="4" w16cid:durableId="449783476">
    <w:abstractNumId w:val="0"/>
  </w:num>
  <w:num w:numId="5" w16cid:durableId="112136786">
    <w:abstractNumId w:val="2"/>
  </w:num>
  <w:num w:numId="6" w16cid:durableId="1050228008">
    <w:abstractNumId w:val="10"/>
  </w:num>
  <w:num w:numId="7" w16cid:durableId="454522412">
    <w:abstractNumId w:val="1"/>
  </w:num>
  <w:num w:numId="8" w16cid:durableId="301889462">
    <w:abstractNumId w:val="5"/>
  </w:num>
  <w:num w:numId="9" w16cid:durableId="1618947803">
    <w:abstractNumId w:val="6"/>
  </w:num>
  <w:num w:numId="10" w16cid:durableId="1545672724">
    <w:abstractNumId w:val="4"/>
  </w:num>
  <w:num w:numId="11" w16cid:durableId="330109032">
    <w:abstractNumId w:val="11"/>
  </w:num>
  <w:num w:numId="12" w16cid:durableId="978144227">
    <w:abstractNumId w:val="8"/>
  </w:num>
  <w:num w:numId="13" w16cid:durableId="1256088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09D"/>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92E42"/>
    <w:rsid w:val="00293DB9"/>
    <w:rsid w:val="002B0F6E"/>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D5A1C"/>
    <w:rsid w:val="003E24C9"/>
    <w:rsid w:val="003F6489"/>
    <w:rsid w:val="003F6B0D"/>
    <w:rsid w:val="00413D75"/>
    <w:rsid w:val="00420F93"/>
    <w:rsid w:val="00431AAB"/>
    <w:rsid w:val="00463B9A"/>
    <w:rsid w:val="0046541C"/>
    <w:rsid w:val="004721E3"/>
    <w:rsid w:val="004A3EFA"/>
    <w:rsid w:val="004B41B7"/>
    <w:rsid w:val="004C01E6"/>
    <w:rsid w:val="004E128A"/>
    <w:rsid w:val="004F0C66"/>
    <w:rsid w:val="0053164C"/>
    <w:rsid w:val="005424FD"/>
    <w:rsid w:val="005458B9"/>
    <w:rsid w:val="0054693E"/>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6728C"/>
    <w:rsid w:val="008A326F"/>
    <w:rsid w:val="00942731"/>
    <w:rsid w:val="00943EB9"/>
    <w:rsid w:val="0096335E"/>
    <w:rsid w:val="00997349"/>
    <w:rsid w:val="009A70E3"/>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20FA8"/>
    <w:rsid w:val="00C5696F"/>
    <w:rsid w:val="00C812B9"/>
    <w:rsid w:val="00C81D96"/>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3D5A1C"/>
    <w:rPr>
      <w:color w:val="605E5C"/>
      <w:shd w:val="clear" w:color="auto" w:fill="E1DFDD"/>
    </w:rPr>
  </w:style>
  <w:style w:type="character" w:customStyle="1" w:styleId="ListParagraphChar">
    <w:name w:val="List Paragraph Char"/>
    <w:basedOn w:val="DefaultParagraphFont"/>
    <w:link w:val="ListParagraph"/>
    <w:uiPriority w:val="34"/>
    <w:locked/>
    <w:rsid w:val="0053164C"/>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yessi.marlina@pkr.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A85543"/>
    <w:rsid w:val="00C826C7"/>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21203</Words>
  <Characters>120858</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Putri Mega Ayuni</cp:lastModifiedBy>
  <cp:revision>10</cp:revision>
  <cp:lastPrinted>2023-05-02T07:00:00Z</cp:lastPrinted>
  <dcterms:created xsi:type="dcterms:W3CDTF">2023-05-05T09:21:00Z</dcterms:created>
  <dcterms:modified xsi:type="dcterms:W3CDTF">2024-04-02T14:26:00Z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http://www.zotero.org/styles/ieee</vt:lpwstr>
  </property>
</Properties>
</file>