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9038" w14:textId="2C922805" w:rsidR="0027621D" w:rsidRPr="0096335E" w:rsidRDefault="003D5A1C" w:rsidP="0027621D">
      <w:pPr>
        <w:spacing w:after="0" w:line="240" w:lineRule="auto"/>
        <w:jc w:val="center"/>
        <w:rPr>
          <w:rFonts w:ascii="Tw Cen MT" w:hAnsi="Tw Cen MT" w:cs="Arial"/>
          <w:b/>
          <w:bCs/>
          <w:color w:val="000000"/>
          <w:sz w:val="32"/>
          <w:szCs w:val="32"/>
        </w:rPr>
      </w:pPr>
      <w:r w:rsidRPr="003D5A1C">
        <w:rPr>
          <w:rFonts w:ascii="Tw Cen MT" w:hAnsi="Tw Cen MT" w:cs="Arial"/>
          <w:b/>
          <w:bCs/>
          <w:color w:val="000000"/>
          <w:sz w:val="32"/>
          <w:szCs w:val="32"/>
        </w:rPr>
        <w:t>Feeding Practice</w:t>
      </w:r>
      <w:r w:rsidR="00B66FB0">
        <w:rPr>
          <w:rFonts w:ascii="Tw Cen MT" w:hAnsi="Tw Cen MT" w:cs="Arial"/>
          <w:b/>
          <w:bCs/>
          <w:color w:val="000000"/>
          <w:sz w:val="32"/>
          <w:szCs w:val="32"/>
        </w:rPr>
        <w:t>s</w:t>
      </w:r>
      <w:r w:rsidRPr="003D5A1C">
        <w:rPr>
          <w:rFonts w:ascii="Tw Cen MT" w:hAnsi="Tw Cen MT" w:cs="Arial"/>
          <w:b/>
          <w:bCs/>
          <w:color w:val="000000"/>
          <w:sz w:val="32"/>
          <w:szCs w:val="32"/>
        </w:rPr>
        <w:t xml:space="preserve"> and Nutritional Status of The Toddler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184BDE4" w14:textId="7E16209A" w:rsidR="0027621D" w:rsidRDefault="003D5A1C" w:rsidP="003D5A1C">
      <w:pPr>
        <w:spacing w:after="0" w:line="240" w:lineRule="auto"/>
        <w:jc w:val="center"/>
        <w:rPr>
          <w:rFonts w:ascii="Tw Cen MT" w:hAnsi="Tw Cen MT" w:cs="Times New Roman"/>
          <w:b/>
          <w:bCs/>
          <w:iCs/>
          <w:sz w:val="32"/>
          <w:szCs w:val="32"/>
        </w:rPr>
      </w:pPr>
      <w:bookmarkStart w:id="0" w:name="_heading=h.ku3htxpixa9v" w:colFirst="0" w:colLast="0"/>
      <w:bookmarkEnd w:id="0"/>
      <w:r w:rsidRPr="003D5A1C">
        <w:rPr>
          <w:rFonts w:ascii="Tw Cen MT" w:hAnsi="Tw Cen MT" w:cs="Times New Roman"/>
          <w:b/>
          <w:bCs/>
          <w:iCs/>
          <w:sz w:val="32"/>
          <w:szCs w:val="32"/>
        </w:rPr>
        <w:t xml:space="preserve">Praktik Pemberian MP-ASI dan Status Gizi (PB/U) Balita </w:t>
      </w:r>
    </w:p>
    <w:p w14:paraId="13C69748" w14:textId="77777777" w:rsidR="003D5A1C" w:rsidRPr="0096335E" w:rsidRDefault="003D5A1C" w:rsidP="003D5A1C">
      <w:pPr>
        <w:spacing w:after="0" w:line="240" w:lineRule="auto"/>
        <w:jc w:val="center"/>
        <w:rPr>
          <w:rFonts w:ascii="Tw Cen MT" w:hAnsi="Tw Cen MT" w:cs="Times New Roman"/>
          <w:b/>
          <w:bCs/>
          <w:iCs/>
          <w:sz w:val="32"/>
          <w:szCs w:val="32"/>
        </w:rPr>
      </w:pPr>
    </w:p>
    <w:p w14:paraId="781ACE20" w14:textId="2D680D35" w:rsidR="004721E3" w:rsidRPr="003D5A1C" w:rsidRDefault="003D5A1C" w:rsidP="004721E3">
      <w:pPr>
        <w:widowControl w:val="0"/>
        <w:spacing w:after="0" w:line="218" w:lineRule="auto"/>
        <w:ind w:left="7" w:right="-20"/>
        <w:jc w:val="center"/>
        <w:rPr>
          <w:rFonts w:ascii="Tw Cen MT" w:eastAsia="Twentieth Century" w:hAnsi="Tw Cen MT" w:cs="Twentieth Century"/>
          <w:sz w:val="24"/>
          <w:szCs w:val="24"/>
          <w:vertAlign w:val="superscript"/>
          <w:lang w:val="en-ID"/>
        </w:rPr>
      </w:pPr>
      <w:r w:rsidRPr="003D5A1C">
        <w:rPr>
          <w:rFonts w:ascii="Tw Cen MT" w:eastAsia="Twentieth Century" w:hAnsi="Tw Cen MT" w:cs="Twentieth Century"/>
          <w:sz w:val="24"/>
          <w:szCs w:val="24"/>
          <w:lang w:val="en-ID"/>
        </w:rPr>
        <w:t>Yessi Marlina</w:t>
      </w:r>
      <w:r w:rsidR="004721E3" w:rsidRPr="003D5A1C">
        <w:rPr>
          <w:rFonts w:ascii="Tw Cen MT" w:eastAsia="Twentieth Century" w:hAnsi="Tw Cen MT" w:cs="Twentieth Century"/>
          <w:sz w:val="24"/>
          <w:szCs w:val="24"/>
          <w:vertAlign w:val="superscript"/>
          <w:lang w:val="en-ID"/>
        </w:rPr>
        <w:t xml:space="preserve">1, </w:t>
      </w:r>
      <w:r w:rsidRPr="003D5A1C">
        <w:rPr>
          <w:rFonts w:ascii="Tw Cen MT" w:eastAsia="Twentieth Century" w:hAnsi="Tw Cen MT" w:cs="Twentieth Century"/>
          <w:sz w:val="24"/>
          <w:szCs w:val="24"/>
          <w:lang w:val="en-ID"/>
        </w:rPr>
        <w:t>Dewi Erowati</w:t>
      </w:r>
      <w:r w:rsidR="004721E3" w:rsidRPr="003D5A1C">
        <w:rPr>
          <w:rFonts w:ascii="Tw Cen MT" w:eastAsia="Twentieth Century" w:hAnsi="Tw Cen MT" w:cs="Twentieth Century"/>
          <w:sz w:val="24"/>
          <w:szCs w:val="24"/>
          <w:vertAlign w:val="superscript"/>
          <w:lang w:val="en-ID"/>
        </w:rPr>
        <w:t xml:space="preserve">2 </w:t>
      </w:r>
      <w:r w:rsidRPr="003D5A1C">
        <w:rPr>
          <w:rFonts w:ascii="Tw Cen MT" w:eastAsia="Twentieth Century" w:hAnsi="Tw Cen MT" w:cs="Twentieth Century"/>
          <w:sz w:val="24"/>
          <w:szCs w:val="24"/>
          <w:lang w:val="en-ID"/>
        </w:rPr>
        <w:t>, Yola Humaroh</w:t>
      </w:r>
      <w:r w:rsidRPr="003D5A1C">
        <w:rPr>
          <w:rFonts w:ascii="Tw Cen MT" w:eastAsia="Twentieth Century" w:hAnsi="Tw Cen MT" w:cs="Twentieth Century"/>
          <w:sz w:val="24"/>
          <w:szCs w:val="24"/>
          <w:vertAlign w:val="superscript"/>
          <w:lang w:val="en-ID"/>
        </w:rPr>
        <w:t>3</w:t>
      </w:r>
    </w:p>
    <w:p w14:paraId="37629F48" w14:textId="003DA508" w:rsidR="004721E3" w:rsidRPr="002E23D7" w:rsidRDefault="006C35BC" w:rsidP="004721E3">
      <w:pPr>
        <w:widowControl w:val="0"/>
        <w:spacing w:after="0" w:line="218" w:lineRule="auto"/>
        <w:ind w:left="7" w:right="-20"/>
        <w:jc w:val="center"/>
        <w:rPr>
          <w:rFonts w:ascii="Tw Cen MT" w:eastAsia="Twentieth Century" w:hAnsi="Tw Cen MT" w:cs="Twentieth Century"/>
          <w:sz w:val="20"/>
          <w:szCs w:val="20"/>
          <w:vertAlign w:val="superscript"/>
        </w:rPr>
      </w:pPr>
      <w:r w:rsidRPr="006C35BC">
        <w:rPr>
          <w:rFonts w:ascii="Tw Cen MT" w:eastAsia="Twentieth Century" w:hAnsi="Tw Cen MT" w:cs="Twentieth Century"/>
          <w:sz w:val="20"/>
          <w:szCs w:val="20"/>
          <w:vertAlign w:val="superscript"/>
        </w:rPr>
        <w:t>1,2,3</w:t>
      </w:r>
      <w:r w:rsidR="003D5A1C">
        <w:rPr>
          <w:rFonts w:ascii="Tw Cen MT" w:eastAsia="Twentieth Century" w:hAnsi="Tw Cen MT" w:cs="Twentieth Century"/>
          <w:sz w:val="20"/>
          <w:szCs w:val="20"/>
        </w:rPr>
        <w:t>Poltekkes Kemenkes Riau</w:t>
      </w:r>
      <w:r w:rsidR="00EF4BA8">
        <w:rPr>
          <w:rFonts w:ascii="Tw Cen MT" w:eastAsia="Twentieth Century" w:hAnsi="Tw Cen MT" w:cs="Twentieth Century"/>
          <w:sz w:val="20"/>
          <w:szCs w:val="20"/>
        </w:rPr>
        <w:t>, Pekanbaru, Indonesia</w:t>
      </w:r>
    </w:p>
    <w:p w14:paraId="5C33921F" w14:textId="31D0B0F1" w:rsidR="007F4948" w:rsidRPr="00854165" w:rsidRDefault="004721E3" w:rsidP="00854165">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Coresponden </w:t>
      </w:r>
      <w:r w:rsidR="003D5A1C">
        <w:rPr>
          <w:rFonts w:ascii="Tw Cen MT" w:eastAsia="Twentieth Century" w:hAnsi="Tw Cen MT" w:cs="Twentieth Century"/>
          <w:sz w:val="20"/>
          <w:szCs w:val="20"/>
        </w:rPr>
        <w:t xml:space="preserve">: </w:t>
      </w:r>
      <w:hyperlink r:id="rId9" w:history="1">
        <w:r w:rsidR="003D5A1C" w:rsidRPr="00854165">
          <w:rPr>
            <w:rStyle w:val="Hyperlink"/>
            <w:rFonts w:ascii="Tw Cen MT" w:eastAsia="Twentieth Century" w:hAnsi="Tw Cen MT" w:cs="Twentieth Century"/>
            <w:color w:val="000000" w:themeColor="text1"/>
            <w:sz w:val="20"/>
            <w:szCs w:val="20"/>
            <w:u w:val="none"/>
          </w:rPr>
          <w:t>yessi.marlina@pkr.ac.id</w:t>
        </w:r>
      </w:hyperlink>
      <w:r w:rsidR="003D5A1C">
        <w:rPr>
          <w:rFonts w:ascii="Tw Cen MT" w:eastAsia="Twentieth Century" w:hAnsi="Tw Cen MT" w:cs="Twentieth Century"/>
          <w:sz w:val="20"/>
          <w:szCs w:val="20"/>
        </w:rPr>
        <w:t xml:space="preserve"> </w:t>
      </w:r>
    </w:p>
    <w:p w14:paraId="4179A726" w14:textId="2E20D316" w:rsidR="007F4948" w:rsidRPr="0096335E" w:rsidRDefault="00FB361D" w:rsidP="00854165">
      <w:pPr>
        <w:spacing w:before="120" w:after="0"/>
        <w:ind w:left="2398" w:firstLine="720"/>
        <w:rPr>
          <w:rFonts w:ascii="Tw Cen MT" w:eastAsia="Twentieth Century" w:hAnsi="Tw Cen MT" w:cs="Twentieth Century"/>
        </w:rPr>
      </w:pPr>
      <w:r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0C6C7F4D">
                <wp:simplePos x="0" y="0"/>
                <wp:positionH relativeFrom="column">
                  <wp:posOffset>9525</wp:posOffset>
                </wp:positionH>
                <wp:positionV relativeFrom="paragraph">
                  <wp:posOffset>30480</wp:posOffset>
                </wp:positionV>
                <wp:extent cx="5965825" cy="0"/>
                <wp:effectExtent l="0" t="0" r="0" b="0"/>
                <wp:wrapNone/>
                <wp:docPr id="69" name="Straight Arrow Connector 69"/>
                <wp:cNvGraphicFramePr/>
                <a:graphic xmlns:a="http://schemas.openxmlformats.org/drawingml/2006/main">
                  <a:graphicData uri="http://schemas.microsoft.com/office/word/2010/wordprocessingShape">
                    <wps:wsp>
                      <wps:cNvCnPr/>
                      <wps:spPr>
                        <a:xfrm>
                          <a:off x="0" y="0"/>
                          <a:ext cx="596582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3B96EF2" id="_x0000_t32" coordsize="21600,21600" o:spt="32" o:oned="t" path="m,l21600,21600e" filled="f">
                <v:path arrowok="t" fillok="f" o:connecttype="none"/>
                <o:lock v:ext="edit" shapetype="t"/>
              </v:shapetype>
              <v:shape id="Straight Arrow Connector 69" o:spid="_x0000_s1026" type="#_x0000_t32" style="position:absolute;margin-left:.75pt;margin-top:2.4pt;width:46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TgvwEAAH0DAAAOAAAAZHJzL2Uyb0RvYy54bWysU01v2zAMvQ/YfxB0X+wESNEacXpI1l2G&#10;rcC2H8BKsi1MEgVRjZN/P0ppk30cBgy7yJRIPj6Sz5v7o3fiYBJZDL1cLlopTFCobRh7+e3rw7tb&#10;KShD0OAwmF6eDMn77ds3mzl2ZoUTOm2SYJBA3Rx7OeUcu6YhNRkPtMBoAjsHTB4yX9PY6AQzo3vX&#10;rNr2ppkx6ZhQGSJ+3Z+dclvxh8Go/HkYyGThesnccj1TPZ/K2Ww30I0J4mTVCw34BxYebOCiF6g9&#10;ZBDPyf4B5a1KSDjkhULf4DBYZWoP3M2y/a2bLxNEU3vh4VC8jIn+H6z6dNiFx8RjmCN1FB9T6eI4&#10;JF++zE8c67BOl2GZYxaKH9d3N+vb1VoK9eprrokxUf5g0Iti9JJyAjtOeYch8EowLeuw4PCRMpfm&#10;xNeEUjXgg3WubsYFMbOs7to1L08BC2RwkNn0UTNsGCsOobO65JTsKh2zc0kcgJeuvy/LkrnEL1Gl&#10;3h5oOgdV11kLCZ+DrrUnA/p90CKfIgs3sHxlIUNeCmdY7GzUuAzW/T2OCbjAPK5jLtYT6lOdfn3n&#10;HVemL3osIvr5XrOvf832BwAAAP//AwBQSwMEFAAGAAgAAAAhAAJCisfZAAAABQEAAA8AAABkcnMv&#10;ZG93bnJldi54bWxMj8tOwzAQRfdI/IM1SOyoU5QiCHEqxFNiUYnQTXfTZBoH4nEUO034ewY2sDy6&#10;V3fO5OvZdepIQ2g9G1guElDEla9bbgxs358urkGFiFxj55kMfFGAdXF6kmNW+4nf6FjGRskIhwwN&#10;2Bj7TOtQWXIYFr4nluzgB4dRcGh0PeAk467Tl0lypR22LBcs9nRvqfosR2fgmR7KzeFxal5oN67S&#10;j1ePk/XGnJ/Nd7egIs3xrww/+qIOhTjt/ch1UJ3wSooGUvGX9CZdymf7X9ZFrv/bF98AAAD//wMA&#10;UEsBAi0AFAAGAAgAAAAhALaDOJL+AAAA4QEAABMAAAAAAAAAAAAAAAAAAAAAAFtDb250ZW50X1R5&#10;cGVzXS54bWxQSwECLQAUAAYACAAAACEAOP0h/9YAAACUAQAACwAAAAAAAAAAAAAAAAAvAQAAX3Jl&#10;bHMvLnJlbHNQSwECLQAUAAYACAAAACEA09Y04L8BAAB9AwAADgAAAAAAAAAAAAAAAAAuAgAAZHJz&#10;L2Uyb0RvYy54bWxQSwECLQAUAAYACAAAACEAAkKKx9kAAAAFAQAADwAAAAAAAAAAAAAAAAAZBAAA&#10;ZHJzL2Rvd25yZXYueG1sUEsFBgAAAAAEAAQA8wAAAB8FAAAAAA==&#10;" strokecolor="black [3200]" strokeweight="1.5pt">
                <v:stroke startarrowwidth="narrow" startarrowlength="short" endarrowwidth="narrow" endarrowlength="short"/>
              </v:shape>
            </w:pict>
          </mc:Fallback>
        </mc:AlternateContent>
      </w:r>
      <w:r w:rsidR="00854165"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6C18A7BE">
                <wp:simplePos x="0" y="0"/>
                <wp:positionH relativeFrom="column">
                  <wp:posOffset>17780</wp:posOffset>
                </wp:positionH>
                <wp:positionV relativeFrom="paragraph">
                  <wp:posOffset>58420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4D09D52D"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825271" w:rsidRPr="00825271">
                              <w:rPr>
                                <w:rFonts w:ascii="Tw Cen MT" w:hAnsi="Tw Cen MT" w:cs="Noto Sans"/>
                                <w:sz w:val="20"/>
                                <w:szCs w:val="20"/>
                                <w:shd w:val="clear" w:color="auto" w:fill="FFFFFF"/>
                              </w:rPr>
                              <w:t>2024-04-02</w:t>
                            </w:r>
                          </w:p>
                          <w:p w14:paraId="2E3C9739" w14:textId="6251B2B0"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825271" w:rsidRPr="00825271">
                              <w:rPr>
                                <w:rFonts w:ascii="Tw Cen MT" w:hAnsi="Tw Cen MT" w:cs="Noto Sans"/>
                                <w:sz w:val="20"/>
                                <w:szCs w:val="20"/>
                                <w:shd w:val="clear" w:color="auto" w:fill="FFFFFF"/>
                              </w:rPr>
                              <w:t>2024-12-30</w:t>
                            </w:r>
                          </w:p>
                          <w:p w14:paraId="65822EE9" w14:textId="0D97F335"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825271" w:rsidRPr="00825271">
                              <w:rPr>
                                <w:rFonts w:ascii="Tw Cen MT" w:hAnsi="Tw Cen MT" w:cs="Noto Sans"/>
                                <w:sz w:val="20"/>
                                <w:szCs w:val="20"/>
                                <w:shd w:val="clear" w:color="auto" w:fill="FFFFFF"/>
                              </w:rPr>
                              <w:t>2025-01-02</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left:0;text-align:left;margin-left:1.4pt;margin-top:4.6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DgquBg2wAAAAcBAAAPAAAAZHJzL2Rvd25yZXYueG1sTI7NTsMw&#10;EITvSLyDtUjcqNPw14Y4FQL1gFSpovAATrwkEdl1sN00vD3LCY6jGX3zlZuZBjVhiL1nA8tFBgq5&#10;8a7n1sD72/ZqBSomy84OntHAN0bYVOdnpS2cP/ErTofUKoFwLKyBLqWx0Do2HZKNCz8iS/fhA9kk&#10;MbTaBXsSOA06z7I7TbZneejsiE8dNp+HIxnYu6/l/fO4DRPVL9NuR80+UDTm8mJ+fACVcE5/Y/jV&#10;F3WoxKn2R3ZRDQZyEU8G1jkoaa+zleRaZuubW9BVqf/7Vz8AAAD//wMAUEsBAi0AFAAGAAgAAAAh&#10;ALaDOJL+AAAA4QEAABMAAAAAAAAAAAAAAAAAAAAAAFtDb250ZW50X1R5cGVzXS54bWxQSwECLQAU&#10;AAYACAAAACEAOP0h/9YAAACUAQAACwAAAAAAAAAAAAAAAAAvAQAAX3JlbHMvLnJlbHNQSwECLQAU&#10;AAYACAAAACEAut/gXVkCAAAIBQAADgAAAAAAAAAAAAAAAAAuAgAAZHJzL2Uyb0RvYy54bWxQSwEC&#10;LQAUAAYACAAAACEA4KrgYNsAAAAHAQAADwAAAAAAAAAAAAAAAACzBAAAZHJzL2Rvd25yZXYueG1s&#10;UEsFBgAAAAAEAAQA8wAAALsFA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4D09D52D"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825271" w:rsidRPr="00825271">
                        <w:rPr>
                          <w:rFonts w:ascii="Tw Cen MT" w:hAnsi="Tw Cen MT" w:cs="Noto Sans"/>
                          <w:sz w:val="20"/>
                          <w:szCs w:val="20"/>
                          <w:shd w:val="clear" w:color="auto" w:fill="FFFFFF"/>
                        </w:rPr>
                        <w:t>2024-04-02</w:t>
                      </w:r>
                    </w:p>
                    <w:p w14:paraId="2E3C9739" w14:textId="6251B2B0"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825271" w:rsidRPr="00825271">
                        <w:rPr>
                          <w:rFonts w:ascii="Tw Cen MT" w:hAnsi="Tw Cen MT" w:cs="Noto Sans"/>
                          <w:sz w:val="20"/>
                          <w:szCs w:val="20"/>
                          <w:shd w:val="clear" w:color="auto" w:fill="FFFFFF"/>
                        </w:rPr>
                        <w:t>2024-12-30</w:t>
                      </w:r>
                    </w:p>
                    <w:p w14:paraId="65822EE9" w14:textId="0D97F335"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825271" w:rsidRPr="00825271">
                        <w:rPr>
                          <w:rFonts w:ascii="Tw Cen MT" w:hAnsi="Tw Cen MT" w:cs="Noto Sans"/>
                          <w:sz w:val="20"/>
                          <w:szCs w:val="20"/>
                          <w:shd w:val="clear" w:color="auto" w:fill="FFFFFF"/>
                        </w:rPr>
                        <w:t>2025-01-02</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7106F6" w:rsidRPr="0096335E">
        <w:rPr>
          <w:rFonts w:ascii="Tw Cen MT" w:eastAsia="Twentieth Century" w:hAnsi="Tw Cen MT" w:cs="Twentieth Century"/>
          <w:b/>
          <w:i/>
          <w:sz w:val="20"/>
          <w:szCs w:val="20"/>
        </w:rPr>
        <w:t xml:space="preserve"> </w:t>
      </w:r>
      <w:commentRangeStart w:id="1"/>
      <w:r w:rsidR="0086728C" w:rsidRPr="0096335E">
        <w:rPr>
          <w:rFonts w:ascii="Tw Cen MT" w:eastAsia="Twentieth Century" w:hAnsi="Tw Cen MT" w:cs="Twentieth Century"/>
          <w:b/>
          <w:i/>
          <w:sz w:val="20"/>
          <w:szCs w:val="20"/>
        </w:rPr>
        <w:t>Abstract</w:t>
      </w:r>
      <w:commentRangeEnd w:id="1"/>
      <w:r w:rsidR="00B657D6">
        <w:rPr>
          <w:rStyle w:val="CommentReference"/>
        </w:rPr>
        <w:commentReference w:id="1"/>
      </w:r>
    </w:p>
    <w:p w14:paraId="6CFC282B" w14:textId="1CA6F299" w:rsidR="006334E1" w:rsidRPr="0096335E" w:rsidRDefault="003D5A1C">
      <w:pPr>
        <w:widowControl w:val="0"/>
        <w:spacing w:after="0" w:line="228" w:lineRule="auto"/>
        <w:ind w:left="3150" w:right="-19"/>
        <w:jc w:val="both"/>
        <w:rPr>
          <w:rFonts w:ascii="Tw Cen MT" w:eastAsia="Twentieth Century" w:hAnsi="Tw Cen MT" w:cs="Twentieth Century"/>
          <w:i/>
          <w:sz w:val="20"/>
          <w:szCs w:val="20"/>
        </w:rPr>
      </w:pPr>
      <w:r w:rsidRPr="003D5A1C">
        <w:rPr>
          <w:rFonts w:ascii="Tw Cen MT" w:eastAsia="Twentieth Century" w:hAnsi="Tw Cen MT" w:cs="Twentieth Century"/>
          <w:i/>
          <w:sz w:val="20"/>
          <w:szCs w:val="20"/>
        </w:rPr>
        <w:t xml:space="preserve">Complementary feeding practices that are not optimal are one of the causing factors of stunting. The purpose of this study was to to determine the relationship between complementary feeding practice and stunting among children in Kampar Districts. The cross-sectional study with a population of all children aged 6-23 months. The proportionate stratified random sampling technique was used with a total sample is 100 children. Body length was measured using a length board, feeding practices were obtained through observation using a checklist sheet, and nutritional intake through food recall for 1x24 hours. Data analysis was univariate and bivariate using the chi-square test. There are 17% stunted and 83% non-stunted. As many as 29% received early complementary feeding, 70% texture was inappropriate, 66% frequency was inappropriate, 69% portion was inappropriate, 83% menu did not vary, 95% was not hygienic, 38% was unresponsive and inadequate intake. There was a significant relationship between responsive feeding and nutritional status (p&lt;0.05). </w:t>
      </w:r>
      <w:r w:rsidR="0027621D"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EDCDA1" w14:textId="230ACA88" w:rsidR="007F4948" w:rsidRDefault="0086728C" w:rsidP="003D5A1C">
      <w:pPr>
        <w:widowControl w:val="0"/>
        <w:spacing w:after="0" w:line="228" w:lineRule="auto"/>
        <w:ind w:left="3150" w:right="-19"/>
        <w:jc w:val="both"/>
        <w:rPr>
          <w:rFonts w:ascii="Tw Cen MT" w:eastAsia="Twentieth Century" w:hAnsi="Tw Cen MT" w:cs="Twentieth Century"/>
          <w:bCs/>
          <w:sz w:val="20"/>
          <w:szCs w:val="20"/>
        </w:rPr>
      </w:pPr>
      <w:r w:rsidRPr="0096335E">
        <w:rPr>
          <w:rFonts w:ascii="Tw Cen MT" w:eastAsia="Twentieth Century" w:hAnsi="Tw Cen MT" w:cs="Twentieth Century"/>
          <w:b/>
          <w:i/>
          <w:sz w:val="20"/>
          <w:szCs w:val="20"/>
        </w:rPr>
        <w:t>Keywords:</w:t>
      </w:r>
      <w:r w:rsidR="003D5A1C">
        <w:rPr>
          <w:rFonts w:ascii="Tw Cen MT" w:eastAsia="Twentieth Century" w:hAnsi="Tw Cen MT" w:cs="Twentieth Century"/>
          <w:b/>
          <w:i/>
          <w:sz w:val="20"/>
          <w:szCs w:val="20"/>
        </w:rPr>
        <w:t xml:space="preserve"> </w:t>
      </w:r>
      <w:r w:rsidR="003D5A1C" w:rsidRPr="003D5A1C">
        <w:rPr>
          <w:rFonts w:ascii="Tw Cen MT" w:eastAsia="Twentieth Century" w:hAnsi="Tw Cen MT" w:cs="Twentieth Century"/>
          <w:bCs/>
          <w:sz w:val="20"/>
          <w:szCs w:val="20"/>
        </w:rPr>
        <w:t>Stunted toddler; Stunting; Complementary feeding</w:t>
      </w:r>
    </w:p>
    <w:p w14:paraId="0A0475AA" w14:textId="150C9F42" w:rsidR="00854165" w:rsidRPr="003D5A1C" w:rsidRDefault="00854165" w:rsidP="003D5A1C">
      <w:pPr>
        <w:widowControl w:val="0"/>
        <w:spacing w:after="0" w:line="228" w:lineRule="auto"/>
        <w:ind w:left="3150" w:right="-19"/>
        <w:jc w:val="both"/>
        <w:rPr>
          <w:rFonts w:ascii="Tw Cen MT" w:eastAsia="Twentieth Century" w:hAnsi="Tw Cen MT" w:cs="Twentieth Century"/>
          <w:b/>
          <w:i/>
          <w:sz w:val="20"/>
          <w:szCs w:val="20"/>
        </w:rPr>
      </w:pPr>
    </w:p>
    <w:p w14:paraId="49F6A6E1" w14:textId="66E9C5E0"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53576684" w14:textId="4BB59DB7" w:rsidR="003D5A1C" w:rsidRDefault="003D5A1C" w:rsidP="00EF4BA8">
      <w:pPr>
        <w:tabs>
          <w:tab w:val="left" w:pos="426"/>
        </w:tabs>
        <w:spacing w:after="0" w:line="240" w:lineRule="auto"/>
        <w:ind w:left="3150"/>
        <w:jc w:val="both"/>
        <w:rPr>
          <w:rFonts w:ascii="Tw Cen MT" w:eastAsia="Twentieth Century" w:hAnsi="Tw Cen MT" w:cs="Twentieth Century"/>
          <w:iCs/>
          <w:color w:val="000000"/>
          <w:sz w:val="20"/>
          <w:szCs w:val="20"/>
        </w:rPr>
      </w:pPr>
      <w:r w:rsidRPr="003D5A1C">
        <w:rPr>
          <w:rFonts w:ascii="Tw Cen MT" w:eastAsia="Twentieth Century" w:hAnsi="Tw Cen MT" w:cs="Twentieth Century"/>
          <w:iCs/>
          <w:color w:val="000000"/>
          <w:sz w:val="20"/>
          <w:szCs w:val="20"/>
        </w:rPr>
        <w:t xml:space="preserve">Praktik pemberian MP-ASI yang tidak optimal menjadi salah satu penyebab stunting. Tujuan penelitian ini adalah untuk mengetahui hubungan praktik pemberian MP-ASI dan kejadian stunting di Kabupaten Kampar. Disain penelitian adalah cross-sectional dengan populasi seluruh balita usia 6-23 bulan. Sampel berjumlah 100 balita dengan menggunakan teknik proportionate stratified random sampling. Panjang badan diukur menggunakan length board, praktik MP-ASI diperoleh melalui observasi menggunakan lembar checklist, dan data asupan melalui food recall 1x24jam. Analisis data dilakukan secara univariat dan bivariat menggunakan uji chi-square. Terdapat 17% balita stunting dan 83% tidak stunting. Sebanyak 29% balita mendapatkan MP-ASI dini, 70% tekstur MP ASI tidak sesuai, 66% frekuensi MP ASI tidak tepat, 69% porsi MP ASI tidak sesuai, 83% menu tidak bervariasi, 95% MP ASI tidak hygiene dan 38% pemberian MP ASI tidak responsif. Terdapat hubungan signifikan antara responsive feeding dengan status gizi (p&lt;0.05). </w:t>
      </w:r>
    </w:p>
    <w:p w14:paraId="68659279" w14:textId="5BBCF2F7" w:rsidR="007F4948" w:rsidRDefault="0086728C" w:rsidP="003D5A1C">
      <w:pPr>
        <w:tabs>
          <w:tab w:val="left" w:pos="426"/>
        </w:tabs>
        <w:spacing w:after="0"/>
        <w:ind w:left="3150"/>
        <w:jc w:val="both"/>
        <w:rPr>
          <w:rFonts w:ascii="Tw Cen MT" w:eastAsia="Twentieth Century" w:hAnsi="Tw Cen MT" w:cs="Twentieth Century"/>
          <w:bCs/>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r w:rsidR="003D5A1C" w:rsidRPr="003D5A1C">
        <w:t xml:space="preserve"> </w:t>
      </w:r>
      <w:r w:rsidR="003D5A1C" w:rsidRPr="003D5A1C">
        <w:rPr>
          <w:rFonts w:ascii="Tw Cen MT" w:eastAsia="Twentieth Century" w:hAnsi="Tw Cen MT" w:cs="Twentieth Century"/>
          <w:bCs/>
          <w:sz w:val="20"/>
          <w:szCs w:val="20"/>
        </w:rPr>
        <w:t>balita pendek; stunting; MP ASI</w:t>
      </w:r>
    </w:p>
    <w:p w14:paraId="448ACAA7" w14:textId="75113094" w:rsidR="00854165" w:rsidRPr="0096335E" w:rsidRDefault="00854165" w:rsidP="00997349">
      <w:pPr>
        <w:rPr>
          <w:rFonts w:ascii="Tw Cen MT" w:eastAsia="Twentieth Century" w:hAnsi="Tw Cen MT" w:cs="Twentieth Century"/>
          <w:sz w:val="20"/>
          <w:szCs w:val="20"/>
        </w:rPr>
        <w:sectPr w:rsidR="00854165" w:rsidRPr="0096335E" w:rsidSect="00767EDC">
          <w:headerReference w:type="default" r:id="rId14"/>
          <w:footerReference w:type="default" r:id="rId15"/>
          <w:pgSz w:w="12240" w:h="15840"/>
          <w:pgMar w:top="1440" w:right="1440" w:bottom="1440" w:left="1440" w:header="720" w:footer="720" w:gutter="0"/>
          <w:pgNumType w:start="210"/>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1F2170CD" wp14:editId="48291AFB">
                <wp:simplePos x="0" y="0"/>
                <wp:positionH relativeFrom="column">
                  <wp:posOffset>0</wp:posOffset>
                </wp:positionH>
                <wp:positionV relativeFrom="paragraph">
                  <wp:posOffset>79375</wp:posOffset>
                </wp:positionV>
                <wp:extent cx="5965825" cy="0"/>
                <wp:effectExtent l="0" t="0" r="0" b="0"/>
                <wp:wrapNone/>
                <wp:docPr id="118814407" name="Straight Arrow Connector 118814407"/>
                <wp:cNvGraphicFramePr/>
                <a:graphic xmlns:a="http://schemas.openxmlformats.org/drawingml/2006/main">
                  <a:graphicData uri="http://schemas.microsoft.com/office/word/2010/wordprocessingShape">
                    <wps:wsp>
                      <wps:cNvCnPr/>
                      <wps:spPr>
                        <a:xfrm>
                          <a:off x="0" y="0"/>
                          <a:ext cx="596582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40B6ED28" id="Straight Arrow Connector 118814407" o:spid="_x0000_s1026" type="#_x0000_t32" style="position:absolute;margin-left:0;margin-top:6.25pt;width:469.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TgvwEAAH0DAAAOAAAAZHJzL2Uyb0RvYy54bWysU01v2zAMvQ/YfxB0X+wESNEacXpI1l2G&#10;rcC2H8BKsi1MEgVRjZN/P0ppk30cBgy7yJRIPj6Sz5v7o3fiYBJZDL1cLlopTFCobRh7+e3rw7tb&#10;KShD0OAwmF6eDMn77ds3mzl2ZoUTOm2SYJBA3Rx7OeUcu6YhNRkPtMBoAjsHTB4yX9PY6AQzo3vX&#10;rNr2ppkx6ZhQGSJ+3Z+dclvxh8Go/HkYyGThesnccj1TPZ/K2Ww30I0J4mTVCw34BxYebOCiF6g9&#10;ZBDPyf4B5a1KSDjkhULf4DBYZWoP3M2y/a2bLxNEU3vh4VC8jIn+H6z6dNiFx8RjmCN1FB9T6eI4&#10;JF++zE8c67BOl2GZYxaKH9d3N+vb1VoK9eprrokxUf5g0Iti9JJyAjtOeYch8EowLeuw4PCRMpfm&#10;xNeEUjXgg3WubsYFMbOs7to1L08BC2RwkNn0UTNsGCsOobO65JTsKh2zc0kcgJeuvy/LkrnEL1Gl&#10;3h5oOgdV11kLCZ+DrrUnA/p90CKfIgs3sHxlIUNeCmdY7GzUuAzW/T2OCbjAPK5jLtYT6lOdfn3n&#10;HVemL3osIvr5XrOvf832BwAAAP//AwBQSwMEFAAGAAgAAAAhAO1VHTDaAAAABgEAAA8AAABkcnMv&#10;ZG93bnJldi54bWxMj81OxDAMhO9IvENkJG5sysIitjRdIX4lDkgULty8jbcpNE7VpNvy9hhxgJs9&#10;Y42/KTaz79SehtgGNnC6yEAR18G23Bh4e70/uQQVE7LFLjAZ+KIIm/LwoMDcholfaF+lRkkIxxwN&#10;uJT6XOtYO/IYF6EnFm8XBo9J1qHRdsBJwn2nl1l2oT22LB8c9nTjqP6sRm/ggW6r593d1DzS+7g6&#10;/3gKOLlgzPHRfH0FKtGc/o7hB1/QoRSmbRjZRtUZkCJJ1OUKlLjrs7UM219Bl4X+j19+AwAA//8D&#10;AFBLAQItABQABgAIAAAAIQC2gziS/gAAAOEBAAATAAAAAAAAAAAAAAAAAAAAAABbQ29udGVudF9U&#10;eXBlc10ueG1sUEsBAi0AFAAGAAgAAAAhADj9If/WAAAAlAEAAAsAAAAAAAAAAAAAAAAALwEAAF9y&#10;ZWxzLy5yZWxzUEsBAi0AFAAGAAgAAAAhANPWNOC/AQAAfQMAAA4AAAAAAAAAAAAAAAAALgIAAGRy&#10;cy9lMm9Eb2MueG1sUEsBAi0AFAAGAAgAAAAhAO1VHTDaAAAABgEAAA8AAAAAAAAAAAAAAAAAGQQA&#10;AGRycy9kb3ducmV2LnhtbFBLBQYAAAAABAAEAPMAAAAgBQAAAAA=&#10;" strokecolor="black [3200]" strokeweight="1.5pt">
                <v:stroke startarrowwidth="narrow" startarrowlength="short" endarrowwidth="narrow" endarrowlength="short"/>
              </v:shape>
            </w:pict>
          </mc:Fallback>
        </mc:AlternateContent>
      </w: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156594E3" w14:textId="249D0854" w:rsidR="0054693E" w:rsidRPr="004D376E" w:rsidRDefault="0054693E" w:rsidP="00667F2E">
      <w:pPr>
        <w:spacing w:after="0" w:line="240" w:lineRule="auto"/>
        <w:jc w:val="both"/>
        <w:rPr>
          <w:rFonts w:ascii="Tw Cen MT" w:hAnsi="Tw Cen MT" w:cs="Times New Roman"/>
          <w:sz w:val="24"/>
          <w:szCs w:val="24"/>
          <w:lang w:val="en-ID"/>
        </w:rPr>
      </w:pPr>
      <w:r w:rsidRPr="0054693E">
        <w:rPr>
          <w:rFonts w:ascii="Tw Cen MT" w:hAnsi="Tw Cen MT" w:cs="Times New Roman"/>
          <w:sz w:val="24"/>
          <w:szCs w:val="24"/>
        </w:rPr>
        <w:t>Salah satu permasalahan gizi yang masih dihadapi</w:t>
      </w:r>
      <w:r w:rsidRPr="0054693E">
        <w:rPr>
          <w:rFonts w:ascii="Tw Cen MT" w:hAnsi="Tw Cen MT" w:cs="Times New Roman"/>
          <w:sz w:val="24"/>
          <w:szCs w:val="24"/>
          <w:lang w:val="id-ID"/>
        </w:rPr>
        <w:t xml:space="preserve"> </w:t>
      </w:r>
      <w:r w:rsidRPr="0054693E">
        <w:rPr>
          <w:rFonts w:ascii="Tw Cen MT" w:hAnsi="Tw Cen MT" w:cs="Times New Roman"/>
          <w:sz w:val="24"/>
          <w:szCs w:val="24"/>
        </w:rPr>
        <w:t xml:space="preserve">Indonesia saat ini adalah </w:t>
      </w:r>
      <w:r w:rsidRPr="0054693E">
        <w:rPr>
          <w:rFonts w:ascii="Tw Cen MT" w:hAnsi="Tw Cen MT" w:cs="Times New Roman"/>
          <w:i/>
          <w:iCs/>
          <w:sz w:val="24"/>
          <w:szCs w:val="24"/>
        </w:rPr>
        <w:t>stunting</w:t>
      </w:r>
      <w:r w:rsidRPr="0054693E">
        <w:rPr>
          <w:rFonts w:ascii="Tw Cen MT" w:hAnsi="Tw Cen MT" w:cs="Times New Roman"/>
          <w:sz w:val="24"/>
          <w:szCs w:val="24"/>
        </w:rPr>
        <w:t xml:space="preserve">. </w:t>
      </w:r>
      <w:r w:rsidRPr="0054693E">
        <w:rPr>
          <w:rFonts w:ascii="Tw Cen MT" w:hAnsi="Tw Cen MT" w:cs="Times New Roman"/>
          <w:sz w:val="24"/>
          <w:szCs w:val="24"/>
          <w:lang w:val="id-ID"/>
        </w:rPr>
        <w:t xml:space="preserve"> </w:t>
      </w:r>
      <w:r w:rsidRPr="0054693E">
        <w:rPr>
          <w:rFonts w:ascii="Tw Cen MT" w:hAnsi="Tw Cen MT" w:cs="Times New Roman"/>
          <w:i/>
          <w:iCs/>
          <w:sz w:val="24"/>
          <w:szCs w:val="24"/>
          <w:lang w:val="id-ID"/>
        </w:rPr>
        <w:t xml:space="preserve">Stunting </w:t>
      </w:r>
      <w:r w:rsidRPr="0054693E">
        <w:rPr>
          <w:rFonts w:ascii="Tw Cen MT" w:hAnsi="Tw Cen MT" w:cs="Times New Roman"/>
          <w:sz w:val="24"/>
          <w:szCs w:val="24"/>
          <w:lang w:val="id-ID"/>
        </w:rPr>
        <w:t>digambarkan sebagai suatu masalah gizi kronis yang dapat memberikan gambaran kegagalan pertumbuhan yang terakumulasi sejak sebelum dan sesudah kelahiran yang diakibatkan oleh tidak tercukupinya asupan zat gizi</w:t>
      </w:r>
      <w:r w:rsidR="00394A51">
        <w:rPr>
          <w:rFonts w:ascii="Tw Cen MT" w:hAnsi="Tw Cen MT" w:cs="Times New Roman"/>
          <w:sz w:val="24"/>
          <w:szCs w:val="24"/>
        </w:rPr>
        <w:t xml:space="preserve"> </w:t>
      </w:r>
      <w:r w:rsidR="00394A51">
        <w:rPr>
          <w:rFonts w:ascii="Tw Cen MT" w:hAnsi="Tw Cen MT" w:cs="Times New Roman"/>
          <w:sz w:val="24"/>
          <w:szCs w:val="24"/>
        </w:rPr>
        <w:fldChar w:fldCharType="begin" w:fldLock="1"/>
      </w:r>
      <w:r w:rsidR="006D647E">
        <w:rPr>
          <w:rFonts w:ascii="Tw Cen MT" w:hAnsi="Tw Cen MT" w:cs="Times New Roman"/>
          <w:sz w:val="24"/>
          <w:szCs w:val="24"/>
        </w:rPr>
        <w:instrText>ADDIN CSL_CITATION {"citationItems":[{"id":"ITEM-1","itemData":{"ISSN":"2809-5251","abstract":"Pendahuluan: Stunting adalah gangguan tumbuh kembang yang dialami anak akibat gizi buruk, infeksi berulang, dan stimulasi psikososial yang tidak memadai. Beberapa faktor penyebab stunting yaitu praktik pemberian kolostrum dan ASI eksklusif, pola konsumsi anak, dan penyakit infeksi, akses dan ketersediaan bahan makanan serta sanitasi dan kesehatan lingkungan. Metode: Penelitian ini menggunakan univariat, bivariat dan metode USG dalam melakukan analisis masalah. Hasil: Hasil analisis faktor risiko dengan kejadian stunting diperoleh 5 faktor penyebab dengan tiga faktor utama di Kelurahan Muarasari yaitu ASI Eksklusif, pola makan dan pengetahuan ibu. Kesimpulan: Sebagian besar anak dari responden tidak pernah menderita stunting (76,7%) dan sisanya sebanyak 7 anak (23,3%) mengalami stunting. Secara analisis bivariat tidak ada variabel yang berhubungan secara signifikan dengan kejadian stunting karena jumlah responden yang sedikit. Namun, berdasarkan kajian metode USG diperoleh tiga masalah utama yaitu ASI Eksklusif, pola makan dan pengetahuan ibu","author":[{"dropping-particle":"","family":"Wulandari Leksono","given":"Andhini","non-dropping-particle":"","parse-names":false,"suffix":""},{"dropping-particle":"","family":"Kartika Prameswary","given":"Diendha","non-dropping-particle":"","parse-names":false,"suffix":""},{"dropping-particle":"","family":"Sekar Pembajeng","given":"Gilar","non-dropping-particle":"","parse-names":false,"suffix":""},{"dropping-particle":"","family":"Felix","given":"Joses","non-dropping-particle":"","parse-names":false,"suffix":""},{"dropping-particle":"","family":"Shafa Ainan Dini","given":"Mazaya","non-dropping-particle":"","parse-names":false,"suffix":""},{"dropping-particle":"","family":"Rahmadina","given":"Nadhira","non-dropping-particle":"","parse-names":false,"suffix":""},{"dropping-particle":"","family":"Hadayna","given":"Saila","non-dropping-particle":"","parse-names":false,"suffix":""},{"dropping-particle":"","family":"Roroputri Aprilia","given":"Tiara","non-dropping-particle":"","parse-names":false,"suffix":""},{"dropping-particle":"","family":"Hermawati","given":"Ema","non-dropping-particle":"","parse-names":false,"suffix":""},{"dropping-particle":"","family":"Studi Kesehatan Masyarakat","given":"Program","non-dropping-particle":"","parse-names":false,"suffix":""},{"dropping-particle":"","family":"Kesehatan Masyarakat","given":"Fakultas","non-dropping-particle":"","parse-names":false,"suffix":""},{"dropping-particle":"","family":"Kesehatan Lingkungan","given":"Departemen","non-dropping-particle":"","parse-names":false,"suffix":""},{"dropping-particle":"","family":"Kelurahan Muarasari","given":"Puskesmas","non-dropping-particle":"","parse-names":false,"suffix":""},{"dropping-particle":"","family":"Bogor Selatan","given":"Kecamatan","non-dropping-particle":"","parse-names":false,"suffix":""}],"container-title":"Jurnal Pengabdian Kesehatan Masyarakat: Pengmaskesmas","id":"ITEM-1","issue":"2","issued":{"date-parts":[["2021"]]},"page":"34-38","title":"Risiko Penyebab Kejadian Stunting pada Anak","type":"article-journal","volume":"1"},"uris":["http://www.mendeley.com/documents/?uuid=53ab39c7-bee3-4314-866d-b10509a74598"]}],"mendeley":{"formattedCitation":"[1]","plainTextFormattedCitation":"[1]","previouslyFormattedCitation":"[1]"},"properties":{"noteIndex":0},"schema":"https://github.com/citation-style-language/schema/raw/master/csl-citation.json"}</w:instrText>
      </w:r>
      <w:r w:rsidR="00394A51">
        <w:rPr>
          <w:rFonts w:ascii="Tw Cen MT" w:hAnsi="Tw Cen MT" w:cs="Times New Roman"/>
          <w:sz w:val="24"/>
          <w:szCs w:val="24"/>
        </w:rPr>
        <w:fldChar w:fldCharType="separate"/>
      </w:r>
      <w:r w:rsidR="00394A51" w:rsidRPr="00394A51">
        <w:rPr>
          <w:rFonts w:ascii="Tw Cen MT" w:hAnsi="Tw Cen MT" w:cs="Times New Roman"/>
          <w:noProof/>
          <w:sz w:val="24"/>
          <w:szCs w:val="24"/>
        </w:rPr>
        <w:t>[1]</w:t>
      </w:r>
      <w:r w:rsidR="00394A51">
        <w:rPr>
          <w:rFonts w:ascii="Tw Cen MT" w:hAnsi="Tw Cen MT" w:cs="Times New Roman"/>
          <w:sz w:val="24"/>
          <w:szCs w:val="24"/>
        </w:rPr>
        <w:fldChar w:fldCharType="end"/>
      </w:r>
      <w:r w:rsidRPr="0054693E">
        <w:rPr>
          <w:rFonts w:ascii="Tw Cen MT" w:hAnsi="Tw Cen MT" w:cs="Times New Roman"/>
          <w:sz w:val="24"/>
          <w:szCs w:val="24"/>
          <w:lang w:val="id-ID"/>
        </w:rPr>
        <w:t xml:space="preserve">. Menurut Peraturan Menteri Kesehatan No.2 Tahun 2020 tentang Standar </w:t>
      </w:r>
      <w:r w:rsidRPr="0054693E">
        <w:rPr>
          <w:rFonts w:ascii="Tw Cen MT" w:hAnsi="Tw Cen MT" w:cs="Times New Roman"/>
          <w:sz w:val="24"/>
          <w:szCs w:val="24"/>
          <w:lang w:val="id-ID"/>
        </w:rPr>
        <w:t xml:space="preserve">Antropometri Anak, anak dikatakan pendek atau </w:t>
      </w:r>
      <w:r w:rsidRPr="0054693E">
        <w:rPr>
          <w:rFonts w:ascii="Tw Cen MT" w:hAnsi="Tw Cen MT" w:cs="Times New Roman"/>
          <w:i/>
          <w:iCs/>
          <w:sz w:val="24"/>
          <w:szCs w:val="24"/>
          <w:lang w:val="id-ID"/>
        </w:rPr>
        <w:t xml:space="preserve">stunted </w:t>
      </w:r>
      <w:r w:rsidRPr="0054693E">
        <w:rPr>
          <w:rFonts w:ascii="Tw Cen MT" w:hAnsi="Tw Cen MT" w:cs="Times New Roman"/>
          <w:sz w:val="24"/>
          <w:szCs w:val="24"/>
          <w:lang w:val="id-ID"/>
        </w:rPr>
        <w:t xml:space="preserve">apabila nilai </w:t>
      </w:r>
      <w:r w:rsidRPr="0054693E">
        <w:rPr>
          <w:rFonts w:ascii="Tw Cen MT" w:hAnsi="Tw Cen MT" w:cs="Times New Roman"/>
          <w:i/>
          <w:iCs/>
          <w:sz w:val="24"/>
          <w:szCs w:val="24"/>
          <w:lang w:val="id-ID"/>
        </w:rPr>
        <w:t xml:space="preserve">z-score </w:t>
      </w:r>
      <w:r w:rsidRPr="0054693E">
        <w:rPr>
          <w:rFonts w:ascii="Tw Cen MT" w:hAnsi="Tw Cen MT" w:cs="Times New Roman"/>
          <w:sz w:val="24"/>
          <w:szCs w:val="24"/>
          <w:lang w:val="id-ID"/>
        </w:rPr>
        <w:t xml:space="preserve">pengukuran panjang badan atau tinggi badan menurut umur berada pada rentang -3 SD s/d &lt;-2 SD. </w:t>
      </w:r>
      <w:r w:rsidR="004D376E" w:rsidRPr="004D376E">
        <w:rPr>
          <w:rFonts w:ascii="Tw Cen MT" w:hAnsi="Tw Cen MT" w:cs="Times New Roman"/>
          <w:sz w:val="24"/>
          <w:szCs w:val="24"/>
          <w:lang w:val="en-ID"/>
        </w:rPr>
        <w:t xml:space="preserve">Berdasarkan Survei Kesehatan Indonesia (SKI) </w:t>
      </w:r>
      <w:r w:rsidR="004D376E">
        <w:rPr>
          <w:rFonts w:ascii="Tw Cen MT" w:hAnsi="Tw Cen MT" w:cs="Times New Roman"/>
          <w:sz w:val="24"/>
          <w:szCs w:val="24"/>
          <w:lang w:val="en-ID"/>
        </w:rPr>
        <w:t xml:space="preserve">tahun </w:t>
      </w:r>
      <w:r w:rsidR="004D376E" w:rsidRPr="004D376E">
        <w:rPr>
          <w:rFonts w:ascii="Tw Cen MT" w:hAnsi="Tw Cen MT" w:cs="Times New Roman"/>
          <w:sz w:val="24"/>
          <w:szCs w:val="24"/>
          <w:lang w:val="en-ID"/>
        </w:rPr>
        <w:t>2023, prevalensi stunting di Indonesia tercatat sebesar 21,5%, mengalami penurunan dari 21,6% pada tahun sebelumnya</w:t>
      </w:r>
      <w:r w:rsidR="004D376E">
        <w:rPr>
          <w:rFonts w:ascii="Tw Cen MT" w:hAnsi="Tw Cen MT" w:cs="Times New Roman"/>
          <w:sz w:val="24"/>
          <w:szCs w:val="24"/>
          <w:lang w:val="en-ID"/>
        </w:rPr>
        <w:t xml:space="preserve">, dan di Provinsi Riau sendiri sebesar 13,6% </w:t>
      </w:r>
      <w:r w:rsidRPr="0054693E">
        <w:rPr>
          <w:rFonts w:ascii="Tw Cen MT" w:eastAsia="Times New Roman" w:hAnsi="Tw Cen MT" w:cs="Times New Roman"/>
          <w:sz w:val="24"/>
          <w:szCs w:val="24"/>
        </w:rPr>
        <w:fldChar w:fldCharType="begin" w:fldLock="1"/>
      </w:r>
      <w:r w:rsidR="006D647E">
        <w:rPr>
          <w:rFonts w:ascii="Tw Cen MT" w:eastAsia="Times New Roman" w:hAnsi="Tw Cen MT" w:cs="Times New Roman"/>
          <w:sz w:val="24"/>
          <w:szCs w:val="24"/>
          <w:lang w:val="pt-BR"/>
        </w:rPr>
        <w:instrText>ADDIN CSL_CITATION {"citationItems":[{"id":"ITEM-1","itemData":{"author":[{"dropping-particle":"","family":"Kementerian Kesehatan Republik Indonesia","given":"","non-dropping-particle":"","parse-names":false,"suffix":""}],"id":"ITEM-1","issued":{"date-parts":[["2022"]]},"title":"Buku Saku Hasil Survei Status Gizi Indonesia (SSGI) Tahun 2022 - Badan Kebijakan Pembangunan Kesehatan | BKPK Kemenkes","type":"article-journal"},"uris":["http://www.mendeley.com/documents/?uuid=39f17844-10f7-42c0-a958-d248e291b26f"]}],"mendeley":{"formattedCitation":"[2]","plainTextFormattedCitation":"[2]","previouslyFormattedCitation":"[2]"},"properties":{"noteIndex":0},"schema":"https://github.com/citation-style-language/schema/raw/master/csl-citation.json"}</w:instrText>
      </w:r>
      <w:r w:rsidRPr="0054693E">
        <w:rPr>
          <w:rFonts w:ascii="Tw Cen MT" w:eastAsia="Times New Roman" w:hAnsi="Tw Cen MT" w:cs="Times New Roman"/>
          <w:sz w:val="24"/>
          <w:szCs w:val="24"/>
        </w:rPr>
        <w:fldChar w:fldCharType="separate"/>
      </w:r>
      <w:r w:rsidR="00394A51" w:rsidRPr="00394A51">
        <w:rPr>
          <w:rFonts w:ascii="Tw Cen MT" w:eastAsia="Times New Roman" w:hAnsi="Tw Cen MT" w:cs="Times New Roman"/>
          <w:noProof/>
          <w:sz w:val="24"/>
          <w:szCs w:val="24"/>
          <w:lang w:val="pt-BR"/>
        </w:rPr>
        <w:t>[2]</w:t>
      </w:r>
      <w:r w:rsidRPr="0054693E">
        <w:rPr>
          <w:rFonts w:ascii="Tw Cen MT" w:eastAsia="Times New Roman" w:hAnsi="Tw Cen MT" w:cs="Times New Roman"/>
          <w:sz w:val="24"/>
          <w:szCs w:val="24"/>
        </w:rPr>
        <w:fldChar w:fldCharType="end"/>
      </w:r>
      <w:r w:rsidR="004D376E">
        <w:rPr>
          <w:rFonts w:ascii="Tw Cen MT" w:eastAsia="Times New Roman" w:hAnsi="Tw Cen MT" w:cs="Times New Roman"/>
          <w:sz w:val="24"/>
          <w:szCs w:val="24"/>
          <w:lang w:val="pt-BR"/>
        </w:rPr>
        <w:fldChar w:fldCharType="begin" w:fldLock="1"/>
      </w:r>
      <w:r w:rsidR="006D647E">
        <w:rPr>
          <w:rFonts w:ascii="Tw Cen MT" w:eastAsia="Times New Roman" w:hAnsi="Tw Cen MT" w:cs="Times New Roman"/>
          <w:sz w:val="24"/>
          <w:szCs w:val="24"/>
          <w:lang w:val="pt-BR"/>
        </w:rPr>
        <w:instrText>ADDIN CSL_CITATION {"citationItems":[{"id":"ITEM-1","itemData":{"author":[{"dropping-particle":"","family":"BKPK","given":"","non-dropping-particle":"","parse-names":false,"suffix":""}],"id":"ITEM-1","issued":{"date-parts":[["2023"]]},"publisher-place":"Jakarta","title":"Survei Kesehatan Indonesia (SKI)","type":"report"},"uris":["http://www.mendeley.com/documents/?uuid=321458e3-5f98-4c21-9ffc-07e9f030896e"]}],"mendeley":{"formattedCitation":"[3]","plainTextFormattedCitation":"[3]","previouslyFormattedCitation":"[3]"},"properties":{"noteIndex":0},"schema":"https://github.com/citation-style-language/schema/raw/master/csl-citation.json"}</w:instrText>
      </w:r>
      <w:r w:rsidR="004D376E">
        <w:rPr>
          <w:rFonts w:ascii="Tw Cen MT" w:eastAsia="Times New Roman" w:hAnsi="Tw Cen MT" w:cs="Times New Roman"/>
          <w:sz w:val="24"/>
          <w:szCs w:val="24"/>
          <w:lang w:val="pt-BR"/>
        </w:rPr>
        <w:fldChar w:fldCharType="separate"/>
      </w:r>
      <w:r w:rsidR="00394A51" w:rsidRPr="00394A51">
        <w:rPr>
          <w:rFonts w:ascii="Tw Cen MT" w:eastAsia="Times New Roman" w:hAnsi="Tw Cen MT" w:cs="Times New Roman"/>
          <w:noProof/>
          <w:sz w:val="24"/>
          <w:szCs w:val="24"/>
          <w:lang w:val="pt-BR"/>
        </w:rPr>
        <w:t>[3]</w:t>
      </w:r>
      <w:r w:rsidR="004D376E">
        <w:rPr>
          <w:rFonts w:ascii="Tw Cen MT" w:eastAsia="Times New Roman" w:hAnsi="Tw Cen MT" w:cs="Times New Roman"/>
          <w:sz w:val="24"/>
          <w:szCs w:val="24"/>
          <w:lang w:val="pt-BR"/>
        </w:rPr>
        <w:fldChar w:fldCharType="end"/>
      </w:r>
      <w:r w:rsidR="007377E3">
        <w:rPr>
          <w:rFonts w:ascii="Tw Cen MT" w:eastAsia="Times New Roman" w:hAnsi="Tw Cen MT" w:cs="Times New Roman"/>
          <w:sz w:val="24"/>
          <w:szCs w:val="24"/>
          <w:lang w:val="pt-BR"/>
        </w:rPr>
        <w:t>.</w:t>
      </w:r>
    </w:p>
    <w:p w14:paraId="750D909E" w14:textId="386B8D48" w:rsidR="0054693E" w:rsidRPr="0054693E" w:rsidRDefault="0054693E" w:rsidP="00667F2E">
      <w:pPr>
        <w:spacing w:after="0" w:line="240" w:lineRule="auto"/>
        <w:jc w:val="both"/>
        <w:rPr>
          <w:rFonts w:ascii="Tw Cen MT" w:eastAsia="Times New Roman" w:hAnsi="Tw Cen MT" w:cs="Times New Roman"/>
          <w:sz w:val="24"/>
          <w:szCs w:val="24"/>
          <w:lang w:val="id-ID"/>
        </w:rPr>
      </w:pPr>
      <w:r w:rsidRPr="0054693E">
        <w:rPr>
          <w:rFonts w:ascii="Tw Cen MT" w:hAnsi="Tw Cen MT" w:cs="Times New Roman"/>
          <w:sz w:val="24"/>
          <w:szCs w:val="24"/>
          <w:lang w:val="id-ID"/>
        </w:rPr>
        <w:lastRenderedPageBreak/>
        <w:t xml:space="preserve">Generasi yang tumbuh secara optimal atau dengan kata lain tidak </w:t>
      </w:r>
      <w:r w:rsidRPr="0054693E">
        <w:rPr>
          <w:rFonts w:ascii="Tw Cen MT" w:hAnsi="Tw Cen MT" w:cs="Times New Roman"/>
          <w:i/>
          <w:iCs/>
          <w:sz w:val="24"/>
          <w:szCs w:val="24"/>
          <w:lang w:val="id-ID"/>
        </w:rPr>
        <w:t>stunting</w:t>
      </w:r>
      <w:r w:rsidRPr="0054693E">
        <w:rPr>
          <w:rFonts w:ascii="Tw Cen MT" w:hAnsi="Tw Cen MT" w:cs="Times New Roman"/>
          <w:sz w:val="24"/>
          <w:szCs w:val="24"/>
          <w:lang w:val="id-ID"/>
        </w:rPr>
        <w:t xml:space="preserve"> pada umumnya memiliki tingkat kecerdasan yang lebih baik, sehingga akan memberikan daya saing yang baik dalam bidang pembangunan dan ekonomi </w:t>
      </w:r>
      <w:r w:rsidRPr="0054693E">
        <w:rPr>
          <w:rFonts w:ascii="Tw Cen MT" w:hAnsi="Tw Cen MT" w:cs="Times New Roman"/>
          <w:sz w:val="24"/>
          <w:szCs w:val="24"/>
        </w:rPr>
        <w:fldChar w:fldCharType="begin" w:fldLock="1"/>
      </w:r>
      <w:r w:rsidR="006D647E">
        <w:rPr>
          <w:rFonts w:ascii="Tw Cen MT" w:hAnsi="Tw Cen MT" w:cs="Times New Roman"/>
          <w:sz w:val="24"/>
          <w:szCs w:val="24"/>
          <w:lang w:val="id-ID"/>
        </w:rPr>
        <w:instrText>ADDIN CSL_CITATION {"citationItems":[{"id":"ITEM-1","itemData":{"DOI":"10.22435/bpk.v45i4.7465.233-240","ISSN":"0125-9695","abstract":"Stunting prevalence in Indonesia has been almost stagnant at 37% from year 2007 to 2013. With the cut-off point greater than 20%, WHO classified Indonesia has a public health problem. The purpose of this review is to analyze policy related problems and gaps that could be filled as a policy option. Policy analysis was conducted through searching and analyzing legal documents, policy as well as programs following the policy formulation. Finally, round table discussion inviting experts was conducted to construct a recommendation. Stunting prevalence has barely reducing within the last ten year which was only 4% from 1992 to 2013, though programs and budget allocation has been made, even scaling up nutrition is mentioned in Presidential Regulation no.42/2013 through National Movement of First Thousand Days of Life. Stunting has a long term effect that bring about non communicable diseases causing economic burden, although stunting can be corrected. Serious integrated effort should be taken into account at all levels as a policy recommendation. Mothers or future brides should be given information of healthy pregnancy and nutrition. Exclusive breast feeding should be done mandatory to healthy delivery mothers. In addition, proper complementary feeding should be well understood by mothers and health workers.","author":[{"dropping-particle":"","family":"Aryastami","given":"Ni Ketut","non-dropping-particle":"","parse-names":false,"suffix":""}],"container-title":"Buletin Penelitian Kesehatan","id":"ITEM-1","issue":"4","issued":{"date-parts":[["2017"]]},"page":"233-240","title":"Kajian Kebijakan dan Penanggulangan Masalah Gizi Stunting di Indonesia","type":"article-journal","volume":"45"},"uris":["http://www.mendeley.com/documents/?uuid=0b3a6297-db4f-4712-b13e-9f7728623f34","http://www.mendeley.com/documents/?uuid=2ece3828-1277-4eaf-a459-f50c442dc592"]}],"mendeley":{"formattedCitation":"[4]","plainTextFormattedCitation":"[4]","previouslyFormattedCitation":"[4]"},"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lang w:val="id-ID"/>
        </w:rPr>
        <w:t>[4]</w:t>
      </w:r>
      <w:r w:rsidRPr="0054693E">
        <w:rPr>
          <w:rFonts w:ascii="Tw Cen MT" w:hAnsi="Tw Cen MT" w:cs="Times New Roman"/>
          <w:sz w:val="24"/>
          <w:szCs w:val="24"/>
        </w:rPr>
        <w:fldChar w:fldCharType="end"/>
      </w:r>
      <w:r w:rsidRPr="0054693E">
        <w:rPr>
          <w:rFonts w:ascii="Tw Cen MT" w:hAnsi="Tw Cen MT" w:cs="Times New Roman"/>
          <w:sz w:val="24"/>
          <w:szCs w:val="24"/>
          <w:lang w:val="id-ID"/>
        </w:rPr>
        <w:t xml:space="preserve">. Periode 1000 hari pertama kehidupan (1000 HPK) merupakan simpul kritis sebagai awal terjadinya pertumbuhan stunting, yang sebaliknya berdampak jangka panjang hingga berulang dalam siklus kehidupan </w:t>
      </w:r>
      <w:r w:rsidRPr="0054693E">
        <w:rPr>
          <w:rFonts w:ascii="Tw Cen MT" w:hAnsi="Tw Cen MT" w:cs="Times New Roman"/>
          <w:sz w:val="24"/>
          <w:szCs w:val="24"/>
        </w:rPr>
        <w:fldChar w:fldCharType="begin" w:fldLock="1"/>
      </w:r>
      <w:r w:rsidR="006D647E">
        <w:rPr>
          <w:rFonts w:ascii="Tw Cen MT" w:hAnsi="Tw Cen MT" w:cs="Times New Roman"/>
          <w:sz w:val="24"/>
          <w:szCs w:val="24"/>
          <w:lang w:val="id-ID"/>
        </w:rPr>
        <w:instrText>ADDIN CSL_CITATION {"citationItems":[{"id":"ITEM-1","itemData":{"DOI":"10.22435/bpk.v45i4.7465.233-240","ISSN":"0125-9695","abstract":"Stunting prevalence in Indonesia has been almost stagnant at 37% from year 2007 to 2013. With the cut-off point greater than 20%, WHO classified Indonesia has a public health problem. The purpose of this review is to analyze policy related problems and gaps that could be filled as a policy option. Policy analysis was conducted through searching and analyzing legal documents, policy as well as programs following the policy formulation. Finally, round table discussion inviting experts was conducted to construct a recommendation. Stunting prevalence has barely reducing within the last ten year which was only 4% from 1992 to 2013, though programs and budget allocation has been made, even scaling up nutrition is mentioned in Presidential Regulation no.42/2013 through National Movement of First Thousand Days of Life. Stunting has a long term effect that bring about non communicable diseases causing economic burden, although stunting can be corrected. Serious integrated effort should be taken into account at all levels as a policy recommendation. Mothers or future brides should be given information of healthy pregnancy and nutrition. Exclusive breast feeding should be done mandatory to healthy delivery mothers. In addition, proper complementary feeding should be well understood by mothers and health workers.","author":[{"dropping-particle":"","family":"Aryastami","given":"Ni Ketut","non-dropping-particle":"","parse-names":false,"suffix":""}],"container-title":"Buletin Penelitian Kesehatan","id":"ITEM-1","issue":"4","issued":{"date-parts":[["2017"]]},"page":"233-240","title":"Kajian Kebijakan dan Penanggulangan Masalah Gizi Stunting di Indonesia","type":"article-journal","volume":"45"},"uris":["http://www.mendeley.com/documents/?uuid=2ece3828-1277-4eaf-a459-f50c442dc592","http://www.mendeley.com/documents/?uuid=0b3a6297-db4f-4712-b13e-9f7728623f34"]}],"mendeley":{"formattedCitation":"[4]","plainTextFormattedCitation":"[4]","previouslyFormattedCitation":"[4]"},"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lang w:val="id-ID"/>
        </w:rPr>
        <w:t>[4]</w:t>
      </w:r>
      <w:r w:rsidRPr="0054693E">
        <w:rPr>
          <w:rFonts w:ascii="Tw Cen MT" w:hAnsi="Tw Cen MT" w:cs="Times New Roman"/>
          <w:sz w:val="24"/>
          <w:szCs w:val="24"/>
        </w:rPr>
        <w:fldChar w:fldCharType="end"/>
      </w:r>
      <w:r w:rsidRPr="0054693E">
        <w:rPr>
          <w:rFonts w:ascii="Tw Cen MT" w:hAnsi="Tw Cen MT" w:cs="Times New Roman"/>
          <w:sz w:val="24"/>
          <w:szCs w:val="24"/>
          <w:lang w:val="id-ID"/>
        </w:rPr>
        <w:t xml:space="preserve">. </w:t>
      </w:r>
      <w:r w:rsidRPr="0054693E">
        <w:rPr>
          <w:rFonts w:ascii="Tw Cen MT" w:hAnsi="Tw Cen MT" w:cs="Times New Roman"/>
          <w:color w:val="000000"/>
          <w:sz w:val="24"/>
          <w:szCs w:val="24"/>
          <w:lang w:val="id-ID"/>
        </w:rPr>
        <w:t xml:space="preserve">Periode 1000 HPK dimulai dari saat janin dalam kandungan (270 hari) hingga bayi berusia dua tahun, </w:t>
      </w:r>
      <w:r w:rsidRPr="0054693E">
        <w:rPr>
          <w:rFonts w:ascii="Tw Cen MT" w:hAnsi="Tw Cen MT" w:cs="Times New Roman"/>
          <w:sz w:val="24"/>
          <w:szCs w:val="24"/>
          <w:lang w:val="id-ID"/>
        </w:rPr>
        <w:t xml:space="preserve">memiliki pengaruh permanen dan tidak dapat dikoreksi terhadap pertumbuhan fisik, mental, dan kecerdasan </w:t>
      </w:r>
      <w:r w:rsidRPr="0054693E">
        <w:rPr>
          <w:rFonts w:ascii="Tw Cen MT" w:hAnsi="Tw Cen MT" w:cs="Times New Roman"/>
          <w:sz w:val="24"/>
          <w:szCs w:val="24"/>
        </w:rPr>
        <w:fldChar w:fldCharType="begin" w:fldLock="1"/>
      </w:r>
      <w:r w:rsidR="006D647E">
        <w:rPr>
          <w:rFonts w:ascii="Tw Cen MT" w:hAnsi="Tw Cen MT" w:cs="Times New Roman"/>
          <w:sz w:val="24"/>
          <w:szCs w:val="24"/>
          <w:lang w:val="id-ID"/>
        </w:rPr>
        <w:instrText>ADDIN CSL_CITATION {"citationItems":[{"id":"ITEM-1","itemData":{"author":[{"dropping-particle":"","family":"Kementerian Kesehatan RI","given":"","non-dropping-particle":"","parse-names":false,"suffix":""}],"id":"ITEM-1","issued":{"date-parts":[["2012"]]},"title":"Kerangka Kebijakan Gerakan Nasional Sadar Gizi dalam Rangka Seribu Hari Pertama Kehidupan (Gerakan 1000 HPK)","type":"report"},"uris":["http://www.mendeley.com/documents/?uuid=2e593cf2-004d-499e-8cd4-613133eb8afa"]}],"mendeley":{"formattedCitation":"[5]","plainTextFormattedCitation":"[5]","previouslyFormattedCitation":"[5]"},"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lang w:val="id-ID"/>
        </w:rPr>
        <w:t>[5]</w:t>
      </w:r>
      <w:r w:rsidRPr="0054693E">
        <w:rPr>
          <w:rFonts w:ascii="Tw Cen MT" w:hAnsi="Tw Cen MT" w:cs="Times New Roman"/>
          <w:sz w:val="24"/>
          <w:szCs w:val="24"/>
        </w:rPr>
        <w:fldChar w:fldCharType="end"/>
      </w:r>
      <w:r w:rsidRPr="0054693E">
        <w:rPr>
          <w:rFonts w:ascii="Tw Cen MT" w:hAnsi="Tw Cen MT" w:cs="Times New Roman"/>
          <w:sz w:val="24"/>
          <w:szCs w:val="24"/>
          <w:lang w:val="id-ID"/>
        </w:rPr>
        <w:t xml:space="preserve">. </w:t>
      </w:r>
    </w:p>
    <w:p w14:paraId="2471FA88" w14:textId="673911DE" w:rsidR="0054693E" w:rsidRPr="0054693E" w:rsidRDefault="0054693E" w:rsidP="00667F2E">
      <w:pPr>
        <w:spacing w:after="0" w:line="240" w:lineRule="auto"/>
        <w:jc w:val="both"/>
        <w:rPr>
          <w:rFonts w:ascii="Tw Cen MT" w:hAnsi="Tw Cen MT" w:cs="Times New Roman"/>
          <w:sz w:val="24"/>
          <w:szCs w:val="24"/>
        </w:rPr>
      </w:pPr>
      <w:r w:rsidRPr="0054693E">
        <w:rPr>
          <w:rFonts w:ascii="Tw Cen MT" w:hAnsi="Tw Cen MT" w:cs="Times New Roman"/>
          <w:sz w:val="24"/>
          <w:szCs w:val="24"/>
        </w:rPr>
        <w:t xml:space="preserve">ASI merupakan pilihan makanan yang optimal pada bayi. Namun setelah usia 6 bulan, ASI saja tidak lagi mampu mencukupi kebutuhan gizi bayi sehingga perlu tambahan zat gizi lain dari MP ASI. WHO merekomendasikan pemberian ASI eksklusif 6 bulan pertama kehidupan dan dilanjutkan dengan pengenalan MP-ASI dengan terus memberikan ASI sampai usia 2 tahun </w:t>
      </w:r>
      <w:r w:rsidRPr="0054693E">
        <w:rPr>
          <w:rFonts w:ascii="Tw Cen MT" w:hAnsi="Tw Cen MT" w:cs="Times New Roman"/>
          <w:sz w:val="24"/>
          <w:szCs w:val="24"/>
        </w:rPr>
        <w:fldChar w:fldCharType="begin" w:fldLock="1"/>
      </w:r>
      <w:r w:rsidR="006D647E">
        <w:rPr>
          <w:rFonts w:ascii="Tw Cen MT" w:hAnsi="Tw Cen MT" w:cs="Times New Roman"/>
          <w:sz w:val="24"/>
          <w:szCs w:val="24"/>
        </w:rPr>
        <w:instrText>ADDIN CSL_CITATION {"citationItems":[{"id":"ITEM-1","itemData":{"abstract":"a l t h P r o m o t i o n a n d P r o t e c t i o n F o o d a n d N u t r i t i o n P r o g r a m","author":[{"dropping-particle":"","family":"WHO","given":"","non-dropping-particle":"","parse-names":false,"suffix":""}],"id":"ITEM-1","issued":{"date-parts":[["2003"]]},"title":"Guiding Principles for Complementary Feeding of the Breastfed Child","type":"book"},"uris":["http://www.mendeley.com/documents/?uuid=0b5f5342-ebd7-4298-bf45-2f769de78529","http://www.mendeley.com/documents/?uuid=d6033567-69a5-4737-a847-82cc8ced722d"]}],"mendeley":{"formattedCitation":"[6]","plainTextFormattedCitation":"[6]","previouslyFormattedCitation":"[6]"},"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rPr>
        <w:t>[6]</w:t>
      </w:r>
      <w:r w:rsidRPr="0054693E">
        <w:rPr>
          <w:rFonts w:ascii="Tw Cen MT" w:hAnsi="Tw Cen MT" w:cs="Times New Roman"/>
          <w:sz w:val="24"/>
          <w:szCs w:val="24"/>
        </w:rPr>
        <w:fldChar w:fldCharType="end"/>
      </w:r>
      <w:r w:rsidRPr="0054693E">
        <w:rPr>
          <w:rFonts w:ascii="Tw Cen MT" w:hAnsi="Tw Cen MT" w:cs="Times New Roman"/>
          <w:sz w:val="24"/>
          <w:szCs w:val="24"/>
        </w:rPr>
        <w:t xml:space="preserve">. Data WHO menunjukkan hanya sepertiga dari anak balita di negara berkembang yang mendapatkan MP ASI yang adekuat, sementara di Indonesia, sebagian besar anak tidak menerima MP ASI yang tepat akibat pola asuh yang salah </w:t>
      </w:r>
      <w:r w:rsidRPr="0054693E">
        <w:rPr>
          <w:rFonts w:ascii="Tw Cen MT" w:hAnsi="Tw Cen MT" w:cs="Times New Roman"/>
          <w:sz w:val="24"/>
          <w:szCs w:val="24"/>
        </w:rPr>
        <w:fldChar w:fldCharType="begin" w:fldLock="1"/>
      </w:r>
      <w:r w:rsidR="006D647E">
        <w:rPr>
          <w:rFonts w:ascii="Tw Cen MT" w:hAnsi="Tw Cen MT" w:cs="Times New Roman"/>
          <w:sz w:val="24"/>
          <w:szCs w:val="24"/>
        </w:rPr>
        <w:instrText>ADDIN CSL_CITATION {"citationItems":[{"id":"ITEM-1","itemData":{"author":[{"dropping-particle":"","family":"TNP2K","given":"","non-dropping-particle":"","parse-names":false,"suffix":""}],"id":"ITEM-1","issued":{"date-parts":[["2018"]]},"title":"Strategi Nasional Percepatan Pencegahan Anak Kerdil (STUNTING) Periode 2018-2024","type":"report"},"uris":["http://www.mendeley.com/documents/?uuid=fd9f066b-0bf6-495e-84cd-db4a21b104b3"]}],"mendeley":{"formattedCitation":"[7]","plainTextFormattedCitation":"[7]","previouslyFormattedCitation":"[7]"},"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rPr>
        <w:t>[7]</w:t>
      </w:r>
      <w:r w:rsidRPr="0054693E">
        <w:rPr>
          <w:rFonts w:ascii="Tw Cen MT" w:hAnsi="Tw Cen MT" w:cs="Times New Roman"/>
          <w:sz w:val="24"/>
          <w:szCs w:val="24"/>
        </w:rPr>
        <w:fldChar w:fldCharType="end"/>
      </w:r>
      <w:r w:rsidRPr="0054693E">
        <w:rPr>
          <w:rFonts w:ascii="Tw Cen MT" w:hAnsi="Tw Cen MT" w:cs="Times New Roman"/>
          <w:sz w:val="24"/>
          <w:szCs w:val="24"/>
        </w:rPr>
        <w:t xml:space="preserve">. Praktik pemberian MP ASI yang tidak optimal menjadi salah satu penyebab langsung terjadinya kekurangan gizi dan stunting </w:t>
      </w:r>
      <w:r w:rsidRPr="0054693E">
        <w:rPr>
          <w:rFonts w:ascii="Tw Cen MT" w:hAnsi="Tw Cen MT" w:cs="Times New Roman"/>
          <w:sz w:val="24"/>
          <w:szCs w:val="24"/>
        </w:rPr>
        <w:fldChar w:fldCharType="begin" w:fldLock="1"/>
      </w:r>
      <w:r w:rsidR="006D647E">
        <w:rPr>
          <w:rFonts w:ascii="Tw Cen MT" w:hAnsi="Tw Cen MT" w:cs="Times New Roman"/>
          <w:sz w:val="24"/>
          <w:szCs w:val="24"/>
        </w:rPr>
        <w:instrText>ADDIN CSL_CITATION {"citationItems":[{"id":"ITEM-1","itemData":{"DOI":"10.22146/ijcn.34560","ISSN":"1693-900X","abstract":"Maternal knowledge, attitude, motivation and complementary feeding practice of children aged 6-23 months: formative study in AcehBackground: Poor knowledge, attitude, and motivation of the mother determine complementary feeding (CF) practice of the child resulting in poor nutrition fulfillment. Objective: This study aimed to analyze maternal knowledge, attitude, motivation, and relationships with the CF practice of children aged 6-23 months.Method: A cross-sectional study and cluster random sampling was applied to select 392 mothers of children aged 6-23 months in Aceh Besar District. Data on maternal knowledge, attitude, and motivation were collected using valid and reliable structured questionnaire. CF practice quality was assessed using indicators of timely introduction to CF, minimum meal frequency, minimum dietary diversity, and minimum acceptable diet according to WHO recommenda</w:instrText>
      </w:r>
      <w:r w:rsidR="006D647E">
        <w:rPr>
          <w:rFonts w:ascii="Tw Cen MT" w:hAnsi="Tw Cen MT" w:cs="Times New Roman" w:hint="eastAsia"/>
          <w:sz w:val="24"/>
          <w:szCs w:val="24"/>
        </w:rPr>
        <w:instrText>tion. The association of maternal knowledge, attitude, and motivation with CF practice was analyzed using binary logistic regression with a 95% confidence level (</w:instrText>
      </w:r>
      <w:r w:rsidR="006D647E">
        <w:rPr>
          <w:rFonts w:ascii="Tw Cen MT" w:hAnsi="Tw Cen MT" w:cs="Times New Roman" w:hint="eastAsia"/>
          <w:sz w:val="24"/>
          <w:szCs w:val="24"/>
        </w:rPr>
        <w:instrText>α</w:instrText>
      </w:r>
      <w:r w:rsidR="006D647E">
        <w:rPr>
          <w:rFonts w:ascii="Tw Cen MT" w:hAnsi="Tw Cen MT" w:cs="Times New Roman" w:hint="eastAsia"/>
          <w:sz w:val="24"/>
          <w:szCs w:val="24"/>
        </w:rPr>
        <w:instrText>=0.05).Results: There was a small proportion of mothers (20.2%, 8.7%, 33.9%) having good kno</w:instrText>
      </w:r>
      <w:r w:rsidR="006D647E">
        <w:rPr>
          <w:rFonts w:ascii="Tw Cen MT" w:hAnsi="Tw Cen MT" w:cs="Times New Roman"/>
          <w:sz w:val="24"/>
          <w:szCs w:val="24"/>
        </w:rPr>
        <w:instrText>wledge, attitude, and motivation, respectively. Overall, there was one-fourth (23%) of the children aged 6-23 months receiving CF as recommended by WHO. There were significant correlations between maternal knowledge and attitude (r=0.606, p&lt;0.01) and motivation (r=0.103, p&lt;0.05). Education level and motivation were the risk factors of improper CF practice (OR=4.25; 95% CI: 1.10-16.36; p=0.035and OR=1.83; 95% CI: 1.05-3.16; p=0.031, respectively). Conclusion: Maternal knowledge, attitude, and motivation of children aged 6-23 months in Aceh were still poor, shown by improper CF practice. Therefore, an effort to improve nutrition education, particularly by health personnel and stakeholder, to be specific and targeted is important. ","author":[{"dropping-particle":"","family":"Ahmad","given":"Aripin","non-dropping-particle":"","parse-names":false,"suffix":""},{"dropping-particle":"","family":"Madanijah","given":"Siti","non-dropping-particle":"","parse-names":false,"suffix":""},{"dropping-particle":"","family":"Dwiriani","given":"Cesilia Meti","non-dropping-particle":"","parse-names":false,"suffix":""},{"dropping-particle":"","family":"Kolopaking","given":"Risatianti","non-dropping-particle":"","parse-names":false,"suffix":""}],"container-title":"Jurnal Gizi Klinik Indonesia","id":"ITEM-1","issue":"1","issued":{"date-parts":[["2019"]]},"page":"1","title":"Pengetahuan, sikap, motivasi ibu, dan praktik pemberian MP-ASI pada anak usia 6-23 bulan: studi formatif di Aceh","type":"article-journal","volume":"16"},"uris":["http://www.mendeley.com/documents/?uuid=65abb29a-c3da-427a-abb5-a36e5e9b818d","http://www.mendeley.com/documents/?uuid=8826f800-70d8-43d8-b329-2115c79aa01e"]}],"mendeley":{"formattedCitation":"[8]","plainTextFormattedCitation":"[8]","previouslyFormattedCitation":"[8]"},"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rPr>
        <w:t>[8]</w:t>
      </w:r>
      <w:r w:rsidRPr="0054693E">
        <w:rPr>
          <w:rFonts w:ascii="Tw Cen MT" w:hAnsi="Tw Cen MT" w:cs="Times New Roman"/>
          <w:sz w:val="24"/>
          <w:szCs w:val="24"/>
        </w:rPr>
        <w:fldChar w:fldCharType="end"/>
      </w:r>
      <w:r w:rsidRPr="0054693E">
        <w:rPr>
          <w:rFonts w:ascii="Tw Cen MT" w:hAnsi="Tw Cen MT" w:cs="Times New Roman"/>
          <w:sz w:val="24"/>
          <w:szCs w:val="24"/>
        </w:rPr>
        <w:t xml:space="preserve">. </w:t>
      </w:r>
    </w:p>
    <w:p w14:paraId="43A4F412" w14:textId="30C260E5" w:rsidR="0054693E" w:rsidRPr="0054693E" w:rsidRDefault="0054693E" w:rsidP="00667F2E">
      <w:pPr>
        <w:spacing w:after="0" w:line="240" w:lineRule="auto"/>
        <w:jc w:val="both"/>
        <w:rPr>
          <w:rFonts w:ascii="Tw Cen MT" w:hAnsi="Tw Cen MT" w:cs="Times New Roman"/>
          <w:sz w:val="24"/>
          <w:szCs w:val="24"/>
        </w:rPr>
      </w:pPr>
      <w:r w:rsidRPr="0054693E">
        <w:rPr>
          <w:rFonts w:ascii="Tw Cen MT" w:hAnsi="Tw Cen MT" w:cs="Times New Roman"/>
          <w:sz w:val="24"/>
          <w:szCs w:val="24"/>
        </w:rPr>
        <w:t>Menurut WHO</w:t>
      </w:r>
      <w:r w:rsidRPr="0054693E">
        <w:rPr>
          <w:rFonts w:ascii="Tw Cen MT" w:hAnsi="Tw Cen MT" w:cs="Times New Roman"/>
          <w:sz w:val="24"/>
          <w:szCs w:val="24"/>
          <w:lang w:val="id-ID"/>
        </w:rPr>
        <w:t xml:space="preserve"> (2003)</w:t>
      </w:r>
      <w:r w:rsidRPr="0054693E">
        <w:rPr>
          <w:rFonts w:ascii="Tw Cen MT" w:hAnsi="Tw Cen MT" w:cs="Times New Roman"/>
          <w:sz w:val="24"/>
          <w:szCs w:val="24"/>
        </w:rPr>
        <w:t xml:space="preserve">, ada 6 aspek yang perlu diperhatikan dalam praktik pemberian MP-ASI yaitu respon/sikap anak terhadap makanan yang diberikan, </w:t>
      </w:r>
      <w:r w:rsidRPr="0054693E">
        <w:rPr>
          <w:rFonts w:ascii="Tw Cen MT" w:hAnsi="Tw Cen MT" w:cs="Times New Roman"/>
          <w:i/>
          <w:iCs/>
          <w:sz w:val="24"/>
          <w:szCs w:val="24"/>
        </w:rPr>
        <w:t xml:space="preserve">hygiene </w:t>
      </w:r>
      <w:r w:rsidRPr="0054693E">
        <w:rPr>
          <w:rFonts w:ascii="Tw Cen MT" w:hAnsi="Tw Cen MT" w:cs="Times New Roman"/>
          <w:sz w:val="24"/>
          <w:szCs w:val="24"/>
        </w:rPr>
        <w:t>dan sanitasi dalam pengolahan dan penyajian, jumlah porsi yang diberikan, konsistensi makanan, frekuensi pemberian dan kandungan energi, variasi bahan makanan serta usia awal pemberian MP-ASI.</w:t>
      </w:r>
      <w:r w:rsidRPr="0054693E">
        <w:rPr>
          <w:rFonts w:ascii="Tw Cen MT" w:hAnsi="Tw Cen MT" w:cs="Times New Roman"/>
          <w:sz w:val="24"/>
          <w:szCs w:val="24"/>
          <w:lang w:val="id-ID"/>
        </w:rPr>
        <w:t xml:space="preserve"> </w:t>
      </w:r>
      <w:r w:rsidRPr="0054693E">
        <w:rPr>
          <w:rFonts w:ascii="Tw Cen MT" w:hAnsi="Tw Cen MT" w:cs="Times New Roman"/>
          <w:sz w:val="24"/>
          <w:szCs w:val="24"/>
        </w:rPr>
        <w:t>Waktu pemberian MP-ASI berhubungan dengan kejadian stunting anak usia 6-23 bulan</w:t>
      </w:r>
      <w:r w:rsidRPr="0054693E">
        <w:rPr>
          <w:rFonts w:ascii="Tw Cen MT" w:hAnsi="Tw Cen MT" w:cs="Times New Roman"/>
          <w:sz w:val="24"/>
          <w:szCs w:val="24"/>
        </w:rPr>
        <w:fldChar w:fldCharType="begin" w:fldLock="1"/>
      </w:r>
      <w:r w:rsidR="006D647E">
        <w:rPr>
          <w:rFonts w:ascii="Tw Cen MT" w:hAnsi="Tw Cen MT" w:cs="Times New Roman"/>
          <w:sz w:val="24"/>
          <w:szCs w:val="24"/>
        </w:rPr>
        <w:instrText>ADDIN CSL_CITATION {"citationItems":[{"id":"ITEM-1","itemData":{"DOI":"10.21927/ijnd.2016.4(2).105-111","ISSN":"2303-3045","abstract":"&lt;p&gt;&lt;strong&gt;ABSTRACT&lt;/strong&gt;&lt;/p&gt;&lt;p&gt;&lt;em&gt;&lt;strong&gt;Background&lt;/strong&gt;: Stunting in children 6-23 months old was not directly realized and can be looked after they are 2 years old. Almost 18.08% in District Bantul suffered from stunting. Stunting in children 6-23 months, may be correlated with the first time of complementary feeding introduction and inadequate intake of nutrients (energy and protein).&lt;/em&gt;&lt;/p&gt;&lt;p&gt;&lt;em&gt;&lt;strong&gt;Objectives&lt;/strong&gt;: To know the association between time of complementary feeding introduction, energy and protein intake with stunting in children 6-23 months old in Sedayu.&lt;/em&gt;&lt;/p&gt;&lt;p&gt;&lt;em&gt;&lt;strong&gt;Methods&lt;/strong&gt;: This was an observational study with cross sectional design. Research locations was in District of Sedayu, Bantul, Yogyakarta.The subject of study was children 6-23 months old in Sedayu. Samples were 190 children aged 6-23 months selected by using technique probability proportional to size (pps). The status of stunting in children was measured based on body length/age and used to analyze the risk of complementary feeding with stunting.&lt;/em&gt;&lt;/p&gt;&lt;p&gt;&lt;em&gt;&lt;strong&gt;Results&lt;/strong&gt;: The results of the analysis bivariat showed that early complementary feeding was significantly associated with stunting (OR=2.867, 95% CI:1.453-5.656). Intake of energy and proteins had no association with stunting (p=0.005).&lt;/em&gt;&lt;/p&gt;&lt;p&gt;&lt;em&gt;&lt;strong&gt;Conclusions&lt;/strong&gt;: There were association between time of complementary feeding introduction with stunting. Intake of energy and protein were not risk factors of stunting in children aged 6-23 months in Sedayu Subdistrict, Bantul, Yogyakarta.&lt;/em&gt;&lt;/p&gt;&lt;p&gt;&lt;strong&gt;KEYWORDS&lt;/strong&gt;&lt;em&gt;: complementary feeding, intake of energy, intake of protein, stunting&lt;/em&gt;&lt;/p&gt;&lt;p&gt;&lt;strong&gt;ABSTRACT&lt;/strong&gt;&lt;/p&gt;&lt;p&gt;&lt;em&gt;&lt;strong&gt;Latar belakang&lt;/strong&gt;: Terjadinya stunting pada baduta seringkali tidak disadari, dan setelah dua tahun baru terlihat ternyata balita tersebut pendek. Sebesar 18,08% balita di Kabupaten Bantul menderita stunting. Penyebab terjadinya stunting pada anak usia 6-23 bulan erat kaitannya dengan waktu pertama pemberian&lt;/em&gt;&lt;br /&gt;&lt;em&gt;makanan pendamping ASI (MP-ASI) serta asupan zat gizi (energi dan protein) pada makanan yang kurang memadai.&lt;/em&gt;&lt;/p&gt;&lt;p&gt;&lt;em&gt;&lt;strong&gt;Tujuan&lt;/strong&gt;: Mengetahui hubungan antara waktu memulai pemberian serta jumlah asupan energi dan protein dari MP-ASI dengan kejadian stunting pada anak usia 6-23 bulan di Kecamatan Sedayu.&lt;/em&gt;&lt;/p&gt;&lt;p&gt;&lt;em&gt;&lt;strong&gt;Metode&lt;/strong&gt;: Jenis penelitian adal…","author":[{"dropping-particle":"","family":"Khasanah","given":"Dwi Puji","non-dropping-particle":"","parse-names":false,"suffix":""},{"dropping-particle":"","family":"Hadi","given":"Hamam","non-dropping-particle":"","parse-names":false,"suffix":""},{"dropping-particle":"","family":"Paramashanti","given":"Bunga Astria","non-dropping-particle":"","parse-names":false,"suffix":""}],"container-title":"Jurnal Gizi dan Dietetik Indonesia (Indonesian Journal of Nutrition and Dietetics)","id":"ITEM-1","issue":"2","issued":{"date-parts":[["2016"]]},"page":"105","title":"Waktu pemberian makanan pendamping ASI (MP-ASI) berhubungan dengan kejadian stunting anak usia 6-23 bulan di Kecamatan Sedayu","type":"article-journal","volume":"4"},"uris":["http://www.mendeley.com/documents/?uuid=df56a8da-20aa-4cef-852f-fdd1ede4db8f","http://www.mendeley.com/documents/?uuid=e9118805-a6ee-4f92-a579-08a7a91fa493"]}],"mendeley":{"formattedCitation":"[9]","plainTextFormattedCitation":"[9]","previouslyFormattedCitation":"[9]"},"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rPr>
        <w:t>[9]</w:t>
      </w:r>
      <w:r w:rsidRPr="0054693E">
        <w:rPr>
          <w:rFonts w:ascii="Tw Cen MT" w:hAnsi="Tw Cen MT" w:cs="Times New Roman"/>
          <w:sz w:val="24"/>
          <w:szCs w:val="24"/>
        </w:rPr>
        <w:fldChar w:fldCharType="end"/>
      </w:r>
      <w:r w:rsidRPr="0054693E">
        <w:rPr>
          <w:rFonts w:ascii="Tw Cen MT" w:hAnsi="Tw Cen MT" w:cs="Times New Roman"/>
          <w:sz w:val="24"/>
          <w:szCs w:val="24"/>
        </w:rPr>
        <w:t xml:space="preserve">. Anak yang mendapatkan MP-ASI dini berisiko 18 kali lebih besar untuk mengalami </w:t>
      </w:r>
      <w:r w:rsidRPr="0054693E">
        <w:rPr>
          <w:rFonts w:ascii="Tw Cen MT" w:hAnsi="Tw Cen MT" w:cs="Times New Roman"/>
          <w:i/>
          <w:iCs/>
          <w:sz w:val="24"/>
          <w:szCs w:val="24"/>
        </w:rPr>
        <w:t>stunting</w:t>
      </w:r>
      <w:r w:rsidRPr="0054693E">
        <w:rPr>
          <w:rFonts w:ascii="Tw Cen MT" w:hAnsi="Tw Cen MT" w:cs="Times New Roman"/>
          <w:sz w:val="24"/>
          <w:szCs w:val="24"/>
        </w:rPr>
        <w:fldChar w:fldCharType="begin" w:fldLock="1"/>
      </w:r>
      <w:r w:rsidR="006D647E">
        <w:rPr>
          <w:rFonts w:ascii="Tw Cen MT" w:hAnsi="Tw Cen MT" w:cs="Times New Roman"/>
          <w:sz w:val="24"/>
          <w:szCs w:val="24"/>
        </w:rPr>
        <w:instrText>ADDIN CSL_CITATION {"citationItems":[{"id":"ITEM-1","itemData":{"ISSN":"2540-8844","abstract":"Latar Belakang Stunting atau perawakan pendek merupakan kondisi terhambatnya pertumbuhan tubuh akibat salah satu bentuk kekurangan gizi yang ditandai dengan tinggi badan menurut umur di bawah standar deviasi (&lt;-2SD) dengan referensi World Health Organization (WHO) tahun 2006. Tujuan Menganalisis peran pemberian makanan pendamping air susu ibu dini sebagai faktor risiko kejadian stunting pada anak usia 2-3 tahun. Metode Penelitian analitik observasional dengan rancangan penelitian kasus-kontrol. Sampel terdiri dari 104 anak umur 2-3 tahun di wilayah kerja Puskesmas Rowosari Kota Semarang selama periode Maret-Agustus 2017. Uji statistik menggunakan uji komparatif Chi-square . Hasil Berdasarkan 104 subjek kasus-kontrol di wilayah Puskesmas Rowosari Semarang, didapatkan hubungan bermakna pada pemberian MP-ASI dini ( p =0,000). Hubungan tidak bermakna didapatkan pada jenis MP-ASI ( p =0,680), konsistensi MP-ASI ( p= 0,290), pendapatan orang tua ( p= 1,000). Kesimpulan Pada penelitian ini terdapat hubungan yang signifikan pada variabel pemberian MP-ASI dini terhadap stunting . Selain itu terdapat hubungan yang tidak signifikan pada variabel jenis MP-ASI, konsistensi MP-ASI, dan pendapatan orang tua.","author":[{"dropping-particle":"","family":"Prihutama","given":"Noverian Yoshua","non-dropping-particle":"","parse-names":false,"suffix":""},{"dropping-particle":"","family":"Rahmadi","given":"Farid Agung","non-dropping-particle":"","parse-names":false,"suffix":""},{"dropping-particle":"","family":"Hardaningsih","given":"Galuh","non-dropping-particle":"","parse-names":false,"suffix":""}],"container-title":"Jurnal Kedokteran Diponegoro","id":"ITEM-1","issue":"2","issued":{"date-parts":[["2018"]]},"page":"1419-1430","title":"Pemberian Makanan Pendamping Asi Dini Sebagai Faktor Risiko Kejadian Stunting Pada Anak Usia 2-3 Tahun","type":"article-journal","volume":"7"},"uris":["http://www.mendeley.com/documents/?uuid=b2992028-ff95-4fac-83f5-7d757d2346d3","http://www.mendeley.com/documents/?uuid=df87d372-1c9a-4236-9c7e-fbe7ba7b0fb1"]}],"mendeley":{"formattedCitation":"[10]","plainTextFormattedCitation":"[10]","previouslyFormattedCitation":"[10]"},"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rPr>
        <w:t>[10]</w:t>
      </w:r>
      <w:r w:rsidRPr="0054693E">
        <w:rPr>
          <w:rFonts w:ascii="Tw Cen MT" w:hAnsi="Tw Cen MT" w:cs="Times New Roman"/>
          <w:sz w:val="24"/>
          <w:szCs w:val="24"/>
        </w:rPr>
        <w:fldChar w:fldCharType="end"/>
      </w:r>
      <w:r w:rsidRPr="0054693E">
        <w:rPr>
          <w:rFonts w:ascii="Tw Cen MT" w:hAnsi="Tw Cen MT" w:cs="Times New Roman"/>
          <w:sz w:val="24"/>
          <w:szCs w:val="24"/>
        </w:rPr>
        <w:t>. Kuantitas MP-ASI yang rendah dipengaruhi oleh faktor ibu yang tidak memperhatikan porsi yang dikonsumsi anak dan rendahnya rata-rata asupan zat gizi makro.</w:t>
      </w:r>
    </w:p>
    <w:p w14:paraId="2A342704" w14:textId="5AD95658" w:rsidR="0054693E" w:rsidRPr="0054693E" w:rsidRDefault="0054693E" w:rsidP="00667F2E">
      <w:pPr>
        <w:spacing w:after="0" w:line="240" w:lineRule="auto"/>
        <w:jc w:val="both"/>
        <w:rPr>
          <w:rFonts w:ascii="Tw Cen MT" w:hAnsi="Tw Cen MT" w:cs="Times New Roman"/>
          <w:sz w:val="24"/>
          <w:szCs w:val="24"/>
        </w:rPr>
      </w:pPr>
      <w:r w:rsidRPr="0054693E">
        <w:rPr>
          <w:rFonts w:ascii="Tw Cen MT" w:hAnsi="Tw Cen MT" w:cs="Times New Roman"/>
          <w:sz w:val="24"/>
          <w:szCs w:val="24"/>
        </w:rPr>
        <w:t xml:space="preserve">Kabupaten Kampar merupakan </w:t>
      </w:r>
      <w:r w:rsidRPr="0054693E">
        <w:rPr>
          <w:rFonts w:ascii="Tw Cen MT" w:hAnsi="Tw Cen MT" w:cs="Times New Roman"/>
          <w:sz w:val="24"/>
          <w:szCs w:val="24"/>
          <w:lang w:val="en-ID"/>
        </w:rPr>
        <w:t xml:space="preserve">penyumbang terbesar produksi ikan budidaya air tawar di Provinsi Riau khususnya ikan patin. Data Badan Pusat Statistik Provinsi Riau menyebutkan bahwa produksi ikan patin Kabupaten Kampar tahun 2020 sebesar 21.549 ton. Ikan patin sendiri mengandung 17 g protein dalam 100 g bahan </w:t>
      </w:r>
      <w:r w:rsidRPr="0054693E">
        <w:rPr>
          <w:rFonts w:ascii="Tw Cen MT" w:hAnsi="Tw Cen MT" w:cs="Times New Roman"/>
          <w:sz w:val="24"/>
          <w:szCs w:val="24"/>
          <w:lang w:val="en-ID"/>
        </w:rPr>
        <w:fldChar w:fldCharType="begin" w:fldLock="1"/>
      </w:r>
      <w:r w:rsidR="006D647E">
        <w:rPr>
          <w:rFonts w:ascii="Tw Cen MT" w:hAnsi="Tw Cen MT" w:cs="Times New Roman"/>
          <w:sz w:val="24"/>
          <w:szCs w:val="24"/>
          <w:lang w:val="en-ID"/>
        </w:rPr>
        <w:instrText>ADDIN CSL_CITATION {"citationItems":[{"id":"ITEM-1","itemData":{"ISBN":"9786024164072","abstract":"Indonesian food composition table.","author":[{"dropping-particle":"","family":"Direktorat Jendral Kesehatan Masyarakat","given":"Direktorat Gizi Masyarakat","non-dropping-particle":"","parse-names":false,"suffix":""}],"container-title":"Kementerian Kesehatan Republik Indonesia","id":"ITEM-1","issued":{"date-parts":[["2017"]]},"number-of-pages":"1-135","title":"Tabel Komposisi Pangan Indoensia 2017","type":"book"},"uris":["http://www.mendeley.com/documents/?uuid=31a290dd-e2d0-4a94-a68f-2d612e7fbaeb","http://www.mendeley.com/documents/?uuid=160e76c6-50bc-4319-b371-847aa6799b54"]}],"mendeley":{"formattedCitation":"[11]","plainTextFormattedCitation":"[11]","previouslyFormattedCitation":"[11]"},"properties":{"noteIndex":0},"schema":"https://github.com/citation-style-language/schema/raw/master/csl-citation.json"}</w:instrText>
      </w:r>
      <w:r w:rsidRPr="0054693E">
        <w:rPr>
          <w:rFonts w:ascii="Tw Cen MT" w:hAnsi="Tw Cen MT" w:cs="Times New Roman"/>
          <w:sz w:val="24"/>
          <w:szCs w:val="24"/>
          <w:lang w:val="en-ID"/>
        </w:rPr>
        <w:fldChar w:fldCharType="separate"/>
      </w:r>
      <w:r w:rsidR="00394A51" w:rsidRPr="00394A51">
        <w:rPr>
          <w:rFonts w:ascii="Tw Cen MT" w:hAnsi="Tw Cen MT" w:cs="Times New Roman"/>
          <w:noProof/>
          <w:sz w:val="24"/>
          <w:szCs w:val="24"/>
          <w:lang w:val="en-ID"/>
        </w:rPr>
        <w:t>[11]</w:t>
      </w:r>
      <w:r w:rsidRPr="0054693E">
        <w:rPr>
          <w:rFonts w:ascii="Tw Cen MT" w:hAnsi="Tw Cen MT" w:cs="Times New Roman"/>
          <w:sz w:val="24"/>
          <w:szCs w:val="24"/>
          <w:lang w:val="en-ID"/>
        </w:rPr>
        <w:fldChar w:fldCharType="end"/>
      </w:r>
      <w:r w:rsidRPr="0054693E">
        <w:rPr>
          <w:rFonts w:ascii="Tw Cen MT" w:hAnsi="Tw Cen MT" w:cs="Times New Roman"/>
          <w:sz w:val="24"/>
          <w:szCs w:val="24"/>
          <w:lang w:val="en-ID"/>
        </w:rPr>
        <w:t xml:space="preserve">. Walaupun memiliki sumber daya berupa bahan pangan sumber protein, Kabupaten Kampar sendiri memiliki prevalensi balita stunting yang tinggi. Sejak tahun 2019 hingga 2021, Kampar selalu masuk dalam lokus penurunan stunting. Prevalensi balita stunting di Kampar tahun 2021 sebesar 25,7% dan menurun di tahun 2022 menjadi 14,5% </w:t>
      </w:r>
      <w:r w:rsidRPr="0054693E">
        <w:rPr>
          <w:rFonts w:ascii="Tw Cen MT" w:hAnsi="Tw Cen MT" w:cs="Times New Roman"/>
          <w:sz w:val="24"/>
          <w:szCs w:val="24"/>
          <w:lang w:val="en-ID"/>
        </w:rPr>
        <w:fldChar w:fldCharType="begin" w:fldLock="1"/>
      </w:r>
      <w:r w:rsidR="006D647E">
        <w:rPr>
          <w:rFonts w:ascii="Tw Cen MT" w:hAnsi="Tw Cen MT" w:cs="Times New Roman"/>
          <w:sz w:val="24"/>
          <w:szCs w:val="24"/>
          <w:lang w:val="en-ID"/>
        </w:rPr>
        <w:instrText>ADDIN CSL_CITATION {"citationItems":[{"id":"ITEM-1","itemData":{"author":[{"dropping-particle":"","family":"Kementerian Kesehatan","given":"","non-dropping-particle":"","parse-names":false,"suffix":""}],"id":"ITEM-1","issued":{"date-parts":[["2021"]]},"title":"Hasil Studi Status Gizi Indonesia (SSGI) Kabupaten/Kota tahun 2021","type":"report"},"uris":["http://www.mendeley.com/documents/?uuid=81e27025-58ee-4bd7-a1a2-b0269cb693cb","http://www.mendeley.com/documents/?uuid=dabf17b6-2c67-49a9-837a-59c605d41be9"]}],"mendeley":{"formattedCitation":"[12]","plainTextFormattedCitation":"[12]","previouslyFormattedCitation":"[12]"},"properties":{"noteIndex":0},"schema":"https://github.com/citation-style-language/schema/raw/master/csl-citation.json"}</w:instrText>
      </w:r>
      <w:r w:rsidRPr="0054693E">
        <w:rPr>
          <w:rFonts w:ascii="Tw Cen MT" w:hAnsi="Tw Cen MT" w:cs="Times New Roman"/>
          <w:sz w:val="24"/>
          <w:szCs w:val="24"/>
          <w:lang w:val="en-ID"/>
        </w:rPr>
        <w:fldChar w:fldCharType="separate"/>
      </w:r>
      <w:r w:rsidR="00394A51" w:rsidRPr="00394A51">
        <w:rPr>
          <w:rFonts w:ascii="Tw Cen MT" w:hAnsi="Tw Cen MT" w:cs="Times New Roman"/>
          <w:noProof/>
          <w:sz w:val="24"/>
          <w:szCs w:val="24"/>
          <w:lang w:val="en-ID"/>
        </w:rPr>
        <w:t>[12]</w:t>
      </w:r>
      <w:r w:rsidRPr="0054693E">
        <w:rPr>
          <w:rFonts w:ascii="Tw Cen MT" w:hAnsi="Tw Cen MT" w:cs="Times New Roman"/>
          <w:sz w:val="24"/>
          <w:szCs w:val="24"/>
          <w:lang w:val="en-ID"/>
        </w:rPr>
        <w:fldChar w:fldCharType="end"/>
      </w:r>
      <w:r w:rsidRPr="0054693E">
        <w:rPr>
          <w:rFonts w:ascii="Tw Cen MT" w:hAnsi="Tw Cen MT" w:cs="Times New Roman"/>
          <w:sz w:val="24"/>
          <w:szCs w:val="24"/>
          <w:lang w:val="en-ID"/>
        </w:rPr>
        <w:t xml:space="preserve">. </w:t>
      </w:r>
      <w:r w:rsidRPr="0054693E">
        <w:rPr>
          <w:rFonts w:ascii="Tw Cen MT" w:eastAsia="Times New Roman" w:hAnsi="Tw Cen MT" w:cs="Times New Roman"/>
          <w:sz w:val="24"/>
          <w:szCs w:val="24"/>
        </w:rPr>
        <w:t>Tujuan penelitian ini adalah</w:t>
      </w:r>
      <w:r w:rsidRPr="0054693E">
        <w:rPr>
          <w:rFonts w:ascii="Tw Cen MT" w:eastAsia="Times New Roman" w:hAnsi="Tw Cen MT" w:cs="Times New Roman"/>
          <w:sz w:val="24"/>
          <w:szCs w:val="24"/>
          <w:lang w:val="id-ID"/>
        </w:rPr>
        <w:t xml:space="preserve"> untuk </w:t>
      </w:r>
      <w:r w:rsidRPr="0054693E">
        <w:rPr>
          <w:rFonts w:ascii="Tw Cen MT" w:hAnsi="Tw Cen MT" w:cs="Times New Roman"/>
          <w:sz w:val="24"/>
          <w:szCs w:val="24"/>
          <w:lang w:val="id-ID"/>
        </w:rPr>
        <w:t>m</w:t>
      </w:r>
      <w:r w:rsidRPr="0054693E">
        <w:rPr>
          <w:rFonts w:ascii="Tw Cen MT" w:hAnsi="Tw Cen MT" w:cs="Times New Roman"/>
          <w:sz w:val="24"/>
          <w:szCs w:val="24"/>
        </w:rPr>
        <w:t>engetahui hubungan praktik pemberian MP ASI dan kejadian stunting di Kabupaten Kampar.</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0744B910" w14:textId="77777777" w:rsidR="0054693E" w:rsidRPr="0054693E" w:rsidRDefault="0054693E" w:rsidP="0054693E">
      <w:pPr>
        <w:spacing w:after="0" w:line="240" w:lineRule="auto"/>
        <w:jc w:val="both"/>
        <w:rPr>
          <w:rFonts w:ascii="Tw Cen MT" w:eastAsia="Times New Roman" w:hAnsi="Tw Cen MT" w:cs="Times New Roman"/>
          <w:sz w:val="24"/>
          <w:szCs w:val="24"/>
        </w:rPr>
      </w:pPr>
      <w:r w:rsidRPr="0054693E">
        <w:rPr>
          <w:rFonts w:ascii="Tw Cen MT" w:hAnsi="Tw Cen MT" w:cs="Times New Roman"/>
          <w:color w:val="000000"/>
          <w:sz w:val="24"/>
          <w:szCs w:val="24"/>
        </w:rPr>
        <w:t xml:space="preserve">Jenis </w:t>
      </w:r>
      <w:r w:rsidRPr="0054693E">
        <w:rPr>
          <w:rFonts w:ascii="Tw Cen MT" w:hAnsi="Tw Cen MT" w:cs="Times New Roman"/>
          <w:sz w:val="24"/>
          <w:szCs w:val="24"/>
        </w:rPr>
        <w:t xml:space="preserve">penelitian ini adalah deskriptif dengan desain </w:t>
      </w:r>
      <w:r w:rsidRPr="0054693E">
        <w:rPr>
          <w:rFonts w:ascii="Tw Cen MT" w:hAnsi="Tw Cen MT" w:cs="Times New Roman"/>
          <w:i/>
          <w:sz w:val="24"/>
          <w:szCs w:val="24"/>
        </w:rPr>
        <w:t>cross sectional</w:t>
      </w:r>
      <w:r w:rsidRPr="0054693E">
        <w:rPr>
          <w:rFonts w:ascii="Tw Cen MT" w:hAnsi="Tw Cen MT" w:cs="Times New Roman"/>
          <w:sz w:val="24"/>
          <w:szCs w:val="24"/>
        </w:rPr>
        <w:t xml:space="preserve"> di wilayah kerja Puskesmas Bangkinang Kota Kabupaten Kampar.</w:t>
      </w:r>
      <w:r w:rsidRPr="0054693E">
        <w:rPr>
          <w:rFonts w:ascii="Tw Cen MT" w:hAnsi="Tw Cen MT" w:cs="Times New Roman"/>
          <w:sz w:val="24"/>
          <w:szCs w:val="24"/>
          <w:lang w:val="id-ID"/>
        </w:rPr>
        <w:t xml:space="preserve"> </w:t>
      </w:r>
      <w:r w:rsidRPr="0054693E">
        <w:rPr>
          <w:rFonts w:ascii="Tw Cen MT" w:hAnsi="Tw Cen MT" w:cs="Times New Roman"/>
          <w:sz w:val="24"/>
          <w:szCs w:val="24"/>
        </w:rPr>
        <w:t xml:space="preserve">Populasi penelitian ini adalah balita usia 6-23 bulan dengan </w:t>
      </w:r>
      <w:r w:rsidRPr="0054693E">
        <w:rPr>
          <w:rFonts w:ascii="Tw Cen MT" w:eastAsia="Times New Roman" w:hAnsi="Tw Cen MT" w:cs="Times New Roman"/>
          <w:sz w:val="24"/>
          <w:szCs w:val="24"/>
        </w:rPr>
        <w:t xml:space="preserve">metode </w:t>
      </w:r>
      <w:r w:rsidRPr="0054693E">
        <w:rPr>
          <w:rFonts w:ascii="Tw Cen MT" w:eastAsia="Times New Roman" w:hAnsi="Tw Cen MT" w:cs="Times New Roman"/>
          <w:i/>
          <w:iCs/>
          <w:sz w:val="24"/>
          <w:szCs w:val="24"/>
        </w:rPr>
        <w:t xml:space="preserve">sampling </w:t>
      </w:r>
      <w:r w:rsidRPr="0054693E">
        <w:rPr>
          <w:rFonts w:ascii="Tw Cen MT" w:eastAsia="Times New Roman" w:hAnsi="Tw Cen MT" w:cs="Times New Roman"/>
          <w:sz w:val="24"/>
          <w:szCs w:val="24"/>
        </w:rPr>
        <w:t xml:space="preserve">adalah </w:t>
      </w:r>
      <w:r w:rsidRPr="0054693E">
        <w:rPr>
          <w:rFonts w:ascii="Tw Cen MT" w:eastAsia="Times New Roman" w:hAnsi="Tw Cen MT" w:cs="Times New Roman"/>
          <w:i/>
          <w:iCs/>
          <w:sz w:val="24"/>
          <w:szCs w:val="24"/>
        </w:rPr>
        <w:t xml:space="preserve">proportionate stratified random sampling, </w:t>
      </w:r>
      <w:r w:rsidRPr="0054693E">
        <w:rPr>
          <w:rFonts w:ascii="Tw Cen MT" w:eastAsia="Times New Roman" w:hAnsi="Tw Cen MT" w:cs="Times New Roman"/>
          <w:sz w:val="24"/>
          <w:szCs w:val="24"/>
        </w:rPr>
        <w:t xml:space="preserve">dengan mengambil sampel berdasarkan proporsi masing-masing desa di wilayah kerja puskesmas tersebut. Kriteria inklusi pada penelitian ini adalah bayi/balita berusia 6-23 bulan, terdaftar atau teregistrasi sebagai penduduk tetap di Kabupaten Kampar (dilihat dari kepemilikan KK) dan ibu bayi/balita bersedia menjadi responden dengan menandatangani </w:t>
      </w:r>
      <w:r w:rsidRPr="0054693E">
        <w:rPr>
          <w:rFonts w:ascii="Tw Cen MT" w:eastAsia="Times New Roman" w:hAnsi="Tw Cen MT" w:cs="Times New Roman"/>
          <w:i/>
          <w:iCs/>
          <w:sz w:val="24"/>
          <w:szCs w:val="24"/>
        </w:rPr>
        <w:t xml:space="preserve">informed consent, </w:t>
      </w:r>
      <w:r w:rsidRPr="0054693E">
        <w:rPr>
          <w:rFonts w:ascii="Tw Cen MT" w:eastAsia="Times New Roman" w:hAnsi="Tw Cen MT" w:cs="Times New Roman"/>
          <w:sz w:val="24"/>
          <w:szCs w:val="24"/>
        </w:rPr>
        <w:t xml:space="preserve">sedangkan kriteria eksklusi adalah bayi/balita yang mengalami sakit (penyakit infeksi) yang berpengaruh terhadap pemberian makanan (dalam kurun waktu satu minggu), bayi/balita berkebutuhan khusus dan cacat fisik, pindah tempat tinggal pada saat pengambilan data dan ibu bayi/balita yang mengundurkan diri saat penelitian masih berlangsung. Jumlah sampel yang diperoleh sebesar 100 balita. Indeks antropometri PB/U menggunakan aplikasi </w:t>
      </w:r>
      <w:r w:rsidRPr="0054693E">
        <w:rPr>
          <w:rFonts w:ascii="Tw Cen MT" w:eastAsia="Times New Roman" w:hAnsi="Tw Cen MT" w:cs="Times New Roman"/>
          <w:i/>
          <w:iCs/>
          <w:sz w:val="24"/>
          <w:szCs w:val="24"/>
        </w:rPr>
        <w:t xml:space="preserve">WHO Anthro </w:t>
      </w:r>
      <w:r w:rsidRPr="0054693E">
        <w:rPr>
          <w:rFonts w:ascii="Tw Cen MT" w:eastAsia="Times New Roman" w:hAnsi="Tw Cen MT" w:cs="Times New Roman"/>
          <w:sz w:val="24"/>
          <w:szCs w:val="24"/>
        </w:rPr>
        <w:t xml:space="preserve">yang diperoleh dari hasil pengukuran panjang badan menggunakan </w:t>
      </w:r>
      <w:r w:rsidRPr="0054693E">
        <w:rPr>
          <w:rFonts w:ascii="Tw Cen MT" w:eastAsia="Times New Roman" w:hAnsi="Tw Cen MT" w:cs="Times New Roman"/>
          <w:i/>
          <w:iCs/>
          <w:sz w:val="24"/>
          <w:szCs w:val="24"/>
        </w:rPr>
        <w:t>lengthboard</w:t>
      </w:r>
      <w:r w:rsidRPr="0054693E">
        <w:rPr>
          <w:rFonts w:ascii="Tw Cen MT" w:eastAsia="Times New Roman" w:hAnsi="Tw Cen MT" w:cs="Times New Roman"/>
          <w:sz w:val="24"/>
          <w:szCs w:val="24"/>
        </w:rPr>
        <w:t xml:space="preserve">. </w:t>
      </w:r>
      <w:r w:rsidRPr="0054693E">
        <w:rPr>
          <w:rFonts w:ascii="Tahoma" w:eastAsia="Times New Roman" w:hAnsi="Tahoma" w:cs="Tahoma"/>
          <w:sz w:val="24"/>
          <w:szCs w:val="24"/>
        </w:rPr>
        <w:t>﻿</w:t>
      </w:r>
      <w:r w:rsidRPr="0054693E">
        <w:rPr>
          <w:rFonts w:ascii="Tw Cen MT" w:eastAsia="Times New Roman" w:hAnsi="Tw Cen MT" w:cs="Times New Roman"/>
          <w:sz w:val="24"/>
          <w:szCs w:val="24"/>
        </w:rPr>
        <w:t xml:space="preserve">Balita dengan status gizi pendek </w:t>
      </w:r>
      <w:r w:rsidRPr="0054693E">
        <w:rPr>
          <w:rFonts w:ascii="Tw Cen MT" w:eastAsia="Times New Roman" w:hAnsi="Tw Cen MT" w:cs="Times New Roman"/>
          <w:sz w:val="24"/>
          <w:szCs w:val="24"/>
        </w:rPr>
        <w:lastRenderedPageBreak/>
        <w:t xml:space="preserve">dan sangat pendek dikategorikan ke dalam kelompok </w:t>
      </w:r>
      <w:r w:rsidRPr="0054693E">
        <w:rPr>
          <w:rFonts w:ascii="Tw Cen MT" w:eastAsia="Times New Roman" w:hAnsi="Tw Cen MT" w:cs="Times New Roman"/>
          <w:i/>
          <w:iCs/>
          <w:sz w:val="24"/>
          <w:szCs w:val="24"/>
        </w:rPr>
        <w:t>stunting</w:t>
      </w:r>
      <w:r w:rsidRPr="0054693E">
        <w:rPr>
          <w:rFonts w:ascii="Tw Cen MT" w:eastAsia="Times New Roman" w:hAnsi="Tw Cen MT" w:cs="Times New Roman"/>
          <w:sz w:val="24"/>
          <w:szCs w:val="24"/>
        </w:rPr>
        <w:t xml:space="preserve"> dan bayi dengan status gizi normal dan tinggi dikategorikan ke dalam kelompok tidak </w:t>
      </w:r>
      <w:r w:rsidRPr="0054693E">
        <w:rPr>
          <w:rFonts w:ascii="Tw Cen MT" w:eastAsia="Times New Roman" w:hAnsi="Tw Cen MT" w:cs="Times New Roman"/>
          <w:i/>
          <w:iCs/>
          <w:sz w:val="24"/>
          <w:szCs w:val="24"/>
        </w:rPr>
        <w:t>stunting</w:t>
      </w:r>
      <w:r w:rsidRPr="0054693E">
        <w:rPr>
          <w:rFonts w:ascii="Tw Cen MT" w:eastAsia="Times New Roman" w:hAnsi="Tw Cen MT" w:cs="Times New Roman"/>
          <w:sz w:val="24"/>
          <w:szCs w:val="24"/>
        </w:rPr>
        <w:t xml:space="preserve">. Praktik MP-ASI berupa usia awal pemberian, tekstur, frekuensi, porsi, variasi, </w:t>
      </w:r>
      <w:r w:rsidRPr="0054693E">
        <w:rPr>
          <w:rFonts w:ascii="Tw Cen MT" w:eastAsia="Times New Roman" w:hAnsi="Tw Cen MT" w:cs="Times New Roman"/>
          <w:i/>
          <w:iCs/>
          <w:sz w:val="24"/>
          <w:szCs w:val="24"/>
        </w:rPr>
        <w:t xml:space="preserve">hygiene </w:t>
      </w:r>
      <w:r w:rsidRPr="0054693E">
        <w:rPr>
          <w:rFonts w:ascii="Tw Cen MT" w:eastAsia="Times New Roman" w:hAnsi="Tw Cen MT" w:cs="Times New Roman"/>
          <w:sz w:val="24"/>
          <w:szCs w:val="24"/>
        </w:rPr>
        <w:t xml:space="preserve">sanitasi dan </w:t>
      </w:r>
      <w:r w:rsidRPr="0054693E">
        <w:rPr>
          <w:rFonts w:ascii="Tw Cen MT" w:eastAsia="Times New Roman" w:hAnsi="Tw Cen MT" w:cs="Times New Roman"/>
          <w:i/>
          <w:iCs/>
          <w:sz w:val="24"/>
          <w:szCs w:val="24"/>
        </w:rPr>
        <w:t xml:space="preserve">responsive feeding </w:t>
      </w:r>
      <w:r w:rsidRPr="0054693E">
        <w:rPr>
          <w:rFonts w:ascii="Tw Cen MT" w:eastAsia="Times New Roman" w:hAnsi="Tw Cen MT" w:cs="Times New Roman"/>
          <w:sz w:val="24"/>
          <w:szCs w:val="24"/>
        </w:rPr>
        <w:t xml:space="preserve">diperoleh dari hasil wawancara dan observasi menggunakan kuisioner dan lembar </w:t>
      </w:r>
      <w:r w:rsidRPr="0054693E">
        <w:rPr>
          <w:rFonts w:ascii="Tw Cen MT" w:eastAsia="Times New Roman" w:hAnsi="Tw Cen MT" w:cs="Times New Roman"/>
          <w:i/>
          <w:iCs/>
          <w:sz w:val="24"/>
          <w:szCs w:val="24"/>
        </w:rPr>
        <w:t xml:space="preserve">checklist. </w:t>
      </w:r>
      <w:r w:rsidRPr="0054693E">
        <w:rPr>
          <w:rFonts w:ascii="Tw Cen MT" w:eastAsia="Times New Roman" w:hAnsi="Tw Cen MT" w:cs="Times New Roman"/>
          <w:sz w:val="24"/>
          <w:szCs w:val="24"/>
        </w:rPr>
        <w:t xml:space="preserve"> Usia awal pemberian dikategorikan menjadi &lt;6bulan dan &gt;=6bulan. Tekstur, frekuensi, porsi, dan variasi MP-ASI yang diperoleh dari hasil wawancara dan observasi akan dibandingkan dengan pedoman MP-ASI lalu dikategorikan menjadi sesuai dan tidak sesuai. </w:t>
      </w:r>
      <w:r w:rsidRPr="0054693E">
        <w:rPr>
          <w:rFonts w:ascii="Tw Cen MT" w:eastAsia="Times New Roman" w:hAnsi="Tw Cen MT" w:cs="Times New Roman"/>
          <w:i/>
          <w:iCs/>
          <w:sz w:val="24"/>
          <w:szCs w:val="24"/>
        </w:rPr>
        <w:t xml:space="preserve">Hygiene </w:t>
      </w:r>
      <w:r w:rsidRPr="0054693E">
        <w:rPr>
          <w:rFonts w:ascii="Tw Cen MT" w:eastAsia="Times New Roman" w:hAnsi="Tw Cen MT" w:cs="Times New Roman"/>
          <w:sz w:val="24"/>
          <w:szCs w:val="24"/>
        </w:rPr>
        <w:t xml:space="preserve">sanitasi dikategorikan menjadi </w:t>
      </w:r>
      <w:r w:rsidRPr="0054693E">
        <w:rPr>
          <w:rFonts w:ascii="Tw Cen MT" w:eastAsia="Times New Roman" w:hAnsi="Tw Cen MT" w:cs="Times New Roman"/>
          <w:i/>
          <w:iCs/>
          <w:sz w:val="24"/>
          <w:szCs w:val="24"/>
        </w:rPr>
        <w:t xml:space="preserve">hygiene </w:t>
      </w:r>
      <w:r w:rsidRPr="0054693E">
        <w:rPr>
          <w:rFonts w:ascii="Tw Cen MT" w:eastAsia="Times New Roman" w:hAnsi="Tw Cen MT" w:cs="Times New Roman"/>
          <w:sz w:val="24"/>
          <w:szCs w:val="24"/>
        </w:rPr>
        <w:t xml:space="preserve">dan tidak </w:t>
      </w:r>
      <w:r w:rsidRPr="0054693E">
        <w:rPr>
          <w:rFonts w:ascii="Tw Cen MT" w:eastAsia="Times New Roman" w:hAnsi="Tw Cen MT" w:cs="Times New Roman"/>
          <w:i/>
          <w:iCs/>
          <w:sz w:val="24"/>
          <w:szCs w:val="24"/>
        </w:rPr>
        <w:t>hygiene</w:t>
      </w:r>
      <w:r w:rsidRPr="0054693E">
        <w:rPr>
          <w:rFonts w:ascii="Tw Cen MT" w:eastAsia="Times New Roman" w:hAnsi="Tw Cen MT" w:cs="Times New Roman"/>
          <w:sz w:val="24"/>
          <w:szCs w:val="24"/>
        </w:rPr>
        <w:t xml:space="preserve">, sedangkan </w:t>
      </w:r>
      <w:r w:rsidRPr="0054693E">
        <w:rPr>
          <w:rFonts w:ascii="Tw Cen MT" w:eastAsia="Times New Roman" w:hAnsi="Tw Cen MT" w:cs="Times New Roman"/>
          <w:i/>
          <w:iCs/>
          <w:sz w:val="24"/>
          <w:szCs w:val="24"/>
        </w:rPr>
        <w:t xml:space="preserve">responsive feeding </w:t>
      </w:r>
      <w:r w:rsidRPr="0054693E">
        <w:rPr>
          <w:rFonts w:ascii="Tw Cen MT" w:eastAsia="Times New Roman" w:hAnsi="Tw Cen MT" w:cs="Times New Roman"/>
          <w:sz w:val="24"/>
          <w:szCs w:val="24"/>
        </w:rPr>
        <w:t xml:space="preserve">dikategorikan menjadi responsif dan tidak responsif. Kandungan gizi MP-ASI yakni energi, karbohidrat, protein dan lemak diperoleh melalui </w:t>
      </w:r>
      <w:r w:rsidRPr="0054693E">
        <w:rPr>
          <w:rFonts w:ascii="Tw Cen MT" w:eastAsia="Times New Roman" w:hAnsi="Tw Cen MT" w:cs="Times New Roman"/>
          <w:i/>
          <w:iCs/>
          <w:sz w:val="24"/>
          <w:szCs w:val="24"/>
        </w:rPr>
        <w:t xml:space="preserve">food recall </w:t>
      </w:r>
      <w:r w:rsidRPr="0054693E">
        <w:rPr>
          <w:rFonts w:ascii="Tw Cen MT" w:eastAsia="Times New Roman" w:hAnsi="Tw Cen MT" w:cs="Times New Roman"/>
          <w:sz w:val="24"/>
          <w:szCs w:val="24"/>
        </w:rPr>
        <w:t xml:space="preserve">1x24 jam kemudian dibandingkan dengan kecukupan AKG berdasarkan kategori umur balita lalu dikategorikan menjadi adekuat dan inadekuat. </w:t>
      </w:r>
      <w:r w:rsidRPr="0054693E">
        <w:rPr>
          <w:rFonts w:ascii="Tahoma" w:eastAsia="Times New Roman" w:hAnsi="Tahoma" w:cs="Tahoma"/>
          <w:sz w:val="24"/>
          <w:szCs w:val="24"/>
        </w:rPr>
        <w:t>﻿</w:t>
      </w:r>
      <w:r w:rsidRPr="0054693E">
        <w:rPr>
          <w:rFonts w:ascii="Tw Cen MT" w:eastAsia="Times New Roman" w:hAnsi="Tw Cen MT" w:cs="Times New Roman"/>
          <w:sz w:val="24"/>
          <w:szCs w:val="24"/>
        </w:rPr>
        <w:t xml:space="preserve">Analisis data menggunakan uji </w:t>
      </w:r>
      <w:r w:rsidRPr="0054693E">
        <w:rPr>
          <w:rFonts w:ascii="Tw Cen MT" w:eastAsia="Times New Roman" w:hAnsi="Tw Cen MT" w:cs="Times New Roman"/>
          <w:i/>
          <w:iCs/>
          <w:sz w:val="24"/>
          <w:szCs w:val="24"/>
        </w:rPr>
        <w:t>chi square</w:t>
      </w:r>
      <w:r w:rsidRPr="0054693E">
        <w:rPr>
          <w:rFonts w:ascii="Tw Cen MT" w:eastAsia="Times New Roman" w:hAnsi="Tw Cen MT" w:cs="Times New Roman"/>
          <w:sz w:val="24"/>
          <w:szCs w:val="24"/>
        </w:rPr>
        <w:t xml:space="preserve"> dengan nilai p&lt;0,05 maka hasil perhitungan statistik bermakna yang berarti terdapat hubungan yang signifikan antara satu variabel dengan variabel lainnya.</w:t>
      </w:r>
    </w:p>
    <w:p w14:paraId="6A2FB3A1" w14:textId="77777777" w:rsidR="004721E3"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667F2E">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HASIL DAN </w:t>
      </w:r>
      <w:commentRangeStart w:id="2"/>
      <w:r w:rsidRPr="0096335E">
        <w:rPr>
          <w:rFonts w:ascii="Tw Cen MT" w:eastAsia="Twentieth Century" w:hAnsi="Tw Cen MT" w:cs="Twentieth Century"/>
          <w:b/>
          <w:sz w:val="24"/>
          <w:szCs w:val="24"/>
        </w:rPr>
        <w:t>PEMBAHASAN</w:t>
      </w:r>
      <w:commentRangeEnd w:id="2"/>
      <w:r w:rsidR="00B657D6">
        <w:rPr>
          <w:rStyle w:val="CommentReference"/>
        </w:rPr>
        <w:commentReference w:id="2"/>
      </w:r>
    </w:p>
    <w:p w14:paraId="78486720" w14:textId="77777777" w:rsidR="002B0F6E" w:rsidRPr="002B0F6E" w:rsidRDefault="002B0F6E" w:rsidP="00667F2E">
      <w:pPr>
        <w:tabs>
          <w:tab w:val="left" w:pos="426"/>
        </w:tabs>
        <w:spacing w:after="0" w:line="240" w:lineRule="auto"/>
        <w:jc w:val="both"/>
        <w:rPr>
          <w:rFonts w:ascii="Tw Cen MT" w:eastAsia="Twentieth Century" w:hAnsi="Tw Cen MT" w:cs="Twentieth Century"/>
          <w:b/>
          <w:bCs/>
          <w:sz w:val="24"/>
          <w:szCs w:val="24"/>
        </w:rPr>
      </w:pPr>
      <w:r w:rsidRPr="002B0F6E">
        <w:rPr>
          <w:rFonts w:ascii="Tw Cen MT" w:eastAsia="Twentieth Century" w:hAnsi="Tw Cen MT" w:cs="Twentieth Century"/>
          <w:b/>
          <w:bCs/>
          <w:sz w:val="24"/>
          <w:szCs w:val="24"/>
        </w:rPr>
        <w:t>Analisis Univariat</w:t>
      </w:r>
    </w:p>
    <w:p w14:paraId="7FE3FA66" w14:textId="02FDE785" w:rsidR="00B13BB3" w:rsidRDefault="002B0F6E" w:rsidP="00667F2E">
      <w:pPr>
        <w:tabs>
          <w:tab w:val="left" w:pos="426"/>
        </w:tabs>
        <w:spacing w:after="0" w:line="240" w:lineRule="auto"/>
        <w:jc w:val="both"/>
        <w:rPr>
          <w:rFonts w:ascii="Tw Cen MT" w:eastAsia="Twentieth Century" w:hAnsi="Tw Cen MT" w:cs="Twentieth Century"/>
          <w:sz w:val="24"/>
          <w:szCs w:val="24"/>
        </w:rPr>
      </w:pPr>
      <w:r w:rsidRPr="002B0F6E">
        <w:rPr>
          <w:rFonts w:ascii="Tw Cen MT" w:eastAsia="Twentieth Century" w:hAnsi="Tw Cen MT" w:cs="Twentieth Century"/>
          <w:sz w:val="24"/>
          <w:szCs w:val="24"/>
        </w:rPr>
        <w:tab/>
        <w:t>Pengumpulan data dilakukan terhadap 100 balita berusia 6-23 bulan di wilayah kerja Puskesmas Bangkinang Kota yang terdiri dari Desa Ridan, Desa Bangkinang, Desa Langgini dan Desa Kumantan. Karakteristik responden dapat dilihat pada Tabel 1</w:t>
      </w:r>
    </w:p>
    <w:p w14:paraId="06AA68D8" w14:textId="77777777" w:rsidR="00667F2E" w:rsidRPr="002E23D7" w:rsidRDefault="00667F2E" w:rsidP="00667F2E">
      <w:pPr>
        <w:tabs>
          <w:tab w:val="left" w:pos="426"/>
        </w:tabs>
        <w:spacing w:after="0" w:line="240" w:lineRule="auto"/>
        <w:jc w:val="both"/>
        <w:rPr>
          <w:rFonts w:ascii="Tw Cen MT" w:eastAsia="Twentieth Century" w:hAnsi="Tw Cen MT" w:cs="Twentieth Century"/>
          <w:sz w:val="24"/>
          <w:szCs w:val="24"/>
        </w:rPr>
      </w:pPr>
    </w:p>
    <w:p w14:paraId="33391136" w14:textId="6873BCE5" w:rsidR="004E128A" w:rsidRPr="00C5696F" w:rsidRDefault="002B0F6E" w:rsidP="002B0F6E">
      <w:pPr>
        <w:spacing w:after="0" w:line="240" w:lineRule="auto"/>
        <w:jc w:val="center"/>
        <w:rPr>
          <w:rFonts w:ascii="Tw Cen MT" w:hAnsi="Tw Cen MT"/>
          <w:noProof/>
          <w:sz w:val="22"/>
          <w:szCs w:val="22"/>
          <w:lang w:eastAsia="id-ID"/>
        </w:rPr>
      </w:pPr>
      <w:r w:rsidRPr="00C5696F">
        <w:rPr>
          <w:rFonts w:ascii="Tw Cen MT" w:hAnsi="Tw Cen MT"/>
          <w:noProof/>
          <w:sz w:val="22"/>
          <w:szCs w:val="22"/>
          <w:lang w:eastAsia="id-ID"/>
        </w:rPr>
        <w:t>Tabel 1. Karakteristik Responden</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856"/>
        <w:gridCol w:w="459"/>
        <w:gridCol w:w="1005"/>
      </w:tblGrid>
      <w:tr w:rsidR="002B0F6E" w:rsidRPr="002B0F6E" w14:paraId="4FEDFEDE" w14:textId="77777777" w:rsidTr="002B0F6E">
        <w:trPr>
          <w:tblHeader/>
          <w:jc w:val="center"/>
        </w:trPr>
        <w:tc>
          <w:tcPr>
            <w:tcW w:w="2856" w:type="dxa"/>
          </w:tcPr>
          <w:p w14:paraId="08571377" w14:textId="77777777" w:rsidR="002B0F6E" w:rsidRPr="002B0F6E" w:rsidRDefault="002B0F6E" w:rsidP="002B0F6E">
            <w:pPr>
              <w:jc w:val="center"/>
              <w:rPr>
                <w:rFonts w:ascii="Tw Cen MT" w:hAnsi="Tw Cen MT"/>
                <w:b/>
              </w:rPr>
            </w:pPr>
            <w:r w:rsidRPr="002B0F6E">
              <w:rPr>
                <w:rFonts w:ascii="Tw Cen MT" w:hAnsi="Tw Cen MT"/>
                <w:b/>
              </w:rPr>
              <w:t>Karakteristik Responden</w:t>
            </w:r>
          </w:p>
        </w:tc>
        <w:tc>
          <w:tcPr>
            <w:tcW w:w="459" w:type="dxa"/>
          </w:tcPr>
          <w:p w14:paraId="0F927D7F" w14:textId="77777777" w:rsidR="002B0F6E" w:rsidRPr="002B0F6E" w:rsidRDefault="002B0F6E" w:rsidP="002B0F6E">
            <w:pPr>
              <w:jc w:val="center"/>
              <w:rPr>
                <w:rFonts w:ascii="Tw Cen MT" w:hAnsi="Tw Cen MT"/>
                <w:b/>
              </w:rPr>
            </w:pPr>
            <w:r w:rsidRPr="002B0F6E">
              <w:rPr>
                <w:rFonts w:ascii="Tw Cen MT" w:hAnsi="Tw Cen MT"/>
                <w:b/>
              </w:rPr>
              <w:t>n</w:t>
            </w:r>
          </w:p>
        </w:tc>
        <w:tc>
          <w:tcPr>
            <w:tcW w:w="1005" w:type="dxa"/>
          </w:tcPr>
          <w:p w14:paraId="01E52CA2" w14:textId="77777777" w:rsidR="002B0F6E" w:rsidRPr="002B0F6E" w:rsidRDefault="002B0F6E" w:rsidP="002B0F6E">
            <w:pPr>
              <w:jc w:val="center"/>
              <w:rPr>
                <w:rFonts w:ascii="Tw Cen MT" w:hAnsi="Tw Cen MT"/>
                <w:b/>
              </w:rPr>
            </w:pPr>
            <w:r w:rsidRPr="002B0F6E">
              <w:rPr>
                <w:rFonts w:ascii="Tw Cen MT" w:hAnsi="Tw Cen MT"/>
                <w:b/>
              </w:rPr>
              <w:t>%</w:t>
            </w:r>
          </w:p>
        </w:tc>
      </w:tr>
      <w:tr w:rsidR="002B0F6E" w:rsidRPr="002B0F6E" w14:paraId="00539EDA" w14:textId="77777777" w:rsidTr="002B0F6E">
        <w:trPr>
          <w:jc w:val="center"/>
        </w:trPr>
        <w:tc>
          <w:tcPr>
            <w:tcW w:w="2856" w:type="dxa"/>
          </w:tcPr>
          <w:p w14:paraId="78577772" w14:textId="77777777" w:rsidR="002B0F6E" w:rsidRPr="002B0F6E" w:rsidRDefault="002B0F6E" w:rsidP="002B0F6E">
            <w:pPr>
              <w:rPr>
                <w:rFonts w:ascii="Tw Cen MT" w:hAnsi="Tw Cen MT"/>
                <w:b/>
              </w:rPr>
            </w:pPr>
            <w:r w:rsidRPr="002B0F6E">
              <w:rPr>
                <w:rFonts w:ascii="Tw Cen MT" w:hAnsi="Tw Cen MT"/>
                <w:b/>
              </w:rPr>
              <w:t>Umur</w:t>
            </w:r>
          </w:p>
          <w:p w14:paraId="4E8E375D" w14:textId="77777777" w:rsidR="002B0F6E" w:rsidRPr="002B0F6E" w:rsidRDefault="002B0F6E" w:rsidP="002B0F6E">
            <w:pPr>
              <w:ind w:left="360"/>
              <w:rPr>
                <w:rFonts w:ascii="Tw Cen MT" w:hAnsi="Tw Cen MT"/>
              </w:rPr>
            </w:pPr>
            <w:r w:rsidRPr="002B0F6E">
              <w:rPr>
                <w:rFonts w:ascii="Tw Cen MT" w:hAnsi="Tw Cen MT"/>
              </w:rPr>
              <w:t>21 – 25 tahun</w:t>
            </w:r>
          </w:p>
          <w:p w14:paraId="40EEDACE" w14:textId="77777777" w:rsidR="002B0F6E" w:rsidRPr="002B0F6E" w:rsidRDefault="002B0F6E" w:rsidP="002B0F6E">
            <w:pPr>
              <w:ind w:left="360"/>
              <w:rPr>
                <w:rFonts w:ascii="Tw Cen MT" w:hAnsi="Tw Cen MT"/>
              </w:rPr>
            </w:pPr>
            <w:r w:rsidRPr="002B0F6E">
              <w:rPr>
                <w:rFonts w:ascii="Tw Cen MT" w:hAnsi="Tw Cen MT"/>
              </w:rPr>
              <w:t>26 – 30 tahun</w:t>
            </w:r>
          </w:p>
          <w:p w14:paraId="264CD985" w14:textId="77777777" w:rsidR="002B0F6E" w:rsidRPr="002B0F6E" w:rsidRDefault="002B0F6E" w:rsidP="002B0F6E">
            <w:pPr>
              <w:ind w:left="360"/>
              <w:rPr>
                <w:rFonts w:ascii="Tw Cen MT" w:hAnsi="Tw Cen MT"/>
              </w:rPr>
            </w:pPr>
            <w:r w:rsidRPr="002B0F6E">
              <w:rPr>
                <w:rFonts w:ascii="Tw Cen MT" w:hAnsi="Tw Cen MT"/>
              </w:rPr>
              <w:t>31 – 35 tahun</w:t>
            </w:r>
          </w:p>
          <w:p w14:paraId="6D417E22" w14:textId="77777777" w:rsidR="002B0F6E" w:rsidRPr="002B0F6E" w:rsidRDefault="002B0F6E" w:rsidP="002B0F6E">
            <w:pPr>
              <w:ind w:left="360"/>
              <w:rPr>
                <w:rFonts w:ascii="Tw Cen MT" w:hAnsi="Tw Cen MT"/>
              </w:rPr>
            </w:pPr>
            <w:r w:rsidRPr="002B0F6E">
              <w:rPr>
                <w:rFonts w:ascii="Tw Cen MT" w:hAnsi="Tw Cen MT"/>
              </w:rPr>
              <w:t>36 – 40 tahun</w:t>
            </w:r>
          </w:p>
          <w:p w14:paraId="0490CEBF" w14:textId="77777777" w:rsidR="002B0F6E" w:rsidRPr="002B0F6E" w:rsidRDefault="002B0F6E" w:rsidP="002B0F6E">
            <w:pPr>
              <w:ind w:left="360"/>
              <w:rPr>
                <w:rFonts w:ascii="Tw Cen MT" w:hAnsi="Tw Cen MT"/>
              </w:rPr>
            </w:pPr>
            <w:r w:rsidRPr="002B0F6E">
              <w:rPr>
                <w:rFonts w:ascii="Tw Cen MT" w:hAnsi="Tw Cen MT"/>
              </w:rPr>
              <w:t>&gt;40 tahun</w:t>
            </w:r>
          </w:p>
        </w:tc>
        <w:tc>
          <w:tcPr>
            <w:tcW w:w="459" w:type="dxa"/>
          </w:tcPr>
          <w:p w14:paraId="42583A8C" w14:textId="77777777" w:rsidR="002B0F6E" w:rsidRPr="002B0F6E" w:rsidRDefault="002B0F6E" w:rsidP="002B0F6E">
            <w:pPr>
              <w:jc w:val="center"/>
              <w:rPr>
                <w:rFonts w:ascii="Tw Cen MT" w:hAnsi="Tw Cen MT"/>
              </w:rPr>
            </w:pPr>
          </w:p>
          <w:p w14:paraId="4DCAD970" w14:textId="77777777" w:rsidR="002B0F6E" w:rsidRPr="002B0F6E" w:rsidRDefault="002B0F6E" w:rsidP="002B0F6E">
            <w:pPr>
              <w:jc w:val="center"/>
              <w:rPr>
                <w:rFonts w:ascii="Tw Cen MT" w:hAnsi="Tw Cen MT"/>
              </w:rPr>
            </w:pPr>
            <w:r w:rsidRPr="002B0F6E">
              <w:rPr>
                <w:rFonts w:ascii="Tw Cen MT" w:hAnsi="Tw Cen MT"/>
              </w:rPr>
              <w:t>24</w:t>
            </w:r>
          </w:p>
          <w:p w14:paraId="7A046996" w14:textId="77777777" w:rsidR="002B0F6E" w:rsidRPr="002B0F6E" w:rsidRDefault="002B0F6E" w:rsidP="002B0F6E">
            <w:pPr>
              <w:jc w:val="center"/>
              <w:rPr>
                <w:rFonts w:ascii="Tw Cen MT" w:hAnsi="Tw Cen MT"/>
              </w:rPr>
            </w:pPr>
            <w:r w:rsidRPr="002B0F6E">
              <w:rPr>
                <w:rFonts w:ascii="Tw Cen MT" w:hAnsi="Tw Cen MT"/>
              </w:rPr>
              <w:t>35</w:t>
            </w:r>
          </w:p>
          <w:p w14:paraId="16539FC6" w14:textId="77777777" w:rsidR="002B0F6E" w:rsidRPr="002B0F6E" w:rsidRDefault="002B0F6E" w:rsidP="002B0F6E">
            <w:pPr>
              <w:jc w:val="center"/>
              <w:rPr>
                <w:rFonts w:ascii="Tw Cen MT" w:hAnsi="Tw Cen MT"/>
              </w:rPr>
            </w:pPr>
            <w:r w:rsidRPr="002B0F6E">
              <w:rPr>
                <w:rFonts w:ascii="Tw Cen MT" w:hAnsi="Tw Cen MT"/>
              </w:rPr>
              <w:t>23</w:t>
            </w:r>
          </w:p>
          <w:p w14:paraId="21252135" w14:textId="77777777" w:rsidR="002B0F6E" w:rsidRPr="002B0F6E" w:rsidRDefault="002B0F6E" w:rsidP="002B0F6E">
            <w:pPr>
              <w:jc w:val="center"/>
              <w:rPr>
                <w:rFonts w:ascii="Tw Cen MT" w:hAnsi="Tw Cen MT"/>
              </w:rPr>
            </w:pPr>
            <w:r w:rsidRPr="002B0F6E">
              <w:rPr>
                <w:rFonts w:ascii="Tw Cen MT" w:hAnsi="Tw Cen MT"/>
              </w:rPr>
              <w:t>13</w:t>
            </w:r>
          </w:p>
          <w:p w14:paraId="2877C386" w14:textId="77777777" w:rsidR="002B0F6E" w:rsidRPr="002B0F6E" w:rsidRDefault="002B0F6E" w:rsidP="002B0F6E">
            <w:pPr>
              <w:jc w:val="center"/>
              <w:rPr>
                <w:rFonts w:ascii="Tw Cen MT" w:hAnsi="Tw Cen MT"/>
                <w:b/>
              </w:rPr>
            </w:pPr>
            <w:r w:rsidRPr="002B0F6E">
              <w:rPr>
                <w:rFonts w:ascii="Tw Cen MT" w:hAnsi="Tw Cen MT"/>
              </w:rPr>
              <w:t>5</w:t>
            </w:r>
          </w:p>
        </w:tc>
        <w:tc>
          <w:tcPr>
            <w:tcW w:w="1005" w:type="dxa"/>
          </w:tcPr>
          <w:p w14:paraId="1594BA48" w14:textId="77777777" w:rsidR="002B0F6E" w:rsidRPr="002B0F6E" w:rsidRDefault="002B0F6E" w:rsidP="002B0F6E">
            <w:pPr>
              <w:jc w:val="center"/>
              <w:rPr>
                <w:rFonts w:ascii="Tw Cen MT" w:hAnsi="Tw Cen MT"/>
              </w:rPr>
            </w:pPr>
          </w:p>
          <w:p w14:paraId="05BB2464" w14:textId="77777777" w:rsidR="002B0F6E" w:rsidRPr="002B0F6E" w:rsidRDefault="002B0F6E" w:rsidP="002B0F6E">
            <w:pPr>
              <w:jc w:val="center"/>
              <w:rPr>
                <w:rFonts w:ascii="Tw Cen MT" w:hAnsi="Tw Cen MT"/>
              </w:rPr>
            </w:pPr>
            <w:r w:rsidRPr="002B0F6E">
              <w:rPr>
                <w:rFonts w:ascii="Tw Cen MT" w:hAnsi="Tw Cen MT"/>
              </w:rPr>
              <w:t>24.0</w:t>
            </w:r>
          </w:p>
          <w:p w14:paraId="776FC7B2" w14:textId="77777777" w:rsidR="002B0F6E" w:rsidRPr="002B0F6E" w:rsidRDefault="002B0F6E" w:rsidP="002B0F6E">
            <w:pPr>
              <w:jc w:val="center"/>
              <w:rPr>
                <w:rFonts w:ascii="Tw Cen MT" w:hAnsi="Tw Cen MT"/>
              </w:rPr>
            </w:pPr>
            <w:r w:rsidRPr="002B0F6E">
              <w:rPr>
                <w:rFonts w:ascii="Tw Cen MT" w:hAnsi="Tw Cen MT"/>
              </w:rPr>
              <w:t>35.0</w:t>
            </w:r>
          </w:p>
          <w:p w14:paraId="164D00C9" w14:textId="77777777" w:rsidR="002B0F6E" w:rsidRPr="002B0F6E" w:rsidRDefault="002B0F6E" w:rsidP="002B0F6E">
            <w:pPr>
              <w:jc w:val="center"/>
              <w:rPr>
                <w:rFonts w:ascii="Tw Cen MT" w:hAnsi="Tw Cen MT"/>
              </w:rPr>
            </w:pPr>
            <w:r w:rsidRPr="002B0F6E">
              <w:rPr>
                <w:rFonts w:ascii="Tw Cen MT" w:hAnsi="Tw Cen MT"/>
              </w:rPr>
              <w:t>23.0</w:t>
            </w:r>
          </w:p>
          <w:p w14:paraId="2323E215" w14:textId="77777777" w:rsidR="002B0F6E" w:rsidRPr="002B0F6E" w:rsidRDefault="002B0F6E" w:rsidP="002B0F6E">
            <w:pPr>
              <w:jc w:val="center"/>
              <w:rPr>
                <w:rFonts w:ascii="Tw Cen MT" w:hAnsi="Tw Cen MT"/>
              </w:rPr>
            </w:pPr>
            <w:r w:rsidRPr="002B0F6E">
              <w:rPr>
                <w:rFonts w:ascii="Tw Cen MT" w:hAnsi="Tw Cen MT"/>
              </w:rPr>
              <w:t>13.0</w:t>
            </w:r>
          </w:p>
          <w:p w14:paraId="32A508E9" w14:textId="77777777" w:rsidR="002B0F6E" w:rsidRPr="002B0F6E" w:rsidRDefault="002B0F6E" w:rsidP="002B0F6E">
            <w:pPr>
              <w:jc w:val="center"/>
              <w:rPr>
                <w:rFonts w:ascii="Tw Cen MT" w:hAnsi="Tw Cen MT"/>
                <w:b/>
              </w:rPr>
            </w:pPr>
            <w:r w:rsidRPr="002B0F6E">
              <w:rPr>
                <w:rFonts w:ascii="Tw Cen MT" w:hAnsi="Tw Cen MT"/>
              </w:rPr>
              <w:t>5.0</w:t>
            </w:r>
          </w:p>
        </w:tc>
      </w:tr>
      <w:tr w:rsidR="002B0F6E" w:rsidRPr="002B0F6E" w14:paraId="371667F5" w14:textId="77777777" w:rsidTr="002B0F6E">
        <w:trPr>
          <w:jc w:val="center"/>
        </w:trPr>
        <w:tc>
          <w:tcPr>
            <w:tcW w:w="2856" w:type="dxa"/>
          </w:tcPr>
          <w:p w14:paraId="2301BA42" w14:textId="77777777" w:rsidR="002B0F6E" w:rsidRPr="002B0F6E" w:rsidRDefault="002B0F6E" w:rsidP="002B0F6E">
            <w:pPr>
              <w:rPr>
                <w:rFonts w:ascii="Tw Cen MT" w:hAnsi="Tw Cen MT"/>
                <w:b/>
              </w:rPr>
            </w:pPr>
            <w:r w:rsidRPr="002B0F6E">
              <w:rPr>
                <w:rFonts w:ascii="Tw Cen MT" w:hAnsi="Tw Cen MT"/>
                <w:b/>
              </w:rPr>
              <w:t>Status Gizi Ibu Berdasarkan IMT</w:t>
            </w:r>
          </w:p>
          <w:p w14:paraId="14533E23" w14:textId="77777777" w:rsidR="002B0F6E" w:rsidRPr="002B0F6E" w:rsidRDefault="002B0F6E" w:rsidP="002B0F6E">
            <w:pPr>
              <w:ind w:left="360"/>
              <w:rPr>
                <w:rFonts w:ascii="Tw Cen MT" w:hAnsi="Tw Cen MT"/>
              </w:rPr>
            </w:pPr>
            <w:r w:rsidRPr="002B0F6E">
              <w:rPr>
                <w:rFonts w:ascii="Tw Cen MT" w:hAnsi="Tw Cen MT"/>
                <w:i/>
              </w:rPr>
              <w:t>Underweight</w:t>
            </w:r>
            <w:r w:rsidRPr="002B0F6E">
              <w:rPr>
                <w:rFonts w:ascii="Tw Cen MT" w:hAnsi="Tw Cen MT"/>
              </w:rPr>
              <w:t xml:space="preserve"> (IMT &lt;18.5 kg/m</w:t>
            </w:r>
            <w:r w:rsidRPr="002B0F6E">
              <w:rPr>
                <w:rFonts w:ascii="Tw Cen MT" w:hAnsi="Tw Cen MT"/>
                <w:vertAlign w:val="superscript"/>
              </w:rPr>
              <w:t>2</w:t>
            </w:r>
            <w:r w:rsidRPr="002B0F6E">
              <w:rPr>
                <w:rFonts w:ascii="Tw Cen MT" w:hAnsi="Tw Cen MT"/>
              </w:rPr>
              <w:t>)</w:t>
            </w:r>
          </w:p>
          <w:p w14:paraId="58838381" w14:textId="77777777" w:rsidR="002B0F6E" w:rsidRPr="002B0F6E" w:rsidRDefault="002B0F6E" w:rsidP="002B0F6E">
            <w:pPr>
              <w:ind w:left="360"/>
              <w:rPr>
                <w:rFonts w:ascii="Tw Cen MT" w:hAnsi="Tw Cen MT"/>
              </w:rPr>
            </w:pPr>
            <w:r w:rsidRPr="002B0F6E">
              <w:rPr>
                <w:rFonts w:ascii="Tw Cen MT" w:hAnsi="Tw Cen MT"/>
              </w:rPr>
              <w:t>Normal (IMT 18.5 – 22.9 kg/m</w:t>
            </w:r>
            <w:r w:rsidRPr="002B0F6E">
              <w:rPr>
                <w:rFonts w:ascii="Tw Cen MT" w:hAnsi="Tw Cen MT"/>
                <w:vertAlign w:val="superscript"/>
              </w:rPr>
              <w:t>2</w:t>
            </w:r>
            <w:r w:rsidRPr="002B0F6E">
              <w:rPr>
                <w:rFonts w:ascii="Tw Cen MT" w:hAnsi="Tw Cen MT"/>
              </w:rPr>
              <w:t>)</w:t>
            </w:r>
          </w:p>
          <w:p w14:paraId="4858CDF2" w14:textId="77777777" w:rsidR="002B0F6E" w:rsidRPr="002B0F6E" w:rsidRDefault="002B0F6E" w:rsidP="002B0F6E">
            <w:pPr>
              <w:ind w:left="360"/>
              <w:rPr>
                <w:rFonts w:ascii="Tw Cen MT" w:hAnsi="Tw Cen MT"/>
              </w:rPr>
            </w:pPr>
            <w:r w:rsidRPr="002B0F6E">
              <w:rPr>
                <w:rFonts w:ascii="Tw Cen MT" w:hAnsi="Tw Cen MT"/>
              </w:rPr>
              <w:t>Overweight (IMT 23 – 24.9 kg/m</w:t>
            </w:r>
            <w:r w:rsidRPr="002B0F6E">
              <w:rPr>
                <w:rFonts w:ascii="Tw Cen MT" w:hAnsi="Tw Cen MT"/>
                <w:vertAlign w:val="superscript"/>
              </w:rPr>
              <w:t>2</w:t>
            </w:r>
            <w:r w:rsidRPr="002B0F6E">
              <w:rPr>
                <w:rFonts w:ascii="Tw Cen MT" w:hAnsi="Tw Cen MT"/>
              </w:rPr>
              <w:t>)</w:t>
            </w:r>
          </w:p>
          <w:p w14:paraId="11E18DD7" w14:textId="77777777" w:rsidR="002B0F6E" w:rsidRPr="002B0F6E" w:rsidRDefault="002B0F6E" w:rsidP="002B0F6E">
            <w:pPr>
              <w:ind w:left="360"/>
              <w:rPr>
                <w:rFonts w:ascii="Tw Cen MT" w:hAnsi="Tw Cen MT"/>
                <w:lang w:val="en-ID"/>
              </w:rPr>
            </w:pPr>
            <w:r w:rsidRPr="002B0F6E">
              <w:rPr>
                <w:rFonts w:ascii="Tw Cen MT" w:hAnsi="Tw Cen MT"/>
                <w:lang w:val="en-ID"/>
              </w:rPr>
              <w:t>Obesitas I (IMT 25 – 29.9 kg/m</w:t>
            </w:r>
            <w:r w:rsidRPr="002B0F6E">
              <w:rPr>
                <w:rFonts w:ascii="Tw Cen MT" w:hAnsi="Tw Cen MT"/>
                <w:vertAlign w:val="superscript"/>
                <w:lang w:val="en-ID"/>
              </w:rPr>
              <w:t>2</w:t>
            </w:r>
            <w:r w:rsidRPr="002B0F6E">
              <w:rPr>
                <w:rFonts w:ascii="Tw Cen MT" w:hAnsi="Tw Cen MT"/>
                <w:lang w:val="en-ID"/>
              </w:rPr>
              <w:t>)</w:t>
            </w:r>
          </w:p>
          <w:p w14:paraId="150B2B2E" w14:textId="77777777" w:rsidR="002B0F6E" w:rsidRPr="002B0F6E" w:rsidRDefault="002B0F6E" w:rsidP="002B0F6E">
            <w:pPr>
              <w:ind w:left="360"/>
              <w:rPr>
                <w:rFonts w:ascii="Tw Cen MT" w:hAnsi="Tw Cen MT"/>
                <w:lang w:val="pt-BR"/>
              </w:rPr>
            </w:pPr>
            <w:r w:rsidRPr="002B0F6E">
              <w:rPr>
                <w:rFonts w:ascii="Tw Cen MT" w:hAnsi="Tw Cen MT"/>
                <w:lang w:val="pt-BR"/>
              </w:rPr>
              <w:t>Obesitas II (IMT ≥30 kg/m</w:t>
            </w:r>
            <w:r w:rsidRPr="002B0F6E">
              <w:rPr>
                <w:rFonts w:ascii="Tw Cen MT" w:hAnsi="Tw Cen MT"/>
                <w:vertAlign w:val="superscript"/>
                <w:lang w:val="pt-BR"/>
              </w:rPr>
              <w:t>2</w:t>
            </w:r>
            <w:r w:rsidRPr="002B0F6E">
              <w:rPr>
                <w:rFonts w:ascii="Tw Cen MT" w:hAnsi="Tw Cen MT"/>
                <w:lang w:val="pt-BR"/>
              </w:rPr>
              <w:t>)</w:t>
            </w:r>
          </w:p>
        </w:tc>
        <w:tc>
          <w:tcPr>
            <w:tcW w:w="459" w:type="dxa"/>
          </w:tcPr>
          <w:p w14:paraId="68842E6B" w14:textId="77777777" w:rsidR="002B0F6E" w:rsidRPr="002B0F6E" w:rsidRDefault="002B0F6E" w:rsidP="002B0F6E">
            <w:pPr>
              <w:jc w:val="center"/>
              <w:rPr>
                <w:rFonts w:ascii="Tw Cen MT" w:hAnsi="Tw Cen MT"/>
                <w:lang w:val="pt-BR"/>
              </w:rPr>
            </w:pPr>
          </w:p>
          <w:p w14:paraId="0F742CF2" w14:textId="77777777" w:rsidR="00667F2E" w:rsidRDefault="00667F2E" w:rsidP="002B0F6E">
            <w:pPr>
              <w:jc w:val="center"/>
              <w:rPr>
                <w:rFonts w:ascii="Tw Cen MT" w:hAnsi="Tw Cen MT"/>
              </w:rPr>
            </w:pPr>
          </w:p>
          <w:p w14:paraId="31F5AD3E" w14:textId="4DDC173C" w:rsidR="002B0F6E" w:rsidRPr="002B0F6E" w:rsidRDefault="002B0F6E" w:rsidP="002B0F6E">
            <w:pPr>
              <w:jc w:val="center"/>
              <w:rPr>
                <w:rFonts w:ascii="Tw Cen MT" w:hAnsi="Tw Cen MT"/>
              </w:rPr>
            </w:pPr>
            <w:r w:rsidRPr="002B0F6E">
              <w:rPr>
                <w:rFonts w:ascii="Tw Cen MT" w:hAnsi="Tw Cen MT"/>
              </w:rPr>
              <w:t>3</w:t>
            </w:r>
          </w:p>
          <w:p w14:paraId="74B42AAC" w14:textId="77777777" w:rsidR="00667F2E" w:rsidRDefault="00667F2E" w:rsidP="002B0F6E">
            <w:pPr>
              <w:jc w:val="center"/>
              <w:rPr>
                <w:rFonts w:ascii="Tw Cen MT" w:hAnsi="Tw Cen MT"/>
              </w:rPr>
            </w:pPr>
          </w:p>
          <w:p w14:paraId="3903EC5B" w14:textId="50B2C173" w:rsidR="002B0F6E" w:rsidRPr="002B0F6E" w:rsidRDefault="002B0F6E" w:rsidP="002B0F6E">
            <w:pPr>
              <w:jc w:val="center"/>
              <w:rPr>
                <w:rFonts w:ascii="Tw Cen MT" w:hAnsi="Tw Cen MT"/>
              </w:rPr>
            </w:pPr>
            <w:r w:rsidRPr="002B0F6E">
              <w:rPr>
                <w:rFonts w:ascii="Tw Cen MT" w:hAnsi="Tw Cen MT"/>
              </w:rPr>
              <w:t>43</w:t>
            </w:r>
          </w:p>
          <w:p w14:paraId="31691885" w14:textId="77777777" w:rsidR="00667F2E" w:rsidRDefault="00667F2E" w:rsidP="002B0F6E">
            <w:pPr>
              <w:jc w:val="center"/>
              <w:rPr>
                <w:rFonts w:ascii="Tw Cen MT" w:hAnsi="Tw Cen MT"/>
              </w:rPr>
            </w:pPr>
          </w:p>
          <w:p w14:paraId="668F27D0" w14:textId="3ED5F6C7" w:rsidR="002B0F6E" w:rsidRPr="002B0F6E" w:rsidRDefault="002B0F6E" w:rsidP="002B0F6E">
            <w:pPr>
              <w:jc w:val="center"/>
              <w:rPr>
                <w:rFonts w:ascii="Tw Cen MT" w:hAnsi="Tw Cen MT"/>
              </w:rPr>
            </w:pPr>
            <w:r w:rsidRPr="002B0F6E">
              <w:rPr>
                <w:rFonts w:ascii="Tw Cen MT" w:hAnsi="Tw Cen MT"/>
              </w:rPr>
              <w:t>29</w:t>
            </w:r>
          </w:p>
          <w:p w14:paraId="1BF60694" w14:textId="77777777" w:rsidR="00667F2E" w:rsidRDefault="00667F2E" w:rsidP="002B0F6E">
            <w:pPr>
              <w:jc w:val="center"/>
              <w:rPr>
                <w:rFonts w:ascii="Tw Cen MT" w:hAnsi="Tw Cen MT"/>
              </w:rPr>
            </w:pPr>
          </w:p>
          <w:p w14:paraId="1CF73EB7" w14:textId="27DE7332" w:rsidR="002B0F6E" w:rsidRPr="002B0F6E" w:rsidRDefault="002B0F6E" w:rsidP="002B0F6E">
            <w:pPr>
              <w:jc w:val="center"/>
              <w:rPr>
                <w:rFonts w:ascii="Tw Cen MT" w:hAnsi="Tw Cen MT"/>
              </w:rPr>
            </w:pPr>
            <w:r w:rsidRPr="002B0F6E">
              <w:rPr>
                <w:rFonts w:ascii="Tw Cen MT" w:hAnsi="Tw Cen MT"/>
              </w:rPr>
              <w:t>21</w:t>
            </w:r>
          </w:p>
          <w:p w14:paraId="5C68298A" w14:textId="77777777" w:rsidR="00667F2E" w:rsidRDefault="00667F2E" w:rsidP="002B0F6E">
            <w:pPr>
              <w:jc w:val="center"/>
              <w:rPr>
                <w:rFonts w:ascii="Tw Cen MT" w:hAnsi="Tw Cen MT"/>
              </w:rPr>
            </w:pPr>
          </w:p>
          <w:p w14:paraId="542DB863" w14:textId="20A105CC" w:rsidR="002B0F6E" w:rsidRPr="002B0F6E" w:rsidRDefault="002B0F6E" w:rsidP="002B0F6E">
            <w:pPr>
              <w:jc w:val="center"/>
              <w:rPr>
                <w:rFonts w:ascii="Tw Cen MT" w:hAnsi="Tw Cen MT"/>
              </w:rPr>
            </w:pPr>
            <w:r w:rsidRPr="002B0F6E">
              <w:rPr>
                <w:rFonts w:ascii="Tw Cen MT" w:hAnsi="Tw Cen MT"/>
              </w:rPr>
              <w:t>4</w:t>
            </w:r>
          </w:p>
        </w:tc>
        <w:tc>
          <w:tcPr>
            <w:tcW w:w="1005" w:type="dxa"/>
          </w:tcPr>
          <w:p w14:paraId="790799DC" w14:textId="77777777" w:rsidR="002B0F6E" w:rsidRPr="002B0F6E" w:rsidRDefault="002B0F6E" w:rsidP="002B0F6E">
            <w:pPr>
              <w:jc w:val="center"/>
              <w:rPr>
                <w:rFonts w:ascii="Tw Cen MT" w:hAnsi="Tw Cen MT"/>
              </w:rPr>
            </w:pPr>
          </w:p>
          <w:p w14:paraId="7B283629" w14:textId="77777777" w:rsidR="00667F2E" w:rsidRDefault="00667F2E" w:rsidP="002B0F6E">
            <w:pPr>
              <w:jc w:val="center"/>
              <w:rPr>
                <w:rFonts w:ascii="Tw Cen MT" w:hAnsi="Tw Cen MT"/>
              </w:rPr>
            </w:pPr>
          </w:p>
          <w:p w14:paraId="33A67C57" w14:textId="76ECF2B6" w:rsidR="002B0F6E" w:rsidRPr="002B0F6E" w:rsidRDefault="002B0F6E" w:rsidP="002B0F6E">
            <w:pPr>
              <w:jc w:val="center"/>
              <w:rPr>
                <w:rFonts w:ascii="Tw Cen MT" w:hAnsi="Tw Cen MT"/>
              </w:rPr>
            </w:pPr>
            <w:r w:rsidRPr="002B0F6E">
              <w:rPr>
                <w:rFonts w:ascii="Tw Cen MT" w:hAnsi="Tw Cen MT"/>
              </w:rPr>
              <w:t>3.0</w:t>
            </w:r>
          </w:p>
          <w:p w14:paraId="1CBCCB7F" w14:textId="77777777" w:rsidR="00667F2E" w:rsidRDefault="00667F2E" w:rsidP="002B0F6E">
            <w:pPr>
              <w:jc w:val="center"/>
              <w:rPr>
                <w:rFonts w:ascii="Tw Cen MT" w:hAnsi="Tw Cen MT"/>
              </w:rPr>
            </w:pPr>
          </w:p>
          <w:p w14:paraId="14FCF358" w14:textId="5B09A99D" w:rsidR="002B0F6E" w:rsidRPr="002B0F6E" w:rsidRDefault="002B0F6E" w:rsidP="002B0F6E">
            <w:pPr>
              <w:jc w:val="center"/>
              <w:rPr>
                <w:rFonts w:ascii="Tw Cen MT" w:hAnsi="Tw Cen MT"/>
              </w:rPr>
            </w:pPr>
            <w:r w:rsidRPr="002B0F6E">
              <w:rPr>
                <w:rFonts w:ascii="Tw Cen MT" w:hAnsi="Tw Cen MT"/>
              </w:rPr>
              <w:t>43.0</w:t>
            </w:r>
          </w:p>
          <w:p w14:paraId="14E34F8D" w14:textId="77777777" w:rsidR="00667F2E" w:rsidRDefault="00667F2E" w:rsidP="002B0F6E">
            <w:pPr>
              <w:jc w:val="center"/>
              <w:rPr>
                <w:rFonts w:ascii="Tw Cen MT" w:hAnsi="Tw Cen MT"/>
              </w:rPr>
            </w:pPr>
          </w:p>
          <w:p w14:paraId="4710335C" w14:textId="11D78A5A" w:rsidR="002B0F6E" w:rsidRPr="002B0F6E" w:rsidRDefault="002B0F6E" w:rsidP="002B0F6E">
            <w:pPr>
              <w:jc w:val="center"/>
              <w:rPr>
                <w:rFonts w:ascii="Tw Cen MT" w:hAnsi="Tw Cen MT"/>
              </w:rPr>
            </w:pPr>
            <w:r w:rsidRPr="002B0F6E">
              <w:rPr>
                <w:rFonts w:ascii="Tw Cen MT" w:hAnsi="Tw Cen MT"/>
              </w:rPr>
              <w:t>29.0</w:t>
            </w:r>
          </w:p>
          <w:p w14:paraId="272E1340" w14:textId="77777777" w:rsidR="00667F2E" w:rsidRDefault="00667F2E" w:rsidP="002B0F6E">
            <w:pPr>
              <w:jc w:val="center"/>
              <w:rPr>
                <w:rFonts w:ascii="Tw Cen MT" w:hAnsi="Tw Cen MT"/>
              </w:rPr>
            </w:pPr>
          </w:p>
          <w:p w14:paraId="538F39B2" w14:textId="6F6F982E" w:rsidR="002B0F6E" w:rsidRPr="002B0F6E" w:rsidRDefault="002B0F6E" w:rsidP="002B0F6E">
            <w:pPr>
              <w:jc w:val="center"/>
              <w:rPr>
                <w:rFonts w:ascii="Tw Cen MT" w:hAnsi="Tw Cen MT"/>
              </w:rPr>
            </w:pPr>
            <w:r w:rsidRPr="002B0F6E">
              <w:rPr>
                <w:rFonts w:ascii="Tw Cen MT" w:hAnsi="Tw Cen MT"/>
              </w:rPr>
              <w:t>21.0</w:t>
            </w:r>
          </w:p>
          <w:p w14:paraId="37826672" w14:textId="77777777" w:rsidR="00667F2E" w:rsidRDefault="00667F2E" w:rsidP="002B0F6E">
            <w:pPr>
              <w:jc w:val="center"/>
              <w:rPr>
                <w:rFonts w:ascii="Tw Cen MT" w:hAnsi="Tw Cen MT"/>
              </w:rPr>
            </w:pPr>
          </w:p>
          <w:p w14:paraId="38A5435F" w14:textId="2DA53F84" w:rsidR="002B0F6E" w:rsidRPr="002B0F6E" w:rsidRDefault="002B0F6E" w:rsidP="002B0F6E">
            <w:pPr>
              <w:jc w:val="center"/>
              <w:rPr>
                <w:rFonts w:ascii="Tw Cen MT" w:hAnsi="Tw Cen MT"/>
              </w:rPr>
            </w:pPr>
            <w:r w:rsidRPr="002B0F6E">
              <w:rPr>
                <w:rFonts w:ascii="Tw Cen MT" w:hAnsi="Tw Cen MT"/>
              </w:rPr>
              <w:t>4.0</w:t>
            </w:r>
          </w:p>
        </w:tc>
      </w:tr>
      <w:tr w:rsidR="002B0F6E" w:rsidRPr="002B0F6E" w14:paraId="473318E9" w14:textId="77777777" w:rsidTr="002B0F6E">
        <w:trPr>
          <w:jc w:val="center"/>
        </w:trPr>
        <w:tc>
          <w:tcPr>
            <w:tcW w:w="2856" w:type="dxa"/>
          </w:tcPr>
          <w:p w14:paraId="719EF0AD" w14:textId="77777777" w:rsidR="002B0F6E" w:rsidRPr="002B0F6E" w:rsidRDefault="002B0F6E" w:rsidP="002B0F6E">
            <w:pPr>
              <w:rPr>
                <w:rFonts w:ascii="Tw Cen MT" w:hAnsi="Tw Cen MT"/>
                <w:b/>
              </w:rPr>
            </w:pPr>
            <w:r w:rsidRPr="002B0F6E">
              <w:rPr>
                <w:rFonts w:ascii="Tw Cen MT" w:hAnsi="Tw Cen MT"/>
                <w:b/>
              </w:rPr>
              <w:t>Pekerjaan Ibu</w:t>
            </w:r>
          </w:p>
          <w:p w14:paraId="79841268" w14:textId="77777777" w:rsidR="002B0F6E" w:rsidRPr="002B0F6E" w:rsidRDefault="002B0F6E" w:rsidP="002B0F6E">
            <w:pPr>
              <w:ind w:left="360"/>
              <w:rPr>
                <w:rFonts w:ascii="Tw Cen MT" w:hAnsi="Tw Cen MT"/>
              </w:rPr>
            </w:pPr>
            <w:r w:rsidRPr="002B0F6E">
              <w:rPr>
                <w:rFonts w:ascii="Tw Cen MT" w:hAnsi="Tw Cen MT"/>
              </w:rPr>
              <w:t>Bekerja</w:t>
            </w:r>
          </w:p>
          <w:p w14:paraId="5AC31FD5" w14:textId="77777777" w:rsidR="002B0F6E" w:rsidRPr="002B0F6E" w:rsidRDefault="002B0F6E" w:rsidP="002B0F6E">
            <w:pPr>
              <w:ind w:left="360" w:firstLine="349"/>
              <w:rPr>
                <w:rFonts w:ascii="Tw Cen MT" w:hAnsi="Tw Cen MT"/>
              </w:rPr>
            </w:pPr>
            <w:r w:rsidRPr="002B0F6E">
              <w:rPr>
                <w:rFonts w:ascii="Tw Cen MT" w:hAnsi="Tw Cen MT"/>
              </w:rPr>
              <w:t>- Guru</w:t>
            </w:r>
          </w:p>
          <w:p w14:paraId="0AA9188E" w14:textId="77777777" w:rsidR="002B0F6E" w:rsidRPr="002B0F6E" w:rsidRDefault="002B0F6E" w:rsidP="002B0F6E">
            <w:pPr>
              <w:ind w:left="360" w:firstLine="349"/>
              <w:rPr>
                <w:rFonts w:ascii="Tw Cen MT" w:hAnsi="Tw Cen MT"/>
              </w:rPr>
            </w:pPr>
            <w:r w:rsidRPr="002B0F6E">
              <w:rPr>
                <w:rFonts w:ascii="Tw Cen MT" w:hAnsi="Tw Cen MT"/>
              </w:rPr>
              <w:t>- Petani Karet</w:t>
            </w:r>
          </w:p>
          <w:p w14:paraId="141FC1D3" w14:textId="77777777" w:rsidR="002B0F6E" w:rsidRPr="002B0F6E" w:rsidRDefault="002B0F6E" w:rsidP="002B0F6E">
            <w:pPr>
              <w:ind w:left="360" w:firstLine="349"/>
              <w:rPr>
                <w:rFonts w:ascii="Tw Cen MT" w:hAnsi="Tw Cen MT"/>
              </w:rPr>
            </w:pPr>
            <w:r w:rsidRPr="002B0F6E">
              <w:rPr>
                <w:rFonts w:ascii="Tw Cen MT" w:hAnsi="Tw Cen MT"/>
              </w:rPr>
              <w:t>- Wirausaha</w:t>
            </w:r>
          </w:p>
          <w:p w14:paraId="215B8502" w14:textId="77777777" w:rsidR="002B0F6E" w:rsidRPr="002B0F6E" w:rsidRDefault="002B0F6E" w:rsidP="002B0F6E">
            <w:pPr>
              <w:ind w:left="360" w:firstLine="349"/>
              <w:rPr>
                <w:rFonts w:ascii="Tw Cen MT" w:hAnsi="Tw Cen MT"/>
              </w:rPr>
            </w:pPr>
            <w:r w:rsidRPr="002B0F6E">
              <w:rPr>
                <w:rFonts w:ascii="Tw Cen MT" w:hAnsi="Tw Cen MT"/>
              </w:rPr>
              <w:t>- Pegawai Swasta</w:t>
            </w:r>
          </w:p>
          <w:p w14:paraId="4F0A70E5" w14:textId="77777777" w:rsidR="002B0F6E" w:rsidRPr="002B0F6E" w:rsidRDefault="002B0F6E" w:rsidP="002B0F6E">
            <w:pPr>
              <w:ind w:left="360" w:firstLine="349"/>
              <w:rPr>
                <w:rFonts w:ascii="Tw Cen MT" w:hAnsi="Tw Cen MT"/>
              </w:rPr>
            </w:pPr>
            <w:r w:rsidRPr="002B0F6E">
              <w:rPr>
                <w:rFonts w:ascii="Tw Cen MT" w:hAnsi="Tw Cen MT"/>
              </w:rPr>
              <w:t>- Buruh</w:t>
            </w:r>
          </w:p>
          <w:p w14:paraId="5E99F2DB" w14:textId="77777777" w:rsidR="002B0F6E" w:rsidRPr="002B0F6E" w:rsidRDefault="002B0F6E" w:rsidP="002B0F6E">
            <w:pPr>
              <w:ind w:left="360" w:firstLine="349"/>
              <w:rPr>
                <w:rFonts w:ascii="Tw Cen MT" w:hAnsi="Tw Cen MT"/>
              </w:rPr>
            </w:pPr>
            <w:r w:rsidRPr="002B0F6E">
              <w:rPr>
                <w:rFonts w:ascii="Tw Cen MT" w:hAnsi="Tw Cen MT"/>
              </w:rPr>
              <w:t>- Perawat</w:t>
            </w:r>
          </w:p>
          <w:p w14:paraId="5306AA74" w14:textId="77777777" w:rsidR="002B0F6E" w:rsidRPr="002B0F6E" w:rsidRDefault="002B0F6E" w:rsidP="002B0F6E">
            <w:pPr>
              <w:ind w:left="360" w:firstLine="349"/>
              <w:rPr>
                <w:rFonts w:ascii="Tw Cen MT" w:hAnsi="Tw Cen MT"/>
              </w:rPr>
            </w:pPr>
            <w:r w:rsidRPr="002B0F6E">
              <w:rPr>
                <w:rFonts w:ascii="Tw Cen MT" w:hAnsi="Tw Cen MT"/>
              </w:rPr>
              <w:t>- Dokter</w:t>
            </w:r>
          </w:p>
          <w:p w14:paraId="41C5F763" w14:textId="77777777" w:rsidR="002B0F6E" w:rsidRPr="002B0F6E" w:rsidRDefault="002B0F6E" w:rsidP="002B0F6E">
            <w:pPr>
              <w:ind w:left="360"/>
              <w:rPr>
                <w:rFonts w:ascii="Tw Cen MT" w:hAnsi="Tw Cen MT"/>
              </w:rPr>
            </w:pPr>
            <w:r w:rsidRPr="002B0F6E">
              <w:rPr>
                <w:rFonts w:ascii="Tw Cen MT" w:hAnsi="Tw Cen MT"/>
              </w:rPr>
              <w:t>Tidak bekerja</w:t>
            </w:r>
          </w:p>
        </w:tc>
        <w:tc>
          <w:tcPr>
            <w:tcW w:w="459" w:type="dxa"/>
          </w:tcPr>
          <w:p w14:paraId="62B0633C" w14:textId="77777777" w:rsidR="002B0F6E" w:rsidRPr="002B0F6E" w:rsidRDefault="002B0F6E" w:rsidP="002B0F6E">
            <w:pPr>
              <w:jc w:val="center"/>
              <w:rPr>
                <w:rFonts w:ascii="Tw Cen MT" w:hAnsi="Tw Cen MT"/>
              </w:rPr>
            </w:pPr>
          </w:p>
          <w:p w14:paraId="23DBDF92" w14:textId="77777777" w:rsidR="002B0F6E" w:rsidRPr="002B0F6E" w:rsidRDefault="002B0F6E" w:rsidP="002B0F6E">
            <w:pPr>
              <w:jc w:val="center"/>
              <w:rPr>
                <w:rFonts w:ascii="Tw Cen MT" w:hAnsi="Tw Cen MT"/>
              </w:rPr>
            </w:pPr>
          </w:p>
          <w:p w14:paraId="451CB7A9" w14:textId="77777777" w:rsidR="002B0F6E" w:rsidRPr="002B0F6E" w:rsidRDefault="002B0F6E" w:rsidP="002B0F6E">
            <w:pPr>
              <w:jc w:val="center"/>
              <w:rPr>
                <w:rFonts w:ascii="Tw Cen MT" w:hAnsi="Tw Cen MT"/>
              </w:rPr>
            </w:pPr>
            <w:r w:rsidRPr="002B0F6E">
              <w:rPr>
                <w:rFonts w:ascii="Tw Cen MT" w:hAnsi="Tw Cen MT"/>
              </w:rPr>
              <w:t>8</w:t>
            </w:r>
          </w:p>
          <w:p w14:paraId="79BE9D24" w14:textId="77777777" w:rsidR="002B0F6E" w:rsidRPr="002B0F6E" w:rsidRDefault="002B0F6E" w:rsidP="002B0F6E">
            <w:pPr>
              <w:jc w:val="center"/>
              <w:rPr>
                <w:rFonts w:ascii="Tw Cen MT" w:hAnsi="Tw Cen MT"/>
              </w:rPr>
            </w:pPr>
            <w:r w:rsidRPr="002B0F6E">
              <w:rPr>
                <w:rFonts w:ascii="Tw Cen MT" w:hAnsi="Tw Cen MT"/>
              </w:rPr>
              <w:t>1</w:t>
            </w:r>
          </w:p>
          <w:p w14:paraId="209F6A9C" w14:textId="77777777" w:rsidR="002B0F6E" w:rsidRPr="002B0F6E" w:rsidRDefault="002B0F6E" w:rsidP="002B0F6E">
            <w:pPr>
              <w:jc w:val="center"/>
              <w:rPr>
                <w:rFonts w:ascii="Tw Cen MT" w:hAnsi="Tw Cen MT"/>
              </w:rPr>
            </w:pPr>
            <w:r w:rsidRPr="002B0F6E">
              <w:rPr>
                <w:rFonts w:ascii="Tw Cen MT" w:hAnsi="Tw Cen MT"/>
              </w:rPr>
              <w:t>4</w:t>
            </w:r>
          </w:p>
          <w:p w14:paraId="1EC9B851" w14:textId="77777777" w:rsidR="002B0F6E" w:rsidRPr="002B0F6E" w:rsidRDefault="002B0F6E" w:rsidP="002B0F6E">
            <w:pPr>
              <w:jc w:val="center"/>
              <w:rPr>
                <w:rFonts w:ascii="Tw Cen MT" w:hAnsi="Tw Cen MT"/>
              </w:rPr>
            </w:pPr>
            <w:r w:rsidRPr="002B0F6E">
              <w:rPr>
                <w:rFonts w:ascii="Tw Cen MT" w:hAnsi="Tw Cen MT"/>
              </w:rPr>
              <w:t>2</w:t>
            </w:r>
          </w:p>
          <w:p w14:paraId="3BB0C681" w14:textId="77777777" w:rsidR="002B0F6E" w:rsidRPr="002B0F6E" w:rsidRDefault="002B0F6E" w:rsidP="002B0F6E">
            <w:pPr>
              <w:jc w:val="center"/>
              <w:rPr>
                <w:rFonts w:ascii="Tw Cen MT" w:hAnsi="Tw Cen MT"/>
              </w:rPr>
            </w:pPr>
            <w:r w:rsidRPr="002B0F6E">
              <w:rPr>
                <w:rFonts w:ascii="Tw Cen MT" w:hAnsi="Tw Cen MT"/>
              </w:rPr>
              <w:t>1</w:t>
            </w:r>
          </w:p>
          <w:p w14:paraId="07BC1CDB" w14:textId="77777777" w:rsidR="002B0F6E" w:rsidRPr="002B0F6E" w:rsidRDefault="002B0F6E" w:rsidP="002B0F6E">
            <w:pPr>
              <w:jc w:val="center"/>
              <w:rPr>
                <w:rFonts w:ascii="Tw Cen MT" w:hAnsi="Tw Cen MT"/>
              </w:rPr>
            </w:pPr>
            <w:r w:rsidRPr="002B0F6E">
              <w:rPr>
                <w:rFonts w:ascii="Tw Cen MT" w:hAnsi="Tw Cen MT"/>
              </w:rPr>
              <w:t>2</w:t>
            </w:r>
          </w:p>
          <w:p w14:paraId="56ABB6CE" w14:textId="77777777" w:rsidR="002B0F6E" w:rsidRPr="002B0F6E" w:rsidRDefault="002B0F6E" w:rsidP="002B0F6E">
            <w:pPr>
              <w:jc w:val="center"/>
              <w:rPr>
                <w:rFonts w:ascii="Tw Cen MT" w:hAnsi="Tw Cen MT"/>
              </w:rPr>
            </w:pPr>
            <w:r w:rsidRPr="002B0F6E">
              <w:rPr>
                <w:rFonts w:ascii="Tw Cen MT" w:hAnsi="Tw Cen MT"/>
              </w:rPr>
              <w:t>1</w:t>
            </w:r>
          </w:p>
          <w:p w14:paraId="1490CDFC" w14:textId="77777777" w:rsidR="002B0F6E" w:rsidRPr="002B0F6E" w:rsidRDefault="002B0F6E" w:rsidP="002B0F6E">
            <w:pPr>
              <w:jc w:val="center"/>
              <w:rPr>
                <w:rFonts w:ascii="Tw Cen MT" w:hAnsi="Tw Cen MT"/>
              </w:rPr>
            </w:pPr>
            <w:r w:rsidRPr="002B0F6E">
              <w:rPr>
                <w:rFonts w:ascii="Tw Cen MT" w:hAnsi="Tw Cen MT"/>
              </w:rPr>
              <w:t>81</w:t>
            </w:r>
          </w:p>
        </w:tc>
        <w:tc>
          <w:tcPr>
            <w:tcW w:w="1005" w:type="dxa"/>
          </w:tcPr>
          <w:p w14:paraId="123B0B86" w14:textId="77777777" w:rsidR="002B0F6E" w:rsidRPr="002B0F6E" w:rsidRDefault="002B0F6E" w:rsidP="002B0F6E">
            <w:pPr>
              <w:jc w:val="center"/>
              <w:rPr>
                <w:rFonts w:ascii="Tw Cen MT" w:hAnsi="Tw Cen MT"/>
              </w:rPr>
            </w:pPr>
          </w:p>
          <w:p w14:paraId="7E35D863" w14:textId="77777777" w:rsidR="002B0F6E" w:rsidRPr="002B0F6E" w:rsidRDefault="002B0F6E" w:rsidP="002B0F6E">
            <w:pPr>
              <w:jc w:val="center"/>
              <w:rPr>
                <w:rFonts w:ascii="Tw Cen MT" w:hAnsi="Tw Cen MT"/>
              </w:rPr>
            </w:pPr>
          </w:p>
          <w:p w14:paraId="72BB3D75" w14:textId="77777777" w:rsidR="002B0F6E" w:rsidRPr="002B0F6E" w:rsidRDefault="002B0F6E" w:rsidP="002B0F6E">
            <w:pPr>
              <w:jc w:val="center"/>
              <w:rPr>
                <w:rFonts w:ascii="Tw Cen MT" w:hAnsi="Tw Cen MT"/>
              </w:rPr>
            </w:pPr>
            <w:r w:rsidRPr="002B0F6E">
              <w:rPr>
                <w:rFonts w:ascii="Tw Cen MT" w:hAnsi="Tw Cen MT"/>
              </w:rPr>
              <w:t>8.0</w:t>
            </w:r>
          </w:p>
          <w:p w14:paraId="14319623" w14:textId="77777777" w:rsidR="002B0F6E" w:rsidRPr="002B0F6E" w:rsidRDefault="002B0F6E" w:rsidP="002B0F6E">
            <w:pPr>
              <w:jc w:val="center"/>
              <w:rPr>
                <w:rFonts w:ascii="Tw Cen MT" w:hAnsi="Tw Cen MT"/>
              </w:rPr>
            </w:pPr>
            <w:r w:rsidRPr="002B0F6E">
              <w:rPr>
                <w:rFonts w:ascii="Tw Cen MT" w:hAnsi="Tw Cen MT"/>
              </w:rPr>
              <w:t>1.0</w:t>
            </w:r>
          </w:p>
          <w:p w14:paraId="4D596E18" w14:textId="77777777" w:rsidR="002B0F6E" w:rsidRPr="002B0F6E" w:rsidRDefault="002B0F6E" w:rsidP="002B0F6E">
            <w:pPr>
              <w:jc w:val="center"/>
              <w:rPr>
                <w:rFonts w:ascii="Tw Cen MT" w:hAnsi="Tw Cen MT"/>
              </w:rPr>
            </w:pPr>
            <w:r w:rsidRPr="002B0F6E">
              <w:rPr>
                <w:rFonts w:ascii="Tw Cen MT" w:hAnsi="Tw Cen MT"/>
              </w:rPr>
              <w:t>4.0</w:t>
            </w:r>
          </w:p>
          <w:p w14:paraId="7AE15D17" w14:textId="77777777" w:rsidR="002B0F6E" w:rsidRPr="002B0F6E" w:rsidRDefault="002B0F6E" w:rsidP="002B0F6E">
            <w:pPr>
              <w:jc w:val="center"/>
              <w:rPr>
                <w:rFonts w:ascii="Tw Cen MT" w:hAnsi="Tw Cen MT"/>
              </w:rPr>
            </w:pPr>
            <w:r w:rsidRPr="002B0F6E">
              <w:rPr>
                <w:rFonts w:ascii="Tw Cen MT" w:hAnsi="Tw Cen MT"/>
              </w:rPr>
              <w:t>2.0</w:t>
            </w:r>
          </w:p>
          <w:p w14:paraId="32BD3B69" w14:textId="77777777" w:rsidR="002B0F6E" w:rsidRPr="002B0F6E" w:rsidRDefault="002B0F6E" w:rsidP="002B0F6E">
            <w:pPr>
              <w:jc w:val="center"/>
              <w:rPr>
                <w:rFonts w:ascii="Tw Cen MT" w:hAnsi="Tw Cen MT"/>
              </w:rPr>
            </w:pPr>
            <w:r w:rsidRPr="002B0F6E">
              <w:rPr>
                <w:rFonts w:ascii="Tw Cen MT" w:hAnsi="Tw Cen MT"/>
              </w:rPr>
              <w:t>1.0</w:t>
            </w:r>
          </w:p>
          <w:p w14:paraId="209CEEF5" w14:textId="77777777" w:rsidR="002B0F6E" w:rsidRPr="002B0F6E" w:rsidRDefault="002B0F6E" w:rsidP="002B0F6E">
            <w:pPr>
              <w:jc w:val="center"/>
              <w:rPr>
                <w:rFonts w:ascii="Tw Cen MT" w:hAnsi="Tw Cen MT"/>
              </w:rPr>
            </w:pPr>
            <w:r w:rsidRPr="002B0F6E">
              <w:rPr>
                <w:rFonts w:ascii="Tw Cen MT" w:hAnsi="Tw Cen MT"/>
              </w:rPr>
              <w:t>2.0</w:t>
            </w:r>
          </w:p>
          <w:p w14:paraId="3F87EF3E" w14:textId="77777777" w:rsidR="002B0F6E" w:rsidRPr="002B0F6E" w:rsidRDefault="002B0F6E" w:rsidP="002B0F6E">
            <w:pPr>
              <w:jc w:val="center"/>
              <w:rPr>
                <w:rFonts w:ascii="Tw Cen MT" w:hAnsi="Tw Cen MT"/>
              </w:rPr>
            </w:pPr>
            <w:r w:rsidRPr="002B0F6E">
              <w:rPr>
                <w:rFonts w:ascii="Tw Cen MT" w:hAnsi="Tw Cen MT"/>
              </w:rPr>
              <w:t>1.0</w:t>
            </w:r>
          </w:p>
          <w:p w14:paraId="5CF1E6E0" w14:textId="77777777" w:rsidR="002B0F6E" w:rsidRPr="002B0F6E" w:rsidRDefault="002B0F6E" w:rsidP="002B0F6E">
            <w:pPr>
              <w:jc w:val="center"/>
              <w:rPr>
                <w:rFonts w:ascii="Tw Cen MT" w:hAnsi="Tw Cen MT"/>
              </w:rPr>
            </w:pPr>
            <w:r w:rsidRPr="002B0F6E">
              <w:rPr>
                <w:rFonts w:ascii="Tw Cen MT" w:hAnsi="Tw Cen MT"/>
              </w:rPr>
              <w:t>81.0</w:t>
            </w:r>
          </w:p>
        </w:tc>
      </w:tr>
      <w:tr w:rsidR="002B0F6E" w:rsidRPr="002B0F6E" w14:paraId="3E37EE02" w14:textId="77777777" w:rsidTr="002B0F6E">
        <w:trPr>
          <w:jc w:val="center"/>
        </w:trPr>
        <w:tc>
          <w:tcPr>
            <w:tcW w:w="2856" w:type="dxa"/>
          </w:tcPr>
          <w:p w14:paraId="0E4F6DF3" w14:textId="77777777" w:rsidR="002B0F6E" w:rsidRPr="002B0F6E" w:rsidRDefault="002B0F6E" w:rsidP="002B0F6E">
            <w:pPr>
              <w:rPr>
                <w:rFonts w:ascii="Tw Cen MT" w:hAnsi="Tw Cen MT"/>
                <w:b/>
              </w:rPr>
            </w:pPr>
            <w:r w:rsidRPr="002B0F6E">
              <w:rPr>
                <w:rFonts w:ascii="Tw Cen MT" w:hAnsi="Tw Cen MT"/>
                <w:b/>
              </w:rPr>
              <w:t>Pendidikan Terakhir</w:t>
            </w:r>
          </w:p>
          <w:p w14:paraId="1839CBD0" w14:textId="77777777" w:rsidR="002B0F6E" w:rsidRPr="002B0F6E" w:rsidRDefault="002B0F6E" w:rsidP="002B0F6E">
            <w:pPr>
              <w:ind w:left="360"/>
              <w:rPr>
                <w:rFonts w:ascii="Tw Cen MT" w:hAnsi="Tw Cen MT"/>
              </w:rPr>
            </w:pPr>
            <w:r w:rsidRPr="002B0F6E">
              <w:rPr>
                <w:rFonts w:ascii="Tw Cen MT" w:hAnsi="Tw Cen MT"/>
              </w:rPr>
              <w:t>Tamat SD</w:t>
            </w:r>
          </w:p>
          <w:p w14:paraId="7C4C9771" w14:textId="77777777" w:rsidR="002B0F6E" w:rsidRPr="002B0F6E" w:rsidRDefault="002B0F6E" w:rsidP="002B0F6E">
            <w:pPr>
              <w:ind w:left="360"/>
              <w:rPr>
                <w:rFonts w:ascii="Tw Cen MT" w:hAnsi="Tw Cen MT"/>
              </w:rPr>
            </w:pPr>
            <w:r w:rsidRPr="002B0F6E">
              <w:rPr>
                <w:rFonts w:ascii="Tw Cen MT" w:hAnsi="Tw Cen MT"/>
              </w:rPr>
              <w:t>Tamat SMP</w:t>
            </w:r>
          </w:p>
          <w:p w14:paraId="215AC2B0" w14:textId="77777777" w:rsidR="002B0F6E" w:rsidRPr="002B0F6E" w:rsidRDefault="002B0F6E" w:rsidP="002B0F6E">
            <w:pPr>
              <w:ind w:left="360"/>
              <w:rPr>
                <w:rFonts w:ascii="Tw Cen MT" w:hAnsi="Tw Cen MT"/>
                <w:lang w:val="pt-BR"/>
              </w:rPr>
            </w:pPr>
            <w:r w:rsidRPr="002B0F6E">
              <w:rPr>
                <w:rFonts w:ascii="Tw Cen MT" w:hAnsi="Tw Cen MT"/>
                <w:lang w:val="pt-BR"/>
              </w:rPr>
              <w:t>Tamat SMA</w:t>
            </w:r>
          </w:p>
          <w:p w14:paraId="31EB9E80" w14:textId="77777777" w:rsidR="002B0F6E" w:rsidRPr="002B0F6E" w:rsidRDefault="002B0F6E" w:rsidP="002B0F6E">
            <w:pPr>
              <w:ind w:left="360"/>
              <w:rPr>
                <w:rFonts w:ascii="Tw Cen MT" w:hAnsi="Tw Cen MT"/>
                <w:lang w:val="pt-BR"/>
              </w:rPr>
            </w:pPr>
            <w:r w:rsidRPr="002B0F6E">
              <w:rPr>
                <w:rFonts w:ascii="Tw Cen MT" w:hAnsi="Tw Cen MT"/>
                <w:lang w:val="pt-BR"/>
              </w:rPr>
              <w:t>Perguruan Tinggi/ Akademi</w:t>
            </w:r>
          </w:p>
        </w:tc>
        <w:tc>
          <w:tcPr>
            <w:tcW w:w="459" w:type="dxa"/>
          </w:tcPr>
          <w:p w14:paraId="372C4FB2" w14:textId="77777777" w:rsidR="002B0F6E" w:rsidRPr="002B0F6E" w:rsidRDefault="002B0F6E" w:rsidP="002B0F6E">
            <w:pPr>
              <w:jc w:val="center"/>
              <w:rPr>
                <w:rFonts w:ascii="Tw Cen MT" w:hAnsi="Tw Cen MT"/>
                <w:lang w:val="pt-BR"/>
              </w:rPr>
            </w:pPr>
          </w:p>
          <w:p w14:paraId="39FA262C" w14:textId="77777777" w:rsidR="002B0F6E" w:rsidRPr="002B0F6E" w:rsidRDefault="002B0F6E" w:rsidP="002B0F6E">
            <w:pPr>
              <w:jc w:val="center"/>
              <w:rPr>
                <w:rFonts w:ascii="Tw Cen MT" w:hAnsi="Tw Cen MT"/>
              </w:rPr>
            </w:pPr>
            <w:r w:rsidRPr="002B0F6E">
              <w:rPr>
                <w:rFonts w:ascii="Tw Cen MT" w:hAnsi="Tw Cen MT"/>
              </w:rPr>
              <w:t>4</w:t>
            </w:r>
          </w:p>
          <w:p w14:paraId="4C973CE7" w14:textId="77777777" w:rsidR="002B0F6E" w:rsidRPr="002B0F6E" w:rsidRDefault="002B0F6E" w:rsidP="002B0F6E">
            <w:pPr>
              <w:jc w:val="center"/>
              <w:rPr>
                <w:rFonts w:ascii="Tw Cen MT" w:hAnsi="Tw Cen MT"/>
              </w:rPr>
            </w:pPr>
            <w:r w:rsidRPr="002B0F6E">
              <w:rPr>
                <w:rFonts w:ascii="Tw Cen MT" w:hAnsi="Tw Cen MT"/>
              </w:rPr>
              <w:t>16</w:t>
            </w:r>
          </w:p>
          <w:p w14:paraId="6108385E" w14:textId="77777777" w:rsidR="002B0F6E" w:rsidRPr="002B0F6E" w:rsidRDefault="002B0F6E" w:rsidP="002B0F6E">
            <w:pPr>
              <w:jc w:val="center"/>
              <w:rPr>
                <w:rFonts w:ascii="Tw Cen MT" w:hAnsi="Tw Cen MT"/>
              </w:rPr>
            </w:pPr>
            <w:r w:rsidRPr="002B0F6E">
              <w:rPr>
                <w:rFonts w:ascii="Tw Cen MT" w:hAnsi="Tw Cen MT"/>
              </w:rPr>
              <w:t>60</w:t>
            </w:r>
          </w:p>
          <w:p w14:paraId="13674ECF" w14:textId="77777777" w:rsidR="002B0F6E" w:rsidRPr="002B0F6E" w:rsidRDefault="002B0F6E" w:rsidP="002B0F6E">
            <w:pPr>
              <w:jc w:val="center"/>
              <w:rPr>
                <w:rFonts w:ascii="Tw Cen MT" w:hAnsi="Tw Cen MT"/>
              </w:rPr>
            </w:pPr>
            <w:r w:rsidRPr="002B0F6E">
              <w:rPr>
                <w:rFonts w:ascii="Tw Cen MT" w:hAnsi="Tw Cen MT"/>
              </w:rPr>
              <w:t>20</w:t>
            </w:r>
          </w:p>
        </w:tc>
        <w:tc>
          <w:tcPr>
            <w:tcW w:w="1005" w:type="dxa"/>
          </w:tcPr>
          <w:p w14:paraId="7D471ACF" w14:textId="77777777" w:rsidR="002B0F6E" w:rsidRPr="002B0F6E" w:rsidRDefault="002B0F6E" w:rsidP="002B0F6E">
            <w:pPr>
              <w:jc w:val="center"/>
              <w:rPr>
                <w:rFonts w:ascii="Tw Cen MT" w:hAnsi="Tw Cen MT"/>
              </w:rPr>
            </w:pPr>
          </w:p>
          <w:p w14:paraId="2BDC7F92" w14:textId="77777777" w:rsidR="002B0F6E" w:rsidRPr="002B0F6E" w:rsidRDefault="002B0F6E" w:rsidP="002B0F6E">
            <w:pPr>
              <w:jc w:val="center"/>
              <w:rPr>
                <w:rFonts w:ascii="Tw Cen MT" w:hAnsi="Tw Cen MT"/>
              </w:rPr>
            </w:pPr>
            <w:r w:rsidRPr="002B0F6E">
              <w:rPr>
                <w:rFonts w:ascii="Tw Cen MT" w:hAnsi="Tw Cen MT"/>
              </w:rPr>
              <w:t>4.0</w:t>
            </w:r>
          </w:p>
          <w:p w14:paraId="4516CDFE" w14:textId="77777777" w:rsidR="002B0F6E" w:rsidRPr="002B0F6E" w:rsidRDefault="002B0F6E" w:rsidP="002B0F6E">
            <w:pPr>
              <w:jc w:val="center"/>
              <w:rPr>
                <w:rFonts w:ascii="Tw Cen MT" w:hAnsi="Tw Cen MT"/>
              </w:rPr>
            </w:pPr>
            <w:r w:rsidRPr="002B0F6E">
              <w:rPr>
                <w:rFonts w:ascii="Tw Cen MT" w:hAnsi="Tw Cen MT"/>
              </w:rPr>
              <w:t>16.0</w:t>
            </w:r>
          </w:p>
          <w:p w14:paraId="16E96DD4" w14:textId="77777777" w:rsidR="002B0F6E" w:rsidRPr="002B0F6E" w:rsidRDefault="002B0F6E" w:rsidP="002B0F6E">
            <w:pPr>
              <w:jc w:val="center"/>
              <w:rPr>
                <w:rFonts w:ascii="Tw Cen MT" w:hAnsi="Tw Cen MT"/>
              </w:rPr>
            </w:pPr>
            <w:r w:rsidRPr="002B0F6E">
              <w:rPr>
                <w:rFonts w:ascii="Tw Cen MT" w:hAnsi="Tw Cen MT"/>
              </w:rPr>
              <w:t>60.0</w:t>
            </w:r>
          </w:p>
          <w:p w14:paraId="14272EB7" w14:textId="77777777" w:rsidR="002B0F6E" w:rsidRPr="002B0F6E" w:rsidRDefault="002B0F6E" w:rsidP="002B0F6E">
            <w:pPr>
              <w:jc w:val="center"/>
              <w:rPr>
                <w:rFonts w:ascii="Tw Cen MT" w:hAnsi="Tw Cen MT"/>
              </w:rPr>
            </w:pPr>
            <w:r w:rsidRPr="002B0F6E">
              <w:rPr>
                <w:rFonts w:ascii="Tw Cen MT" w:hAnsi="Tw Cen MT"/>
              </w:rPr>
              <w:t>20.0</w:t>
            </w:r>
          </w:p>
        </w:tc>
      </w:tr>
      <w:tr w:rsidR="002B0F6E" w:rsidRPr="002B0F6E" w14:paraId="4F618596" w14:textId="77777777" w:rsidTr="002B0F6E">
        <w:trPr>
          <w:jc w:val="center"/>
        </w:trPr>
        <w:tc>
          <w:tcPr>
            <w:tcW w:w="2856" w:type="dxa"/>
          </w:tcPr>
          <w:p w14:paraId="02B2A02B" w14:textId="77777777" w:rsidR="002B0F6E" w:rsidRPr="002B0F6E" w:rsidRDefault="002B0F6E" w:rsidP="002B0F6E">
            <w:pPr>
              <w:rPr>
                <w:rFonts w:ascii="Tw Cen MT" w:hAnsi="Tw Cen MT"/>
                <w:b/>
              </w:rPr>
            </w:pPr>
            <w:r w:rsidRPr="002B0F6E">
              <w:rPr>
                <w:rFonts w:ascii="Tw Cen MT" w:hAnsi="Tw Cen MT"/>
                <w:b/>
              </w:rPr>
              <w:t>Pendapatan</w:t>
            </w:r>
          </w:p>
          <w:p w14:paraId="19B73225" w14:textId="77777777" w:rsidR="002B0F6E" w:rsidRPr="002B0F6E" w:rsidRDefault="002B0F6E" w:rsidP="002B0F6E">
            <w:pPr>
              <w:ind w:left="360"/>
              <w:rPr>
                <w:rFonts w:ascii="Tw Cen MT" w:hAnsi="Tw Cen MT"/>
              </w:rPr>
            </w:pPr>
            <w:r w:rsidRPr="002B0F6E">
              <w:rPr>
                <w:rFonts w:ascii="Tw Cen MT" w:hAnsi="Tw Cen MT"/>
              </w:rPr>
              <w:t>≥UMK</w:t>
            </w:r>
          </w:p>
          <w:p w14:paraId="240B627A" w14:textId="77777777" w:rsidR="002B0F6E" w:rsidRPr="002B0F6E" w:rsidRDefault="002B0F6E" w:rsidP="002B0F6E">
            <w:pPr>
              <w:ind w:left="360"/>
              <w:rPr>
                <w:rFonts w:ascii="Tw Cen MT" w:hAnsi="Tw Cen MT"/>
              </w:rPr>
            </w:pPr>
            <w:r w:rsidRPr="002B0F6E">
              <w:rPr>
                <w:rFonts w:ascii="Tw Cen MT" w:hAnsi="Tw Cen MT"/>
              </w:rPr>
              <w:t>&lt; UMK</w:t>
            </w:r>
          </w:p>
        </w:tc>
        <w:tc>
          <w:tcPr>
            <w:tcW w:w="459" w:type="dxa"/>
          </w:tcPr>
          <w:p w14:paraId="63CDB32B" w14:textId="77777777" w:rsidR="002B0F6E" w:rsidRPr="002B0F6E" w:rsidRDefault="002B0F6E" w:rsidP="002B0F6E">
            <w:pPr>
              <w:jc w:val="center"/>
              <w:rPr>
                <w:rFonts w:ascii="Tw Cen MT" w:hAnsi="Tw Cen MT"/>
              </w:rPr>
            </w:pPr>
          </w:p>
          <w:p w14:paraId="655F5215" w14:textId="77777777" w:rsidR="002B0F6E" w:rsidRPr="002B0F6E" w:rsidRDefault="002B0F6E" w:rsidP="002B0F6E">
            <w:pPr>
              <w:jc w:val="center"/>
              <w:rPr>
                <w:rFonts w:ascii="Tw Cen MT" w:hAnsi="Tw Cen MT"/>
              </w:rPr>
            </w:pPr>
            <w:r w:rsidRPr="002B0F6E">
              <w:rPr>
                <w:rFonts w:ascii="Tw Cen MT" w:hAnsi="Tw Cen MT"/>
              </w:rPr>
              <w:t>41</w:t>
            </w:r>
          </w:p>
          <w:p w14:paraId="14DCEB30" w14:textId="77777777" w:rsidR="002B0F6E" w:rsidRPr="002B0F6E" w:rsidRDefault="002B0F6E" w:rsidP="002B0F6E">
            <w:pPr>
              <w:jc w:val="center"/>
              <w:rPr>
                <w:rFonts w:ascii="Tw Cen MT" w:hAnsi="Tw Cen MT"/>
              </w:rPr>
            </w:pPr>
            <w:r w:rsidRPr="002B0F6E">
              <w:rPr>
                <w:rFonts w:ascii="Tw Cen MT" w:hAnsi="Tw Cen MT"/>
              </w:rPr>
              <w:t>59</w:t>
            </w:r>
          </w:p>
        </w:tc>
        <w:tc>
          <w:tcPr>
            <w:tcW w:w="1005" w:type="dxa"/>
          </w:tcPr>
          <w:p w14:paraId="7A375811" w14:textId="77777777" w:rsidR="002B0F6E" w:rsidRPr="002B0F6E" w:rsidRDefault="002B0F6E" w:rsidP="002B0F6E">
            <w:pPr>
              <w:jc w:val="center"/>
              <w:rPr>
                <w:rFonts w:ascii="Tw Cen MT" w:hAnsi="Tw Cen MT"/>
              </w:rPr>
            </w:pPr>
          </w:p>
          <w:p w14:paraId="383A76E4" w14:textId="77777777" w:rsidR="002B0F6E" w:rsidRPr="002B0F6E" w:rsidRDefault="002B0F6E" w:rsidP="002B0F6E">
            <w:pPr>
              <w:jc w:val="center"/>
              <w:rPr>
                <w:rFonts w:ascii="Tw Cen MT" w:hAnsi="Tw Cen MT"/>
              </w:rPr>
            </w:pPr>
            <w:r w:rsidRPr="002B0F6E">
              <w:rPr>
                <w:rFonts w:ascii="Tw Cen MT" w:hAnsi="Tw Cen MT"/>
              </w:rPr>
              <w:t>41.0</w:t>
            </w:r>
          </w:p>
          <w:p w14:paraId="35EFE644" w14:textId="77777777" w:rsidR="002B0F6E" w:rsidRPr="002B0F6E" w:rsidRDefault="002B0F6E" w:rsidP="002B0F6E">
            <w:pPr>
              <w:jc w:val="center"/>
              <w:rPr>
                <w:rFonts w:ascii="Tw Cen MT" w:hAnsi="Tw Cen MT"/>
              </w:rPr>
            </w:pPr>
            <w:r w:rsidRPr="002B0F6E">
              <w:rPr>
                <w:rFonts w:ascii="Tw Cen MT" w:hAnsi="Tw Cen MT"/>
              </w:rPr>
              <w:t>59.0</w:t>
            </w:r>
          </w:p>
        </w:tc>
      </w:tr>
      <w:tr w:rsidR="002B0F6E" w:rsidRPr="002B0F6E" w14:paraId="413FD65F" w14:textId="77777777" w:rsidTr="002B0F6E">
        <w:trPr>
          <w:jc w:val="center"/>
        </w:trPr>
        <w:tc>
          <w:tcPr>
            <w:tcW w:w="2856" w:type="dxa"/>
          </w:tcPr>
          <w:p w14:paraId="6B4E9EE3" w14:textId="77777777" w:rsidR="002B0F6E" w:rsidRPr="002B0F6E" w:rsidRDefault="002B0F6E" w:rsidP="002B0F6E">
            <w:pPr>
              <w:rPr>
                <w:rFonts w:ascii="Tw Cen MT" w:hAnsi="Tw Cen MT"/>
                <w:b/>
              </w:rPr>
            </w:pPr>
            <w:r w:rsidRPr="002B0F6E">
              <w:rPr>
                <w:rFonts w:ascii="Tw Cen MT" w:hAnsi="Tw Cen MT"/>
                <w:b/>
              </w:rPr>
              <w:t>Jumlah Anggota Keluarga</w:t>
            </w:r>
          </w:p>
          <w:p w14:paraId="42324AAC" w14:textId="77777777" w:rsidR="002B0F6E" w:rsidRPr="002B0F6E" w:rsidRDefault="002B0F6E" w:rsidP="002B0F6E">
            <w:pPr>
              <w:ind w:left="360"/>
              <w:rPr>
                <w:rFonts w:ascii="Tw Cen MT" w:hAnsi="Tw Cen MT"/>
              </w:rPr>
            </w:pPr>
            <w:r w:rsidRPr="002B0F6E">
              <w:rPr>
                <w:rFonts w:ascii="Tw Cen MT" w:hAnsi="Tw Cen MT"/>
              </w:rPr>
              <w:t>≤ 4 anggota keluarga</w:t>
            </w:r>
          </w:p>
          <w:p w14:paraId="1E678B04" w14:textId="77777777" w:rsidR="002B0F6E" w:rsidRPr="002B0F6E" w:rsidRDefault="002B0F6E" w:rsidP="002B0F6E">
            <w:pPr>
              <w:ind w:left="360"/>
              <w:rPr>
                <w:rFonts w:ascii="Tw Cen MT" w:hAnsi="Tw Cen MT"/>
              </w:rPr>
            </w:pPr>
            <w:r w:rsidRPr="002B0F6E">
              <w:rPr>
                <w:rFonts w:ascii="Tw Cen MT" w:hAnsi="Tw Cen MT"/>
              </w:rPr>
              <w:t>&gt; 4 anggota keluarga</w:t>
            </w:r>
          </w:p>
        </w:tc>
        <w:tc>
          <w:tcPr>
            <w:tcW w:w="459" w:type="dxa"/>
          </w:tcPr>
          <w:p w14:paraId="054CECD4" w14:textId="77777777" w:rsidR="002B0F6E" w:rsidRPr="002B0F6E" w:rsidRDefault="002B0F6E" w:rsidP="002B0F6E">
            <w:pPr>
              <w:jc w:val="center"/>
              <w:rPr>
                <w:rFonts w:ascii="Tw Cen MT" w:hAnsi="Tw Cen MT"/>
              </w:rPr>
            </w:pPr>
          </w:p>
          <w:p w14:paraId="7326225B" w14:textId="77777777" w:rsidR="002B0F6E" w:rsidRPr="002B0F6E" w:rsidRDefault="002B0F6E" w:rsidP="002B0F6E">
            <w:pPr>
              <w:jc w:val="center"/>
              <w:rPr>
                <w:rFonts w:ascii="Tw Cen MT" w:hAnsi="Tw Cen MT"/>
              </w:rPr>
            </w:pPr>
            <w:r w:rsidRPr="002B0F6E">
              <w:rPr>
                <w:rFonts w:ascii="Tw Cen MT" w:hAnsi="Tw Cen MT"/>
              </w:rPr>
              <w:t>64</w:t>
            </w:r>
          </w:p>
          <w:p w14:paraId="1900F6BF" w14:textId="77777777" w:rsidR="002B0F6E" w:rsidRPr="002B0F6E" w:rsidRDefault="002B0F6E" w:rsidP="002B0F6E">
            <w:pPr>
              <w:jc w:val="center"/>
              <w:rPr>
                <w:rFonts w:ascii="Tw Cen MT" w:hAnsi="Tw Cen MT"/>
              </w:rPr>
            </w:pPr>
            <w:r w:rsidRPr="002B0F6E">
              <w:rPr>
                <w:rFonts w:ascii="Tw Cen MT" w:hAnsi="Tw Cen MT"/>
              </w:rPr>
              <w:t>36</w:t>
            </w:r>
          </w:p>
        </w:tc>
        <w:tc>
          <w:tcPr>
            <w:tcW w:w="1005" w:type="dxa"/>
          </w:tcPr>
          <w:p w14:paraId="5506B043" w14:textId="77777777" w:rsidR="002B0F6E" w:rsidRPr="002B0F6E" w:rsidRDefault="002B0F6E" w:rsidP="002B0F6E">
            <w:pPr>
              <w:jc w:val="center"/>
              <w:rPr>
                <w:rFonts w:ascii="Tw Cen MT" w:hAnsi="Tw Cen MT"/>
              </w:rPr>
            </w:pPr>
          </w:p>
          <w:p w14:paraId="7CA4E0FD" w14:textId="77777777" w:rsidR="002B0F6E" w:rsidRPr="002B0F6E" w:rsidRDefault="002B0F6E" w:rsidP="002B0F6E">
            <w:pPr>
              <w:jc w:val="center"/>
              <w:rPr>
                <w:rFonts w:ascii="Tw Cen MT" w:hAnsi="Tw Cen MT"/>
              </w:rPr>
            </w:pPr>
            <w:r w:rsidRPr="002B0F6E">
              <w:rPr>
                <w:rFonts w:ascii="Tw Cen MT" w:hAnsi="Tw Cen MT"/>
              </w:rPr>
              <w:t>64.0</w:t>
            </w:r>
          </w:p>
          <w:p w14:paraId="5C584444" w14:textId="77777777" w:rsidR="002B0F6E" w:rsidRPr="002B0F6E" w:rsidRDefault="002B0F6E" w:rsidP="002B0F6E">
            <w:pPr>
              <w:jc w:val="center"/>
              <w:rPr>
                <w:rFonts w:ascii="Tw Cen MT" w:hAnsi="Tw Cen MT"/>
              </w:rPr>
            </w:pPr>
            <w:r w:rsidRPr="002B0F6E">
              <w:rPr>
                <w:rFonts w:ascii="Tw Cen MT" w:hAnsi="Tw Cen MT"/>
              </w:rPr>
              <w:t>36.0</w:t>
            </w:r>
          </w:p>
        </w:tc>
      </w:tr>
      <w:tr w:rsidR="002B0F6E" w:rsidRPr="002B0F6E" w14:paraId="4920731C" w14:textId="77777777" w:rsidTr="002B0F6E">
        <w:trPr>
          <w:jc w:val="center"/>
        </w:trPr>
        <w:tc>
          <w:tcPr>
            <w:tcW w:w="2856" w:type="dxa"/>
            <w:tcBorders>
              <w:bottom w:val="single" w:sz="4" w:space="0" w:color="000000" w:themeColor="text1"/>
            </w:tcBorders>
          </w:tcPr>
          <w:p w14:paraId="490FC30B" w14:textId="77777777" w:rsidR="002B0F6E" w:rsidRPr="002B0F6E" w:rsidRDefault="002B0F6E" w:rsidP="002B0F6E">
            <w:pPr>
              <w:rPr>
                <w:rFonts w:ascii="Tw Cen MT" w:hAnsi="Tw Cen MT"/>
                <w:b/>
              </w:rPr>
            </w:pPr>
            <w:r w:rsidRPr="002B0F6E">
              <w:rPr>
                <w:rFonts w:ascii="Tw Cen MT" w:hAnsi="Tw Cen MT"/>
                <w:b/>
              </w:rPr>
              <w:t>Anggota Keluarga</w:t>
            </w:r>
          </w:p>
          <w:p w14:paraId="7CBA503D" w14:textId="77777777" w:rsidR="002B0F6E" w:rsidRPr="002B0F6E" w:rsidRDefault="002B0F6E" w:rsidP="002B0F6E">
            <w:pPr>
              <w:ind w:left="360"/>
              <w:rPr>
                <w:rFonts w:ascii="Tw Cen MT" w:hAnsi="Tw Cen MT"/>
              </w:rPr>
            </w:pPr>
            <w:r w:rsidRPr="002B0F6E">
              <w:rPr>
                <w:rFonts w:ascii="Tw Cen MT" w:hAnsi="Tw Cen MT"/>
              </w:rPr>
              <w:t>Keluarga Inti</w:t>
            </w:r>
          </w:p>
          <w:p w14:paraId="12A52CCC" w14:textId="77777777" w:rsidR="002B0F6E" w:rsidRPr="002B0F6E" w:rsidRDefault="002B0F6E" w:rsidP="002B0F6E">
            <w:pPr>
              <w:ind w:left="360"/>
              <w:rPr>
                <w:rFonts w:ascii="Tw Cen MT" w:hAnsi="Tw Cen MT"/>
              </w:rPr>
            </w:pPr>
            <w:r w:rsidRPr="002B0F6E">
              <w:rPr>
                <w:rFonts w:ascii="Tw Cen MT" w:hAnsi="Tw Cen MT"/>
              </w:rPr>
              <w:t>Bukan Keluarga Inti</w:t>
            </w:r>
          </w:p>
        </w:tc>
        <w:tc>
          <w:tcPr>
            <w:tcW w:w="459" w:type="dxa"/>
            <w:tcBorders>
              <w:bottom w:val="single" w:sz="4" w:space="0" w:color="000000" w:themeColor="text1"/>
            </w:tcBorders>
          </w:tcPr>
          <w:p w14:paraId="65B452AB" w14:textId="77777777" w:rsidR="002B0F6E" w:rsidRPr="002B0F6E" w:rsidRDefault="002B0F6E" w:rsidP="002B0F6E">
            <w:pPr>
              <w:jc w:val="center"/>
              <w:rPr>
                <w:rFonts w:ascii="Tw Cen MT" w:hAnsi="Tw Cen MT"/>
              </w:rPr>
            </w:pPr>
          </w:p>
          <w:p w14:paraId="51D44BAD" w14:textId="77777777" w:rsidR="002B0F6E" w:rsidRPr="002B0F6E" w:rsidRDefault="002B0F6E" w:rsidP="002B0F6E">
            <w:pPr>
              <w:jc w:val="center"/>
              <w:rPr>
                <w:rFonts w:ascii="Tw Cen MT" w:hAnsi="Tw Cen MT"/>
              </w:rPr>
            </w:pPr>
            <w:r w:rsidRPr="002B0F6E">
              <w:rPr>
                <w:rFonts w:ascii="Tw Cen MT" w:hAnsi="Tw Cen MT"/>
              </w:rPr>
              <w:t>99</w:t>
            </w:r>
          </w:p>
          <w:p w14:paraId="586818B8" w14:textId="77777777" w:rsidR="002B0F6E" w:rsidRPr="002B0F6E" w:rsidRDefault="002B0F6E" w:rsidP="002B0F6E">
            <w:pPr>
              <w:jc w:val="center"/>
              <w:rPr>
                <w:rFonts w:ascii="Tw Cen MT" w:hAnsi="Tw Cen MT"/>
              </w:rPr>
            </w:pPr>
            <w:r w:rsidRPr="002B0F6E">
              <w:rPr>
                <w:rFonts w:ascii="Tw Cen MT" w:hAnsi="Tw Cen MT"/>
              </w:rPr>
              <w:t>1</w:t>
            </w:r>
          </w:p>
        </w:tc>
        <w:tc>
          <w:tcPr>
            <w:tcW w:w="1005" w:type="dxa"/>
            <w:tcBorders>
              <w:bottom w:val="single" w:sz="4" w:space="0" w:color="000000" w:themeColor="text1"/>
            </w:tcBorders>
          </w:tcPr>
          <w:p w14:paraId="2C8921C3" w14:textId="77777777" w:rsidR="002B0F6E" w:rsidRPr="002B0F6E" w:rsidRDefault="002B0F6E" w:rsidP="002B0F6E">
            <w:pPr>
              <w:jc w:val="center"/>
              <w:rPr>
                <w:rFonts w:ascii="Tw Cen MT" w:hAnsi="Tw Cen MT"/>
              </w:rPr>
            </w:pPr>
          </w:p>
          <w:p w14:paraId="23E1044B" w14:textId="77777777" w:rsidR="002B0F6E" w:rsidRPr="002B0F6E" w:rsidRDefault="002B0F6E" w:rsidP="002B0F6E">
            <w:pPr>
              <w:jc w:val="center"/>
              <w:rPr>
                <w:rFonts w:ascii="Tw Cen MT" w:hAnsi="Tw Cen MT"/>
              </w:rPr>
            </w:pPr>
            <w:r w:rsidRPr="002B0F6E">
              <w:rPr>
                <w:rFonts w:ascii="Tw Cen MT" w:hAnsi="Tw Cen MT"/>
              </w:rPr>
              <w:t>99.0</w:t>
            </w:r>
          </w:p>
          <w:p w14:paraId="0A6E6B8B" w14:textId="77777777" w:rsidR="002B0F6E" w:rsidRPr="002B0F6E" w:rsidRDefault="002B0F6E" w:rsidP="002B0F6E">
            <w:pPr>
              <w:jc w:val="center"/>
              <w:rPr>
                <w:rFonts w:ascii="Tw Cen MT" w:hAnsi="Tw Cen MT"/>
              </w:rPr>
            </w:pPr>
            <w:r w:rsidRPr="002B0F6E">
              <w:rPr>
                <w:rFonts w:ascii="Tw Cen MT" w:hAnsi="Tw Cen MT"/>
              </w:rPr>
              <w:t>1.0</w:t>
            </w:r>
          </w:p>
        </w:tc>
      </w:tr>
    </w:tbl>
    <w:p w14:paraId="3725BE15" w14:textId="1ADA696D" w:rsidR="002B0F6E" w:rsidRPr="002B0F6E" w:rsidRDefault="002B0F6E" w:rsidP="002B0F6E">
      <w:pPr>
        <w:spacing w:after="0" w:line="240" w:lineRule="auto"/>
        <w:rPr>
          <w:rFonts w:ascii="Tw Cen MT" w:hAnsi="Tw Cen MT"/>
          <w:i/>
          <w:iCs/>
          <w:noProof/>
          <w:sz w:val="22"/>
          <w:szCs w:val="22"/>
          <w:lang w:eastAsia="id-ID"/>
        </w:rPr>
      </w:pPr>
      <w:r w:rsidRPr="002B0F6E">
        <w:rPr>
          <w:rFonts w:ascii="Tw Cen MT" w:hAnsi="Tw Cen MT"/>
          <w:i/>
          <w:iCs/>
          <w:noProof/>
          <w:sz w:val="22"/>
          <w:szCs w:val="22"/>
          <w:lang w:eastAsia="id-ID"/>
        </w:rPr>
        <w:t>*UMK (Rp2.950.088,28/per bulan)</w:t>
      </w:r>
    </w:p>
    <w:p w14:paraId="611C9BB7" w14:textId="51560406" w:rsidR="004E128A" w:rsidRPr="0096335E" w:rsidRDefault="004E128A" w:rsidP="004E128A">
      <w:pPr>
        <w:spacing w:after="0" w:line="240" w:lineRule="auto"/>
        <w:jc w:val="both"/>
        <w:rPr>
          <w:rFonts w:ascii="Tw Cen MT" w:hAnsi="Tw Cen MT"/>
          <w:sz w:val="24"/>
          <w:szCs w:val="24"/>
        </w:rPr>
      </w:pPr>
    </w:p>
    <w:p w14:paraId="611C3046" w14:textId="5A4C651B" w:rsidR="00667F2E" w:rsidRDefault="0053164C" w:rsidP="00B13BB3">
      <w:pPr>
        <w:spacing w:after="0" w:line="240" w:lineRule="auto"/>
        <w:jc w:val="both"/>
        <w:rPr>
          <w:rFonts w:ascii="Tw Cen MT" w:eastAsia="Twentieth Century" w:hAnsi="Tw Cen MT" w:cs="Twentieth Century"/>
          <w:sz w:val="24"/>
          <w:szCs w:val="24"/>
        </w:rPr>
      </w:pPr>
      <w:r w:rsidRPr="0053164C">
        <w:rPr>
          <w:rFonts w:ascii="Tw Cen MT" w:eastAsia="Twentieth Century" w:hAnsi="Tw Cen MT" w:cs="Twentieth Century"/>
          <w:sz w:val="24"/>
          <w:szCs w:val="24"/>
        </w:rPr>
        <w:t xml:space="preserve">Berdasarkan Tabel 1, sebanyak 43% ibu memiliki status gizi normal, 3% underweight dan 54% overweight dan obesitas. </w:t>
      </w:r>
      <w:r w:rsidRPr="0053164C">
        <w:rPr>
          <w:rFonts w:ascii="Tw Cen MT" w:eastAsia="Twentieth Century" w:hAnsi="Tw Cen MT" w:cs="Twentieth Century"/>
          <w:sz w:val="24"/>
          <w:szCs w:val="24"/>
          <w:lang w:val="pt-BR"/>
        </w:rPr>
        <w:t xml:space="preserve">Nilai rata-rata IMT ibu sebesar 23.62 dengan IMT terendah adalah 17.33 dan tertinggi sebesar 36.51. </w:t>
      </w:r>
      <w:r w:rsidRPr="0053164C">
        <w:rPr>
          <w:rFonts w:ascii="Tw Cen MT" w:eastAsia="Twentieth Century" w:hAnsi="Tw Cen MT" w:cs="Twentieth Century"/>
          <w:sz w:val="24"/>
          <w:szCs w:val="24"/>
        </w:rPr>
        <w:t>Sebanyak 81% ibu tidak bekerja, dan 60% memiliki pendidikan terakhir tamat SMA. Karakteristik balita yang menjadi sampel penelitian dapat dilihat ada Tabel 2.</w:t>
      </w:r>
    </w:p>
    <w:p w14:paraId="532A195F" w14:textId="77777777" w:rsidR="00667F2E" w:rsidRDefault="00667F2E" w:rsidP="00B13BB3">
      <w:pPr>
        <w:spacing w:after="0" w:line="240" w:lineRule="auto"/>
        <w:jc w:val="both"/>
        <w:rPr>
          <w:rFonts w:ascii="Tw Cen MT" w:eastAsia="Twentieth Century" w:hAnsi="Tw Cen MT" w:cs="Twentieth Century"/>
          <w:sz w:val="24"/>
          <w:szCs w:val="24"/>
        </w:rPr>
      </w:pPr>
    </w:p>
    <w:p w14:paraId="3668BE2F" w14:textId="77777777" w:rsidR="00667F2E" w:rsidRPr="00C5696F" w:rsidRDefault="00667F2E" w:rsidP="00667F2E">
      <w:pPr>
        <w:spacing w:after="0" w:line="240" w:lineRule="auto"/>
        <w:jc w:val="center"/>
        <w:rPr>
          <w:rFonts w:ascii="Tw Cen MT" w:eastAsia="Twentieth Century" w:hAnsi="Tw Cen MT" w:cs="Twentieth Century"/>
          <w:sz w:val="22"/>
          <w:szCs w:val="22"/>
        </w:rPr>
      </w:pPr>
      <w:r w:rsidRPr="00C5696F">
        <w:rPr>
          <w:rFonts w:ascii="Tw Cen MT" w:eastAsia="Twentieth Century" w:hAnsi="Tw Cen MT" w:cs="Twentieth Century"/>
          <w:sz w:val="22"/>
          <w:szCs w:val="22"/>
        </w:rPr>
        <w:t>Tabel 2. Karakteristik Balita</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843"/>
        <w:gridCol w:w="851"/>
        <w:gridCol w:w="850"/>
      </w:tblGrid>
      <w:tr w:rsidR="00667F2E" w:rsidRPr="00231730" w14:paraId="30546EE4" w14:textId="77777777" w:rsidTr="00E92B67">
        <w:trPr>
          <w:tblHeader/>
          <w:jc w:val="center"/>
        </w:trPr>
        <w:tc>
          <w:tcPr>
            <w:tcW w:w="1843" w:type="dxa"/>
          </w:tcPr>
          <w:p w14:paraId="6B54EFB5" w14:textId="77777777" w:rsidR="00667F2E" w:rsidRPr="0053164C" w:rsidRDefault="00667F2E" w:rsidP="00E92B67">
            <w:pPr>
              <w:rPr>
                <w:rFonts w:ascii="Tw Cen MT" w:hAnsi="Tw Cen MT"/>
                <w:b/>
              </w:rPr>
            </w:pPr>
            <w:r w:rsidRPr="0053164C">
              <w:rPr>
                <w:rFonts w:ascii="Tw Cen MT" w:hAnsi="Tw Cen MT"/>
                <w:b/>
              </w:rPr>
              <w:lastRenderedPageBreak/>
              <w:t>Karakteristik Responden</w:t>
            </w:r>
          </w:p>
        </w:tc>
        <w:tc>
          <w:tcPr>
            <w:tcW w:w="851" w:type="dxa"/>
          </w:tcPr>
          <w:p w14:paraId="347CDC67" w14:textId="77777777" w:rsidR="00667F2E" w:rsidRPr="0053164C" w:rsidRDefault="00667F2E" w:rsidP="00E92B67">
            <w:pPr>
              <w:rPr>
                <w:rFonts w:ascii="Tw Cen MT" w:hAnsi="Tw Cen MT"/>
                <w:b/>
              </w:rPr>
            </w:pPr>
            <w:r w:rsidRPr="0053164C">
              <w:rPr>
                <w:rFonts w:ascii="Tw Cen MT" w:hAnsi="Tw Cen MT"/>
                <w:b/>
              </w:rPr>
              <w:t>N</w:t>
            </w:r>
          </w:p>
        </w:tc>
        <w:tc>
          <w:tcPr>
            <w:tcW w:w="850" w:type="dxa"/>
          </w:tcPr>
          <w:p w14:paraId="352039C1" w14:textId="77777777" w:rsidR="00667F2E" w:rsidRPr="0053164C" w:rsidRDefault="00667F2E" w:rsidP="00E92B67">
            <w:pPr>
              <w:rPr>
                <w:rFonts w:ascii="Tw Cen MT" w:hAnsi="Tw Cen MT"/>
                <w:b/>
              </w:rPr>
            </w:pPr>
            <w:r w:rsidRPr="0053164C">
              <w:rPr>
                <w:rFonts w:ascii="Tw Cen MT" w:hAnsi="Tw Cen MT"/>
                <w:b/>
              </w:rPr>
              <w:t>%</w:t>
            </w:r>
          </w:p>
        </w:tc>
      </w:tr>
      <w:tr w:rsidR="00667F2E" w:rsidRPr="00231730" w14:paraId="24A74AA2" w14:textId="77777777" w:rsidTr="00E92B67">
        <w:trPr>
          <w:tblHeader/>
          <w:jc w:val="center"/>
        </w:trPr>
        <w:tc>
          <w:tcPr>
            <w:tcW w:w="1843" w:type="dxa"/>
          </w:tcPr>
          <w:p w14:paraId="322EE923" w14:textId="77777777" w:rsidR="00667F2E" w:rsidRPr="0053164C" w:rsidRDefault="00667F2E" w:rsidP="00E92B67">
            <w:pPr>
              <w:rPr>
                <w:rFonts w:ascii="Tw Cen MT" w:hAnsi="Tw Cen MT"/>
                <w:b/>
              </w:rPr>
            </w:pPr>
            <w:r w:rsidRPr="0053164C">
              <w:rPr>
                <w:rFonts w:ascii="Tw Cen MT" w:hAnsi="Tw Cen MT"/>
                <w:b/>
              </w:rPr>
              <w:t>Usia Anak</w:t>
            </w:r>
          </w:p>
          <w:p w14:paraId="4CB2A20E" w14:textId="77777777" w:rsidR="00667F2E" w:rsidRPr="0053164C" w:rsidRDefault="00667F2E" w:rsidP="00E92B67">
            <w:pPr>
              <w:ind w:left="360"/>
              <w:rPr>
                <w:rFonts w:ascii="Tw Cen MT" w:hAnsi="Tw Cen MT"/>
              </w:rPr>
            </w:pPr>
            <w:r w:rsidRPr="0053164C">
              <w:rPr>
                <w:rFonts w:ascii="Tw Cen MT" w:hAnsi="Tw Cen MT"/>
              </w:rPr>
              <w:t>6-11 bulan</w:t>
            </w:r>
          </w:p>
          <w:p w14:paraId="7BFFD1B8" w14:textId="77777777" w:rsidR="00667F2E" w:rsidRPr="0053164C" w:rsidRDefault="00667F2E" w:rsidP="00E92B67">
            <w:pPr>
              <w:ind w:left="360"/>
              <w:rPr>
                <w:rFonts w:ascii="Tw Cen MT" w:hAnsi="Tw Cen MT"/>
              </w:rPr>
            </w:pPr>
            <w:r w:rsidRPr="0053164C">
              <w:rPr>
                <w:rFonts w:ascii="Tw Cen MT" w:hAnsi="Tw Cen MT"/>
              </w:rPr>
              <w:t>12-24 bulan</w:t>
            </w:r>
          </w:p>
        </w:tc>
        <w:tc>
          <w:tcPr>
            <w:tcW w:w="851" w:type="dxa"/>
          </w:tcPr>
          <w:p w14:paraId="201D697F" w14:textId="77777777" w:rsidR="00667F2E" w:rsidRPr="0053164C" w:rsidRDefault="00667F2E" w:rsidP="00E92B67">
            <w:pPr>
              <w:rPr>
                <w:rFonts w:ascii="Tw Cen MT" w:hAnsi="Tw Cen MT"/>
              </w:rPr>
            </w:pPr>
          </w:p>
          <w:p w14:paraId="2364E51C" w14:textId="77777777" w:rsidR="00667F2E" w:rsidRPr="0053164C" w:rsidRDefault="00667F2E" w:rsidP="00E92B67">
            <w:pPr>
              <w:rPr>
                <w:rFonts w:ascii="Tw Cen MT" w:hAnsi="Tw Cen MT"/>
              </w:rPr>
            </w:pPr>
            <w:r w:rsidRPr="0053164C">
              <w:rPr>
                <w:rFonts w:ascii="Tw Cen MT" w:hAnsi="Tw Cen MT"/>
              </w:rPr>
              <w:t>36</w:t>
            </w:r>
          </w:p>
          <w:p w14:paraId="70B630F2" w14:textId="77777777" w:rsidR="00667F2E" w:rsidRPr="0053164C" w:rsidRDefault="00667F2E" w:rsidP="00E92B67">
            <w:pPr>
              <w:rPr>
                <w:rFonts w:ascii="Tw Cen MT" w:hAnsi="Tw Cen MT"/>
              </w:rPr>
            </w:pPr>
            <w:r w:rsidRPr="0053164C">
              <w:rPr>
                <w:rFonts w:ascii="Tw Cen MT" w:hAnsi="Tw Cen MT"/>
              </w:rPr>
              <w:t>64</w:t>
            </w:r>
          </w:p>
        </w:tc>
        <w:tc>
          <w:tcPr>
            <w:tcW w:w="850" w:type="dxa"/>
          </w:tcPr>
          <w:p w14:paraId="1880A296" w14:textId="77777777" w:rsidR="00667F2E" w:rsidRPr="0053164C" w:rsidRDefault="00667F2E" w:rsidP="00E92B67">
            <w:pPr>
              <w:rPr>
                <w:rFonts w:ascii="Tw Cen MT" w:hAnsi="Tw Cen MT"/>
              </w:rPr>
            </w:pPr>
          </w:p>
          <w:p w14:paraId="19EA12E9" w14:textId="77777777" w:rsidR="00667F2E" w:rsidRPr="0053164C" w:rsidRDefault="00667F2E" w:rsidP="00E92B67">
            <w:pPr>
              <w:rPr>
                <w:rFonts w:ascii="Tw Cen MT" w:hAnsi="Tw Cen MT"/>
              </w:rPr>
            </w:pPr>
            <w:r w:rsidRPr="0053164C">
              <w:rPr>
                <w:rFonts w:ascii="Tw Cen MT" w:hAnsi="Tw Cen MT"/>
              </w:rPr>
              <w:t>36.0</w:t>
            </w:r>
          </w:p>
          <w:p w14:paraId="43E433E2" w14:textId="77777777" w:rsidR="00667F2E" w:rsidRPr="0053164C" w:rsidRDefault="00667F2E" w:rsidP="00E92B67">
            <w:pPr>
              <w:rPr>
                <w:rFonts w:ascii="Tw Cen MT" w:hAnsi="Tw Cen MT"/>
              </w:rPr>
            </w:pPr>
            <w:r w:rsidRPr="0053164C">
              <w:rPr>
                <w:rFonts w:ascii="Tw Cen MT" w:hAnsi="Tw Cen MT"/>
              </w:rPr>
              <w:t>64.0</w:t>
            </w:r>
          </w:p>
        </w:tc>
      </w:tr>
      <w:tr w:rsidR="00667F2E" w:rsidRPr="00231730" w14:paraId="2F5D1BA5" w14:textId="77777777" w:rsidTr="00E92B67">
        <w:trPr>
          <w:tblHeader/>
          <w:jc w:val="center"/>
        </w:trPr>
        <w:tc>
          <w:tcPr>
            <w:tcW w:w="1843" w:type="dxa"/>
          </w:tcPr>
          <w:p w14:paraId="40E6E10C" w14:textId="77777777" w:rsidR="00667F2E" w:rsidRPr="0053164C" w:rsidRDefault="00667F2E" w:rsidP="00E92B67">
            <w:pPr>
              <w:rPr>
                <w:rFonts w:ascii="Tw Cen MT" w:hAnsi="Tw Cen MT"/>
                <w:b/>
              </w:rPr>
            </w:pPr>
            <w:r w:rsidRPr="0053164C">
              <w:rPr>
                <w:rFonts w:ascii="Tw Cen MT" w:hAnsi="Tw Cen MT"/>
                <w:b/>
              </w:rPr>
              <w:t>Jenis Kelamin</w:t>
            </w:r>
          </w:p>
          <w:p w14:paraId="74546C09" w14:textId="77777777" w:rsidR="00667F2E" w:rsidRPr="0053164C" w:rsidRDefault="00667F2E" w:rsidP="00E92B67">
            <w:pPr>
              <w:ind w:left="360"/>
              <w:rPr>
                <w:rFonts w:ascii="Tw Cen MT" w:hAnsi="Tw Cen MT"/>
              </w:rPr>
            </w:pPr>
            <w:r w:rsidRPr="0053164C">
              <w:rPr>
                <w:rFonts w:ascii="Tw Cen MT" w:hAnsi="Tw Cen MT"/>
              </w:rPr>
              <w:t>Laki-laki</w:t>
            </w:r>
          </w:p>
          <w:p w14:paraId="65C19DF0" w14:textId="77777777" w:rsidR="00667F2E" w:rsidRPr="0053164C" w:rsidRDefault="00667F2E" w:rsidP="00E92B67">
            <w:pPr>
              <w:ind w:left="360"/>
              <w:rPr>
                <w:rFonts w:ascii="Tw Cen MT" w:hAnsi="Tw Cen MT"/>
              </w:rPr>
            </w:pPr>
            <w:r w:rsidRPr="0053164C">
              <w:rPr>
                <w:rFonts w:ascii="Tw Cen MT" w:hAnsi="Tw Cen MT"/>
              </w:rPr>
              <w:t>Perempuan</w:t>
            </w:r>
          </w:p>
        </w:tc>
        <w:tc>
          <w:tcPr>
            <w:tcW w:w="851" w:type="dxa"/>
          </w:tcPr>
          <w:p w14:paraId="4FD4E604" w14:textId="77777777" w:rsidR="00667F2E" w:rsidRPr="0053164C" w:rsidRDefault="00667F2E" w:rsidP="00E92B67">
            <w:pPr>
              <w:rPr>
                <w:rFonts w:ascii="Tw Cen MT" w:hAnsi="Tw Cen MT"/>
              </w:rPr>
            </w:pPr>
          </w:p>
          <w:p w14:paraId="3588FB86" w14:textId="77777777" w:rsidR="00667F2E" w:rsidRPr="0053164C" w:rsidRDefault="00667F2E" w:rsidP="00E92B67">
            <w:pPr>
              <w:rPr>
                <w:rFonts w:ascii="Tw Cen MT" w:hAnsi="Tw Cen MT"/>
              </w:rPr>
            </w:pPr>
            <w:r w:rsidRPr="0053164C">
              <w:rPr>
                <w:rFonts w:ascii="Tw Cen MT" w:hAnsi="Tw Cen MT"/>
              </w:rPr>
              <w:t>49</w:t>
            </w:r>
          </w:p>
          <w:p w14:paraId="632615E0" w14:textId="77777777" w:rsidR="00667F2E" w:rsidRPr="0053164C" w:rsidRDefault="00667F2E" w:rsidP="00E92B67">
            <w:pPr>
              <w:rPr>
                <w:rFonts w:ascii="Tw Cen MT" w:hAnsi="Tw Cen MT"/>
              </w:rPr>
            </w:pPr>
            <w:r w:rsidRPr="0053164C">
              <w:rPr>
                <w:rFonts w:ascii="Tw Cen MT" w:hAnsi="Tw Cen MT"/>
              </w:rPr>
              <w:t>51</w:t>
            </w:r>
          </w:p>
        </w:tc>
        <w:tc>
          <w:tcPr>
            <w:tcW w:w="850" w:type="dxa"/>
          </w:tcPr>
          <w:p w14:paraId="4722162E" w14:textId="77777777" w:rsidR="00667F2E" w:rsidRPr="0053164C" w:rsidRDefault="00667F2E" w:rsidP="00E92B67">
            <w:pPr>
              <w:rPr>
                <w:rFonts w:ascii="Tw Cen MT" w:hAnsi="Tw Cen MT"/>
              </w:rPr>
            </w:pPr>
          </w:p>
          <w:p w14:paraId="01B9BA75" w14:textId="77777777" w:rsidR="00667F2E" w:rsidRPr="0053164C" w:rsidRDefault="00667F2E" w:rsidP="00E92B67">
            <w:pPr>
              <w:rPr>
                <w:rFonts w:ascii="Tw Cen MT" w:hAnsi="Tw Cen MT"/>
              </w:rPr>
            </w:pPr>
            <w:r w:rsidRPr="0053164C">
              <w:rPr>
                <w:rFonts w:ascii="Tw Cen MT" w:hAnsi="Tw Cen MT"/>
              </w:rPr>
              <w:t>49.0</w:t>
            </w:r>
          </w:p>
          <w:p w14:paraId="4D32C284" w14:textId="77777777" w:rsidR="00667F2E" w:rsidRPr="0053164C" w:rsidRDefault="00667F2E" w:rsidP="00E92B67">
            <w:pPr>
              <w:rPr>
                <w:rFonts w:ascii="Tw Cen MT" w:hAnsi="Tw Cen MT"/>
              </w:rPr>
            </w:pPr>
            <w:r w:rsidRPr="0053164C">
              <w:rPr>
                <w:rFonts w:ascii="Tw Cen MT" w:hAnsi="Tw Cen MT"/>
              </w:rPr>
              <w:t>51.0</w:t>
            </w:r>
          </w:p>
        </w:tc>
      </w:tr>
      <w:tr w:rsidR="00667F2E" w:rsidRPr="00231730" w14:paraId="7AECE609" w14:textId="77777777" w:rsidTr="00E92B67">
        <w:trPr>
          <w:tblHeader/>
          <w:jc w:val="center"/>
        </w:trPr>
        <w:tc>
          <w:tcPr>
            <w:tcW w:w="1843" w:type="dxa"/>
          </w:tcPr>
          <w:p w14:paraId="21FA63AF" w14:textId="77777777" w:rsidR="00667F2E" w:rsidRPr="0053164C" w:rsidRDefault="00667F2E" w:rsidP="00E92B67">
            <w:pPr>
              <w:rPr>
                <w:rFonts w:ascii="Tw Cen MT" w:hAnsi="Tw Cen MT"/>
                <w:b/>
              </w:rPr>
            </w:pPr>
            <w:r w:rsidRPr="0053164C">
              <w:rPr>
                <w:rFonts w:ascii="Tw Cen MT" w:hAnsi="Tw Cen MT"/>
                <w:b/>
              </w:rPr>
              <w:t>BB Lahir</w:t>
            </w:r>
          </w:p>
          <w:p w14:paraId="1DCEE2C7" w14:textId="77777777" w:rsidR="00667F2E" w:rsidRPr="0053164C" w:rsidRDefault="00667F2E" w:rsidP="00E92B67">
            <w:pPr>
              <w:ind w:left="360"/>
              <w:rPr>
                <w:rFonts w:ascii="Tw Cen MT" w:hAnsi="Tw Cen MT"/>
              </w:rPr>
            </w:pPr>
            <w:r w:rsidRPr="0053164C">
              <w:rPr>
                <w:rFonts w:ascii="Tw Cen MT" w:hAnsi="Tw Cen MT"/>
              </w:rPr>
              <w:t>&lt; 2500gr</w:t>
            </w:r>
          </w:p>
          <w:p w14:paraId="24DEBA98" w14:textId="77777777" w:rsidR="00667F2E" w:rsidRPr="0053164C" w:rsidRDefault="00667F2E" w:rsidP="00E92B67">
            <w:pPr>
              <w:ind w:left="360"/>
              <w:rPr>
                <w:rFonts w:ascii="Tw Cen MT" w:hAnsi="Tw Cen MT"/>
              </w:rPr>
            </w:pPr>
            <w:r w:rsidRPr="0053164C">
              <w:rPr>
                <w:rFonts w:ascii="Tw Cen MT" w:hAnsi="Tw Cen MT"/>
              </w:rPr>
              <w:t>≥ 2500gr</w:t>
            </w:r>
          </w:p>
        </w:tc>
        <w:tc>
          <w:tcPr>
            <w:tcW w:w="851" w:type="dxa"/>
          </w:tcPr>
          <w:p w14:paraId="0FA92BF1" w14:textId="77777777" w:rsidR="00667F2E" w:rsidRPr="0053164C" w:rsidRDefault="00667F2E" w:rsidP="00E92B67">
            <w:pPr>
              <w:rPr>
                <w:rFonts w:ascii="Tw Cen MT" w:hAnsi="Tw Cen MT"/>
              </w:rPr>
            </w:pPr>
          </w:p>
          <w:p w14:paraId="68078468" w14:textId="77777777" w:rsidR="00667F2E" w:rsidRPr="0053164C" w:rsidRDefault="00667F2E" w:rsidP="00E92B67">
            <w:pPr>
              <w:rPr>
                <w:rFonts w:ascii="Tw Cen MT" w:hAnsi="Tw Cen MT"/>
              </w:rPr>
            </w:pPr>
            <w:r w:rsidRPr="0053164C">
              <w:rPr>
                <w:rFonts w:ascii="Tw Cen MT" w:hAnsi="Tw Cen MT"/>
              </w:rPr>
              <w:t>22</w:t>
            </w:r>
          </w:p>
          <w:p w14:paraId="036F6B0B" w14:textId="77777777" w:rsidR="00667F2E" w:rsidRPr="0053164C" w:rsidRDefault="00667F2E" w:rsidP="00E92B67">
            <w:pPr>
              <w:rPr>
                <w:rFonts w:ascii="Tw Cen MT" w:hAnsi="Tw Cen MT"/>
              </w:rPr>
            </w:pPr>
            <w:r w:rsidRPr="0053164C">
              <w:rPr>
                <w:rFonts w:ascii="Tw Cen MT" w:hAnsi="Tw Cen MT"/>
              </w:rPr>
              <w:t>78</w:t>
            </w:r>
          </w:p>
        </w:tc>
        <w:tc>
          <w:tcPr>
            <w:tcW w:w="850" w:type="dxa"/>
          </w:tcPr>
          <w:p w14:paraId="646A2FA1" w14:textId="77777777" w:rsidR="00667F2E" w:rsidRPr="0053164C" w:rsidRDefault="00667F2E" w:rsidP="00E92B67">
            <w:pPr>
              <w:rPr>
                <w:rFonts w:ascii="Tw Cen MT" w:hAnsi="Tw Cen MT"/>
              </w:rPr>
            </w:pPr>
          </w:p>
          <w:p w14:paraId="58B21AE3" w14:textId="77777777" w:rsidR="00667F2E" w:rsidRPr="0053164C" w:rsidRDefault="00667F2E" w:rsidP="00E92B67">
            <w:pPr>
              <w:rPr>
                <w:rFonts w:ascii="Tw Cen MT" w:hAnsi="Tw Cen MT"/>
              </w:rPr>
            </w:pPr>
            <w:r w:rsidRPr="0053164C">
              <w:rPr>
                <w:rFonts w:ascii="Tw Cen MT" w:hAnsi="Tw Cen MT"/>
              </w:rPr>
              <w:t>22.0</w:t>
            </w:r>
          </w:p>
          <w:p w14:paraId="43BE69C8" w14:textId="77777777" w:rsidR="00667F2E" w:rsidRPr="0053164C" w:rsidRDefault="00667F2E" w:rsidP="00E92B67">
            <w:pPr>
              <w:rPr>
                <w:rFonts w:ascii="Tw Cen MT" w:hAnsi="Tw Cen MT"/>
              </w:rPr>
            </w:pPr>
            <w:r w:rsidRPr="0053164C">
              <w:rPr>
                <w:rFonts w:ascii="Tw Cen MT" w:hAnsi="Tw Cen MT"/>
              </w:rPr>
              <w:t>78.0</w:t>
            </w:r>
          </w:p>
        </w:tc>
      </w:tr>
      <w:tr w:rsidR="00667F2E" w:rsidRPr="00231730" w14:paraId="2C4D6384" w14:textId="77777777" w:rsidTr="00E92B67">
        <w:trPr>
          <w:tblHeader/>
          <w:jc w:val="center"/>
        </w:trPr>
        <w:tc>
          <w:tcPr>
            <w:tcW w:w="1843" w:type="dxa"/>
          </w:tcPr>
          <w:p w14:paraId="6D41D2F0" w14:textId="77777777" w:rsidR="00667F2E" w:rsidRPr="0053164C" w:rsidRDefault="00667F2E" w:rsidP="00E92B67">
            <w:pPr>
              <w:rPr>
                <w:rFonts w:ascii="Tw Cen MT" w:hAnsi="Tw Cen MT"/>
                <w:b/>
              </w:rPr>
            </w:pPr>
            <w:r w:rsidRPr="0053164C">
              <w:rPr>
                <w:rFonts w:ascii="Tw Cen MT" w:hAnsi="Tw Cen MT"/>
                <w:b/>
              </w:rPr>
              <w:t>B Lahir</w:t>
            </w:r>
          </w:p>
          <w:p w14:paraId="11464224" w14:textId="77777777" w:rsidR="00667F2E" w:rsidRPr="0053164C" w:rsidRDefault="00667F2E" w:rsidP="00E92B67">
            <w:pPr>
              <w:ind w:left="360"/>
              <w:rPr>
                <w:rFonts w:ascii="Tw Cen MT" w:hAnsi="Tw Cen MT"/>
              </w:rPr>
            </w:pPr>
            <w:r w:rsidRPr="0053164C">
              <w:rPr>
                <w:rFonts w:ascii="Tw Cen MT" w:hAnsi="Tw Cen MT"/>
              </w:rPr>
              <w:t>&lt; 48cm</w:t>
            </w:r>
          </w:p>
          <w:p w14:paraId="4F6429C8" w14:textId="77777777" w:rsidR="00667F2E" w:rsidRPr="0053164C" w:rsidRDefault="00667F2E" w:rsidP="00E92B67">
            <w:pPr>
              <w:ind w:left="360"/>
              <w:rPr>
                <w:rFonts w:ascii="Tw Cen MT" w:hAnsi="Tw Cen MT"/>
              </w:rPr>
            </w:pPr>
            <w:r w:rsidRPr="0053164C">
              <w:rPr>
                <w:rFonts w:ascii="Tw Cen MT" w:hAnsi="Tw Cen MT"/>
              </w:rPr>
              <w:t>≥ 48cm</w:t>
            </w:r>
          </w:p>
        </w:tc>
        <w:tc>
          <w:tcPr>
            <w:tcW w:w="851" w:type="dxa"/>
          </w:tcPr>
          <w:p w14:paraId="50A3BB2B" w14:textId="77777777" w:rsidR="00667F2E" w:rsidRPr="0053164C" w:rsidRDefault="00667F2E" w:rsidP="00E92B67">
            <w:pPr>
              <w:rPr>
                <w:rFonts w:ascii="Tw Cen MT" w:hAnsi="Tw Cen MT"/>
              </w:rPr>
            </w:pPr>
          </w:p>
          <w:p w14:paraId="34502E79" w14:textId="77777777" w:rsidR="00667F2E" w:rsidRPr="0053164C" w:rsidRDefault="00667F2E" w:rsidP="00E92B67">
            <w:pPr>
              <w:rPr>
                <w:rFonts w:ascii="Tw Cen MT" w:hAnsi="Tw Cen MT"/>
              </w:rPr>
            </w:pPr>
            <w:r w:rsidRPr="0053164C">
              <w:rPr>
                <w:rFonts w:ascii="Tw Cen MT" w:hAnsi="Tw Cen MT"/>
              </w:rPr>
              <w:t>68</w:t>
            </w:r>
          </w:p>
          <w:p w14:paraId="0313A73C" w14:textId="77777777" w:rsidR="00667F2E" w:rsidRPr="0053164C" w:rsidRDefault="00667F2E" w:rsidP="00E92B67">
            <w:pPr>
              <w:rPr>
                <w:rFonts w:ascii="Tw Cen MT" w:hAnsi="Tw Cen MT"/>
              </w:rPr>
            </w:pPr>
            <w:r w:rsidRPr="0053164C">
              <w:rPr>
                <w:rFonts w:ascii="Tw Cen MT" w:hAnsi="Tw Cen MT"/>
              </w:rPr>
              <w:t>32</w:t>
            </w:r>
          </w:p>
        </w:tc>
        <w:tc>
          <w:tcPr>
            <w:tcW w:w="850" w:type="dxa"/>
          </w:tcPr>
          <w:p w14:paraId="24036305" w14:textId="77777777" w:rsidR="00667F2E" w:rsidRPr="0053164C" w:rsidRDefault="00667F2E" w:rsidP="00E92B67">
            <w:pPr>
              <w:rPr>
                <w:rFonts w:ascii="Tw Cen MT" w:hAnsi="Tw Cen MT"/>
              </w:rPr>
            </w:pPr>
          </w:p>
          <w:p w14:paraId="30FA6F77" w14:textId="77777777" w:rsidR="00667F2E" w:rsidRPr="0053164C" w:rsidRDefault="00667F2E" w:rsidP="00E92B67">
            <w:pPr>
              <w:rPr>
                <w:rFonts w:ascii="Tw Cen MT" w:hAnsi="Tw Cen MT"/>
              </w:rPr>
            </w:pPr>
            <w:r w:rsidRPr="0053164C">
              <w:rPr>
                <w:rFonts w:ascii="Tw Cen MT" w:hAnsi="Tw Cen MT"/>
              </w:rPr>
              <w:t>68.0</w:t>
            </w:r>
          </w:p>
          <w:p w14:paraId="1292FF00" w14:textId="77777777" w:rsidR="00667F2E" w:rsidRPr="0053164C" w:rsidRDefault="00667F2E" w:rsidP="00E92B67">
            <w:pPr>
              <w:rPr>
                <w:rFonts w:ascii="Tw Cen MT" w:hAnsi="Tw Cen MT"/>
              </w:rPr>
            </w:pPr>
            <w:r w:rsidRPr="0053164C">
              <w:rPr>
                <w:rFonts w:ascii="Tw Cen MT" w:hAnsi="Tw Cen MT"/>
              </w:rPr>
              <w:t>32.0</w:t>
            </w:r>
          </w:p>
        </w:tc>
      </w:tr>
      <w:tr w:rsidR="00667F2E" w:rsidRPr="00231730" w14:paraId="24C80FF2" w14:textId="77777777" w:rsidTr="00E92B67">
        <w:trPr>
          <w:tblHeader/>
          <w:jc w:val="center"/>
        </w:trPr>
        <w:tc>
          <w:tcPr>
            <w:tcW w:w="1843" w:type="dxa"/>
          </w:tcPr>
          <w:p w14:paraId="2FEF817E" w14:textId="77777777" w:rsidR="00667F2E" w:rsidRPr="0053164C" w:rsidRDefault="00667F2E" w:rsidP="00E92B67">
            <w:pPr>
              <w:rPr>
                <w:rFonts w:ascii="Tw Cen MT" w:hAnsi="Tw Cen MT"/>
                <w:b/>
              </w:rPr>
            </w:pPr>
            <w:r w:rsidRPr="0053164C">
              <w:rPr>
                <w:rFonts w:ascii="Tw Cen MT" w:hAnsi="Tw Cen MT"/>
                <w:b/>
              </w:rPr>
              <w:t>Status Gizi Balita Berdasarkan TB/U</w:t>
            </w:r>
          </w:p>
          <w:p w14:paraId="12477DA4" w14:textId="77777777" w:rsidR="00667F2E" w:rsidRPr="0053164C" w:rsidRDefault="00667F2E" w:rsidP="00E92B67">
            <w:pPr>
              <w:ind w:left="360"/>
              <w:rPr>
                <w:rFonts w:ascii="Tw Cen MT" w:hAnsi="Tw Cen MT"/>
              </w:rPr>
            </w:pPr>
            <w:r w:rsidRPr="0053164C">
              <w:rPr>
                <w:rFonts w:ascii="Tw Cen MT" w:hAnsi="Tw Cen MT"/>
              </w:rPr>
              <w:t>stunting</w:t>
            </w:r>
          </w:p>
          <w:p w14:paraId="5BABBF43" w14:textId="77777777" w:rsidR="00667F2E" w:rsidRPr="0053164C" w:rsidRDefault="00667F2E" w:rsidP="00E92B67">
            <w:pPr>
              <w:ind w:left="360"/>
              <w:rPr>
                <w:rFonts w:ascii="Tw Cen MT" w:hAnsi="Tw Cen MT"/>
              </w:rPr>
            </w:pPr>
            <w:r w:rsidRPr="0053164C">
              <w:rPr>
                <w:rFonts w:ascii="Tw Cen MT" w:hAnsi="Tw Cen MT"/>
              </w:rPr>
              <w:t>tidak stunting</w:t>
            </w:r>
          </w:p>
        </w:tc>
        <w:tc>
          <w:tcPr>
            <w:tcW w:w="851" w:type="dxa"/>
          </w:tcPr>
          <w:p w14:paraId="66D56081" w14:textId="77777777" w:rsidR="00667F2E" w:rsidRPr="0053164C" w:rsidRDefault="00667F2E" w:rsidP="00E92B67">
            <w:pPr>
              <w:rPr>
                <w:rFonts w:ascii="Tw Cen MT" w:hAnsi="Tw Cen MT"/>
              </w:rPr>
            </w:pPr>
          </w:p>
          <w:p w14:paraId="22E415AC" w14:textId="77777777" w:rsidR="00667F2E" w:rsidRPr="0053164C" w:rsidRDefault="00667F2E" w:rsidP="00E92B67">
            <w:pPr>
              <w:rPr>
                <w:rFonts w:ascii="Tw Cen MT" w:hAnsi="Tw Cen MT"/>
              </w:rPr>
            </w:pPr>
            <w:r w:rsidRPr="0053164C">
              <w:rPr>
                <w:rFonts w:ascii="Tw Cen MT" w:hAnsi="Tw Cen MT"/>
              </w:rPr>
              <w:t>17</w:t>
            </w:r>
          </w:p>
          <w:p w14:paraId="2320350A" w14:textId="77777777" w:rsidR="00667F2E" w:rsidRPr="0053164C" w:rsidRDefault="00667F2E" w:rsidP="00E92B67">
            <w:pPr>
              <w:rPr>
                <w:rFonts w:ascii="Tw Cen MT" w:hAnsi="Tw Cen MT"/>
              </w:rPr>
            </w:pPr>
            <w:r w:rsidRPr="0053164C">
              <w:rPr>
                <w:rFonts w:ascii="Tw Cen MT" w:hAnsi="Tw Cen MT"/>
              </w:rPr>
              <w:t>83</w:t>
            </w:r>
          </w:p>
        </w:tc>
        <w:tc>
          <w:tcPr>
            <w:tcW w:w="850" w:type="dxa"/>
          </w:tcPr>
          <w:p w14:paraId="259F7409" w14:textId="77777777" w:rsidR="00667F2E" w:rsidRPr="0053164C" w:rsidRDefault="00667F2E" w:rsidP="00E92B67">
            <w:pPr>
              <w:rPr>
                <w:rFonts w:ascii="Tw Cen MT" w:hAnsi="Tw Cen MT"/>
              </w:rPr>
            </w:pPr>
          </w:p>
          <w:p w14:paraId="713347F8" w14:textId="77777777" w:rsidR="00667F2E" w:rsidRPr="0053164C" w:rsidRDefault="00667F2E" w:rsidP="00E92B67">
            <w:pPr>
              <w:rPr>
                <w:rFonts w:ascii="Tw Cen MT" w:hAnsi="Tw Cen MT"/>
              </w:rPr>
            </w:pPr>
            <w:r w:rsidRPr="0053164C">
              <w:rPr>
                <w:rFonts w:ascii="Tw Cen MT" w:hAnsi="Tw Cen MT"/>
              </w:rPr>
              <w:t>17.0</w:t>
            </w:r>
          </w:p>
          <w:p w14:paraId="575CF8F7" w14:textId="77777777" w:rsidR="00667F2E" w:rsidRPr="0053164C" w:rsidRDefault="00667F2E" w:rsidP="00E92B67">
            <w:pPr>
              <w:rPr>
                <w:rFonts w:ascii="Tw Cen MT" w:hAnsi="Tw Cen MT"/>
              </w:rPr>
            </w:pPr>
            <w:r w:rsidRPr="0053164C">
              <w:rPr>
                <w:rFonts w:ascii="Tw Cen MT" w:hAnsi="Tw Cen MT"/>
              </w:rPr>
              <w:t>83.0</w:t>
            </w:r>
          </w:p>
        </w:tc>
      </w:tr>
      <w:tr w:rsidR="00667F2E" w:rsidRPr="00231730" w14:paraId="540DDBC0" w14:textId="77777777" w:rsidTr="00E92B67">
        <w:trPr>
          <w:trHeight w:val="649"/>
          <w:tblHeader/>
          <w:jc w:val="center"/>
        </w:trPr>
        <w:tc>
          <w:tcPr>
            <w:tcW w:w="1843" w:type="dxa"/>
          </w:tcPr>
          <w:p w14:paraId="2A188631" w14:textId="111C38EA" w:rsidR="00667F2E" w:rsidRPr="0053164C" w:rsidRDefault="00667F2E" w:rsidP="00E92B67">
            <w:pPr>
              <w:rPr>
                <w:rFonts w:ascii="Tw Cen MT" w:hAnsi="Tw Cen MT"/>
                <w:b/>
              </w:rPr>
            </w:pPr>
            <w:r w:rsidRPr="0053164C">
              <w:rPr>
                <w:rFonts w:ascii="Tw Cen MT" w:hAnsi="Tw Cen MT"/>
                <w:b/>
              </w:rPr>
              <w:t>Status Menyusu</w:t>
            </w:r>
            <w:r>
              <w:rPr>
                <w:rFonts w:ascii="Tw Cen MT" w:hAnsi="Tw Cen MT"/>
                <w:b/>
              </w:rPr>
              <w:t>i</w:t>
            </w:r>
          </w:p>
          <w:p w14:paraId="09E0C006" w14:textId="77777777" w:rsidR="00667F2E" w:rsidRPr="0053164C" w:rsidRDefault="00667F2E" w:rsidP="00E92B67">
            <w:pPr>
              <w:ind w:left="360"/>
              <w:rPr>
                <w:rFonts w:ascii="Tw Cen MT" w:hAnsi="Tw Cen MT"/>
                <w:bCs/>
              </w:rPr>
            </w:pPr>
            <w:r w:rsidRPr="0053164C">
              <w:rPr>
                <w:rFonts w:ascii="Tw Cen MT" w:hAnsi="Tw Cen MT"/>
                <w:bCs/>
              </w:rPr>
              <w:t>Masih ASI</w:t>
            </w:r>
          </w:p>
          <w:p w14:paraId="0E335ED4" w14:textId="77777777" w:rsidR="00667F2E" w:rsidRPr="0053164C" w:rsidRDefault="00667F2E" w:rsidP="00E92B67">
            <w:pPr>
              <w:ind w:left="360"/>
              <w:rPr>
                <w:rFonts w:ascii="Tw Cen MT" w:hAnsi="Tw Cen MT"/>
                <w:bCs/>
              </w:rPr>
            </w:pPr>
            <w:r w:rsidRPr="0053164C">
              <w:rPr>
                <w:rFonts w:ascii="Tw Cen MT" w:hAnsi="Tw Cen MT"/>
                <w:bCs/>
              </w:rPr>
              <w:t>Tidak ASI</w:t>
            </w:r>
          </w:p>
        </w:tc>
        <w:tc>
          <w:tcPr>
            <w:tcW w:w="851" w:type="dxa"/>
          </w:tcPr>
          <w:p w14:paraId="63C9AAC7" w14:textId="77777777" w:rsidR="00667F2E" w:rsidRPr="0053164C" w:rsidRDefault="00667F2E" w:rsidP="00E92B67">
            <w:pPr>
              <w:rPr>
                <w:rFonts w:ascii="Tw Cen MT" w:hAnsi="Tw Cen MT"/>
              </w:rPr>
            </w:pPr>
          </w:p>
          <w:p w14:paraId="4AA9843C" w14:textId="77777777" w:rsidR="00667F2E" w:rsidRPr="0053164C" w:rsidRDefault="00667F2E" w:rsidP="00E92B67">
            <w:pPr>
              <w:rPr>
                <w:rFonts w:ascii="Tw Cen MT" w:hAnsi="Tw Cen MT"/>
              </w:rPr>
            </w:pPr>
            <w:r w:rsidRPr="0053164C">
              <w:rPr>
                <w:rFonts w:ascii="Tw Cen MT" w:hAnsi="Tw Cen MT"/>
              </w:rPr>
              <w:t>79</w:t>
            </w:r>
          </w:p>
          <w:p w14:paraId="6442D9DF" w14:textId="77777777" w:rsidR="00667F2E" w:rsidRPr="0053164C" w:rsidRDefault="00667F2E" w:rsidP="00E92B67">
            <w:pPr>
              <w:rPr>
                <w:rFonts w:ascii="Tw Cen MT" w:hAnsi="Tw Cen MT"/>
              </w:rPr>
            </w:pPr>
            <w:r w:rsidRPr="0053164C">
              <w:rPr>
                <w:rFonts w:ascii="Tw Cen MT" w:hAnsi="Tw Cen MT"/>
              </w:rPr>
              <w:t>21</w:t>
            </w:r>
          </w:p>
        </w:tc>
        <w:tc>
          <w:tcPr>
            <w:tcW w:w="850" w:type="dxa"/>
          </w:tcPr>
          <w:p w14:paraId="73AD2550" w14:textId="77777777" w:rsidR="00667F2E" w:rsidRPr="0053164C" w:rsidRDefault="00667F2E" w:rsidP="00E92B67">
            <w:pPr>
              <w:rPr>
                <w:rFonts w:ascii="Tw Cen MT" w:hAnsi="Tw Cen MT"/>
              </w:rPr>
            </w:pPr>
          </w:p>
          <w:p w14:paraId="547D5E14" w14:textId="77777777" w:rsidR="00667F2E" w:rsidRPr="0053164C" w:rsidRDefault="00667F2E" w:rsidP="00E92B67">
            <w:pPr>
              <w:rPr>
                <w:rFonts w:ascii="Tw Cen MT" w:hAnsi="Tw Cen MT"/>
              </w:rPr>
            </w:pPr>
            <w:r w:rsidRPr="0053164C">
              <w:rPr>
                <w:rFonts w:ascii="Tw Cen MT" w:hAnsi="Tw Cen MT"/>
              </w:rPr>
              <w:t>79</w:t>
            </w:r>
          </w:p>
          <w:p w14:paraId="688F1462" w14:textId="77777777" w:rsidR="00667F2E" w:rsidRPr="0053164C" w:rsidRDefault="00667F2E" w:rsidP="00E92B67">
            <w:pPr>
              <w:rPr>
                <w:rFonts w:ascii="Tw Cen MT" w:hAnsi="Tw Cen MT"/>
              </w:rPr>
            </w:pPr>
            <w:r w:rsidRPr="0053164C">
              <w:rPr>
                <w:rFonts w:ascii="Tw Cen MT" w:hAnsi="Tw Cen MT"/>
              </w:rPr>
              <w:t>21</w:t>
            </w:r>
          </w:p>
        </w:tc>
      </w:tr>
    </w:tbl>
    <w:p w14:paraId="2C46029B" w14:textId="77777777" w:rsidR="00667F2E" w:rsidRDefault="00667F2E" w:rsidP="00B13BB3">
      <w:pPr>
        <w:spacing w:after="0" w:line="240" w:lineRule="auto"/>
        <w:jc w:val="both"/>
        <w:rPr>
          <w:rFonts w:ascii="Tw Cen MT" w:eastAsia="Twentieth Century" w:hAnsi="Tw Cen MT" w:cs="Twentieth Century"/>
          <w:sz w:val="24"/>
          <w:szCs w:val="24"/>
        </w:rPr>
      </w:pPr>
    </w:p>
    <w:p w14:paraId="22E2E6C0" w14:textId="3CAE1C4C" w:rsidR="00667F2E" w:rsidRDefault="00667F2E" w:rsidP="00B13BB3">
      <w:pPr>
        <w:spacing w:after="0" w:line="240" w:lineRule="auto"/>
        <w:jc w:val="both"/>
        <w:rPr>
          <w:rFonts w:ascii="Tw Cen MT" w:eastAsia="Twentieth Century" w:hAnsi="Tw Cen MT" w:cs="Twentieth Century"/>
          <w:sz w:val="24"/>
          <w:szCs w:val="24"/>
        </w:rPr>
      </w:pPr>
      <w:r w:rsidRPr="0053164C">
        <w:rPr>
          <w:rFonts w:ascii="Tw Cen MT" w:eastAsia="Twentieth Century" w:hAnsi="Tw Cen MT" w:cs="Twentieth Century"/>
          <w:sz w:val="24"/>
          <w:szCs w:val="24"/>
        </w:rPr>
        <w:t>Berdasarkan Tabel 2, sebanyak 17% balita termasuk stunting dan 83% balita tidak stunting dengan rata-rata nilai zscore adalah -0.27. Berdasarkan hasil wawancara menggunakan kuisioner, sebanyak 79% balita masih menyusu dengan ibunya, 32% balita mengkonsumsi susu formula, dan 13% balita mengkonsumsi susu formula dan ASI.</w:t>
      </w:r>
    </w:p>
    <w:p w14:paraId="6D74221B" w14:textId="77777777" w:rsidR="00CD731F" w:rsidRDefault="00CD731F" w:rsidP="00B13BB3">
      <w:pPr>
        <w:spacing w:after="0" w:line="240" w:lineRule="auto"/>
        <w:jc w:val="both"/>
        <w:rPr>
          <w:rFonts w:ascii="Tw Cen MT" w:eastAsia="Twentieth Century" w:hAnsi="Tw Cen MT" w:cs="Twentieth Century"/>
          <w:sz w:val="24"/>
          <w:szCs w:val="24"/>
        </w:rPr>
      </w:pPr>
    </w:p>
    <w:p w14:paraId="7C312C49" w14:textId="77777777" w:rsidR="00667F2E" w:rsidRPr="0053164C" w:rsidRDefault="00667F2E" w:rsidP="00667F2E">
      <w:pPr>
        <w:spacing w:after="0" w:line="240" w:lineRule="auto"/>
        <w:rPr>
          <w:rFonts w:ascii="Tw Cen MT" w:eastAsia="Twentieth Century" w:hAnsi="Tw Cen MT" w:cs="Twentieth Century"/>
          <w:b/>
          <w:bCs/>
          <w:sz w:val="24"/>
          <w:szCs w:val="24"/>
        </w:rPr>
      </w:pPr>
      <w:r w:rsidRPr="0053164C">
        <w:rPr>
          <w:rFonts w:ascii="Tw Cen MT" w:eastAsia="Twentieth Century" w:hAnsi="Tw Cen MT" w:cs="Twentieth Century"/>
          <w:b/>
          <w:bCs/>
          <w:sz w:val="24"/>
          <w:szCs w:val="24"/>
        </w:rPr>
        <w:t>Analisis Bivariat</w:t>
      </w:r>
    </w:p>
    <w:p w14:paraId="057CD5A6" w14:textId="77777777" w:rsidR="00667F2E" w:rsidRDefault="00667F2E" w:rsidP="00667F2E">
      <w:pPr>
        <w:spacing w:after="0" w:line="240" w:lineRule="auto"/>
        <w:jc w:val="both"/>
        <w:rPr>
          <w:rFonts w:ascii="Tw Cen MT" w:eastAsia="Twentieth Century" w:hAnsi="Tw Cen MT" w:cs="Twentieth Century"/>
          <w:sz w:val="24"/>
          <w:szCs w:val="24"/>
        </w:rPr>
      </w:pPr>
      <w:r w:rsidRPr="0053164C">
        <w:rPr>
          <w:rFonts w:ascii="Tw Cen MT" w:eastAsia="Twentieth Century" w:hAnsi="Tw Cen MT" w:cs="Twentieth Century"/>
          <w:sz w:val="24"/>
          <w:szCs w:val="24"/>
        </w:rPr>
        <w:t>Analisis Bivariat penelitian ini menggunakan uji Chi Square untuk melihat hubungan antara praktik pemberian MP-ASI seperti usia awal pemberian, tekstur, frekuensi, porsi, variasi, hygiene sanitasi, responsive feeding dan asupan terhadap status gizi (TB/U)</w:t>
      </w:r>
      <w:r>
        <w:rPr>
          <w:rFonts w:ascii="Tw Cen MT" w:eastAsia="Twentieth Century" w:hAnsi="Tw Cen MT" w:cs="Twentieth Century"/>
          <w:sz w:val="24"/>
          <w:szCs w:val="24"/>
        </w:rPr>
        <w:t>.</w:t>
      </w:r>
    </w:p>
    <w:p w14:paraId="4F4AB7D5" w14:textId="211CEECA" w:rsidR="00667F2E" w:rsidRDefault="00667F2E" w:rsidP="00667F2E">
      <w:pPr>
        <w:spacing w:after="0" w:line="240" w:lineRule="auto"/>
        <w:jc w:val="both"/>
        <w:rPr>
          <w:rFonts w:ascii="Tw Cen MT" w:hAnsi="Tw Cen MT" w:cs="Times New Roman"/>
          <w:sz w:val="24"/>
          <w:szCs w:val="24"/>
        </w:rPr>
      </w:pPr>
      <w:r w:rsidRPr="0053164C">
        <w:rPr>
          <w:rFonts w:ascii="Tw Cen MT" w:hAnsi="Tw Cen MT" w:cs="Times New Roman"/>
          <w:sz w:val="24"/>
          <w:szCs w:val="24"/>
        </w:rPr>
        <w:t>Salah satu indikator dalam praktik pemberian MP-ASI adalah usia. Menurut WHO (2003), pemberian MP-ASI yang tepat diberikan ketika anak berusia 6 bulan atau 180 hari dan proses menyusui tetap dilanjutkan</w:t>
      </w:r>
      <w:r w:rsidRPr="0053164C">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{"citationItems":[{"id":"ITEM-1","itemData":{"abstract":"a l t h P r o m o t i o n a n d P r o t e c t i o n F o o d a n d N u t r i t i o n P r o g r a m","author":[{"dropping-particle":"","family":"WHO","given":"","non-dropping-particle":"","parse-names":false,"suffix":""}],"id":"ITEM-1","issued":{"date-parts":[["2003"]]},"title":"Guiding Principles for Complementary Feeding of the Breastfed Child","type":"book"},"uris":["http://www.mendeley.com/documents/?uuid=0b5f5342-ebd7-4298-bf45-2f769de78529"]}],"mendeley":{"formattedCitation":"[6]","plainTextFormattedCitation":"[6]","previouslyFormattedCitation":"[6]"},"properties":{"noteIndex":0},"schema":"https://github.com/citation-style-language/schema/raw/master/csl-citation.json"}</w:instrText>
      </w:r>
      <w:r w:rsidRPr="0053164C">
        <w:rPr>
          <w:rFonts w:ascii="Tw Cen MT" w:hAnsi="Tw Cen MT" w:cs="Times New Roman"/>
          <w:sz w:val="24"/>
          <w:szCs w:val="24"/>
        </w:rPr>
        <w:fldChar w:fldCharType="separate"/>
      </w:r>
      <w:r w:rsidRPr="00394A51">
        <w:rPr>
          <w:rFonts w:ascii="Tw Cen MT" w:hAnsi="Tw Cen MT" w:cs="Times New Roman"/>
          <w:noProof/>
          <w:sz w:val="24"/>
          <w:szCs w:val="24"/>
        </w:rPr>
        <w:t>[6]</w:t>
      </w:r>
      <w:r w:rsidRPr="0053164C">
        <w:rPr>
          <w:rFonts w:ascii="Tw Cen MT" w:hAnsi="Tw Cen MT" w:cs="Times New Roman"/>
          <w:sz w:val="24"/>
          <w:szCs w:val="24"/>
        </w:rPr>
        <w:fldChar w:fldCharType="end"/>
      </w:r>
      <w:r w:rsidRPr="0053164C">
        <w:rPr>
          <w:rFonts w:ascii="Tw Cen MT" w:hAnsi="Tw Cen MT" w:cs="Times New Roman"/>
          <w:sz w:val="24"/>
          <w:szCs w:val="24"/>
        </w:rPr>
        <w:t xml:space="preserve">. ASI merupakan sumber zat gizi utama yang mampu memenuhi segala kebutuhan gizi bayi hingga berusia 6 bulan. </w:t>
      </w:r>
      <w:r w:rsidRPr="0053164C">
        <w:rPr>
          <w:rFonts w:ascii="Tw Cen MT" w:hAnsi="Tw Cen MT" w:cs="Times New Roman"/>
          <w:sz w:val="24"/>
          <w:szCs w:val="24"/>
          <w:lang w:val="id-ID"/>
        </w:rPr>
        <w:t xml:space="preserve">Namun, setelah usia enam bulan, semakin sulit bagi bayi yang disusui untuk memenuhi kebutuhan </w:t>
      </w:r>
      <w:r w:rsidRPr="0053164C">
        <w:rPr>
          <w:rFonts w:ascii="Tw Cen MT" w:hAnsi="Tw Cen MT" w:cs="Times New Roman"/>
          <w:sz w:val="24"/>
          <w:szCs w:val="24"/>
        </w:rPr>
        <w:t>gizinya hanya</w:t>
      </w:r>
      <w:r w:rsidRPr="0053164C">
        <w:rPr>
          <w:rFonts w:ascii="Tw Cen MT" w:hAnsi="Tw Cen MT" w:cs="Times New Roman"/>
          <w:sz w:val="24"/>
          <w:szCs w:val="24"/>
          <w:lang w:val="id-ID"/>
        </w:rPr>
        <w:t xml:space="preserve"> dari ASI saja</w:t>
      </w:r>
      <w:r w:rsidRPr="0053164C">
        <w:rPr>
          <w:rFonts w:ascii="Tw Cen MT" w:hAnsi="Tw Cen MT" w:cs="Times New Roman"/>
          <w:sz w:val="24"/>
          <w:szCs w:val="24"/>
        </w:rPr>
        <w:t xml:space="preserve">, sehingga perlu tambahan dari MP-ASI. </w:t>
      </w:r>
      <w:r w:rsidRPr="0053164C">
        <w:rPr>
          <w:rFonts w:ascii="Tw Cen MT" w:hAnsi="Tw Cen MT" w:cs="Times New Roman"/>
          <w:sz w:val="24"/>
          <w:szCs w:val="24"/>
          <w:lang w:val="id-ID"/>
        </w:rPr>
        <w:t xml:space="preserve">Selain </w:t>
      </w:r>
      <w:r w:rsidRPr="0053164C">
        <w:rPr>
          <w:rFonts w:ascii="Tw Cen MT" w:hAnsi="Tw Cen MT" w:cs="Times New Roman"/>
          <w:sz w:val="24"/>
          <w:szCs w:val="24"/>
          <w:lang w:val="id-ID"/>
        </w:rPr>
        <w:t xml:space="preserve">itu, sebagian besar bayi secara perkembangan siap untuk </w:t>
      </w:r>
      <w:r w:rsidRPr="0053164C">
        <w:rPr>
          <w:rFonts w:ascii="Tw Cen MT" w:hAnsi="Tw Cen MT" w:cs="Times New Roman"/>
          <w:sz w:val="24"/>
          <w:szCs w:val="24"/>
        </w:rPr>
        <w:t xml:space="preserve">menerima </w:t>
      </w:r>
      <w:r w:rsidRPr="0053164C">
        <w:rPr>
          <w:rFonts w:ascii="Tw Cen MT" w:hAnsi="Tw Cen MT" w:cs="Times New Roman"/>
          <w:sz w:val="24"/>
          <w:szCs w:val="24"/>
          <w:lang w:val="id-ID"/>
        </w:rPr>
        <w:t xml:space="preserve">makanan </w:t>
      </w:r>
      <w:r w:rsidRPr="0053164C">
        <w:rPr>
          <w:rFonts w:ascii="Tw Cen MT" w:hAnsi="Tw Cen MT" w:cs="Times New Roman"/>
          <w:sz w:val="24"/>
          <w:szCs w:val="24"/>
        </w:rPr>
        <w:t xml:space="preserve">selain dari ASI </w:t>
      </w:r>
      <w:r w:rsidRPr="0053164C">
        <w:rPr>
          <w:rFonts w:ascii="Tw Cen MT" w:hAnsi="Tw Cen MT" w:cs="Times New Roman"/>
          <w:sz w:val="24"/>
          <w:szCs w:val="24"/>
          <w:lang w:val="id-ID"/>
        </w:rPr>
        <w:t>sekitar</w:t>
      </w:r>
      <w:r w:rsidRPr="0053164C">
        <w:rPr>
          <w:rFonts w:ascii="Tw Cen MT" w:hAnsi="Tw Cen MT" w:cs="Times New Roman"/>
          <w:sz w:val="24"/>
          <w:szCs w:val="24"/>
        </w:rPr>
        <w:t xml:space="preserve"> usia</w:t>
      </w:r>
      <w:r w:rsidRPr="0053164C">
        <w:rPr>
          <w:rFonts w:ascii="Tw Cen MT" w:hAnsi="Tw Cen MT" w:cs="Times New Roman"/>
          <w:sz w:val="24"/>
          <w:szCs w:val="24"/>
          <w:lang w:val="id-ID"/>
        </w:rPr>
        <w:t xml:space="preserve"> enam bulan</w:t>
      </w:r>
      <w:r w:rsidRPr="0053164C">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{"citationItems":[{"id":"ITEM-1","itemData":{"abstract":"Air susu ibu (ASI) eksklusif adalah ASI yang diberikan kepada bayi sejak dilahirkan selama enam bulan, tanpa menambahkan dan/atau mengganti dengan makanan atau minuman lain (kecuali obat, vitamin, dan mineral). Manfaat pemberian ASI pada bayi yaitu nutrisi ideal, kaya akan antibodi untuk meningkatkan daya tahan tubuh, membantu ikatan batin ibu dengan bayi, meningkatkan kecerdasan anak, berat badan bayi ideal, dan dapat mencegah sudden infant death syndrome (SIDS). Menyusui diperkirakan juga dapat menurunkan risiko diabetes, obesitas, dan kanker tertentu.","author":[{"dropping-particle":"","family":"Wijaya","given":"Felicia Anita","non-dropping-particle":"","parse-names":false,"suffix":""}],"container-title":"Continuing Medical Education","id":"ITEM-1","issue":"4","issued":{"date-parts":[["2019"]]},"page":"296-300","title":"ASI Eksklusif : Nutrisi Ideal untuk Bayi 0-6 Bulan","type":"article-journal","volume":"46"},"uris":["http://www.mendeley.com/documents/?uuid=a0fd1f71-48a6-47fa-b95b-141622c2622a","http://www.mendeley.com/documents/?uuid=43b74df4-ac2a-432b-9e2d-96e634844ac4","http://www.mendeley.com/documents/?uuid=77296d76-935e-4d91-b7f1-d5a66789d313"]}],"mendeley":{"formattedCitation":"[13]","plainTextFormattedCitation":"[13]","previouslyFormattedCitation":"[13]"},"properties":{"noteIndex":0},"schema":"https://github.com/citation-style-language/schema/raw/master/csl-citation.json"}</w:instrText>
      </w:r>
      <w:r w:rsidRPr="0053164C">
        <w:rPr>
          <w:rFonts w:ascii="Tw Cen MT" w:hAnsi="Tw Cen MT" w:cs="Times New Roman"/>
          <w:sz w:val="24"/>
          <w:szCs w:val="24"/>
        </w:rPr>
        <w:fldChar w:fldCharType="separate"/>
      </w:r>
      <w:r w:rsidRPr="00394A51">
        <w:rPr>
          <w:rFonts w:ascii="Tw Cen MT" w:hAnsi="Tw Cen MT" w:cs="Times New Roman"/>
          <w:noProof/>
          <w:sz w:val="24"/>
          <w:szCs w:val="24"/>
        </w:rPr>
        <w:t>[13]</w:t>
      </w:r>
      <w:r w:rsidRPr="0053164C">
        <w:rPr>
          <w:rFonts w:ascii="Tw Cen MT" w:hAnsi="Tw Cen MT" w:cs="Times New Roman"/>
          <w:sz w:val="24"/>
          <w:szCs w:val="24"/>
        </w:rPr>
        <w:fldChar w:fldCharType="end"/>
      </w:r>
      <w:r w:rsidRPr="0053164C">
        <w:rPr>
          <w:rFonts w:ascii="Tw Cen MT" w:hAnsi="Tw Cen MT" w:cs="Times New Roman"/>
          <w:sz w:val="24"/>
          <w:szCs w:val="24"/>
        </w:rPr>
        <w:t>. Adapun tanda bahwa anak sudah siap untuk menerima MP-ASI</w:t>
      </w:r>
      <w:r>
        <w:rPr>
          <w:rFonts w:ascii="Tw Cen MT" w:hAnsi="Tw Cen MT" w:cs="Times New Roman"/>
          <w:sz w:val="24"/>
          <w:szCs w:val="24"/>
        </w:rPr>
        <w:t xml:space="preserve"> </w:t>
      </w:r>
      <w:r w:rsidRPr="0053164C">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f5a99c48-5f06-4c32-a250-eccdc74f8f02","http://www.mendeley.com/documents/?uuid=f41e6871-01b6-4996-a0a6-1ef1273ce999","http://www.mendeley.com/documents/?uuid=8fcaea8b-2173-40b0-af81-444b91c7ca0c"]}],"mendeley":{"formattedCitation":"[14]","plainTextFormattedCitation":"[14]","previouslyFormattedCitation":"[14]"},"properties":{"noteIndex":0},"schema":"https://github.com/citation-style-language/schema/raw/master/csl-citation.json"}</w:instrText>
      </w:r>
      <w:r w:rsidRPr="0053164C">
        <w:rPr>
          <w:rFonts w:ascii="Tw Cen MT" w:hAnsi="Tw Cen MT" w:cs="Times New Roman"/>
          <w:sz w:val="24"/>
          <w:szCs w:val="24"/>
        </w:rPr>
        <w:fldChar w:fldCharType="separate"/>
      </w:r>
      <w:r w:rsidRPr="00394A51">
        <w:rPr>
          <w:rFonts w:ascii="Tw Cen MT" w:hAnsi="Tw Cen MT" w:cs="Times New Roman"/>
          <w:noProof/>
          <w:sz w:val="24"/>
          <w:szCs w:val="24"/>
        </w:rPr>
        <w:t>[14]</w:t>
      </w:r>
      <w:r w:rsidRPr="0053164C">
        <w:rPr>
          <w:rFonts w:ascii="Tw Cen MT" w:hAnsi="Tw Cen MT" w:cs="Times New Roman"/>
          <w:sz w:val="24"/>
          <w:szCs w:val="24"/>
        </w:rPr>
        <w:fldChar w:fldCharType="end"/>
      </w:r>
      <w:r w:rsidRPr="0053164C">
        <w:rPr>
          <w:rFonts w:ascii="Tw Cen MT" w:hAnsi="Tw Cen MT" w:cs="Times New Roman"/>
          <w:sz w:val="24"/>
          <w:szCs w:val="24"/>
        </w:rPr>
        <w:t xml:space="preserve"> adalah anak dapat duduk dengan leher tegak dan mengangkat kepalanya sendiri tanpa memerlukan bantuan, anak menunjukkan ketertarikan terhadap makanan dan ana</w:t>
      </w:r>
      <w:r w:rsidRPr="0053164C">
        <w:rPr>
          <w:rFonts w:ascii="Tw Cen MT" w:hAnsi="Tw Cen MT" w:cs="Times New Roman"/>
          <w:sz w:val="24"/>
          <w:szCs w:val="24"/>
          <w:lang w:val="id-ID"/>
        </w:rPr>
        <w:t>k</w:t>
      </w:r>
      <w:r w:rsidRPr="0053164C">
        <w:rPr>
          <w:rFonts w:ascii="Tw Cen MT" w:hAnsi="Tw Cen MT" w:cs="Times New Roman"/>
          <w:sz w:val="24"/>
          <w:szCs w:val="24"/>
        </w:rPr>
        <w:t xml:space="preserve"> menjadi lebih lapar, dan tetap menunjukkan tanda lapar, walaupun ibu sudah memberikan ASI secara rutin.</w:t>
      </w:r>
    </w:p>
    <w:p w14:paraId="4EFD9EC1" w14:textId="77777777" w:rsidR="00667F2E" w:rsidRDefault="00667F2E" w:rsidP="00667F2E">
      <w:pPr>
        <w:spacing w:after="0" w:line="240" w:lineRule="auto"/>
        <w:jc w:val="both"/>
        <w:rPr>
          <w:rFonts w:ascii="Tw Cen MT" w:eastAsia="Twentieth Century" w:hAnsi="Tw Cen MT" w:cs="Twentieth Century"/>
          <w:sz w:val="24"/>
          <w:szCs w:val="24"/>
        </w:rPr>
      </w:pPr>
    </w:p>
    <w:p w14:paraId="07A2D81C" w14:textId="0D497208" w:rsidR="000C511C" w:rsidRDefault="000C511C" w:rsidP="000C511C">
      <w:pPr>
        <w:spacing w:after="0" w:line="240" w:lineRule="auto"/>
        <w:jc w:val="center"/>
        <w:rPr>
          <w:rFonts w:ascii="Tw Cen MT" w:hAnsi="Tw Cen MT" w:cs="Times New Roman"/>
          <w:color w:val="000000" w:themeColor="text1"/>
          <w:sz w:val="22"/>
          <w:szCs w:val="22"/>
        </w:rPr>
      </w:pPr>
      <w:bookmarkStart w:id="3" w:name="_Toc83110345"/>
      <w:r w:rsidRPr="0053164C">
        <w:rPr>
          <w:rFonts w:ascii="Tw Cen MT" w:hAnsi="Tw Cen MT" w:cs="Times New Roman"/>
          <w:color w:val="000000" w:themeColor="text1"/>
          <w:sz w:val="22"/>
          <w:szCs w:val="22"/>
        </w:rPr>
        <w:t>Tabel</w:t>
      </w:r>
      <w:r w:rsidRPr="0053164C">
        <w:rPr>
          <w:rFonts w:ascii="Tw Cen MT" w:hAnsi="Tw Cen MT" w:cs="Times New Roman"/>
          <w:iCs/>
          <w:color w:val="000000" w:themeColor="text1"/>
          <w:sz w:val="22"/>
          <w:szCs w:val="22"/>
          <w:lang w:val="id-ID"/>
        </w:rPr>
        <w:t xml:space="preserve"> 3</w:t>
      </w:r>
      <w:r w:rsidRPr="0053164C">
        <w:rPr>
          <w:rFonts w:ascii="Tw Cen MT" w:hAnsi="Tw Cen MT" w:cs="Times New Roman"/>
          <w:color w:val="000000" w:themeColor="text1"/>
          <w:sz w:val="22"/>
          <w:szCs w:val="22"/>
        </w:rPr>
        <w:t>. Hasil Analisis Bivariat Usia Awal Pemberian MP-ASI dan Status Gizi (PB/U)</w:t>
      </w:r>
      <w:bookmarkEnd w:id="3"/>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748"/>
        <w:gridCol w:w="811"/>
        <w:gridCol w:w="685"/>
        <w:gridCol w:w="691"/>
      </w:tblGrid>
      <w:tr w:rsidR="000C511C" w:rsidRPr="000C511C" w14:paraId="74B64C85" w14:textId="77777777" w:rsidTr="0064192B">
        <w:trPr>
          <w:trHeight w:val="20"/>
        </w:trPr>
        <w:tc>
          <w:tcPr>
            <w:tcW w:w="1560" w:type="dxa"/>
            <w:vMerge w:val="restart"/>
            <w:tcBorders>
              <w:top w:val="single" w:sz="4" w:space="0" w:color="auto"/>
              <w:bottom w:val="single" w:sz="4" w:space="0" w:color="auto"/>
            </w:tcBorders>
            <w:vAlign w:val="center"/>
          </w:tcPr>
          <w:p w14:paraId="7B9B27D8" w14:textId="77777777" w:rsidR="000C511C" w:rsidRPr="000C511C" w:rsidRDefault="000C511C" w:rsidP="00E92B67">
            <w:pPr>
              <w:autoSpaceDE w:val="0"/>
              <w:autoSpaceDN w:val="0"/>
              <w:adjustRightInd w:val="0"/>
              <w:jc w:val="center"/>
              <w:rPr>
                <w:rFonts w:ascii="Tw Cen MT" w:hAnsi="Tw Cen MT"/>
                <w:b/>
                <w:sz w:val="20"/>
                <w:szCs w:val="20"/>
              </w:rPr>
            </w:pPr>
            <w:r w:rsidRPr="000C511C">
              <w:rPr>
                <w:rFonts w:ascii="Tw Cen MT" w:hAnsi="Tw Cen MT"/>
                <w:b/>
                <w:sz w:val="20"/>
                <w:szCs w:val="20"/>
              </w:rPr>
              <w:t>Variabel</w:t>
            </w:r>
          </w:p>
        </w:tc>
        <w:tc>
          <w:tcPr>
            <w:tcW w:w="1559" w:type="dxa"/>
            <w:gridSpan w:val="2"/>
            <w:tcBorders>
              <w:top w:val="single" w:sz="4" w:space="0" w:color="auto"/>
              <w:bottom w:val="single" w:sz="4" w:space="0" w:color="auto"/>
            </w:tcBorders>
            <w:vAlign w:val="center"/>
          </w:tcPr>
          <w:p w14:paraId="0A54863A" w14:textId="77777777" w:rsidR="000C511C" w:rsidRPr="000C511C" w:rsidRDefault="000C511C" w:rsidP="00E92B67">
            <w:pPr>
              <w:autoSpaceDE w:val="0"/>
              <w:autoSpaceDN w:val="0"/>
              <w:adjustRightInd w:val="0"/>
              <w:jc w:val="center"/>
              <w:rPr>
                <w:rFonts w:ascii="Tw Cen MT" w:hAnsi="Tw Cen MT"/>
                <w:b/>
                <w:sz w:val="20"/>
                <w:szCs w:val="20"/>
              </w:rPr>
            </w:pPr>
            <w:r w:rsidRPr="000C511C">
              <w:rPr>
                <w:rFonts w:ascii="Tw Cen MT" w:hAnsi="Tw Cen MT"/>
                <w:b/>
                <w:sz w:val="20"/>
                <w:szCs w:val="20"/>
              </w:rPr>
              <w:t>Status Gizi (TB/U)</w:t>
            </w:r>
          </w:p>
        </w:tc>
        <w:tc>
          <w:tcPr>
            <w:tcW w:w="685" w:type="dxa"/>
            <w:vMerge w:val="restart"/>
            <w:tcBorders>
              <w:top w:val="single" w:sz="4" w:space="0" w:color="auto"/>
              <w:bottom w:val="single" w:sz="4" w:space="0" w:color="auto"/>
            </w:tcBorders>
            <w:vAlign w:val="center"/>
          </w:tcPr>
          <w:p w14:paraId="67AE232E" w14:textId="77777777" w:rsidR="000C511C" w:rsidRPr="000C511C" w:rsidRDefault="000C511C" w:rsidP="000C511C">
            <w:pPr>
              <w:autoSpaceDE w:val="0"/>
              <w:autoSpaceDN w:val="0"/>
              <w:adjustRightInd w:val="0"/>
              <w:jc w:val="center"/>
              <w:rPr>
                <w:rFonts w:ascii="Tw Cen MT" w:hAnsi="Tw Cen MT"/>
                <w:b/>
                <w:sz w:val="20"/>
                <w:szCs w:val="20"/>
              </w:rPr>
            </w:pPr>
            <w:r w:rsidRPr="000C511C">
              <w:rPr>
                <w:rFonts w:ascii="Tw Cen MT" w:hAnsi="Tw Cen MT"/>
                <w:b/>
                <w:sz w:val="20"/>
                <w:szCs w:val="20"/>
              </w:rPr>
              <w:t>Total</w:t>
            </w:r>
          </w:p>
        </w:tc>
        <w:tc>
          <w:tcPr>
            <w:tcW w:w="691" w:type="dxa"/>
            <w:vMerge w:val="restart"/>
            <w:tcBorders>
              <w:top w:val="single" w:sz="4" w:space="0" w:color="auto"/>
              <w:bottom w:val="single" w:sz="4" w:space="0" w:color="auto"/>
            </w:tcBorders>
            <w:vAlign w:val="center"/>
          </w:tcPr>
          <w:p w14:paraId="1E8879D3" w14:textId="77777777" w:rsidR="000C511C" w:rsidRPr="000C511C" w:rsidRDefault="000C511C" w:rsidP="00E92B67">
            <w:pPr>
              <w:autoSpaceDE w:val="0"/>
              <w:autoSpaceDN w:val="0"/>
              <w:adjustRightInd w:val="0"/>
              <w:jc w:val="center"/>
              <w:rPr>
                <w:rFonts w:ascii="Tw Cen MT" w:hAnsi="Tw Cen MT"/>
                <w:b/>
                <w:i/>
                <w:iCs/>
                <w:sz w:val="20"/>
                <w:szCs w:val="20"/>
              </w:rPr>
            </w:pPr>
            <w:r w:rsidRPr="000C511C">
              <w:rPr>
                <w:rFonts w:ascii="Tw Cen MT" w:hAnsi="Tw Cen MT"/>
                <w:b/>
                <w:i/>
                <w:iCs/>
                <w:sz w:val="20"/>
                <w:szCs w:val="20"/>
              </w:rPr>
              <w:t>p value</w:t>
            </w:r>
          </w:p>
        </w:tc>
      </w:tr>
      <w:tr w:rsidR="000C511C" w:rsidRPr="000C511C" w14:paraId="16A78454" w14:textId="77777777" w:rsidTr="0064192B">
        <w:trPr>
          <w:trHeight w:val="20"/>
        </w:trPr>
        <w:tc>
          <w:tcPr>
            <w:tcW w:w="1560" w:type="dxa"/>
            <w:vMerge/>
            <w:tcBorders>
              <w:top w:val="single" w:sz="4" w:space="0" w:color="auto"/>
              <w:bottom w:val="single" w:sz="4" w:space="0" w:color="auto"/>
            </w:tcBorders>
            <w:vAlign w:val="center"/>
          </w:tcPr>
          <w:p w14:paraId="10A2855A" w14:textId="77777777" w:rsidR="000C511C" w:rsidRPr="000C511C" w:rsidRDefault="000C511C" w:rsidP="00E92B67">
            <w:pPr>
              <w:autoSpaceDE w:val="0"/>
              <w:autoSpaceDN w:val="0"/>
              <w:adjustRightInd w:val="0"/>
              <w:jc w:val="center"/>
              <w:rPr>
                <w:rFonts w:ascii="Tw Cen MT" w:hAnsi="Tw Cen MT"/>
                <w:b/>
                <w:sz w:val="20"/>
                <w:szCs w:val="20"/>
              </w:rPr>
            </w:pPr>
          </w:p>
        </w:tc>
        <w:tc>
          <w:tcPr>
            <w:tcW w:w="748" w:type="dxa"/>
            <w:tcBorders>
              <w:top w:val="single" w:sz="4" w:space="0" w:color="auto"/>
              <w:bottom w:val="single" w:sz="4" w:space="0" w:color="auto"/>
            </w:tcBorders>
            <w:vAlign w:val="center"/>
          </w:tcPr>
          <w:p w14:paraId="45E28B10" w14:textId="77777777" w:rsidR="000C511C" w:rsidRPr="000C511C" w:rsidRDefault="000C511C" w:rsidP="00E92B67">
            <w:pPr>
              <w:autoSpaceDE w:val="0"/>
              <w:autoSpaceDN w:val="0"/>
              <w:adjustRightInd w:val="0"/>
              <w:jc w:val="center"/>
              <w:rPr>
                <w:rFonts w:ascii="Tw Cen MT" w:hAnsi="Tw Cen MT"/>
                <w:b/>
                <w:sz w:val="20"/>
                <w:szCs w:val="20"/>
              </w:rPr>
            </w:pPr>
            <w:r w:rsidRPr="000C511C">
              <w:rPr>
                <w:rFonts w:ascii="Tw Cen MT" w:hAnsi="Tw Cen MT"/>
                <w:b/>
                <w:sz w:val="20"/>
                <w:szCs w:val="20"/>
              </w:rPr>
              <w:t>Stunting</w:t>
            </w:r>
          </w:p>
        </w:tc>
        <w:tc>
          <w:tcPr>
            <w:tcW w:w="811" w:type="dxa"/>
            <w:tcBorders>
              <w:top w:val="single" w:sz="4" w:space="0" w:color="auto"/>
              <w:bottom w:val="single" w:sz="4" w:space="0" w:color="auto"/>
            </w:tcBorders>
            <w:vAlign w:val="center"/>
          </w:tcPr>
          <w:p w14:paraId="1EFDB596" w14:textId="77777777" w:rsidR="000C511C" w:rsidRPr="000C511C" w:rsidRDefault="000C511C" w:rsidP="00E92B67">
            <w:pPr>
              <w:autoSpaceDE w:val="0"/>
              <w:autoSpaceDN w:val="0"/>
              <w:adjustRightInd w:val="0"/>
              <w:jc w:val="center"/>
              <w:rPr>
                <w:rFonts w:ascii="Tw Cen MT" w:hAnsi="Tw Cen MT"/>
                <w:b/>
                <w:sz w:val="20"/>
                <w:szCs w:val="20"/>
              </w:rPr>
            </w:pPr>
            <w:r w:rsidRPr="000C511C">
              <w:rPr>
                <w:rFonts w:ascii="Tw Cen MT" w:hAnsi="Tw Cen MT"/>
                <w:b/>
                <w:sz w:val="20"/>
                <w:szCs w:val="20"/>
              </w:rPr>
              <w:t>Tidak Stunting</w:t>
            </w:r>
          </w:p>
        </w:tc>
        <w:tc>
          <w:tcPr>
            <w:tcW w:w="685" w:type="dxa"/>
            <w:vMerge/>
            <w:tcBorders>
              <w:top w:val="nil"/>
              <w:bottom w:val="single" w:sz="4" w:space="0" w:color="auto"/>
            </w:tcBorders>
            <w:vAlign w:val="center"/>
          </w:tcPr>
          <w:p w14:paraId="062C0DFE" w14:textId="77777777" w:rsidR="000C511C" w:rsidRPr="000C511C" w:rsidRDefault="000C511C" w:rsidP="000C511C">
            <w:pPr>
              <w:autoSpaceDE w:val="0"/>
              <w:autoSpaceDN w:val="0"/>
              <w:adjustRightInd w:val="0"/>
              <w:rPr>
                <w:rFonts w:ascii="Tw Cen MT" w:hAnsi="Tw Cen MT"/>
                <w:b/>
                <w:sz w:val="20"/>
                <w:szCs w:val="20"/>
              </w:rPr>
            </w:pPr>
          </w:p>
        </w:tc>
        <w:tc>
          <w:tcPr>
            <w:tcW w:w="691" w:type="dxa"/>
            <w:vMerge/>
            <w:tcBorders>
              <w:top w:val="nil"/>
              <w:bottom w:val="single" w:sz="4" w:space="0" w:color="auto"/>
            </w:tcBorders>
            <w:vAlign w:val="center"/>
          </w:tcPr>
          <w:p w14:paraId="63217C39" w14:textId="77777777" w:rsidR="000C511C" w:rsidRPr="000C511C" w:rsidRDefault="000C511C" w:rsidP="00E92B67">
            <w:pPr>
              <w:autoSpaceDE w:val="0"/>
              <w:autoSpaceDN w:val="0"/>
              <w:adjustRightInd w:val="0"/>
              <w:jc w:val="center"/>
              <w:rPr>
                <w:rFonts w:ascii="Tw Cen MT" w:hAnsi="Tw Cen MT"/>
                <w:b/>
                <w:sz w:val="20"/>
                <w:szCs w:val="20"/>
              </w:rPr>
            </w:pPr>
          </w:p>
        </w:tc>
      </w:tr>
      <w:tr w:rsidR="000C511C" w:rsidRPr="000C511C" w14:paraId="01A2F5EB" w14:textId="77777777" w:rsidTr="0064192B">
        <w:trPr>
          <w:trHeight w:val="227"/>
        </w:trPr>
        <w:tc>
          <w:tcPr>
            <w:tcW w:w="4495" w:type="dxa"/>
            <w:gridSpan w:val="5"/>
            <w:tcBorders>
              <w:top w:val="single" w:sz="4" w:space="0" w:color="auto"/>
            </w:tcBorders>
            <w:vAlign w:val="center"/>
          </w:tcPr>
          <w:p w14:paraId="06EBF4A7" w14:textId="77777777" w:rsidR="0064192B" w:rsidRDefault="000C511C" w:rsidP="00E92B67">
            <w:pPr>
              <w:autoSpaceDE w:val="0"/>
              <w:autoSpaceDN w:val="0"/>
              <w:adjustRightInd w:val="0"/>
              <w:rPr>
                <w:rFonts w:ascii="Tw Cen MT" w:hAnsi="Tw Cen MT"/>
                <w:b/>
                <w:sz w:val="20"/>
                <w:szCs w:val="20"/>
              </w:rPr>
            </w:pPr>
            <w:r w:rsidRPr="000C511C">
              <w:rPr>
                <w:rFonts w:ascii="Tw Cen MT" w:hAnsi="Tw Cen MT"/>
                <w:b/>
                <w:sz w:val="20"/>
                <w:szCs w:val="20"/>
              </w:rPr>
              <w:t xml:space="preserve">Awal Pemberian </w:t>
            </w:r>
          </w:p>
          <w:p w14:paraId="4AAD9E69" w14:textId="2960F035" w:rsidR="000C511C" w:rsidRPr="000C511C" w:rsidRDefault="000C511C" w:rsidP="00E92B67">
            <w:pPr>
              <w:autoSpaceDE w:val="0"/>
              <w:autoSpaceDN w:val="0"/>
              <w:adjustRightInd w:val="0"/>
              <w:rPr>
                <w:rFonts w:ascii="Tw Cen MT" w:hAnsi="Tw Cen MT"/>
                <w:b/>
                <w:sz w:val="20"/>
                <w:szCs w:val="20"/>
              </w:rPr>
            </w:pPr>
            <w:r w:rsidRPr="000C511C">
              <w:rPr>
                <w:rFonts w:ascii="Tw Cen MT" w:hAnsi="Tw Cen MT"/>
                <w:b/>
                <w:sz w:val="20"/>
                <w:szCs w:val="20"/>
              </w:rPr>
              <w:t>MPASI</w:t>
            </w:r>
          </w:p>
        </w:tc>
      </w:tr>
      <w:tr w:rsidR="000C511C" w:rsidRPr="000C511C" w14:paraId="4BC769D5" w14:textId="77777777" w:rsidTr="0064192B">
        <w:trPr>
          <w:trHeight w:val="20"/>
        </w:trPr>
        <w:tc>
          <w:tcPr>
            <w:tcW w:w="1560" w:type="dxa"/>
            <w:tcBorders>
              <w:bottom w:val="nil"/>
            </w:tcBorders>
            <w:vAlign w:val="center"/>
          </w:tcPr>
          <w:p w14:paraId="583C9DC3" w14:textId="77777777" w:rsidR="000C511C" w:rsidRPr="0064192B" w:rsidRDefault="000C511C" w:rsidP="0064192B">
            <w:pPr>
              <w:autoSpaceDE w:val="0"/>
              <w:autoSpaceDN w:val="0"/>
              <w:adjustRightInd w:val="0"/>
              <w:rPr>
                <w:rFonts w:ascii="Tw Cen MT" w:hAnsi="Tw Cen MT"/>
                <w:bCs/>
                <w:sz w:val="20"/>
                <w:szCs w:val="20"/>
              </w:rPr>
            </w:pPr>
            <w:r w:rsidRPr="0064192B">
              <w:rPr>
                <w:rFonts w:ascii="Tw Cen MT" w:hAnsi="Tw Cen MT"/>
                <w:bCs/>
                <w:sz w:val="20"/>
                <w:szCs w:val="20"/>
              </w:rPr>
              <w:t>≥6 bulan</w:t>
            </w:r>
          </w:p>
        </w:tc>
        <w:tc>
          <w:tcPr>
            <w:tcW w:w="748" w:type="dxa"/>
            <w:tcBorders>
              <w:bottom w:val="nil"/>
            </w:tcBorders>
            <w:vAlign w:val="center"/>
          </w:tcPr>
          <w:p w14:paraId="287D24F9"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4</w:t>
            </w:r>
          </w:p>
        </w:tc>
        <w:tc>
          <w:tcPr>
            <w:tcW w:w="811" w:type="dxa"/>
            <w:tcBorders>
              <w:bottom w:val="nil"/>
            </w:tcBorders>
            <w:vAlign w:val="center"/>
          </w:tcPr>
          <w:p w14:paraId="64003AD9"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25</w:t>
            </w:r>
          </w:p>
        </w:tc>
        <w:tc>
          <w:tcPr>
            <w:tcW w:w="685" w:type="dxa"/>
            <w:tcBorders>
              <w:bottom w:val="nil"/>
            </w:tcBorders>
            <w:vAlign w:val="center"/>
          </w:tcPr>
          <w:p w14:paraId="77DE813A"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29</w:t>
            </w:r>
          </w:p>
        </w:tc>
        <w:tc>
          <w:tcPr>
            <w:tcW w:w="691" w:type="dxa"/>
            <w:vMerge w:val="restart"/>
            <w:tcBorders>
              <w:top w:val="nil"/>
              <w:bottom w:val="single" w:sz="4" w:space="0" w:color="auto"/>
            </w:tcBorders>
            <w:vAlign w:val="center"/>
          </w:tcPr>
          <w:p w14:paraId="2E108B94" w14:textId="77777777" w:rsidR="000C511C" w:rsidRPr="000C511C" w:rsidRDefault="000C511C" w:rsidP="000C511C">
            <w:pPr>
              <w:autoSpaceDE w:val="0"/>
              <w:autoSpaceDN w:val="0"/>
              <w:adjustRightInd w:val="0"/>
              <w:jc w:val="center"/>
              <w:rPr>
                <w:rFonts w:ascii="Tw Cen MT" w:hAnsi="Tw Cen MT"/>
                <w:sz w:val="20"/>
                <w:szCs w:val="20"/>
              </w:rPr>
            </w:pPr>
            <w:r w:rsidRPr="000C511C">
              <w:rPr>
                <w:rFonts w:ascii="Tw Cen MT" w:hAnsi="Tw Cen MT"/>
                <w:sz w:val="20"/>
                <w:szCs w:val="20"/>
              </w:rPr>
              <w:t>.585</w:t>
            </w:r>
          </w:p>
        </w:tc>
      </w:tr>
      <w:tr w:rsidR="000C511C" w:rsidRPr="000C511C" w14:paraId="0316C205" w14:textId="77777777" w:rsidTr="0064192B">
        <w:trPr>
          <w:trHeight w:val="20"/>
        </w:trPr>
        <w:tc>
          <w:tcPr>
            <w:tcW w:w="1560" w:type="dxa"/>
            <w:tcBorders>
              <w:top w:val="nil"/>
              <w:bottom w:val="single" w:sz="4" w:space="0" w:color="auto"/>
            </w:tcBorders>
            <w:vAlign w:val="center"/>
          </w:tcPr>
          <w:p w14:paraId="3C33EBA4" w14:textId="77777777" w:rsidR="000C511C" w:rsidRPr="0064192B" w:rsidRDefault="000C511C" w:rsidP="0064192B">
            <w:pPr>
              <w:autoSpaceDE w:val="0"/>
              <w:autoSpaceDN w:val="0"/>
              <w:adjustRightInd w:val="0"/>
              <w:rPr>
                <w:rFonts w:ascii="Tw Cen MT" w:hAnsi="Tw Cen MT"/>
                <w:bCs/>
                <w:sz w:val="20"/>
                <w:szCs w:val="20"/>
              </w:rPr>
            </w:pPr>
            <w:r w:rsidRPr="0064192B">
              <w:rPr>
                <w:rFonts w:ascii="Tw Cen MT" w:hAnsi="Tw Cen MT"/>
                <w:bCs/>
                <w:sz w:val="20"/>
                <w:szCs w:val="20"/>
              </w:rPr>
              <w:t>&lt;6 bulan</w:t>
            </w:r>
          </w:p>
        </w:tc>
        <w:tc>
          <w:tcPr>
            <w:tcW w:w="748" w:type="dxa"/>
            <w:tcBorders>
              <w:top w:val="nil"/>
              <w:bottom w:val="single" w:sz="4" w:space="0" w:color="auto"/>
            </w:tcBorders>
            <w:vAlign w:val="center"/>
          </w:tcPr>
          <w:p w14:paraId="2EE3D58F"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13</w:t>
            </w:r>
          </w:p>
        </w:tc>
        <w:tc>
          <w:tcPr>
            <w:tcW w:w="811" w:type="dxa"/>
            <w:tcBorders>
              <w:top w:val="nil"/>
              <w:bottom w:val="single" w:sz="4" w:space="0" w:color="auto"/>
            </w:tcBorders>
            <w:vAlign w:val="center"/>
          </w:tcPr>
          <w:p w14:paraId="7584A6C3"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58</w:t>
            </w:r>
          </w:p>
        </w:tc>
        <w:tc>
          <w:tcPr>
            <w:tcW w:w="685" w:type="dxa"/>
            <w:tcBorders>
              <w:top w:val="nil"/>
              <w:bottom w:val="single" w:sz="4" w:space="0" w:color="auto"/>
            </w:tcBorders>
            <w:vAlign w:val="center"/>
          </w:tcPr>
          <w:p w14:paraId="7CFE828B"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71</w:t>
            </w:r>
          </w:p>
        </w:tc>
        <w:tc>
          <w:tcPr>
            <w:tcW w:w="691" w:type="dxa"/>
            <w:vMerge/>
            <w:tcBorders>
              <w:top w:val="nil"/>
              <w:bottom w:val="single" w:sz="4" w:space="0" w:color="auto"/>
            </w:tcBorders>
          </w:tcPr>
          <w:p w14:paraId="4AE30A81" w14:textId="77777777" w:rsidR="000C511C" w:rsidRPr="000C511C" w:rsidRDefault="000C511C" w:rsidP="00E92B67">
            <w:pPr>
              <w:autoSpaceDE w:val="0"/>
              <w:autoSpaceDN w:val="0"/>
              <w:adjustRightInd w:val="0"/>
              <w:jc w:val="center"/>
              <w:rPr>
                <w:rFonts w:ascii="Tw Cen MT" w:hAnsi="Tw Cen MT"/>
                <w:sz w:val="20"/>
                <w:szCs w:val="20"/>
              </w:rPr>
            </w:pPr>
          </w:p>
        </w:tc>
      </w:tr>
      <w:tr w:rsidR="000C511C" w:rsidRPr="000C511C" w14:paraId="18C4B9CD" w14:textId="77777777" w:rsidTr="0064192B">
        <w:trPr>
          <w:trHeight w:val="20"/>
        </w:trPr>
        <w:tc>
          <w:tcPr>
            <w:tcW w:w="4495" w:type="dxa"/>
            <w:gridSpan w:val="5"/>
            <w:tcBorders>
              <w:top w:val="single" w:sz="4" w:space="0" w:color="auto"/>
              <w:bottom w:val="nil"/>
            </w:tcBorders>
            <w:vAlign w:val="center"/>
          </w:tcPr>
          <w:p w14:paraId="593D1E6A" w14:textId="08976A4F" w:rsidR="000C511C" w:rsidRPr="000C511C" w:rsidRDefault="000C511C" w:rsidP="000C511C">
            <w:pPr>
              <w:autoSpaceDE w:val="0"/>
              <w:autoSpaceDN w:val="0"/>
              <w:adjustRightInd w:val="0"/>
              <w:rPr>
                <w:rFonts w:ascii="Tw Cen MT" w:hAnsi="Tw Cen MT"/>
                <w:sz w:val="20"/>
                <w:szCs w:val="20"/>
              </w:rPr>
            </w:pPr>
            <w:r w:rsidRPr="000C511C">
              <w:rPr>
                <w:rFonts w:ascii="Tw Cen MT" w:hAnsi="Tw Cen MT"/>
                <w:b/>
                <w:sz w:val="20"/>
                <w:szCs w:val="20"/>
              </w:rPr>
              <w:t>Tekstur MP-ASI</w:t>
            </w:r>
          </w:p>
        </w:tc>
      </w:tr>
      <w:tr w:rsidR="000C511C" w:rsidRPr="000C511C" w14:paraId="4498E177" w14:textId="77777777" w:rsidTr="0064192B">
        <w:trPr>
          <w:trHeight w:val="20"/>
        </w:trPr>
        <w:tc>
          <w:tcPr>
            <w:tcW w:w="1560" w:type="dxa"/>
            <w:tcBorders>
              <w:top w:val="nil"/>
              <w:bottom w:val="single" w:sz="4" w:space="0" w:color="auto"/>
            </w:tcBorders>
            <w:vAlign w:val="center"/>
          </w:tcPr>
          <w:p w14:paraId="4E18B986" w14:textId="77777777" w:rsidR="000C511C" w:rsidRPr="0064192B" w:rsidRDefault="000C511C" w:rsidP="0064192B">
            <w:pPr>
              <w:autoSpaceDE w:val="0"/>
              <w:autoSpaceDN w:val="0"/>
              <w:adjustRightInd w:val="0"/>
              <w:rPr>
                <w:rFonts w:ascii="Tw Cen MT" w:hAnsi="Tw Cen MT"/>
                <w:bCs/>
                <w:sz w:val="20"/>
                <w:szCs w:val="20"/>
              </w:rPr>
            </w:pPr>
            <w:r w:rsidRPr="0064192B">
              <w:rPr>
                <w:rFonts w:ascii="Tw Cen MT" w:hAnsi="Tw Cen MT"/>
                <w:bCs/>
                <w:sz w:val="20"/>
                <w:szCs w:val="20"/>
              </w:rPr>
              <w:t>Sesuai</w:t>
            </w:r>
          </w:p>
          <w:p w14:paraId="25923188" w14:textId="77777777" w:rsidR="000C511C" w:rsidRPr="0064192B" w:rsidRDefault="000C511C" w:rsidP="0064192B">
            <w:pPr>
              <w:autoSpaceDE w:val="0"/>
              <w:autoSpaceDN w:val="0"/>
              <w:adjustRightInd w:val="0"/>
              <w:rPr>
                <w:rFonts w:ascii="Tw Cen MT" w:hAnsi="Tw Cen MT"/>
                <w:b/>
                <w:sz w:val="20"/>
                <w:szCs w:val="20"/>
              </w:rPr>
            </w:pPr>
            <w:r w:rsidRPr="0064192B">
              <w:rPr>
                <w:rFonts w:ascii="Tw Cen MT" w:hAnsi="Tw Cen MT"/>
                <w:bCs/>
                <w:sz w:val="20"/>
                <w:szCs w:val="20"/>
              </w:rPr>
              <w:t>Tidak Sesuai</w:t>
            </w:r>
          </w:p>
        </w:tc>
        <w:tc>
          <w:tcPr>
            <w:tcW w:w="748" w:type="dxa"/>
            <w:tcBorders>
              <w:top w:val="nil"/>
              <w:bottom w:val="single" w:sz="4" w:space="0" w:color="auto"/>
            </w:tcBorders>
            <w:vAlign w:val="center"/>
          </w:tcPr>
          <w:p w14:paraId="7482FECD"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4</w:t>
            </w:r>
          </w:p>
          <w:p w14:paraId="6075FADA"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13</w:t>
            </w:r>
          </w:p>
        </w:tc>
        <w:tc>
          <w:tcPr>
            <w:tcW w:w="811" w:type="dxa"/>
            <w:tcBorders>
              <w:top w:val="nil"/>
              <w:bottom w:val="single" w:sz="4" w:space="0" w:color="auto"/>
            </w:tcBorders>
            <w:vAlign w:val="center"/>
          </w:tcPr>
          <w:p w14:paraId="29256B1E"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26</w:t>
            </w:r>
          </w:p>
          <w:p w14:paraId="1B8B2349"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57</w:t>
            </w:r>
          </w:p>
        </w:tc>
        <w:tc>
          <w:tcPr>
            <w:tcW w:w="685" w:type="dxa"/>
            <w:tcBorders>
              <w:top w:val="nil"/>
              <w:bottom w:val="single" w:sz="4" w:space="0" w:color="auto"/>
            </w:tcBorders>
            <w:vAlign w:val="center"/>
          </w:tcPr>
          <w:p w14:paraId="43D562A3"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30</w:t>
            </w:r>
          </w:p>
          <w:p w14:paraId="6C35ED1D"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70</w:t>
            </w:r>
          </w:p>
        </w:tc>
        <w:tc>
          <w:tcPr>
            <w:tcW w:w="691" w:type="dxa"/>
            <w:tcBorders>
              <w:top w:val="nil"/>
              <w:bottom w:val="single" w:sz="4" w:space="0" w:color="auto"/>
            </w:tcBorders>
            <w:vAlign w:val="center"/>
          </w:tcPr>
          <w:p w14:paraId="1D042F57" w14:textId="0B8FFA48" w:rsidR="000C511C" w:rsidRPr="000C511C" w:rsidRDefault="000C511C" w:rsidP="000C511C">
            <w:pPr>
              <w:autoSpaceDE w:val="0"/>
              <w:autoSpaceDN w:val="0"/>
              <w:adjustRightInd w:val="0"/>
              <w:jc w:val="center"/>
              <w:rPr>
                <w:rFonts w:ascii="Tw Cen MT" w:hAnsi="Tw Cen MT"/>
                <w:sz w:val="20"/>
                <w:szCs w:val="20"/>
              </w:rPr>
            </w:pPr>
            <w:r w:rsidRPr="000C511C">
              <w:rPr>
                <w:rFonts w:ascii="Tw Cen MT" w:hAnsi="Tw Cen MT"/>
                <w:sz w:val="20"/>
                <w:szCs w:val="20"/>
              </w:rPr>
              <w:t>.523</w:t>
            </w:r>
          </w:p>
        </w:tc>
      </w:tr>
      <w:tr w:rsidR="000C511C" w:rsidRPr="000C511C" w14:paraId="69878E21" w14:textId="77777777" w:rsidTr="0064192B">
        <w:trPr>
          <w:trHeight w:val="20"/>
        </w:trPr>
        <w:tc>
          <w:tcPr>
            <w:tcW w:w="4495" w:type="dxa"/>
            <w:gridSpan w:val="5"/>
            <w:tcBorders>
              <w:top w:val="single" w:sz="4" w:space="0" w:color="auto"/>
              <w:bottom w:val="nil"/>
            </w:tcBorders>
            <w:vAlign w:val="center"/>
          </w:tcPr>
          <w:p w14:paraId="40BDD81F" w14:textId="77777777" w:rsidR="0064192B" w:rsidRDefault="000C511C" w:rsidP="000C511C">
            <w:pPr>
              <w:autoSpaceDE w:val="0"/>
              <w:autoSpaceDN w:val="0"/>
              <w:adjustRightInd w:val="0"/>
              <w:rPr>
                <w:rFonts w:ascii="Tw Cen MT" w:hAnsi="Tw Cen MT"/>
                <w:b/>
                <w:sz w:val="20"/>
                <w:szCs w:val="20"/>
              </w:rPr>
            </w:pPr>
            <w:r w:rsidRPr="000C511C">
              <w:rPr>
                <w:rFonts w:ascii="Tw Cen MT" w:hAnsi="Tw Cen MT"/>
                <w:b/>
                <w:sz w:val="20"/>
                <w:szCs w:val="20"/>
              </w:rPr>
              <w:t xml:space="preserve">Frekuensi Pemberian </w:t>
            </w:r>
          </w:p>
          <w:p w14:paraId="7796A6BD" w14:textId="25156484" w:rsidR="000C511C" w:rsidRPr="000C511C" w:rsidRDefault="000C511C" w:rsidP="000C511C">
            <w:pPr>
              <w:autoSpaceDE w:val="0"/>
              <w:autoSpaceDN w:val="0"/>
              <w:adjustRightInd w:val="0"/>
              <w:rPr>
                <w:rFonts w:ascii="Tw Cen MT" w:hAnsi="Tw Cen MT"/>
                <w:sz w:val="20"/>
                <w:szCs w:val="20"/>
              </w:rPr>
            </w:pPr>
            <w:r w:rsidRPr="000C511C">
              <w:rPr>
                <w:rFonts w:ascii="Tw Cen MT" w:hAnsi="Tw Cen MT"/>
                <w:b/>
                <w:sz w:val="20"/>
                <w:szCs w:val="20"/>
              </w:rPr>
              <w:t>MPASI</w:t>
            </w:r>
          </w:p>
        </w:tc>
      </w:tr>
      <w:tr w:rsidR="000C511C" w:rsidRPr="000C511C" w14:paraId="5FFF5402" w14:textId="77777777" w:rsidTr="0064192B">
        <w:trPr>
          <w:trHeight w:val="20"/>
        </w:trPr>
        <w:tc>
          <w:tcPr>
            <w:tcW w:w="1560" w:type="dxa"/>
            <w:tcBorders>
              <w:top w:val="nil"/>
              <w:bottom w:val="nil"/>
            </w:tcBorders>
            <w:vAlign w:val="center"/>
          </w:tcPr>
          <w:p w14:paraId="1064705E" w14:textId="77777777" w:rsidR="000C511C" w:rsidRPr="0064192B" w:rsidRDefault="000C511C" w:rsidP="0064192B">
            <w:pPr>
              <w:autoSpaceDE w:val="0"/>
              <w:autoSpaceDN w:val="0"/>
              <w:adjustRightInd w:val="0"/>
              <w:rPr>
                <w:rFonts w:ascii="Tw Cen MT" w:hAnsi="Tw Cen MT"/>
                <w:bCs/>
                <w:sz w:val="20"/>
                <w:szCs w:val="20"/>
              </w:rPr>
            </w:pPr>
            <w:r w:rsidRPr="0064192B">
              <w:rPr>
                <w:rFonts w:ascii="Tw Cen MT" w:hAnsi="Tw Cen MT"/>
                <w:bCs/>
                <w:sz w:val="20"/>
                <w:szCs w:val="20"/>
              </w:rPr>
              <w:t>Sesuai</w:t>
            </w:r>
          </w:p>
        </w:tc>
        <w:tc>
          <w:tcPr>
            <w:tcW w:w="748" w:type="dxa"/>
            <w:tcBorders>
              <w:top w:val="nil"/>
              <w:bottom w:val="nil"/>
            </w:tcBorders>
            <w:vAlign w:val="center"/>
          </w:tcPr>
          <w:p w14:paraId="78377A98"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w:t>
            </w:r>
          </w:p>
        </w:tc>
        <w:tc>
          <w:tcPr>
            <w:tcW w:w="811" w:type="dxa"/>
            <w:tcBorders>
              <w:top w:val="nil"/>
              <w:bottom w:val="nil"/>
            </w:tcBorders>
            <w:vAlign w:val="center"/>
          </w:tcPr>
          <w:p w14:paraId="03671F1F"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28</w:t>
            </w:r>
          </w:p>
        </w:tc>
        <w:tc>
          <w:tcPr>
            <w:tcW w:w="685" w:type="dxa"/>
            <w:tcBorders>
              <w:top w:val="nil"/>
              <w:bottom w:val="nil"/>
            </w:tcBorders>
            <w:vAlign w:val="center"/>
          </w:tcPr>
          <w:p w14:paraId="26218C27"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34</w:t>
            </w:r>
          </w:p>
        </w:tc>
        <w:tc>
          <w:tcPr>
            <w:tcW w:w="691" w:type="dxa"/>
            <w:vMerge w:val="restart"/>
            <w:tcBorders>
              <w:top w:val="nil"/>
              <w:bottom w:val="nil"/>
            </w:tcBorders>
            <w:vAlign w:val="center"/>
          </w:tcPr>
          <w:p w14:paraId="700A8E3B" w14:textId="77777777" w:rsidR="000C511C" w:rsidRPr="000C511C" w:rsidRDefault="000C511C" w:rsidP="000C511C">
            <w:pPr>
              <w:autoSpaceDE w:val="0"/>
              <w:autoSpaceDN w:val="0"/>
              <w:adjustRightInd w:val="0"/>
              <w:jc w:val="center"/>
              <w:rPr>
                <w:rFonts w:ascii="Tw Cen MT" w:hAnsi="Tw Cen MT"/>
                <w:sz w:val="20"/>
                <w:szCs w:val="20"/>
              </w:rPr>
            </w:pPr>
            <w:r w:rsidRPr="000C511C">
              <w:rPr>
                <w:rFonts w:ascii="Tw Cen MT" w:hAnsi="Tw Cen MT"/>
                <w:sz w:val="20"/>
                <w:szCs w:val="20"/>
              </w:rPr>
              <w:t>.902</w:t>
            </w:r>
          </w:p>
        </w:tc>
      </w:tr>
      <w:tr w:rsidR="000C511C" w:rsidRPr="000C511C" w14:paraId="377C2523" w14:textId="77777777" w:rsidTr="0064192B">
        <w:trPr>
          <w:trHeight w:val="20"/>
        </w:trPr>
        <w:tc>
          <w:tcPr>
            <w:tcW w:w="1560" w:type="dxa"/>
            <w:tcBorders>
              <w:top w:val="nil"/>
              <w:bottom w:val="single" w:sz="4" w:space="0" w:color="auto"/>
            </w:tcBorders>
            <w:vAlign w:val="center"/>
          </w:tcPr>
          <w:p w14:paraId="6146C430" w14:textId="77777777" w:rsidR="000C511C" w:rsidRPr="0064192B" w:rsidRDefault="000C511C" w:rsidP="0064192B">
            <w:pPr>
              <w:autoSpaceDE w:val="0"/>
              <w:autoSpaceDN w:val="0"/>
              <w:adjustRightInd w:val="0"/>
              <w:rPr>
                <w:rFonts w:ascii="Tw Cen MT" w:hAnsi="Tw Cen MT"/>
                <w:bCs/>
                <w:sz w:val="20"/>
                <w:szCs w:val="20"/>
              </w:rPr>
            </w:pPr>
            <w:r w:rsidRPr="0064192B">
              <w:rPr>
                <w:rFonts w:ascii="Tw Cen MT" w:hAnsi="Tw Cen MT"/>
                <w:bCs/>
                <w:sz w:val="20"/>
                <w:szCs w:val="20"/>
              </w:rPr>
              <w:t>Tidak Sesuai</w:t>
            </w:r>
          </w:p>
        </w:tc>
        <w:tc>
          <w:tcPr>
            <w:tcW w:w="748" w:type="dxa"/>
            <w:tcBorders>
              <w:top w:val="nil"/>
              <w:bottom w:val="single" w:sz="4" w:space="0" w:color="auto"/>
            </w:tcBorders>
            <w:vAlign w:val="center"/>
          </w:tcPr>
          <w:p w14:paraId="72E1621E"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11</w:t>
            </w:r>
          </w:p>
        </w:tc>
        <w:tc>
          <w:tcPr>
            <w:tcW w:w="811" w:type="dxa"/>
            <w:tcBorders>
              <w:top w:val="nil"/>
              <w:bottom w:val="single" w:sz="4" w:space="0" w:color="auto"/>
            </w:tcBorders>
            <w:vAlign w:val="center"/>
          </w:tcPr>
          <w:p w14:paraId="4B7DFC54"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55</w:t>
            </w:r>
          </w:p>
        </w:tc>
        <w:tc>
          <w:tcPr>
            <w:tcW w:w="685" w:type="dxa"/>
            <w:tcBorders>
              <w:top w:val="nil"/>
              <w:bottom w:val="single" w:sz="4" w:space="0" w:color="auto"/>
            </w:tcBorders>
            <w:vAlign w:val="center"/>
          </w:tcPr>
          <w:p w14:paraId="3B45FDDB"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66</w:t>
            </w:r>
          </w:p>
        </w:tc>
        <w:tc>
          <w:tcPr>
            <w:tcW w:w="691" w:type="dxa"/>
            <w:vMerge/>
            <w:tcBorders>
              <w:top w:val="nil"/>
              <w:bottom w:val="single" w:sz="4" w:space="0" w:color="auto"/>
            </w:tcBorders>
          </w:tcPr>
          <w:p w14:paraId="07287E26" w14:textId="77777777" w:rsidR="000C511C" w:rsidRPr="000C511C" w:rsidRDefault="000C511C" w:rsidP="000C511C">
            <w:pPr>
              <w:autoSpaceDE w:val="0"/>
              <w:autoSpaceDN w:val="0"/>
              <w:adjustRightInd w:val="0"/>
              <w:rPr>
                <w:rFonts w:ascii="Tw Cen MT" w:hAnsi="Tw Cen MT"/>
                <w:sz w:val="20"/>
                <w:szCs w:val="20"/>
              </w:rPr>
            </w:pPr>
          </w:p>
        </w:tc>
      </w:tr>
      <w:tr w:rsidR="000C511C" w:rsidRPr="000C511C" w14:paraId="2E7B46BD" w14:textId="77777777" w:rsidTr="0064192B">
        <w:trPr>
          <w:trHeight w:val="20"/>
        </w:trPr>
        <w:tc>
          <w:tcPr>
            <w:tcW w:w="4495" w:type="dxa"/>
            <w:gridSpan w:val="5"/>
            <w:tcBorders>
              <w:top w:val="single" w:sz="4" w:space="0" w:color="auto"/>
              <w:left w:val="nil"/>
              <w:bottom w:val="nil"/>
              <w:right w:val="nil"/>
            </w:tcBorders>
            <w:vAlign w:val="center"/>
          </w:tcPr>
          <w:p w14:paraId="37D2D67D" w14:textId="79219787" w:rsidR="000C511C" w:rsidRPr="000C511C" w:rsidRDefault="000C511C" w:rsidP="000C511C">
            <w:pPr>
              <w:autoSpaceDE w:val="0"/>
              <w:autoSpaceDN w:val="0"/>
              <w:adjustRightInd w:val="0"/>
              <w:rPr>
                <w:rFonts w:ascii="Tw Cen MT" w:hAnsi="Tw Cen MT"/>
                <w:sz w:val="20"/>
                <w:szCs w:val="20"/>
              </w:rPr>
            </w:pPr>
            <w:r w:rsidRPr="000C511C">
              <w:rPr>
                <w:rFonts w:ascii="Tw Cen MT" w:hAnsi="Tw Cen MT"/>
                <w:b/>
                <w:sz w:val="20"/>
                <w:szCs w:val="20"/>
              </w:rPr>
              <w:t>Jumlah Porsi</w:t>
            </w:r>
            <w:r>
              <w:rPr>
                <w:rFonts w:ascii="Tw Cen MT" w:hAnsi="Tw Cen MT"/>
                <w:b/>
                <w:sz w:val="20"/>
                <w:szCs w:val="20"/>
              </w:rPr>
              <w:t xml:space="preserve"> </w:t>
            </w:r>
            <w:r w:rsidRPr="000C511C">
              <w:rPr>
                <w:rFonts w:ascii="Tw Cen MT" w:hAnsi="Tw Cen MT"/>
                <w:b/>
                <w:sz w:val="20"/>
                <w:szCs w:val="20"/>
              </w:rPr>
              <w:t>MPASI</w:t>
            </w:r>
          </w:p>
        </w:tc>
      </w:tr>
      <w:tr w:rsidR="000C511C" w:rsidRPr="000C511C" w14:paraId="207C297B" w14:textId="77777777" w:rsidTr="0064192B">
        <w:trPr>
          <w:trHeight w:val="20"/>
        </w:trPr>
        <w:tc>
          <w:tcPr>
            <w:tcW w:w="1560" w:type="dxa"/>
            <w:tcBorders>
              <w:top w:val="nil"/>
              <w:left w:val="nil"/>
              <w:bottom w:val="single" w:sz="4" w:space="0" w:color="auto"/>
              <w:right w:val="nil"/>
            </w:tcBorders>
            <w:vAlign w:val="center"/>
          </w:tcPr>
          <w:p w14:paraId="7270C55E" w14:textId="2AB92DC3" w:rsidR="000C511C" w:rsidRPr="0064192B" w:rsidRDefault="0064192B" w:rsidP="0064192B">
            <w:pPr>
              <w:autoSpaceDE w:val="0"/>
              <w:autoSpaceDN w:val="0"/>
              <w:adjustRightInd w:val="0"/>
              <w:rPr>
                <w:rFonts w:ascii="Tw Cen MT" w:hAnsi="Tw Cen MT"/>
                <w:bCs/>
                <w:sz w:val="20"/>
                <w:szCs w:val="20"/>
              </w:rPr>
            </w:pPr>
            <w:r>
              <w:rPr>
                <w:rFonts w:ascii="Tw Cen MT" w:hAnsi="Tw Cen MT"/>
                <w:bCs/>
                <w:sz w:val="20"/>
                <w:szCs w:val="20"/>
              </w:rPr>
              <w:t>S</w:t>
            </w:r>
            <w:r w:rsidR="000C511C" w:rsidRPr="0064192B">
              <w:rPr>
                <w:rFonts w:ascii="Tw Cen MT" w:hAnsi="Tw Cen MT"/>
                <w:bCs/>
                <w:sz w:val="20"/>
                <w:szCs w:val="20"/>
              </w:rPr>
              <w:t>esuai</w:t>
            </w:r>
          </w:p>
          <w:p w14:paraId="6B50A361" w14:textId="0B379537" w:rsidR="000C511C" w:rsidRPr="0064192B" w:rsidRDefault="0064192B" w:rsidP="0064192B">
            <w:pPr>
              <w:autoSpaceDE w:val="0"/>
              <w:autoSpaceDN w:val="0"/>
              <w:adjustRightInd w:val="0"/>
              <w:rPr>
                <w:rFonts w:ascii="Tw Cen MT" w:hAnsi="Tw Cen MT"/>
                <w:b/>
                <w:sz w:val="20"/>
                <w:szCs w:val="20"/>
              </w:rPr>
            </w:pPr>
            <w:r>
              <w:rPr>
                <w:rFonts w:ascii="Tw Cen MT" w:hAnsi="Tw Cen MT"/>
                <w:bCs/>
                <w:sz w:val="20"/>
                <w:szCs w:val="20"/>
              </w:rPr>
              <w:t>T</w:t>
            </w:r>
            <w:r w:rsidR="000C511C" w:rsidRPr="0064192B">
              <w:rPr>
                <w:rFonts w:ascii="Tw Cen MT" w:hAnsi="Tw Cen MT"/>
                <w:bCs/>
                <w:sz w:val="20"/>
                <w:szCs w:val="20"/>
              </w:rPr>
              <w:t>idak sesuai</w:t>
            </w:r>
          </w:p>
        </w:tc>
        <w:tc>
          <w:tcPr>
            <w:tcW w:w="748" w:type="dxa"/>
            <w:tcBorders>
              <w:top w:val="nil"/>
              <w:left w:val="nil"/>
              <w:bottom w:val="single" w:sz="4" w:space="0" w:color="auto"/>
              <w:right w:val="nil"/>
            </w:tcBorders>
            <w:vAlign w:val="center"/>
          </w:tcPr>
          <w:p w14:paraId="0F98A060"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4</w:t>
            </w:r>
          </w:p>
          <w:p w14:paraId="6D4D3826"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13</w:t>
            </w:r>
          </w:p>
        </w:tc>
        <w:tc>
          <w:tcPr>
            <w:tcW w:w="811" w:type="dxa"/>
            <w:tcBorders>
              <w:top w:val="nil"/>
              <w:left w:val="nil"/>
              <w:bottom w:val="single" w:sz="4" w:space="0" w:color="auto"/>
              <w:right w:val="nil"/>
            </w:tcBorders>
            <w:vAlign w:val="center"/>
          </w:tcPr>
          <w:p w14:paraId="466FE943"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27</w:t>
            </w:r>
          </w:p>
          <w:p w14:paraId="4E549910"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56</w:t>
            </w:r>
          </w:p>
        </w:tc>
        <w:tc>
          <w:tcPr>
            <w:tcW w:w="685" w:type="dxa"/>
            <w:tcBorders>
              <w:top w:val="nil"/>
              <w:left w:val="nil"/>
              <w:bottom w:val="single" w:sz="4" w:space="0" w:color="auto"/>
              <w:right w:val="nil"/>
            </w:tcBorders>
            <w:vAlign w:val="center"/>
          </w:tcPr>
          <w:p w14:paraId="1E80DFF8"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31</w:t>
            </w:r>
          </w:p>
          <w:p w14:paraId="511CE8D0"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69</w:t>
            </w:r>
          </w:p>
        </w:tc>
        <w:tc>
          <w:tcPr>
            <w:tcW w:w="691" w:type="dxa"/>
            <w:tcBorders>
              <w:top w:val="nil"/>
              <w:left w:val="nil"/>
              <w:bottom w:val="single" w:sz="4" w:space="0" w:color="auto"/>
              <w:right w:val="nil"/>
            </w:tcBorders>
            <w:vAlign w:val="center"/>
          </w:tcPr>
          <w:p w14:paraId="5D1C447C"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.465</w:t>
            </w:r>
          </w:p>
        </w:tc>
      </w:tr>
      <w:tr w:rsidR="000C511C" w:rsidRPr="000C511C" w14:paraId="32E5FE3D" w14:textId="77777777" w:rsidTr="0064192B">
        <w:trPr>
          <w:trHeight w:val="20"/>
        </w:trPr>
        <w:tc>
          <w:tcPr>
            <w:tcW w:w="4495" w:type="dxa"/>
            <w:gridSpan w:val="5"/>
            <w:tcBorders>
              <w:top w:val="single" w:sz="4" w:space="0" w:color="auto"/>
              <w:bottom w:val="nil"/>
            </w:tcBorders>
            <w:vAlign w:val="center"/>
          </w:tcPr>
          <w:p w14:paraId="1D1E6A70" w14:textId="6F8825CD" w:rsidR="000C511C" w:rsidRPr="000C511C" w:rsidRDefault="000C511C" w:rsidP="000C511C">
            <w:pPr>
              <w:autoSpaceDE w:val="0"/>
              <w:autoSpaceDN w:val="0"/>
              <w:adjustRightInd w:val="0"/>
              <w:rPr>
                <w:rFonts w:ascii="Tw Cen MT" w:hAnsi="Tw Cen MT"/>
                <w:sz w:val="20"/>
                <w:szCs w:val="20"/>
                <w:lang w:val="id-ID"/>
              </w:rPr>
            </w:pPr>
            <w:r w:rsidRPr="000C511C">
              <w:rPr>
                <w:rFonts w:ascii="Tw Cen MT" w:hAnsi="Tw Cen MT"/>
                <w:b/>
                <w:sz w:val="20"/>
                <w:szCs w:val="20"/>
              </w:rPr>
              <w:t>Variasi MP-ASI</w:t>
            </w:r>
          </w:p>
        </w:tc>
      </w:tr>
      <w:tr w:rsidR="000C511C" w:rsidRPr="000C511C" w14:paraId="094F7E25" w14:textId="77777777" w:rsidTr="0064192B">
        <w:trPr>
          <w:trHeight w:val="20"/>
        </w:trPr>
        <w:tc>
          <w:tcPr>
            <w:tcW w:w="1560" w:type="dxa"/>
            <w:tcBorders>
              <w:top w:val="nil"/>
              <w:bottom w:val="single" w:sz="4" w:space="0" w:color="auto"/>
            </w:tcBorders>
            <w:vAlign w:val="center"/>
          </w:tcPr>
          <w:p w14:paraId="5B9EEE7B" w14:textId="4A24B6BF" w:rsidR="000C511C" w:rsidRPr="0064192B" w:rsidRDefault="0064192B" w:rsidP="0064192B">
            <w:pPr>
              <w:autoSpaceDE w:val="0"/>
              <w:autoSpaceDN w:val="0"/>
              <w:adjustRightInd w:val="0"/>
              <w:rPr>
                <w:rFonts w:ascii="Tw Cen MT" w:hAnsi="Tw Cen MT"/>
                <w:bCs/>
                <w:sz w:val="20"/>
                <w:szCs w:val="20"/>
              </w:rPr>
            </w:pPr>
            <w:r>
              <w:rPr>
                <w:rFonts w:ascii="Tw Cen MT" w:hAnsi="Tw Cen MT"/>
                <w:bCs/>
                <w:sz w:val="20"/>
                <w:szCs w:val="20"/>
              </w:rPr>
              <w:t>B</w:t>
            </w:r>
            <w:r w:rsidR="000C511C" w:rsidRPr="0064192B">
              <w:rPr>
                <w:rFonts w:ascii="Tw Cen MT" w:hAnsi="Tw Cen MT"/>
                <w:bCs/>
                <w:sz w:val="20"/>
                <w:szCs w:val="20"/>
              </w:rPr>
              <w:t>ervariasi</w:t>
            </w:r>
          </w:p>
          <w:p w14:paraId="7B2FD3E0" w14:textId="3B675A40" w:rsidR="000C511C" w:rsidRPr="0064192B" w:rsidRDefault="0064192B" w:rsidP="0064192B">
            <w:pPr>
              <w:autoSpaceDE w:val="0"/>
              <w:autoSpaceDN w:val="0"/>
              <w:adjustRightInd w:val="0"/>
              <w:rPr>
                <w:rFonts w:ascii="Tw Cen MT" w:hAnsi="Tw Cen MT"/>
                <w:b/>
                <w:sz w:val="20"/>
                <w:szCs w:val="20"/>
              </w:rPr>
            </w:pPr>
            <w:r>
              <w:rPr>
                <w:rFonts w:ascii="Tw Cen MT" w:hAnsi="Tw Cen MT"/>
                <w:bCs/>
                <w:sz w:val="20"/>
                <w:szCs w:val="20"/>
              </w:rPr>
              <w:t>T</w:t>
            </w:r>
            <w:r w:rsidR="000C511C" w:rsidRPr="0064192B">
              <w:rPr>
                <w:rFonts w:ascii="Tw Cen MT" w:hAnsi="Tw Cen MT"/>
                <w:bCs/>
                <w:sz w:val="20"/>
                <w:szCs w:val="20"/>
              </w:rPr>
              <w:t>idak bervariasi</w:t>
            </w:r>
          </w:p>
        </w:tc>
        <w:tc>
          <w:tcPr>
            <w:tcW w:w="748" w:type="dxa"/>
            <w:tcBorders>
              <w:top w:val="nil"/>
              <w:bottom w:val="single" w:sz="4" w:space="0" w:color="auto"/>
            </w:tcBorders>
            <w:vAlign w:val="center"/>
          </w:tcPr>
          <w:p w14:paraId="74E0277E"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w:t>
            </w:r>
          </w:p>
          <w:p w14:paraId="5657F4FF"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14</w:t>
            </w:r>
          </w:p>
        </w:tc>
        <w:tc>
          <w:tcPr>
            <w:tcW w:w="811" w:type="dxa"/>
            <w:tcBorders>
              <w:top w:val="nil"/>
              <w:bottom w:val="single" w:sz="4" w:space="0" w:color="auto"/>
            </w:tcBorders>
            <w:vAlign w:val="center"/>
          </w:tcPr>
          <w:p w14:paraId="075ECDF5"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14</w:t>
            </w:r>
          </w:p>
          <w:p w14:paraId="5B0FD205"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69</w:t>
            </w:r>
          </w:p>
        </w:tc>
        <w:tc>
          <w:tcPr>
            <w:tcW w:w="685" w:type="dxa"/>
            <w:tcBorders>
              <w:top w:val="nil"/>
              <w:bottom w:val="single" w:sz="4" w:space="0" w:color="auto"/>
            </w:tcBorders>
            <w:vAlign w:val="center"/>
          </w:tcPr>
          <w:p w14:paraId="08F8F57E"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17</w:t>
            </w:r>
          </w:p>
          <w:p w14:paraId="51EE96EC"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83</w:t>
            </w:r>
          </w:p>
        </w:tc>
        <w:tc>
          <w:tcPr>
            <w:tcW w:w="691" w:type="dxa"/>
            <w:tcBorders>
              <w:top w:val="nil"/>
              <w:bottom w:val="single" w:sz="4" w:space="0" w:color="auto"/>
            </w:tcBorders>
            <w:vAlign w:val="center"/>
          </w:tcPr>
          <w:p w14:paraId="4920C5C2"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lang w:val="id-ID"/>
              </w:rPr>
              <w:t>0,</w:t>
            </w:r>
            <w:r w:rsidRPr="000C511C">
              <w:rPr>
                <w:rFonts w:ascii="Tw Cen MT" w:hAnsi="Tw Cen MT"/>
                <w:sz w:val="20"/>
                <w:szCs w:val="20"/>
              </w:rPr>
              <w:t>938</w:t>
            </w:r>
          </w:p>
        </w:tc>
      </w:tr>
      <w:tr w:rsidR="000C511C" w:rsidRPr="000C511C" w14:paraId="74AE446C" w14:textId="77777777" w:rsidTr="0064192B">
        <w:trPr>
          <w:trHeight w:val="20"/>
        </w:trPr>
        <w:tc>
          <w:tcPr>
            <w:tcW w:w="1560" w:type="dxa"/>
            <w:tcBorders>
              <w:top w:val="single" w:sz="4" w:space="0" w:color="auto"/>
              <w:bottom w:val="single" w:sz="4" w:space="0" w:color="auto"/>
            </w:tcBorders>
            <w:vAlign w:val="center"/>
          </w:tcPr>
          <w:p w14:paraId="49A6FCAD" w14:textId="77777777" w:rsidR="000C511C" w:rsidRPr="0064192B" w:rsidRDefault="000C511C" w:rsidP="0064192B">
            <w:pPr>
              <w:autoSpaceDE w:val="0"/>
              <w:autoSpaceDN w:val="0"/>
              <w:adjustRightInd w:val="0"/>
              <w:rPr>
                <w:rFonts w:ascii="Tw Cen MT" w:hAnsi="Tw Cen MT"/>
                <w:b/>
                <w:sz w:val="20"/>
                <w:szCs w:val="20"/>
              </w:rPr>
            </w:pPr>
            <w:r w:rsidRPr="0064192B">
              <w:rPr>
                <w:rFonts w:ascii="Tw Cen MT" w:hAnsi="Tw Cen MT"/>
                <w:b/>
                <w:sz w:val="20"/>
                <w:szCs w:val="20"/>
              </w:rPr>
              <w:t>Hygiene Sanitasi</w:t>
            </w:r>
          </w:p>
          <w:p w14:paraId="26384B45" w14:textId="59BEB4D3" w:rsidR="000C511C" w:rsidRPr="0064192B" w:rsidRDefault="0064192B" w:rsidP="0064192B">
            <w:pPr>
              <w:autoSpaceDE w:val="0"/>
              <w:autoSpaceDN w:val="0"/>
              <w:adjustRightInd w:val="0"/>
              <w:rPr>
                <w:rFonts w:ascii="Tw Cen MT" w:hAnsi="Tw Cen MT"/>
                <w:bCs/>
                <w:sz w:val="20"/>
                <w:szCs w:val="20"/>
              </w:rPr>
            </w:pPr>
            <w:r>
              <w:rPr>
                <w:rFonts w:ascii="Tw Cen MT" w:hAnsi="Tw Cen MT"/>
                <w:bCs/>
                <w:sz w:val="20"/>
                <w:szCs w:val="20"/>
              </w:rPr>
              <w:t>S</w:t>
            </w:r>
            <w:r w:rsidR="000C511C" w:rsidRPr="0064192B">
              <w:rPr>
                <w:rFonts w:ascii="Tw Cen MT" w:hAnsi="Tw Cen MT"/>
                <w:bCs/>
                <w:sz w:val="20"/>
                <w:szCs w:val="20"/>
              </w:rPr>
              <w:t>esuai</w:t>
            </w:r>
          </w:p>
          <w:p w14:paraId="58AC6869" w14:textId="5D367D21" w:rsidR="000C511C" w:rsidRPr="0064192B" w:rsidRDefault="0064192B" w:rsidP="0064192B">
            <w:pPr>
              <w:autoSpaceDE w:val="0"/>
              <w:autoSpaceDN w:val="0"/>
              <w:adjustRightInd w:val="0"/>
              <w:rPr>
                <w:rFonts w:ascii="Tw Cen MT" w:hAnsi="Tw Cen MT"/>
                <w:bCs/>
                <w:sz w:val="20"/>
                <w:szCs w:val="20"/>
              </w:rPr>
            </w:pPr>
            <w:r>
              <w:rPr>
                <w:rFonts w:ascii="Tw Cen MT" w:hAnsi="Tw Cen MT"/>
                <w:bCs/>
                <w:sz w:val="20"/>
                <w:szCs w:val="20"/>
              </w:rPr>
              <w:t>T</w:t>
            </w:r>
            <w:r w:rsidR="000C511C" w:rsidRPr="0064192B">
              <w:rPr>
                <w:rFonts w:ascii="Tw Cen MT" w:hAnsi="Tw Cen MT"/>
                <w:bCs/>
                <w:sz w:val="20"/>
                <w:szCs w:val="20"/>
              </w:rPr>
              <w:t>idak sesuai</w:t>
            </w:r>
          </w:p>
        </w:tc>
        <w:tc>
          <w:tcPr>
            <w:tcW w:w="748" w:type="dxa"/>
            <w:tcBorders>
              <w:top w:val="single" w:sz="4" w:space="0" w:color="auto"/>
              <w:bottom w:val="single" w:sz="4" w:space="0" w:color="auto"/>
            </w:tcBorders>
            <w:vAlign w:val="center"/>
          </w:tcPr>
          <w:p w14:paraId="457F9087" w14:textId="77777777" w:rsidR="0064192B" w:rsidRDefault="0064192B" w:rsidP="0064192B">
            <w:pPr>
              <w:autoSpaceDE w:val="0"/>
              <w:autoSpaceDN w:val="0"/>
              <w:adjustRightInd w:val="0"/>
              <w:jc w:val="center"/>
              <w:rPr>
                <w:rFonts w:ascii="Tw Cen MT" w:hAnsi="Tw Cen MT"/>
                <w:sz w:val="20"/>
                <w:szCs w:val="20"/>
              </w:rPr>
            </w:pPr>
          </w:p>
          <w:p w14:paraId="5DE03B67" w14:textId="77777777" w:rsidR="0064192B" w:rsidRDefault="0064192B" w:rsidP="0064192B">
            <w:pPr>
              <w:autoSpaceDE w:val="0"/>
              <w:autoSpaceDN w:val="0"/>
              <w:adjustRightInd w:val="0"/>
              <w:jc w:val="center"/>
              <w:rPr>
                <w:rFonts w:ascii="Tw Cen MT" w:hAnsi="Tw Cen MT"/>
                <w:sz w:val="20"/>
                <w:szCs w:val="20"/>
              </w:rPr>
            </w:pPr>
          </w:p>
          <w:p w14:paraId="692E75E2" w14:textId="31F9F95D"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1</w:t>
            </w:r>
          </w:p>
          <w:p w14:paraId="366D54F7" w14:textId="77777777"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16</w:t>
            </w:r>
          </w:p>
        </w:tc>
        <w:tc>
          <w:tcPr>
            <w:tcW w:w="811" w:type="dxa"/>
            <w:tcBorders>
              <w:top w:val="single" w:sz="4" w:space="0" w:color="auto"/>
              <w:bottom w:val="single" w:sz="4" w:space="0" w:color="auto"/>
            </w:tcBorders>
            <w:vAlign w:val="center"/>
          </w:tcPr>
          <w:p w14:paraId="6CAE0F33" w14:textId="77777777" w:rsidR="0064192B" w:rsidRDefault="0064192B" w:rsidP="0064192B">
            <w:pPr>
              <w:autoSpaceDE w:val="0"/>
              <w:autoSpaceDN w:val="0"/>
              <w:adjustRightInd w:val="0"/>
              <w:jc w:val="center"/>
              <w:rPr>
                <w:rFonts w:ascii="Tw Cen MT" w:hAnsi="Tw Cen MT"/>
                <w:sz w:val="20"/>
                <w:szCs w:val="20"/>
              </w:rPr>
            </w:pPr>
          </w:p>
          <w:p w14:paraId="049B6247" w14:textId="77777777" w:rsidR="0064192B" w:rsidRDefault="0064192B" w:rsidP="0064192B">
            <w:pPr>
              <w:autoSpaceDE w:val="0"/>
              <w:autoSpaceDN w:val="0"/>
              <w:adjustRightInd w:val="0"/>
              <w:jc w:val="center"/>
              <w:rPr>
                <w:rFonts w:ascii="Tw Cen MT" w:hAnsi="Tw Cen MT"/>
                <w:sz w:val="20"/>
                <w:szCs w:val="20"/>
              </w:rPr>
            </w:pPr>
          </w:p>
          <w:p w14:paraId="1B6156DB" w14:textId="6C89FC27"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4</w:t>
            </w:r>
          </w:p>
          <w:p w14:paraId="004DE235" w14:textId="77777777"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79</w:t>
            </w:r>
          </w:p>
        </w:tc>
        <w:tc>
          <w:tcPr>
            <w:tcW w:w="685" w:type="dxa"/>
            <w:tcBorders>
              <w:top w:val="single" w:sz="4" w:space="0" w:color="auto"/>
              <w:bottom w:val="single" w:sz="4" w:space="0" w:color="auto"/>
            </w:tcBorders>
            <w:vAlign w:val="center"/>
          </w:tcPr>
          <w:p w14:paraId="42DDE3D6" w14:textId="77777777" w:rsidR="0064192B" w:rsidRDefault="0064192B" w:rsidP="0064192B">
            <w:pPr>
              <w:autoSpaceDE w:val="0"/>
              <w:autoSpaceDN w:val="0"/>
              <w:adjustRightInd w:val="0"/>
              <w:jc w:val="center"/>
              <w:rPr>
                <w:rFonts w:ascii="Tw Cen MT" w:hAnsi="Tw Cen MT"/>
                <w:sz w:val="20"/>
                <w:szCs w:val="20"/>
              </w:rPr>
            </w:pPr>
          </w:p>
          <w:p w14:paraId="55A8A2D5" w14:textId="77777777" w:rsidR="0064192B" w:rsidRDefault="0064192B" w:rsidP="0064192B">
            <w:pPr>
              <w:autoSpaceDE w:val="0"/>
              <w:autoSpaceDN w:val="0"/>
              <w:adjustRightInd w:val="0"/>
              <w:jc w:val="center"/>
              <w:rPr>
                <w:rFonts w:ascii="Tw Cen MT" w:hAnsi="Tw Cen MT"/>
                <w:sz w:val="20"/>
                <w:szCs w:val="20"/>
              </w:rPr>
            </w:pPr>
          </w:p>
          <w:p w14:paraId="46EBCC24" w14:textId="557A735D"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5</w:t>
            </w:r>
          </w:p>
          <w:p w14:paraId="5F036675" w14:textId="77777777"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95</w:t>
            </w:r>
          </w:p>
        </w:tc>
        <w:tc>
          <w:tcPr>
            <w:tcW w:w="691" w:type="dxa"/>
            <w:tcBorders>
              <w:top w:val="single" w:sz="4" w:space="0" w:color="auto"/>
              <w:bottom w:val="single" w:sz="4" w:space="0" w:color="auto"/>
            </w:tcBorders>
            <w:vAlign w:val="center"/>
          </w:tcPr>
          <w:p w14:paraId="6FD1EA32" w14:textId="77777777" w:rsidR="0064192B" w:rsidRDefault="0064192B" w:rsidP="0064192B">
            <w:pPr>
              <w:autoSpaceDE w:val="0"/>
              <w:autoSpaceDN w:val="0"/>
              <w:adjustRightInd w:val="0"/>
              <w:jc w:val="center"/>
              <w:rPr>
                <w:rFonts w:ascii="Tw Cen MT" w:hAnsi="Tw Cen MT"/>
                <w:sz w:val="20"/>
                <w:szCs w:val="20"/>
              </w:rPr>
            </w:pPr>
          </w:p>
          <w:p w14:paraId="2E6F08B8" w14:textId="4EE2D9FF"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.855</w:t>
            </w:r>
          </w:p>
        </w:tc>
      </w:tr>
      <w:tr w:rsidR="000C511C" w:rsidRPr="000C511C" w14:paraId="6F64BC45" w14:textId="77777777" w:rsidTr="0064192B">
        <w:trPr>
          <w:trHeight w:val="20"/>
        </w:trPr>
        <w:tc>
          <w:tcPr>
            <w:tcW w:w="1560" w:type="dxa"/>
            <w:tcBorders>
              <w:top w:val="single" w:sz="4" w:space="0" w:color="auto"/>
              <w:bottom w:val="single" w:sz="4" w:space="0" w:color="auto"/>
            </w:tcBorders>
            <w:vAlign w:val="center"/>
          </w:tcPr>
          <w:p w14:paraId="5C83CB4F" w14:textId="77777777" w:rsidR="000C511C" w:rsidRPr="000C511C" w:rsidRDefault="000C511C" w:rsidP="00E92B67">
            <w:pPr>
              <w:autoSpaceDE w:val="0"/>
              <w:autoSpaceDN w:val="0"/>
              <w:adjustRightInd w:val="0"/>
              <w:rPr>
                <w:rFonts w:ascii="Tw Cen MT" w:hAnsi="Tw Cen MT"/>
                <w:b/>
                <w:sz w:val="20"/>
                <w:szCs w:val="20"/>
              </w:rPr>
            </w:pPr>
            <w:r w:rsidRPr="000C511C">
              <w:rPr>
                <w:rFonts w:ascii="Tw Cen MT" w:hAnsi="Tw Cen MT"/>
                <w:b/>
                <w:sz w:val="20"/>
                <w:szCs w:val="20"/>
              </w:rPr>
              <w:t>Responsive Feeding</w:t>
            </w:r>
          </w:p>
          <w:p w14:paraId="471B7B14" w14:textId="77777777" w:rsidR="000C511C" w:rsidRPr="0064192B" w:rsidRDefault="000C511C" w:rsidP="0064192B">
            <w:pPr>
              <w:autoSpaceDE w:val="0"/>
              <w:autoSpaceDN w:val="0"/>
              <w:adjustRightInd w:val="0"/>
              <w:rPr>
                <w:rFonts w:ascii="Tw Cen MT" w:hAnsi="Tw Cen MT"/>
                <w:bCs/>
                <w:sz w:val="20"/>
                <w:szCs w:val="20"/>
              </w:rPr>
            </w:pPr>
            <w:r w:rsidRPr="0064192B">
              <w:rPr>
                <w:rFonts w:ascii="Tw Cen MT" w:hAnsi="Tw Cen MT"/>
                <w:bCs/>
                <w:sz w:val="20"/>
                <w:szCs w:val="20"/>
              </w:rPr>
              <w:t>Responsif</w:t>
            </w:r>
          </w:p>
          <w:p w14:paraId="044D7EE4" w14:textId="72105DA0" w:rsidR="000C511C" w:rsidRPr="0064192B" w:rsidRDefault="0064192B" w:rsidP="0064192B">
            <w:pPr>
              <w:autoSpaceDE w:val="0"/>
              <w:autoSpaceDN w:val="0"/>
              <w:adjustRightInd w:val="0"/>
              <w:rPr>
                <w:rFonts w:ascii="Tw Cen MT" w:hAnsi="Tw Cen MT"/>
                <w:b/>
                <w:sz w:val="20"/>
                <w:szCs w:val="20"/>
              </w:rPr>
            </w:pPr>
            <w:r>
              <w:rPr>
                <w:rFonts w:ascii="Tw Cen MT" w:hAnsi="Tw Cen MT"/>
                <w:bCs/>
                <w:sz w:val="20"/>
                <w:szCs w:val="20"/>
              </w:rPr>
              <w:t>T</w:t>
            </w:r>
            <w:r w:rsidR="000C511C" w:rsidRPr="0064192B">
              <w:rPr>
                <w:rFonts w:ascii="Tw Cen MT" w:hAnsi="Tw Cen MT"/>
                <w:bCs/>
                <w:sz w:val="20"/>
                <w:szCs w:val="20"/>
              </w:rPr>
              <w:t>idak responsif</w:t>
            </w:r>
          </w:p>
        </w:tc>
        <w:tc>
          <w:tcPr>
            <w:tcW w:w="748" w:type="dxa"/>
            <w:tcBorders>
              <w:top w:val="single" w:sz="4" w:space="0" w:color="auto"/>
              <w:bottom w:val="single" w:sz="4" w:space="0" w:color="auto"/>
            </w:tcBorders>
            <w:vAlign w:val="center"/>
          </w:tcPr>
          <w:p w14:paraId="2C09B564"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w:t>
            </w:r>
          </w:p>
          <w:p w14:paraId="0B807886"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12</w:t>
            </w:r>
          </w:p>
        </w:tc>
        <w:tc>
          <w:tcPr>
            <w:tcW w:w="811" w:type="dxa"/>
            <w:tcBorders>
              <w:top w:val="single" w:sz="4" w:space="0" w:color="auto"/>
              <w:bottom w:val="single" w:sz="4" w:space="0" w:color="auto"/>
            </w:tcBorders>
            <w:vAlign w:val="center"/>
          </w:tcPr>
          <w:p w14:paraId="5A9C7330"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57</w:t>
            </w:r>
          </w:p>
          <w:p w14:paraId="3EFBCF5B"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26</w:t>
            </w:r>
          </w:p>
        </w:tc>
        <w:tc>
          <w:tcPr>
            <w:tcW w:w="685" w:type="dxa"/>
            <w:tcBorders>
              <w:top w:val="single" w:sz="4" w:space="0" w:color="auto"/>
              <w:bottom w:val="single" w:sz="4" w:space="0" w:color="auto"/>
            </w:tcBorders>
            <w:vAlign w:val="center"/>
          </w:tcPr>
          <w:p w14:paraId="5D4EA482"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62</w:t>
            </w:r>
          </w:p>
          <w:p w14:paraId="2D09EFE3"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38</w:t>
            </w:r>
          </w:p>
        </w:tc>
        <w:tc>
          <w:tcPr>
            <w:tcW w:w="691" w:type="dxa"/>
            <w:tcBorders>
              <w:top w:val="single" w:sz="4" w:space="0" w:color="auto"/>
              <w:bottom w:val="single" w:sz="4" w:space="0" w:color="auto"/>
            </w:tcBorders>
            <w:vAlign w:val="center"/>
          </w:tcPr>
          <w:p w14:paraId="71449714"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.002</w:t>
            </w:r>
          </w:p>
        </w:tc>
      </w:tr>
      <w:tr w:rsidR="000C511C" w:rsidRPr="000C511C" w14:paraId="24E388FA" w14:textId="77777777" w:rsidTr="00766D25">
        <w:trPr>
          <w:trHeight w:val="20"/>
        </w:trPr>
        <w:tc>
          <w:tcPr>
            <w:tcW w:w="1560" w:type="dxa"/>
            <w:tcBorders>
              <w:top w:val="single" w:sz="4" w:space="0" w:color="auto"/>
              <w:bottom w:val="single" w:sz="4" w:space="0" w:color="auto"/>
            </w:tcBorders>
            <w:vAlign w:val="center"/>
          </w:tcPr>
          <w:p w14:paraId="06979363" w14:textId="77777777" w:rsidR="000C511C" w:rsidRPr="000C511C" w:rsidRDefault="000C511C" w:rsidP="00766D25">
            <w:pPr>
              <w:autoSpaceDE w:val="0"/>
              <w:autoSpaceDN w:val="0"/>
              <w:adjustRightInd w:val="0"/>
              <w:rPr>
                <w:rFonts w:ascii="Tw Cen MT" w:hAnsi="Tw Cen MT"/>
                <w:b/>
                <w:sz w:val="20"/>
                <w:szCs w:val="20"/>
              </w:rPr>
            </w:pPr>
            <w:r w:rsidRPr="000C511C">
              <w:rPr>
                <w:rFonts w:ascii="Tw Cen MT" w:hAnsi="Tw Cen MT"/>
                <w:b/>
                <w:sz w:val="20"/>
                <w:szCs w:val="20"/>
              </w:rPr>
              <w:t>Asupan Energi</w:t>
            </w:r>
          </w:p>
          <w:p w14:paraId="7FFDFB3A" w14:textId="77777777" w:rsidR="000C511C" w:rsidRPr="0064192B" w:rsidRDefault="000C511C" w:rsidP="00766D25">
            <w:pPr>
              <w:pStyle w:val="ListParagraph"/>
              <w:autoSpaceDE w:val="0"/>
              <w:autoSpaceDN w:val="0"/>
              <w:adjustRightInd w:val="0"/>
              <w:spacing w:line="240" w:lineRule="auto"/>
              <w:ind w:left="426"/>
              <w:rPr>
                <w:rFonts w:ascii="Tw Cen MT" w:hAnsi="Tw Cen MT"/>
                <w:bCs/>
                <w:sz w:val="20"/>
                <w:szCs w:val="20"/>
              </w:rPr>
            </w:pPr>
            <w:r w:rsidRPr="0064192B">
              <w:rPr>
                <w:rFonts w:ascii="Tw Cen MT" w:hAnsi="Tw Cen MT"/>
                <w:bCs/>
                <w:sz w:val="20"/>
                <w:szCs w:val="20"/>
              </w:rPr>
              <w:t>Adekuat</w:t>
            </w:r>
          </w:p>
          <w:p w14:paraId="4D9BDE19" w14:textId="77777777" w:rsidR="000C511C" w:rsidRPr="00766D25" w:rsidRDefault="000C511C" w:rsidP="00766D25">
            <w:pPr>
              <w:autoSpaceDE w:val="0"/>
              <w:autoSpaceDN w:val="0"/>
              <w:adjustRightInd w:val="0"/>
              <w:rPr>
                <w:rFonts w:ascii="Tw Cen MT" w:hAnsi="Tw Cen MT"/>
                <w:b/>
                <w:sz w:val="20"/>
                <w:szCs w:val="20"/>
              </w:rPr>
            </w:pPr>
            <w:r w:rsidRPr="00766D25">
              <w:rPr>
                <w:rFonts w:ascii="Tw Cen MT" w:hAnsi="Tw Cen MT"/>
                <w:bCs/>
                <w:sz w:val="20"/>
                <w:szCs w:val="20"/>
              </w:rPr>
              <w:t>Tidak Adekuat</w:t>
            </w:r>
          </w:p>
        </w:tc>
        <w:tc>
          <w:tcPr>
            <w:tcW w:w="748" w:type="dxa"/>
            <w:tcBorders>
              <w:top w:val="single" w:sz="4" w:space="0" w:color="auto"/>
              <w:bottom w:val="single" w:sz="4" w:space="0" w:color="auto"/>
            </w:tcBorders>
            <w:vAlign w:val="center"/>
          </w:tcPr>
          <w:p w14:paraId="0AABF93A" w14:textId="77777777" w:rsidR="00766D25" w:rsidRDefault="00766D25" w:rsidP="00766D25">
            <w:pPr>
              <w:autoSpaceDE w:val="0"/>
              <w:autoSpaceDN w:val="0"/>
              <w:adjustRightInd w:val="0"/>
              <w:jc w:val="center"/>
              <w:rPr>
                <w:rFonts w:ascii="Tw Cen MT" w:hAnsi="Tw Cen MT"/>
                <w:sz w:val="20"/>
                <w:szCs w:val="20"/>
              </w:rPr>
            </w:pPr>
          </w:p>
          <w:p w14:paraId="6FA45300" w14:textId="0284D25B"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9</w:t>
            </w:r>
          </w:p>
          <w:p w14:paraId="0E1112C0" w14:textId="77777777"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8</w:t>
            </w:r>
          </w:p>
        </w:tc>
        <w:tc>
          <w:tcPr>
            <w:tcW w:w="811" w:type="dxa"/>
            <w:tcBorders>
              <w:top w:val="single" w:sz="4" w:space="0" w:color="auto"/>
              <w:bottom w:val="single" w:sz="4" w:space="0" w:color="auto"/>
            </w:tcBorders>
            <w:vAlign w:val="center"/>
          </w:tcPr>
          <w:p w14:paraId="4E80DEDF" w14:textId="77777777" w:rsidR="00766D25" w:rsidRDefault="00766D25" w:rsidP="00766D25">
            <w:pPr>
              <w:autoSpaceDE w:val="0"/>
              <w:autoSpaceDN w:val="0"/>
              <w:adjustRightInd w:val="0"/>
              <w:jc w:val="center"/>
              <w:rPr>
                <w:rFonts w:ascii="Tw Cen MT" w:hAnsi="Tw Cen MT"/>
                <w:sz w:val="20"/>
                <w:szCs w:val="20"/>
              </w:rPr>
            </w:pPr>
          </w:p>
          <w:p w14:paraId="40090B05" w14:textId="40F2F2DE"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49</w:t>
            </w:r>
          </w:p>
          <w:p w14:paraId="35F88C4B" w14:textId="77777777"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34</w:t>
            </w:r>
          </w:p>
        </w:tc>
        <w:tc>
          <w:tcPr>
            <w:tcW w:w="685" w:type="dxa"/>
            <w:tcBorders>
              <w:top w:val="single" w:sz="4" w:space="0" w:color="auto"/>
              <w:bottom w:val="single" w:sz="4" w:space="0" w:color="auto"/>
            </w:tcBorders>
            <w:vAlign w:val="center"/>
          </w:tcPr>
          <w:p w14:paraId="5BA9B895" w14:textId="77777777" w:rsidR="00766D25" w:rsidRDefault="00766D25" w:rsidP="00766D25">
            <w:pPr>
              <w:autoSpaceDE w:val="0"/>
              <w:autoSpaceDN w:val="0"/>
              <w:adjustRightInd w:val="0"/>
              <w:jc w:val="center"/>
              <w:rPr>
                <w:rFonts w:ascii="Tw Cen MT" w:hAnsi="Tw Cen MT"/>
                <w:sz w:val="20"/>
                <w:szCs w:val="20"/>
              </w:rPr>
            </w:pPr>
          </w:p>
          <w:p w14:paraId="1B2AEC0B" w14:textId="191B13FB"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58</w:t>
            </w:r>
          </w:p>
          <w:p w14:paraId="58AE30D2" w14:textId="77777777"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42</w:t>
            </w:r>
          </w:p>
        </w:tc>
        <w:tc>
          <w:tcPr>
            <w:tcW w:w="691" w:type="dxa"/>
            <w:tcBorders>
              <w:top w:val="single" w:sz="4" w:space="0" w:color="auto"/>
              <w:bottom w:val="single" w:sz="4" w:space="0" w:color="auto"/>
            </w:tcBorders>
            <w:vAlign w:val="center"/>
          </w:tcPr>
          <w:p w14:paraId="6484AF5C" w14:textId="77777777" w:rsidR="00766D25" w:rsidRDefault="00766D25" w:rsidP="00766D25">
            <w:pPr>
              <w:autoSpaceDE w:val="0"/>
              <w:autoSpaceDN w:val="0"/>
              <w:adjustRightInd w:val="0"/>
              <w:jc w:val="center"/>
              <w:rPr>
                <w:rFonts w:ascii="Tw Cen MT" w:hAnsi="Tw Cen MT"/>
                <w:sz w:val="20"/>
                <w:szCs w:val="20"/>
              </w:rPr>
            </w:pPr>
          </w:p>
          <w:p w14:paraId="2D93C56D" w14:textId="5148482B"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.643</w:t>
            </w:r>
          </w:p>
          <w:p w14:paraId="1909B7F9" w14:textId="77777777" w:rsidR="000C511C" w:rsidRPr="000C511C" w:rsidRDefault="000C511C" w:rsidP="00766D25">
            <w:pPr>
              <w:autoSpaceDE w:val="0"/>
              <w:autoSpaceDN w:val="0"/>
              <w:adjustRightInd w:val="0"/>
              <w:jc w:val="center"/>
              <w:rPr>
                <w:rFonts w:ascii="Tw Cen MT" w:hAnsi="Tw Cen MT"/>
                <w:sz w:val="20"/>
                <w:szCs w:val="20"/>
              </w:rPr>
            </w:pPr>
          </w:p>
        </w:tc>
      </w:tr>
      <w:tr w:rsidR="000C511C" w:rsidRPr="000C511C" w14:paraId="09F61157" w14:textId="77777777" w:rsidTr="00766D25">
        <w:trPr>
          <w:trHeight w:val="20"/>
        </w:trPr>
        <w:tc>
          <w:tcPr>
            <w:tcW w:w="1560" w:type="dxa"/>
            <w:tcBorders>
              <w:top w:val="single" w:sz="4" w:space="0" w:color="auto"/>
              <w:bottom w:val="single" w:sz="4" w:space="0" w:color="auto"/>
            </w:tcBorders>
            <w:vAlign w:val="center"/>
          </w:tcPr>
          <w:p w14:paraId="480A972B" w14:textId="77777777" w:rsidR="000C511C" w:rsidRPr="000C511C" w:rsidRDefault="000C511C" w:rsidP="00E92B67">
            <w:pPr>
              <w:autoSpaceDE w:val="0"/>
              <w:autoSpaceDN w:val="0"/>
              <w:adjustRightInd w:val="0"/>
              <w:rPr>
                <w:rFonts w:ascii="Tw Cen MT" w:hAnsi="Tw Cen MT"/>
                <w:b/>
                <w:sz w:val="20"/>
                <w:szCs w:val="20"/>
              </w:rPr>
            </w:pPr>
            <w:r w:rsidRPr="000C511C">
              <w:rPr>
                <w:rFonts w:ascii="Tw Cen MT" w:hAnsi="Tw Cen MT"/>
                <w:b/>
                <w:sz w:val="20"/>
                <w:szCs w:val="20"/>
              </w:rPr>
              <w:t>Asupan Lemak</w:t>
            </w:r>
          </w:p>
          <w:p w14:paraId="595616E0" w14:textId="77777777" w:rsidR="000C511C" w:rsidRPr="00766D25" w:rsidRDefault="000C511C" w:rsidP="00766D25">
            <w:pPr>
              <w:autoSpaceDE w:val="0"/>
              <w:autoSpaceDN w:val="0"/>
              <w:adjustRightInd w:val="0"/>
              <w:rPr>
                <w:rFonts w:ascii="Tw Cen MT" w:hAnsi="Tw Cen MT"/>
                <w:bCs/>
                <w:sz w:val="20"/>
                <w:szCs w:val="20"/>
              </w:rPr>
            </w:pPr>
            <w:r w:rsidRPr="00766D25">
              <w:rPr>
                <w:rFonts w:ascii="Tw Cen MT" w:hAnsi="Tw Cen MT"/>
                <w:bCs/>
                <w:sz w:val="20"/>
                <w:szCs w:val="20"/>
              </w:rPr>
              <w:t>Adekuat</w:t>
            </w:r>
          </w:p>
          <w:p w14:paraId="56B86970" w14:textId="77777777" w:rsidR="000C511C" w:rsidRPr="00766D25" w:rsidRDefault="000C511C" w:rsidP="00766D25">
            <w:pPr>
              <w:autoSpaceDE w:val="0"/>
              <w:autoSpaceDN w:val="0"/>
              <w:adjustRightInd w:val="0"/>
              <w:rPr>
                <w:rFonts w:ascii="Tw Cen MT" w:hAnsi="Tw Cen MT"/>
                <w:b/>
                <w:sz w:val="20"/>
                <w:szCs w:val="20"/>
              </w:rPr>
            </w:pPr>
            <w:r w:rsidRPr="00766D25">
              <w:rPr>
                <w:rFonts w:ascii="Tw Cen MT" w:hAnsi="Tw Cen MT"/>
                <w:bCs/>
                <w:sz w:val="20"/>
                <w:szCs w:val="20"/>
              </w:rPr>
              <w:t>Tidak Adekuat</w:t>
            </w:r>
          </w:p>
        </w:tc>
        <w:tc>
          <w:tcPr>
            <w:tcW w:w="748" w:type="dxa"/>
            <w:tcBorders>
              <w:top w:val="single" w:sz="4" w:space="0" w:color="auto"/>
              <w:bottom w:val="single" w:sz="4" w:space="0" w:color="auto"/>
            </w:tcBorders>
            <w:vAlign w:val="center"/>
          </w:tcPr>
          <w:p w14:paraId="7BB1D443" w14:textId="77777777" w:rsidR="000C511C" w:rsidRPr="000C511C" w:rsidRDefault="000C511C" w:rsidP="00E92B67">
            <w:pPr>
              <w:autoSpaceDE w:val="0"/>
              <w:autoSpaceDN w:val="0"/>
              <w:adjustRightInd w:val="0"/>
              <w:jc w:val="center"/>
              <w:rPr>
                <w:rFonts w:ascii="Tw Cen MT" w:hAnsi="Tw Cen MT"/>
                <w:sz w:val="20"/>
                <w:szCs w:val="20"/>
              </w:rPr>
            </w:pPr>
          </w:p>
          <w:p w14:paraId="702901BA"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w:t>
            </w:r>
          </w:p>
          <w:p w14:paraId="70343248"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15</w:t>
            </w:r>
          </w:p>
        </w:tc>
        <w:tc>
          <w:tcPr>
            <w:tcW w:w="811" w:type="dxa"/>
            <w:tcBorders>
              <w:top w:val="single" w:sz="4" w:space="0" w:color="auto"/>
              <w:bottom w:val="single" w:sz="4" w:space="0" w:color="auto"/>
            </w:tcBorders>
            <w:vAlign w:val="center"/>
          </w:tcPr>
          <w:p w14:paraId="1D79DBC9" w14:textId="77777777" w:rsidR="000C511C" w:rsidRPr="000C511C" w:rsidRDefault="000C511C" w:rsidP="00E92B67">
            <w:pPr>
              <w:autoSpaceDE w:val="0"/>
              <w:autoSpaceDN w:val="0"/>
              <w:adjustRightInd w:val="0"/>
              <w:jc w:val="center"/>
              <w:rPr>
                <w:rFonts w:ascii="Tw Cen MT" w:hAnsi="Tw Cen MT"/>
                <w:sz w:val="20"/>
                <w:szCs w:val="20"/>
              </w:rPr>
            </w:pPr>
          </w:p>
          <w:p w14:paraId="66F16996"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26</w:t>
            </w:r>
          </w:p>
          <w:p w14:paraId="566C88D7"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57</w:t>
            </w:r>
          </w:p>
        </w:tc>
        <w:tc>
          <w:tcPr>
            <w:tcW w:w="685" w:type="dxa"/>
            <w:tcBorders>
              <w:top w:val="single" w:sz="4" w:space="0" w:color="auto"/>
              <w:bottom w:val="single" w:sz="4" w:space="0" w:color="auto"/>
            </w:tcBorders>
            <w:vAlign w:val="center"/>
          </w:tcPr>
          <w:p w14:paraId="1CCA88C8" w14:textId="77777777" w:rsidR="000C511C" w:rsidRPr="000C511C" w:rsidRDefault="000C511C" w:rsidP="00E92B67">
            <w:pPr>
              <w:autoSpaceDE w:val="0"/>
              <w:autoSpaceDN w:val="0"/>
              <w:adjustRightInd w:val="0"/>
              <w:jc w:val="center"/>
              <w:rPr>
                <w:rFonts w:ascii="Tw Cen MT" w:hAnsi="Tw Cen MT"/>
                <w:sz w:val="20"/>
                <w:szCs w:val="20"/>
              </w:rPr>
            </w:pPr>
          </w:p>
          <w:p w14:paraId="20EE30FB"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28</w:t>
            </w:r>
          </w:p>
          <w:p w14:paraId="6CD9DC3B"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72</w:t>
            </w:r>
          </w:p>
        </w:tc>
        <w:tc>
          <w:tcPr>
            <w:tcW w:w="691" w:type="dxa"/>
            <w:tcBorders>
              <w:top w:val="single" w:sz="4" w:space="0" w:color="auto"/>
              <w:bottom w:val="single" w:sz="4" w:space="0" w:color="auto"/>
            </w:tcBorders>
          </w:tcPr>
          <w:p w14:paraId="7CE2B579" w14:textId="77777777" w:rsidR="000C511C" w:rsidRPr="000C511C" w:rsidRDefault="000C511C" w:rsidP="00E92B67">
            <w:pPr>
              <w:autoSpaceDE w:val="0"/>
              <w:autoSpaceDN w:val="0"/>
              <w:adjustRightInd w:val="0"/>
              <w:jc w:val="center"/>
              <w:rPr>
                <w:rFonts w:ascii="Tw Cen MT" w:hAnsi="Tw Cen MT"/>
                <w:sz w:val="20"/>
                <w:szCs w:val="20"/>
              </w:rPr>
            </w:pPr>
          </w:p>
          <w:p w14:paraId="2058CE7B"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.102</w:t>
            </w:r>
          </w:p>
        </w:tc>
      </w:tr>
      <w:tr w:rsidR="000C511C" w:rsidRPr="000C511C" w14:paraId="125886E8" w14:textId="77777777" w:rsidTr="00766D25">
        <w:trPr>
          <w:trHeight w:val="20"/>
        </w:trPr>
        <w:tc>
          <w:tcPr>
            <w:tcW w:w="1560" w:type="dxa"/>
            <w:tcBorders>
              <w:top w:val="single" w:sz="4" w:space="0" w:color="auto"/>
              <w:bottom w:val="single" w:sz="4" w:space="0" w:color="auto"/>
            </w:tcBorders>
            <w:vAlign w:val="center"/>
          </w:tcPr>
          <w:p w14:paraId="4003E31D" w14:textId="77777777" w:rsidR="000C511C" w:rsidRPr="000C511C" w:rsidRDefault="000C511C" w:rsidP="00E92B67">
            <w:pPr>
              <w:autoSpaceDE w:val="0"/>
              <w:autoSpaceDN w:val="0"/>
              <w:adjustRightInd w:val="0"/>
              <w:rPr>
                <w:rFonts w:ascii="Tw Cen MT" w:hAnsi="Tw Cen MT"/>
                <w:b/>
                <w:sz w:val="20"/>
                <w:szCs w:val="20"/>
              </w:rPr>
            </w:pPr>
            <w:r w:rsidRPr="000C511C">
              <w:rPr>
                <w:rFonts w:ascii="Tw Cen MT" w:hAnsi="Tw Cen MT"/>
                <w:b/>
                <w:sz w:val="20"/>
                <w:szCs w:val="20"/>
              </w:rPr>
              <w:t>Asupan Protein</w:t>
            </w:r>
          </w:p>
          <w:p w14:paraId="702CA553" w14:textId="77777777" w:rsidR="000C511C" w:rsidRPr="00766D25" w:rsidRDefault="000C511C" w:rsidP="00766D25">
            <w:pPr>
              <w:autoSpaceDE w:val="0"/>
              <w:autoSpaceDN w:val="0"/>
              <w:adjustRightInd w:val="0"/>
              <w:rPr>
                <w:rFonts w:ascii="Tw Cen MT" w:hAnsi="Tw Cen MT"/>
                <w:bCs/>
                <w:sz w:val="20"/>
                <w:szCs w:val="20"/>
              </w:rPr>
            </w:pPr>
            <w:r w:rsidRPr="00766D25">
              <w:rPr>
                <w:rFonts w:ascii="Tw Cen MT" w:hAnsi="Tw Cen MT"/>
                <w:bCs/>
                <w:sz w:val="20"/>
                <w:szCs w:val="20"/>
              </w:rPr>
              <w:t>Adekuat</w:t>
            </w:r>
          </w:p>
          <w:p w14:paraId="7BCF6087" w14:textId="77777777" w:rsidR="000C511C" w:rsidRPr="00766D25" w:rsidRDefault="000C511C" w:rsidP="00766D25">
            <w:pPr>
              <w:autoSpaceDE w:val="0"/>
              <w:autoSpaceDN w:val="0"/>
              <w:adjustRightInd w:val="0"/>
              <w:rPr>
                <w:rFonts w:ascii="Tw Cen MT" w:hAnsi="Tw Cen MT"/>
                <w:b/>
                <w:sz w:val="20"/>
                <w:szCs w:val="20"/>
              </w:rPr>
            </w:pPr>
            <w:r w:rsidRPr="00766D25">
              <w:rPr>
                <w:rFonts w:ascii="Tw Cen MT" w:hAnsi="Tw Cen MT"/>
                <w:bCs/>
                <w:sz w:val="20"/>
                <w:szCs w:val="20"/>
              </w:rPr>
              <w:t>Tidak Adekuat</w:t>
            </w:r>
          </w:p>
        </w:tc>
        <w:tc>
          <w:tcPr>
            <w:tcW w:w="748" w:type="dxa"/>
            <w:tcBorders>
              <w:top w:val="single" w:sz="4" w:space="0" w:color="auto"/>
              <w:bottom w:val="single" w:sz="4" w:space="0" w:color="auto"/>
            </w:tcBorders>
            <w:vAlign w:val="center"/>
          </w:tcPr>
          <w:p w14:paraId="5696BC30" w14:textId="77777777" w:rsidR="00766D25" w:rsidRDefault="00766D25" w:rsidP="00E92B67">
            <w:pPr>
              <w:autoSpaceDE w:val="0"/>
              <w:autoSpaceDN w:val="0"/>
              <w:adjustRightInd w:val="0"/>
              <w:jc w:val="center"/>
              <w:rPr>
                <w:rFonts w:ascii="Tw Cen MT" w:hAnsi="Tw Cen MT"/>
                <w:sz w:val="20"/>
                <w:szCs w:val="20"/>
              </w:rPr>
            </w:pPr>
          </w:p>
          <w:p w14:paraId="5DB71327" w14:textId="3091708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15</w:t>
            </w:r>
          </w:p>
          <w:p w14:paraId="53669F9A"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w:t>
            </w:r>
          </w:p>
        </w:tc>
        <w:tc>
          <w:tcPr>
            <w:tcW w:w="811" w:type="dxa"/>
            <w:tcBorders>
              <w:top w:val="single" w:sz="4" w:space="0" w:color="auto"/>
              <w:bottom w:val="single" w:sz="4" w:space="0" w:color="auto"/>
            </w:tcBorders>
            <w:vAlign w:val="center"/>
          </w:tcPr>
          <w:p w14:paraId="78460100" w14:textId="77777777" w:rsidR="00766D25" w:rsidRDefault="00766D25" w:rsidP="00E92B67">
            <w:pPr>
              <w:autoSpaceDE w:val="0"/>
              <w:autoSpaceDN w:val="0"/>
              <w:adjustRightInd w:val="0"/>
              <w:jc w:val="center"/>
              <w:rPr>
                <w:rFonts w:ascii="Tw Cen MT" w:hAnsi="Tw Cen MT"/>
                <w:sz w:val="20"/>
                <w:szCs w:val="20"/>
              </w:rPr>
            </w:pPr>
          </w:p>
          <w:p w14:paraId="2305A805" w14:textId="6FBE72C6"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70</w:t>
            </w:r>
          </w:p>
          <w:p w14:paraId="2B0B8FD3"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13</w:t>
            </w:r>
          </w:p>
        </w:tc>
        <w:tc>
          <w:tcPr>
            <w:tcW w:w="685" w:type="dxa"/>
            <w:tcBorders>
              <w:top w:val="single" w:sz="4" w:space="0" w:color="auto"/>
              <w:bottom w:val="single" w:sz="4" w:space="0" w:color="auto"/>
            </w:tcBorders>
            <w:vAlign w:val="center"/>
          </w:tcPr>
          <w:p w14:paraId="37034259" w14:textId="77777777" w:rsidR="00766D25" w:rsidRDefault="00766D25" w:rsidP="00E92B67">
            <w:pPr>
              <w:autoSpaceDE w:val="0"/>
              <w:autoSpaceDN w:val="0"/>
              <w:adjustRightInd w:val="0"/>
              <w:jc w:val="center"/>
              <w:rPr>
                <w:rFonts w:ascii="Tw Cen MT" w:hAnsi="Tw Cen MT"/>
                <w:sz w:val="20"/>
                <w:szCs w:val="20"/>
              </w:rPr>
            </w:pPr>
          </w:p>
          <w:p w14:paraId="75995A7B" w14:textId="30A14C92"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85</w:t>
            </w:r>
          </w:p>
          <w:p w14:paraId="17310FCE"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15</w:t>
            </w:r>
          </w:p>
        </w:tc>
        <w:tc>
          <w:tcPr>
            <w:tcW w:w="691" w:type="dxa"/>
            <w:tcBorders>
              <w:top w:val="single" w:sz="4" w:space="0" w:color="auto"/>
              <w:bottom w:val="single" w:sz="4" w:space="0" w:color="auto"/>
            </w:tcBorders>
            <w:vAlign w:val="center"/>
          </w:tcPr>
          <w:p w14:paraId="503813B2"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.682</w:t>
            </w:r>
          </w:p>
        </w:tc>
      </w:tr>
      <w:tr w:rsidR="000C511C" w:rsidRPr="000C511C" w14:paraId="77D2BBE9" w14:textId="77777777" w:rsidTr="00766D25">
        <w:trPr>
          <w:trHeight w:val="20"/>
        </w:trPr>
        <w:tc>
          <w:tcPr>
            <w:tcW w:w="1560" w:type="dxa"/>
            <w:tcBorders>
              <w:top w:val="single" w:sz="4" w:space="0" w:color="auto"/>
            </w:tcBorders>
            <w:vAlign w:val="center"/>
          </w:tcPr>
          <w:p w14:paraId="693C33B1" w14:textId="77777777" w:rsidR="000C511C" w:rsidRPr="000C511C" w:rsidRDefault="000C511C" w:rsidP="00E92B67">
            <w:pPr>
              <w:autoSpaceDE w:val="0"/>
              <w:autoSpaceDN w:val="0"/>
              <w:adjustRightInd w:val="0"/>
              <w:rPr>
                <w:rFonts w:ascii="Tw Cen MT" w:hAnsi="Tw Cen MT"/>
                <w:b/>
                <w:sz w:val="20"/>
                <w:szCs w:val="20"/>
              </w:rPr>
            </w:pPr>
            <w:r w:rsidRPr="000C511C">
              <w:rPr>
                <w:rFonts w:ascii="Tw Cen MT" w:hAnsi="Tw Cen MT"/>
                <w:b/>
                <w:sz w:val="20"/>
                <w:szCs w:val="20"/>
              </w:rPr>
              <w:t>Asupan Karbohidrat</w:t>
            </w:r>
          </w:p>
          <w:p w14:paraId="4597FD18" w14:textId="77777777" w:rsidR="000C511C" w:rsidRPr="00766D25" w:rsidRDefault="000C511C" w:rsidP="00766D25">
            <w:pPr>
              <w:autoSpaceDE w:val="0"/>
              <w:autoSpaceDN w:val="0"/>
              <w:adjustRightInd w:val="0"/>
              <w:rPr>
                <w:rFonts w:ascii="Tw Cen MT" w:hAnsi="Tw Cen MT"/>
                <w:bCs/>
                <w:sz w:val="20"/>
                <w:szCs w:val="20"/>
              </w:rPr>
            </w:pPr>
            <w:r w:rsidRPr="00766D25">
              <w:rPr>
                <w:rFonts w:ascii="Tw Cen MT" w:hAnsi="Tw Cen MT"/>
                <w:bCs/>
                <w:sz w:val="20"/>
                <w:szCs w:val="20"/>
              </w:rPr>
              <w:lastRenderedPageBreak/>
              <w:t>Adekuat</w:t>
            </w:r>
          </w:p>
          <w:p w14:paraId="72D55BDB" w14:textId="77777777" w:rsidR="000C511C" w:rsidRPr="00766D25" w:rsidRDefault="000C511C" w:rsidP="00766D25">
            <w:pPr>
              <w:autoSpaceDE w:val="0"/>
              <w:autoSpaceDN w:val="0"/>
              <w:adjustRightInd w:val="0"/>
              <w:rPr>
                <w:rFonts w:ascii="Tw Cen MT" w:hAnsi="Tw Cen MT"/>
                <w:b/>
                <w:sz w:val="20"/>
                <w:szCs w:val="20"/>
              </w:rPr>
            </w:pPr>
            <w:r w:rsidRPr="00766D25">
              <w:rPr>
                <w:rFonts w:ascii="Tw Cen MT" w:hAnsi="Tw Cen MT"/>
                <w:bCs/>
                <w:sz w:val="20"/>
                <w:szCs w:val="20"/>
              </w:rPr>
              <w:t>Tidak Adekuat</w:t>
            </w:r>
          </w:p>
        </w:tc>
        <w:tc>
          <w:tcPr>
            <w:tcW w:w="748" w:type="dxa"/>
            <w:tcBorders>
              <w:top w:val="single" w:sz="4" w:space="0" w:color="auto"/>
            </w:tcBorders>
            <w:vAlign w:val="center"/>
          </w:tcPr>
          <w:p w14:paraId="48CF65DB" w14:textId="77777777" w:rsidR="00766D25" w:rsidRDefault="00766D25" w:rsidP="00E92B67">
            <w:pPr>
              <w:autoSpaceDE w:val="0"/>
              <w:autoSpaceDN w:val="0"/>
              <w:adjustRightInd w:val="0"/>
              <w:jc w:val="center"/>
              <w:rPr>
                <w:rFonts w:ascii="Tw Cen MT" w:hAnsi="Tw Cen MT"/>
                <w:sz w:val="20"/>
                <w:szCs w:val="20"/>
              </w:rPr>
            </w:pPr>
          </w:p>
          <w:p w14:paraId="646E52E2" w14:textId="77777777" w:rsidR="00766D25" w:rsidRDefault="00766D25" w:rsidP="00E92B67">
            <w:pPr>
              <w:autoSpaceDE w:val="0"/>
              <w:autoSpaceDN w:val="0"/>
              <w:adjustRightInd w:val="0"/>
              <w:jc w:val="center"/>
              <w:rPr>
                <w:rFonts w:ascii="Tw Cen MT" w:hAnsi="Tw Cen MT"/>
                <w:sz w:val="20"/>
                <w:szCs w:val="20"/>
              </w:rPr>
            </w:pPr>
          </w:p>
          <w:p w14:paraId="7E31CE1A" w14:textId="5783555A"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lastRenderedPageBreak/>
              <w:t>13</w:t>
            </w:r>
          </w:p>
          <w:p w14:paraId="57BCAADD"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4</w:t>
            </w:r>
          </w:p>
        </w:tc>
        <w:tc>
          <w:tcPr>
            <w:tcW w:w="811" w:type="dxa"/>
            <w:tcBorders>
              <w:top w:val="single" w:sz="4" w:space="0" w:color="auto"/>
            </w:tcBorders>
            <w:vAlign w:val="center"/>
          </w:tcPr>
          <w:p w14:paraId="65FA4688" w14:textId="77777777" w:rsidR="00766D25" w:rsidRDefault="00766D25" w:rsidP="00E92B67">
            <w:pPr>
              <w:autoSpaceDE w:val="0"/>
              <w:autoSpaceDN w:val="0"/>
              <w:adjustRightInd w:val="0"/>
              <w:jc w:val="center"/>
              <w:rPr>
                <w:rFonts w:ascii="Tw Cen MT" w:hAnsi="Tw Cen MT"/>
                <w:sz w:val="20"/>
                <w:szCs w:val="20"/>
              </w:rPr>
            </w:pPr>
          </w:p>
          <w:p w14:paraId="77A095F8" w14:textId="77777777" w:rsidR="00766D25" w:rsidRDefault="00766D25" w:rsidP="00E92B67">
            <w:pPr>
              <w:autoSpaceDE w:val="0"/>
              <w:autoSpaceDN w:val="0"/>
              <w:adjustRightInd w:val="0"/>
              <w:jc w:val="center"/>
              <w:rPr>
                <w:rFonts w:ascii="Tw Cen MT" w:hAnsi="Tw Cen MT"/>
                <w:sz w:val="20"/>
                <w:szCs w:val="20"/>
              </w:rPr>
            </w:pPr>
          </w:p>
          <w:p w14:paraId="7BF3BE04" w14:textId="4D70B36F"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lastRenderedPageBreak/>
              <w:t>49</w:t>
            </w:r>
          </w:p>
          <w:p w14:paraId="50CDA892"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34</w:t>
            </w:r>
          </w:p>
        </w:tc>
        <w:tc>
          <w:tcPr>
            <w:tcW w:w="685" w:type="dxa"/>
            <w:tcBorders>
              <w:top w:val="single" w:sz="4" w:space="0" w:color="auto"/>
            </w:tcBorders>
            <w:vAlign w:val="center"/>
          </w:tcPr>
          <w:p w14:paraId="11115D7C" w14:textId="77777777" w:rsidR="00766D25" w:rsidRDefault="00766D25" w:rsidP="00E92B67">
            <w:pPr>
              <w:autoSpaceDE w:val="0"/>
              <w:autoSpaceDN w:val="0"/>
              <w:adjustRightInd w:val="0"/>
              <w:jc w:val="center"/>
              <w:rPr>
                <w:rFonts w:ascii="Tw Cen MT" w:hAnsi="Tw Cen MT"/>
                <w:sz w:val="20"/>
                <w:szCs w:val="20"/>
              </w:rPr>
            </w:pPr>
          </w:p>
          <w:p w14:paraId="375EDD7F" w14:textId="77777777" w:rsidR="00766D25" w:rsidRDefault="00766D25" w:rsidP="00E92B67">
            <w:pPr>
              <w:autoSpaceDE w:val="0"/>
              <w:autoSpaceDN w:val="0"/>
              <w:adjustRightInd w:val="0"/>
              <w:jc w:val="center"/>
              <w:rPr>
                <w:rFonts w:ascii="Tw Cen MT" w:hAnsi="Tw Cen MT"/>
                <w:sz w:val="20"/>
                <w:szCs w:val="20"/>
              </w:rPr>
            </w:pPr>
          </w:p>
          <w:p w14:paraId="7CC8D276" w14:textId="623C1E2F"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lastRenderedPageBreak/>
              <w:t>62</w:t>
            </w:r>
          </w:p>
          <w:p w14:paraId="3F3EE883"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38</w:t>
            </w:r>
          </w:p>
        </w:tc>
        <w:tc>
          <w:tcPr>
            <w:tcW w:w="691" w:type="dxa"/>
            <w:tcBorders>
              <w:top w:val="single" w:sz="4" w:space="0" w:color="auto"/>
            </w:tcBorders>
            <w:vAlign w:val="center"/>
          </w:tcPr>
          <w:p w14:paraId="15DD357D" w14:textId="77777777" w:rsidR="00766D25" w:rsidRDefault="00766D25" w:rsidP="00E92B67">
            <w:pPr>
              <w:autoSpaceDE w:val="0"/>
              <w:autoSpaceDN w:val="0"/>
              <w:adjustRightInd w:val="0"/>
              <w:jc w:val="center"/>
              <w:rPr>
                <w:rFonts w:ascii="Tw Cen MT" w:hAnsi="Tw Cen MT"/>
                <w:sz w:val="20"/>
                <w:szCs w:val="20"/>
              </w:rPr>
            </w:pPr>
          </w:p>
          <w:p w14:paraId="6B6AB5F0" w14:textId="4D64249B"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.177</w:t>
            </w:r>
          </w:p>
        </w:tc>
      </w:tr>
    </w:tbl>
    <w:p w14:paraId="7B72BBCA" w14:textId="77777777" w:rsidR="000C511C" w:rsidRDefault="000C511C" w:rsidP="00766D25">
      <w:pPr>
        <w:spacing w:after="0" w:line="240" w:lineRule="auto"/>
        <w:rPr>
          <w:rFonts w:ascii="Tw Cen MT" w:eastAsia="Twentieth Century" w:hAnsi="Tw Cen MT" w:cs="Twentieth Century"/>
          <w:sz w:val="24"/>
          <w:szCs w:val="24"/>
        </w:rPr>
      </w:pPr>
    </w:p>
    <w:p w14:paraId="37366F73" w14:textId="77777777" w:rsidR="00766D25" w:rsidRPr="0053164C" w:rsidRDefault="00766D25" w:rsidP="00766D25">
      <w:pPr>
        <w:spacing w:after="0" w:line="240" w:lineRule="auto"/>
        <w:jc w:val="both"/>
        <w:rPr>
          <w:rFonts w:ascii="Tw Cen MT" w:hAnsi="Tw Cen MT" w:cs="Times New Roman"/>
          <w:sz w:val="24"/>
          <w:szCs w:val="24"/>
        </w:rPr>
      </w:pPr>
      <w:r w:rsidRPr="0053164C">
        <w:rPr>
          <w:rFonts w:ascii="Tw Cen MT" w:eastAsia="Times New Roman" w:hAnsi="Tw Cen MT" w:cs="Times New Roman"/>
          <w:color w:val="111111"/>
          <w:sz w:val="24"/>
          <w:szCs w:val="24"/>
          <w:lang w:eastAsia="id-ID"/>
        </w:rPr>
        <w:t>Berdasarkan Tabel 3, terdapat 71% anak yang menerima MP-ASI sebelum berusia 6 bulan.</w:t>
      </w:r>
      <w:r w:rsidRPr="0053164C">
        <w:rPr>
          <w:rFonts w:ascii="Tw Cen MT" w:hAnsi="Tw Cen MT" w:cs="Times New Roman"/>
          <w:sz w:val="24"/>
          <w:szCs w:val="24"/>
        </w:rPr>
        <w:t xml:space="preserve"> Berdasarkan hasil wawancara, diketahui usia paling awal bayi memperoleh MP-ASI adalah ketika berusia 1 bulan. Kelompok makanan yang diperkenalkan untuk pertama kalinya juga bervariasi, seperti air putih, air madu, pisang, susu formula, bahkan bubur halus. Bayi sereng rewel, gelisah, bahkan menangis, menjadi alasan pemberian MP-ASI dini. Para ibu berasumsi bahwa anak rewel dan menangis karena lapar sehingga ibu menganggap pemberian ASI tidak lagi mencukupi kebutuhan si anak. </w:t>
      </w:r>
      <w:r w:rsidRPr="0053164C">
        <w:rPr>
          <w:rFonts w:ascii="Tw Cen MT" w:eastAsia="Times New Roman" w:hAnsi="Tw Cen MT" w:cs="Times New Roman"/>
          <w:color w:val="111111"/>
          <w:sz w:val="24"/>
          <w:szCs w:val="24"/>
          <w:lang w:eastAsia="id-ID"/>
        </w:rPr>
        <w:t>Pengenalan awal MP-ASI dapat menyebabkan timbulnya masalah pencernaan seperti muntah, diare dan sembelit</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{"citationItems":[{"id":"ITEM-1","itemData":{"DOI":"10.33860/jik.v17i1.1889","ISSN":"1907-459X","abstract":"In 2021, the prevalence of stunting among toddlers in Wani Primary Health Care (Puskesmas) was still high at 18.2%. Delayed introduction of complementary feeding (MP-ASI) and inappropriate feeding practices, such as lack of responsive feeding, contribute to the occurrence of stunting. The objective of this study was to investigate the relationship between the timing of MP-ASI introduction and maternal knowledge of responsive feeding with the occurrence of stunting among children aged 6 to 24 months. This research employed a cross-sectional design using quantitative analytic observational methods. Simple random sampling was used to select the sample, and data were collected through questionnaire surveys from 126 mothers with children between the ages of 6 and 24 months. The study was conducted in the communities of Nupa Bomba, Bale, and Wani Lumbumpetigo, all located within the working area of Wani Primary Health Care. The results showed that 80.2% of the timing of MP-ASI introduction was inappropriate, and 62.7% of the mothers had insufficient knowledge of responsive feeding. The chi-square test revealed a significant association between the timing of MP-ASI introduction and the occurrence of stunting (p value = 0.047, OR = 0.290), as well as between the occurrence of stunting and maternal knowledge of responsive feeding (p value = 0.008, OR = 0.298). In conclusion, there is a relationship between the occurrence of stunting and the timing of MP-ASI introduction, as well as maternal knowledge of responsive feeding. It is recommended to enhance parental knowledge and attitudes and prevent stunting by providing nutrition education through counseling on proper complementary feeding and responsible childcare practices. This study highlights the importance of improving education and support for mothers to prevent stunting.","author":[{"dropping-particle":"","family":"Waqiyah","given":"Hidayatul","non-dropping-particle":"","parse-names":false,"suffix":""},{"dropping-particle":"","family":"Maineny","given":"Arie","non-dropping-particle":"","parse-names":false,"suffix":""},{"dropping-particle":"","family":"Nurfatimah","given":"Nurfatimah","non-dropping-particle":"","parse-names":false,"suffix":""}],"container-title":"Poltekita : Jurnal Ilmu Kesehatan","id":"ITEM-1","issue":"1","issued":{"date-parts":[["2023"]]},"page":"147-154","title":"The Relationship between the Timing of Complementary Feeding and Maternal Knowledge of Responsive Feeding and the Incidence of Stunting in Children Aged 6-24 Months","type":"article-journal","volume":"17"},"uris":["http://www.mendeley.com/documents/?uuid=787a7bc6-731b-4c76-a143-14715dc8bee2","http://www.mendeley.com/documents/?uuid=ca269cea-01fe-487e-b853-afa89d5ee4d4"]}],"mendeley":{"formattedCitation":"[15]","plainTextFormattedCitation":"[15]","previouslyFormattedCitation":"[15]"},"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[15]</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Hal ini disebabkan karena sistem pencernaan anak dalam mengolah makanan padat belum berfungsi optimal.</w:t>
      </w:r>
    </w:p>
    <w:p w14:paraId="266CC140" w14:textId="3E5E6ED6" w:rsidR="00766D25" w:rsidRDefault="00766D25" w:rsidP="00766D25">
      <w:pPr>
        <w:spacing w:after="0" w:line="240" w:lineRule="auto"/>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Hasil penelitian ini sejalan dengan penelitian yang dilakukan Nai (2014), dimana tidak ditemukan hubunga</w:t>
      </w:r>
      <w:r w:rsidRPr="0053164C">
        <w:rPr>
          <w:rFonts w:ascii="Tw Cen MT" w:eastAsia="Times New Roman" w:hAnsi="Tw Cen MT"/>
          <w:color w:val="111111"/>
          <w:sz w:val="24"/>
          <w:szCs w:val="24"/>
          <w:lang w:eastAsia="id-ID"/>
        </w:rPr>
        <w:t xml:space="preserve">n </w:t>
      </w:r>
      <w:r w:rsidRPr="0053164C">
        <w:rPr>
          <w:rFonts w:ascii="Tw Cen MT" w:eastAsia="Times New Roman" w:hAnsi="Tw Cen MT" w:cs="Times New Roman"/>
          <w:color w:val="111111"/>
          <w:sz w:val="24"/>
          <w:szCs w:val="24"/>
          <w:lang w:eastAsia="id-ID"/>
        </w:rPr>
        <w:t>yang signifikan antara tingkatan usia pengenalan MP-ASI dengan risiko kejadian stunting</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{"citationItems":[{"id":"ITEM-1","itemData":{"DOI":"10.1039/c0an00880j","ISBN":"0003-2654","abstract":"It is not currently known how dietary assessment in older persons is affected by cognition. In a 1997-2000 study, the authors assessed the validity and reproducibility of a modified Harvard self-administered food frequency questionnaire (SFFQ) among 118 Black and 114 White randomly selected participants, aged 68-99 years, of the Chicago Health and Aging Project. Participants completed multiple 24-hour dietary recall interviews (mean=3.6) over 12 months and two SFFQs in the first and 12th months. The average energy-adjusted intraclass correlation coefficient for 15 nutrients was 0.59 for 1-year reproducibility in nutrient intake levels assessed by the SFFQ. The average energy-adjusted Pearson correlation coefficient was 0.46 for comparative validity between nutrient intake levels on the SFFQ and the dietary recalls. SFFQ reproducibility was higher among men, and comparative validity with the dietary recalls was higher among women. There were no remarkable differences in the correlations by age, race, educational level, presence of chronic conditions, or cognitive ability. The modified Harvard SFFQ is a reasonable method of dietary assessment even in a population of older persons, some of whom are at advanced age, have chronic health conditions, and have cognitive impairment., (C) Copyright Oxford University Press 2003.","author":[{"dropping-particle":"","family":"Nai","given":"Hildagardis","non-dropping-particle":"","parse-names":false,"suffix":""},{"dropping-particle":"","family":"Gunawan","given":"I Made Alit","non-dropping-particle":"","parse-names":false,"suffix":""},{"dropping-particle":"","family":"Nurwanti","given":"Esti","non-dropping-particle":"","parse-names":false,"suffix":""}],"container-title":"Jurnal Gizi dan Dietetik Indonesia","id":"ITEM-1","issue":"3","issued":{"date-parts":[["2014"]]},"page":"126-139","title":"Praktik pemberian makanan pendamping asi (mp-asi) sebagai faktor risiko kejadian stunting pada anak usia 6-23 bulan","type":"article-journal","volume":"2"},"uris":["http://www.mendeley.com/documents/?uuid=7d0f2ddc-6479-4cc7-984b-85d4c9b32b41","http://www.mendeley.com/documents/?uuid=d5930db6-f691-432e-b58a-e7cfb10d48fd"]}],"mendeley":{"formattedCitation":"[16]","plainTextFormattedCitation":"[16]","previouslyFormattedCitation":"[16]"},"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[16]</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Pada saat anak diberikan makanan tambahan selain ASI sebelum berusia 6 bulan, anak akan berisiko mengalami kontaminasi bakteri sehingga dapat menyebabkan timbulnya penyakit infeksi</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{"citationItems":[{"id":"ITEM-1","itemData":{"DOI":"10.22146/ijcn.53788","ISSN":"1693-900X","abstract":"Background: Indonesia’s national stunting prevalence remains high. The transition from exclusive breastfeeding to poor complementary feeding practices may put infants at higher risk of becoming stunting. Objective: This study aimed to analyze the relationship between the early introduction of complementary food and stunting among young children aged 6-23 months in Kebumen Regency. Methods: A cross-sectional study design was conducted among 307 young children in Kebumen Regency, Central Java Province, Indonesia, by using multistage cluster sampling. Our primary outcome was stunting or height-for-age z-score &lt;-2, whereas independent variables were child, maternal, and household factors. Univariate and multivariate logistic regression were performed to assess significant determinants at the level of significance 0.05. Results: Timely introduction of complementary food was a protective factor against stunting (AOR= 0.54; 95%CI: 0.31-0.94). Female children were less likely to be associated with stunting (AOR= 0.54; 95%CI: 0.32-0.93). Conversely, variables which significantly increased the risk of becoming stunting included older children aged 12-17 months (AOR= 2.01; 95%CI: 1.05-3.84) and 18-23 months (AOR= 4.17; 95%CI: 2.15-8.08) and maternal occupation in agricultural sectors (AOR= 3.77; 95%CI: 1.17-12.1). Conclusions: Child factors associated with stunting was the first timing of complementary feeding, child sex, and child age. The maternal factor linked to stunting was the mother's occupation in the agricultural sector. This study indicated that child and maternal factors play essential roles in childhood stunting.","author":[{"dropping-particle":"","family":"Paramashanti","given":"Bunga Astria","non-dropping-particle":"","parse-names":false,"suffix":""},{"dropping-particle":"","family":"Benita","given":"Stella","non-dropping-particle":"","parse-names":false,"suffix":""}],"container-title":"Jurnal Gizi Klinik Indonesia","id":"ITEM-1","issue":"1","issued":{"date-parts":[["2020"]]},"page":"1","title":"Early introduction of complementary food and childhood stunting were linked among children aged 6-23 months","type":"article-journal","volume":"17"},"uris":["http://www.mendeley.com/documents/?uuid=bf815622-19d9-4d28-adfe-64086fea3867","http://www.mendeley.com/documents/?uuid=ebb078eb-c72e-488a-8606-326036adf8e3","http://www.mendeley.com/documents/?uuid=27dae0f4-521c-4991-99ff-bc9b98d79eba"]}],"mendeley":{"formattedCitation":"[17]","plainTextFormattedCitation":"[17]","previouslyFormattedCitation":"[17]"},"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[17]</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yang jika berlangsung lama dapat berdampak terhadap status gizi ataupun pertumbuhan anak. </w:t>
      </w:r>
      <w:r w:rsidRPr="0053164C">
        <w:rPr>
          <w:rFonts w:ascii="Tw Cen MT" w:eastAsia="Times New Roman" w:hAnsi="Tw Cen MT" w:cs="Times New Roman"/>
          <w:color w:val="111111"/>
          <w:sz w:val="24"/>
          <w:szCs w:val="24"/>
          <w:lang w:val="pt-BR" w:eastAsia="id-ID"/>
        </w:rPr>
        <w:t>Namun data mengenai penyakit infeksi tidak diteliti dalam penelitian ini. Pemberian MP-ASI dini tidak secara langsung berdampak terhadap status gizi atau pertumbuhan anak melainkan terhadap status kesehatan anak</w:t>
      </w:r>
      <w:r>
        <w:rPr>
          <w:rFonts w:ascii="Tw Cen MT" w:eastAsia="Times New Roman" w:hAnsi="Tw Cen MT" w:cs="Times New Roman"/>
          <w:color w:val="111111"/>
          <w:sz w:val="24"/>
          <w:szCs w:val="24"/>
          <w:lang w:val="pt-BR" w:eastAsia="id-ID"/>
        </w:rPr>
        <w:t xml:space="preserve"> </w:t>
      </w:r>
      <w:r>
        <w:rPr>
          <w:rFonts w:ascii="Tw Cen MT" w:eastAsia="Times New Roman" w:hAnsi="Tw Cen MT" w:cs="Times New Roman"/>
          <w:color w:val="111111"/>
          <w:sz w:val="24"/>
          <w:szCs w:val="24"/>
          <w:lang w:val="pt-BR" w:eastAsia="id-ID"/>
        </w:rPr>
        <w:fldChar w:fldCharType="begin" w:fldLock="1"/>
      </w:r>
      <w:r>
        <w:rPr>
          <w:rFonts w:ascii="Tw Cen MT" w:eastAsia="Times New Roman" w:hAnsi="Tw Cen MT" w:cs="Times New Roman"/>
          <w:color w:val="111111"/>
          <w:sz w:val="24"/>
          <w:szCs w:val="24"/>
          <w:lang w:val="pt-BR" w:eastAsia="id-ID"/>
        </w:rPr>
        <w:instrText>ADDIN CSL_CITATION {"citationItems":[{"id":"ITEM-1","itemData":{"DOI":"10.33860/jik.v17i1.1889","ISSN":"1907-459X","abstract":"In 2021, the prevalence of stunting among toddlers in Wani Primary Health Care (Puskesmas) was still high at 18.2%. Delayed introduction of complementary feeding (MP-ASI) and inappropriate feeding practices, such as lack of responsive feeding, contribute to the occurrence of stunting. The objective of this study was to investigate the relationship between the timing of MP-ASI introduction and maternal knowledge of responsive feeding with the occurrence of stunting among children aged 6 to 24 months. This research employed a cross-sectional design using quantitative analytic observational methods. Simple random sampling was used to select the sample, and data were collected through questionnaire surveys from 126 mothers with children between the ages of 6 and 24 months. The study was conducted in the communities of Nupa Bomba, Bale, and Wani Lumbumpetigo, all located within the working area of Wani Primary Health Care. The results showed that 80.2% of the timing of MP-ASI introduction was inappropriate, and 62.7% of the mothers had insufficient knowledge of responsive feeding. The chi-square test revealed a significant association between the timing of MP-ASI introduction and the occurrence of stunting (p value = 0.047, OR = 0.290), as well as between the occurrence of stunting and maternal knowledge of responsive feeding (p value = 0.008, OR = 0.298). In conclusion, there is a relationship between the occurrence of stunting and the timing of MP-ASI introduction, as well as maternal knowledge of responsive feeding. It is recommended to enhance parental knowledge and attitudes and prevent stunting by providing nutrition education through counseling on proper complementary feeding and responsible childcare practices. This study highlights the importance of improving education and support for mothers to prevent stunting.","author":[{"dropping-particle":"","family":"Waqiyah","given":"Hidayatul","non-dropping-particle":"","parse-names":false,"suffix":""},{"dropping-particle":"","family":"Maineny","given":"Arie","non-dropping-particle":"","parse-names":false,"suffix":""},{"dropping-particle":"","family":"Nurfatimah","given":"Nurfatimah","non-dropping-particle":"","parse-names":false,"suffix":""}],"container-title":"Poltekita : Jurnal Ilmu Kesehatan","id":"ITEM-1","issue":"1","issued":{"date-parts":[["2023"]]},"page":"147-154","title":"The Relationship between the Timing of Complementary Feeding and Maternal Knowledge of Responsive Feeding and the Incidence of Stunting in Children Aged 6-24 Months","type":"article-journal","volume":"17"},"uris":["http://www.mendeley.com/documents/?uuid=787a7bc6-731b-4c76-a143-14715dc8bee2"]}],"mendeley":{"formattedCitation":"[15]","plainTextFormattedCitation":"[15]"},"properties":{"noteIndex":0},"schema":"https://github.com/citation-style-language/schema/raw/master/csl-citation.json"}</w:instrText>
      </w:r>
      <w:r>
        <w:rPr>
          <w:rFonts w:ascii="Tw Cen MT" w:eastAsia="Times New Roman" w:hAnsi="Tw Cen MT" w:cs="Times New Roman"/>
          <w:color w:val="111111"/>
          <w:sz w:val="24"/>
          <w:szCs w:val="24"/>
          <w:lang w:val="pt-BR" w:eastAsia="id-ID"/>
        </w:rPr>
        <w:fldChar w:fldCharType="separate"/>
      </w:r>
      <w:r w:rsidRPr="006D647E">
        <w:rPr>
          <w:rFonts w:ascii="Tw Cen MT" w:eastAsia="Times New Roman" w:hAnsi="Tw Cen MT" w:cs="Times New Roman"/>
          <w:noProof/>
          <w:color w:val="111111"/>
          <w:sz w:val="24"/>
          <w:szCs w:val="24"/>
          <w:lang w:val="pt-BR" w:eastAsia="id-ID"/>
        </w:rPr>
        <w:t>[15]</w:t>
      </w:r>
      <w:r>
        <w:rPr>
          <w:rFonts w:ascii="Tw Cen MT" w:eastAsia="Times New Roman" w:hAnsi="Tw Cen MT" w:cs="Times New Roman"/>
          <w:color w:val="111111"/>
          <w:sz w:val="24"/>
          <w:szCs w:val="24"/>
          <w:lang w:val="pt-BR" w:eastAsia="id-ID"/>
        </w:rPr>
        <w:fldChar w:fldCharType="end"/>
      </w:r>
      <w:r w:rsidRPr="0053164C">
        <w:rPr>
          <w:rFonts w:ascii="Tw Cen MT" w:eastAsia="Times New Roman" w:hAnsi="Tw Cen MT" w:cs="Times New Roman"/>
          <w:color w:val="111111"/>
          <w:sz w:val="24"/>
          <w:szCs w:val="24"/>
          <w:lang w:val="pt-BR" w:eastAsia="id-ID"/>
        </w:rPr>
        <w:t>. Pemberian MP-ASI dini akan menyebabkan anak memiliki risiko tinggi untuk tersedak, mengalami alergi makanan, penurunan asupan ASI atau susu formula</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val="pt-BR" w:eastAsia="id-ID"/>
        </w:rPr>
        <w:instrText>ADDIN CSL_CITATION {"citationItems":[{"id":"ITEM-1","itemData":{"DOI":"10.3389/fnut.2016.00041","ISSN":"2296861X","abstract":"Breastfeeding provides the ideal food during the first 6 months of life. Complementary feeding starts when breast milk is no longer sufficient by itself, where the target age is for 6–23 months. The gap between nutritional requirement and amount obtained from breast milk increases with age. For energy, 200, 300, and 550 kcal per day is expected to be covered by complementary foods at 6–8, 9–11, and 12–23 months, respectively. In addition, the complementary foods must provide relatively large proportions of micronutrients such as iron, zinc, phosphorus, magnesium, calcium, and vitamin B6. In several parts of the developing world, complementary feeding continues as a challenge to good nutrition in children. In Ethiopia, only 4.2% of breastfed children of 6–23 months of age have a minimum acceptable diet. The gaps are mostly attributed to either poor dietary quality or poor feeding practices, if not both. Commercial fortified foods are often beyond the reach of the poor. Thus, homemade complementary foods remain commonly used. Even when based on an improved recipe, however, unfortified plant-based complementary foods provide insufficient key micronutrients (especially, iron, zinc, and calcium) during the age of 6–23 months. Thus, this review assessed complementary feeding practice and recommendation and reviewed the level of adequacy of homemade complementary foods.","author":[{"dropping-particle":"","family":"Abeshu","given":"Motuma Adimasu","non-dropping-particle":"","parse-names":false,"suffix":""},{"dropping-particle":"","family":"Lelisa","given":"Azeb","non-dropping-particle":"","parse-names":false,"suffix":""},{"dropping-particle":"","family":"Geleta","given":"Bekesho","non-dropping-particle":"","parse-names":false,"suffix":""}],"container-title":"Frontiers in Nutrition","id":"ITEM-1","issued":{"date-parts":[["2016"]]},"page":"41","title":"Complementary Feeding: Review of Recommendations, Feeding Practices, and Adequacy of Homemade Complementary Food Preparations in Developing Countries – Lessons from Ethiopia","type":"article-journal","volume":"3"},"uris":["http://www.mendeley.com/documents/?uuid=0f14a783-8e81-44de-ab7d-86c0e902d272","http://www.mendeley.com/documents/?uuid=fa038282-0179-4379-97ab-273265f829db"]}],"mendeley":{"formattedCitation":"[18]","plainTextFormattedCitation":"[18]","previouslyFormattedCitation":"[18]"},"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val="pt-BR" w:eastAsia="id-ID"/>
        </w:rPr>
        <w:t>[18]</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val="pt-BR" w:eastAsia="id-ID"/>
        </w:rPr>
        <w:t>. Selain itu, pengenalan awal MP-ASI seperti susu sapi, buah dan jus buah juga dapat meningkatkan risiko masalah kesehatan lainnya, misalnya Diabetes Mellitus Tipe 1</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val="pt-BR" w:eastAsia="id-ID"/>
        </w:rPr>
        <w:instrText>ADDIN CSL_CITATION {"citationItems":[{"id":"ITEM-1","itemData":{"DOI":"10.1186/s13052-015-0143-5","ISSN":"1824-7288","abstract":"Weaning (or introduction of complementary feeding) is a special and important moment in the growth of a child, both for the family and the infant itself, and it can play a major role in the child’s future health. Throughout the years, various weaning modes have come in succession, the latest being baby-led weaning; the timing for introducing foods and the requirements of which sort of nutrient for weaning have also changed over time. Furthermore, the role played by nutrition, especially in the early stages of life, for the onset of later non-communicable disorders, such as diabetes, obesity or coeliac disease has also been increasingly highlighted. Members of Italian Society of Gastroenterology, Hepathology and Pediatric Nutrition (SIGENP) and the Italian Society of Allergology and Pediatric Immunology (SIAIP) Emilia Romagna here propose a practical approach for pediatricians to deal with daily practice. The four main areas for discussion were weaning in relation with the onset of allergic diseases, coeliac disease, diabetes and metabolic syndrome, the nutrition requirements to take into account for assessing the diet of infants under one year of age and about the practice of baby-led weaning focusing on limits and benefits, respectively.","author":[{"dropping-particle":"","family":"Alvisi","given":"Patrizia","non-dropping-particle":"","parse-names":false,"suffix":""},{"dropping-particle":"","family":"Brusa","given":"Sandra","non-dropping-particle":"","parse-names":false,"suffix":""},{"dropping-particle":"","family":"Alboresi","given":"Stefano","non-dropping-particle":"","parse-names":false,"suffix":""},{"dropping-particle":"","family":"Amarri","given":"Sergio","non-dropping-particle":"","parse-names":false,"suffix":""},{"dropping-particle":"","family":"Bottau","given":"Paolo","non-dropping-particle":"","parse-names":false,"suffix":""},{"dropping-particle":"","family":"Cavagni","given":"Giovanni","non-dropping-particle":"","parse-names":false,"suffix":""},{"dropping-particle":"","family":"Corradini","given":"Barbara","non-dropping-particle":"","parse-names":false,"suffix":""},{"dropping-particle":"","family":"Landi","given":"Linda","non-dropping-particle":"","parse-names":false,"suffix":""},{"dropping-particle":"","family":"Loroni","given":"Leonardo","non-dropping-particle":"","parse-names":false,"suffix":""},{"dropping-particle":"","family":"Marani","given":"Miris","non-dropping-particle":"","parse-names":false,"suffix":""},{"dropping-particle":"","family":"Osti","given":"Irene M","non-dropping-particle":"","parse-names":false,"suffix":""},{"dropping-particle":"","family":"Povesi-Dascola","given":"Carlotta","non-dropping-particle":"","parse-names":false,"suffix":""},{"dropping-particle":"","family":"Caffarelli","given":"Carlo","non-dropping-particle":"","parse-names":false,"suffix":""},{"dropping-particle":"","family":"Valeriani","given":"Luca","non-dropping-particle":"","parse-names":false,"suffix":""},{"dropping-particle":"","family":"Agostoni","given":"Carlo","non-dropping-particle":"","parse-names":false,"suffix":""}],"container-title":"Italian Journal of Pediatrics","id":"ITEM-1","issue":"1","issued":{"date-parts":[["2015","12","28"]]},"page":"36","publisher":"BioMed Central","title":"Recommendations on complementary feeding for healthy, full-term infants","type":"article-journal","volume":"41"},"uris":["http://www.mendeley.com/documents/?uuid=23539c6d-cc56-393c-98b3-29b467ed1a7c","http://www.mendeley.com/documents/?uuid=c7d2a541-c54d-416a-bf3c-bf41245f7f39","http://www.mendeley.com/documents/?uuid=f49f21d2-2640-40d0-b370-c3253199b4ce"]}],"mendeley":{"formattedCitation":"[19]","plainTextFormattedCitation":"[19]","previouslyFormattedCitation":"[19]"},"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[19]</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i/>
          <w:iCs/>
          <w:color w:val="111111"/>
          <w:sz w:val="24"/>
          <w:szCs w:val="24"/>
          <w:lang w:eastAsia="id-ID"/>
        </w:rPr>
        <w:t xml:space="preserve">American Academy of Pediatrics </w:t>
      </w:r>
      <w:r w:rsidRPr="0053164C">
        <w:rPr>
          <w:rFonts w:ascii="Tw Cen MT" w:eastAsia="Times New Roman" w:hAnsi="Tw Cen MT" w:cs="Times New Roman"/>
          <w:color w:val="111111"/>
          <w:sz w:val="24"/>
          <w:szCs w:val="24"/>
          <w:lang w:eastAsia="id-ID"/>
        </w:rPr>
        <w:t xml:space="preserve">(AAP) menyarankan bahwa bayi &lt;6 bulan tidak </w:t>
      </w:r>
      <w:r w:rsidRPr="0053164C">
        <w:rPr>
          <w:rFonts w:ascii="Tw Cen MT" w:eastAsia="Times New Roman" w:hAnsi="Tw Cen MT" w:cs="Times New Roman"/>
          <w:color w:val="111111"/>
          <w:sz w:val="24"/>
          <w:szCs w:val="24"/>
          <w:lang w:eastAsia="id-ID"/>
        </w:rPr>
        <w:t>diperbolehkan untuk mengkonsumsi jus buah hingga berusia 1 tahun</w:t>
      </w:r>
      <w:r>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{"citationItems":[{"id":"ITEM-1","itemData":{"DOI":"10.1186/s13052-015-0143-5","ISSN":"1824-7288","abstract":"Weaning (or introduction of complementary feeding) is a special and important moment in the growth of a child, both for the family and the infant itself, and it can play a major role in the child’s future health. Throughout the years, various weaning modes have come in succession, the latest being baby-led weaning; the timing for introducing foods and the requirements of which sort of nutrient for weaning have also changed over time. Furthermore, the role played by nutrition, especially in the early stages of life, for the onset of later non-communicable disorders, such as diabetes, obesity or coeliac disease has also been increasingly highlighted. Members of Italian Society of Gastroenterology, Hepathology and Pediatric Nutrition (SIGENP) and the Italian Society of Allergology and Pediatric Immunology (SIAIP) Emilia Romagna here propose a practical approach for pediatricians to deal with daily practice. The four main areas for discussion were weaning in relation with the onset of allergic diseases, coeliac disease, diabetes and metabolic syndrome, the nutrition requirements to take into account for assessing the diet of infants under one year of age and about the practice of baby-led weaning focusing on limits and benefits, respectively.","author":[{"dropping-particle":"","family":"Alvisi","given":"Patrizia","non-dropping-particle":"","parse-names":false,"suffix":""},{"dropping-particle":"","family":"Brusa","given":"Sandra","non-dropping-particle":"","parse-names":false,"suffix":""},{"dropping-particle":"","family":"Alboresi","given":"Stefano","non-dropping-particle":"","parse-names":false,"suffix":""},{"dropping-particle":"","family":"Amarri","given":"Sergio","non-dropping-particle":"","parse-names":false,"suffix":""},{"dropping-particle":"","family":"Bottau","given":"Paolo","non-dropping-particle":"","parse-names":false,"suffix":""},{"dropping-particle":"","family":"Cavagni","given":"Giovanni","non-dropping-particle":"","parse-names":false,"suffix":""},{"dropping-particle":"","family":"Corradini","given":"Barbara","non-dropping-particle":"","parse-names":false,"suffix":""},{"dropping-particle":"","family":"Landi","given":"Linda","non-dropping-particle":"","parse-names":false,"suffix":""},{"dropping-particle":"","family":"Loroni","given":"Leonardo","non-dropping-particle":"","parse-names":false,"suffix":""},{"dropping-particle":"","family":"Marani","given":"Miris","non-dropping-particle":"","parse-names":false,"suffix":""},{"dropping-particle":"","family":"Osti","given":"Irene M","non-dropping-particle":"","parse-names":false,"suffix":""},{"dropping-particle":"","family":"Povesi-Dascola","given":"Carlotta","non-dropping-particle":"","parse-names":false,"suffix":""},{"dropping-particle":"","family":"Caffarelli","given":"Carlo","non-dropping-particle":"","parse-names":false,"suffix":""},{"dropping-particle":"","family":"Valeriani","given":"Luca","non-dropping-particle":"","parse-names":false,"suffix":""},{"dropping-particle":"","family":"Agostoni","given":"Carlo","non-dropping-particle":"","parse-names":false,"suffix":""}],"container-title":"Italian Journal of Pediatrics","id":"ITEM-1","issue":"1","issued":{"date-parts":[["2015","12","28"]]},"page":"36","publisher":"BioMed Central","title":"Recommendations on complementary feeding for healthy, full-term infants","type":"article-journal","volume":"41"},"uris":["http://www.mendeley.com/documents/?uuid=f49f21d2-2640-40d0-b370-c3253199b4ce","http://www.mendeley.com/documents/?uuid=c7d2a541-c54d-416a-bf3c-bf41245f7f39","http://www.mendeley.com/documents/?uuid=23539c6d-cc56-393c-98b3-29b467ed1a7c"]}],"mendeley":{"formattedCitation":"[19]","plainTextFormattedCitation":"[19]","previouslyFormattedCitation":"[19]"},"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[19]</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w:t>
      </w:r>
    </w:p>
    <w:p w14:paraId="4C93DC40" w14:textId="77777777" w:rsidR="00766D25" w:rsidRPr="0053164C" w:rsidRDefault="00766D25" w:rsidP="00766D25">
      <w:pPr>
        <w:spacing w:after="0" w:line="240" w:lineRule="auto"/>
        <w:ind w:firstLine="567"/>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Berdasarkan hasil analisis Tabel 3, diketahui bahwa tidak terdapat hubungan yang signifikan antara tekstur MP-ASI yang diberikan dengan status gizi (PB/U) (</w:t>
      </w:r>
      <w:r w:rsidRPr="0053164C">
        <w:rPr>
          <w:rFonts w:ascii="Tw Cen MT" w:eastAsia="Times New Roman" w:hAnsi="Tw Cen MT" w:cs="Times New Roman"/>
          <w:i/>
          <w:iCs/>
          <w:color w:val="111111"/>
          <w:sz w:val="24"/>
          <w:szCs w:val="24"/>
          <w:lang w:eastAsia="id-ID"/>
        </w:rPr>
        <w:t>p</w:t>
      </w:r>
      <w:r w:rsidRPr="0053164C">
        <w:rPr>
          <w:rFonts w:ascii="Tw Cen MT" w:eastAsia="Times New Roman" w:hAnsi="Tw Cen MT" w:cs="Times New Roman"/>
          <w:color w:val="111111"/>
          <w:sz w:val="24"/>
          <w:szCs w:val="24"/>
          <w:lang w:eastAsia="id-ID"/>
        </w:rPr>
        <w:t xml:space="preserve">=0.523). </w:t>
      </w:r>
      <w:r w:rsidRPr="005B7CC8">
        <w:rPr>
          <w:rFonts w:ascii="Tw Cen MT" w:eastAsia="Calibri" w:hAnsi="Tw Cen MT" w:cs="Times New Roman"/>
          <w:sz w:val="24"/>
          <w:szCs w:val="24"/>
        </w:rPr>
        <w:t xml:space="preserve">Walaupun demikian, </w:t>
      </w:r>
      <w:r>
        <w:rPr>
          <w:rFonts w:ascii="Tw Cen MT" w:eastAsia="Calibri" w:hAnsi="Tw Cen MT" w:cs="Times New Roman"/>
          <w:sz w:val="24"/>
          <w:szCs w:val="24"/>
        </w:rPr>
        <w:fldChar w:fldCharType="begin" w:fldLock="1"/>
      </w:r>
      <w:r>
        <w:rPr>
          <w:rFonts w:ascii="Tw Cen MT" w:eastAsia="Calibri" w:hAnsi="Tw Cen MT" w:cs="Times New Roman"/>
          <w:sz w:val="24"/>
          <w:szCs w:val="24"/>
        </w:rPr>
        <w:instrText>ADDIN CSL_CITATION {"citationItems":[{"id":"ITEM-1","itemData":{"abstract":"a l t h P r o m o t i o n a n d P r o t e c t i o n F o o d a n d N u t r i t i o n P r o g r a m","author":[{"dropping-particle":"","family":"WHO","given":"","non-dropping-particle":"","parse-names":false,"suffix":""}],"id":"ITEM-1","issued":{"date-parts":[["2003"]]},"title":"Guiding Principles for Complementary Feeding of the Breastfed Child","type":"book"},"uris":["http://www.mendeley.com/documents/?uuid=0b5f5342-ebd7-4298-bf45-2f769de78529"]}],"mendeley":{"formattedCitation":"[6]","plainTextFormattedCitation":"[6]","previouslyFormattedCitation":"[6]"},"properties":{"noteIndex":0},"schema":"https://github.com/citation-style-language/schema/raw/master/csl-citation.json"}</w:instrText>
      </w:r>
      <w:r>
        <w:rPr>
          <w:rFonts w:ascii="Tw Cen MT" w:eastAsia="Calibri" w:hAnsi="Tw Cen MT" w:cs="Times New Roman"/>
          <w:sz w:val="24"/>
          <w:szCs w:val="24"/>
        </w:rPr>
        <w:fldChar w:fldCharType="separate"/>
      </w:r>
      <w:r w:rsidRPr="00394A51">
        <w:rPr>
          <w:rFonts w:ascii="Tw Cen MT" w:eastAsia="Calibri" w:hAnsi="Tw Cen MT" w:cs="Times New Roman"/>
          <w:noProof/>
          <w:sz w:val="24"/>
          <w:szCs w:val="24"/>
        </w:rPr>
        <w:t>[6]</w:t>
      </w:r>
      <w:r>
        <w:rPr>
          <w:rFonts w:ascii="Tw Cen MT" w:eastAsia="Calibri" w:hAnsi="Tw Cen MT" w:cs="Times New Roman"/>
          <w:sz w:val="24"/>
          <w:szCs w:val="24"/>
        </w:rPr>
        <w:fldChar w:fldCharType="end"/>
      </w:r>
      <w:r w:rsidRPr="005B7CC8">
        <w:rPr>
          <w:rFonts w:ascii="Tw Cen MT" w:eastAsia="Calibri" w:hAnsi="Tw Cen MT" w:cs="Times New Roman"/>
          <w:sz w:val="24"/>
          <w:szCs w:val="24"/>
        </w:rPr>
        <w:t xml:space="preserve"> apabila anak diberikan makanan dengan konsistensi atau tekstur ya</w:t>
      </w:r>
      <w:r>
        <w:rPr>
          <w:rFonts w:ascii="Tw Cen MT" w:eastAsia="Calibri" w:hAnsi="Tw Cen MT" w:cs="Times New Roman"/>
          <w:sz w:val="24"/>
          <w:szCs w:val="24"/>
        </w:rPr>
        <w:t>n</w:t>
      </w:r>
      <w:r w:rsidRPr="005B7CC8">
        <w:rPr>
          <w:rFonts w:ascii="Tw Cen MT" w:eastAsia="Calibri" w:hAnsi="Tw Cen MT" w:cs="Times New Roman"/>
          <w:sz w:val="24"/>
          <w:szCs w:val="24"/>
        </w:rPr>
        <w:t>g tidak sesuai dengan perkembangan usianya, anak mungkin tidak dapat mengkonsumsi porsi makanan yang diberikan atau anak memerlukan waktu yang lebih lama untuk menghabiskan makanannya sehingga asupan makan menjadi terganggu.</w:t>
      </w:r>
      <w:r>
        <w:rPr>
          <w:rFonts w:ascii="Tw Cen MT" w:eastAsia="Calibri" w:hAnsi="Tw Cen MT" w:cs="Times New Roman"/>
          <w:sz w:val="24"/>
          <w:szCs w:val="24"/>
        </w:rPr>
        <w:t xml:space="preserve"> Hal ini akan berdampak tidak langsung terhadap status gizinya.</w:t>
      </w:r>
      <w:r w:rsidRPr="005B7CC8">
        <w:rPr>
          <w:rFonts w:ascii="Tw Cen MT" w:eastAsia="Calibri" w:hAnsi="Tw Cen MT" w:cs="Times New Roman"/>
          <w:sz w:val="24"/>
          <w:szCs w:val="24"/>
        </w:rPr>
        <w:t xml:space="preserve"> Hasil penelitian yang sama juga ditemukan pada penelitian </w:t>
      </w:r>
      <w:r w:rsidRPr="005B7CC8">
        <w:rPr>
          <w:rFonts w:ascii="Tw Cen MT" w:eastAsia="Calibri" w:hAnsi="Tw Cen MT" w:cs="Times New Roman"/>
          <w:sz w:val="24"/>
          <w:szCs w:val="24"/>
        </w:rPr>
        <w:fldChar w:fldCharType="begin" w:fldLock="1"/>
      </w:r>
      <w:r>
        <w:rPr>
          <w:rFonts w:ascii="Tw Cen MT" w:eastAsia="Calibri" w:hAnsi="Tw Cen MT" w:cs="Times New Roman"/>
          <w:sz w:val="24"/>
          <w:szCs w:val="24"/>
        </w:rPr>
        <w:instrText>ADDIN CSL_CITATION {"citationItems":[{"id":"ITEM-1","itemData":{"ISSN":"0125-9717","abstract":"Budaya jajan menjadi bagian dari keseharian pada hampir semua kelompok usia dan kelas sosial, termasuk anak usia sekolah dan golongan remaja. Makanan jajanan bermanfaat terhadap penganekaragaman makanan sejak kecil dalam rangka peningkatan mutu gizi makanan yang dikonsumsi. Aspek negatif makanan jajanan yaitu apabila dikonsumsi berlebihan dapat menyebabkan terjadinya kelebihan asupan energi. Seringnya mengkonsumsi makanan diluar rumah berkaitan dengan rendahnya asupan buah dan sayuran dan rendahnya asupan mikronutrien Kontribusi dari makanan jajanan tinggi akan lemak dan lemak jenuh serta kurang akan kalsium, serat, dan zat besi dibandingkan dengan makanan dari rumah. Tujuan penelitian untuk mengetahui kontribusi zat gizi (energi, karbohidrat, lemak dan protein) makanan jajanan terhadap total energi. Analisis lanjut data Survey Konsumsi Makanan Individu 2014. Definisi makanan jajanan adalah makanan dan minuman yang diolah di luar rumah tetapi dikonsumsi di rumah tangga, makanan dan minuman yang diolah dan dikonsumsi di sekolah/tempat kerja serta makanan dan minuman yang diolah dan dikonsumsi selain tempat yang diatas (rumah makan, pedagang kaki lima, dll). Jumlah responden yang mengonsumsi makanan jajanan sebanyak 86.529 dengan sebaran tertinggi 53,9 persen diperkotaan, 51,5 persen pada perempuan, 44,3 persen pada kelompok umur 26-58 tahun dan 24,3 persen pada tingkat ekonomi teratas. Kontribusi makanan jajanan terhadap total asupan energi sehari sebesar 34,4 persen. (606,9 kkal), protein 4,7 persen (20,7 gr), lemak 11,6 persen (23,2 gr) dan karbohidrat 18,6 persen (81,1 gr). Kelompok bahan makanan jajanan yang sering dikonsumsi adalah serealia dan olahan serta kelompok umbi-umbian dan olahan. [Penel","author":[{"dropping-particle":"","family":"Wangiyana","given":"Ni Komang Ayu Swanitri","non-dropping-particle":"","parse-names":false,"suffix":""},{"dropping-particle":"","family":"Karuniawaty","given":"Titi Pambudi","non-dropping-particle":"","parse-names":false,"suffix":""},{"dropping-particle":"","family":"John","given":"Ristania Ellya","non-dropping-particle":"","parse-names":false,"suffix":""},{"dropping-particle":"","family":"Qurani","given":"Ratu Missa","non-dropping-particle":"","parse-names":false,"suffix":""},{"dropping-particle":"","family":"Tengkawan","given":"Jeslyn","non-dropping-particle":"","parse-names":false,"suffix":""},{"dropping-particle":"","family":"Sptisari","given":"Ayu Anandhika","non-dropping-particle":"","parse-names":false,"suffix":""},{"dropping-particle":"","family":"Ihyauddin","given":"Zulfikar","non-dropping-particle":"","parse-names":false,"suffix":""}],"container-title":"The Journal of Nutrition and Food Research","id":"ITEM-1","issue":"2","issued":{"date-parts":[["2020"]]},"page":"81-88","title":"PRAKTIK PEMBERIAN MP-ASI TERHADAP RISIKO STUNTING PADA ANAK USIA 6-12 BULAN DI LOMBOK TENGAH","type":"article-journal","volume":"43"},"uris":["http://www.mendeley.com/documents/?uuid=bae1242e-224c-42a9-80cb-f5a26c47d870"]}],"mendeley":{"formattedCitation":"[20]","manualFormatting":"(Wangiyana dkk., 2020)","plainTextFormattedCitation":"[20]","previouslyFormattedCitation":"[20]"},"properties":{"noteIndex":0},"schema":"https://github.com/citation-style-language/schema/raw/master/csl-citation.json"}</w:instrText>
      </w:r>
      <w:r w:rsidRPr="005B7CC8">
        <w:rPr>
          <w:rFonts w:ascii="Tw Cen MT" w:eastAsia="Calibri" w:hAnsi="Tw Cen MT" w:cs="Times New Roman"/>
          <w:sz w:val="24"/>
          <w:szCs w:val="24"/>
        </w:rPr>
        <w:fldChar w:fldCharType="separate"/>
      </w:r>
      <w:r w:rsidRPr="005B7CC8">
        <w:rPr>
          <w:rFonts w:ascii="Tw Cen MT" w:eastAsia="Calibri" w:hAnsi="Tw Cen MT" w:cs="Times New Roman"/>
          <w:noProof/>
          <w:sz w:val="24"/>
          <w:szCs w:val="24"/>
        </w:rPr>
        <w:t xml:space="preserve">(Wangiyana </w:t>
      </w:r>
      <w:r w:rsidRPr="005B7CC8">
        <w:rPr>
          <w:rFonts w:ascii="Tw Cen MT" w:eastAsia="Calibri" w:hAnsi="Tw Cen MT" w:cs="Times New Roman"/>
          <w:i/>
          <w:noProof/>
          <w:sz w:val="24"/>
          <w:szCs w:val="24"/>
        </w:rPr>
        <w:t>dkk.</w:t>
      </w:r>
      <w:r w:rsidRPr="005B7CC8">
        <w:rPr>
          <w:rFonts w:ascii="Tw Cen MT" w:eastAsia="Calibri" w:hAnsi="Tw Cen MT" w:cs="Times New Roman"/>
          <w:noProof/>
          <w:sz w:val="24"/>
          <w:szCs w:val="24"/>
        </w:rPr>
        <w:t>, 2020)</w:t>
      </w:r>
      <w:r w:rsidRPr="005B7CC8">
        <w:rPr>
          <w:rFonts w:ascii="Tw Cen MT" w:eastAsia="Calibri" w:hAnsi="Tw Cen MT" w:cs="Times New Roman"/>
          <w:sz w:val="24"/>
          <w:szCs w:val="24"/>
        </w:rPr>
        <w:fldChar w:fldCharType="end"/>
      </w:r>
      <w:r w:rsidRPr="005B7CC8">
        <w:rPr>
          <w:rFonts w:ascii="Tw Cen MT" w:eastAsia="Calibri" w:hAnsi="Tw Cen MT" w:cs="Times New Roman"/>
          <w:sz w:val="24"/>
          <w:szCs w:val="24"/>
        </w:rPr>
        <w:t xml:space="preserve"> dimana tidak diperoleh hubungan yang signifikan antara tekstur pemberian MP-ASI dengan risiko stunting</w:t>
      </w:r>
      <w:r>
        <w:rPr>
          <w:rFonts w:ascii="Tw Cen MT" w:eastAsia="Calibri" w:hAnsi="Tw Cen MT" w:cs="Times New Roman"/>
          <w:sz w:val="24"/>
          <w:szCs w:val="24"/>
        </w:rPr>
        <w:t xml:space="preserve">. </w:t>
      </w:r>
      <w:r w:rsidRPr="0053164C">
        <w:rPr>
          <w:rFonts w:ascii="Tw Cen MT" w:eastAsia="Calibri" w:hAnsi="Tw Cen MT" w:cs="Times New Roman"/>
          <w:sz w:val="24"/>
          <w:szCs w:val="24"/>
        </w:rPr>
        <w:t>Menurut</w:t>
      </w:r>
      <w:r w:rsidRPr="0053164C">
        <w:rPr>
          <w:rFonts w:ascii="Tw Cen MT" w:eastAsia="Calibri" w:hAnsi="Tw Cen MT" w:cs="Times New Roman"/>
          <w:sz w:val="24"/>
          <w:szCs w:val="24"/>
          <w:lang w:val="id-ID"/>
        </w:rPr>
        <w:t xml:space="preserve"> </w:t>
      </w:r>
      <w:r w:rsidRPr="0053164C">
        <w:rPr>
          <w:rFonts w:ascii="Tw Cen MT" w:eastAsia="Calibri" w:hAnsi="Tw Cen MT" w:cs="Times New Roman"/>
          <w:sz w:val="24"/>
          <w:szCs w:val="24"/>
        </w:rPr>
        <w:t>IDAI tahun 2018, tekstur MP-ASI diberikan secara bertahap sesuai perkembangan usia, dimulai dari makanan yang dihaluskan hingga menjadi bubur kental (</w:t>
      </w:r>
      <w:r w:rsidRPr="0053164C">
        <w:rPr>
          <w:rFonts w:ascii="Tw Cen MT" w:eastAsia="Calibri" w:hAnsi="Tw Cen MT" w:cs="Times New Roman"/>
          <w:i/>
          <w:iCs/>
          <w:sz w:val="24"/>
          <w:szCs w:val="24"/>
        </w:rPr>
        <w:t xml:space="preserve">puree) </w:t>
      </w:r>
      <w:r w:rsidRPr="0053164C">
        <w:rPr>
          <w:rFonts w:ascii="Tw Cen MT" w:eastAsia="Calibri" w:hAnsi="Tw Cen MT" w:cs="Times New Roman"/>
          <w:sz w:val="24"/>
          <w:szCs w:val="24"/>
        </w:rPr>
        <w:t>untuk usia 6 bulan</w:t>
      </w:r>
      <w:r w:rsidRPr="0053164C">
        <w:rPr>
          <w:rFonts w:ascii="Tw Cen MT" w:eastAsia="Calibri" w:hAnsi="Tw Cen MT" w:cs="Times New Roman"/>
          <w:i/>
          <w:iCs/>
          <w:sz w:val="24"/>
          <w:szCs w:val="24"/>
        </w:rPr>
        <w:t xml:space="preserve">, </w:t>
      </w:r>
      <w:r w:rsidRPr="0053164C">
        <w:rPr>
          <w:rFonts w:ascii="Tw Cen MT" w:eastAsia="Calibri" w:hAnsi="Tw Cen MT" w:cs="Times New Roman"/>
          <w:sz w:val="24"/>
          <w:szCs w:val="24"/>
        </w:rPr>
        <w:t>makanan yang dilumatkan halus (</w:t>
      </w:r>
      <w:r w:rsidRPr="0053164C">
        <w:rPr>
          <w:rFonts w:ascii="Tw Cen MT" w:eastAsia="Calibri" w:hAnsi="Tw Cen MT" w:cs="Times New Roman"/>
          <w:i/>
          <w:iCs/>
          <w:sz w:val="24"/>
          <w:szCs w:val="24"/>
        </w:rPr>
        <w:t>mashed)</w:t>
      </w:r>
      <w:r w:rsidRPr="0053164C">
        <w:rPr>
          <w:rFonts w:ascii="Tw Cen MT" w:eastAsia="Calibri" w:hAnsi="Tw Cen MT" w:cs="Times New Roman"/>
          <w:sz w:val="24"/>
          <w:szCs w:val="24"/>
        </w:rPr>
        <w:t xml:space="preserve"> untuk usia 6-9 bulan</w:t>
      </w:r>
      <w:r w:rsidRPr="0053164C">
        <w:rPr>
          <w:rFonts w:ascii="Tw Cen MT" w:eastAsia="Calibri" w:hAnsi="Tw Cen MT" w:cs="Times New Roman"/>
          <w:i/>
          <w:iCs/>
          <w:sz w:val="24"/>
          <w:szCs w:val="24"/>
        </w:rPr>
        <w:t xml:space="preserve">, </w:t>
      </w:r>
      <w:r w:rsidRPr="0053164C">
        <w:rPr>
          <w:rFonts w:ascii="Tw Cen MT" w:eastAsia="Calibri" w:hAnsi="Tw Cen MT" w:cs="Times New Roman"/>
          <w:sz w:val="24"/>
          <w:szCs w:val="24"/>
        </w:rPr>
        <w:t>makanan yang dicincang halus (</w:t>
      </w:r>
      <w:r w:rsidRPr="0053164C">
        <w:rPr>
          <w:rFonts w:ascii="Tw Cen MT" w:eastAsia="Calibri" w:hAnsi="Tw Cen MT" w:cs="Times New Roman"/>
          <w:i/>
          <w:iCs/>
          <w:sz w:val="24"/>
          <w:szCs w:val="24"/>
        </w:rPr>
        <w:t xml:space="preserve">minced), </w:t>
      </w:r>
      <w:r w:rsidRPr="0053164C">
        <w:rPr>
          <w:rFonts w:ascii="Tw Cen MT" w:eastAsia="Calibri" w:hAnsi="Tw Cen MT" w:cs="Times New Roman"/>
          <w:sz w:val="24"/>
          <w:szCs w:val="24"/>
        </w:rPr>
        <w:t>dicincang kasar (</w:t>
      </w:r>
      <w:r w:rsidRPr="0053164C">
        <w:rPr>
          <w:rFonts w:ascii="Tw Cen MT" w:eastAsia="Calibri" w:hAnsi="Tw Cen MT" w:cs="Times New Roman"/>
          <w:i/>
          <w:iCs/>
          <w:sz w:val="24"/>
          <w:szCs w:val="24"/>
        </w:rPr>
        <w:t xml:space="preserve">chopped), </w:t>
      </w:r>
      <w:r w:rsidRPr="0053164C">
        <w:rPr>
          <w:rFonts w:ascii="Tw Cen MT" w:eastAsia="Calibri" w:hAnsi="Tw Cen MT" w:cs="Times New Roman"/>
          <w:sz w:val="24"/>
          <w:szCs w:val="24"/>
        </w:rPr>
        <w:t>atau makanan yang dapat dipegang sendiri (</w:t>
      </w:r>
      <w:r w:rsidRPr="0053164C">
        <w:rPr>
          <w:rFonts w:ascii="Tw Cen MT" w:eastAsia="Calibri" w:hAnsi="Tw Cen MT" w:cs="Times New Roman"/>
          <w:i/>
          <w:iCs/>
          <w:sz w:val="24"/>
          <w:szCs w:val="24"/>
        </w:rPr>
        <w:t xml:space="preserve">finger foods) </w:t>
      </w:r>
      <w:r w:rsidRPr="0053164C">
        <w:rPr>
          <w:rFonts w:ascii="Tw Cen MT" w:eastAsia="Calibri" w:hAnsi="Tw Cen MT" w:cs="Times New Roman"/>
          <w:sz w:val="24"/>
          <w:szCs w:val="24"/>
        </w:rPr>
        <w:t>untuk usia 9-12 bulan, serta makanan keluarga yang dihaluskan atau dicincang seperlunya untuk usia diatas 12 bulan</w:t>
      </w:r>
      <w:r w:rsidRPr="0053164C">
        <w:rPr>
          <w:rFonts w:ascii="Tw Cen MT" w:eastAsia="Calibri" w:hAnsi="Tw Cen MT" w:cs="Times New Roman"/>
          <w:sz w:val="24"/>
          <w:szCs w:val="24"/>
          <w:lang w:val="id-ID"/>
        </w:rPr>
        <w:fldChar w:fldCharType="begin" w:fldLock="1"/>
      </w:r>
      <w:r>
        <w:rPr>
          <w:rFonts w:ascii="Tw Cen MT" w:eastAsia="Calibri" w:hAnsi="Tw Cen MT" w:cs="Times New Roman"/>
          <w:sz w:val="24"/>
          <w:szCs w:val="24"/>
          <w:lang w:val="id-ID"/>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8fcaea8b-2173-40b0-af81-444b91c7ca0c","http://www.mendeley.com/documents/?uuid=f41e6871-01b6-4996-a0a6-1ef1273ce999","http://www.mendeley.com/documents/?uuid=f5a99c48-5f06-4c32-a250-eccdc74f8f02"]}],"mendeley":{"formattedCitation":"[14]","plainTextFormattedCitation":"[14]","previouslyFormattedCitation":"[14]"},"properties":{"noteIndex":0},"schema":"https://github.com/citation-style-language/schema/raw/master/csl-citation.json"}</w:instrText>
      </w:r>
      <w:r w:rsidRPr="0053164C">
        <w:rPr>
          <w:rFonts w:ascii="Tw Cen MT" w:eastAsia="Calibri" w:hAnsi="Tw Cen MT" w:cs="Times New Roman"/>
          <w:sz w:val="24"/>
          <w:szCs w:val="24"/>
          <w:lang w:val="id-ID"/>
        </w:rPr>
        <w:fldChar w:fldCharType="separate"/>
      </w:r>
      <w:r w:rsidRPr="00394A51">
        <w:rPr>
          <w:rFonts w:ascii="Tw Cen MT" w:eastAsia="Calibri" w:hAnsi="Tw Cen MT" w:cs="Times New Roman"/>
          <w:noProof/>
          <w:sz w:val="24"/>
          <w:szCs w:val="24"/>
          <w:lang w:val="id-ID"/>
        </w:rPr>
        <w:t>[14]</w:t>
      </w:r>
      <w:r w:rsidRPr="0053164C">
        <w:rPr>
          <w:rFonts w:ascii="Tw Cen MT" w:eastAsia="Calibri" w:hAnsi="Tw Cen MT" w:cs="Times New Roman"/>
          <w:sz w:val="24"/>
          <w:szCs w:val="24"/>
          <w:lang w:val="id-ID"/>
        </w:rPr>
        <w:fldChar w:fldCharType="end"/>
      </w:r>
      <w:r w:rsidRPr="0053164C">
        <w:rPr>
          <w:rFonts w:ascii="Tw Cen MT" w:eastAsia="Calibri" w:hAnsi="Tw Cen MT" w:cs="Times New Roman"/>
          <w:sz w:val="24"/>
          <w:szCs w:val="24"/>
        </w:rPr>
        <w:t xml:space="preserve">. Hasil penelitian ini menunjukkan bahwa sebanyak </w:t>
      </w:r>
      <w:r w:rsidRPr="0053164C">
        <w:rPr>
          <w:rFonts w:ascii="Tw Cen MT" w:eastAsia="Times New Roman" w:hAnsi="Tw Cen MT" w:cs="Times New Roman"/>
          <w:color w:val="111111"/>
          <w:sz w:val="24"/>
          <w:szCs w:val="24"/>
          <w:lang w:eastAsia="id-ID"/>
        </w:rPr>
        <w:t xml:space="preserve">70% anak belum mendapatkan MP-ASI dengan tekstur yang sesuai dengan usianya. </w:t>
      </w:r>
    </w:p>
    <w:p w14:paraId="3C4B1E8C" w14:textId="5F756C5F" w:rsidR="00766D25" w:rsidRDefault="00766D25" w:rsidP="00766D25">
      <w:pPr>
        <w:spacing w:after="0" w:line="240" w:lineRule="auto"/>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Pemberian MP-ASI dengan tekstur yang tidak sesuai dengan tahapan usia tidak berdampak secara langsung terhadap status gizi. Menurut</w:t>
      </w:r>
      <w:r w:rsidRPr="0053164C">
        <w:rPr>
          <w:rFonts w:ascii="Tw Cen MT" w:eastAsia="Times New Roman" w:hAnsi="Tw Cen MT" w:cs="Times New Roman"/>
          <w:color w:val="111111"/>
          <w:sz w:val="24"/>
          <w:szCs w:val="24"/>
          <w:lang w:val="id-ID" w:eastAsia="id-ID"/>
        </w:rPr>
        <w:t xml:space="preserve"> WHO (2003)</w:t>
      </w:r>
      <w:r w:rsidRPr="0053164C">
        <w:rPr>
          <w:rFonts w:ascii="Tw Cen MT" w:eastAsia="Times New Roman" w:hAnsi="Tw Cen MT" w:cs="Times New Roman"/>
          <w:color w:val="111111"/>
          <w:sz w:val="24"/>
          <w:szCs w:val="24"/>
          <w:lang w:eastAsia="id-ID"/>
        </w:rPr>
        <w:t>, apabila anak diberikan makanan dengan tekstur yang tidak sesuai dengan perkembangan usianya, anak mungkin tidak dapat mengkonsumsi porsi makanan yang diberikan atau anak memerlukan waktu yang lebih lama untuk menghabiskan makanannya sehingga asupan makan menjadi terganggu</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{"citationItems":[{"id":"ITEM-1","itemData":{"abstract":"a l t h P r o m o t i o n a n d P r o t e c t i o n F o o d a n d N u t r i t i o n P r o g r a m","author":[{"dropping-particle":"","family":"WHO","given":"","non-dropping-particle":"","parse-names":false,"suffix":""}],"id":"ITEM-1","issued":{"date-parts":[["2003"]]},"title":"Guiding Principles for Complementary Feeding of the Breastfed Child","type":"book"},"uris":["http://www.mendeley.com/documents/?uuid=0b5f5342-ebd7-4298-bf45-2f769de78529"]}],"mendeley":{"formattedCitation":"[6]","plainTextFormattedCitation":"[6]","previouslyFormattedCitation":"[6]"},"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[6]</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jika dibiarkan dalam waktu yang lama akan berdampak terhadap peurunan status gizi. Pemberian MP-ASI dengan tekstur keras terlalu awal tidak dianjurkan karena akan </w:t>
      </w:r>
      <w:r w:rsidRPr="0053164C">
        <w:rPr>
          <w:rFonts w:ascii="Tw Cen MT" w:eastAsia="Times New Roman" w:hAnsi="Tw Cen MT" w:cs="Times New Roman"/>
          <w:color w:val="111111"/>
          <w:sz w:val="24"/>
          <w:szCs w:val="24"/>
          <w:lang w:eastAsia="id-ID"/>
        </w:rPr>
        <w:lastRenderedPageBreak/>
        <w:t>menyebabkan anak membutuhkan waktu yang lebih lama untuk mengunyah sehingga jumlah asupan menjadi berkurang dan berdampak secara tidak langsung terhadap status gizi anak</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{"citationItems":[{"id":"ITEM-1","itemData":{"ISSN":"0125-9717","abstract":"Budaya jajan menjadi bagian dari keseharian pada hampir semua kelompok usia dan kelas sosial, termasuk anak usia sekolah dan golongan remaja. Makanan jajanan bermanfaat terhadap penganekaragaman makanan sejak kecil dalam rangka peningkatan mutu gizi makanan yang dikonsumsi. Aspek negatif makanan jajanan yaitu apabila dikonsumsi berlebihan dapat menyebabkan terjadinya kelebihan asupan energi. Seringnya mengkonsumsi makanan diluar rumah berkaitan dengan rendahnya asupan buah dan sayuran dan rendahnya asupan mikronutrien Kontribusi dari makanan jajanan tinggi akan lemak dan lemak jenuh serta kurang akan kalsium, serat, dan zat besi dibandingkan dengan makanan dari rumah. Tujuan penelitian untuk mengetahui kontribusi zat gizi (energi, karbohidrat, lemak dan protein) makanan jajanan terhadap total energi. Analisis lanjut data Survey Konsumsi Makanan Individu 2014. Definisi makanan jajanan adalah makanan dan minuman yang diolah di luar rumah tetapi dikonsumsi di rumah tangga, makanan dan minuman yang diolah dan dikonsumsi di sekolah/tempat kerja serta makanan dan minuman yang diolah dan dikonsumsi selain tempat yang diatas (rumah makan, pedagang kaki lima, dll). Jumlah responden yang mengonsumsi makanan jajanan sebanyak 86.529 dengan sebaran tertinggi 53,9 persen diperkotaan, 51,5 persen pada perempuan, 44,3 persen pada kelompok umur 26-58 tahun dan 24,3 persen pada tingkat ekonomi teratas. Kontribusi makanan jajanan terhadap total asupan energi sehari sebesar 34,4 persen. (606,9 kkal), protein 4,7 persen (20,7 gr), lemak 11,6 persen (23,2 gr) dan karbohidrat 18,6 persen (81,1 gr). Kelompok bahan makanan jajanan yang sering dikonsumsi adalah serealia dan olahan serta kelompok umbi-umbian dan olahan. [Penel","author":[{"dropping-particle":"","family":"Wangiyana","given":"Ni Komang Ayu Swanitri","non-dropping-particle":"","parse-names":false,"suffix":""},{"dropping-particle":"","family":"Karuniawaty","given":"Titi Pambudi","non-dropping-particle":"","parse-names":false,"suffix":""},{"dropping-particle":"","family":"John","given":"Ristania Ellya","non-dropping-particle":"","parse-names":false,"suffix":""},{"dropping-particle":"","family":"Qurani","given":"Ratu Missa","non-dropping-particle":"","parse-names":false,"suffix":""},{"dropping-particle":"","family":"Tengkawan","given":"Jeslyn","non-dropping-particle":"","parse-names":false,"suffix":""},{"dropping-particle":"","family":"Sptisari","given":"Ayu Anandhika","non-dropping-particle":"","parse-names":false,"suffix":""},{"dropping-particle":"","family":"Ihyauddin","given":"Zulfikar","non-dropping-particle":"","parse-names":false,"suffix":""}],"container-title":"The Journal of Nutrition and Food Research","id":"ITEM-1","issue":"2","issued":{"date-parts":[["2020"]]},"page":"81-88","title":"PRAKTIK PEMBERIAN MP-ASI TERHADAP RISIKO STUNTING PADA ANAK USIA 6-12 BULAN DI LOMBOK TENGAH","type":"article-journal","volume":"43"},"uris":["http://www.mendeley.com/documents/?uuid=bae1242e-224c-42a9-80cb-f5a26c47d870"]}],"mendeley":{"formattedCitation":"[20]","plainTextFormattedCitation":"[20]","previouslyFormattedCitation":"[20]"},"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[20]</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Pemberian makanan dengan tekstur bubur dalam waktu yang lama juga harus dihindari. Pengenalan terhadap tekstur makanan yang tepat berkaitan dengan fungsi berbicara, mengingat organ-organ yang terlibat dalam proses mengunyah juga terlibat dalam proses pelafalan</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{"citationItems":[{"id":"ITEM-1","itemData":{"DOI":"10.1016/j.arcped.2017.10.025","ISSN":"1769664X","PMID":"29273447","abstract":"Introduction: Complementary feeding plays a crucial role in the development of infants and toddlers and studies suggest benefits specific to the introduction of food textures. Objectives: Evaluate the recommendations given to parents, their practices, and their attitudes towards the introduction of food textures during complementary feeding in France. Methods: This was a cross-sectional pilot study conducted in 2013. One hundred and eighty-one parents with at least one child aged 6–36 months living in France completed an ad hoc questionnaire. Results: Eighty-eight percent of the parents surveyed received oral information on complementary feeding, but only 46% received such information on the introduction of food textures. Pediatricians were the most frequently listed source of oral information on complementary feeding. More than half the parents also looked for additional information in books and on the internet. While oral recommendations matched parents’ practices, they seemed to occur at a later age compared to infants’ physiological ability to handle new textures. The quality of information on food texture advice available in paper and electronic formats evaluated using a 4-point scale was found to be limited. Introducing new food texture was spontaneously reported as the most common difficulty in complementary feeding (16%). Fear of choking when first introducing food pieces was reported by 54% of the parents. Conclusions: The parents’ lack of information on the introduction of food textures, as well as their fear that their child may choke, should encourage providing new recommendations in France.","author":[{"dropping-particle":"","family":"Marduel Boulanger","given":"A.","non-dropping-particle":"","parse-names":false,"suffix":""},{"dropping-particle":"","family":"Vernet","given":"M.","non-dropping-particle":"","parse-names":false,"suffix":""}],"container-title":"Archives de Pediatrie","id":"ITEM-1","issue":"1","issued":{"date-parts":[["2018"]]},"page":"6-12","publisher":"Elsevier Masson SAS","title":"Introduction of new food textures during complementary feeding: Observations in France","type":"article-journal","volume":"25"},"uris":["http://www.mendeley.com/documents/?uuid=0c208f1d-f660-4033-8c74-d3e5ceefd99b","http://www.mendeley.com/documents/?uuid=517b20aa-2b2e-4f3f-a050-bdb570808eee","http://www.mendeley.com/documents/?uuid=13236e8b-8c17-4ef5-bd8e-475b2927897e"]}],"mendeley":{"formattedCitation":"[21]","plainTextFormattedCitation":"[21]","previouslyFormattedCitation":"[21]"},"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[21]</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w:t>
      </w:r>
    </w:p>
    <w:p w14:paraId="51C6F0A1" w14:textId="77777777" w:rsidR="00767EDC" w:rsidRPr="0053164C" w:rsidRDefault="00767EDC" w:rsidP="00767EDC">
      <w:pPr>
        <w:spacing w:after="0" w:line="240" w:lineRule="auto"/>
        <w:ind w:firstLine="567"/>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val="id-ID" w:eastAsia="id-ID"/>
        </w:rPr>
        <w:t xml:space="preserve">Berdasarkan Tabel </w:t>
      </w:r>
      <w:r w:rsidRPr="0053164C">
        <w:rPr>
          <w:rFonts w:ascii="Tw Cen MT" w:eastAsia="Times New Roman" w:hAnsi="Tw Cen MT" w:cs="Times New Roman"/>
          <w:color w:val="111111"/>
          <w:sz w:val="24"/>
          <w:szCs w:val="24"/>
          <w:lang w:eastAsia="id-ID"/>
        </w:rPr>
        <w:t>3,</w:t>
      </w:r>
      <w:r w:rsidRPr="0053164C">
        <w:rPr>
          <w:rFonts w:ascii="Tw Cen MT" w:eastAsia="Times New Roman" w:hAnsi="Tw Cen MT" w:cs="Times New Roman"/>
          <w:color w:val="111111"/>
          <w:sz w:val="24"/>
          <w:szCs w:val="24"/>
          <w:lang w:val="id-ID" w:eastAsia="id-ID"/>
        </w:rPr>
        <w:t xml:space="preserve"> proporsi anak yang mendapatkan frekuensi MP-ASI yang tidak sesuai kategori umur lebih besar (66%) dibandingkan yang sesuai (34%).</w:t>
      </w:r>
      <w:r w:rsidRPr="0053164C">
        <w:rPr>
          <w:rFonts w:ascii="Tw Cen MT" w:eastAsia="Times New Roman" w:hAnsi="Tw Cen MT" w:cs="Times New Roman"/>
          <w:color w:val="111111"/>
          <w:sz w:val="24"/>
          <w:szCs w:val="24"/>
          <w:lang w:eastAsia="id-ID"/>
        </w:rPr>
        <w:t xml:space="preserve"> Frekuensi makan anak seharusnya 3-4x sehari, ternyata kenyataan di lapangan hanya diberikan 2-3x sehari saja. Anak yang tidak lagi menyusui sebaiknya diberikan makanan dengan frekuensi yang lebih sering</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{"citationItems":[{"id":"ITEM-1","itemData":{"ISSN":"2540-8844","abstract":"Latar Belakang Stunting atau perawakan pendek merupakan kondisi terhambatnya pertumbuhan tubuh akibat salah satu bentuk kekurangan gizi yang ditandai dengan tinggi badan menurut umur di bawah standar deviasi (&lt;-2SD) dengan referensi World Health Organization (WHO) tahun 2006. Tujuan Menganalisis peran pemberian makanan pendamping air susu ibu dini sebagai faktor risiko kejadian stunting pada anak usia 2-3 tahun. Metode Penelitian analitik observasional dengan rancangan penelitian kasus-kontrol. Sampel terdiri dari 104 anak umur 2-3 tahun di wilayah kerja Puskesmas Rowosari Kota Semarang selama periode Maret-Agustus 2017. Uji statistik menggunakan uji komparatif Chi-square . Hasil Berdasarkan 104 subjek kasus-kontrol di wilayah Puskesmas Rowosari Semarang, didapatkan hubungan bermakna pada pemberian MP-ASI dini ( p =0,000). Hubungan tidak bermakna didapatkan pada jenis MP-ASI ( p =0,680), konsistensi MP-ASI ( p= 0,290), pendapatan orang tua ( p= 1,000). Kesimpulan Pada penelitian ini terdapat hubungan yang signifikan pada variabel pemberian MP-ASI dini terhadap stunting . Selain itu terdapat hubungan yang tidak signifikan pada variabel jenis MP-ASI, konsistensi MP-ASI, dan pendapatan orang tua.","author":[{"dropping-particle":"","family":"Prihutama","given":"Noverian Yoshua","non-dropping-particle":"","parse-names":false,"suffix":""},{"dropping-particle":"","family":"Rahmadi","given":"Farid Agung","non-dropping-particle":"","parse-names":false,"suffix":""},{"dropping-particle":"","family":"Hardaningsih","given":"Galuh","non-dropping-particle":"","parse-names":false,"suffix":""}],"container-title":"Jurnal Kedokteran Diponegoro","id":"ITEM-1","issue":"2","issued":{"date-parts":[["2018"]]},"page":"1419-1430","title":"Pemberian Makanan Pendamping Asi Dini Sebagai Faktor Risiko Kejadian Stunting Pada Anak Usia 2-3 Tahun","type":"article-journal","volume":"7"},"uris":["http://www.mendeley.com/documents/?uuid=b2992028-ff95-4fac-83f5-7d757d2346d3"]}],"mendeley":{"formattedCitation":"[10]","plainTextFormattedCitation":"[10]","previouslyFormattedCitation":"[10]"},"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[10]</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w:t>
      </w:r>
      <w:r w:rsidRPr="0053164C">
        <w:rPr>
          <w:rFonts w:ascii="Tahoma" w:eastAsia="Times New Roman" w:hAnsi="Tahoma" w:cs="Tahoma"/>
          <w:color w:val="111111"/>
          <w:sz w:val="24"/>
          <w:szCs w:val="24"/>
          <w:lang w:eastAsia="id-ID"/>
        </w:rPr>
        <w:t>﻿</w:t>
      </w:r>
      <w:r w:rsidRPr="0053164C">
        <w:rPr>
          <w:rFonts w:ascii="Tw Cen MT" w:eastAsia="Times New Roman" w:hAnsi="Tw Cen MT" w:cs="Times New Roman"/>
          <w:color w:val="111111"/>
          <w:sz w:val="24"/>
          <w:szCs w:val="24"/>
          <w:lang w:eastAsia="id-ID"/>
        </w:rPr>
        <w:t>Anak berusia 6-12 bulan memerlukan makanan tambahan selain ASI untuk memenuhi kebutuhan energi dan zat gizi lainnya. Oleh karena itu, perlu pemberian makanan yang mengandung energi dan zat gizi yang tinggi atau melalui pemberian makanan sesering mungkin</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{"citationItems":[{"id":"ITEM-1","itemData":{"DOI":"10.1039/c0an00880j","ISBN":"0003-2654","abstract":"It is not currently known how dietary assessment in older persons is affected by cognition. In a 1997-2000 study, the authors assessed the validity and reproducibility of a modified Harvard self-administered food frequency questionnaire (SFFQ) among 118 Black and 114 White randomly selected participants, aged 68-99 years, of the Chicago Health and Aging Project. Participants completed multiple 24-hour dietary recall interviews (mean=3.6) over 12 months and two SFFQs in the first and 12th months. The average energy-adjusted intraclass correlation coefficient for 15 nutrients was 0.59 for 1-year reproducibility in nutrient intake levels assessed by the SFFQ. The average energy-adjusted Pearson correlation coefficient was 0.46 for comparative validity between nutrient intake levels on the SFFQ and the dietary recalls. SFFQ reproducibility was higher among men, and comparative validity with the dietary recalls was higher among women. There were no remarkable differences in the correlations by age, race, educational level, presence of chronic conditions, or cognitive ability. The modified Harvard SFFQ is a reasonable method of dietary assessment even in a population of older persons, some of whom are at advanced age, have chronic health conditions, and have cognitive impairment., (C) Copyright Oxford University Press 2003.","author":[{"dropping-particle":"","family":"Nai","given":"Hildagardis","non-dropping-particle":"","parse-names":false,"suffix":""},{"dropping-particle":"","family":"Gunawan","given":"I Made Alit","non-dropping-particle":"","parse-names":false,"suffix":""},{"dropping-particle":"","family":"Nurwanti","given":"Esti","non-dropping-particle":"","parse-names":false,"suffix":""}],"container-title":"Jurnal Gizi dan Dietetik Indonesia","id":"ITEM-1","issue":"3","issued":{"date-parts":[["2014"]]},"page":"126-139","title":"Praktik pemberian makanan pendamping asi (mp-asi) sebagai faktor risiko kejadian stunting pada anak usia 6-23 bulan","type":"article-journal","volume":"2"},"uris":["http://www.mendeley.com/documents/?uuid=d5930db6-f691-432e-b58a-e7cfb10d48fd","http://www.mendeley.com/documents/?uuid=7d0f2ddc-6479-4cc7-984b-85d4c9b32b41"]}],"mendeley":{"formattedCitation":"[16]","plainTextFormattedCitation":"[16]","previouslyFormattedCitation":"[16]"},"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[16]</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Namun, hasil analisa penelitian ini menunjukkan tidak terdapat hubungan yang signifikan antara frekuensi pemberian MP-ASI dengan status gizi (PB/U) (</w:t>
      </w:r>
      <w:r w:rsidRPr="0053164C">
        <w:rPr>
          <w:rFonts w:ascii="Tw Cen MT" w:eastAsia="Times New Roman" w:hAnsi="Tw Cen MT" w:cs="Times New Roman"/>
          <w:i/>
          <w:iCs/>
          <w:color w:val="111111"/>
          <w:sz w:val="24"/>
          <w:szCs w:val="24"/>
          <w:lang w:eastAsia="id-ID"/>
        </w:rPr>
        <w:t>p</w:t>
      </w:r>
      <w:r w:rsidRPr="0053164C">
        <w:rPr>
          <w:rFonts w:ascii="Tw Cen MT" w:eastAsia="Times New Roman" w:hAnsi="Tw Cen MT" w:cs="Times New Roman"/>
          <w:color w:val="111111"/>
          <w:sz w:val="24"/>
          <w:szCs w:val="24"/>
          <w:lang w:eastAsia="id-ID"/>
        </w:rPr>
        <w:t xml:space="preserve">= 0.902). Hasil ini berbeda dengan penelitian </w:t>
      </w:r>
      <w:r w:rsidRPr="0053164C">
        <w:rPr>
          <w:rFonts w:ascii="Tw Cen MT" w:eastAsia="Times New Roman" w:hAnsi="Tw Cen MT" w:cs="Times New Roman"/>
          <w:color w:val="111111"/>
          <w:sz w:val="24"/>
          <w:szCs w:val="24"/>
          <w:lang w:val="id-ID" w:eastAsia="id-ID"/>
        </w:rPr>
        <w:t xml:space="preserve">Wangiyana (2020), </w:t>
      </w:r>
      <w:r w:rsidRPr="0053164C">
        <w:rPr>
          <w:rFonts w:ascii="Tw Cen MT" w:eastAsia="Times New Roman" w:hAnsi="Tw Cen MT" w:cs="Times New Roman"/>
          <w:color w:val="111111"/>
          <w:sz w:val="24"/>
          <w:szCs w:val="24"/>
          <w:lang w:eastAsia="id-ID"/>
        </w:rPr>
        <w:t>dimana anak yang mendapatkan MP-ASI dengan frekuensi yang tidak tepat berisiko 2.02 kali lebih besar untuk mengalami stunting</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{"citationItems":[{"id":"ITEM-1","itemData":{"ISSN":"0125-9717","abstract":"Budaya jajan menjadi bagian dari keseharian pada hampir semua kelompok usia dan kelas sosial, termasuk anak usia sekolah dan golongan remaja. Makanan jajanan bermanfaat terhadap penganekaragaman makanan sejak kecil dalam rangka peningkatan mutu gizi makanan yang dikonsumsi. Aspek negatif makanan jajanan yaitu apabila dikonsumsi berlebihan dapat menyebabkan terjadinya kelebihan asupan energi. Seringnya mengkonsumsi makanan diluar rumah berkaitan dengan rendahnya asupan buah dan sayuran dan rendahnya asupan mikronutrien Kontribusi dari makanan jajanan tinggi akan lemak dan lemak jenuh serta kurang akan kalsium, serat, dan zat besi dibandingkan dengan makanan dari rumah. Tujuan penelitian untuk mengetahui kontribusi zat gizi (energi, karbohidrat, lemak dan protein) makanan jajanan terhadap total energi. Analisis lanjut data Survey Konsumsi Makanan Individu 2014. Definisi makanan jajanan adalah makanan dan minuman yang diolah di luar rumah tetapi dikonsumsi di rumah tangga, makanan dan minuman yang diolah dan dikonsumsi di sekolah/tempat kerja serta makanan dan minuman yang diolah dan dikonsumsi selain tempat yang diatas (rumah makan, pedagang kaki lima, dll). Jumlah responden yang mengonsumsi makanan jajanan sebanyak 86.529 dengan sebaran tertinggi 53,9 persen diperkotaan, 51,5 persen pada perempuan, 44,3 persen pada kelompok umur 26-58 tahun dan 24,3 persen pada tingkat ekonomi teratas. Kontribusi makanan jajanan terhadap total asupan energi sehari sebesar 34,4 persen. (606,9 kkal), protein 4,7 persen (20,7 gr), lemak 11,6 persen (23,2 gr) dan karbohidrat 18,6 persen (81,1 gr). Kelompok bahan makanan jajanan yang sering dikonsumsi adalah serealia dan olahan serta kelompok umbi-umbian dan olahan. [Penel","author":[{"dropping-particle":"","family":"Wangiyana","given":"Ni Komang Ayu Swanitri","non-dropping-particle":"","parse-names":false,"suffix":""},{"dropping-particle":"","family":"Karuniawaty","given":"Titi Pambudi","non-dropping-particle":"","parse-names":false,"suffix":""},{"dropping-particle":"","family":"John","given":"Ristania Ellya","non-dropping-particle":"","parse-names":false,"suffix":""},{"dropping-particle":"","family":"Qurani","given":"Ratu Missa","non-dropping-particle":"","parse-names":false,"suffix":""},{"dropping-particle":"","family":"Tengkawan","given":"Jeslyn","non-dropping-particle":"","parse-names":false,"suffix":""},{"dropping-particle":"","family":"Sptisari","given":"Ayu Anandhika","non-dropping-particle":"","parse-names":false,"suffix":""},{"dropping-particle":"","family":"Ihyauddin","given":"Zulfikar","non-dropping-particle":"","parse-names":false,"suffix":""}],"container-title":"The Journal of Nutrition and Food Research","id":"ITEM-1","issue":"2","issued":{"date-parts":[["2020"]]},"page":"81-88","title":"PRAKTIK PEMBERIAN MP-ASI TERHADAP RISIKO STUNTING PADA ANAK USIA 6-12 BULAN DI LOMBOK TENGAH","type":"article-journal","volume":"43"},"uris":["http://www.mendeley.com/documents/?uuid=bae1242e-224c-42a9-80cb-f5a26c47d870"]}],"mendeley":{"formattedCitation":"[20]","plainTextFormattedCitation":"[20]","previouslyFormattedCitation":"[20]"},"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[20]</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Hubungan yang tidak signifikan antara frekuensi pemberian dengan status gizi (PB/U) bisa saja terjadi, dikarenakan walaupun frekuensi yang diberikan telah sesuai, namun jumlah dan kualitas makanan yang diberikan tidak sesuai, maka kecukupan gizi anak tidak terpenuhi, dan apabila berlangsung dalam waktu yang lama dapat menyebabkan stunting</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{"citationItems":[{"id":"ITEM-1","itemData":{"DOI":"10.2473/amnt.v3i2.2019.78-84","ISBN":"1969030119","abstract":"Background: Stunting is a short body condition that occurs due to a lack of intake of various nutrients. Maternal body size may be one of the factors causing stunting in children.\nObjective: The purpose of this study was to analyze the relationship between maternal height and complementary feeding history with The Incidence of Stunting on Age 24-59 months.\nMethods: The cross-sectional study was carried out in Maron District, Probolinggo Regency.The sampling was carried out by multistage random sampling method with a sample of 97 pairs of mothers and under five years old children. Independent variables observed were maternal stature and complementary feeding history which consists of the age of first given food, complementary feeding texture, frequency, and amount of complementary food given. The dependent variable was the occurrence of stunting. Data analysis used in this study was chi-square test.\nResults: This study shows the results of a significant association between complementary feeding at the age of first given food at the age of first given food that is before, during, or after a 6 month old with the incidence of stunting p=0.012. On the other hand, there was no correlation between complementary feeding texture p=0.788, frequency p=0.208, amount of complementary food given p=0.107, and maternal height p=0.704 with the incidence of stunting.\nConclusion: In conclusion, complementary feeding history was related to the incidence of stunting in infants, whereas complementary feeding texture, frequency, amount of complementary food and maternal height had no impact on the incidence of stunting in infants.","author":[{"dropping-particle":"","family":"Nur Hadibah Hanum","given":"","non-dropping-particle":"","parse-names":false,"suffix":""}],"container-title":"Amerta Nutrition","id":"ITEM-1","issue":"2","issued":{"date-parts":[["2019"]]},"page":"78-84","title":"Hubungan Tinggi Badan Ibu dan Riwayat Pemberian MP-ASI dengan Kejadian Stunting pada Balita Usia 24-59 Bulan","type":"article-journal","volume":"3"},"uris":["http://www.mendeley.com/documents/?uuid=c779b39f-1130-42a8-8c46-f2fde9e13207"]}],"mendeley":{"formattedCitation":"[22]","plainTextFormattedCitation":"[22]","previouslyFormattedCitation":"[22]"},"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[22]</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w:t>
      </w:r>
    </w:p>
    <w:p w14:paraId="580A254E" w14:textId="77777777" w:rsidR="00767EDC" w:rsidRPr="0053164C" w:rsidRDefault="00767EDC" w:rsidP="00CD731F">
      <w:pPr>
        <w:spacing w:after="0" w:line="240" w:lineRule="auto"/>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Proporsi anak yang mendapatkan porsi MP-ASI yang tidak sesuai lebih besar (69%) dibandingkan sesuai (31%). Berdasarkan Tabel 3, tidak terdapat hubungan signifikan antara porsi pemberian MP-ASI dengan status gizi (PB/U) (</w:t>
      </w:r>
      <w:r w:rsidRPr="0053164C">
        <w:rPr>
          <w:rFonts w:ascii="Tw Cen MT" w:eastAsia="Times New Roman" w:hAnsi="Tw Cen MT" w:cs="Times New Roman"/>
          <w:i/>
          <w:iCs/>
          <w:color w:val="111111"/>
          <w:sz w:val="24"/>
          <w:szCs w:val="24"/>
          <w:lang w:eastAsia="id-ID"/>
        </w:rPr>
        <w:t>p</w:t>
      </w:r>
      <w:r w:rsidRPr="0053164C">
        <w:rPr>
          <w:rFonts w:ascii="Tw Cen MT" w:eastAsia="Times New Roman" w:hAnsi="Tw Cen MT" w:cs="Times New Roman"/>
          <w:color w:val="111111"/>
          <w:sz w:val="24"/>
          <w:szCs w:val="24"/>
          <w:lang w:eastAsia="id-ID"/>
        </w:rPr>
        <w:t xml:space="preserve">=0.465). Apabila porsi </w:t>
      </w:r>
      <w:r w:rsidRPr="0053164C">
        <w:rPr>
          <w:rFonts w:ascii="Tw Cen MT" w:eastAsia="Times New Roman" w:hAnsi="Tw Cen MT" w:cs="Times New Roman"/>
          <w:color w:val="111111"/>
          <w:sz w:val="24"/>
          <w:szCs w:val="24"/>
          <w:lang w:eastAsia="id-ID"/>
        </w:rPr>
        <w:t>pemberian MP-ASI sudah sesuai dengan pedoman pemberian namun jika kualitas makanan yang diberikan kurang baik atau tidak beragam, maka anak berisiko mengalami defisiensi zat gizi seperti defisiensi vitamin A dan zink yang berpengaruh terhadap proses pertumbuhan linier</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{"citationItems":[{"id":"ITEM-1","itemData":{"DOI":"10.2473/amnt.v3i2.2019.78-84","ISBN":"1969030119","abstract":"Background: Stunting is a short body condition that occurs due to a lack of intake of various nutrients. Maternal body size may be one of the factors causing stunting in children.\nObjective: The purpose of this study was to analyze the relationship between maternal height and complementary feeding history with The Incidence of Stunting on Age 24-59 months.\nMethods: The cross-sectional study was carried out in Maron District, Probolinggo Regency.The sampling was carried out by multistage random sampling method with a sample of 97 pairs of mothers and under five years old children. Independent variables observed were maternal stature and complementary feeding history which consists of the age of first given food, complementary feeding texture, frequency, and amount of complementary food given. The dependent variable was the occurrence of stunting. Data analysis used in this study was chi-square test.\nResults: This study shows the results of a significant association between complementary feeding at the age of first given food at the age of first given food that is before, during, or after a 6 month old with the incidence of stunting p=0.012. On the other hand, there was no correlation between complementary feeding texture p=0.788, frequency p=0.208, amount of complementary food given p=0.107, and maternal height p=0.704 with the incidence of stunting.\nConclusion: In conclusion, complementary feeding history was related to the incidence of stunting in infants, whereas complementary feeding texture, frequency, amount of complementary food and maternal height had no impact on the incidence of stunting in infants.","author":[{"dropping-particle":"","family":"Nur Hadibah Hanum","given":"","non-dropping-particle":"","parse-names":false,"suffix":""}],"container-title":"Amerta Nutrition","id":"ITEM-1","issue":"2","issued":{"date-parts":[["2019"]]},"page":"78-84","title":"Hubungan Tinggi Badan Ibu dan Riwayat Pemberian MP-ASI dengan Kejadian Stunting pada Balita Usia 24-59 Bulan","type":"article-journal","volume":"3"},"uris":["http://www.mendeley.com/documents/?uuid=c779b39f-1130-42a8-8c46-f2fde9e13207"]}],"mendeley":{"formattedCitation":"[22]","plainTextFormattedCitation":"[22]","previouslyFormattedCitation":"[22]"},"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[22]</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w:t>
      </w:r>
    </w:p>
    <w:p w14:paraId="184612DB" w14:textId="77777777" w:rsidR="00767EDC" w:rsidRPr="0053164C" w:rsidRDefault="00767EDC" w:rsidP="00767EDC">
      <w:pPr>
        <w:spacing w:after="0" w:line="240" w:lineRule="auto"/>
        <w:ind w:firstLine="567"/>
        <w:jc w:val="both"/>
        <w:rPr>
          <w:rFonts w:ascii="Tw Cen MT" w:eastAsia="Calibri" w:hAnsi="Tw Cen MT" w:cs="Times New Roman"/>
          <w:sz w:val="24"/>
          <w:szCs w:val="24"/>
        </w:rPr>
      </w:pPr>
      <w:r w:rsidRPr="0053164C">
        <w:rPr>
          <w:rFonts w:ascii="Tw Cen MT" w:eastAsia="Calibri" w:hAnsi="Tw Cen MT" w:cs="Times New Roman"/>
          <w:sz w:val="24"/>
          <w:szCs w:val="24"/>
        </w:rPr>
        <w:t>Pemberian MP-ASI dikatakan bervariasi jika anak diberikan ≥4 kelompok makanan dalam sehari</w:t>
      </w:r>
      <w:r w:rsidRPr="0053164C">
        <w:rPr>
          <w:rFonts w:ascii="Tw Cen MT" w:eastAsia="Calibri" w:hAnsi="Tw Cen MT" w:cs="Times New Roman"/>
          <w:sz w:val="24"/>
          <w:szCs w:val="24"/>
        </w:rPr>
        <w:fldChar w:fldCharType="begin" w:fldLock="1"/>
      </w:r>
      <w:r>
        <w:rPr>
          <w:rFonts w:ascii="Tw Cen MT" w:eastAsia="Calibri" w:hAnsi="Tw Cen MT" w:cs="Times New Roman"/>
          <w:sz w:val="24"/>
          <w:szCs w:val="24"/>
        </w:rPr>
        <w:instrText>ADDIN CSL_CITATION {"citationItems":[{"id":"ITEM-1","itemData":{"abstract":"a l t h P r o m o t i o n a n d P r o t e c t i o n F o o d a n d N u t r i t i o n P r o g r a m","author":[{"dropping-particle":"","family":"WHO","given":"","non-dropping-particle":"","parse-names":false,"suffix":""}],"id":"ITEM-1","issued":{"date-parts":[["2003"]]},"title":"Guiding Principles for Complementary Feeding of the Breastfed Child","type":"book"},"uris":["http://www.mendeley.com/documents/?uuid=0b5f5342-ebd7-4298-bf45-2f769de78529"]}],"mendeley":{"formattedCitation":"[6]","plainTextFormattedCitation":"[6]","previouslyFormattedCitation":"[6]"},"properties":{"noteIndex":0},"schema":"https://github.com/citation-style-language/schema/raw/master/csl-citation.json"}</w:instrText>
      </w:r>
      <w:r w:rsidRPr="0053164C">
        <w:rPr>
          <w:rFonts w:ascii="Tw Cen MT" w:eastAsia="Calibri" w:hAnsi="Tw Cen MT" w:cs="Times New Roman"/>
          <w:sz w:val="24"/>
          <w:szCs w:val="24"/>
        </w:rPr>
        <w:fldChar w:fldCharType="separate"/>
      </w:r>
      <w:r w:rsidRPr="00394A51">
        <w:rPr>
          <w:rFonts w:ascii="Tw Cen MT" w:eastAsia="Calibri" w:hAnsi="Tw Cen MT" w:cs="Times New Roman"/>
          <w:noProof/>
          <w:sz w:val="24"/>
          <w:szCs w:val="24"/>
        </w:rPr>
        <w:t>[6]</w:t>
      </w:r>
      <w:r w:rsidRPr="0053164C">
        <w:rPr>
          <w:rFonts w:ascii="Tw Cen MT" w:eastAsia="Calibri" w:hAnsi="Tw Cen MT" w:cs="Times New Roman"/>
          <w:sz w:val="24"/>
          <w:szCs w:val="24"/>
        </w:rPr>
        <w:fldChar w:fldCharType="end"/>
      </w:r>
      <w:r w:rsidRPr="0053164C">
        <w:rPr>
          <w:rFonts w:ascii="Tw Cen MT" w:eastAsia="Calibri" w:hAnsi="Tw Cen MT" w:cs="Times New Roman"/>
          <w:sz w:val="24"/>
          <w:szCs w:val="24"/>
        </w:rPr>
        <w:t xml:space="preserve">. Pada penelitian ini, susunan menu MP-ASI yang diberikan ibu umumnya hanya terdiri dari 2 kelompok makanan yaitu karbohidrat dan protein hewani, sementara kelompok makanan seperti protein nabati, sayur dan buah jarang diberikan. Protein yang berasal dari tumbuhan biasanya sulit dicerna dan mengandung asam amino yang lebih sedikit dibandingkan protein hewani, namun dikarenakan kebutuhan protein pada bayi dan balita yang cukup tinggi, maka asupan protein nabati tetap diperlukan </w:t>
      </w:r>
      <w:r w:rsidRPr="0053164C">
        <w:rPr>
          <w:rFonts w:ascii="Tw Cen MT" w:eastAsia="Calibri" w:hAnsi="Tw Cen MT" w:cs="Times New Roman"/>
          <w:sz w:val="24"/>
          <w:szCs w:val="24"/>
        </w:rPr>
        <w:fldChar w:fldCharType="begin" w:fldLock="1"/>
      </w:r>
      <w:r>
        <w:rPr>
          <w:rFonts w:ascii="Tw Cen MT" w:eastAsia="Calibri" w:hAnsi="Tw Cen MT" w:cs="Times New Roman"/>
          <w:sz w:val="24"/>
          <w:szCs w:val="24"/>
        </w:rPr>
        <w:instrText>ADDIN CSL_CITATION {"citationItems":[{"id":"ITEM-1","itemData":{"DOI":"10.1016/j.bmhime.2017.11.007","ISSN":"24443409","abstract":"© 2016 Hospital Infantil de México Federico Gómez A proper nutrition during the first two years of life is critical to reach the full potential of every human being; now, this period is recognized as a critical window for promoting optimal growth, development, and good health. Therefore, adequate feeding at this stage of life has an impact on health, nutritional status, growth and development of children; not only in the short term, but in the medium and long term. This paper provides recommendations on complementary feeding (CF) presented as questions or statements that are important for those who take care for children during this stage of life. For example: When to start complementary feedings: 4 or 6 months of age?; Exposure to potentially allergenic foods; Introduction of sweetened beverages; Use of artificial sweeteners and light products; Food introduction sequence; Food consistency changes according to neurological maturation; Number of days to test acceptance and tolerance to new foods; Amounts for each meal; Inadequate complementary feeding practices; Myths and realities of complementary feeding; Developmental milestones; Practice of “Baby Led Weaning” and practice of vegetarianism.","author":[{"dropping-particle":"","family":"Romero-Velarde","given":"Enrique","non-dropping-particle":"","parse-names":false,"suffix":""},{"dropping-particle":"","family":"Villalpando-Carrión","given":"Salvador","non-dropping-particle":"","parse-names":false,"suffix":""},{"dropping-particle":"","family":"Pérez-Lizaur","given":"Ana Berta","non-dropping-particle":"","parse-names":false,"suffix":""},{"dropping-particle":"","family":"Iracheta-Gerez","given":"Ma. de la Luz","non-dropping-particle":"","parse-names":false,"suffix":""},{"dropping-particle":"","family":"Alonso-Rivera","given":"Carlos Gilberto","non-dropping-particle":"","parse-names":false,"suffix":""},{"dropping-particle":"","family":"López-Navarrete","given":"Gloria Elena","non-dropping-particle":"","parse-names":false,"suffix":""},{"dropping-particle":"","family":"García-Contreras","given":"Andrea","non-dropping-particle":"","parse-names":false,"suffix":""},{"dropping-particle":"","family":"Ochoa-Ortiz","given":"Erika","non-dropping-particle":"","parse-names":false,"suffix":""},{"dropping-particle":"","family":"Zarate-Mondragón","given":"Flora","non-dropping-particle":"","parse-names":false,"suffix":""},{"dropping-particle":"","family":"López-Pérez","given":"Gerardo Tiburcio","non-dropping-particle":"","parse-names":false,"suffix":""},{"dropping-particle":"","family":"Chávez-Palencia","given":"Clío","non-dropping-particle":"","parse-names":false,"suffix":""},{"dropping-particle":"","family":"Guajardo-Jáquez","given":"Manuel","non-dropping-particle":"","parse-names":false,"suffix":""},{"dropping-particle":"","family":"Vázquez-Ortiz","given":"Salvador","non-dropping-particle":"","parse-names":false,"suffix":""},{"dropping-particle":"","family":"Pinzón-Navarro","given":"Beatriz Adriana","non-dropping-particle":"","parse-names":false,"suffix":""},{"dropping-particle":"","family":"Torres-Duarte","given":"Karely Noemy","non-dropping-particle":"","parse-names":false,"suffix":""},{"dropping-particle":"","family":"Vidal-Guzmán","given":"José Domingo","non-dropping-particle":"","parse-names":false,"suffix":""},{"dropping-particle":"","family":"Michel-Gómez","given":"Pedro Luis","non-dropping-particle":"","parse-names":false,"suffix":""},{"dropping-particle":"","family":"López-Contreras","given":"Iris Nallely","non-dropping-particle":"","parse-names":false,"suffix":""},{"dropping-particle":"","family":"Arroyo-Cruz","given":"Liliana Verenice","non-dropping-particle":"","parse-names":false,"suffix":""},{"dropping-particle":"","family":"Almada-Velasco","given":"Pamela","non-dropping-particle":"","parse-names":false,"suffix":""},{"dropping-particle":"","family":"Saltigeral-Simental","given":"Patricia","non-dropping-particle":"","parse-names":false,"suffix":""},{"dropping-particle":"","family":"Ríos-Aguirre","given":"Alejandro","non-dropping-particle":"","parse-names":false,"suffix":""},{"dropping-particle":"","family":"Domínguez-Pineda","given":"Lorena","non-dropping-particle":"","parse-names":false,"suffix":""},{"dropping-particle":"","family":"Rodríguez-González","given":"Perla","non-dropping-particle":"","parse-names":false,"suffix":""},{"dropping-particle":"","family":"Crabtree-Ramírez","given":"Úrsula","non-dropping-particle":"","parse-names":false,"suffix":""},{"dropping-particle":"","family":"Hernández-Rosiles","given":"Vanessa","non-dropping-particle":"","parse-names":false,"suffix":""},{"dropping-particle":"","family":"Pinacho-Velázquez","given":"José Luis","non-dropping-particle":"","parse-names":false,"suffix":""}],"container-title":"Boletín Médico Del Hospital Infantil de México (English Edition)","id":"ITEM-1","issue":"5","issued":{"date-parts":[["2016"]]},"page":"338-356","publisher":"Hospital Infantil de México Federico Gómez","title":"Guidelines for complementary feeding in healthy infants","type":"article-journal","volume":"73"},"uris":["http://www.mendeley.com/documents/?uuid=118eafe8-6220-4ba3-88b0-9e36db13f67f","http://www.mendeley.com/documents/?uuid=1219702d-e6be-47c5-888d-080306f881dd"]}],"mendeley":{"formattedCitation":"[23]","plainTextFormattedCitation":"[23]","previouslyFormattedCitation":"[23]"},"properties":{"noteIndex":0},"schema":"https://github.com/citation-style-language/schema/raw/master/csl-citation.json"}</w:instrText>
      </w:r>
      <w:r w:rsidRPr="0053164C">
        <w:rPr>
          <w:rFonts w:ascii="Tw Cen MT" w:eastAsia="Calibri" w:hAnsi="Tw Cen MT" w:cs="Times New Roman"/>
          <w:sz w:val="24"/>
          <w:szCs w:val="24"/>
        </w:rPr>
        <w:fldChar w:fldCharType="separate"/>
      </w:r>
      <w:r w:rsidRPr="00394A51">
        <w:rPr>
          <w:rFonts w:ascii="Tw Cen MT" w:eastAsia="Calibri" w:hAnsi="Tw Cen MT" w:cs="Times New Roman"/>
          <w:noProof/>
          <w:sz w:val="24"/>
          <w:szCs w:val="24"/>
        </w:rPr>
        <w:t>[23]</w:t>
      </w:r>
      <w:r w:rsidRPr="0053164C">
        <w:rPr>
          <w:rFonts w:ascii="Tw Cen MT" w:eastAsia="Calibri" w:hAnsi="Tw Cen MT" w:cs="Times New Roman"/>
          <w:sz w:val="24"/>
          <w:szCs w:val="24"/>
        </w:rPr>
        <w:fldChar w:fldCharType="end"/>
      </w:r>
      <w:r w:rsidRPr="0053164C">
        <w:rPr>
          <w:rFonts w:ascii="Tw Cen MT" w:eastAsia="Calibri" w:hAnsi="Tw Cen MT" w:cs="Times New Roman"/>
          <w:sz w:val="24"/>
          <w:szCs w:val="24"/>
        </w:rPr>
        <w:t xml:space="preserve">. </w:t>
      </w:r>
    </w:p>
    <w:p w14:paraId="534E1627" w14:textId="77777777" w:rsidR="00767EDC" w:rsidRPr="0053164C" w:rsidRDefault="00767EDC" w:rsidP="00767EDC">
      <w:pPr>
        <w:spacing w:after="0" w:line="240" w:lineRule="auto"/>
        <w:ind w:firstLine="567"/>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Proporsi anak yang mendapatkan MP-ASI bervariasi pada penelitian ini lebih sedikit (17%) dibandingkan anak yang mendapatkan MP-ASI tidak bervariasi (83%). Hal ini dapat disebabkan oleh status ekonomi keluarga, dimana berdasarkan Tabel 1, sebanyak 59% balita berasal dari keluarga dengan penghasilan &lt;UMK. Pendapatan merupakan faktor yang menentukan kuantitas dan kualitas pangan yang dikonsumsi seseorang. Semakin tinggi tingkat pendapatan maka semakin besar pula persentase pertambahan pembelanjaannya termasuk untuk pangan dari golongan sayur dan buah-buahan serta berbagai jenis pangan lainnya, tetapi pertambahan kuantitas ini tidak selalu memperbaiki susunan menu makanan yang dikonsumsinya</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{"citationItems":[{"id":"ITEM-1","itemData":{"DOI":"10.26630/jk.v9i2.757","ISSN":"2086-7751","abstract":"&lt;p&gt;WHO in WHA reported that 60% of direct and indirect infant deaths were caused by malnutrition and 2/3 of these deaths were associated with poor feeding practices in infants and children. Based on PSG results in 2016, Lampung and Bandar Lampung acute and chronic community nutritional problems (short prevalence ≥20% and thin ≥5%). The purpose of this study is to know the pattern of giving of breast milk in infants aged 6-24 months in the work area of Puskesmas Kota Baru New Town Bandar Lampung in 2017. This research is a qualitative research with phenomenology approach. Information obtained by conducting in-depth interviews, FGD, and observation. Informants in this study consisted of 5 main informants, 2 informants triangulation. The results showed that the form of MP-ASI have given for the age of 6-8 months and 12-24 months was appropriate but for 9-11 months age was not yet appropriate. The amount given is still less than the need with the frequency of giving 2-3 times a day plus 2 times a distraction. Type of MP-ASI is a local MP-ASI and MP-ASI manufacturer. How to serve in the form of dilute and liquid who fed by the mother. Raw food ingredients are stored separately with cooked foods. Feeding meals and suggestions are from their own mothers. Advice for MP-ASI counselors to provide regular and recorded counseling so that the stages and success of counseling can be evaluated.&lt;/p&gt;","author":[{"dropping-particle":"","family":"Amperaningsih","given":"Yuliati","non-dropping-particle":"","parse-names":false,"suffix":""},{"dropping-particle":"","family":"Sari","given":"Siska Aulia","non-dropping-particle":"","parse-names":false,"suffix":""},{"dropping-particle":"","family":"Perdana","given":"Agung Aji","non-dropping-particle":"","parse-names":false,"suffix":""}],"container-title":"Jurnal Kesehatan","id":"ITEM-1","issue":"2","issued":{"date-parts":[["2018"]]},"page":"310","title":"Pola Pemberian MP-ASI pada Balita Usia 6-24 Bulan","type":"article-journal","volume":"9"},"uris":["http://www.mendeley.com/documents/?uuid=b0f85d55-a83e-475e-a915-693b666d1efe","http://www.mendeley.com/documents/?uuid=97c3c800-3913-4d9e-a453-a69cb325e975","http://www.mendeley.com/documents/?uuid=25c2c4a8-c847-40f0-9bcc-af2fbe207992"]}],"mendeley":{"formattedCitation":"[24]","plainTextFormattedCitation":"[24]","previouslyFormattedCitation":"[24]"},"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[24]</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Anak-anak yang berasal dari keluarga mampu memiliki MP-ASI yang lebih bervariasi dalam susunan menunya</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{"citationItems":[{"id":"ITEM-1","itemData":{"DOI":"10.1186/s41043-019-0172-6","ISSN":"20721315","PMID":"31159861","abstract":"BACKGROUND: Mothers and caregivers typically feed infants according to their culture, purchase power and level of awareness with no due diligence to nutritional quality of the diet. Scientific evidence on nutritional adequacy of predominant complementary foods is critical for planning and prioritising interventions. The purpose of the current study was to evaluate the quality of complementary foods and the optimality of complementary feeding practices in Southwest Ethiopia. METHODS: In this cross-sectional study, a stratified multistage sampling procedure was used to sample 433 children, 6-24 months old. A semi-structured questionnaire was used to collect demographic, socio-economic and dietary data. Dietary diversity score was measured using a 24-h dietary recall. Six customary complementary food types were assayed for proximate composition, energy and mineral density using standard methods. Adequacy of the complementary foods in nutrients for complementary feeding purposes was assessed as a ratio between actual composition and recommended composition of complementary foods. RESULTS: Only 16.1% of the children get the minimum dietary diversity. The children were reported to be fed with cereals &amp; grains (68.8%), discretionary calories (53.6%), protein-rich foods (44.6%), oils and fat (40.5%), vegetables (38.5%), dairy products (17.9%) and fruits (28.1%). The sampled foods contained 4.3-24.4%, 0.9-8.5%, 8.2-11.9%, 27.9-162.6 Kcal/100 g, 168.4-250.4 mg/100 g, 1.8-4.1 mg/100 g and 22.5-42.4 mg/100 g of total carbohydrate, crude fat, protein, energy content, calcium, zinc and iron, respectively. All the complementary food samples predominantly fed to children were not composed of adequate protein, fat, carbohydrate, energy and calcium as recommended for complementary feeding purposes. However, most of the complementary foods are composed of adequate iron and zinc. CONCLUSIONS: The nutrient density and diversity of complementary foods of 6-24-month-old children in the study area were found to be sub-optimal. Upgrading the nutritional composition of the starchy complementary foods should be of highest priority to improve nutrition of the infants and young children.","author":[{"dropping-particle":"","family":"Forsido","given":"Sirawdink Fikreyesus","non-dropping-particle":"","parse-names":false,"suffix":""},{"dropping-particle":"","family":"Kiyak","given":"Nejat","non-dropping-particle":"","parse-names":false,"suffix":""},{"dropping-particle":"","family":"Belachew","given":"Tefera","non-dropping-particle":"","parse-names":false,"suffix":""},{"dropping-particle":"","family":"Hensel","given":"Oliver","non-dropping-particle":"","parse-names":false,"suffix":""}],"container-title":"Journal of health, population, and nutrition","id":"ITEM-1","issue":"14","issued":{"date-parts":[["2019"]]},"page":"1-7","publisher":"Journal of Health, Population and Nutrition","title":"Complementary feeding practices, dietary diversity, and nutrient composition of complementary foods of children 6-24 months old in Jimma Zone, Southwest Ethiopia","type":"article-journal","volume":"38"},"uris":["http://www.mendeley.com/documents/?uuid=9d8585dd-1070-43bb-9b4d-97eccf687bc8","http://www.mendeley.com/documents/?uuid=25056e85-970f-403e-92cd-6147ebbbf908","http://www.mendeley.com/documents/?uuid=6c91dfb0-a0bb-4e17-abb9-0546029d7145"]}],"mendeley":{"formattedCitation":"[25]","plainTextFormattedCitation":"[25]","previouslyFormattedCitation":"[25]"},"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[25]</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vertAlign w:val="superscript"/>
          <w:lang w:eastAsia="id-ID"/>
        </w:rPr>
        <w:t>,</w:t>
      </w:r>
      <w:r w:rsidRPr="0053164C">
        <w:rPr>
          <w:rFonts w:ascii="Tw Cen MT" w:eastAsia="Times New Roman" w:hAnsi="Tw Cen MT" w:cs="Times New Roman"/>
          <w:color w:val="111111"/>
          <w:sz w:val="24"/>
          <w:szCs w:val="24"/>
          <w:lang w:val="id-ID" w:eastAsia="id-ID"/>
        </w:rPr>
        <w:fldChar w:fldCharType="begin" w:fldLock="1"/>
      </w:r>
      <w:r>
        <w:rPr>
          <w:rFonts w:ascii="Tw Cen MT" w:eastAsia="Times New Roman" w:hAnsi="Tw Cen MT" w:cs="Times New Roman"/>
          <w:color w:val="111111"/>
          <w:sz w:val="24"/>
          <w:szCs w:val="24"/>
          <w:lang w:val="id-ID" w:eastAsia="id-ID"/>
        </w:rPr>
        <w:instrText>ADDIN CSL_CITATION {"citationItems":[{"id":"ITEM-1","itemData":{"author":[{"dropping-particle":"","family":"Marlina","given":"Yessi","non-dropping-particle":"","parse-names":false,"suffix":""},{"dropping-particle":"","family":"Erowati","given":"Dewi","non-dropping-particle":"","parse-names":false,"suffix":""}],"container-title":"Logista Jurnal Ilmiah Pengabdian kepada Masyarakat","id":"ITEM-1","issue":"2","issued":{"date-parts":[["2021"]]},"page":"202-208","title":"Pengolahan MP ASI Berbasis Pangan Lokal di Desa Ranah Singkuang Kabupaten Kampar","type":"article-journal","volume":"5"},"uris":["http://www.mendeley.com/documents/?uuid=7ed340e4-f25e-4a6a-be04-82a01efcae13","http://www.mendeley.com/documents/?uuid=c00e6374-8e84-4800-977c-7fbaa7b14678","http://www.mendeley.com/documents/?uuid=63ee7fe7-cc12-4460-a99b-fd3f17867700"]}],"mendeley":{"formattedCitation":"[26]","plainTextFormattedCitation":"[26]","previouslyFormattedCitation":"[26]"},"properties":{"noteIndex":0},"schema":"https://github.com/citation-style-language/schema/raw/master/csl-citation.json"}</w:instrText>
      </w:r>
      <w:r w:rsidRPr="0053164C">
        <w:rPr>
          <w:rFonts w:ascii="Tw Cen MT" w:eastAsia="Times New Roman" w:hAnsi="Tw Cen MT" w:cs="Times New Roman"/>
          <w:color w:val="111111"/>
          <w:sz w:val="24"/>
          <w:szCs w:val="24"/>
          <w:lang w:val="id-ID" w:eastAsia="id-ID"/>
        </w:rPr>
        <w:fldChar w:fldCharType="separate"/>
      </w:r>
      <w:r w:rsidRPr="00394A51">
        <w:rPr>
          <w:rFonts w:ascii="Tw Cen MT" w:eastAsia="Times New Roman" w:hAnsi="Tw Cen MT" w:cs="Times New Roman"/>
          <w:noProof/>
          <w:color w:val="111111"/>
          <w:sz w:val="24"/>
          <w:szCs w:val="24"/>
          <w:lang w:val="id-ID" w:eastAsia="id-ID"/>
        </w:rPr>
        <w:t>[26]</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w:t>
      </w:r>
    </w:p>
    <w:p w14:paraId="75B4B1A7" w14:textId="246EE9BE" w:rsidR="00767EDC" w:rsidRPr="0053164C" w:rsidRDefault="00CD731F" w:rsidP="00CD731F">
      <w:pPr>
        <w:spacing w:after="0" w:line="240" w:lineRule="auto"/>
        <w:jc w:val="both"/>
        <w:rPr>
          <w:rFonts w:ascii="Tw Cen MT" w:eastAsia="Times New Roman" w:hAnsi="Tw Cen MT" w:cs="Times New Roman"/>
          <w:color w:val="111111"/>
          <w:sz w:val="24"/>
          <w:szCs w:val="24"/>
          <w:lang w:eastAsia="id-ID"/>
        </w:rPr>
      </w:pPr>
      <w:r>
        <w:rPr>
          <w:rFonts w:ascii="Tw Cen MT" w:eastAsia="Times New Roman" w:hAnsi="Tw Cen MT" w:cs="Times New Roman"/>
          <w:color w:val="111111"/>
          <w:sz w:val="24"/>
          <w:szCs w:val="24"/>
          <w:lang w:eastAsia="id-ID"/>
        </w:rPr>
        <w:t>D</w:t>
      </w:r>
      <w:r w:rsidR="00767EDC" w:rsidRPr="0053164C">
        <w:rPr>
          <w:rFonts w:ascii="Tw Cen MT" w:eastAsia="Times New Roman" w:hAnsi="Tw Cen MT" w:cs="Times New Roman"/>
          <w:color w:val="111111"/>
          <w:sz w:val="24"/>
          <w:szCs w:val="24"/>
          <w:lang w:eastAsia="id-ID"/>
        </w:rPr>
        <w:t>ari hasil analisis pada Tabel 3, tidak terdapat hubungan signifikan antara variasi MP-ASI dengan status gizi (PB/U) (</w:t>
      </w:r>
      <w:r w:rsidR="00767EDC" w:rsidRPr="0053164C">
        <w:rPr>
          <w:rFonts w:ascii="Tw Cen MT" w:eastAsia="Times New Roman" w:hAnsi="Tw Cen MT" w:cs="Times New Roman"/>
          <w:i/>
          <w:iCs/>
          <w:color w:val="111111"/>
          <w:sz w:val="24"/>
          <w:szCs w:val="24"/>
          <w:lang w:eastAsia="id-ID"/>
        </w:rPr>
        <w:t>p</w:t>
      </w:r>
      <w:r w:rsidR="00767EDC" w:rsidRPr="0053164C">
        <w:rPr>
          <w:rFonts w:ascii="Tw Cen MT" w:eastAsia="Times New Roman" w:hAnsi="Tw Cen MT" w:cs="Times New Roman"/>
          <w:color w:val="111111"/>
          <w:sz w:val="24"/>
          <w:szCs w:val="24"/>
          <w:lang w:eastAsia="id-ID"/>
        </w:rPr>
        <w:t xml:space="preserve">=0.938). Variasi makanan pada penelitian ini diperoleh berdasarkan hasil </w:t>
      </w:r>
      <w:r w:rsidR="00767EDC" w:rsidRPr="0053164C">
        <w:rPr>
          <w:rFonts w:ascii="Tw Cen MT" w:eastAsia="Times New Roman" w:hAnsi="Tw Cen MT" w:cs="Times New Roman"/>
          <w:i/>
          <w:iCs/>
          <w:color w:val="111111"/>
          <w:sz w:val="24"/>
          <w:szCs w:val="24"/>
          <w:lang w:eastAsia="id-ID"/>
        </w:rPr>
        <w:t xml:space="preserve">recall </w:t>
      </w:r>
      <w:r w:rsidR="00767EDC" w:rsidRPr="0053164C">
        <w:rPr>
          <w:rFonts w:ascii="Tw Cen MT" w:eastAsia="Times New Roman" w:hAnsi="Tw Cen MT" w:cs="Times New Roman"/>
          <w:color w:val="111111"/>
          <w:sz w:val="24"/>
          <w:szCs w:val="24"/>
          <w:lang w:eastAsia="id-ID"/>
        </w:rPr>
        <w:t xml:space="preserve">1x24 jam dan kuisioner, sehingga kurang menggambarkan pola keragaman makanan responden. Selain </w:t>
      </w:r>
      <w:r w:rsidR="00767EDC" w:rsidRPr="0053164C">
        <w:rPr>
          <w:rFonts w:ascii="Tw Cen MT" w:eastAsia="Times New Roman" w:hAnsi="Tw Cen MT" w:cs="Times New Roman"/>
          <w:color w:val="111111"/>
          <w:sz w:val="24"/>
          <w:szCs w:val="24"/>
          <w:lang w:eastAsia="id-ID"/>
        </w:rPr>
        <w:lastRenderedPageBreak/>
        <w:t xml:space="preserve">itu, status menyusui (79% balita masih mendapatkan ASI), dapat menjadi faktor penyebab tidak terdapatnya hubungan yang signifikan antara variasi makanan dengan status gizi. Risiko kejadian stunting mengalami penurunan dengan dengan adanya pemberian ASI pada anak-anak yang diberi MP-ASI yang tidak beragam </w:t>
      </w:r>
      <w:r w:rsidR="00767EDC" w:rsidRPr="0053164C">
        <w:rPr>
          <w:rFonts w:ascii="Tw Cen MT" w:eastAsia="Times New Roman" w:hAnsi="Tw Cen MT" w:cs="Times New Roman"/>
          <w:color w:val="111111"/>
          <w:sz w:val="24"/>
          <w:szCs w:val="24"/>
          <w:lang w:eastAsia="id-ID"/>
        </w:rPr>
        <w:fldChar w:fldCharType="begin" w:fldLock="1"/>
      </w:r>
      <w:r w:rsidR="00767EDC">
        <w:rPr>
          <w:rFonts w:ascii="Tw Cen MT" w:eastAsia="Times New Roman" w:hAnsi="Tw Cen MT" w:cs="Times New Roman"/>
          <w:color w:val="111111"/>
          <w:sz w:val="24"/>
          <w:szCs w:val="24"/>
          <w:lang w:eastAsia="id-ID"/>
        </w:rPr>
        <w:instrText>ADDIN CSL_CITATION {"citationItems":[{"id":"ITEM-1","itemData":{"DOI":"10.1039/c0an00880j","ISBN":"0003-2654","abstract":"It is not currently known how dietary assessment in older persons is affected by cognition. In a 1997-2000 study, the authors assessed the validity and reproducibility of a modified Harvard self-administered food frequency questionnaire (SFFQ) among 118 Black and 114 White randomly selected participants, aged 68-99 years, of the Chicago Health and Aging Project. Participants completed multiple 24-hour dietary recall interviews (mean=3.6) over 12 months and two SFFQs in the first and 12th months. The average energy-adjusted intraclass correlation coefficient for 15 nutrients was 0.59 for 1-year reproducibility in nutrient intake levels assessed by the SFFQ. The average energy-adjusted Pearson correlation coefficient was 0.46 for comparative validity between nutrient intake levels on the SFFQ and the dietary recalls. SFFQ reproducibility was higher among men, and comparative validity with the dietary recalls was higher among women. There were no remarkable differences in the correlations by age, race, educational level, presence of chronic conditions, or cognitive ability. The modified Harvard SFFQ is a reasonable method of dietary assessment even in a population of older persons, some of whom are at advanced age, have chronic health conditions, and have cognitive impairment., (C) Copyright Oxford University Press 2003.","author":[{"dropping-particle":"","family":"Nai","given":"Hildagardis","non-dropping-particle":"","parse-names":false,"suffix":""},{"dropping-particle":"","family":"Gunawan","given":"I Made Alit","non-dropping-particle":"","parse-names":false,"suffix":""},{"dropping-particle":"","family":"Nurwanti","given":"Esti","non-dropping-particle":"","parse-names":false,"suffix":""}],"container-title":"Jurnal Gizi dan Dietetik Indonesia","id":"ITEM-1","issue":"3","issued":{"date-parts":[["2014"]]},"page":"126-139","title":"Praktik pemberian makanan pendamping asi (mp-asi) sebagai faktor risiko kejadian stunting pada anak usia 6-23 bulan","type":"article-journal","volume":"2"},"uris":["http://www.mendeley.com/documents/?uuid=d5930db6-f691-432e-b58a-e7cfb10d48fd","http://www.mendeley.com/documents/?uuid=7d0f2ddc-6479-4cc7-984b-85d4c9b32b41","http://www.mendeley.com/documents/?uuid=1bf97a36-c6f7-4332-8eab-52a0d3038c06"]}],"mendeley":{"formattedCitation":"[16]","plainTextFormattedCitation":"[16]","previouslyFormattedCitation":"[16]"},"properties":{"noteIndex":0},"schema":"https://github.com/citation-style-language/schema/raw/master/csl-citation.json"}</w:instrText>
      </w:r>
      <w:r w:rsidR="00767EDC" w:rsidRPr="0053164C">
        <w:rPr>
          <w:rFonts w:ascii="Tw Cen MT" w:eastAsia="Times New Roman" w:hAnsi="Tw Cen MT" w:cs="Times New Roman"/>
          <w:color w:val="111111"/>
          <w:sz w:val="24"/>
          <w:szCs w:val="24"/>
          <w:lang w:eastAsia="id-ID"/>
        </w:rPr>
        <w:fldChar w:fldCharType="separate"/>
      </w:r>
      <w:r w:rsidR="00767EDC" w:rsidRPr="00394A51">
        <w:rPr>
          <w:rFonts w:ascii="Tw Cen MT" w:eastAsia="Times New Roman" w:hAnsi="Tw Cen MT" w:cs="Times New Roman"/>
          <w:noProof/>
          <w:color w:val="111111"/>
          <w:sz w:val="24"/>
          <w:szCs w:val="24"/>
          <w:lang w:eastAsia="id-ID"/>
        </w:rPr>
        <w:t>[16]</w:t>
      </w:r>
      <w:r w:rsidR="00767EDC" w:rsidRPr="0053164C">
        <w:rPr>
          <w:rFonts w:ascii="Tw Cen MT" w:eastAsia="Times New Roman" w:hAnsi="Tw Cen MT" w:cs="Times New Roman"/>
          <w:color w:val="111111"/>
          <w:sz w:val="24"/>
          <w:szCs w:val="24"/>
          <w:lang w:eastAsia="id-ID"/>
        </w:rPr>
        <w:fldChar w:fldCharType="end"/>
      </w:r>
      <w:r w:rsidR="00767EDC" w:rsidRPr="0053164C">
        <w:rPr>
          <w:rFonts w:ascii="Tw Cen MT" w:eastAsia="Times New Roman" w:hAnsi="Tw Cen MT" w:cs="Times New Roman"/>
          <w:color w:val="111111"/>
          <w:sz w:val="24"/>
          <w:szCs w:val="24"/>
          <w:lang w:eastAsia="id-ID"/>
        </w:rPr>
        <w:t xml:space="preserve">. </w:t>
      </w:r>
    </w:p>
    <w:p w14:paraId="30104B8E" w14:textId="77777777" w:rsidR="00767EDC" w:rsidRPr="0053164C" w:rsidRDefault="00767EDC" w:rsidP="00CD731F">
      <w:pPr>
        <w:spacing w:after="0" w:line="240" w:lineRule="auto"/>
        <w:jc w:val="both"/>
        <w:rPr>
          <w:rFonts w:ascii="Tw Cen MT" w:hAnsi="Tw Cen MT" w:cs="Times New Roman"/>
          <w:sz w:val="24"/>
          <w:szCs w:val="24"/>
        </w:rPr>
      </w:pPr>
      <w:r w:rsidRPr="0053164C">
        <w:rPr>
          <w:rFonts w:ascii="Tw Cen MT" w:eastAsia="Times New Roman" w:hAnsi="Tw Cen MT" w:cs="Times New Roman"/>
          <w:color w:val="111111"/>
          <w:sz w:val="24"/>
          <w:szCs w:val="24"/>
          <w:lang w:eastAsia="id-ID"/>
        </w:rPr>
        <w:t xml:space="preserve">Proporsi pemberian MP-ASI yang aman dan higienis hanya berjumlah 5%, lebih sedikit dibandingkan MP-ASI yang tidak aman dan tidak hygiene (95%). Ada tujuh indikator yang digunakan dalam menilai </w:t>
      </w:r>
      <w:r w:rsidRPr="0053164C">
        <w:rPr>
          <w:rFonts w:ascii="Tw Cen MT" w:eastAsia="Times New Roman" w:hAnsi="Tw Cen MT" w:cs="Times New Roman"/>
          <w:i/>
          <w:iCs/>
          <w:color w:val="111111"/>
          <w:sz w:val="24"/>
          <w:szCs w:val="24"/>
          <w:lang w:eastAsia="id-ID"/>
        </w:rPr>
        <w:t>hygiene</w:t>
      </w:r>
      <w:r w:rsidRPr="0053164C">
        <w:rPr>
          <w:rFonts w:ascii="Tw Cen MT" w:eastAsia="Times New Roman" w:hAnsi="Tw Cen MT" w:cs="Times New Roman"/>
          <w:color w:val="111111"/>
          <w:sz w:val="24"/>
          <w:szCs w:val="24"/>
          <w:lang w:eastAsia="id-ID"/>
        </w:rPr>
        <w:t xml:space="preserve"> sanitasi dan keamanan pangan MP-ASI yang diberikan yaitu </w:t>
      </w:r>
      <w:r w:rsidRPr="0053164C">
        <w:rPr>
          <w:rFonts w:ascii="Tw Cen MT" w:hAnsi="Tw Cen MT" w:cs="Times New Roman"/>
          <w:sz w:val="24"/>
          <w:szCs w:val="24"/>
        </w:rPr>
        <w:t>Ibu/pengasuh mencuci tangan sebelum mengolah makanan, mencuci tangan sebelum memberikan makanan kepada anak, menggunakan talenan terpisah antara bahan mentah dan bahan matang, mencuci tangan anak sebelum makan, menggunakan peralatan makan yang bersih, penyimpanan makanan pada suhu yang aman, dan tidak menggunakan bahan tambahan pangan</w:t>
      </w:r>
      <w:r w:rsidRPr="0053164C">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8fcaea8b-2173-40b0-af81-444b91c7ca0c","http://www.mendeley.com/documents/?uuid=f5a99c48-5f06-4c32-a250-eccdc74f8f02"]}],"mendeley":{"formattedCitation":"[14]","plainTextFormattedCitation":"[14]","previouslyFormattedCitation":"[14]"},"properties":{"noteIndex":0},"schema":"https://github.com/citation-style-language/schema/raw/master/csl-citation.json"}</w:instrText>
      </w:r>
      <w:r w:rsidRPr="0053164C">
        <w:rPr>
          <w:rFonts w:ascii="Tw Cen MT" w:hAnsi="Tw Cen MT" w:cs="Times New Roman"/>
          <w:sz w:val="24"/>
          <w:szCs w:val="24"/>
        </w:rPr>
        <w:fldChar w:fldCharType="separate"/>
      </w:r>
      <w:r w:rsidRPr="00394A51">
        <w:rPr>
          <w:rFonts w:ascii="Tw Cen MT" w:hAnsi="Tw Cen MT" w:cs="Times New Roman"/>
          <w:noProof/>
          <w:sz w:val="24"/>
          <w:szCs w:val="24"/>
        </w:rPr>
        <w:t>[14]</w:t>
      </w:r>
      <w:r w:rsidRPr="0053164C">
        <w:rPr>
          <w:rFonts w:ascii="Tw Cen MT" w:hAnsi="Tw Cen MT" w:cs="Times New Roman"/>
          <w:sz w:val="24"/>
          <w:szCs w:val="24"/>
        </w:rPr>
        <w:fldChar w:fldCharType="end"/>
      </w:r>
      <w:r w:rsidRPr="0053164C">
        <w:rPr>
          <w:rFonts w:ascii="Tw Cen MT" w:hAnsi="Tw Cen MT" w:cs="Times New Roman"/>
          <w:sz w:val="24"/>
          <w:szCs w:val="24"/>
        </w:rPr>
        <w:t>.</w:t>
      </w:r>
    </w:p>
    <w:p w14:paraId="7C2F5209" w14:textId="77777777" w:rsidR="00767EDC" w:rsidRPr="0053164C" w:rsidRDefault="00767EDC" w:rsidP="00CD731F">
      <w:pPr>
        <w:spacing w:after="0" w:line="240" w:lineRule="auto"/>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Hasil analisis Tabel 3 menunjukkan bahwa tidak terdapat hubungan antara hygiene sanitasi dan keamanan pangan MP-ASI yang diberikan dengan status gizi (PB/U) (</w:t>
      </w:r>
      <w:r w:rsidRPr="0053164C">
        <w:rPr>
          <w:rFonts w:ascii="Tw Cen MT" w:eastAsia="Times New Roman" w:hAnsi="Tw Cen MT" w:cs="Times New Roman"/>
          <w:i/>
          <w:iCs/>
          <w:color w:val="111111"/>
          <w:sz w:val="24"/>
          <w:szCs w:val="24"/>
          <w:lang w:eastAsia="id-ID"/>
        </w:rPr>
        <w:t>p</w:t>
      </w:r>
      <w:r w:rsidRPr="0053164C">
        <w:rPr>
          <w:rFonts w:ascii="Tw Cen MT" w:eastAsia="Times New Roman" w:hAnsi="Tw Cen MT" w:cs="Times New Roman"/>
          <w:color w:val="111111"/>
          <w:sz w:val="24"/>
          <w:szCs w:val="24"/>
          <w:lang w:eastAsia="id-ID"/>
        </w:rPr>
        <w:t>=0.855).</w:t>
      </w:r>
      <w:r>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t>Hygiene sanitasi tidak berdampak langsung terhadap penurunan status gizi. Berdasarkan data dari kuisioner, sebanyak 9% responden (ibu) tidak mencuci tangan sebelum mengolah makanan dengan berbagai alasan seperti, menganggap tangannya sudah bersih, lupa dan tidak tahu. Sebanyak 18% ibu tidak mencuci tangan sebelum memberi makanan pada anak dengan alasan karena makanan diberikan menggunakan sendok, anak disuap oleh ibunya, anak makan sendiri, dan ada yang menganggap tangan anak sudah bersih sehingga tidak perlu dicuci. Mencuci tangan sebelum mengolah makanan dan sebelum memberikan makanan pada anak wajib dilakukan ibu untuk menjamin keamanan makanan yang diterima anak</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8fcaea8b-2173-40b0-af81-444b91c7ca0c","http://www.mendeley.com/documents/?uuid=f5a99c48-5f06-4c32-a250-eccdc74f8f02"]}],"mendeley":{"formattedCitation":"[14]","plainTextFormattedCitation":"[14]","previouslyFormattedCitation":"[14]"},"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[14]</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Proses </w:t>
      </w:r>
      <w:r w:rsidRPr="0053164C">
        <w:rPr>
          <w:rFonts w:ascii="Tahoma" w:eastAsia="Times New Roman" w:hAnsi="Tahoma" w:cs="Tahoma"/>
          <w:color w:val="111111"/>
          <w:sz w:val="24"/>
          <w:szCs w:val="24"/>
          <w:lang w:eastAsia="id-ID"/>
        </w:rPr>
        <w:t>﻿</w:t>
      </w:r>
      <w:r w:rsidRPr="0053164C">
        <w:rPr>
          <w:rFonts w:ascii="Tw Cen MT" w:eastAsia="Times New Roman" w:hAnsi="Tw Cen MT" w:cs="Times New Roman"/>
          <w:color w:val="111111"/>
          <w:sz w:val="24"/>
          <w:szCs w:val="24"/>
          <w:lang w:eastAsia="id-ID"/>
        </w:rPr>
        <w:t>persiapan makanan, penyimpanan, dan pemberian makanan adalah sumber umum kontaminasi bakteri penyebab diare</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{"citationItems":[{"id":"ITEM-1","itemData":{"DOI":"10.20473/imhsj.v6i1.2022.37-48","abstract":"Background: Complementary foods for breast milk are foods or drinks that have energy and nutrients that are given to infants or children aged 6-24 months to meet nutritional needs not only from breast milk. One of the causes of diarrhea in toddlers is hygiene, including knowledge and attitudes of mothers in feeding, where babies have been fed other than breast milk before the age of 6 months. The pattern of giving complementary foods to breast milk affects the incidence of diarrhea. According to WHO, infants who receive complementary feeding before the age of six months will have a 17 times greater risk of experiencing diarrhea and 3 times more likely to develop upper respiratory tract infections (ARI) than infants who only receive exclusive breastfeeding and receive complementary feeding on time. The purpose of this study was to determine the relationship between complementary feeding and the incidence of diarrhea in infants by using a literature review study. Methods: This study uses a systematic review of articles published between 2014-2020 in the Science Direct, Scopus, Pubmed, and Google Scholar databases so that the results are 11 articles that are reviewed and meet the inclusion and exclusion criteria, included as samples for further review. Results: The factors that cause diarrhea are the child's age (6-11 months), the nutritional status of the child, exclusive breastfeeding, bottle feeding, washing hands with water, water supply, use of healthy latrines, and season. Conclusion: there is a relationship between complementary feeding and the incidence of diarrhea in infants.Keywords: Complementary Foods for Breastfeeding, Diarrhea, Infants, Literature Review","author":[{"dropping-particle":"","family":"Agestika","given":"Revina","non-dropping-particle":"","parse-names":false,"suffix":""}],"container-title":"Indonesian Midwifery and Health Sciences Journal","id":"ITEM-1","issue":"1","issued":{"date-parts":[["2022"]]},"page":"37-48","title":"the Pattern of Complementary Feeding Affects the Incidence of Diarrhea in Infants","type":"article-journal","volume":"6"},"uris":["http://www.mendeley.com/documents/?uuid=7337a7fe-fbad-4dc4-b8b7-f4e9363ff1b8","http://www.mendeley.com/documents/?uuid=83fa27bf-6452-4ef6-8d66-6b0937d1ce35"]}],"mendeley":{"formattedCitation":"[27]","plainTextFormattedCitation":"[27]","previouslyFormattedCitation":"[27]"},"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[27]</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Berdasarkan penggunaan talenan, sebanyak 46% ibu tidak menggunakan talenan yang </w:t>
      </w:r>
      <w:r w:rsidRPr="0053164C">
        <w:rPr>
          <w:rFonts w:ascii="Tw Cen MT" w:eastAsia="Times New Roman" w:hAnsi="Tw Cen MT" w:cs="Times New Roman"/>
          <w:color w:val="111111"/>
          <w:sz w:val="24"/>
          <w:szCs w:val="24"/>
          <w:lang w:eastAsia="id-ID"/>
        </w:rPr>
        <w:t xml:space="preserve">terpisah dengan alasan hanya memiliki 1 talenan di rumah.  Selain itu, sebanyak 45% ibu tidak mencuci tangan anak sebelum makan, 3% tidak menggunakan peralatan makan yang bersih, dan 30% ibu menggunakan bahan tambahan pangan berupa bumbu penyedap dan 100% ibu menyimpan makanan pada suhu yang aman. </w:t>
      </w:r>
    </w:p>
    <w:p w14:paraId="3E6B201A" w14:textId="77777777" w:rsidR="00767EDC" w:rsidRPr="0053164C" w:rsidRDefault="00767EDC" w:rsidP="00CD731F">
      <w:pPr>
        <w:spacing w:after="0" w:line="240" w:lineRule="auto"/>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 xml:space="preserve">Pemberian makan yang responsif </w:t>
      </w:r>
      <w:r w:rsidRPr="0053164C">
        <w:rPr>
          <w:rFonts w:ascii="Tw Cen MT" w:eastAsia="Times New Roman" w:hAnsi="Tw Cen MT" w:cs="Times New Roman"/>
          <w:color w:val="111111"/>
          <w:sz w:val="24"/>
          <w:szCs w:val="24"/>
          <w:lang w:val="id-ID" w:eastAsia="id-ID"/>
        </w:rPr>
        <w:t>adalah ketika orang tua atau pengasuh terlibat dalam perilaku positif dengan anak, sambil mendorong dan memperhatikan minat anak selama waktu makan</w:t>
      </w:r>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{"citationItems":[{"id":"ITEM-1","itemData":{"abstract":"Responsive feeding (RF) refers to a reciprocal relationship between an infant or child and his or her caregiver that is characterised by the child communicating feelings of hunger and satiety through verbal or nonverbal cues, followed by an immediate response from the caregiver. The response includes the provision of appropriate and nutritious food in a supportive manner, while maintaining an appropriate feeding environment. The literature indicates that RF is the foundation for the development of healthy eating behaviour and optimal skills for self-regulation and self-control of food intake. Therefore, practising RF is associated with ideal growth standards, optimal nutrient intake and long-term regulation of weight. On the other hand, nonresponsive feeding (NRF) practices are associated with feeding problems and the development of under- or overnutrition. Different types of NRF behaviour have been described, where the caregiver is either uninvolved during meals, too restrictive or controlling, or allows the child to control mealtimes. Consequently, mealtimes may become cumbersome, characterised by inconsistent, nonresponsive interaction, and may result in a relationship that is lacking in trust. The effects of RF and NRF are reviewed in this article and the practical guideline to “Feed slowly and patiently, and encourage your baby to eat, but do not force them” is suggested as appropriate for inclusion in the proposed South African paediatric Food Based Dietary Guidelines. It is also acknowledged that RF practices are best established when mothers choose to breastfeed on demand, as they are less controlling and more responsive to their infants’ internal hunger and satiety cues.","author":[{"dropping-particle":"","family":"Harbron","given":"Janetta","non-dropping-particle":"","parse-names":false,"suffix":""},{"dropping-particle":"","family":"Booley","given":"S","non-dropping-particle":"","parse-names":false,"suffix":""},{"dropping-particle":"","family":"Najaar","given":"B","non-dropping-particle":"","parse-names":false,"suffix":""}],"container-title":"South 'African Journal of Clinical Nutrition","id":"ITEM-1","issue":"3","issued":{"date-parts":[["2013"]]},"page":"141-149","title":"Paediatric Food-Based Dietary Guidelines for South Africa: Responsive feeding: establishing healthy eating behaviour early on in life","type":"article-journal","volume":"26"},"uris":["http://www.mendeley.com/documents/?uuid=f0ae6232-1f1c-4967-8a7c-5fb8ae32d08e","http://www.mendeley.com/documents/?uuid=9b21c02b-f570-42b9-9d0d-ee099f43c564","http://www.mendeley.com/documents/?uuid=aba54b69-97c9-4b5b-b9dc-d06e77dbbc39"]}],"mendeley":{"formattedCitation":"[28]","plainTextFormattedCitation":"[28]","previouslyFormattedCitation":"[28]"},"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[28]</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Berdasarkan hasil analisis dari Tabel 3, proporsi MP-ASI yang diberikan secara responsif berjumlah 62%, lebih banyak dibandingkan yang tidak </w:t>
      </w:r>
      <w:r w:rsidRPr="0053164C">
        <w:rPr>
          <w:rFonts w:ascii="Tw Cen MT" w:eastAsia="Times New Roman" w:hAnsi="Tw Cen MT" w:cs="Times New Roman"/>
          <w:i/>
          <w:iCs/>
          <w:color w:val="111111"/>
          <w:sz w:val="24"/>
          <w:szCs w:val="24"/>
          <w:lang w:eastAsia="id-ID"/>
        </w:rPr>
        <w:t>responsif</w:t>
      </w:r>
      <w:r w:rsidRPr="0053164C">
        <w:rPr>
          <w:rFonts w:ascii="Tw Cen MT" w:eastAsia="Times New Roman" w:hAnsi="Tw Cen MT" w:cs="Times New Roman"/>
          <w:color w:val="111111"/>
          <w:sz w:val="24"/>
          <w:szCs w:val="24"/>
          <w:lang w:eastAsia="id-ID"/>
        </w:rPr>
        <w:t xml:space="preserve"> (38%). Sebagian besar anak diberi makan langsung oleh ibunya dikarenakan faktor ibu yang tidak bekerja (81%), sedangkan bagi ibu yang bekerja, pada umumnya menitipkan anak pada kerabat terdekat. Dalam proses pemberian makan, hal yang utama adalah menciptakan suasana yang menyenangkan sehingga anak tidak hanya mampu menghabiskan makannya, namun juga merasa aman dan gembira, sehingga kegiatan makan merupakan kegiatan menyenangkan yang akan memberikan dampak positif terhadap asupan gizi anak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{"citationItems":[{"id":"ITEM-1","itemData":{"DOI":"10.26630/jk.v9i2.757","ISSN":"2086-7751","abstract":"&lt;p&gt;WHO in WHA reported that 60% of direct and indirect infant deaths were caused by malnutrition and 2/3 of these deaths were associated with poor feeding practices in infants and children. Based on PSG results in 2016, Lampung and Bandar Lampung acute and chronic community nutritional problems (short prevalence ≥20% and thin ≥5%). The purpose of this study is to know the pattern of giving of breast milk in infants aged 6-24 months in the work area of Puskesmas Kota Baru New Town Bandar Lampung in 2017. This research is a qualitative research with phenomenology approach. Information obtained by conducting in-depth interviews, FGD, and observation. Informants in this study consisted of 5 main informants, 2 informants triangulation. The results showed that the form of MP-ASI have given for the age of 6-8 months and 12-24 months was appropriate but for 9-11 months age was not yet appropriate. The amount given is still less than the need with the frequency of giving 2-3 times a day plus 2 times a distraction. Type of MP-ASI is a local MP-ASI and MP-ASI manufacturer. How to serve in the form of dilute and liquid who fed by the mother. Raw food ingredients are stored separately with cooked foods. Feeding meals and suggestions are from their own mothers. Advice for MP-ASI counselors to provide regular and recorded counseling so that the stages and success of counseling can be evaluated.&lt;/p&gt;","author":[{"dropping-particle":"","family":"Amperaningsih","given":"Yuliati","non-dropping-particle":"","parse-names":false,"suffix":""},{"dropping-particle":"","family":"Sari","given":"Siska Aulia","non-dropping-particle":"","parse-names":false,"suffix":""},{"dropping-particle":"","family":"Perdana","given":"Agung Aji","non-dropping-particle":"","parse-names":false,"suffix":""}],"container-title":"Jurnal Kesehatan","id":"ITEM-1","issue":"2","issued":{"date-parts":[["2018"]]},"page":"310","title":"Pola Pemberian MP-ASI pada Balita Usia 6-24 Bulan","type":"article-journal","volume":"9"},"uris":["http://www.mendeley.com/documents/?uuid=25c2c4a8-c847-40f0-9bcc-af2fbe207992","http://www.mendeley.com/documents/?uuid=97c3c800-3913-4d9e-a453-a69cb325e975","http://www.mendeley.com/documents/?uuid=b0f85d55-a83e-475e-a915-693b666d1efe"]}],"mendeley":{"formattedCitation":"[24]","plainTextFormattedCitation":"[24]","previouslyFormattedCitation":"[24]"},"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[24]</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w:t>
      </w:r>
    </w:p>
    <w:p w14:paraId="2EBB509A" w14:textId="77777777" w:rsidR="00767EDC" w:rsidRPr="0053164C" w:rsidRDefault="00767EDC" w:rsidP="00CD731F">
      <w:pPr>
        <w:spacing w:after="0" w:line="240" w:lineRule="auto"/>
        <w:jc w:val="both"/>
        <w:rPr>
          <w:rFonts w:ascii="Tw Cen MT" w:eastAsia="Times New Roman" w:hAnsi="Tw Cen MT" w:cs="Times New Roman"/>
          <w:color w:val="111111"/>
          <w:lang w:eastAsia="id-ID"/>
        </w:rPr>
      </w:pPr>
      <w:r w:rsidRPr="0053164C">
        <w:rPr>
          <w:rFonts w:ascii="Tw Cen MT" w:eastAsia="Times New Roman" w:hAnsi="Tw Cen MT" w:cs="Times New Roman"/>
          <w:color w:val="111111"/>
          <w:sz w:val="24"/>
          <w:szCs w:val="24"/>
          <w:lang w:eastAsia="id-ID"/>
        </w:rPr>
        <w:t xml:space="preserve">Hasil analisis menunjukkan adanya hubungan yang signifikan antara </w:t>
      </w:r>
      <w:r w:rsidRPr="0053164C">
        <w:rPr>
          <w:rFonts w:ascii="Tw Cen MT" w:eastAsia="Times New Roman" w:hAnsi="Tw Cen MT" w:cs="Times New Roman"/>
          <w:i/>
          <w:iCs/>
          <w:color w:val="111111"/>
          <w:sz w:val="24"/>
          <w:szCs w:val="24"/>
          <w:lang w:eastAsia="id-ID"/>
        </w:rPr>
        <w:t xml:space="preserve">responsive feeding </w:t>
      </w:r>
      <w:r w:rsidRPr="0053164C">
        <w:rPr>
          <w:rFonts w:ascii="Tw Cen MT" w:eastAsia="Times New Roman" w:hAnsi="Tw Cen MT" w:cs="Times New Roman"/>
          <w:color w:val="111111"/>
          <w:sz w:val="24"/>
          <w:szCs w:val="24"/>
          <w:lang w:eastAsia="id-ID"/>
        </w:rPr>
        <w:t>dengan status gizi (PB/U) (</w:t>
      </w:r>
      <w:r w:rsidRPr="0053164C">
        <w:rPr>
          <w:rFonts w:ascii="Tw Cen MT" w:eastAsia="Times New Roman" w:hAnsi="Tw Cen MT" w:cs="Times New Roman"/>
          <w:i/>
          <w:iCs/>
          <w:color w:val="111111"/>
          <w:sz w:val="24"/>
          <w:szCs w:val="24"/>
          <w:lang w:eastAsia="id-ID"/>
        </w:rPr>
        <w:t xml:space="preserve">p=0.002). </w:t>
      </w:r>
      <w:r w:rsidRPr="0053164C">
        <w:rPr>
          <w:rFonts w:ascii="Tw Cen MT" w:eastAsia="Times New Roman" w:hAnsi="Tw Cen MT" w:cs="Times New Roman"/>
          <w:color w:val="111111"/>
          <w:sz w:val="24"/>
          <w:szCs w:val="24"/>
          <w:lang w:eastAsia="id-ID"/>
        </w:rPr>
        <w:t xml:space="preserve">Perilaku orang tua yang cenderung memberikan tekanan saat anak makan menunjukkan hubungan signifikan secara negatif dengan status gizi anak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{"citationItems":[{"id":"ITEM-1","itemData":{"DOI":"10.22146/ijcn.19281","ISSN":"1693-900X","abstract":"Background: The issue of child nutrition is still a problem in developing countries, including Indonesia. Nowadays, there is double burden related to child nutrition, due to lack of nutrition that has not been resolved and at the same time, there is an increasing problem of excess nutrients. Parents are responsible for the care of children, including fulfilling a balanced nutritional intake.Objective: To identify the relationship between parent’s behavior in feeding and nutritional status of children aged 2-5 years.Method: Design used in this study was observational with the cross-sectional study was conducted 153 parents with children aged 2-5 years who fit the inclusion and exclusion criteria in the region of Integrated Health Center Catholic Hospital St. Vincentius a Paulo Surabaya. Parent’s behavior in feeding was assessed using the Comprehensive Feeding Practices Questionnaire (CFPQ) which consists of 49 questions and 12 behavioral aspects. The nutritional status of children assessed by weight indicator according to height (weight/height) were compared with z-score WHO 2006 standard. Data were analyzed using the Spearman correlation.Results: The average nutritional status of children aged 2-5 years based on the weight/height z-score indicator was 0.17 indicating that is in normal condition. Parent’s behavior that involves children in the planning and preparation of meals, positively associated with nutritional status of children in all conditions of nutritional status of children who are very thin to obese (</w:instrText>
      </w:r>
      <w:r>
        <w:rPr>
          <w:rFonts w:eastAsia="Times New Roman"/>
          <w:color w:val="111111"/>
          <w:sz w:val="24"/>
          <w:szCs w:val="24"/>
          <w:lang w:eastAsia="id-ID"/>
        </w:rPr>
        <w:instrText>ρ</w:instrText>
      </w:r>
      <w:r>
        <w:rPr>
          <w:rFonts w:ascii="Tw Cen MT" w:eastAsia="Times New Roman" w:hAnsi="Tw Cen MT" w:cs="Times New Roman"/>
          <w:color w:val="111111"/>
          <w:sz w:val="24"/>
          <w:szCs w:val="24"/>
          <w:lang w:eastAsia="id-ID"/>
        </w:rPr>
        <w:instrText>=0.43; p=0.001). Pressure, when children eat, was negatively associated with nutritional status of children aged 2-5 years in normal nutritional status to obese (</w:instrText>
      </w:r>
      <w:r>
        <w:rPr>
          <w:rFonts w:eastAsia="Times New Roman"/>
          <w:color w:val="111111"/>
          <w:sz w:val="24"/>
          <w:szCs w:val="24"/>
          <w:lang w:eastAsia="id-ID"/>
        </w:rPr>
        <w:instrText>ρ</w:instrText>
      </w:r>
      <w:r>
        <w:rPr>
          <w:rFonts w:ascii="Tw Cen MT" w:eastAsia="Times New Roman" w:hAnsi="Tw Cen MT" w:cs="Times New Roman"/>
          <w:color w:val="111111"/>
          <w:sz w:val="24"/>
          <w:szCs w:val="24"/>
          <w:lang w:eastAsia="id-ID"/>
        </w:rPr>
        <w:instrText>=-0.34; p=0.001). Restriction of food intake to control body weight was positively associated with nutritional status of children aged 2-5 years in all conditions of nutritional status of children who are very thin to obese (</w:instrText>
      </w:r>
      <w:r>
        <w:rPr>
          <w:rFonts w:eastAsia="Times New Roman"/>
          <w:color w:val="111111"/>
          <w:sz w:val="24"/>
          <w:szCs w:val="24"/>
          <w:lang w:eastAsia="id-ID"/>
        </w:rPr>
        <w:instrText>ρ</w:instrText>
      </w:r>
      <w:r>
        <w:rPr>
          <w:rFonts w:ascii="Tw Cen MT" w:eastAsia="Times New Roman" w:hAnsi="Tw Cen MT" w:cs="Times New Roman"/>
          <w:color w:val="111111"/>
          <w:sz w:val="24"/>
          <w:szCs w:val="24"/>
          <w:lang w:eastAsia="id-ID"/>
        </w:rPr>
        <w:instrText>=0.29; p=0.001).Conclusion: Parent’s behavior in feeding the children associated with nutritional status of children aged 2-5 years.","author":[{"dropping-particle":"","family":"Purnama","given":"Ni Luh Agustini","non-dropping-particle":"","parse-names":false,"suffix":""},{"dropping-particle":"","family":"Lusmilasari","given":"Lely","non-dropping-particle":"","parse-names":false,"suffix":""},{"dropping-particle":"","family":"Julia","given":"Madarina","non-dropping-particle":"","parse-names":false,"suffix":""}],"container-title":"Jurnal Gizi Klinik Indonesia","id":"ITEM-1","issue":"3","issued":{"date-parts":[["2015"]]},"page":"97-104","title":"Perilaku orang tua dalam pemberian makan dan status gizi anak usia 2-5 tahun","type":"article-journal","volume":"11"},"uris":["http://www.mendeley.com/documents/?uuid=ef8183f6-6843-4ce6-ae74-651d18708b5b","http://www.mendeley.com/documents/?uuid=06d1d140-e3e9-4215-bd24-98b7237c2958","http://www.mendeley.com/documents/?uuid=74cb9731-5e54-42be-b11a-6676ff4c6c7d"]}],"mendeley":{"formattedCitation":"[29]","plainTextFormattedCitation":"[29]","previouslyFormattedCitation":"[29]"},"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[29]</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Menurut Latifah, ibu dengan perilaku responsif memiliki risiko 0.15x lebih rendah memiliki anak stunting dibanding yang tidak responsif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{"citationItems":[{"id":"ITEM-1","itemData":{"DOI":"10.31983/jkb.v10i2.6286","ISSN":"2089-7669","abstract":"Hyperemesis Gravidarum is a common symptom and is often seen in the first trimester of pregnancy, which occurs in 60-80% of primigravida and 40-60% of multigravida. Nausea usually occurs in the morning, but can occur at any time of the night. These symptoms approximately occur after 6 weeks after the first day of the last menstrual period and last for approximately 10 weeks. The incidence of Hyperemesis Gravidarum is influenced by the knowledge of pregnant women, the age of pregnant women and gravidas at Batara Guru Belopa Regional Hospital in 2020. The type of research used is quantitative research with cross sectional design. The sample in this study were pregnant women who experienced hyperemesis gravidarum, both those who experienced grade I hyperemesis, Level II and level III who came to visit the Batara Guru Belopa Regional Hospital for the March - June 2020 period were 47 pregnant women. The results of the research conducted at Batara Guru Belopa, Luwu Regency, showed that in general knowledge, age and gravidity had a significant relationship with the incidence of hyperememesis gravidarum in Batara Guru Belopa Regional Hospital, where the chi-square value count was ≥ X2 table. In the knowledge variable with the occurrence of hyperemesis gravidarum, it is a value of &lt;0.002 and in the age variable the value is &lt;0.003, while the gravid variable with the occurrence of hyperemesis gravidarum is a value of &lt;0.001","author":[{"dropping-particle":"","family":"Latifah","given":"Ulfatul","non-dropping-particle":"","parse-names":false,"suffix":""},{"dropping-particle":"","family":"Prastiwi","given":"Ratih Sakti","non-dropping-particle":"","parse-names":false,"suffix":""},{"dropping-particle":"","family":"Baroroh","given":"Umi","non-dropping-particle":"","parse-names":false,"suffix":""}],"container-title":"Jurnal Kebidanan","id":"ITEM-1","issue":"2","issued":{"date-parts":[["2020"]]},"page":"143-148","title":"The Responsive Feeding Behavior and Stunting Incident on Toddlers","type":"article-journal","volume":"10"},"uris":["http://www.mendeley.com/documents/?uuid=d84fb87a-b6e5-4ed4-8782-ecef66cc3a1c","http://www.mendeley.com/documents/?uuid=6fffb45c-7c83-42b6-bb69-1aa1fe93f24f","http://www.mendeley.com/documents/?uuid=ee941f40-6d95-4af5-96fa-085bdee8af65"]}],"mendeley":{"formattedCitation":"[30]","plainTextFormattedCitation":"[30]","previouslyFormattedCitation":"[30]"},"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[30]</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Ibu/pengasuh yang diberi pemahaman dan edukasi khususnya berkaitan dengan pola pengasuhan anak (pemberian makan anak) akan berpengaruh positif terhadap status gizi anak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{"citationItems":[{"id":"ITEM-1","itemData":{"DOI":"10.31983/jkb.v10i2.6286","ISSN":"2089-7669","abstract":"Hyperemesis Gravidarum is a common symptom and is often seen in the first trimester of pregnancy, which occurs in 60-80% of primigravida and 40-60% of multigravida. Nausea usually occurs in the morning, but can occur at any time of the night. These symptoms approximately occur after 6 weeks after the first day of the last menstrual period and last for approximately 10 weeks. The incidence of Hyperemesis Gravidarum is influenced by the knowledge of pregnant women, the age of pregnant women and gravidas at Batara Guru Belopa Regional Hospital in 2020. The type of research used is quantitative research with cross sectional design. The sample in this study were pregnant women who experienced hyperemesis gravidarum, both those who experienced grade I hyperemesis, Level II and level III who came to visit the Batara Guru Belopa Regional Hospital for the March - June 2020 period were 47 pregnant women. The results of the research conducted at Batara Guru Belopa, Luwu Regency, showed that in general knowledge, age and gravidity had a significant relationship with the incidence of hyperememesis gravidarum in Batara Guru Belopa Regional Hospital, where the chi-square value count was ≥ X2 table. In the knowledge variable with the occurrence of hyperemesis gravidarum, it is a value of &lt;0.002 and in the age variable the value is &lt;0.003, while the gravid variable with the occurrence of hyperemesis gravidarum is a value of &lt;0.001","author":[{"dropping-particle":"","family":"Latifah","given":"Ulfatul","non-dropping-particle":"","parse-names":false,"suffix":""},{"dropping-particle":"","family":"Prastiwi","given":"Ratih Sakti","non-dropping-particle":"","parse-names":false,"suffix":""},{"dropping-particle":"","family":"Baroroh","given":"Umi","non-dropping-particle":"","parse-names":false,"suffix":""}],"container-title":"Jurnal Kebidanan","id":"ITEM-1","issue":"2","issued":{"date-parts":[["2020"]]},"page":"143-148","title":"The Responsive Feeding Behavior and Stunting Incident on Toddlers","type":"article-journal","volume":"10"},"uris":["http://www.mendeley.com/documents/?uuid=ee941f40-6d95-4af5-96fa-085bdee8af65","http://www.mendeley.com/documents/?uuid=d84fb87a-b6e5-4ed4-8782-ecef66cc3a1c","http://www.mendeley.com/documents/?uuid=dac4b2bf-0c2d-4f92-bb91-1651a95ace97"]}],"mendeley":{"formattedCitation":"[30]","plainTextFormattedCitation":"[30]","previouslyFormattedCitation":"[30]"},"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[30]</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w:t>
      </w:r>
      <w:r w:rsidRPr="0053164C">
        <w:rPr>
          <w:rFonts w:ascii="Tw Cen MT" w:eastAsia="Times New Roman" w:hAnsi="Tw Cen MT" w:cs="Times New Roman"/>
          <w:color w:val="111111"/>
          <w:lang w:eastAsia="id-ID"/>
        </w:rPr>
        <w:t xml:space="preserve"> </w:t>
      </w:r>
    </w:p>
    <w:p w14:paraId="630FDE8A" w14:textId="77777777" w:rsidR="00767EDC" w:rsidRPr="0053164C" w:rsidRDefault="00767EDC" w:rsidP="00CD731F">
      <w:pPr>
        <w:spacing w:after="0" w:line="240" w:lineRule="auto"/>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Jumlah energi yang terkandung dalam MP-ASI ditentukan berdasarkan</w:t>
      </w:r>
      <w:r w:rsidRPr="0053164C">
        <w:rPr>
          <w:rFonts w:ascii="Tw Cen MT" w:eastAsia="Times New Roman" w:hAnsi="Tw Cen MT" w:cs="Times New Roman"/>
          <w:color w:val="111111"/>
          <w:sz w:val="24"/>
          <w:szCs w:val="24"/>
          <w:lang w:val="id-ID" w:eastAsia="id-ID"/>
        </w:rPr>
        <w:t xml:space="preserve"> asumsi </w:t>
      </w:r>
      <w:r w:rsidRPr="0053164C">
        <w:rPr>
          <w:rFonts w:ascii="Tw Cen MT" w:eastAsia="Times New Roman" w:hAnsi="Tw Cen MT" w:cs="Times New Roman"/>
          <w:color w:val="111111"/>
          <w:sz w:val="24"/>
          <w:szCs w:val="24"/>
          <w:lang w:eastAsia="id-ID"/>
        </w:rPr>
        <w:t xml:space="preserve">rata-rata </w:t>
      </w:r>
      <w:r w:rsidRPr="0053164C">
        <w:rPr>
          <w:rFonts w:ascii="Tw Cen MT" w:eastAsia="Times New Roman" w:hAnsi="Tw Cen MT" w:cs="Times New Roman"/>
          <w:color w:val="111111"/>
          <w:sz w:val="24"/>
          <w:szCs w:val="24"/>
          <w:lang w:val="id-ID" w:eastAsia="id-ID"/>
        </w:rPr>
        <w:t xml:space="preserve">konsumsi ASI </w:t>
      </w:r>
      <w:r w:rsidRPr="0053164C">
        <w:rPr>
          <w:rFonts w:ascii="Tw Cen MT" w:eastAsia="Times New Roman" w:hAnsi="Tw Cen MT" w:cs="Times New Roman"/>
          <w:color w:val="111111"/>
          <w:sz w:val="24"/>
          <w:szCs w:val="24"/>
          <w:lang w:eastAsia="id-ID"/>
        </w:rPr>
        <w:t xml:space="preserve">per hari, </w:t>
      </w:r>
      <w:r w:rsidRPr="0053164C">
        <w:rPr>
          <w:rFonts w:ascii="Tw Cen MT" w:eastAsia="Times New Roman" w:hAnsi="Tw Cen MT" w:cs="Times New Roman"/>
          <w:color w:val="111111"/>
          <w:sz w:val="24"/>
          <w:szCs w:val="24"/>
          <w:lang w:val="id-ID" w:eastAsia="id-ID"/>
        </w:rPr>
        <w:t xml:space="preserve">sehingga ada kemungkinan bahwa anak </w:t>
      </w:r>
      <w:r w:rsidRPr="0053164C">
        <w:rPr>
          <w:rFonts w:ascii="Tw Cen MT" w:eastAsia="Times New Roman" w:hAnsi="Tw Cen MT" w:cs="Times New Roman"/>
          <w:color w:val="111111"/>
          <w:sz w:val="24"/>
          <w:szCs w:val="24"/>
          <w:lang w:eastAsia="id-ID"/>
        </w:rPr>
        <w:t xml:space="preserve">dengan </w:t>
      </w:r>
      <w:r w:rsidRPr="0053164C">
        <w:rPr>
          <w:rFonts w:ascii="Tw Cen MT" w:eastAsia="Times New Roman" w:hAnsi="Tw Cen MT" w:cs="Times New Roman"/>
          <w:color w:val="111111"/>
          <w:sz w:val="24"/>
          <w:szCs w:val="24"/>
          <w:lang w:val="id-ID" w:eastAsia="id-ID"/>
        </w:rPr>
        <w:t>asupan ASI yang lebih tinggi</w:t>
      </w:r>
      <w:r w:rsidRPr="0053164C">
        <w:rPr>
          <w:rFonts w:ascii="Tw Cen MT" w:eastAsia="Times New Roman" w:hAnsi="Tw Cen MT" w:cs="Times New Roman"/>
          <w:color w:val="111111"/>
          <w:sz w:val="24"/>
          <w:szCs w:val="24"/>
          <w:lang w:eastAsia="id-ID"/>
        </w:rPr>
        <w:t xml:space="preserve"> maka kebutuhan energi yang bersumber dari MP-ASI nya cenderung lebih </w:t>
      </w:r>
      <w:r w:rsidRPr="0053164C">
        <w:rPr>
          <w:rFonts w:ascii="Tw Cen MT" w:eastAsia="Times New Roman" w:hAnsi="Tw Cen MT" w:cs="Times New Roman"/>
          <w:color w:val="111111"/>
          <w:sz w:val="24"/>
          <w:szCs w:val="24"/>
          <w:lang w:eastAsia="id-ID"/>
        </w:rPr>
        <w:lastRenderedPageBreak/>
        <w:t xml:space="preserve">rendah, dan sebaliknya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{"citationItems":[{"id":"ITEM-1","itemData":{"DOI":"10.1111/mcn.12324","ISSN":"17408709","PMID":"27265847","abstract":"The first two years of life are critical for growth and development. Little is known about infant and young child feeding (IYCF) practices in the Ecuadorian highlands and how they contribute to stunting. With the objective of understanding nutritional status and the influencing factors to design an intervention, we assessed the nutritional status of 293 infants and children between 0 and 24 months of age, living in 14 communities in the provinces of Tungurahua and Chimborazo using a cross-sectional study design. We used the WHO IYCF indicators to assess feeding practices; estimated dietary intake with 24-h recalls; and identified nutritious local foods by food frequency questionnaires. Multiple regression modelling was performed to identify correlates of nutritional status. Stunting was found in 56.2% of children. Mean protein, vitamin A and vitamin C intakes were above recommendations for all ages. Only infants 6.0 to 8.9 months of age and non-breastfed children 12–23.9 months of age consumed energy intakes below recommendations. Younger age groups had below recommended intakes for iron and calcium. While mean complementary food densities met recommendations for protein, vitamin A, vitamin C and energy, those for zinc, iron and calcium were lower than recommended. Older age, respiratory infections and being male were predictors of lower HAZ, whereas early initiation of breastfeeding, higher socioeconomic status, consumption of iron-rich foods and higher dietary protein density were protective. Interventions that promote and support optimal breastfeeding practices and enable increased consumption of nutritious local foods have potential to contribute to reducing stunting in this vulnerable population. © 2016 John Wiley &amp; Sons Ltd.","author":[{"dropping-particle":"","family":"Roche","given":"Marion L.","non-dropping-particle":"","parse-names":false,"suffix":""},{"dropping-particle":"","family":"Gyorkos","given":"Theresa W.","non-dropping-particle":"","parse-names":false,"suffix":""},{"dropping-particle":"","family":"Blouin","given":"Brittany","non-dropping-particle":"","parse-names":false,"suffix":""},{"dropping-particle":"","family":"Marquis","given":"Grace S.","non-dropping-particle":"","parse-names":false,"suffix":""},{"dropping-particle":"","family":"Sarsoza","given":"Julieta","non-dropping-particle":"","parse-names":false,"suffix":""},{"dropping-particle":"V.","family":"Kuhnlein","given":"Harriet","non-dropping-particle":"","parse-names":false,"suffix":""}],"container-title":"Maternal and Child Nutrition","id":"ITEM-1","issue":"2","issued":{"date-parts":[["2017"]]},"page":"1-15","title":"Infant and young child feeding practices and stunting in two highland provinces in Ecuador","type":"article-journal","volume":"13"},"uris":["http://www.mendeley.com/documents/?uuid=f47290f7-ad08-4a79-b88a-a686310bebea","http://www.mendeley.com/documents/?uuid=7909c8b4-ae81-4ac7-b028-e00cf3827b95","http://www.mendeley.com/documents/?uuid=d4ce7045-fac1-4ea2-8729-cb4c45143eeb"]}],"mendeley":{"formattedCitation":"[31]","plainTextFormattedCitation":"[31]","previouslyFormattedCitation":"[31]"},"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[31]</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Menurut IDAI (2018), jumlah tambahan kalori yang harus terkandung dalam MP-ASI untuk kategori usia 6-8 bulan sebesar 200kkal, 9-12 bulan sebesar 300kkal dan 12-24 bulan sebesar 550kkal setiap harinya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8fcaea8b-2173-40b0-af81-444b91c7ca0c","http://www.mendeley.com/documents/?uuid=f41e6871-01b6-4996-a0a6-1ef1273ce999","http://www.mendeley.com/documents/?uuid=f5a99c48-5f06-4c32-a250-eccdc74f8f02"]}],"mendeley":{"formattedCitation":"[14]","plainTextFormattedCitation":"[14]","previouslyFormattedCitation":"[14]"},"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[14]</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Sama halnya dengan energi, jumlah lemak yang dibutuhkan dari MP-ASI untuk memenuhi kebutuhan sehari-hari pada anak tergantung pada tingkat asupan ASI. Anjuran lemak yang terkandung dalam MP-ASI adalah sekitar 30-45% dari total kalori sehari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{"citationItems":[{"id":"ITEM-1","itemData":{"DOI":"10.1177/156482650302400102","ISSN":"03795721","PMID":"12664525","abstract":"This paper provides an update to the 1998 WHO/UNICEF report on complementary feeding. New research findings are generally consistent with the guidelines in that report, but the adoption of new energy and micronutrient requirements for infants and young children will result in lower recommendations regarding minimum meal frequency and energy density of complementary foods, and will alter the list of \"problem nutrients.\" Without fortification, the densities of iron, zinc, and vitamin B6 in complementary foods are often inadequate, and the intake of other nutrients may also be low in some populations. Strategies for obtaining the needed amounts of problem nutrients, as well as optimizing breastmilk intake when other foods are added to the diet, are discussed. The impact of complementary feeding interventions on child growth has been variable, which calls attention to the need for more comprehensive programs. A six-step approach to planning, implementing, and evaluating such programs is recommended.","author":[{"dropping-particle":"","family":"Dewey","given":"Kathryn G.","non-dropping-particle":"","parse-names":false,"suffix":""},{"dropping-particle":"","family":"Brown","given":"Kenneth H.","non-dropping-particle":"","parse-names":false,"suffix":""}],"container-title":"Food and Nutrition Bulletin","id":"ITEM-1","issue":"1","issued":{"date-parts":[["2003"]]},"page":"5-28","title":"Update on technical issues concerning complementary feeding of young children in developing countries and implications for intervention programs","type":"article-journal","volume":"24"},"uris":["http://www.mendeley.com/documents/?uuid=99233a66-d84c-4133-810d-611d8448b0ed","http://www.mendeley.com/documents/?uuid=a30b27c8-c213-48ea-91b4-897985684ca2","http://www.mendeley.com/documents/?uuid=f94b12da-fe14-4557-a41e-edfd19864f16"]}],"mendeley":{"formattedCitation":"[32]","plainTextFormattedCitation":"[32]","previouslyFormattedCitation":"[32]"},"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[32]</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Kebutuhan protein pada anak meningkat seiring pertambahan usia. Asupan protein harian yang direkomendasikan adalah 1.1g/kg/hari atau sekitar 10% dari total kalori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{"citationItems":[{"id":"ITEM-1","itemData":{"DOI":"10.1186/s13052-015-0143-5","ISSN":"1824-7288","abstract":"Weaning (or introduction of complementary feeding) is a special and important moment in the growth of a child, both for the family and the infant itself, and it can play a major role in the child’s future health. Throughout the years, various weaning modes have come in succession, the latest being baby-led weaning; the timing for introducing foods and the requirements of which sort of nutrient for weaning have also changed over time. Furthermore, the role played by nutrition, especially in the early stages of life, for the onset of later non-communicable disorders, such as diabetes, obesity or coeliac disease has also been increasingly highlighted. Members of Italian Society of Gastroenterology, Hepathology and Pediatric Nutrition (SIGENP) and the Italian Society of Allergology and Pediatric Immunology (SIAIP) Emilia Romagna here propose a practical approach for pediatricians to deal with daily practice. The four main areas for discussion were weaning in relation with the onset of allergic diseases, coeliac disease, diabetes and metabolic syndrome, the nutrition requirements to take into account for assessing the diet of infants under one year of age and about the practice of baby-led weaning focusing on limits and benefits, respectively.","author":[{"dropping-particle":"","family":"Alvisi","given":"Patrizia","non-dropping-particle":"","parse-names":false,"suffix":""},{"dropping-particle":"","family":"Brusa","given":"Sandra","non-dropping-particle":"","parse-names":false,"suffix":""},{"dropping-particle":"","family":"Alboresi","given":"Stefano","non-dropping-particle":"","parse-names":false,"suffix":""},{"dropping-particle":"","family":"Amarri","given":"Sergio","non-dropping-particle":"","parse-names":false,"suffix":""},{"dropping-particle":"","family":"Bottau","given":"Paolo","non-dropping-particle":"","parse-names":false,"suffix":""},{"dropping-particle":"","family":"Cavagni","given":"Giovanni","non-dropping-particle":"","parse-names":false,"suffix":""},{"dropping-particle":"","family":"Corradini","given":"Barbara","non-dropping-particle":"","parse-names":false,"suffix":""},{"dropping-particle":"","family":"Landi","given":"Linda","non-dropping-particle":"","parse-names":false,"suffix":""},{"dropping-particle":"","family":"Loroni","given":"Leonardo","non-dropping-particle":"","parse-names":false,"suffix":""},{"dropping-particle":"","family":"Marani","given":"Miris","non-dropping-particle":"","parse-names":false,"suffix":""},{"dropping-particle":"","family":"Osti","given":"Irene M","non-dropping-particle":"","parse-names":false,"suffix":""},{"dropping-particle":"","family":"Povesi-Dascola","given":"Carlotta","non-dropping-particle":"","parse-names":false,"suffix":""},{"dropping-particle":"","family":"Caffarelli","given":"Carlo","non-dropping-particle":"","parse-names":false,"suffix":""},{"dropping-particle":"","family":"Valeriani","given":"Luca","non-dropping-particle":"","parse-names":false,"suffix":""},{"dropping-particle":"","family":"Agostoni","given":"Carlo","non-dropping-particle":"","parse-names":false,"suffix":""}],"container-title":"Italian Journal of Pediatrics","id":"ITEM-1","issue":"1","issued":{"date-parts":[["2015","12","28"]]},"page":"36","publisher":"BioMed Central","title":"Recommendations on complementary feeding for healthy, full-term infants","type":"article-journal","volume":"41"},"uris":["http://www.mendeley.com/documents/?uuid=f49f21d2-2640-40d0-b370-c3253199b4ce","http://www.mendeley.com/documents/?uuid=c7d2a541-c54d-416a-bf3c-bf41245f7f39","http://www.mendeley.com/documents/?uuid=23539c6d-cc56-393c-98b3-29b467ed1a7c"]}],"mendeley":{"formattedCitation":"[19]","plainTextFormattedCitation":"[19]","previouslyFormattedCitation":"[19]"},"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[19]</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Berdasarkan Tabel 3 diketahui bahwa tidak ada hubungan antara asupan energi, protein, lemak dan karbohidrat pada MP-ASI dengan status gizi (PB/U). Selain dari MP-ASI, pemenuhan kebutuhan energi dan zat gizi pada anak juga berasal dari asupan ASI maupun susu formula. Berdasarkan Tabel 5 diketahui sebanyak 79% anak masih mengkonsumsi asi. Dari hasil kuisioner juga diketahui bahwa sebanyak 64% balita memiliki sumbangan energi terbesar dari ASI/susu formula. </w:t>
      </w:r>
    </w:p>
    <w:p w14:paraId="72D92F9E" w14:textId="77777777" w:rsidR="00767EDC" w:rsidRPr="0096335E" w:rsidRDefault="00767EDC" w:rsidP="00767EDC">
      <w:pPr>
        <w:spacing w:after="0" w:line="240" w:lineRule="auto"/>
        <w:jc w:val="both"/>
        <w:rPr>
          <w:rFonts w:ascii="Tw Cen MT" w:eastAsia="Twentieth Century" w:hAnsi="Tw Cen MT" w:cs="Twentieth Century"/>
          <w:sz w:val="24"/>
          <w:szCs w:val="24"/>
        </w:rPr>
      </w:pPr>
    </w:p>
    <w:p w14:paraId="1104B849" w14:textId="77777777" w:rsidR="00767EDC" w:rsidRPr="0096335E" w:rsidRDefault="00767EDC" w:rsidP="00767EDC">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78D011C2" w14:textId="7D1E93F8" w:rsidR="00766D25" w:rsidRDefault="00767EDC" w:rsidP="00767EDC">
      <w:pPr>
        <w:spacing w:after="0" w:line="240" w:lineRule="auto"/>
        <w:jc w:val="both"/>
        <w:rPr>
          <w:rFonts w:ascii="Tw Cen MT" w:eastAsia="Twentieth Century" w:hAnsi="Tw Cen MT" w:cs="Twentieth Century"/>
          <w:sz w:val="24"/>
          <w:szCs w:val="24"/>
          <w:lang w:val="en-ID"/>
        </w:rPr>
      </w:pPr>
      <w:r w:rsidRPr="00C81D96">
        <w:rPr>
          <w:rFonts w:ascii="Tw Cen MT" w:eastAsia="Twentieth Century" w:hAnsi="Tw Cen MT" w:cs="Twentieth Century"/>
          <w:sz w:val="24"/>
          <w:szCs w:val="24"/>
          <w:lang w:val="en-ID"/>
        </w:rPr>
        <w:t>Berdasarkan indeks PB/U terdapat 17% balita kategori stunting dan 83% balita kategori tidak stunting. Tidak terdapat hubungan signifikan antara usia awal pemberian, tekstur, variasi, frekuensi pemberian, porsi pemberian, hygiene sanitasi dan asupan gizi pada MP ASI dengan status gizi (PB/U), sedangkan responsive feeding memiliki hubungan signifikan dengan status gizi (PB/U).</w:t>
      </w:r>
    </w:p>
    <w:p w14:paraId="2331D719" w14:textId="77777777" w:rsidR="00767EDC" w:rsidRDefault="00767EDC" w:rsidP="00767EDC">
      <w:pPr>
        <w:spacing w:after="0" w:line="240" w:lineRule="auto"/>
        <w:jc w:val="both"/>
        <w:rPr>
          <w:rFonts w:ascii="Tw Cen MT" w:eastAsia="Twentieth Century" w:hAnsi="Tw Cen MT" w:cs="Twentieth Century"/>
          <w:sz w:val="24"/>
          <w:szCs w:val="24"/>
          <w:lang w:val="en-ID"/>
        </w:rPr>
      </w:pPr>
    </w:p>
    <w:p w14:paraId="5701F95A" w14:textId="5595EA17" w:rsidR="00767EDC" w:rsidRPr="00767EDC" w:rsidRDefault="00767EDC" w:rsidP="00767EDC">
      <w:pPr>
        <w:tabs>
          <w:tab w:val="left" w:pos="426"/>
        </w:tabs>
        <w:spacing w:after="0" w:line="240" w:lineRule="auto"/>
        <w:jc w:val="both"/>
        <w:rPr>
          <w:rFonts w:ascii="Tw Cen MT" w:eastAsia="Twentieth Century" w:hAnsi="Tw Cen MT" w:cs="Twentieth Century"/>
          <w:b/>
          <w:sz w:val="24"/>
          <w:szCs w:val="24"/>
          <w:lang w:val="pt-BR"/>
        </w:rPr>
      </w:pPr>
      <w:r w:rsidRPr="003D5A1C">
        <w:rPr>
          <w:rFonts w:ascii="Tw Cen MT" w:eastAsia="Twentieth Century" w:hAnsi="Tw Cen MT" w:cs="Twentieth Century"/>
          <w:b/>
          <w:sz w:val="24"/>
          <w:szCs w:val="24"/>
          <w:lang w:val="pt-BR"/>
        </w:rPr>
        <w:t>DAFTAR PUSTAKA</w:t>
      </w:r>
    </w:p>
    <w:p w14:paraId="01C7E850"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Pr="006D647E">
        <w:rPr>
          <w:rFonts w:ascii="Tw Cen MT" w:hAnsi="Tw Cen MT" w:cs="Times New Roman"/>
          <w:noProof/>
          <w:sz w:val="24"/>
        </w:rPr>
        <w:t>[1]</w:t>
      </w:r>
      <w:r w:rsidRPr="006D647E">
        <w:rPr>
          <w:rFonts w:ascii="Tw Cen MT" w:hAnsi="Tw Cen MT" w:cs="Times New Roman"/>
          <w:noProof/>
          <w:sz w:val="24"/>
        </w:rPr>
        <w:tab/>
        <w:t xml:space="preserve">A. Wulandari Leksono </w:t>
      </w:r>
      <w:r w:rsidRPr="006D647E">
        <w:rPr>
          <w:rFonts w:ascii="Tw Cen MT" w:hAnsi="Tw Cen MT" w:cs="Times New Roman"/>
          <w:i/>
          <w:iCs/>
          <w:noProof/>
          <w:sz w:val="24"/>
        </w:rPr>
        <w:t>et al.</w:t>
      </w:r>
      <w:r w:rsidRPr="006D647E">
        <w:rPr>
          <w:rFonts w:ascii="Tw Cen MT" w:hAnsi="Tw Cen MT" w:cs="Times New Roman"/>
          <w:noProof/>
          <w:sz w:val="24"/>
        </w:rPr>
        <w:t xml:space="preserve">, “Risiko Penyebab Kejadian Stunting pada Anak,” </w:t>
      </w:r>
      <w:r w:rsidRPr="006D647E">
        <w:rPr>
          <w:rFonts w:ascii="Tw Cen MT" w:hAnsi="Tw Cen MT" w:cs="Times New Roman"/>
          <w:i/>
          <w:iCs/>
          <w:noProof/>
          <w:sz w:val="24"/>
        </w:rPr>
        <w:t>J. Pengabdi. Kesehat. Masy. Pengmaskesmas</w:t>
      </w:r>
      <w:r w:rsidRPr="006D647E">
        <w:rPr>
          <w:rFonts w:ascii="Tw Cen MT" w:hAnsi="Tw Cen MT" w:cs="Times New Roman"/>
          <w:noProof/>
          <w:sz w:val="24"/>
        </w:rPr>
        <w:t>, vol. 1, no. 2, pp. 34–38, 2021.</w:t>
      </w:r>
    </w:p>
    <w:p w14:paraId="6D27E6C7"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w:t>
      </w:r>
      <w:r w:rsidRPr="006D647E">
        <w:rPr>
          <w:rFonts w:ascii="Tw Cen MT" w:hAnsi="Tw Cen MT" w:cs="Times New Roman"/>
          <w:noProof/>
          <w:sz w:val="24"/>
        </w:rPr>
        <w:tab/>
        <w:t xml:space="preserve">Kementerian Kesehatan Republik Indonesia, “Buku Saku Hasil Survei Status Gizi Indonesia (SSGI) Tahun 2022 - Badan Kebijakan Pembangunan Kesehatan | </w:t>
      </w:r>
      <w:r w:rsidRPr="006D647E">
        <w:rPr>
          <w:rFonts w:ascii="Tw Cen MT" w:hAnsi="Tw Cen MT" w:cs="Times New Roman"/>
          <w:noProof/>
          <w:sz w:val="24"/>
        </w:rPr>
        <w:t>BKPK Kemenkes,” 2022.</w:t>
      </w:r>
    </w:p>
    <w:p w14:paraId="2ECD5675"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[3]</w:t>
      </w:r>
      <w:r w:rsidRPr="006D647E">
        <w:rPr>
          <w:rFonts w:ascii="Tw Cen MT" w:hAnsi="Tw Cen MT" w:cs="Times New Roman"/>
          <w:noProof/>
          <w:sz w:val="24"/>
        </w:rPr>
        <w:tab/>
        <w:t>BKPK, “Survei Kesehatan Indonesia (SKI),” Jakarta, 2023.</w:t>
      </w:r>
    </w:p>
    <w:p w14:paraId="167AA225"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[4]</w:t>
      </w:r>
      <w:r w:rsidRPr="006D647E">
        <w:rPr>
          <w:rFonts w:ascii="Tw Cen MT" w:hAnsi="Tw Cen MT" w:cs="Times New Roman"/>
          <w:noProof/>
          <w:sz w:val="24"/>
        </w:rPr>
        <w:tab/>
        <w:t xml:space="preserve">N. K. Aryastami, “Kajian Kebijakan dan Penanggulangan Masalah Gizi Stunting di Indonesia,” </w:t>
      </w:r>
      <w:r w:rsidRPr="006D647E">
        <w:rPr>
          <w:rFonts w:ascii="Tw Cen MT" w:hAnsi="Tw Cen MT" w:cs="Times New Roman"/>
          <w:i/>
          <w:iCs/>
          <w:noProof/>
          <w:sz w:val="24"/>
        </w:rPr>
        <w:t>Bul. Penelit. Kesehat.</w:t>
      </w:r>
      <w:r w:rsidRPr="006D647E">
        <w:rPr>
          <w:rFonts w:ascii="Tw Cen MT" w:hAnsi="Tw Cen MT" w:cs="Times New Roman"/>
          <w:noProof/>
          <w:sz w:val="24"/>
        </w:rPr>
        <w:t>, vol. 45, no. 4, pp. 233–240, 2017, doi: 10.22435/bpk.v45i4.7465.233-240.</w:t>
      </w:r>
    </w:p>
    <w:p w14:paraId="79AB1E89"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[5]</w:t>
      </w:r>
      <w:r w:rsidRPr="006D647E">
        <w:rPr>
          <w:rFonts w:ascii="Tw Cen MT" w:hAnsi="Tw Cen MT" w:cs="Times New Roman"/>
          <w:noProof/>
          <w:sz w:val="24"/>
        </w:rPr>
        <w:tab/>
        <w:t>Kementerian Kesehatan RI, “Kerangka Kebijakan Gerakan Nasional Sadar Gizi dalam Rangka Seribu Hari Pertama Kehidupan (Gerakan 1000 HPK),” 2012.</w:t>
      </w:r>
    </w:p>
    <w:p w14:paraId="34BF5758"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[6]</w:t>
      </w:r>
      <w:r w:rsidRPr="006D647E">
        <w:rPr>
          <w:rFonts w:ascii="Tw Cen MT" w:hAnsi="Tw Cen MT" w:cs="Times New Roman"/>
          <w:noProof/>
          <w:sz w:val="24"/>
        </w:rPr>
        <w:tab/>
        <w:t xml:space="preserve">WHO, </w:t>
      </w:r>
      <w:r w:rsidRPr="006D647E">
        <w:rPr>
          <w:rFonts w:ascii="Tw Cen MT" w:hAnsi="Tw Cen MT" w:cs="Times New Roman"/>
          <w:i/>
          <w:iCs/>
          <w:noProof/>
          <w:sz w:val="24"/>
        </w:rPr>
        <w:t>Guiding Principles for Complementary Feeding of the Breastfed Child</w:t>
      </w:r>
      <w:r w:rsidRPr="006D647E">
        <w:rPr>
          <w:rFonts w:ascii="Tw Cen MT" w:hAnsi="Tw Cen MT" w:cs="Times New Roman"/>
          <w:noProof/>
          <w:sz w:val="24"/>
        </w:rPr>
        <w:t>. 2003.</w:t>
      </w:r>
    </w:p>
    <w:p w14:paraId="2B86A243"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[7]</w:t>
      </w:r>
      <w:r w:rsidRPr="006D647E">
        <w:rPr>
          <w:rFonts w:ascii="Tw Cen MT" w:hAnsi="Tw Cen MT" w:cs="Times New Roman"/>
          <w:noProof/>
          <w:sz w:val="24"/>
        </w:rPr>
        <w:tab/>
        <w:t>TNP2K, “Strategi Nasional Percepatan Pencegahan Anak Kerdil (STUNTING) Periode 2018-2024,” 2018.</w:t>
      </w:r>
    </w:p>
    <w:p w14:paraId="670BAF44"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[8]</w:t>
      </w:r>
      <w:r w:rsidRPr="006D647E">
        <w:rPr>
          <w:rFonts w:ascii="Tw Cen MT" w:hAnsi="Tw Cen MT" w:cs="Times New Roman"/>
          <w:noProof/>
          <w:sz w:val="24"/>
        </w:rPr>
        <w:tab/>
        <w:t xml:space="preserve">A. Ahmad, S. Madanijah, C. M. Dwiriani, and R. Kolopaking, “Pengetahuan, sikap, motivasi ibu, dan praktik pemberian MP-ASI pada anak usia 6-23 bulan: studi formatif di Aceh,” </w:t>
      </w:r>
      <w:r w:rsidRPr="006D647E">
        <w:rPr>
          <w:rFonts w:ascii="Tw Cen MT" w:hAnsi="Tw Cen MT" w:cs="Times New Roman"/>
          <w:i/>
          <w:iCs/>
          <w:noProof/>
          <w:sz w:val="24"/>
        </w:rPr>
        <w:t>J. Gizi Klin. Indones.</w:t>
      </w:r>
      <w:r w:rsidRPr="006D647E">
        <w:rPr>
          <w:rFonts w:ascii="Tw Cen MT" w:hAnsi="Tw Cen MT" w:cs="Times New Roman"/>
          <w:noProof/>
          <w:sz w:val="24"/>
        </w:rPr>
        <w:t>, vol. 16, no. 1, p. 1, 2019, doi: 10.22146/ijcn.34560.</w:t>
      </w:r>
    </w:p>
    <w:p w14:paraId="464FB61E"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[9]</w:t>
      </w:r>
      <w:r w:rsidRPr="006D647E">
        <w:rPr>
          <w:rFonts w:ascii="Tw Cen MT" w:hAnsi="Tw Cen MT" w:cs="Times New Roman"/>
          <w:noProof/>
          <w:sz w:val="24"/>
        </w:rPr>
        <w:tab/>
        <w:t xml:space="preserve">D. P. Khasanah, H. Hadi, and B. A. Paramashanti, “Waktu pemberian makanan pendamping ASI (MP-ASI) berhubungan dengan kejadian stunting anak usia 6-23 bulan di Kecamatan Sedayu,” </w:t>
      </w:r>
      <w:r w:rsidRPr="006D647E">
        <w:rPr>
          <w:rFonts w:ascii="Tw Cen MT" w:hAnsi="Tw Cen MT" w:cs="Times New Roman"/>
          <w:i/>
          <w:iCs/>
          <w:noProof/>
          <w:sz w:val="24"/>
        </w:rPr>
        <w:t>J. Gizi dan Diet. Indones. (Indonesian J. Nutr. Diet.</w:t>
      </w:r>
      <w:r w:rsidRPr="006D647E">
        <w:rPr>
          <w:rFonts w:ascii="Tw Cen MT" w:hAnsi="Tw Cen MT" w:cs="Times New Roman"/>
          <w:noProof/>
          <w:sz w:val="24"/>
        </w:rPr>
        <w:t>, vol. 4, no. 2, p. 105, 2016, doi: 10.21927/ijnd.2016.4(2).105-111.</w:t>
      </w:r>
    </w:p>
    <w:p w14:paraId="7B0A84BF"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[10]</w:t>
      </w:r>
      <w:r w:rsidRPr="006D647E">
        <w:rPr>
          <w:rFonts w:ascii="Tw Cen MT" w:hAnsi="Tw Cen MT" w:cs="Times New Roman"/>
          <w:noProof/>
          <w:sz w:val="24"/>
        </w:rPr>
        <w:tab/>
        <w:t xml:space="preserve">N. Y. Prihutama, F. A. Rahmadi, and G. Hardaningsih, “Pemberian Makanan Pendamping Asi Dini Sebagai Faktor Risiko Kejadian Stunting Pada Anak Usia 2-3 Tahun,” </w:t>
      </w:r>
      <w:r w:rsidRPr="006D647E">
        <w:rPr>
          <w:rFonts w:ascii="Tw Cen MT" w:hAnsi="Tw Cen MT" w:cs="Times New Roman"/>
          <w:i/>
          <w:iCs/>
          <w:noProof/>
          <w:sz w:val="24"/>
        </w:rPr>
        <w:t>J. Kedokt. Diponegoro</w:t>
      </w:r>
      <w:r w:rsidRPr="006D647E">
        <w:rPr>
          <w:rFonts w:ascii="Tw Cen MT" w:hAnsi="Tw Cen MT" w:cs="Times New Roman"/>
          <w:noProof/>
          <w:sz w:val="24"/>
        </w:rPr>
        <w:t>, vol. 7, no. 2, pp. 1419–1430, 2018.</w:t>
      </w:r>
    </w:p>
    <w:p w14:paraId="5D938A26"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[11]</w:t>
      </w:r>
      <w:r w:rsidRPr="006D647E">
        <w:rPr>
          <w:rFonts w:ascii="Tw Cen MT" w:hAnsi="Tw Cen MT" w:cs="Times New Roman"/>
          <w:noProof/>
          <w:sz w:val="24"/>
        </w:rPr>
        <w:tab/>
        <w:t xml:space="preserve">D. G. M. Direktorat Jendral Kesehatan Masyarakat, </w:t>
      </w:r>
      <w:r w:rsidRPr="006D647E">
        <w:rPr>
          <w:rFonts w:ascii="Tw Cen MT" w:hAnsi="Tw Cen MT" w:cs="Times New Roman"/>
          <w:i/>
          <w:iCs/>
          <w:noProof/>
          <w:sz w:val="24"/>
        </w:rPr>
        <w:t>Tabel Komposisi Pangan Indoensia 2017</w:t>
      </w:r>
      <w:r w:rsidRPr="006D647E">
        <w:rPr>
          <w:rFonts w:ascii="Tw Cen MT" w:hAnsi="Tw Cen MT" w:cs="Times New Roman"/>
          <w:noProof/>
          <w:sz w:val="24"/>
        </w:rPr>
        <w:t>. 2017.</w:t>
      </w:r>
    </w:p>
    <w:p w14:paraId="0027A9E7"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[12]</w:t>
      </w:r>
      <w:r w:rsidRPr="006D647E">
        <w:rPr>
          <w:rFonts w:ascii="Tw Cen MT" w:hAnsi="Tw Cen MT" w:cs="Times New Roman"/>
          <w:noProof/>
          <w:sz w:val="24"/>
        </w:rPr>
        <w:tab/>
        <w:t>Kementerian Kesehatan, “Hasil Studi Status Gizi Indonesia (SSGI) Kabupaten/Kota tahun 2021,” 2021.</w:t>
      </w:r>
    </w:p>
    <w:p w14:paraId="0CADAB15"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[13]</w:t>
      </w:r>
      <w:r w:rsidRPr="006D647E">
        <w:rPr>
          <w:rFonts w:ascii="Tw Cen MT" w:hAnsi="Tw Cen MT" w:cs="Times New Roman"/>
          <w:noProof/>
          <w:sz w:val="24"/>
        </w:rPr>
        <w:tab/>
        <w:t>F. A. Wijaya, “ASI Eksklusif</w:t>
      </w:r>
      <w:r w:rsidRPr="006D647E">
        <w:rPr>
          <w:rFonts w:ascii="Arial" w:hAnsi="Arial" w:cs="Arial"/>
          <w:noProof/>
          <w:sz w:val="24"/>
        </w:rPr>
        <w:t> </w:t>
      </w:r>
      <w:r w:rsidRPr="006D647E">
        <w:rPr>
          <w:rFonts w:ascii="Tw Cen MT" w:hAnsi="Tw Cen MT" w:cs="Times New Roman"/>
          <w:noProof/>
          <w:sz w:val="24"/>
        </w:rPr>
        <w:t xml:space="preserve">: Nutrisi Ideal untuk Bayi 0-6 Bulan,” </w:t>
      </w:r>
      <w:r w:rsidRPr="006D647E">
        <w:rPr>
          <w:rFonts w:ascii="Tw Cen MT" w:hAnsi="Tw Cen MT" w:cs="Times New Roman"/>
          <w:i/>
          <w:iCs/>
          <w:noProof/>
          <w:sz w:val="24"/>
        </w:rPr>
        <w:t>Contin. Med. Educ.</w:t>
      </w:r>
      <w:r w:rsidRPr="006D647E">
        <w:rPr>
          <w:rFonts w:ascii="Tw Cen MT" w:hAnsi="Tw Cen MT" w:cs="Times New Roman"/>
          <w:noProof/>
          <w:sz w:val="24"/>
        </w:rPr>
        <w:t xml:space="preserve">, </w:t>
      </w:r>
      <w:r w:rsidRPr="006D647E">
        <w:rPr>
          <w:rFonts w:ascii="Tw Cen MT" w:hAnsi="Tw Cen MT" w:cs="Times New Roman"/>
          <w:noProof/>
          <w:sz w:val="24"/>
        </w:rPr>
        <w:lastRenderedPageBreak/>
        <w:t>vol. 46, no. 4, pp. 296–300, 2019.</w:t>
      </w:r>
    </w:p>
    <w:p w14:paraId="7D8905E4"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[14]</w:t>
      </w:r>
      <w:r w:rsidRPr="006D647E">
        <w:rPr>
          <w:rFonts w:ascii="Tw Cen MT" w:hAnsi="Tw Cen MT" w:cs="Times New Roman"/>
          <w:noProof/>
          <w:sz w:val="24"/>
        </w:rPr>
        <w:tab/>
        <w:t xml:space="preserve">IDAI, </w:t>
      </w:r>
      <w:r w:rsidRPr="006D647E">
        <w:rPr>
          <w:rFonts w:ascii="Tw Cen MT" w:hAnsi="Tw Cen MT" w:cs="Times New Roman"/>
          <w:i/>
          <w:iCs/>
          <w:noProof/>
          <w:sz w:val="24"/>
        </w:rPr>
        <w:t>Pemberian Makanan Pendamping Air Susu Ibu (MPASI)</w:t>
      </w:r>
      <w:r w:rsidRPr="006D647E">
        <w:rPr>
          <w:rFonts w:ascii="Tw Cen MT" w:hAnsi="Tw Cen MT" w:cs="Times New Roman"/>
          <w:noProof/>
          <w:sz w:val="24"/>
        </w:rPr>
        <w:t>. 2018.</w:t>
      </w:r>
    </w:p>
    <w:p w14:paraId="0CB3EC11"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[15]</w:t>
      </w:r>
      <w:r w:rsidRPr="006D647E">
        <w:rPr>
          <w:rFonts w:ascii="Tw Cen MT" w:hAnsi="Tw Cen MT" w:cs="Times New Roman"/>
          <w:noProof/>
          <w:sz w:val="24"/>
        </w:rPr>
        <w:tab/>
        <w:t xml:space="preserve">H. Waqiyah, A. Maineny, and N. Nurfatimah, “The Relationship between the Timing of Complementary Feeding and Maternal Knowledge of Responsive Feeding and the Incidence of Stunting in Children Aged 6-24 Months,” </w:t>
      </w:r>
      <w:r w:rsidRPr="006D647E">
        <w:rPr>
          <w:rFonts w:ascii="Tw Cen MT" w:hAnsi="Tw Cen MT" w:cs="Times New Roman"/>
          <w:i/>
          <w:iCs/>
          <w:noProof/>
          <w:sz w:val="24"/>
        </w:rPr>
        <w:t>Poltekita  J. Ilmu Kesehat.</w:t>
      </w:r>
      <w:r w:rsidRPr="006D647E">
        <w:rPr>
          <w:rFonts w:ascii="Tw Cen MT" w:hAnsi="Tw Cen MT" w:cs="Times New Roman"/>
          <w:noProof/>
          <w:sz w:val="24"/>
        </w:rPr>
        <w:t>, vol. 17, no. 1, pp. 147–154, 2023, doi: 10.33860/jik.v17i1.1889.</w:t>
      </w:r>
    </w:p>
    <w:p w14:paraId="6D73F043"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[16]</w:t>
      </w:r>
      <w:r w:rsidRPr="006D647E">
        <w:rPr>
          <w:rFonts w:ascii="Tw Cen MT" w:hAnsi="Tw Cen MT" w:cs="Times New Roman"/>
          <w:noProof/>
          <w:sz w:val="24"/>
        </w:rPr>
        <w:tab/>
        <w:t xml:space="preserve">H. Nai, I. M. A. Gunawan, and E. Nurwanti, “Praktik pemberian makanan pendamping asi (mp-asi) sebagai faktor risiko kejadian stunting pada anak usia 6-23 bulan,” </w:t>
      </w:r>
      <w:r w:rsidRPr="006D647E">
        <w:rPr>
          <w:rFonts w:ascii="Tw Cen MT" w:hAnsi="Tw Cen MT" w:cs="Times New Roman"/>
          <w:i/>
          <w:iCs/>
          <w:noProof/>
          <w:sz w:val="24"/>
        </w:rPr>
        <w:t>J. Gizi dan Diet. Indones.</w:t>
      </w:r>
      <w:r w:rsidRPr="006D647E">
        <w:rPr>
          <w:rFonts w:ascii="Tw Cen MT" w:hAnsi="Tw Cen MT" w:cs="Times New Roman"/>
          <w:noProof/>
          <w:sz w:val="24"/>
        </w:rPr>
        <w:t>, vol. 2, no. 3, pp. 126–139, 2014, doi: 10.1039/c0an00880j.</w:t>
      </w:r>
    </w:p>
    <w:p w14:paraId="13D51B00"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[17]</w:t>
      </w:r>
      <w:r w:rsidRPr="006D647E">
        <w:rPr>
          <w:rFonts w:ascii="Tw Cen MT" w:hAnsi="Tw Cen MT" w:cs="Times New Roman"/>
          <w:noProof/>
          <w:sz w:val="24"/>
        </w:rPr>
        <w:tab/>
        <w:t xml:space="preserve">B. A. Paramashanti and S. Benita, “Early introduction of complementary food and childhood stunting were linked among children aged 6-23 months,” </w:t>
      </w:r>
      <w:r w:rsidRPr="006D647E">
        <w:rPr>
          <w:rFonts w:ascii="Tw Cen MT" w:hAnsi="Tw Cen MT" w:cs="Times New Roman"/>
          <w:i/>
          <w:iCs/>
          <w:noProof/>
          <w:sz w:val="24"/>
        </w:rPr>
        <w:t>J. Gizi Klin. Indones.</w:t>
      </w:r>
      <w:r w:rsidRPr="006D647E">
        <w:rPr>
          <w:rFonts w:ascii="Tw Cen MT" w:hAnsi="Tw Cen MT" w:cs="Times New Roman"/>
          <w:noProof/>
          <w:sz w:val="24"/>
        </w:rPr>
        <w:t>, vol. 17, no. 1, p. 1, 2020, doi: 10.22146/ijcn.53788.</w:t>
      </w:r>
    </w:p>
    <w:p w14:paraId="71798EC3"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[18]</w:t>
      </w:r>
      <w:r w:rsidRPr="006D647E">
        <w:rPr>
          <w:rFonts w:ascii="Tw Cen MT" w:hAnsi="Tw Cen MT" w:cs="Times New Roman"/>
          <w:noProof/>
          <w:sz w:val="24"/>
        </w:rPr>
        <w:tab/>
        <w:t xml:space="preserve">M. A. Abeshu, A. Lelisa, and B. Geleta, “Complementary Feeding: Review of Recommendations, Feeding Practices, and Adequacy of Homemade Complementary Food Preparations in Developing Countries – Lessons from Ethiopia,” </w:t>
      </w:r>
      <w:r w:rsidRPr="006D647E">
        <w:rPr>
          <w:rFonts w:ascii="Tw Cen MT" w:hAnsi="Tw Cen MT" w:cs="Times New Roman"/>
          <w:i/>
          <w:iCs/>
          <w:noProof/>
          <w:sz w:val="24"/>
        </w:rPr>
        <w:t>Front. Nutr.</w:t>
      </w:r>
      <w:r w:rsidRPr="006D647E">
        <w:rPr>
          <w:rFonts w:ascii="Tw Cen MT" w:hAnsi="Tw Cen MT" w:cs="Times New Roman"/>
          <w:noProof/>
          <w:sz w:val="24"/>
        </w:rPr>
        <w:t>, vol. 3, p. 41, 2016, doi: 10.3389/fnut.2016.00041.</w:t>
      </w:r>
    </w:p>
    <w:p w14:paraId="5F66BEC8"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[19]</w:t>
      </w:r>
      <w:r w:rsidRPr="006D647E">
        <w:rPr>
          <w:rFonts w:ascii="Tw Cen MT" w:hAnsi="Tw Cen MT" w:cs="Times New Roman"/>
          <w:noProof/>
          <w:sz w:val="24"/>
        </w:rPr>
        <w:tab/>
        <w:t xml:space="preserve">P. Alvisi </w:t>
      </w:r>
      <w:r w:rsidRPr="006D647E">
        <w:rPr>
          <w:rFonts w:ascii="Tw Cen MT" w:hAnsi="Tw Cen MT" w:cs="Times New Roman"/>
          <w:i/>
          <w:iCs/>
          <w:noProof/>
          <w:sz w:val="24"/>
        </w:rPr>
        <w:t>et al.</w:t>
      </w:r>
      <w:r w:rsidRPr="006D647E">
        <w:rPr>
          <w:rFonts w:ascii="Tw Cen MT" w:hAnsi="Tw Cen MT" w:cs="Times New Roman"/>
          <w:noProof/>
          <w:sz w:val="24"/>
        </w:rPr>
        <w:t xml:space="preserve">, “Recommendations on complementary feeding for healthy, full-term infants,” </w:t>
      </w:r>
      <w:r w:rsidRPr="006D647E">
        <w:rPr>
          <w:rFonts w:ascii="Tw Cen MT" w:hAnsi="Tw Cen MT" w:cs="Times New Roman"/>
          <w:i/>
          <w:iCs/>
          <w:noProof/>
          <w:sz w:val="24"/>
        </w:rPr>
        <w:t>Ital. J. Pediatr.</w:t>
      </w:r>
      <w:r w:rsidRPr="006D647E">
        <w:rPr>
          <w:rFonts w:ascii="Tw Cen MT" w:hAnsi="Tw Cen MT" w:cs="Times New Roman"/>
          <w:noProof/>
          <w:sz w:val="24"/>
        </w:rPr>
        <w:t>, vol. 41, no. 1, p. 36, Dec. 2015, doi: 10.1186/s13052-015-0143-5.</w:t>
      </w:r>
    </w:p>
    <w:p w14:paraId="03B1E6E3" w14:textId="386634DD"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[20]</w:t>
      </w:r>
      <w:r w:rsidRPr="006D647E">
        <w:rPr>
          <w:rFonts w:ascii="Tw Cen MT" w:hAnsi="Tw Cen MT" w:cs="Times New Roman"/>
          <w:noProof/>
          <w:sz w:val="24"/>
        </w:rPr>
        <w:tab/>
        <w:t xml:space="preserve">N. K. A. S. Wangiyana </w:t>
      </w:r>
      <w:r w:rsidRPr="006D647E">
        <w:rPr>
          <w:rFonts w:ascii="Tw Cen MT" w:hAnsi="Tw Cen MT" w:cs="Times New Roman"/>
          <w:i/>
          <w:iCs/>
          <w:noProof/>
          <w:sz w:val="24"/>
        </w:rPr>
        <w:t>et al.</w:t>
      </w:r>
      <w:r w:rsidRPr="006D647E">
        <w:rPr>
          <w:rFonts w:ascii="Tw Cen MT" w:hAnsi="Tw Cen MT" w:cs="Times New Roman"/>
          <w:noProof/>
          <w:sz w:val="24"/>
        </w:rPr>
        <w:t xml:space="preserve">, “Praktik Pemberian Mp-Asi Terhadap Risiko Stunting Pada Anak Usia 6-12 Bulan Di Lombok Tengah,” </w:t>
      </w:r>
      <w:r w:rsidRPr="006D647E">
        <w:rPr>
          <w:rFonts w:ascii="Tw Cen MT" w:hAnsi="Tw Cen MT" w:cs="Times New Roman"/>
          <w:i/>
          <w:iCs/>
          <w:noProof/>
          <w:sz w:val="24"/>
        </w:rPr>
        <w:t>J. Nutr. Food Res.</w:t>
      </w:r>
      <w:r w:rsidRPr="006D647E">
        <w:rPr>
          <w:rFonts w:ascii="Tw Cen MT" w:hAnsi="Tw Cen MT" w:cs="Times New Roman"/>
          <w:noProof/>
          <w:sz w:val="24"/>
        </w:rPr>
        <w:t>, vol. 43, no. 2, pp. 81–88, 2020.</w:t>
      </w:r>
    </w:p>
    <w:p w14:paraId="5AF338FA"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[21]</w:t>
      </w:r>
      <w:r w:rsidRPr="006D647E">
        <w:rPr>
          <w:rFonts w:ascii="Tw Cen MT" w:hAnsi="Tw Cen MT" w:cs="Times New Roman"/>
          <w:noProof/>
          <w:sz w:val="24"/>
        </w:rPr>
        <w:tab/>
        <w:t xml:space="preserve">A. Marduel Boulanger and M. Vernet, “Introduction of new food textures during complementary feeding: Observations in France,” </w:t>
      </w:r>
      <w:r w:rsidRPr="006D647E">
        <w:rPr>
          <w:rFonts w:ascii="Tw Cen MT" w:hAnsi="Tw Cen MT" w:cs="Times New Roman"/>
          <w:i/>
          <w:iCs/>
          <w:noProof/>
          <w:sz w:val="24"/>
        </w:rPr>
        <w:t>Arch. Pediatr.</w:t>
      </w:r>
      <w:r w:rsidRPr="006D647E">
        <w:rPr>
          <w:rFonts w:ascii="Tw Cen MT" w:hAnsi="Tw Cen MT" w:cs="Times New Roman"/>
          <w:noProof/>
          <w:sz w:val="24"/>
        </w:rPr>
        <w:t>, vol. 25, no. 1, pp. 6–12, 2018, doi: 10.1016/j.arcped.2017.10.025.</w:t>
      </w:r>
    </w:p>
    <w:p w14:paraId="3FDDB699"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[22]</w:t>
      </w:r>
      <w:r w:rsidRPr="006D647E">
        <w:rPr>
          <w:rFonts w:ascii="Tw Cen MT" w:hAnsi="Tw Cen MT" w:cs="Times New Roman"/>
          <w:noProof/>
          <w:sz w:val="24"/>
        </w:rPr>
        <w:tab/>
        <w:t xml:space="preserve">Nur Hadibah Hanum, “Hubungan Tinggi </w:t>
      </w:r>
      <w:r w:rsidRPr="006D647E">
        <w:rPr>
          <w:rFonts w:ascii="Tw Cen MT" w:hAnsi="Tw Cen MT" w:cs="Times New Roman"/>
          <w:noProof/>
          <w:sz w:val="24"/>
        </w:rPr>
        <w:t xml:space="preserve">Badan Ibu dan Riwayat Pemberian MP-ASI dengan Kejadian Stunting pada Balita Usia 24-59 Bulan,” </w:t>
      </w:r>
      <w:r w:rsidRPr="006D647E">
        <w:rPr>
          <w:rFonts w:ascii="Tw Cen MT" w:hAnsi="Tw Cen MT" w:cs="Times New Roman"/>
          <w:i/>
          <w:iCs/>
          <w:noProof/>
          <w:sz w:val="24"/>
        </w:rPr>
        <w:t>Amerta Nutr.</w:t>
      </w:r>
      <w:r w:rsidRPr="006D647E">
        <w:rPr>
          <w:rFonts w:ascii="Tw Cen MT" w:hAnsi="Tw Cen MT" w:cs="Times New Roman"/>
          <w:noProof/>
          <w:sz w:val="24"/>
        </w:rPr>
        <w:t>, vol. 3, no. 2, pp. 78–84, 2019, doi: 10.2473/amnt.v3i2.2019.78-84.</w:t>
      </w:r>
    </w:p>
    <w:p w14:paraId="37B2D503"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[23]</w:t>
      </w:r>
      <w:r w:rsidRPr="006D647E">
        <w:rPr>
          <w:rFonts w:ascii="Tw Cen MT" w:hAnsi="Tw Cen MT" w:cs="Times New Roman"/>
          <w:noProof/>
          <w:sz w:val="24"/>
        </w:rPr>
        <w:tab/>
        <w:t xml:space="preserve">E. Romero-Velarde </w:t>
      </w:r>
      <w:r w:rsidRPr="006D647E">
        <w:rPr>
          <w:rFonts w:ascii="Tw Cen MT" w:hAnsi="Tw Cen MT" w:cs="Times New Roman"/>
          <w:i/>
          <w:iCs/>
          <w:noProof/>
          <w:sz w:val="24"/>
        </w:rPr>
        <w:t>et al.</w:t>
      </w:r>
      <w:r w:rsidRPr="006D647E">
        <w:rPr>
          <w:rFonts w:ascii="Tw Cen MT" w:hAnsi="Tw Cen MT" w:cs="Times New Roman"/>
          <w:noProof/>
          <w:sz w:val="24"/>
        </w:rPr>
        <w:t xml:space="preserve">, “Guidelines for complementary feeding in healthy infants,” </w:t>
      </w:r>
      <w:r w:rsidRPr="006D647E">
        <w:rPr>
          <w:rFonts w:ascii="Tw Cen MT" w:hAnsi="Tw Cen MT" w:cs="Times New Roman"/>
          <w:i/>
          <w:iCs/>
          <w:noProof/>
          <w:sz w:val="24"/>
        </w:rPr>
        <w:t>Boletín Médico Del Hosp. Infant. México (English Ed.</w:t>
      </w:r>
      <w:r w:rsidRPr="006D647E">
        <w:rPr>
          <w:rFonts w:ascii="Tw Cen MT" w:hAnsi="Tw Cen MT" w:cs="Times New Roman"/>
          <w:noProof/>
          <w:sz w:val="24"/>
        </w:rPr>
        <w:t>, vol. 73, no. 5, pp. 338–356, 2016, doi: 10.1016/j.bmhime.2017.11.007.</w:t>
      </w:r>
    </w:p>
    <w:p w14:paraId="62A2AE3A"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[24]</w:t>
      </w:r>
      <w:r w:rsidRPr="006D647E">
        <w:rPr>
          <w:rFonts w:ascii="Tw Cen MT" w:hAnsi="Tw Cen MT" w:cs="Times New Roman"/>
          <w:noProof/>
          <w:sz w:val="24"/>
        </w:rPr>
        <w:tab/>
        <w:t xml:space="preserve">Y. Amperaningsih, S. A. Sari, and A. A. Perdana, “Pola Pemberian MP-ASI pada Balita Usia 6-24 Bulan,” </w:t>
      </w:r>
      <w:r w:rsidRPr="006D647E">
        <w:rPr>
          <w:rFonts w:ascii="Tw Cen MT" w:hAnsi="Tw Cen MT" w:cs="Times New Roman"/>
          <w:i/>
          <w:iCs/>
          <w:noProof/>
          <w:sz w:val="24"/>
        </w:rPr>
        <w:t>J. Kesehat.</w:t>
      </w:r>
      <w:r w:rsidRPr="006D647E">
        <w:rPr>
          <w:rFonts w:ascii="Tw Cen MT" w:hAnsi="Tw Cen MT" w:cs="Times New Roman"/>
          <w:noProof/>
          <w:sz w:val="24"/>
        </w:rPr>
        <w:t>, vol. 9, no. 2, p. 310, 2018, doi: 10.26630/jk.v9i2.757.</w:t>
      </w:r>
    </w:p>
    <w:p w14:paraId="1602D49E"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[25]</w:t>
      </w:r>
      <w:r w:rsidRPr="006D647E">
        <w:rPr>
          <w:rFonts w:ascii="Tw Cen MT" w:hAnsi="Tw Cen MT" w:cs="Times New Roman"/>
          <w:noProof/>
          <w:sz w:val="24"/>
        </w:rPr>
        <w:tab/>
        <w:t xml:space="preserve">S. F. Forsido, N. Kiyak, T. Belachew, and O. Hensel, “Complementary feeding practices, dietary diversity, and nutrient composition of complementary foods of children 6-24 months old in Jimma Zone, Southwest Ethiopia,” </w:t>
      </w:r>
      <w:r w:rsidRPr="006D647E">
        <w:rPr>
          <w:rFonts w:ascii="Tw Cen MT" w:hAnsi="Tw Cen MT" w:cs="Times New Roman"/>
          <w:i/>
          <w:iCs/>
          <w:noProof/>
          <w:sz w:val="24"/>
        </w:rPr>
        <w:t>J. Health. Popul. Nutr.</w:t>
      </w:r>
      <w:r w:rsidRPr="006D647E">
        <w:rPr>
          <w:rFonts w:ascii="Tw Cen MT" w:hAnsi="Tw Cen MT" w:cs="Times New Roman"/>
          <w:noProof/>
          <w:sz w:val="24"/>
        </w:rPr>
        <w:t>, vol. 38, no. 14, pp. 1–7, 2019, doi: 10.1186/s41043-019-0172-6.</w:t>
      </w:r>
    </w:p>
    <w:p w14:paraId="05A37A4F"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[26]</w:t>
      </w:r>
      <w:r w:rsidRPr="006D647E">
        <w:rPr>
          <w:rFonts w:ascii="Tw Cen MT" w:hAnsi="Tw Cen MT" w:cs="Times New Roman"/>
          <w:noProof/>
          <w:sz w:val="24"/>
        </w:rPr>
        <w:tab/>
        <w:t xml:space="preserve">Y. Marlina and D. Erowati, “Pengolahan MP ASI Berbasis Pangan Lokal di Desa Ranah Singkuang Kabupaten Kampar,” </w:t>
      </w:r>
      <w:r w:rsidRPr="006D647E">
        <w:rPr>
          <w:rFonts w:ascii="Tw Cen MT" w:hAnsi="Tw Cen MT" w:cs="Times New Roman"/>
          <w:i/>
          <w:iCs/>
          <w:noProof/>
          <w:sz w:val="24"/>
        </w:rPr>
        <w:t>Logista J. Ilm. Pengabdi. Kpd. Masy.</w:t>
      </w:r>
      <w:r w:rsidRPr="006D647E">
        <w:rPr>
          <w:rFonts w:ascii="Tw Cen MT" w:hAnsi="Tw Cen MT" w:cs="Times New Roman"/>
          <w:noProof/>
          <w:sz w:val="24"/>
        </w:rPr>
        <w:t>, vol. 5, no. 2, pp. 202–208, 2021.</w:t>
      </w:r>
    </w:p>
    <w:p w14:paraId="6B97D20F"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[27]</w:t>
      </w:r>
      <w:r w:rsidRPr="006D647E">
        <w:rPr>
          <w:rFonts w:ascii="Tw Cen MT" w:hAnsi="Tw Cen MT" w:cs="Times New Roman"/>
          <w:noProof/>
          <w:sz w:val="24"/>
        </w:rPr>
        <w:tab/>
        <w:t xml:space="preserve">R. Agestika, “the Pattern of Complementary Feeding Affects the Incidence of Diarrhea in Infants,” </w:t>
      </w:r>
      <w:r w:rsidRPr="006D647E">
        <w:rPr>
          <w:rFonts w:ascii="Tw Cen MT" w:hAnsi="Tw Cen MT" w:cs="Times New Roman"/>
          <w:i/>
          <w:iCs/>
          <w:noProof/>
          <w:sz w:val="24"/>
        </w:rPr>
        <w:t>Indones. Midwifery Heal. Sci. J.</w:t>
      </w:r>
      <w:r w:rsidRPr="006D647E">
        <w:rPr>
          <w:rFonts w:ascii="Tw Cen MT" w:hAnsi="Tw Cen MT" w:cs="Times New Roman"/>
          <w:noProof/>
          <w:sz w:val="24"/>
        </w:rPr>
        <w:t>, vol. 6, no. 1, pp. 37–48, 2022, doi: 10.20473/imhsj.v6i1.2022.37-48.</w:t>
      </w:r>
    </w:p>
    <w:p w14:paraId="3A626D7B"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[28]</w:t>
      </w:r>
      <w:r w:rsidRPr="006D647E">
        <w:rPr>
          <w:rFonts w:ascii="Tw Cen MT" w:hAnsi="Tw Cen MT" w:cs="Times New Roman"/>
          <w:noProof/>
          <w:sz w:val="24"/>
        </w:rPr>
        <w:tab/>
        <w:t xml:space="preserve">J. Harbron, S. Booley, and B. Najaar, “Paediatric Food-Based Dietary Guidelines for South Africa: Responsive feeding: establishing healthy eating behaviour early on in life,” </w:t>
      </w:r>
      <w:r w:rsidRPr="006D647E">
        <w:rPr>
          <w:rFonts w:ascii="Tw Cen MT" w:hAnsi="Tw Cen MT" w:cs="Times New Roman"/>
          <w:i/>
          <w:iCs/>
          <w:noProof/>
          <w:sz w:val="24"/>
        </w:rPr>
        <w:t>South ’African J. Clin. Nutr.</w:t>
      </w:r>
      <w:r w:rsidRPr="006D647E">
        <w:rPr>
          <w:rFonts w:ascii="Tw Cen MT" w:hAnsi="Tw Cen MT" w:cs="Times New Roman"/>
          <w:noProof/>
          <w:sz w:val="24"/>
        </w:rPr>
        <w:t>, vol. 26, no. 3, pp. 141–149, 2013.</w:t>
      </w:r>
    </w:p>
    <w:p w14:paraId="6D0ECE0A"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[29]</w:t>
      </w:r>
      <w:r w:rsidRPr="006D647E">
        <w:rPr>
          <w:rFonts w:ascii="Tw Cen MT" w:hAnsi="Tw Cen MT" w:cs="Times New Roman"/>
          <w:noProof/>
          <w:sz w:val="24"/>
        </w:rPr>
        <w:tab/>
        <w:t xml:space="preserve">N. L. A. Purnama, L. Lusmilasari, and M. Julia, “Perilaku orang tua dalam pemberian makan dan status gizi anak usia 2-5 tahun,” </w:t>
      </w:r>
      <w:r w:rsidRPr="006D647E">
        <w:rPr>
          <w:rFonts w:ascii="Tw Cen MT" w:hAnsi="Tw Cen MT" w:cs="Times New Roman"/>
          <w:i/>
          <w:iCs/>
          <w:noProof/>
          <w:sz w:val="24"/>
        </w:rPr>
        <w:t>J. Gizi Klin. Indones.</w:t>
      </w:r>
      <w:r w:rsidRPr="006D647E">
        <w:rPr>
          <w:rFonts w:ascii="Tw Cen MT" w:hAnsi="Tw Cen MT" w:cs="Times New Roman"/>
          <w:noProof/>
          <w:sz w:val="24"/>
        </w:rPr>
        <w:t>, vol. 11, no. 3, pp. 97–104, 2015, doi: 10.22146/ijcn.19281.</w:t>
      </w:r>
    </w:p>
    <w:p w14:paraId="6C0344F9"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[30]</w:t>
      </w:r>
      <w:r w:rsidRPr="006D647E">
        <w:rPr>
          <w:rFonts w:ascii="Tw Cen MT" w:hAnsi="Tw Cen MT" w:cs="Times New Roman"/>
          <w:noProof/>
          <w:sz w:val="24"/>
        </w:rPr>
        <w:tab/>
        <w:t xml:space="preserve">U. Latifah, R. S. Prastiwi, and U. Baroroh, </w:t>
      </w:r>
      <w:r w:rsidRPr="006D647E">
        <w:rPr>
          <w:rFonts w:ascii="Tw Cen MT" w:hAnsi="Tw Cen MT" w:cs="Times New Roman"/>
          <w:noProof/>
          <w:sz w:val="24"/>
        </w:rPr>
        <w:lastRenderedPageBreak/>
        <w:t xml:space="preserve">“The Responsive Feeding Behavior and Stunting Incident on Toddlers,” </w:t>
      </w:r>
      <w:r w:rsidRPr="006D647E">
        <w:rPr>
          <w:rFonts w:ascii="Tw Cen MT" w:hAnsi="Tw Cen MT" w:cs="Times New Roman"/>
          <w:i/>
          <w:iCs/>
          <w:noProof/>
          <w:sz w:val="24"/>
        </w:rPr>
        <w:t>J. Kebidanan</w:t>
      </w:r>
      <w:r w:rsidRPr="006D647E">
        <w:rPr>
          <w:rFonts w:ascii="Tw Cen MT" w:hAnsi="Tw Cen MT" w:cs="Times New Roman"/>
          <w:noProof/>
          <w:sz w:val="24"/>
        </w:rPr>
        <w:t>, vol. 10, no. 2, pp. 143–148, 2020, doi: 10.31983/jkb.v10i2.6286.</w:t>
      </w:r>
    </w:p>
    <w:p w14:paraId="547A01A9"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[31]</w:t>
      </w:r>
      <w:r w:rsidRPr="006D647E">
        <w:rPr>
          <w:rFonts w:ascii="Tw Cen MT" w:hAnsi="Tw Cen MT" w:cs="Times New Roman"/>
          <w:noProof/>
          <w:sz w:val="24"/>
        </w:rPr>
        <w:tab/>
        <w:t xml:space="preserve">M. L. Roche, T. W. Gyorkos, B. Blouin, G. S. Marquis, J. Sarsoza, and H. V. Kuhnlein, “Infant and young child feeding practices and stunting in two highland provinces in Ecuador,” </w:t>
      </w:r>
      <w:r w:rsidRPr="006D647E">
        <w:rPr>
          <w:rFonts w:ascii="Tw Cen MT" w:hAnsi="Tw Cen MT" w:cs="Times New Roman"/>
          <w:i/>
          <w:iCs/>
          <w:noProof/>
          <w:sz w:val="24"/>
        </w:rPr>
        <w:t>Matern. Child Nutr.</w:t>
      </w:r>
      <w:r w:rsidRPr="006D647E">
        <w:rPr>
          <w:rFonts w:ascii="Tw Cen MT" w:hAnsi="Tw Cen MT" w:cs="Times New Roman"/>
          <w:noProof/>
          <w:sz w:val="24"/>
        </w:rPr>
        <w:t>, vol. 13, no. 2, pp. 1–15, 2017, doi: 10.1111/mcn.12324.</w:t>
      </w:r>
    </w:p>
    <w:p w14:paraId="679E9E50"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noProof/>
          <w:sz w:val="24"/>
        </w:rPr>
      </w:pPr>
      <w:r w:rsidRPr="006D647E">
        <w:rPr>
          <w:rFonts w:ascii="Tw Cen MT" w:hAnsi="Tw Cen MT" w:cs="Times New Roman"/>
          <w:noProof/>
          <w:sz w:val="24"/>
        </w:rPr>
        <w:t>[32]</w:t>
      </w:r>
      <w:r w:rsidRPr="006D647E">
        <w:rPr>
          <w:rFonts w:ascii="Tw Cen MT" w:hAnsi="Tw Cen MT" w:cs="Times New Roman"/>
          <w:noProof/>
          <w:sz w:val="24"/>
        </w:rPr>
        <w:tab/>
        <w:t xml:space="preserve">K. G. Dewey and K. H. Brown, “Update on technical issues concerning complementary feeding of young children in developing countries and implications for intervention programs,” </w:t>
      </w:r>
      <w:r w:rsidRPr="006D647E">
        <w:rPr>
          <w:rFonts w:ascii="Tw Cen MT" w:hAnsi="Tw Cen MT" w:cs="Times New Roman"/>
          <w:i/>
          <w:iCs/>
          <w:noProof/>
          <w:sz w:val="24"/>
        </w:rPr>
        <w:t>Food Nutr. Bull.</w:t>
      </w:r>
      <w:r w:rsidRPr="006D647E">
        <w:rPr>
          <w:rFonts w:ascii="Tw Cen MT" w:hAnsi="Tw Cen MT" w:cs="Times New Roman"/>
          <w:noProof/>
          <w:sz w:val="24"/>
        </w:rPr>
        <w:t>, vol. 24, no. 1, pp. 5–28, 2003, doi: 10.1177/156482650302400102.</w:t>
      </w:r>
    </w:p>
    <w:p w14:paraId="3C98E26F" w14:textId="4B2C4ECF" w:rsidR="00767EDC" w:rsidRDefault="00767EDC" w:rsidP="00767EDC">
      <w:pPr>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color w:val="0D0D0D"/>
          <w:sz w:val="24"/>
          <w:szCs w:val="24"/>
        </w:rPr>
        <w:fldChar w:fldCharType="end"/>
      </w:r>
    </w:p>
    <w:sectPr w:rsidR="00767EDC" w:rsidSect="00667F2E">
      <w:type w:val="continuous"/>
      <w:pgSz w:w="12240" w:h="15840"/>
      <w:pgMar w:top="1440" w:right="1440" w:bottom="1440" w:left="1440" w:header="720" w:footer="720" w:gutter="0"/>
      <w:cols w:num="2" w:space="36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366DE9EE" w14:textId="77777777" w:rsidR="00B657D6" w:rsidRDefault="00B657D6" w:rsidP="00B657D6">
      <w:pPr>
        <w:pStyle w:val="CommentText"/>
      </w:pPr>
      <w:r>
        <w:rPr>
          <w:rStyle w:val="CommentReference"/>
        </w:rPr>
        <w:annotationRef/>
      </w:r>
      <w:r>
        <w:t>Pada bagian abstrak/abstract silahkan ditambahkan gap/novelty dari penelitian ini</w:t>
      </w:r>
    </w:p>
  </w:comment>
  <w:comment w:id="2" w:author="Author" w:initials="A">
    <w:p w14:paraId="483A5423" w14:textId="77777777" w:rsidR="00B657D6" w:rsidRDefault="00B657D6" w:rsidP="00B657D6">
      <w:pPr>
        <w:pStyle w:val="CommentText"/>
      </w:pPr>
      <w:r>
        <w:rPr>
          <w:rStyle w:val="CommentReference"/>
        </w:rPr>
        <w:annotationRef/>
      </w:r>
      <w:r>
        <w:t>Pada bagian hasil dan pembahasan, silahkan ditambahkan gap/novelty dari penelitian ini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6DE9EE" w15:done="0"/>
  <w15:commentEx w15:paraId="483A54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6DE9EE" w16cid:durableId="1C9ADD89"/>
  <w16cid:commentId w16cid:paraId="483A5423" w16cid:durableId="505D28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033F6" w14:textId="77777777" w:rsidR="00147588" w:rsidRDefault="00147588">
      <w:pPr>
        <w:spacing w:after="0" w:line="240" w:lineRule="auto"/>
      </w:pPr>
      <w:r>
        <w:separator/>
      </w:r>
    </w:p>
  </w:endnote>
  <w:endnote w:type="continuationSeparator" w:id="0">
    <w:p w14:paraId="3ACFE87B" w14:textId="77777777" w:rsidR="00147588" w:rsidRDefault="00147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Times New Roman"/>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941062"/>
      <w:docPartObj>
        <w:docPartGallery w:val="Page Numbers (Bottom of Page)"/>
        <w:docPartUnique/>
      </w:docPartObj>
    </w:sdtPr>
    <w:sdtEndPr>
      <w:rPr>
        <w:noProof/>
      </w:rPr>
    </w:sdtEndPr>
    <w:sdtContent>
      <w:p w14:paraId="27529A77" w14:textId="2C23240D" w:rsidR="00A36329" w:rsidRPr="00FC0FFB" w:rsidRDefault="00A36329" w:rsidP="00767EDC">
        <w:pPr>
          <w:pStyle w:val="Footer"/>
          <w:tabs>
            <w:tab w:val="clear" w:pos="4680"/>
            <w:tab w:val="clear" w:pos="9360"/>
            <w:tab w:val="left" w:pos="8210"/>
          </w:tabs>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r w:rsidR="00767EDC">
          <w:rPr>
            <w:rFonts w:ascii="Tw Cen MT" w:hAnsi="Tw Cen MT"/>
            <w:color w:val="000000" w:themeColor="text1"/>
            <w:sz w:val="20"/>
            <w:szCs w:val="24"/>
            <w:lang w:val="en-ID"/>
          </w:rPr>
          <w:t>Yessi Marlina and yessi.marlina@pkr.ac.id</w:t>
        </w:r>
        <w:r w:rsidR="00767EDC">
          <w:rPr>
            <w:rFonts w:ascii="Tw Cen MT" w:hAnsi="Tw Cen MT"/>
            <w:color w:val="000000" w:themeColor="text1"/>
            <w:sz w:val="20"/>
            <w:szCs w:val="24"/>
          </w:rPr>
          <w:tab/>
        </w:r>
        <w:r w:rsidR="00767EDC">
          <w:rPr>
            <w:rFonts w:ascii="Tw Cen MT" w:hAnsi="Tw Cen MT"/>
            <w:color w:val="000000" w:themeColor="text1"/>
            <w:sz w:val="20"/>
            <w:szCs w:val="24"/>
          </w:rPr>
          <w:tab/>
        </w:r>
        <w:r w:rsidR="00767EDC" w:rsidRPr="00767EDC">
          <w:rPr>
            <w:rFonts w:ascii="Tw Cen MT" w:hAnsi="Tw Cen MT"/>
            <w:color w:val="000000" w:themeColor="text1"/>
            <w:sz w:val="20"/>
            <w:szCs w:val="24"/>
          </w:rPr>
          <w:fldChar w:fldCharType="begin"/>
        </w:r>
        <w:r w:rsidR="00767EDC" w:rsidRPr="00767EDC">
          <w:rPr>
            <w:rFonts w:ascii="Tw Cen MT" w:hAnsi="Tw Cen MT"/>
            <w:color w:val="000000" w:themeColor="text1"/>
            <w:sz w:val="20"/>
            <w:szCs w:val="24"/>
          </w:rPr>
          <w:instrText xml:space="preserve"> PAGE   \* MERGEFORMAT </w:instrText>
        </w:r>
        <w:r w:rsidR="00767EDC" w:rsidRPr="00767EDC">
          <w:rPr>
            <w:rFonts w:ascii="Tw Cen MT" w:hAnsi="Tw Cen MT"/>
            <w:color w:val="000000" w:themeColor="text1"/>
            <w:sz w:val="20"/>
            <w:szCs w:val="24"/>
          </w:rPr>
          <w:fldChar w:fldCharType="separate"/>
        </w:r>
        <w:r w:rsidR="00767EDC" w:rsidRPr="00767EDC">
          <w:rPr>
            <w:rFonts w:ascii="Tw Cen MT" w:hAnsi="Tw Cen MT"/>
            <w:noProof/>
            <w:color w:val="000000" w:themeColor="text1"/>
            <w:sz w:val="20"/>
            <w:szCs w:val="24"/>
          </w:rPr>
          <w:t>1</w:t>
        </w:r>
        <w:r w:rsidR="00767EDC" w:rsidRPr="00767EDC">
          <w:rPr>
            <w:rFonts w:ascii="Tw Cen MT" w:hAnsi="Tw Cen MT"/>
            <w:noProof/>
            <w:color w:val="000000" w:themeColor="text1"/>
            <w:sz w:val="20"/>
            <w:szCs w:val="24"/>
          </w:rPr>
          <w:fldChar w:fldCharType="end"/>
        </w:r>
      </w:p>
      <w:p w14:paraId="07382446" w14:textId="109C0C99" w:rsidR="00A36329" w:rsidRDefault="00000000" w:rsidP="00767EDC">
        <w:pPr>
          <w:pStyle w:val="Footer"/>
        </w:pP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32F8" w14:textId="77777777" w:rsidR="00147588" w:rsidRDefault="00147588">
      <w:pPr>
        <w:spacing w:after="0" w:line="240" w:lineRule="auto"/>
      </w:pPr>
      <w:r>
        <w:separator/>
      </w:r>
    </w:p>
  </w:footnote>
  <w:footnote w:type="continuationSeparator" w:id="0">
    <w:p w14:paraId="66BA134A" w14:textId="77777777" w:rsidR="00147588" w:rsidRDefault="00147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E68A" w14:textId="133B70EC" w:rsidR="00A36329" w:rsidRPr="00854165" w:rsidRDefault="00854165" w:rsidP="00854165">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00120748">
              <wp:simplePos x="0" y="0"/>
              <wp:positionH relativeFrom="column">
                <wp:posOffset>-6350</wp:posOffset>
              </wp:positionH>
              <wp:positionV relativeFrom="paragraph">
                <wp:posOffset>493395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64ADC2BB" id="_x0000_t32" coordsize="21600,21600" o:spt="32" o:oned="t" path="m,l21600,21600e" filled="f">
              <v:path arrowok="t" fillok="f" o:connecttype="none"/>
              <o:lock v:ext="edit" shapetype="t"/>
            </v:shapetype>
            <v:shape id="Straight Arrow Connector 65" o:spid="_x0000_s1026" type="#_x0000_t32" style="position:absolute;margin-left:-.5pt;margin-top:38.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BYNwHDdAAAACAEAAA8AAABkcnMv&#10;ZG93bnJldi54bWxMj81OwzAQhO9IvIO1SNxaJ6iQEuJUiF+pByRSLty28TYOxOsodprw9hhxgOPs&#10;rGa+KTaz7cSRBt86VpAuExDEtdMtNwredo+LNQgfkDV2jknBF3nYlKcnBebaTfxKxyo0Ioawz1GB&#10;CaHPpfS1IYt+6Xri6B3cYDFEOTRSDzjFcNvJiyS5khZbjg0Ge7ozVH9Wo1XwRPfVy+Fhap7pfbxc&#10;fWwdTsYpdX42396ACDSHv2f4wY/oUEamvRtZe9EpWKRxSlCQZRmI6F+vkhTE/vcgy0L+H1B+AwAA&#10;//8DAFBLAQItABQABgAIAAAAIQC2gziS/gAAAOEBAAATAAAAAAAAAAAAAAAAAAAAAABbQ29udGVu&#10;dF9UeXBlc10ueG1sUEsBAi0AFAAGAAgAAAAhADj9If/WAAAAlAEAAAsAAAAAAAAAAAAAAAAALwEA&#10;AF9yZWxzLy5yZWxzUEsBAi0AFAAGAAgAAAAhAPTKSIa/AQAAfQMAAA4AAAAAAAAAAAAAAAAALgIA&#10;AGRycy9lMm9Eb2MueG1sUEsBAi0AFAAGAAgAAAAhABYNwHDdAAAACAEAAA8AAAAAAAAAAAAAAAAA&#10;GQQAAGRycy9kb3ducmV2LnhtbFBLBQYAAAAABAAEAPMAAAAjBQAAAAA=&#10;" strokecolor="black [3200]" strokeweight="1.5pt">
              <v:stroke startarrowwidth="narrow" startarrowlength="short" endarrowwidth="narrow" endarrowlength="short"/>
            </v:shape>
          </w:pict>
        </mc:Fallback>
      </mc:AlternateContent>
    </w:r>
    <w:r w:rsidR="00767EDC" w:rsidRPr="00767EDC">
      <w:rPr>
        <w:rFonts w:ascii="Tw Cen MT" w:hAnsi="Tw Cen MT" w:cs="SimSun"/>
        <w:sz w:val="20"/>
        <w:szCs w:val="20"/>
      </w:rPr>
      <w:t xml:space="preserve">Jurnal Proteksi Kesehatan                                                                                                                                   Vol. 13, No.2, November 2024, pp. </w:t>
    </w:r>
    <w:r w:rsidR="00767EDC">
      <w:rPr>
        <w:rFonts w:ascii="Tw Cen MT" w:hAnsi="Tw Cen MT" w:cs="SimSun"/>
        <w:sz w:val="20"/>
        <w:szCs w:val="20"/>
      </w:rPr>
      <w:t>210-219</w:t>
    </w:r>
    <w:r w:rsidR="00767EDC" w:rsidRPr="00767EDC">
      <w:rPr>
        <w:rFonts w:ascii="Tw Cen MT" w:hAnsi="Tw Cen MT" w:cs="SimSun"/>
        <w:sz w:val="20"/>
        <w:szCs w:val="20"/>
      </w:rPr>
      <w:tab/>
    </w:r>
    <w:r w:rsidR="00767EDC" w:rsidRPr="00767EDC">
      <w:rPr>
        <w:rFonts w:ascii="Tw Cen MT" w:hAnsi="Tw Cen MT" w:cs="SimSun"/>
        <w:sz w:val="20"/>
        <w:szCs w:val="20"/>
      </w:rPr>
      <w:tab/>
      <w:t xml:space="preserve">                                                                                                        ISSN 2715-1115 (Online), ISSN 2302 – 8610 (Print)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42853"/>
    <w:multiLevelType w:val="hybridMultilevel"/>
    <w:tmpl w:val="451E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A6989"/>
    <w:multiLevelType w:val="hybridMultilevel"/>
    <w:tmpl w:val="BC3E49B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A7E224E"/>
    <w:multiLevelType w:val="hybridMultilevel"/>
    <w:tmpl w:val="7AE8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33598"/>
    <w:multiLevelType w:val="hybridMultilevel"/>
    <w:tmpl w:val="AED8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2244F"/>
    <w:multiLevelType w:val="hybridMultilevel"/>
    <w:tmpl w:val="26C4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F586C"/>
    <w:multiLevelType w:val="hybridMultilevel"/>
    <w:tmpl w:val="C386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1B5C57"/>
    <w:multiLevelType w:val="hybridMultilevel"/>
    <w:tmpl w:val="77FA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933212"/>
    <w:multiLevelType w:val="hybridMultilevel"/>
    <w:tmpl w:val="C2D6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97ACE"/>
    <w:multiLevelType w:val="hybridMultilevel"/>
    <w:tmpl w:val="2B94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582301744">
    <w:abstractNumId w:val="9"/>
  </w:num>
  <w:num w:numId="2" w16cid:durableId="524947313">
    <w:abstractNumId w:val="12"/>
  </w:num>
  <w:num w:numId="3" w16cid:durableId="709378202">
    <w:abstractNumId w:val="3"/>
  </w:num>
  <w:num w:numId="4" w16cid:durableId="1437822723">
    <w:abstractNumId w:val="0"/>
  </w:num>
  <w:num w:numId="5" w16cid:durableId="1892185197">
    <w:abstractNumId w:val="2"/>
  </w:num>
  <w:num w:numId="6" w16cid:durableId="483592162">
    <w:abstractNumId w:val="10"/>
  </w:num>
  <w:num w:numId="7" w16cid:durableId="239608164">
    <w:abstractNumId w:val="1"/>
  </w:num>
  <w:num w:numId="8" w16cid:durableId="1211839595">
    <w:abstractNumId w:val="5"/>
  </w:num>
  <w:num w:numId="9" w16cid:durableId="2092119783">
    <w:abstractNumId w:val="6"/>
  </w:num>
  <w:num w:numId="10" w16cid:durableId="2138791463">
    <w:abstractNumId w:val="4"/>
  </w:num>
  <w:num w:numId="11" w16cid:durableId="1869374439">
    <w:abstractNumId w:val="11"/>
  </w:num>
  <w:num w:numId="12" w16cid:durableId="1395353074">
    <w:abstractNumId w:val="8"/>
  </w:num>
  <w:num w:numId="13" w16cid:durableId="1982692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20F25"/>
    <w:rsid w:val="00035A37"/>
    <w:rsid w:val="00046906"/>
    <w:rsid w:val="00082EFF"/>
    <w:rsid w:val="00096D8F"/>
    <w:rsid w:val="00097464"/>
    <w:rsid w:val="000A46F4"/>
    <w:rsid w:val="000B1F81"/>
    <w:rsid w:val="000B75DE"/>
    <w:rsid w:val="000C4719"/>
    <w:rsid w:val="000C511C"/>
    <w:rsid w:val="000D0DFF"/>
    <w:rsid w:val="00106CE2"/>
    <w:rsid w:val="00106D4F"/>
    <w:rsid w:val="0011263D"/>
    <w:rsid w:val="00113901"/>
    <w:rsid w:val="0013609D"/>
    <w:rsid w:val="00136E70"/>
    <w:rsid w:val="00147588"/>
    <w:rsid w:val="001545D6"/>
    <w:rsid w:val="00160FDD"/>
    <w:rsid w:val="0016328E"/>
    <w:rsid w:val="00163BA7"/>
    <w:rsid w:val="0016482E"/>
    <w:rsid w:val="00165829"/>
    <w:rsid w:val="00166BFA"/>
    <w:rsid w:val="00194C11"/>
    <w:rsid w:val="00196C16"/>
    <w:rsid w:val="001C7251"/>
    <w:rsid w:val="001F1073"/>
    <w:rsid w:val="002113FB"/>
    <w:rsid w:val="00222E32"/>
    <w:rsid w:val="00223B20"/>
    <w:rsid w:val="00261BB2"/>
    <w:rsid w:val="0027621D"/>
    <w:rsid w:val="00292E42"/>
    <w:rsid w:val="00293DB9"/>
    <w:rsid w:val="002B0F6E"/>
    <w:rsid w:val="002B20BA"/>
    <w:rsid w:val="002C693D"/>
    <w:rsid w:val="002C73F4"/>
    <w:rsid w:val="002D30A7"/>
    <w:rsid w:val="002E7BE2"/>
    <w:rsid w:val="00301611"/>
    <w:rsid w:val="003069B5"/>
    <w:rsid w:val="00306DA7"/>
    <w:rsid w:val="00307CDB"/>
    <w:rsid w:val="00314849"/>
    <w:rsid w:val="003263C6"/>
    <w:rsid w:val="00360085"/>
    <w:rsid w:val="00361BBD"/>
    <w:rsid w:val="00372502"/>
    <w:rsid w:val="00380121"/>
    <w:rsid w:val="00394A51"/>
    <w:rsid w:val="003D5A1C"/>
    <w:rsid w:val="003E24C9"/>
    <w:rsid w:val="003F6489"/>
    <w:rsid w:val="003F6B0D"/>
    <w:rsid w:val="00413D75"/>
    <w:rsid w:val="00420F93"/>
    <w:rsid w:val="00431AAB"/>
    <w:rsid w:val="00463B9A"/>
    <w:rsid w:val="0046541C"/>
    <w:rsid w:val="004721E3"/>
    <w:rsid w:val="004A3EFA"/>
    <w:rsid w:val="004B41B7"/>
    <w:rsid w:val="004C01E6"/>
    <w:rsid w:val="004D376E"/>
    <w:rsid w:val="004E128A"/>
    <w:rsid w:val="004F0C66"/>
    <w:rsid w:val="0053164C"/>
    <w:rsid w:val="005424FD"/>
    <w:rsid w:val="005458B9"/>
    <w:rsid w:val="0054693E"/>
    <w:rsid w:val="005471FC"/>
    <w:rsid w:val="005642A1"/>
    <w:rsid w:val="00565328"/>
    <w:rsid w:val="005B78C7"/>
    <w:rsid w:val="005B7CC8"/>
    <w:rsid w:val="005C1635"/>
    <w:rsid w:val="005C30BC"/>
    <w:rsid w:val="005C5210"/>
    <w:rsid w:val="005D35E4"/>
    <w:rsid w:val="005E0707"/>
    <w:rsid w:val="00624B47"/>
    <w:rsid w:val="006334E1"/>
    <w:rsid w:val="0064192B"/>
    <w:rsid w:val="006431BA"/>
    <w:rsid w:val="00655189"/>
    <w:rsid w:val="00665737"/>
    <w:rsid w:val="00667F2E"/>
    <w:rsid w:val="00670815"/>
    <w:rsid w:val="00672B6C"/>
    <w:rsid w:val="00672D2B"/>
    <w:rsid w:val="006B1D84"/>
    <w:rsid w:val="006C3433"/>
    <w:rsid w:val="006C35BC"/>
    <w:rsid w:val="006D261F"/>
    <w:rsid w:val="006D647E"/>
    <w:rsid w:val="006E1FAC"/>
    <w:rsid w:val="007006B9"/>
    <w:rsid w:val="007106F6"/>
    <w:rsid w:val="007368A2"/>
    <w:rsid w:val="007377E3"/>
    <w:rsid w:val="007430EE"/>
    <w:rsid w:val="00762C0B"/>
    <w:rsid w:val="00765F40"/>
    <w:rsid w:val="00766D25"/>
    <w:rsid w:val="00767EDC"/>
    <w:rsid w:val="00767EE0"/>
    <w:rsid w:val="007A1AEF"/>
    <w:rsid w:val="007A770B"/>
    <w:rsid w:val="007D6D9D"/>
    <w:rsid w:val="007E655E"/>
    <w:rsid w:val="007E6A66"/>
    <w:rsid w:val="007F4948"/>
    <w:rsid w:val="00812425"/>
    <w:rsid w:val="0081569B"/>
    <w:rsid w:val="00815C52"/>
    <w:rsid w:val="00825271"/>
    <w:rsid w:val="00854165"/>
    <w:rsid w:val="0086728C"/>
    <w:rsid w:val="008A326F"/>
    <w:rsid w:val="00942731"/>
    <w:rsid w:val="00943EB9"/>
    <w:rsid w:val="0096335E"/>
    <w:rsid w:val="00997349"/>
    <w:rsid w:val="009A70E3"/>
    <w:rsid w:val="009D73CD"/>
    <w:rsid w:val="009F5E84"/>
    <w:rsid w:val="009F6554"/>
    <w:rsid w:val="009F7038"/>
    <w:rsid w:val="00A343E3"/>
    <w:rsid w:val="00A36329"/>
    <w:rsid w:val="00A71279"/>
    <w:rsid w:val="00AB2BCC"/>
    <w:rsid w:val="00AC169F"/>
    <w:rsid w:val="00AE2862"/>
    <w:rsid w:val="00B057E2"/>
    <w:rsid w:val="00B13BB3"/>
    <w:rsid w:val="00B241B6"/>
    <w:rsid w:val="00B25240"/>
    <w:rsid w:val="00B41001"/>
    <w:rsid w:val="00B56098"/>
    <w:rsid w:val="00B63555"/>
    <w:rsid w:val="00B657D6"/>
    <w:rsid w:val="00B66FB0"/>
    <w:rsid w:val="00B674AF"/>
    <w:rsid w:val="00BC34CC"/>
    <w:rsid w:val="00BE7B4C"/>
    <w:rsid w:val="00BF38D4"/>
    <w:rsid w:val="00C133E7"/>
    <w:rsid w:val="00C20FA8"/>
    <w:rsid w:val="00C5696F"/>
    <w:rsid w:val="00C812B9"/>
    <w:rsid w:val="00C81D96"/>
    <w:rsid w:val="00C96B4B"/>
    <w:rsid w:val="00CA167A"/>
    <w:rsid w:val="00CB0A6C"/>
    <w:rsid w:val="00CB3237"/>
    <w:rsid w:val="00CB5DBB"/>
    <w:rsid w:val="00CD6253"/>
    <w:rsid w:val="00CD731F"/>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7592"/>
    <w:rsid w:val="00DC2BB5"/>
    <w:rsid w:val="00DE3780"/>
    <w:rsid w:val="00DF0B65"/>
    <w:rsid w:val="00DF6E07"/>
    <w:rsid w:val="00E00E3E"/>
    <w:rsid w:val="00E03962"/>
    <w:rsid w:val="00E067A8"/>
    <w:rsid w:val="00E37E90"/>
    <w:rsid w:val="00E81E13"/>
    <w:rsid w:val="00EA57B9"/>
    <w:rsid w:val="00ED0E10"/>
    <w:rsid w:val="00EF4BA8"/>
    <w:rsid w:val="00F1133F"/>
    <w:rsid w:val="00F5431A"/>
    <w:rsid w:val="00F6187B"/>
    <w:rsid w:val="00F64252"/>
    <w:rsid w:val="00F817F4"/>
    <w:rsid w:val="00F841D1"/>
    <w:rsid w:val="00F9233C"/>
    <w:rsid w:val="00FB361D"/>
    <w:rsid w:val="00FC363B"/>
    <w:rsid w:val="00FE0EBE"/>
    <w:rsid w:val="00FE0ED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UnresolvedMention">
    <w:name w:val="Unresolved Mention"/>
    <w:basedOn w:val="DefaultParagraphFont"/>
    <w:uiPriority w:val="99"/>
    <w:semiHidden/>
    <w:unhideWhenUsed/>
    <w:rsid w:val="003D5A1C"/>
    <w:rPr>
      <w:color w:val="605E5C"/>
      <w:shd w:val="clear" w:color="auto" w:fill="E1DFDD"/>
    </w:rPr>
  </w:style>
  <w:style w:type="character" w:customStyle="1" w:styleId="ListParagraphChar">
    <w:name w:val="List Paragraph Char"/>
    <w:basedOn w:val="DefaultParagraphFont"/>
    <w:link w:val="ListParagraph"/>
    <w:uiPriority w:val="34"/>
    <w:locked/>
    <w:rsid w:val="0053164C"/>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770665965">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86556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yessi.marlina@pkr.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22592</Words>
  <Characters>128775</Characters>
  <Application>Microsoft Office Word</Application>
  <DocSecurity>0</DocSecurity>
  <Lines>1073</Lines>
  <Paragraphs>302</Paragraphs>
  <ScaleCrop>false</ScaleCrop>
  <Company/>
  <LinksUpToDate>false</LinksUpToDate>
  <CharactersWithSpaces>151065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2025-01-17T03:13:00Z</dcterms:created>
  <dcterms:modified xsi:type="dcterms:W3CDTF">2025-01-17T03:13:00Z</dcterms:modified>
</cp:coreProperties>
</file>