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16FADEC4" w:rsidR="0027621D" w:rsidRPr="00670F42" w:rsidRDefault="00D623AA" w:rsidP="00670F42">
      <w:pPr>
        <w:spacing w:after="0" w:line="240" w:lineRule="auto"/>
        <w:jc w:val="center"/>
        <w:rPr>
          <w:rFonts w:ascii="Tw Cen MT" w:hAnsi="Tw Cen MT" w:cs="Arial"/>
          <w:b/>
          <w:color w:val="000000"/>
          <w:sz w:val="32"/>
          <w:szCs w:val="32"/>
        </w:rPr>
      </w:pPr>
      <w:r w:rsidRPr="00B01CCC">
        <w:rPr>
          <w:rFonts w:ascii="Tw Cen MT" w:eastAsia="Twentieth Century" w:hAnsi="Tw Cen MT" w:cs="Twentieth Century"/>
          <w:b/>
          <w:sz w:val="32"/>
          <w:szCs w:val="32"/>
        </w:rPr>
        <w:t>Relationship between Parity</w:t>
      </w:r>
      <w:r>
        <w:rPr>
          <w:rFonts w:ascii="Tw Cen MT" w:eastAsia="Twentieth Century" w:hAnsi="Tw Cen MT" w:cs="Twentieth Century"/>
          <w:b/>
          <w:sz w:val="32"/>
          <w:szCs w:val="32"/>
        </w:rPr>
        <w:t xml:space="preserve">, </w:t>
      </w:r>
      <w:r w:rsidRPr="00B01CCC">
        <w:rPr>
          <w:rFonts w:ascii="Tw Cen MT" w:eastAsia="Twentieth Century" w:hAnsi="Tw Cen MT" w:cs="Twentieth Century"/>
          <w:b/>
          <w:sz w:val="32"/>
          <w:szCs w:val="32"/>
        </w:rPr>
        <w:t xml:space="preserve">Work on </w:t>
      </w:r>
      <w:r>
        <w:rPr>
          <w:rFonts w:ascii="Tw Cen MT" w:eastAsia="Twentieth Century" w:hAnsi="Tw Cen MT" w:cs="Twentieth Century"/>
          <w:b/>
          <w:sz w:val="32"/>
          <w:szCs w:val="32"/>
        </w:rPr>
        <w:t>Emesis Gravidarum</w:t>
      </w:r>
      <w:r w:rsidRPr="00B01CCC">
        <w:rPr>
          <w:rFonts w:ascii="Tw Cen MT" w:eastAsia="Twentieth Century" w:hAnsi="Tw Cen MT" w:cs="Twentieth Century"/>
          <w:b/>
          <w:sz w:val="32"/>
          <w:szCs w:val="32"/>
        </w:rPr>
        <w:t xml:space="preserve"> in the Working Area Payung Sekaki Community Health Center</w:t>
      </w:r>
      <w:r w:rsidR="0048291F" w:rsidRPr="00670F42">
        <w:rPr>
          <w:rFonts w:ascii="Tw Cen MT" w:eastAsia="Twentieth Century" w:hAnsi="Tw Cen MT" w:cs="Twentieth Century"/>
          <w:b/>
          <w:sz w:val="32"/>
          <w:szCs w:val="3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15A8475D" w:rsidR="007F4948" w:rsidRPr="00670F42" w:rsidRDefault="00D623AA" w:rsidP="00670F42">
      <w:pPr>
        <w:spacing w:after="0" w:line="240" w:lineRule="auto"/>
        <w:jc w:val="center"/>
        <w:rPr>
          <w:rFonts w:ascii="Tw Cen MT" w:hAnsi="Tw Cen MT" w:cs="Times New Roman"/>
          <w:b/>
          <w:bCs/>
          <w:iCs/>
          <w:sz w:val="32"/>
          <w:szCs w:val="32"/>
        </w:rPr>
      </w:pPr>
      <w:bookmarkStart w:id="0" w:name="_heading=h.ku3htxpixa9v" w:colFirst="0" w:colLast="0"/>
      <w:bookmarkEnd w:id="0"/>
      <w:r w:rsidRPr="00B01CCC">
        <w:rPr>
          <w:rFonts w:ascii="Tw Cen MT" w:eastAsia="Twentieth Century" w:hAnsi="Tw Cen MT" w:cs="Twentieth Century"/>
          <w:b/>
          <w:sz w:val="32"/>
          <w:szCs w:val="32"/>
        </w:rPr>
        <w:t>Hubungan Paritas dan Pek</w:t>
      </w:r>
      <w:r>
        <w:rPr>
          <w:rFonts w:ascii="Tw Cen MT" w:eastAsia="Twentieth Century" w:hAnsi="Tw Cen MT" w:cs="Twentieth Century"/>
          <w:b/>
          <w:sz w:val="32"/>
          <w:szCs w:val="32"/>
        </w:rPr>
        <w:t>e</w:t>
      </w:r>
      <w:r w:rsidRPr="00B01CCC">
        <w:rPr>
          <w:rFonts w:ascii="Tw Cen MT" w:eastAsia="Twentieth Century" w:hAnsi="Tw Cen MT" w:cs="Twentieth Century"/>
          <w:b/>
          <w:sz w:val="32"/>
          <w:szCs w:val="32"/>
        </w:rPr>
        <w:t>rjaan Ibu Terhadap Kejadian Mual Muntah di Wilayah Kerja Puskesmas Payung Sekaki</w:t>
      </w:r>
      <w:r w:rsidR="0048291F" w:rsidRPr="00670F42">
        <w:rPr>
          <w:rFonts w:ascii="Tw Cen MT" w:eastAsia="Twentieth Century" w:hAnsi="Tw Cen MT" w:cs="Twentieth Century"/>
          <w:b/>
          <w:bCs/>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F1810E" w14:textId="747C03EA" w:rsidR="00670F42" w:rsidRPr="00227851" w:rsidRDefault="00D623AA" w:rsidP="00670F42">
      <w:pPr>
        <w:widowControl w:val="0"/>
        <w:spacing w:after="0" w:line="240"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Sellia Juwita</w:t>
      </w:r>
      <w:r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Nova Yulita</w:t>
      </w:r>
      <w:r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Jumiati</w:t>
      </w:r>
      <w:r>
        <w:rPr>
          <w:rFonts w:ascii="Tw Cen MT" w:eastAsia="Twentieth Century" w:hAnsi="Tw Cen MT" w:cs="Twentieth Century"/>
          <w:sz w:val="24"/>
          <w:szCs w:val="24"/>
          <w:vertAlign w:val="superscript"/>
        </w:rPr>
        <w:t>3</w:t>
      </w:r>
    </w:p>
    <w:p w14:paraId="31F0C450" w14:textId="615FFC4E" w:rsidR="00670F42" w:rsidRDefault="00670F42" w:rsidP="00670F42">
      <w:pPr>
        <w:widowControl w:val="0"/>
        <w:spacing w:after="0" w:line="240" w:lineRule="auto"/>
        <w:ind w:left="7" w:right="-20"/>
        <w:jc w:val="center"/>
        <w:rPr>
          <w:rFonts w:ascii="Tw Cen MT" w:eastAsia="Twentieth Century" w:hAnsi="Tw Cen MT" w:cs="Twentieth Century"/>
        </w:rPr>
      </w:pPr>
      <w:r w:rsidRPr="00227851">
        <w:rPr>
          <w:rFonts w:ascii="Tw Cen MT" w:eastAsia="Twentieth Century" w:hAnsi="Tw Cen MT" w:cs="Twentieth Century"/>
          <w:sz w:val="20"/>
          <w:szCs w:val="20"/>
          <w:vertAlign w:val="superscript"/>
        </w:rPr>
        <w:t>1</w:t>
      </w:r>
      <w:r w:rsidR="00D623AA">
        <w:rPr>
          <w:rFonts w:ascii="Tw Cen MT" w:eastAsia="Twentieth Century" w:hAnsi="Tw Cen MT" w:cs="Twentieth Century"/>
        </w:rPr>
        <w:t>Universitas Abdurrab</w:t>
      </w:r>
      <w:r w:rsidR="00D623AA" w:rsidRPr="002E23D7">
        <w:rPr>
          <w:rFonts w:ascii="Tw Cen MT" w:eastAsia="Twentieth Century" w:hAnsi="Tw Cen MT" w:cs="Twentieth Century"/>
        </w:rPr>
        <w:t xml:space="preserve">, </w:t>
      </w:r>
      <w:r w:rsidR="00D623AA">
        <w:rPr>
          <w:rFonts w:ascii="Tw Cen MT" w:eastAsia="Twentieth Century" w:hAnsi="Tw Cen MT" w:cs="Twentieth Century"/>
        </w:rPr>
        <w:t>Pekanbaru</w:t>
      </w:r>
      <w:r w:rsidR="00D623AA" w:rsidRPr="002E23D7">
        <w:rPr>
          <w:rFonts w:ascii="Tw Cen MT" w:eastAsia="Twentieth Century" w:hAnsi="Tw Cen MT" w:cs="Twentieth Century"/>
        </w:rPr>
        <w:t xml:space="preserve">, </w:t>
      </w:r>
      <w:r w:rsidR="00D623AA">
        <w:rPr>
          <w:rFonts w:ascii="Tw Cen MT" w:eastAsia="Twentieth Century" w:hAnsi="Tw Cen MT" w:cs="Twentieth Century"/>
        </w:rPr>
        <w:t>Indonesia</w:t>
      </w:r>
    </w:p>
    <w:p w14:paraId="71DBF4BA" w14:textId="51B468E5" w:rsidR="00D623AA" w:rsidRPr="00227851" w:rsidRDefault="00D623AA" w:rsidP="00670F42">
      <w:pPr>
        <w:widowControl w:val="0"/>
        <w:spacing w:after="0" w:line="240" w:lineRule="auto"/>
        <w:ind w:left="7" w:right="-20"/>
        <w:jc w:val="center"/>
        <w:rPr>
          <w:rFonts w:ascii="Tw Cen MT" w:eastAsia="Twentieth Century" w:hAnsi="Tw Cen MT" w:cs="Twentieth Century"/>
          <w:sz w:val="20"/>
          <w:szCs w:val="20"/>
        </w:rPr>
      </w:pPr>
      <w:r>
        <w:rPr>
          <w:rFonts w:ascii="Tw Cen MT" w:eastAsia="Twentieth Century" w:hAnsi="Tw Cen MT" w:cs="Twentieth Century"/>
          <w:vertAlign w:val="superscript"/>
        </w:rPr>
        <w:t>2,3</w:t>
      </w:r>
      <w:r>
        <w:rPr>
          <w:rFonts w:ascii="Tw Cen MT" w:eastAsia="Twentieth Century" w:hAnsi="Tw Cen MT" w:cs="Twentieth Century"/>
        </w:rPr>
        <w:t xml:space="preserve">Universitas Muhammadiyah Riau, Pekanbaru, </w:t>
      </w:r>
      <w:r>
        <w:rPr>
          <w:rFonts w:ascii="Tw Cen MT" w:eastAsia="Twentieth Century" w:hAnsi="Tw Cen MT" w:cs="Twentieth Century"/>
        </w:rPr>
        <w:t>Indonesia</w:t>
      </w:r>
    </w:p>
    <w:p w14:paraId="23FA8100" w14:textId="42DEC658" w:rsidR="007F4948" w:rsidRPr="0096335E" w:rsidRDefault="00670F42" w:rsidP="00670F42">
      <w:pPr>
        <w:widowControl w:val="0"/>
        <w:spacing w:after="0" w:line="218" w:lineRule="auto"/>
        <w:ind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rPr>
        <w:t xml:space="preserve">Email: </w:t>
      </w:r>
      <w:r w:rsidR="00D623AA">
        <w:rPr>
          <w:rFonts w:ascii="Tw Cen MT" w:eastAsia="Twentieth Century" w:hAnsi="Tw Cen MT" w:cs="Twentieth Century"/>
        </w:rPr>
        <w:t>sellia.juwita</w:t>
      </w:r>
      <w:r w:rsidR="00D623AA">
        <w:rPr>
          <w:rFonts w:ascii="Tw Cen MT" w:eastAsia="Twentieth Century" w:hAnsi="Tw Cen MT" w:cs="Twentieth Century"/>
        </w:rPr>
        <w:t>@univrab</w:t>
      </w:r>
      <w:r w:rsidRPr="00227851">
        <w:rPr>
          <w:rFonts w:ascii="Tw Cen MT" w:eastAsia="Twentieth Century" w:hAnsi="Tw Cen MT" w:cs="Twentieth Century"/>
          <w:sz w:val="20"/>
          <w:szCs w:val="20"/>
        </w:rPr>
        <w:t>.ac.id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F5716E5"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2023-10-23</w:t>
                            </w:r>
                          </w:p>
                          <w:p w14:paraId="2E3C9739" w14:textId="5695167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2024-05-20</w:t>
                            </w:r>
                          </w:p>
                          <w:p w14:paraId="65822EE9" w14:textId="5FE608CE"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2024-07-09</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F5716E5"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2023-10-23</w:t>
                      </w:r>
                    </w:p>
                    <w:p w14:paraId="2E3C9739" w14:textId="5695167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2024-05-20</w:t>
                      </w:r>
                    </w:p>
                    <w:p w14:paraId="65822EE9" w14:textId="5FE608CE"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2024-07-09</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29C301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F0256B">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13C76F2" w:rsidR="006334E1" w:rsidRPr="0096335E" w:rsidRDefault="0027621D" w:rsidP="00F0256B">
      <w:pPr>
        <w:widowControl w:val="0"/>
        <w:spacing w:after="0" w:line="240" w:lineRule="auto"/>
        <w:ind w:left="3150" w:right="-19"/>
        <w:jc w:val="both"/>
        <w:rPr>
          <w:rFonts w:ascii="Tw Cen MT" w:eastAsia="Twentieth Century" w:hAnsi="Tw Cen MT" w:cs="Twentieth Century"/>
          <w:i/>
          <w:sz w:val="20"/>
          <w:szCs w:val="20"/>
        </w:rPr>
      </w:pPr>
      <w:r w:rsidRPr="00670F42">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3AA" w:rsidRPr="00FD2EE9">
        <w:rPr>
          <w:rFonts w:ascii="Tw Cen MT" w:eastAsia="Twentieth Century" w:hAnsi="Tw Cen MT" w:cs="Twentieth Century"/>
          <w:i/>
        </w:rPr>
        <w:t>Nause vomiting is one of the physiological changes in first trimester of pregnant woman due increased of human chorionic gonandotropin (HCG) produced by placenta. Symptoms of nausea vomiting usually occur 6 weeks after the first day of last menstrual period and approximately 10 weeks. Purpose of research was to see relationship between parity and work on the incidence of nausea vomiting in the Payung Sekaki Health Center Area. Type of research is quantitative analytic with cross sectional. The sampling technique was accidental sampling 46 people. Data processing bivariate analysis using chi-square test. The results of statistical test that there is relationship between parity with p</w:t>
      </w:r>
      <w:r w:rsidR="00D623AA" w:rsidRPr="00FD2EE9">
        <w:rPr>
          <w:rFonts w:ascii="Tw Cen MT" w:eastAsia="Twentieth Century" w:hAnsi="Tw Cen MT" w:cs="Twentieth Century"/>
          <w:i/>
          <w:vertAlign w:val="subscript"/>
        </w:rPr>
        <w:t>value</w:t>
      </w:r>
      <w:r w:rsidR="00D623AA" w:rsidRPr="00FD2EE9">
        <w:rPr>
          <w:rFonts w:ascii="Tw Cen MT" w:eastAsia="Twentieth Century" w:hAnsi="Tw Cen MT" w:cs="Twentieth Century"/>
          <w:i/>
        </w:rPr>
        <w:t xml:space="preserve"> 0.001 and work with p</w:t>
      </w:r>
      <w:r w:rsidR="00D623AA" w:rsidRPr="00FD2EE9">
        <w:rPr>
          <w:rFonts w:ascii="Tw Cen MT" w:eastAsia="Twentieth Century" w:hAnsi="Tw Cen MT" w:cs="Twentieth Century"/>
          <w:i/>
          <w:vertAlign w:val="subscript"/>
        </w:rPr>
        <w:t xml:space="preserve">value </w:t>
      </w:r>
      <w:r w:rsidR="00D623AA" w:rsidRPr="00FD2EE9">
        <w:rPr>
          <w:rFonts w:ascii="Tw Cen MT" w:eastAsia="Twentieth Century" w:hAnsi="Tw Cen MT" w:cs="Twentieth Century"/>
          <w:i/>
        </w:rPr>
        <w:t>0.0004 on the incidence of nausea vomiting in pregnant women. The concluded that is a significant relationship between parity and work on the incidence of nausea ang vomiting in pregnant woman in the Payung Sekaki Health Center Area with p</w:t>
      </w:r>
      <w:r w:rsidR="00D623AA" w:rsidRPr="00FD2EE9">
        <w:rPr>
          <w:rFonts w:ascii="Tw Cen MT" w:eastAsia="Twentieth Century" w:hAnsi="Tw Cen MT" w:cs="Twentieth Century"/>
          <w:i/>
          <w:vertAlign w:val="subscript"/>
        </w:rPr>
        <w:t>value</w:t>
      </w:r>
      <w:r w:rsidR="00D623AA" w:rsidRPr="00FD2EE9">
        <w:rPr>
          <w:rFonts w:ascii="Tw Cen MT" w:eastAsia="Twentieth Century" w:hAnsi="Tw Cen MT" w:cs="Twentieth Century"/>
          <w:i/>
        </w:rPr>
        <w:t>&lt;0.05.</w:t>
      </w:r>
    </w:p>
    <w:p w14:paraId="012B4273" w14:textId="709B17C2" w:rsidR="007F4948" w:rsidRPr="0096335E" w:rsidRDefault="0086728C" w:rsidP="00F0256B">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15AD603A" w:rsidR="007F4948" w:rsidRPr="0096335E" w:rsidRDefault="00D623AA" w:rsidP="00F0256B">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rPr>
        <w:t>Emesis Gravidarum</w:t>
      </w:r>
      <w:r>
        <w:rPr>
          <w:rFonts w:ascii="Tw Cen MT" w:eastAsia="Twentieth Century" w:hAnsi="Tw Cen MT" w:cs="Twentieth Century"/>
          <w:i/>
        </w:rPr>
        <w:t>;</w:t>
      </w:r>
      <w:r>
        <w:rPr>
          <w:rFonts w:ascii="Tw Cen MT" w:eastAsia="Twentieth Century" w:hAnsi="Tw Cen MT" w:cs="Twentieth Century"/>
          <w:i/>
        </w:rPr>
        <w:t xml:space="preserve"> </w:t>
      </w:r>
      <w:r w:rsidRPr="00310A69">
        <w:rPr>
          <w:rFonts w:ascii="Tw Cen MT" w:eastAsia="Twentieth Century" w:hAnsi="Tw Cen MT" w:cs="Twentieth Century"/>
          <w:i/>
        </w:rPr>
        <w:t>Parity</w:t>
      </w:r>
      <w:r>
        <w:rPr>
          <w:rFonts w:ascii="Tw Cen MT" w:eastAsia="Twentieth Century" w:hAnsi="Tw Cen MT" w:cs="Twentieth Century"/>
          <w:i/>
        </w:rPr>
        <w:t>;</w:t>
      </w:r>
      <w:r w:rsidRPr="00310A69">
        <w:rPr>
          <w:rFonts w:ascii="Tw Cen MT" w:eastAsia="Twentieth Century" w:hAnsi="Tw Cen MT" w:cs="Twentieth Century"/>
          <w:i/>
        </w:rPr>
        <w:t xml:space="preserve"> Work</w:t>
      </w:r>
    </w:p>
    <w:p w14:paraId="7CEDCDA1" w14:textId="77777777" w:rsidR="007F4948" w:rsidRPr="0096335E" w:rsidRDefault="007F4948" w:rsidP="00F0256B">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6E9C8E0D" w:rsidR="007F4948" w:rsidRPr="004721E3" w:rsidRDefault="00D623AA" w:rsidP="00F0256B">
      <w:pPr>
        <w:tabs>
          <w:tab w:val="left" w:pos="426"/>
        </w:tabs>
        <w:spacing w:after="0" w:line="240" w:lineRule="auto"/>
        <w:ind w:left="3150"/>
        <w:jc w:val="both"/>
        <w:rPr>
          <w:rFonts w:ascii="Tw Cen MT" w:eastAsia="Twentieth Century" w:hAnsi="Tw Cen MT" w:cs="Twentieth Century"/>
          <w:iCs/>
          <w:sz w:val="20"/>
          <w:szCs w:val="20"/>
        </w:rPr>
      </w:pPr>
      <w:r w:rsidRPr="00FD2EE9">
        <w:rPr>
          <w:rFonts w:ascii="Tw Cen MT" w:eastAsia="Twentieth Century" w:hAnsi="Tw Cen MT" w:cs="Twentieth Century"/>
          <w:iCs/>
          <w:color w:val="000000"/>
        </w:rPr>
        <w:t xml:space="preserve">Mual muntah adalah salah satu perubahan fisiologis ibu hamil trimester I dikarenakan peningkatan kadar hormon </w:t>
      </w:r>
      <w:r w:rsidRPr="00FD2EE9">
        <w:rPr>
          <w:rFonts w:ascii="Tw Cen MT" w:eastAsia="Twentieth Century" w:hAnsi="Tw Cen MT" w:cs="Twentieth Century"/>
          <w:i/>
          <w:color w:val="000000"/>
        </w:rPr>
        <w:t>Human chorionic gonandotropin</w:t>
      </w:r>
      <w:r w:rsidRPr="00FD2EE9">
        <w:rPr>
          <w:rFonts w:ascii="Tw Cen MT" w:eastAsia="Twentieth Century" w:hAnsi="Tw Cen MT" w:cs="Twentieth Century"/>
          <w:iCs/>
          <w:color w:val="000000"/>
        </w:rPr>
        <w:t xml:space="preserve"> (HCG) yang dihasilkan oleh plasenta. Gejala mual muntah biasanya terjadi 6 minggu setelah hari pertama haid terakhir dan berlangsung kurang lebih 10 minggu. Tujuan penelitian ini untuk melihat hubungan paritas dan pekerjaan ibu terhadap kejadian mual muntah di Wilayah Kerja Puskesmas Payung Sekaki. Jenis penelitian adalah analitik kuantitatif dengan pendekatan </w:t>
      </w:r>
      <w:r w:rsidRPr="00FD2EE9">
        <w:rPr>
          <w:rFonts w:ascii="Tw Cen MT" w:eastAsia="Twentieth Century" w:hAnsi="Tw Cen MT" w:cs="Twentieth Century"/>
          <w:i/>
          <w:color w:val="000000"/>
        </w:rPr>
        <w:t>cross sectional</w:t>
      </w:r>
      <w:r w:rsidRPr="00FD2EE9">
        <w:rPr>
          <w:rFonts w:ascii="Tw Cen MT" w:eastAsia="Twentieth Century" w:hAnsi="Tw Cen MT" w:cs="Twentieth Century"/>
          <w:iCs/>
          <w:color w:val="000000"/>
        </w:rPr>
        <w:t xml:space="preserve">. Teknik Pengambilan sampel secara </w:t>
      </w:r>
      <w:r w:rsidRPr="00FD2EE9">
        <w:rPr>
          <w:rFonts w:ascii="Tw Cen MT" w:eastAsia="Twentieth Century" w:hAnsi="Tw Cen MT" w:cs="Twentieth Century"/>
          <w:i/>
          <w:color w:val="000000"/>
        </w:rPr>
        <w:t>accidental sampling</w:t>
      </w:r>
      <w:r w:rsidRPr="00FD2EE9">
        <w:rPr>
          <w:rFonts w:ascii="Tw Cen MT" w:eastAsia="Twentieth Century" w:hAnsi="Tw Cen MT" w:cs="Twentieth Century"/>
          <w:iCs/>
          <w:color w:val="000000"/>
        </w:rPr>
        <w:t xml:space="preserve"> sebanyak 46 orang. Pengolahan data analisa bivariat menggunakan uji chi-square. Hasil uji statistik diperoleh bahwa terdapat hubungan antara paritas terhadap kejadian mual muntah pada ibu hamil dengan p</w:t>
      </w:r>
      <w:r w:rsidRPr="00FD2EE9">
        <w:rPr>
          <w:rFonts w:ascii="Tw Cen MT" w:eastAsia="Twentieth Century" w:hAnsi="Tw Cen MT" w:cs="Twentieth Century"/>
          <w:iCs/>
          <w:color w:val="000000"/>
          <w:vertAlign w:val="subscript"/>
        </w:rPr>
        <w:t>value</w:t>
      </w:r>
      <w:r w:rsidRPr="00FD2EE9">
        <w:rPr>
          <w:rFonts w:ascii="Tw Cen MT" w:eastAsia="Twentieth Century" w:hAnsi="Tw Cen MT" w:cs="Twentieth Century"/>
          <w:iCs/>
          <w:color w:val="000000"/>
        </w:rPr>
        <w:t xml:space="preserve"> 0,001 dan terdapat hubungan antara pekerjaan terhadap kejadian mual muntah pada ibu hamil dengan p</w:t>
      </w:r>
      <w:r w:rsidRPr="00FD2EE9">
        <w:rPr>
          <w:rFonts w:ascii="Tw Cen MT" w:eastAsia="Twentieth Century" w:hAnsi="Tw Cen MT" w:cs="Twentieth Century"/>
          <w:iCs/>
          <w:color w:val="000000"/>
          <w:vertAlign w:val="subscript"/>
        </w:rPr>
        <w:t>value</w:t>
      </w:r>
      <w:r w:rsidRPr="00FD2EE9">
        <w:rPr>
          <w:rFonts w:ascii="Tw Cen MT" w:eastAsia="Twentieth Century" w:hAnsi="Tw Cen MT" w:cs="Twentieth Century"/>
          <w:iCs/>
          <w:color w:val="000000"/>
        </w:rPr>
        <w:t xml:space="preserve"> 0,004. Sehingga dapat disimpulkan bahwa terdapat hubungan yang signifikan antara paritas dan pekerjaan terhdap kejadian mual muntah pada ibu hamil di Wilayah Kerja Puskesmas Payung Sekaki dengan hasil p</w:t>
      </w:r>
      <w:r w:rsidRPr="00FD2EE9">
        <w:rPr>
          <w:rFonts w:ascii="Tw Cen MT" w:eastAsia="Twentieth Century" w:hAnsi="Tw Cen MT" w:cs="Twentieth Century"/>
          <w:iCs/>
          <w:color w:val="000000"/>
          <w:vertAlign w:val="subscript"/>
        </w:rPr>
        <w:t>value</w:t>
      </w:r>
      <w:r w:rsidRPr="00FD2EE9">
        <w:rPr>
          <w:rFonts w:ascii="Tw Cen MT" w:eastAsia="Twentieth Century" w:hAnsi="Tw Cen MT" w:cs="Twentieth Century"/>
          <w:iCs/>
          <w:color w:val="000000"/>
        </w:rPr>
        <w:t xml:space="preserve"> &lt; 0,05.</w:t>
      </w:r>
    </w:p>
    <w:p w14:paraId="68659279" w14:textId="141C284D"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51363828" w:rsidR="00314849" w:rsidRPr="0096335E" w:rsidRDefault="00D623AA" w:rsidP="00F0256B">
      <w:pPr>
        <w:spacing w:line="240" w:lineRule="auto"/>
        <w:ind w:left="3150"/>
        <w:rPr>
          <w:rFonts w:ascii="Tw Cen MT" w:eastAsia="Twentieth Century" w:hAnsi="Tw Cen MT" w:cs="Twentieth Century"/>
          <w:sz w:val="20"/>
          <w:szCs w:val="20"/>
        </w:rPr>
      </w:pPr>
      <w:r>
        <w:rPr>
          <w:rFonts w:ascii="Tw Cen MT" w:eastAsia="Twentieth Century" w:hAnsi="Tw Cen MT" w:cs="Twentieth Century"/>
        </w:rPr>
        <w:t>Paritas</w:t>
      </w:r>
      <w:r>
        <w:rPr>
          <w:rFonts w:ascii="Tw Cen MT" w:eastAsia="Twentieth Century" w:hAnsi="Tw Cen MT" w:cs="Twentieth Century"/>
        </w:rPr>
        <w:t>;</w:t>
      </w:r>
      <w:r w:rsidRPr="002E23D7">
        <w:rPr>
          <w:rFonts w:ascii="Tw Cen MT" w:eastAsia="Twentieth Century" w:hAnsi="Tw Cen MT" w:cs="Twentieth Century"/>
        </w:rPr>
        <w:t xml:space="preserve"> </w:t>
      </w:r>
      <w:r>
        <w:rPr>
          <w:rFonts w:ascii="Tw Cen MT" w:eastAsia="Twentieth Century" w:hAnsi="Tw Cen MT" w:cs="Twentieth Century"/>
        </w:rPr>
        <w:t>Pekerjaan</w:t>
      </w:r>
      <w:r>
        <w:rPr>
          <w:rFonts w:ascii="Tw Cen MT" w:eastAsia="Twentieth Century" w:hAnsi="Tw Cen MT" w:cs="Twentieth Century"/>
        </w:rPr>
        <w:t>;</w:t>
      </w:r>
      <w:r w:rsidRPr="002E23D7">
        <w:rPr>
          <w:rFonts w:ascii="Tw Cen MT" w:eastAsia="Twentieth Century" w:hAnsi="Tw Cen MT" w:cs="Twentieth Century"/>
        </w:rPr>
        <w:t xml:space="preserve"> </w:t>
      </w:r>
      <w:r>
        <w:rPr>
          <w:rFonts w:ascii="Tw Cen MT" w:eastAsia="Twentieth Century" w:hAnsi="Tw Cen MT" w:cs="Twentieth Century"/>
        </w:rPr>
        <w:t xml:space="preserve">Mual </w:t>
      </w:r>
      <w:r>
        <w:rPr>
          <w:rFonts w:ascii="Tw Cen MT" w:eastAsia="Twentieth Century" w:hAnsi="Tw Cen MT" w:cs="Twentieth Century"/>
        </w:rPr>
        <w:t>M</w:t>
      </w:r>
      <w:r>
        <w:rPr>
          <w:rFonts w:ascii="Tw Cen MT" w:eastAsia="Twentieth Century" w:hAnsi="Tw Cen MT" w:cs="Twentieth Century"/>
        </w:rPr>
        <w:t>untah</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862F33">
          <w:headerReference w:type="default" r:id="rId10"/>
          <w:footerReference w:type="default" r:id="rId11"/>
          <w:pgSz w:w="12240" w:h="15840"/>
          <w:pgMar w:top="1440" w:right="1440" w:bottom="1440" w:left="1440" w:header="720" w:footer="720" w:gutter="0"/>
          <w:pgNumType w:start="77"/>
          <w:cols w:space="720"/>
        </w:sectPr>
      </w:pPr>
    </w:p>
    <w:p w14:paraId="245D22B2"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7165C3C0"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12468592" w14:textId="69836926" w:rsidR="007106F6" w:rsidRPr="0096335E"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D42A98F"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Kehamilan adalah suatu yang bersifat fisiologis dan dalam setiap perkembangan kehamilan normal, banyak keluhan yang dialami. Keluhan yang paling umum dilaporkan ibu hamil pada trimester pertama adalah mual muntah (87,8%) </w:t>
      </w:r>
      <w:sdt>
        <w:sdtPr>
          <w:rPr>
            <w:rFonts w:ascii="Tw Cen MT" w:eastAsia="Twentieth Century" w:hAnsi="Tw Cen MT" w:cs="Twentieth Century"/>
            <w:color w:val="000000"/>
            <w:sz w:val="24"/>
            <w:szCs w:val="24"/>
          </w:rPr>
          <w:tag w:val="MENDELEY_CITATION_v3_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"/>
          <w:id w:val="1979100772"/>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[1]</w:t>
          </w:r>
        </w:sdtContent>
      </w:sdt>
      <w:r w:rsidRPr="00EC6E87">
        <w:rPr>
          <w:rFonts w:ascii="Tw Cen MT" w:eastAsia="Twentieth Century" w:hAnsi="Tw Cen MT" w:cs="Twentieth Century"/>
          <w:sz w:val="24"/>
          <w:szCs w:val="24"/>
        </w:rPr>
        <w:t xml:space="preserve">. Emesis gravidarum (mual muntah di pagi hari) merupakan salah satu </w:t>
      </w:r>
    </w:p>
    <w:p w14:paraId="516F7DCF"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Perubahan fisiologis yang terjadi karena peningkatan kadar hormon </w:t>
      </w:r>
      <w:r w:rsidRPr="00EC6E87">
        <w:rPr>
          <w:rFonts w:ascii="Tw Cen MT" w:eastAsia="Twentieth Century" w:hAnsi="Tw Cen MT" w:cs="Twentieth Century"/>
          <w:i/>
          <w:iCs/>
          <w:sz w:val="24"/>
          <w:szCs w:val="24"/>
        </w:rPr>
        <w:t>Human chorionic gonandotropin</w:t>
      </w:r>
      <w:r w:rsidRPr="00EC6E87">
        <w:rPr>
          <w:rFonts w:ascii="Tw Cen MT" w:eastAsia="Twentieth Century" w:hAnsi="Tw Cen MT" w:cs="Twentieth Century"/>
          <w:sz w:val="24"/>
          <w:szCs w:val="24"/>
        </w:rPr>
        <w:t xml:space="preserve"> (HCG) yang dihasilkan oleh plasenta. Gejala mual muntah biasanya berlangsung kurang lebih terjadi 6 minggu setelah hari pertama haid terakhir dan berlangsung selama kurang lebih 10 minggu. Mual dan muntah terjadi pada 60 - 80% primigravida. Mual muntah ini umumnya timbul di pagi hari sehingga disebut morning sickness, sebagai keluhan mual muntah ini masih dianggap wajar sehingga gangguan selama kehamilan ini dianggap normal, namun mual muntah ini jika berlebihan dan terus menerus tampa mengenal waktu maka bisa menimbulkan ganguan cairan (dehidrasi) </w:t>
      </w:r>
      <w:sdt>
        <w:sdtPr>
          <w:rPr>
            <w:rFonts w:ascii="Tw Cen MT" w:eastAsia="Twentieth Century" w:hAnsi="Tw Cen MT" w:cs="Twentieth Century"/>
            <w:color w:val="000000"/>
            <w:sz w:val="24"/>
            <w:szCs w:val="24"/>
          </w:rPr>
          <w:tag w:val="MENDELEY_CITATION_v3_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"/>
          <w:id w:val="-613827795"/>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[2]</w:t>
          </w:r>
        </w:sdtContent>
      </w:sdt>
      <w:r w:rsidRPr="00EC6E87">
        <w:rPr>
          <w:rFonts w:ascii="Tw Cen MT" w:eastAsia="Twentieth Century" w:hAnsi="Tw Cen MT" w:cs="Twentieth Century"/>
          <w:sz w:val="24"/>
          <w:szCs w:val="24"/>
        </w:rPr>
        <w:t xml:space="preserve">. Emesis gravidarum merupakan gejala mual yang disertai muntah yang terjadi pada awal kehamilan </w:t>
      </w:r>
      <w:sdt>
        <w:sdtPr>
          <w:rPr>
            <w:rFonts w:ascii="Tw Cen MT" w:eastAsia="Twentieth Century" w:hAnsi="Tw Cen MT" w:cs="Twentieth Century"/>
            <w:color w:val="000000"/>
            <w:sz w:val="24"/>
            <w:szCs w:val="24"/>
          </w:rPr>
          <w:tag w:val="MENDELEY_CITATION_v3_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"/>
          <w:id w:val="-517385069"/>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[3]</w:t>
          </w:r>
        </w:sdtContent>
      </w:sdt>
      <w:r w:rsidRPr="00EC6E87">
        <w:rPr>
          <w:rFonts w:ascii="Tw Cen MT" w:eastAsia="Twentieth Century" w:hAnsi="Tw Cen MT" w:cs="Twentieth Century"/>
          <w:sz w:val="24"/>
          <w:szCs w:val="24"/>
        </w:rPr>
        <w:t>.</w:t>
      </w:r>
    </w:p>
    <w:p w14:paraId="3D3A4424"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Angka kejadian mual muntah di dunia yaitu 70%-80% dari jumlah ibu hamil </w:t>
      </w:r>
      <w:sdt>
        <w:sdtPr>
          <w:rPr>
            <w:rFonts w:ascii="Tw Cen MT" w:eastAsia="Twentieth Century" w:hAnsi="Tw Cen MT" w:cs="Twentieth Century"/>
            <w:color w:val="000000"/>
            <w:sz w:val="24"/>
            <w:szCs w:val="24"/>
          </w:rPr>
          <w:tag w:val="MENDELEY_CITATION_v3_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"/>
          <w:id w:val="-1109891205"/>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[4]</w:t>
          </w:r>
        </w:sdtContent>
      </w:sdt>
      <w:r w:rsidRPr="00EC6E87">
        <w:rPr>
          <w:rFonts w:ascii="Tw Cen MT" w:eastAsia="Twentieth Century" w:hAnsi="Tw Cen MT" w:cs="Twentieth Century"/>
          <w:sz w:val="24"/>
          <w:szCs w:val="24"/>
        </w:rPr>
        <w:t xml:space="preserve">. Menurut </w:t>
      </w:r>
      <w:r w:rsidRPr="00EC6E87">
        <w:rPr>
          <w:rFonts w:ascii="Tw Cen MT" w:eastAsia="Twentieth Century" w:hAnsi="Tw Cen MT" w:cs="Twentieth Century"/>
          <w:i/>
          <w:iCs/>
          <w:sz w:val="24"/>
          <w:szCs w:val="24"/>
        </w:rPr>
        <w:t>World Health Organization</w:t>
      </w:r>
      <w:r w:rsidRPr="00EC6E87">
        <w:rPr>
          <w:rFonts w:ascii="Tw Cen MT" w:eastAsia="Twentieth Century" w:hAnsi="Tw Cen MT" w:cs="Twentieth Century"/>
          <w:sz w:val="24"/>
          <w:szCs w:val="24"/>
        </w:rPr>
        <w:t xml:space="preserve">, jumlah kejadian emesis gravidarum mencapai 12,5%, dari seluruh jumlah kehamilan di dunia </w:t>
      </w:r>
      <w:sdt>
        <w:sdtPr>
          <w:rPr>
            <w:rFonts w:ascii="Tw Cen MT" w:eastAsia="Twentieth Century" w:hAnsi="Tw Cen MT" w:cs="Twentieth Century"/>
            <w:color w:val="000000"/>
            <w:sz w:val="24"/>
            <w:szCs w:val="24"/>
          </w:rPr>
          <w:tag w:val="MENDELEY_CITATION_v3_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"/>
          <w:id w:val="-1085913828"/>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[5]</w:t>
          </w:r>
        </w:sdtContent>
      </w:sdt>
      <w:r w:rsidRPr="00EC6E87">
        <w:rPr>
          <w:rFonts w:ascii="Tw Cen MT" w:eastAsia="Twentieth Century" w:hAnsi="Tw Cen MT" w:cs="Twentieth Century"/>
          <w:sz w:val="24"/>
          <w:szCs w:val="24"/>
        </w:rPr>
        <w:t xml:space="preserve">. Menurut Depkes 2019, angka ibu hamil dengan kasus emesis gravidarum di wilayah Indonesia yakni selama tahun 2019, dari 2.203 angka kehamilan ibu, didapati sebanyak 543 ibu hamil yang mengalami emesis gravidarum, di periode awal masa kehamilan. Sehingga, dapat dirata-ratakan angka kejadian kasus emesis gravidarum pada tahun 2019 yakni sebanyak 67,9%. Dimana, 60% - 80% angka kejadian ini terjadi pada ibu dengan primigravida, serta 40% - 60% angka kejadiannya pada ibu hamil dengan multigravida </w:t>
      </w:r>
      <w:sdt>
        <w:sdtPr>
          <w:rPr>
            <w:rFonts w:ascii="Tw Cen MT" w:eastAsia="Twentieth Century" w:hAnsi="Tw Cen MT" w:cs="Twentieth Century"/>
            <w:color w:val="000000"/>
            <w:sz w:val="24"/>
            <w:szCs w:val="24"/>
          </w:rPr>
          <w:tag w:val="MENDELEY_CITATION_v3_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"/>
          <w:id w:val="889539695"/>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[6]</w:t>
          </w:r>
        </w:sdtContent>
      </w:sdt>
      <w:r w:rsidRPr="00EC6E87">
        <w:rPr>
          <w:rFonts w:ascii="Tw Cen MT" w:eastAsia="Twentieth Century" w:hAnsi="Tw Cen MT" w:cs="Twentieth Century"/>
          <w:sz w:val="24"/>
          <w:szCs w:val="24"/>
        </w:rPr>
        <w:t>.</w:t>
      </w:r>
    </w:p>
    <w:p w14:paraId="7F550007"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Faktor-faktor yang mempengaruhi emesis graviarum diantaranya adalah hormonal, psikososial, pekerjaan dan paritas.  Pada sebagian besar primigravida belum mampu beradaptasi dengan hormon estrogen dan koreonik gonadotropin sehingga lebih sering terjadi emesis gravidarum. Sedangkan pada </w:t>
      </w:r>
    </w:p>
    <w:p w14:paraId="7AEEFC68"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multigravida dan grandemultigravida sudah mampu beradaptasi dengan hormon estrogen dan koreonik gonadotropin karena </w:t>
      </w:r>
    </w:p>
    <w:p w14:paraId="3D562954"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sudah mempunyai pengalaman terhadap kehamilan dan melahirkan </w:t>
      </w:r>
      <w:sdt>
        <w:sdtPr>
          <w:rPr>
            <w:rFonts w:ascii="Tw Cen MT" w:eastAsia="Twentieth Century" w:hAnsi="Tw Cen MT" w:cs="Twentieth Century"/>
            <w:color w:val="000000"/>
            <w:sz w:val="24"/>
            <w:szCs w:val="24"/>
          </w:rPr>
          <w:tag w:val="MENDELEY_CITATION_v3_eyJjaXRhdGlvbklEIjoiTUVOREVMRVlfQ0lUQVRJT05fNmMyMjdjODctZTYyOC00YWIxLWI4ZTMtZTFkMDU5YjEyYTI4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
          <w:id w:val="1666120853"/>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[7]</w:t>
          </w:r>
        </w:sdtContent>
      </w:sdt>
      <w:r w:rsidRPr="00EC6E87">
        <w:rPr>
          <w:rFonts w:ascii="Tw Cen MT" w:eastAsia="Twentieth Century" w:hAnsi="Tw Cen MT" w:cs="Twentieth Century"/>
          <w:sz w:val="24"/>
          <w:szCs w:val="24"/>
        </w:rPr>
        <w:t xml:space="preserve">. Pada primigravida menunjukkan kurangnya pengetahuan, informasi dan komunikasi yang buruk antara wanita dan pemberi asuhannya turut mempengaruhi persepsi wanita tentang gejala mual dan  muntah. Sedangkan perjalanan ketempat kerja yang mungkin terburu-buru di pagi hari tanpa waktu yang cukup untuk sarapan dapat menyebabkan mual dan muntah. Tergantung pada sifat pekerjaan wanita, aroma, zat kimia, atau lingkungan dapat menambah rasa mual wanita menyebabkan mereka muntah </w:t>
      </w:r>
      <w:sdt>
        <w:sdtPr>
          <w:rPr>
            <w:rFonts w:ascii="Tw Cen MT" w:eastAsia="Twentieth Century" w:hAnsi="Tw Cen MT" w:cs="Twentieth Century"/>
            <w:color w:val="000000"/>
            <w:sz w:val="24"/>
            <w:szCs w:val="24"/>
          </w:rPr>
          <w:tag w:val="MENDELEY_CITATION_v3_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"/>
          <w:id w:val="740602120"/>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[8]</w:t>
          </w:r>
        </w:sdtContent>
      </w:sdt>
      <w:r w:rsidRPr="00EC6E87">
        <w:rPr>
          <w:rFonts w:ascii="Tw Cen MT" w:eastAsia="Twentieth Century" w:hAnsi="Tw Cen MT" w:cs="Twentieth Century"/>
          <w:sz w:val="24"/>
          <w:szCs w:val="24"/>
        </w:rPr>
        <w:t>.</w:t>
      </w:r>
    </w:p>
    <w:p w14:paraId="2D7C459F"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Menurut penelitian Ira (2019) dengan penelitian “Hubungan Antara Paritas dengan Kejadian Emesis Gravidarum” Hasil penelitian menunjukan bahwa dari 65 orang ibu hamil trimester I yang mengalami emesis </w:t>
      </w:r>
    </w:p>
    <w:p w14:paraId="1387B0E4"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gravidarum 40 orang ibu berstatus primigravida dan 25 orang ibu adalah multigravida dengan p value &lt; 0,05 maka dapat disimpulkan bahwa ada hubungan antara paritas dan kejadian emesis gravidarum </w:t>
      </w:r>
      <w:sdt>
        <w:sdtPr>
          <w:rPr>
            <w:rFonts w:ascii="Tw Cen MT" w:eastAsia="Twentieth Century" w:hAnsi="Tw Cen MT" w:cs="Twentieth Century"/>
            <w:color w:val="000000"/>
            <w:sz w:val="24"/>
            <w:szCs w:val="24"/>
          </w:rPr>
          <w:tag w:val="MENDELEY_CITATION_v3_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"/>
          <w:id w:val="-1146201216"/>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[9]</w:t>
          </w:r>
        </w:sdtContent>
      </w:sdt>
      <w:r w:rsidRPr="00EC6E87">
        <w:rPr>
          <w:rFonts w:ascii="Tw Cen MT" w:eastAsia="Twentieth Century" w:hAnsi="Tw Cen MT" w:cs="Twentieth Century"/>
          <w:sz w:val="24"/>
          <w:szCs w:val="24"/>
        </w:rPr>
        <w:t>.</w:t>
      </w:r>
    </w:p>
    <w:p w14:paraId="5799E348"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Emesis gravidarum terjadi juga karena status pekerjaan, banyaknya ibu hamil yang bekerja terburu-buru pada pagi hari tanpa ada waktu yang cukup untuk sarapan dan menyebabkan mual dan muntah. Menurut penelitian Qotimah. dkk (2022) dengan penelitian study tentang paritas dan umur ibu dengan kejadian hipermesis gravidarum di PMB Rifatul Khusniah, S.ST wilayah Kerja Puskesmas Pujon dengan sampel 34 ibu hamil, hasil analisis menunjukan bahwavariabel X1 (Paritas) didapatkan hasil </w:t>
      </w:r>
      <w:r w:rsidRPr="00EC6E87">
        <w:rPr>
          <w:rFonts w:ascii="Tw Cen MT" w:eastAsia="Twentieth Century" w:hAnsi="Tw Cen MT" w:cs="Twentieth Century"/>
          <w:sz w:val="24"/>
          <w:szCs w:val="24"/>
        </w:rPr>
        <w:lastRenderedPageBreak/>
        <w:t xml:space="preserve">nilai analisa thitung&gt;ttabel yaitu 2,932&gt;2,035. Dapat diartikan bahwa ada hubungan yang signifikanantara Paritas dengan Kejadian Hipermesis Gravidarum. Variabel X2 (Umur Ibu) didapatkan hasil nilai analisis yaitu 2,351&gt;2,035. Dapat diartikan bahwa ada hubungan yang signifikan antara Umur Ibu dengan Kejadian Hipermesis Gravidarum. Namun berdebda dengan penelitian Yulida (2020), terdapat 68,8% tidak bekerja dan 31,2% bekerja didapat hasil p value 0,18 artinya tidak ada hubungan pekerjaan dengan emesis gravidarum </w:t>
      </w:r>
      <w:sdt>
        <w:sdtPr>
          <w:rPr>
            <w:rFonts w:ascii="Tw Cen MT" w:eastAsia="Twentieth Century" w:hAnsi="Tw Cen MT" w:cs="Twentieth Century"/>
            <w:color w:val="000000"/>
            <w:sz w:val="24"/>
            <w:szCs w:val="24"/>
          </w:rPr>
          <w:tag w:val="MENDELEY_CITATION_v3_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"/>
          <w:id w:val="845137707"/>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[10]</w:t>
          </w:r>
        </w:sdtContent>
      </w:sdt>
      <w:r w:rsidRPr="00EC6E87">
        <w:rPr>
          <w:rFonts w:ascii="Tw Cen MT" w:eastAsia="Twentieth Century" w:hAnsi="Tw Cen MT" w:cs="Twentieth Century"/>
          <w:sz w:val="24"/>
          <w:szCs w:val="24"/>
        </w:rPr>
        <w:t>.</w:t>
      </w:r>
    </w:p>
    <w:p w14:paraId="45B133CC"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Berdasarkan penelitian yang dilakukan oleh Krisniyawati. dkk (2022) di Puskesmas batu Ampar dengan judul faktor – faktor yang berhubungan dengan kejadian mual muntah diperoleh hasil nilai P-Value&lt;</w:t>
      </w:r>
      <w:r w:rsidRPr="00EC6E87">
        <w:rPr>
          <w:rFonts w:eastAsia="Twentieth Century"/>
          <w:sz w:val="24"/>
          <w:szCs w:val="24"/>
        </w:rPr>
        <w:t>α</w:t>
      </w:r>
      <w:r w:rsidRPr="00EC6E87">
        <w:rPr>
          <w:rFonts w:ascii="Tw Cen MT" w:eastAsia="Twentieth Century" w:hAnsi="Tw Cen MT" w:cs="Twentieth Century"/>
          <w:sz w:val="24"/>
          <w:szCs w:val="24"/>
        </w:rPr>
        <w:t xml:space="preserve"> (0,05) yaitu paritas 0,008, pekerjaan 0,003. terdapat hubungan faktor paritas dan pekerjaan terhadap kejadian mual muntah ibu hamil trimester I di Puskesmas Batu Ampar </w:t>
      </w:r>
      <w:sdt>
        <w:sdtPr>
          <w:rPr>
            <w:rFonts w:ascii="Tw Cen MT" w:eastAsia="Twentieth Century" w:hAnsi="Tw Cen MT" w:cs="Twentieth Century"/>
            <w:color w:val="000000"/>
            <w:sz w:val="24"/>
            <w:szCs w:val="24"/>
          </w:rPr>
          <w:tag w:val="MENDELEY_CITATION_v3_eyJjaXRhdGlvbklEIjoiTUVOREVMRVlfQ0lUQVRJT05fNmVjOTA1MTAtNDI4Yi00YTE3LTllN2ItYzEwZDAwYjU4MDAy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
          <w:id w:val="-1869372121"/>
          <w:placeholder>
            <w:docPart w:val="82DD9AD8166A674B98E22B75E41302FE"/>
          </w:placeholder>
        </w:sdtPr>
        <w:sdtEndPr>
          <w:rPr>
            <w:rFonts w:eastAsiaTheme="minorEastAsia" w:cs="Calibri"/>
            <w:sz w:val="21"/>
            <w:szCs w:val="21"/>
          </w:rPr>
        </w:sdtEndPr>
        <w:sdtContent>
          <w:r w:rsidRPr="00EC6E87">
            <w:rPr>
              <w:rFonts w:ascii="Tw Cen MT" w:hAnsi="Tw Cen MT"/>
              <w:color w:val="000000"/>
            </w:rPr>
            <w:t>[11]</w:t>
          </w:r>
        </w:sdtContent>
      </w:sdt>
      <w:r w:rsidRPr="00EC6E87">
        <w:rPr>
          <w:rFonts w:ascii="Tw Cen MT" w:eastAsia="Twentieth Century" w:hAnsi="Tw Cen MT" w:cs="Twentieth Century"/>
          <w:sz w:val="24"/>
          <w:szCs w:val="24"/>
        </w:rPr>
        <w:t>.</w:t>
      </w:r>
    </w:p>
    <w:p w14:paraId="3A1CEF81"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Mual dan muntah merupakan gejala umum yang dialami oleh banyak Wanita hamil, terutama pada trimester pertama kehamilan. Meskipun biasanya tidak berbahaya, mual dan muntah yang parah dapat berdampak signifikan pada Kesehatan ibu dan janin. Oleh karena itu, Ibu hamil sangat berperan penting dalam mengelola gejala ini dengan baik.</w:t>
      </w:r>
    </w:p>
    <w:p w14:paraId="031CEBE7"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Mual muntah pada ibu hamil dapat berdampak signifikan terhadap kemampuan ibu hamil untuk bekerja dan juga memiliki implikasi yang terkait dengan paritas. Kejadian mual muntah yang apabila dialami secara terus menerus dapat menyebabkan penurunan produktivitas dan konsentrasi di tempat kerja, sehingga ibu hamil mungkin merasa sulit untuk menyelesaikan tugas-tugas mereka secara efisien. Selain itu, ibu hamil akan sering absensi yang dapat mempengaruhi karier dan posisi mereka ditempat kerja. Kondisi lingkungan kerja yang bau menyengat atau pekerjaan fisik berat dapat memperburuk gejala mual dan muntah. Oleh karena itu, rasa tidak nyaman yang terus menerus dan kelelahan dapat mempengaruhi </w:t>
      </w:r>
      <w:r w:rsidRPr="00EC6E87">
        <w:rPr>
          <w:rFonts w:ascii="Tw Cen MT" w:eastAsia="Twentieth Century" w:hAnsi="Tw Cen MT" w:cs="Twentieth Century"/>
          <w:sz w:val="24"/>
          <w:szCs w:val="24"/>
        </w:rPr>
        <w:t>mental ibu hamil yang dapat berimbas pada kinerja mereka ditempat kerja.</w:t>
      </w:r>
    </w:p>
    <w:p w14:paraId="0792ADB3"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Mual muntah juga berdampak terhadap paritas ibu yang memiliki pengalaman yang berbeda pada setiap kehamilannya. Ibu multipraritas mungkin menghadapi tantangan tambahan dalam mengelola gejala mual muntah, dalam merawat anaknya dan juga pengalaman mual muntah yang parah pada kehamilan sebelumnya dapat mempengaruhi Keputusan pasangan terkait jumlah anak yang diinginkan, karena kekhawatiran akan mengalami kondisi yang sama di masa depan.</w:t>
      </w:r>
    </w:p>
    <w:p w14:paraId="211E6906" w14:textId="77777777" w:rsidR="00D623AA" w:rsidRPr="00EC6E87" w:rsidRDefault="00D623AA" w:rsidP="00D623AA">
      <w:pPr>
        <w:spacing w:after="0" w:line="240" w:lineRule="auto"/>
        <w:jc w:val="both"/>
        <w:rPr>
          <w:rFonts w:ascii="Tw Cen MT" w:eastAsia="Twentieth Century" w:hAnsi="Tw Cen MT" w:cs="Twentieth Century"/>
          <w:sz w:val="24"/>
          <w:szCs w:val="24"/>
        </w:rPr>
      </w:pPr>
      <w:r w:rsidRPr="00EC6E87">
        <w:rPr>
          <w:rFonts w:ascii="Tw Cen MT" w:eastAsia="Twentieth Century" w:hAnsi="Tw Cen MT" w:cs="Twentieth Century"/>
          <w:sz w:val="24"/>
          <w:szCs w:val="24"/>
        </w:rPr>
        <w:t xml:space="preserve">Urgensi mual dan muntah pada ibu hamil sangat penting karena dapat mempengaruhi aspek kehidupan sehari-hari, termasuk pekerjaan dan pengelolaan tanggung jawab keluarga. Dukungan dari tempat kerja, keluarga, dan tenaga Kesehatan sangat penting untuk membantu   </w:t>
      </w:r>
    </w:p>
    <w:p w14:paraId="1027822F" w14:textId="27075378" w:rsidR="007106F6" w:rsidRPr="00670F42" w:rsidRDefault="00D623AA" w:rsidP="00D623AA">
      <w:pPr>
        <w:spacing w:after="0" w:line="240" w:lineRule="auto"/>
        <w:jc w:val="both"/>
        <w:rPr>
          <w:rFonts w:ascii="Tw Cen MT" w:hAnsi="Tw Cen MT"/>
          <w:sz w:val="24"/>
          <w:szCs w:val="24"/>
        </w:rPr>
      </w:pPr>
      <w:r w:rsidRPr="00EC6E87">
        <w:rPr>
          <w:rFonts w:ascii="Tw Cen MT" w:eastAsia="Twentieth Century" w:hAnsi="Tw Cen MT" w:cs="Twentieth Century"/>
          <w:sz w:val="24"/>
          <w:szCs w:val="24"/>
        </w:rPr>
        <w:t>Berdasarkan uraian diatas maka penulis malakukan penelitian dengan judul “Hubungan Paritas dan Pekrjaan Ibu Terhadap Kejadian Mual Muntah di Wilayah Kerja Puskesmas Payung Sekaki</w:t>
      </w:r>
      <w:r>
        <w:rPr>
          <w:rFonts w:ascii="Tw Cen MT" w:eastAsia="Twentieth Century" w:hAnsi="Tw Cen MT" w:cs="Twentieth Century"/>
          <w:sz w:val="24"/>
          <w:szCs w:val="24"/>
        </w:rPr>
        <w:t>.</w:t>
      </w:r>
    </w:p>
    <w:p w14:paraId="6791C151" w14:textId="77777777" w:rsidR="00670F42" w:rsidRPr="00341E1A" w:rsidRDefault="00670F42" w:rsidP="00670F42">
      <w:pPr>
        <w:spacing w:after="0" w:line="240" w:lineRule="auto"/>
        <w:jc w:val="both"/>
        <w:rPr>
          <w:rFonts w:ascii="Tw Cen MT" w:eastAsia="Twentieth Century" w:hAnsi="Tw Cen MT" w:cs="Twentieth Century"/>
          <w:sz w:val="24"/>
          <w:szCs w:val="24"/>
        </w:rPr>
      </w:pPr>
    </w:p>
    <w:p w14:paraId="23057487" w14:textId="73DA2B47" w:rsidR="0009216C" w:rsidRPr="00FB6AF4" w:rsidRDefault="007106F6" w:rsidP="00F0256B">
      <w:pPr>
        <w:spacing w:after="0" w:line="240" w:lineRule="auto"/>
        <w:jc w:val="both"/>
        <w:rPr>
          <w:rFonts w:ascii="Tw Cen MT" w:eastAsia="Twentieth Century" w:hAnsi="Tw Cen MT" w:cs="Twentieth Century"/>
          <w:b/>
          <w:sz w:val="24"/>
          <w:szCs w:val="24"/>
        </w:rPr>
      </w:pPr>
      <w:r w:rsidRPr="00FB6AF4">
        <w:rPr>
          <w:rFonts w:ascii="Tw Cen MT" w:eastAsia="Twentieth Century" w:hAnsi="Tw Cen MT" w:cs="Twentieth Century"/>
          <w:b/>
          <w:sz w:val="24"/>
          <w:szCs w:val="24"/>
        </w:rPr>
        <w:t xml:space="preserve">METODE </w:t>
      </w:r>
    </w:p>
    <w:p w14:paraId="2BAB17F4" w14:textId="713E63CA" w:rsidR="0009216C" w:rsidRPr="00FB6AF4" w:rsidRDefault="00D623AA" w:rsidP="006F1B65">
      <w:pPr>
        <w:tabs>
          <w:tab w:val="left" w:pos="426"/>
        </w:tabs>
        <w:spacing w:after="0" w:line="240" w:lineRule="auto"/>
        <w:jc w:val="both"/>
        <w:rPr>
          <w:rFonts w:ascii="Tw Cen MT" w:eastAsia="Twentieth Century" w:hAnsi="Tw Cen MT" w:cs="Twentieth Century"/>
          <w:sz w:val="24"/>
          <w:szCs w:val="24"/>
          <w:lang w:val="id" w:eastAsia="en-GB"/>
        </w:rPr>
      </w:pPr>
      <w:r w:rsidRPr="00EC6E87">
        <w:rPr>
          <w:rFonts w:ascii="Tw Cen MT" w:eastAsia="Twentieth Century" w:hAnsi="Tw Cen MT" w:cs="Twentieth Century"/>
          <w:sz w:val="24"/>
          <w:szCs w:val="24"/>
        </w:rPr>
        <w:t xml:space="preserve">Penelitian ini menggunakan metode penelitian kuantitatif analitik dengan pendekatan </w:t>
      </w:r>
      <w:r w:rsidRPr="00EC6E87">
        <w:rPr>
          <w:rFonts w:ascii="Tw Cen MT" w:eastAsia="Twentieth Century" w:hAnsi="Tw Cen MT" w:cs="Twentieth Century"/>
          <w:i/>
          <w:iCs/>
          <w:sz w:val="24"/>
          <w:szCs w:val="24"/>
        </w:rPr>
        <w:t>crossectional study</w:t>
      </w:r>
      <w:r w:rsidRPr="00EC6E87">
        <w:rPr>
          <w:rFonts w:ascii="Tw Cen MT" w:eastAsia="Twentieth Century" w:hAnsi="Tw Cen MT" w:cs="Twentieth Century"/>
          <w:sz w:val="24"/>
          <w:szCs w:val="24"/>
        </w:rPr>
        <w:t xml:space="preserve">. Untuk mengetahui hubungan paritas dan pekerjaan ibu dengan kejadian mual muntah. Populasi dalam penelitian ini adalah ibu hamil TM I yang berada di wilayah kerja puskesmas Payung Sekaki melalui teknik pengambilan sampel </w:t>
      </w:r>
      <w:r w:rsidRPr="00EC6E87">
        <w:rPr>
          <w:rFonts w:ascii="Tw Cen MT" w:eastAsia="Twentieth Century" w:hAnsi="Tw Cen MT" w:cs="Twentieth Century"/>
          <w:i/>
          <w:iCs/>
          <w:sz w:val="24"/>
          <w:szCs w:val="24"/>
        </w:rPr>
        <w:t>random sampling</w:t>
      </w:r>
      <w:r w:rsidRPr="00EC6E87">
        <w:rPr>
          <w:rFonts w:ascii="Tw Cen MT" w:eastAsia="Twentieth Century" w:hAnsi="Tw Cen MT" w:cs="Twentieth Century"/>
          <w:sz w:val="24"/>
          <w:szCs w:val="24"/>
        </w:rPr>
        <w:t xml:space="preserve"> dengan jumlah sampel sebanyak 46 orang. Metode pengumpulan data melalui kuesioner dengan menggunakan skala likert. Pengolahan data dilakukan dengan analisasi univariat dan bevariat. Analisa data bivariat menggunakan uji </w:t>
      </w:r>
      <w:r w:rsidRPr="00EC6E87">
        <w:rPr>
          <w:rFonts w:ascii="Tw Cen MT" w:eastAsia="Twentieth Century" w:hAnsi="Tw Cen MT" w:cs="Twentieth Century"/>
          <w:i/>
          <w:iCs/>
          <w:sz w:val="24"/>
          <w:szCs w:val="24"/>
        </w:rPr>
        <w:t xml:space="preserve">chi-square </w:t>
      </w:r>
      <w:r w:rsidRPr="00EC6E87">
        <w:rPr>
          <w:rFonts w:ascii="Tw Cen MT" w:eastAsia="Twentieth Century" w:hAnsi="Tw Cen MT" w:cs="Twentieth Century"/>
          <w:sz w:val="24"/>
          <w:szCs w:val="24"/>
        </w:rPr>
        <w:t>dengan derajat kepercayaan 95%</w:t>
      </w:r>
      <w:r>
        <w:rPr>
          <w:rFonts w:ascii="Tw Cen MT" w:eastAsia="Twentieth Century" w:hAnsi="Tw Cen MT" w:cs="Twentieth Century"/>
          <w:sz w:val="24"/>
          <w:szCs w:val="24"/>
        </w:rPr>
        <w:t>.</w:t>
      </w:r>
    </w:p>
    <w:p w14:paraId="6A2FB3A1" w14:textId="77777777" w:rsidR="004721E3" w:rsidRPr="0009216C" w:rsidRDefault="004721E3" w:rsidP="00F0256B">
      <w:pPr>
        <w:tabs>
          <w:tab w:val="left" w:pos="426"/>
        </w:tabs>
        <w:spacing w:after="0" w:line="240" w:lineRule="auto"/>
        <w:jc w:val="both"/>
        <w:rPr>
          <w:rFonts w:ascii="Tw Cen MT" w:eastAsia="Twentieth Century" w:hAnsi="Tw Cen MT" w:cs="Twentieth Century"/>
          <w:sz w:val="24"/>
          <w:szCs w:val="24"/>
          <w:lang w:val="id"/>
        </w:rPr>
      </w:pPr>
    </w:p>
    <w:p w14:paraId="1236D904" w14:textId="77777777" w:rsidR="00D623AA" w:rsidRDefault="00D623AA" w:rsidP="00F0256B">
      <w:pPr>
        <w:tabs>
          <w:tab w:val="left" w:pos="426"/>
        </w:tabs>
        <w:spacing w:after="0" w:line="240" w:lineRule="auto"/>
        <w:jc w:val="both"/>
        <w:rPr>
          <w:rFonts w:ascii="Tw Cen MT" w:eastAsia="Twentieth Century" w:hAnsi="Tw Cen MT" w:cs="Twentieth Century"/>
          <w:b/>
          <w:sz w:val="24"/>
          <w:szCs w:val="24"/>
        </w:rPr>
      </w:pPr>
    </w:p>
    <w:p w14:paraId="1BA0ACFB" w14:textId="77777777" w:rsidR="00D623AA" w:rsidRDefault="00D623AA" w:rsidP="00F0256B">
      <w:pPr>
        <w:tabs>
          <w:tab w:val="left" w:pos="426"/>
        </w:tabs>
        <w:spacing w:after="0" w:line="240" w:lineRule="auto"/>
        <w:jc w:val="both"/>
        <w:rPr>
          <w:rFonts w:ascii="Tw Cen MT" w:eastAsia="Twentieth Century" w:hAnsi="Tw Cen MT" w:cs="Twentieth Century"/>
          <w:b/>
          <w:sz w:val="24"/>
          <w:szCs w:val="24"/>
        </w:rPr>
      </w:pPr>
    </w:p>
    <w:p w14:paraId="17CF4850" w14:textId="77777777" w:rsidR="00D623AA" w:rsidRDefault="00D623AA" w:rsidP="00F0256B">
      <w:pPr>
        <w:tabs>
          <w:tab w:val="left" w:pos="426"/>
        </w:tabs>
        <w:spacing w:after="0" w:line="240" w:lineRule="auto"/>
        <w:jc w:val="both"/>
        <w:rPr>
          <w:rFonts w:ascii="Tw Cen MT" w:eastAsia="Twentieth Century" w:hAnsi="Tw Cen MT" w:cs="Twentieth Century"/>
          <w:b/>
          <w:sz w:val="24"/>
          <w:szCs w:val="24"/>
        </w:rPr>
      </w:pPr>
    </w:p>
    <w:p w14:paraId="73FB8D1E" w14:textId="7E18C876" w:rsidR="007106F6"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HASIL DAN PEMBAHASAN</w:t>
      </w:r>
    </w:p>
    <w:p w14:paraId="1AE96C8C"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Hasil penelitian yang dilakukan terhadap 46 responden dilakukan analisis univariat dan analisis bivariat. </w:t>
      </w:r>
    </w:p>
    <w:p w14:paraId="07F60204" w14:textId="77777777" w:rsidR="00D623AA" w:rsidRPr="00D623AA" w:rsidRDefault="00D623AA" w:rsidP="00D623AA">
      <w:pPr>
        <w:numPr>
          <w:ilvl w:val="0"/>
          <w:numId w:val="7"/>
        </w:numPr>
        <w:tabs>
          <w:tab w:val="left" w:pos="426"/>
        </w:tabs>
        <w:spacing w:after="0" w:line="240" w:lineRule="auto"/>
        <w:ind w:left="426" w:hanging="426"/>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Anaisis Univariat</w:t>
      </w:r>
    </w:p>
    <w:p w14:paraId="03B80E0D"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Analisa univariat dilakukan untuk mengetahui distribusi frekuensi paritas dan pekerjaan ibu hamil. </w:t>
      </w:r>
    </w:p>
    <w:p w14:paraId="46FFBDD9"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Tabel 1. Distribusi Frekuensi Responden Berdasarkan Parias, Pekerjaan dan Kejadian Mual Muntah di Wilayah kerja Puskesmas Payung Sekaki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993"/>
        <w:gridCol w:w="992"/>
      </w:tblGrid>
      <w:tr w:rsidR="00D623AA" w:rsidRPr="00D623AA" w14:paraId="4ECBA50E" w14:textId="77777777" w:rsidTr="00182D65">
        <w:tc>
          <w:tcPr>
            <w:tcW w:w="2376" w:type="dxa"/>
            <w:vMerge w:val="restart"/>
            <w:shd w:val="clear" w:color="auto" w:fill="auto"/>
          </w:tcPr>
          <w:p w14:paraId="5C22FF5A"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Variabel  </w:t>
            </w:r>
          </w:p>
        </w:tc>
        <w:tc>
          <w:tcPr>
            <w:tcW w:w="1985" w:type="dxa"/>
            <w:gridSpan w:val="2"/>
            <w:shd w:val="clear" w:color="auto" w:fill="auto"/>
          </w:tcPr>
          <w:p w14:paraId="45AB1183"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Jumlah</w:t>
            </w:r>
          </w:p>
        </w:tc>
      </w:tr>
      <w:tr w:rsidR="00D623AA" w:rsidRPr="00D623AA" w14:paraId="4FD736F9" w14:textId="77777777" w:rsidTr="00182D65">
        <w:tc>
          <w:tcPr>
            <w:tcW w:w="2376" w:type="dxa"/>
            <w:vMerge/>
            <w:tcBorders>
              <w:bottom w:val="single" w:sz="4" w:space="0" w:color="auto"/>
            </w:tcBorders>
            <w:shd w:val="clear" w:color="auto" w:fill="auto"/>
          </w:tcPr>
          <w:p w14:paraId="7587FB73"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c>
          <w:tcPr>
            <w:tcW w:w="993" w:type="dxa"/>
            <w:tcBorders>
              <w:bottom w:val="single" w:sz="4" w:space="0" w:color="auto"/>
            </w:tcBorders>
            <w:shd w:val="clear" w:color="auto" w:fill="auto"/>
          </w:tcPr>
          <w:p w14:paraId="7CC66428"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F</w:t>
            </w:r>
          </w:p>
        </w:tc>
        <w:tc>
          <w:tcPr>
            <w:tcW w:w="992" w:type="dxa"/>
            <w:tcBorders>
              <w:bottom w:val="single" w:sz="4" w:space="0" w:color="auto"/>
            </w:tcBorders>
            <w:shd w:val="clear" w:color="auto" w:fill="auto"/>
          </w:tcPr>
          <w:p w14:paraId="61FD5C9F"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w:t>
            </w:r>
          </w:p>
        </w:tc>
      </w:tr>
      <w:tr w:rsidR="00D623AA" w:rsidRPr="00D623AA" w14:paraId="2E8256A3" w14:textId="77777777" w:rsidTr="00182D65">
        <w:tc>
          <w:tcPr>
            <w:tcW w:w="2376" w:type="dxa"/>
            <w:tcBorders>
              <w:bottom w:val="nil"/>
            </w:tcBorders>
            <w:shd w:val="clear" w:color="auto" w:fill="auto"/>
          </w:tcPr>
          <w:p w14:paraId="0E64C7ED" w14:textId="77777777" w:rsidR="00D623AA" w:rsidRPr="00D623AA" w:rsidRDefault="00D623AA" w:rsidP="00D623AA">
            <w:pPr>
              <w:numPr>
                <w:ilvl w:val="0"/>
                <w:numId w:val="8"/>
              </w:numPr>
              <w:spacing w:after="0" w:line="240" w:lineRule="auto"/>
              <w:ind w:left="284" w:hanging="284"/>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Paritas </w:t>
            </w:r>
          </w:p>
          <w:p w14:paraId="4B567DED" w14:textId="77777777" w:rsidR="00D623AA" w:rsidRPr="00D623AA" w:rsidRDefault="00D623AA" w:rsidP="00D623AA">
            <w:pPr>
              <w:spacing w:after="0" w:line="240" w:lineRule="auto"/>
              <w:ind w:left="851"/>
              <w:jc w:val="both"/>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Multipara </w:t>
            </w:r>
          </w:p>
        </w:tc>
        <w:tc>
          <w:tcPr>
            <w:tcW w:w="993" w:type="dxa"/>
            <w:tcBorders>
              <w:bottom w:val="nil"/>
            </w:tcBorders>
            <w:shd w:val="clear" w:color="auto" w:fill="auto"/>
          </w:tcPr>
          <w:p w14:paraId="5029DB17"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70C6F411"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24</w:t>
            </w:r>
          </w:p>
        </w:tc>
        <w:tc>
          <w:tcPr>
            <w:tcW w:w="992" w:type="dxa"/>
            <w:tcBorders>
              <w:bottom w:val="nil"/>
            </w:tcBorders>
            <w:shd w:val="clear" w:color="auto" w:fill="auto"/>
          </w:tcPr>
          <w:p w14:paraId="1B8E33E7"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3969E4FB"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52,2</w:t>
            </w:r>
          </w:p>
        </w:tc>
      </w:tr>
      <w:tr w:rsidR="00D623AA" w:rsidRPr="00D623AA" w14:paraId="7C055ECA" w14:textId="77777777" w:rsidTr="00182D65">
        <w:tc>
          <w:tcPr>
            <w:tcW w:w="2376" w:type="dxa"/>
            <w:tcBorders>
              <w:top w:val="nil"/>
              <w:bottom w:val="single" w:sz="4" w:space="0" w:color="auto"/>
            </w:tcBorders>
            <w:shd w:val="clear" w:color="auto" w:fill="auto"/>
          </w:tcPr>
          <w:p w14:paraId="594282CE" w14:textId="77777777" w:rsidR="00D623AA" w:rsidRPr="00D623AA" w:rsidRDefault="00D623AA" w:rsidP="00D623AA">
            <w:pPr>
              <w:spacing w:after="0" w:line="240" w:lineRule="auto"/>
              <w:ind w:left="851"/>
              <w:jc w:val="both"/>
              <w:rPr>
                <w:rFonts w:ascii="Tw Cen MT" w:eastAsia="Twentieth Century" w:hAnsi="Tw Cen MT" w:cs="Twentieth Century"/>
                <w:sz w:val="20"/>
                <w:szCs w:val="20"/>
              </w:rPr>
            </w:pPr>
            <w:r w:rsidRPr="00D623AA">
              <w:rPr>
                <w:rFonts w:ascii="Tw Cen MT" w:eastAsia="Twentieth Century" w:hAnsi="Tw Cen MT" w:cs="Twentieth Century"/>
                <w:sz w:val="20"/>
                <w:szCs w:val="20"/>
              </w:rPr>
              <w:t>Primipara</w:t>
            </w:r>
          </w:p>
        </w:tc>
        <w:tc>
          <w:tcPr>
            <w:tcW w:w="993" w:type="dxa"/>
            <w:tcBorders>
              <w:top w:val="nil"/>
              <w:bottom w:val="single" w:sz="4" w:space="0" w:color="auto"/>
            </w:tcBorders>
            <w:shd w:val="clear" w:color="auto" w:fill="auto"/>
          </w:tcPr>
          <w:p w14:paraId="67A0FFA3"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22</w:t>
            </w:r>
          </w:p>
        </w:tc>
        <w:tc>
          <w:tcPr>
            <w:tcW w:w="992" w:type="dxa"/>
            <w:tcBorders>
              <w:top w:val="nil"/>
              <w:bottom w:val="single" w:sz="4" w:space="0" w:color="auto"/>
            </w:tcBorders>
            <w:shd w:val="clear" w:color="auto" w:fill="auto"/>
          </w:tcPr>
          <w:p w14:paraId="267BF226"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47,8</w:t>
            </w:r>
          </w:p>
        </w:tc>
      </w:tr>
      <w:tr w:rsidR="00D623AA" w:rsidRPr="00D623AA" w14:paraId="568AD3AB" w14:textId="77777777" w:rsidTr="00182D65">
        <w:tc>
          <w:tcPr>
            <w:tcW w:w="2376" w:type="dxa"/>
            <w:tcBorders>
              <w:bottom w:val="nil"/>
            </w:tcBorders>
            <w:shd w:val="clear" w:color="auto" w:fill="auto"/>
          </w:tcPr>
          <w:p w14:paraId="7512540E" w14:textId="77777777" w:rsidR="00D623AA" w:rsidRPr="00D623AA" w:rsidRDefault="00D623AA" w:rsidP="00D623AA">
            <w:pPr>
              <w:numPr>
                <w:ilvl w:val="0"/>
                <w:numId w:val="8"/>
              </w:numPr>
              <w:spacing w:after="0" w:line="240" w:lineRule="auto"/>
              <w:ind w:left="284" w:hanging="284"/>
              <w:rPr>
                <w:rFonts w:ascii="Tw Cen MT" w:eastAsia="Twentieth Century" w:hAnsi="Tw Cen MT" w:cs="Twentieth Century"/>
                <w:sz w:val="20"/>
                <w:szCs w:val="20"/>
              </w:rPr>
            </w:pPr>
            <w:r w:rsidRPr="00D623AA">
              <w:rPr>
                <w:rFonts w:ascii="Tw Cen MT" w:eastAsia="Twentieth Century" w:hAnsi="Tw Cen MT" w:cs="Twentieth Century"/>
                <w:sz w:val="20"/>
                <w:szCs w:val="20"/>
              </w:rPr>
              <w:t>Pekerjaan</w:t>
            </w:r>
          </w:p>
          <w:p w14:paraId="5B2F93D9" w14:textId="77777777" w:rsidR="00D623AA" w:rsidRPr="00D623AA" w:rsidRDefault="00D623AA" w:rsidP="00D623AA">
            <w:pPr>
              <w:spacing w:after="0" w:line="240" w:lineRule="auto"/>
              <w:ind w:left="851"/>
              <w:jc w:val="both"/>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Tidak Bekerja </w:t>
            </w:r>
          </w:p>
        </w:tc>
        <w:tc>
          <w:tcPr>
            <w:tcW w:w="993" w:type="dxa"/>
            <w:tcBorders>
              <w:bottom w:val="nil"/>
            </w:tcBorders>
            <w:shd w:val="clear" w:color="auto" w:fill="auto"/>
          </w:tcPr>
          <w:p w14:paraId="4B47C1ED"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1AE76FA0"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25</w:t>
            </w:r>
          </w:p>
        </w:tc>
        <w:tc>
          <w:tcPr>
            <w:tcW w:w="992" w:type="dxa"/>
            <w:tcBorders>
              <w:bottom w:val="nil"/>
            </w:tcBorders>
            <w:shd w:val="clear" w:color="auto" w:fill="auto"/>
          </w:tcPr>
          <w:p w14:paraId="3BB20E63"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38DECDD2"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54,3</w:t>
            </w:r>
          </w:p>
        </w:tc>
      </w:tr>
      <w:tr w:rsidR="00D623AA" w:rsidRPr="00D623AA" w14:paraId="1F9E53B5" w14:textId="77777777" w:rsidTr="00182D65">
        <w:tc>
          <w:tcPr>
            <w:tcW w:w="2376" w:type="dxa"/>
            <w:tcBorders>
              <w:top w:val="nil"/>
              <w:bottom w:val="single" w:sz="4" w:space="0" w:color="auto"/>
            </w:tcBorders>
            <w:shd w:val="clear" w:color="auto" w:fill="auto"/>
          </w:tcPr>
          <w:p w14:paraId="26E733EB" w14:textId="77777777" w:rsidR="00D623AA" w:rsidRPr="00D623AA" w:rsidRDefault="00D623AA" w:rsidP="00D623AA">
            <w:pPr>
              <w:spacing w:after="0" w:line="240" w:lineRule="auto"/>
              <w:ind w:left="851"/>
              <w:jc w:val="both"/>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Bekerja </w:t>
            </w:r>
          </w:p>
        </w:tc>
        <w:tc>
          <w:tcPr>
            <w:tcW w:w="993" w:type="dxa"/>
            <w:tcBorders>
              <w:top w:val="nil"/>
              <w:bottom w:val="single" w:sz="4" w:space="0" w:color="auto"/>
            </w:tcBorders>
            <w:shd w:val="clear" w:color="auto" w:fill="auto"/>
          </w:tcPr>
          <w:p w14:paraId="0EBF8E53"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21</w:t>
            </w:r>
          </w:p>
        </w:tc>
        <w:tc>
          <w:tcPr>
            <w:tcW w:w="992" w:type="dxa"/>
            <w:tcBorders>
              <w:top w:val="nil"/>
              <w:bottom w:val="single" w:sz="4" w:space="0" w:color="auto"/>
            </w:tcBorders>
            <w:shd w:val="clear" w:color="auto" w:fill="auto"/>
          </w:tcPr>
          <w:p w14:paraId="65C3B25C"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45,7</w:t>
            </w:r>
          </w:p>
        </w:tc>
      </w:tr>
      <w:tr w:rsidR="00D623AA" w:rsidRPr="00D623AA" w14:paraId="5F88484A" w14:textId="77777777" w:rsidTr="00182D65">
        <w:tc>
          <w:tcPr>
            <w:tcW w:w="2376" w:type="dxa"/>
            <w:tcBorders>
              <w:bottom w:val="nil"/>
            </w:tcBorders>
            <w:shd w:val="clear" w:color="auto" w:fill="auto"/>
          </w:tcPr>
          <w:p w14:paraId="17FE09E4" w14:textId="77777777" w:rsidR="00D623AA" w:rsidRPr="00D623AA" w:rsidRDefault="00D623AA" w:rsidP="00D623AA">
            <w:pPr>
              <w:numPr>
                <w:ilvl w:val="0"/>
                <w:numId w:val="8"/>
              </w:numPr>
              <w:spacing w:after="0" w:line="240" w:lineRule="auto"/>
              <w:ind w:left="284" w:hanging="284"/>
              <w:rPr>
                <w:rFonts w:ascii="Tw Cen MT" w:eastAsia="Twentieth Century" w:hAnsi="Tw Cen MT" w:cs="Twentieth Century"/>
                <w:sz w:val="20"/>
                <w:szCs w:val="20"/>
              </w:rPr>
            </w:pPr>
            <w:r w:rsidRPr="00D623AA">
              <w:rPr>
                <w:rFonts w:ascii="Tw Cen MT" w:eastAsia="Twentieth Century" w:hAnsi="Tw Cen MT" w:cs="Twentieth Century"/>
                <w:sz w:val="20"/>
                <w:szCs w:val="20"/>
              </w:rPr>
              <w:t>Mual Muntah</w:t>
            </w:r>
          </w:p>
          <w:p w14:paraId="07CE4015" w14:textId="77777777" w:rsidR="00D623AA" w:rsidRPr="00D623AA" w:rsidRDefault="00D623AA" w:rsidP="00D623AA">
            <w:pPr>
              <w:spacing w:after="0" w:line="240" w:lineRule="auto"/>
              <w:ind w:left="851"/>
              <w:jc w:val="both"/>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Tidak </w:t>
            </w:r>
          </w:p>
        </w:tc>
        <w:tc>
          <w:tcPr>
            <w:tcW w:w="993" w:type="dxa"/>
            <w:tcBorders>
              <w:bottom w:val="nil"/>
            </w:tcBorders>
            <w:shd w:val="clear" w:color="auto" w:fill="auto"/>
          </w:tcPr>
          <w:p w14:paraId="0E7D075A"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6D8FB121"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26</w:t>
            </w:r>
          </w:p>
        </w:tc>
        <w:tc>
          <w:tcPr>
            <w:tcW w:w="992" w:type="dxa"/>
            <w:tcBorders>
              <w:bottom w:val="nil"/>
            </w:tcBorders>
            <w:shd w:val="clear" w:color="auto" w:fill="auto"/>
          </w:tcPr>
          <w:p w14:paraId="3C8B29FD"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41D69112"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56,5</w:t>
            </w:r>
          </w:p>
        </w:tc>
      </w:tr>
      <w:tr w:rsidR="00D623AA" w:rsidRPr="00D623AA" w14:paraId="09489853" w14:textId="77777777" w:rsidTr="00182D65">
        <w:tc>
          <w:tcPr>
            <w:tcW w:w="2376" w:type="dxa"/>
            <w:tcBorders>
              <w:top w:val="nil"/>
            </w:tcBorders>
            <w:shd w:val="clear" w:color="auto" w:fill="auto"/>
          </w:tcPr>
          <w:p w14:paraId="0A4A162E" w14:textId="77777777" w:rsidR="00D623AA" w:rsidRPr="00D623AA" w:rsidRDefault="00D623AA" w:rsidP="00D623AA">
            <w:pPr>
              <w:spacing w:after="0" w:line="240" w:lineRule="auto"/>
              <w:ind w:left="851"/>
              <w:jc w:val="both"/>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Ya </w:t>
            </w:r>
          </w:p>
        </w:tc>
        <w:tc>
          <w:tcPr>
            <w:tcW w:w="993" w:type="dxa"/>
            <w:tcBorders>
              <w:top w:val="nil"/>
            </w:tcBorders>
            <w:shd w:val="clear" w:color="auto" w:fill="auto"/>
          </w:tcPr>
          <w:p w14:paraId="57418746"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20</w:t>
            </w:r>
          </w:p>
        </w:tc>
        <w:tc>
          <w:tcPr>
            <w:tcW w:w="992" w:type="dxa"/>
            <w:tcBorders>
              <w:top w:val="nil"/>
            </w:tcBorders>
            <w:shd w:val="clear" w:color="auto" w:fill="auto"/>
          </w:tcPr>
          <w:p w14:paraId="07EF7AD9"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43,5</w:t>
            </w:r>
          </w:p>
        </w:tc>
      </w:tr>
    </w:tbl>
    <w:p w14:paraId="41085230"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Berdasarkan data dari table 1. diketahui bahwa sebagian besar responden (52,2%) memiliki paritas multipara sedangkan (47,8%) paritas primipara, sebanyak (54,3%) responden tidak bekerja sedangkan (45,7%) responden bekerja, dan mayoritas responden (56,5%) mengalami mual muntah sedangkan (43,5%) responden tidak mengalami mual muntah. </w:t>
      </w:r>
    </w:p>
    <w:p w14:paraId="7745D174" w14:textId="77777777" w:rsidR="00D623AA" w:rsidRPr="00D623AA" w:rsidRDefault="00D623AA" w:rsidP="00D623AA">
      <w:pPr>
        <w:spacing w:after="0" w:line="240" w:lineRule="auto"/>
        <w:jc w:val="center"/>
        <w:rPr>
          <w:rFonts w:ascii="Tw Cen MT" w:eastAsia="Twentieth Century" w:hAnsi="Tw Cen MT" w:cs="Twentieth Century"/>
        </w:rPr>
      </w:pPr>
    </w:p>
    <w:p w14:paraId="4C813D0F" w14:textId="77777777" w:rsidR="00D623AA" w:rsidRPr="00D623AA" w:rsidRDefault="00D623AA" w:rsidP="00D623AA">
      <w:pPr>
        <w:numPr>
          <w:ilvl w:val="0"/>
          <w:numId w:val="7"/>
        </w:numPr>
        <w:tabs>
          <w:tab w:val="left" w:pos="426"/>
        </w:tabs>
        <w:spacing w:after="0" w:line="240" w:lineRule="auto"/>
        <w:ind w:left="426" w:hanging="426"/>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Analisis Bivariat</w:t>
      </w:r>
    </w:p>
    <w:p w14:paraId="15105446"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Analisa bivariat dilakukan untuk mengetahui hubungan paritas dan pekerjaan terhadap kejadian mual muntah ibu hamil.</w:t>
      </w:r>
    </w:p>
    <w:p w14:paraId="2E7DC385" w14:textId="0F2C774A"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Tabe</w:t>
      </w:r>
      <w:r>
        <w:rPr>
          <w:rFonts w:ascii="Tw Cen MT" w:eastAsia="Twentieth Century" w:hAnsi="Tw Cen MT" w:cs="Twentieth Century"/>
          <w:sz w:val="20"/>
          <w:szCs w:val="20"/>
        </w:rPr>
        <w:t>l</w:t>
      </w:r>
      <w:r w:rsidRPr="00D623AA">
        <w:rPr>
          <w:rFonts w:ascii="Tw Cen MT" w:eastAsia="Twentieth Century" w:hAnsi="Tw Cen MT" w:cs="Twentieth Century"/>
          <w:sz w:val="20"/>
          <w:szCs w:val="20"/>
        </w:rPr>
        <w:t xml:space="preserve"> 2. Hubungan Paritas Terhadap Kejadian Mual Muntah Pada ibu Hamil di Wilayah kerja Puskesmas Payung Sekaki</w:t>
      </w:r>
    </w:p>
    <w:tbl>
      <w:tblPr>
        <w:tblW w:w="439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024"/>
        <w:gridCol w:w="18"/>
        <w:gridCol w:w="397"/>
        <w:gridCol w:w="49"/>
        <w:gridCol w:w="516"/>
        <w:gridCol w:w="75"/>
        <w:gridCol w:w="448"/>
        <w:gridCol w:w="42"/>
        <w:gridCol w:w="549"/>
        <w:gridCol w:w="20"/>
        <w:gridCol w:w="428"/>
        <w:gridCol w:w="137"/>
        <w:gridCol w:w="565"/>
        <w:gridCol w:w="127"/>
      </w:tblGrid>
      <w:tr w:rsidR="00D623AA" w:rsidRPr="00D623AA" w14:paraId="06426510" w14:textId="77777777" w:rsidTr="00182D65">
        <w:trPr>
          <w:gridAfter w:val="1"/>
          <w:wAfter w:w="127" w:type="dxa"/>
        </w:trPr>
        <w:tc>
          <w:tcPr>
            <w:tcW w:w="1010" w:type="dxa"/>
            <w:vMerge w:val="restart"/>
            <w:shd w:val="clear" w:color="auto" w:fill="auto"/>
          </w:tcPr>
          <w:p w14:paraId="29C280BC"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Paritas </w:t>
            </w:r>
          </w:p>
        </w:tc>
        <w:tc>
          <w:tcPr>
            <w:tcW w:w="2545" w:type="dxa"/>
            <w:gridSpan w:val="10"/>
            <w:shd w:val="clear" w:color="auto" w:fill="auto"/>
          </w:tcPr>
          <w:p w14:paraId="25D187B6"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Mual Muntah </w:t>
            </w:r>
          </w:p>
        </w:tc>
        <w:tc>
          <w:tcPr>
            <w:tcW w:w="702" w:type="dxa"/>
            <w:gridSpan w:val="2"/>
            <w:vMerge w:val="restart"/>
            <w:shd w:val="clear" w:color="auto" w:fill="auto"/>
          </w:tcPr>
          <w:p w14:paraId="72501BAB"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P value</w:t>
            </w:r>
          </w:p>
        </w:tc>
      </w:tr>
      <w:tr w:rsidR="00D623AA" w:rsidRPr="00D623AA" w14:paraId="5DDA71E4" w14:textId="77777777" w:rsidTr="00182D65">
        <w:trPr>
          <w:gridAfter w:val="1"/>
          <w:wAfter w:w="127" w:type="dxa"/>
        </w:trPr>
        <w:tc>
          <w:tcPr>
            <w:tcW w:w="1010" w:type="dxa"/>
            <w:vMerge/>
            <w:shd w:val="clear" w:color="auto" w:fill="auto"/>
          </w:tcPr>
          <w:p w14:paraId="3C2BC6B1"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c>
          <w:tcPr>
            <w:tcW w:w="1056" w:type="dxa"/>
            <w:gridSpan w:val="5"/>
            <w:shd w:val="clear" w:color="auto" w:fill="auto"/>
          </w:tcPr>
          <w:p w14:paraId="767250C2"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Tidak</w:t>
            </w:r>
          </w:p>
        </w:tc>
        <w:tc>
          <w:tcPr>
            <w:tcW w:w="1040" w:type="dxa"/>
            <w:gridSpan w:val="3"/>
            <w:shd w:val="clear" w:color="auto" w:fill="auto"/>
          </w:tcPr>
          <w:p w14:paraId="1A91283A"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Ya </w:t>
            </w:r>
          </w:p>
        </w:tc>
        <w:tc>
          <w:tcPr>
            <w:tcW w:w="449" w:type="dxa"/>
            <w:gridSpan w:val="2"/>
            <w:shd w:val="clear" w:color="auto" w:fill="auto"/>
          </w:tcPr>
          <w:p w14:paraId="4DC0F563"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c>
          <w:tcPr>
            <w:tcW w:w="702" w:type="dxa"/>
            <w:gridSpan w:val="2"/>
            <w:vMerge/>
            <w:shd w:val="clear" w:color="auto" w:fill="auto"/>
          </w:tcPr>
          <w:p w14:paraId="7E92B944"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r>
      <w:tr w:rsidR="00D623AA" w:rsidRPr="00D623AA" w14:paraId="4527E7E8" w14:textId="77777777" w:rsidTr="00182D65">
        <w:trPr>
          <w:gridAfter w:val="1"/>
          <w:wAfter w:w="127" w:type="dxa"/>
        </w:trPr>
        <w:tc>
          <w:tcPr>
            <w:tcW w:w="1010" w:type="dxa"/>
            <w:vMerge/>
            <w:tcBorders>
              <w:bottom w:val="single" w:sz="4" w:space="0" w:color="auto"/>
            </w:tcBorders>
            <w:shd w:val="clear" w:color="auto" w:fill="auto"/>
          </w:tcPr>
          <w:p w14:paraId="20503257"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c>
          <w:tcPr>
            <w:tcW w:w="465" w:type="dxa"/>
            <w:gridSpan w:val="3"/>
            <w:tcBorders>
              <w:bottom w:val="single" w:sz="4" w:space="0" w:color="auto"/>
            </w:tcBorders>
            <w:shd w:val="clear" w:color="auto" w:fill="auto"/>
          </w:tcPr>
          <w:p w14:paraId="3FA7E668"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N</w:t>
            </w:r>
          </w:p>
        </w:tc>
        <w:tc>
          <w:tcPr>
            <w:tcW w:w="591" w:type="dxa"/>
            <w:gridSpan w:val="2"/>
            <w:tcBorders>
              <w:bottom w:val="single" w:sz="4" w:space="0" w:color="auto"/>
            </w:tcBorders>
            <w:shd w:val="clear" w:color="auto" w:fill="auto"/>
          </w:tcPr>
          <w:p w14:paraId="273F0377"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w:t>
            </w:r>
          </w:p>
        </w:tc>
        <w:tc>
          <w:tcPr>
            <w:tcW w:w="449" w:type="dxa"/>
            <w:tcBorders>
              <w:bottom w:val="single" w:sz="4" w:space="0" w:color="auto"/>
            </w:tcBorders>
            <w:shd w:val="clear" w:color="auto" w:fill="auto"/>
          </w:tcPr>
          <w:p w14:paraId="3774C459"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N</w:t>
            </w:r>
          </w:p>
        </w:tc>
        <w:tc>
          <w:tcPr>
            <w:tcW w:w="591" w:type="dxa"/>
            <w:gridSpan w:val="2"/>
            <w:tcBorders>
              <w:bottom w:val="single" w:sz="4" w:space="0" w:color="auto"/>
            </w:tcBorders>
            <w:shd w:val="clear" w:color="auto" w:fill="auto"/>
          </w:tcPr>
          <w:p w14:paraId="159D5530"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w:t>
            </w:r>
          </w:p>
        </w:tc>
        <w:tc>
          <w:tcPr>
            <w:tcW w:w="449" w:type="dxa"/>
            <w:gridSpan w:val="2"/>
            <w:tcBorders>
              <w:bottom w:val="single" w:sz="4" w:space="0" w:color="auto"/>
            </w:tcBorders>
            <w:shd w:val="clear" w:color="auto" w:fill="auto"/>
          </w:tcPr>
          <w:p w14:paraId="4FD9D785"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N</w:t>
            </w:r>
          </w:p>
        </w:tc>
        <w:tc>
          <w:tcPr>
            <w:tcW w:w="702" w:type="dxa"/>
            <w:gridSpan w:val="2"/>
            <w:vMerge/>
            <w:shd w:val="clear" w:color="auto" w:fill="auto"/>
          </w:tcPr>
          <w:p w14:paraId="732DF549"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r>
      <w:tr w:rsidR="00D623AA" w:rsidRPr="00D623AA" w14:paraId="623422BD" w14:textId="77777777" w:rsidTr="00182D65">
        <w:trPr>
          <w:gridAfter w:val="1"/>
          <w:wAfter w:w="127" w:type="dxa"/>
        </w:trPr>
        <w:tc>
          <w:tcPr>
            <w:tcW w:w="1010" w:type="dxa"/>
            <w:tcBorders>
              <w:bottom w:val="nil"/>
            </w:tcBorders>
            <w:shd w:val="clear" w:color="auto" w:fill="auto"/>
          </w:tcPr>
          <w:p w14:paraId="26F888D3" w14:textId="77777777" w:rsidR="00D623AA" w:rsidRPr="00D623AA" w:rsidRDefault="00D623AA" w:rsidP="00D623AA">
            <w:pPr>
              <w:spacing w:after="0" w:line="240" w:lineRule="auto"/>
              <w:rPr>
                <w:rFonts w:ascii="Tw Cen MT" w:eastAsia="Twentieth Century" w:hAnsi="Tw Cen MT" w:cs="Twentieth Century"/>
                <w:b/>
                <w:bCs/>
                <w:sz w:val="20"/>
                <w:szCs w:val="20"/>
              </w:rPr>
            </w:pPr>
            <w:r w:rsidRPr="00D623AA">
              <w:rPr>
                <w:rFonts w:ascii="Tw Cen MT" w:eastAsia="Twentieth Century" w:hAnsi="Tw Cen MT" w:cs="Twentieth Century"/>
                <w:b/>
                <w:bCs/>
                <w:sz w:val="20"/>
                <w:szCs w:val="20"/>
              </w:rPr>
              <w:t xml:space="preserve">Paritas </w:t>
            </w:r>
          </w:p>
          <w:p w14:paraId="27A5BC74"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Multipara</w:t>
            </w:r>
          </w:p>
        </w:tc>
        <w:tc>
          <w:tcPr>
            <w:tcW w:w="465" w:type="dxa"/>
            <w:gridSpan w:val="3"/>
            <w:tcBorders>
              <w:bottom w:val="nil"/>
            </w:tcBorders>
            <w:shd w:val="clear" w:color="auto" w:fill="auto"/>
          </w:tcPr>
          <w:p w14:paraId="1C3B71A7"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2F83E065"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19</w:t>
            </w:r>
          </w:p>
        </w:tc>
        <w:tc>
          <w:tcPr>
            <w:tcW w:w="591" w:type="dxa"/>
            <w:gridSpan w:val="2"/>
            <w:tcBorders>
              <w:bottom w:val="nil"/>
            </w:tcBorders>
            <w:shd w:val="clear" w:color="auto" w:fill="auto"/>
          </w:tcPr>
          <w:p w14:paraId="71445C87"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669E9F13"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79,2</w:t>
            </w:r>
          </w:p>
        </w:tc>
        <w:tc>
          <w:tcPr>
            <w:tcW w:w="449" w:type="dxa"/>
            <w:tcBorders>
              <w:bottom w:val="nil"/>
            </w:tcBorders>
            <w:shd w:val="clear" w:color="auto" w:fill="auto"/>
          </w:tcPr>
          <w:p w14:paraId="6E499BCD"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18EB0A00"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5</w:t>
            </w:r>
          </w:p>
        </w:tc>
        <w:tc>
          <w:tcPr>
            <w:tcW w:w="591" w:type="dxa"/>
            <w:gridSpan w:val="2"/>
            <w:tcBorders>
              <w:bottom w:val="nil"/>
            </w:tcBorders>
            <w:shd w:val="clear" w:color="auto" w:fill="auto"/>
          </w:tcPr>
          <w:p w14:paraId="0BEB65AA"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60A7DF0E"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20,8</w:t>
            </w:r>
          </w:p>
        </w:tc>
        <w:tc>
          <w:tcPr>
            <w:tcW w:w="449" w:type="dxa"/>
            <w:gridSpan w:val="2"/>
            <w:tcBorders>
              <w:bottom w:val="nil"/>
            </w:tcBorders>
            <w:shd w:val="clear" w:color="auto" w:fill="auto"/>
          </w:tcPr>
          <w:p w14:paraId="2325140C" w14:textId="77777777" w:rsidR="00D623AA" w:rsidRPr="00D623AA" w:rsidRDefault="00D623AA" w:rsidP="00D623AA">
            <w:pPr>
              <w:spacing w:after="0" w:line="240" w:lineRule="auto"/>
              <w:jc w:val="center"/>
              <w:rPr>
                <w:rFonts w:ascii="Tw Cen MT" w:eastAsia="Twentieth Century" w:hAnsi="Tw Cen MT" w:cs="Twentieth Century"/>
                <w:sz w:val="20"/>
                <w:szCs w:val="20"/>
              </w:rPr>
            </w:pPr>
          </w:p>
          <w:p w14:paraId="607EE2C7"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24</w:t>
            </w:r>
          </w:p>
        </w:tc>
        <w:tc>
          <w:tcPr>
            <w:tcW w:w="702" w:type="dxa"/>
            <w:gridSpan w:val="2"/>
            <w:vMerge w:val="restart"/>
            <w:shd w:val="clear" w:color="auto" w:fill="auto"/>
            <w:vAlign w:val="center"/>
          </w:tcPr>
          <w:p w14:paraId="7ECEE500"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0,001</w:t>
            </w:r>
          </w:p>
        </w:tc>
      </w:tr>
      <w:tr w:rsidR="00D623AA" w:rsidRPr="00D623AA" w14:paraId="47D21B08" w14:textId="77777777" w:rsidTr="00182D65">
        <w:trPr>
          <w:gridAfter w:val="1"/>
          <w:wAfter w:w="127" w:type="dxa"/>
        </w:trPr>
        <w:tc>
          <w:tcPr>
            <w:tcW w:w="1010" w:type="dxa"/>
            <w:tcBorders>
              <w:top w:val="nil"/>
            </w:tcBorders>
            <w:shd w:val="clear" w:color="auto" w:fill="auto"/>
          </w:tcPr>
          <w:p w14:paraId="0525A2AD"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Primipara</w:t>
            </w:r>
          </w:p>
        </w:tc>
        <w:tc>
          <w:tcPr>
            <w:tcW w:w="465" w:type="dxa"/>
            <w:gridSpan w:val="3"/>
            <w:tcBorders>
              <w:top w:val="nil"/>
            </w:tcBorders>
            <w:shd w:val="clear" w:color="auto" w:fill="auto"/>
          </w:tcPr>
          <w:p w14:paraId="0FDE7D8C"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7</w:t>
            </w:r>
          </w:p>
        </w:tc>
        <w:tc>
          <w:tcPr>
            <w:tcW w:w="591" w:type="dxa"/>
            <w:gridSpan w:val="2"/>
            <w:tcBorders>
              <w:top w:val="nil"/>
            </w:tcBorders>
            <w:shd w:val="clear" w:color="auto" w:fill="auto"/>
          </w:tcPr>
          <w:p w14:paraId="65832E43"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31,8</w:t>
            </w:r>
          </w:p>
        </w:tc>
        <w:tc>
          <w:tcPr>
            <w:tcW w:w="449" w:type="dxa"/>
            <w:tcBorders>
              <w:top w:val="nil"/>
            </w:tcBorders>
            <w:shd w:val="clear" w:color="auto" w:fill="auto"/>
          </w:tcPr>
          <w:p w14:paraId="7492A856"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15</w:t>
            </w:r>
          </w:p>
        </w:tc>
        <w:tc>
          <w:tcPr>
            <w:tcW w:w="591" w:type="dxa"/>
            <w:gridSpan w:val="2"/>
            <w:tcBorders>
              <w:top w:val="nil"/>
            </w:tcBorders>
            <w:shd w:val="clear" w:color="auto" w:fill="auto"/>
          </w:tcPr>
          <w:p w14:paraId="3950EFF1"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68,2</w:t>
            </w:r>
          </w:p>
        </w:tc>
        <w:tc>
          <w:tcPr>
            <w:tcW w:w="449" w:type="dxa"/>
            <w:gridSpan w:val="2"/>
            <w:tcBorders>
              <w:top w:val="nil"/>
            </w:tcBorders>
            <w:shd w:val="clear" w:color="auto" w:fill="auto"/>
          </w:tcPr>
          <w:p w14:paraId="7111BE66"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22</w:t>
            </w:r>
          </w:p>
        </w:tc>
        <w:tc>
          <w:tcPr>
            <w:tcW w:w="702" w:type="dxa"/>
            <w:gridSpan w:val="2"/>
            <w:vMerge/>
            <w:shd w:val="clear" w:color="auto" w:fill="auto"/>
          </w:tcPr>
          <w:p w14:paraId="50C244B1"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r>
      <w:tr w:rsidR="00D623AA" w:rsidRPr="00D623AA" w14:paraId="497DBA50" w14:textId="77777777" w:rsidTr="00182D65">
        <w:tc>
          <w:tcPr>
            <w:tcW w:w="1028" w:type="dxa"/>
            <w:gridSpan w:val="2"/>
            <w:tcBorders>
              <w:bottom w:val="nil"/>
            </w:tcBorders>
            <w:shd w:val="clear" w:color="auto" w:fill="auto"/>
          </w:tcPr>
          <w:p w14:paraId="6263EEDA" w14:textId="77777777" w:rsidR="00D623AA" w:rsidRPr="00D623AA" w:rsidRDefault="00D623AA" w:rsidP="00D623AA">
            <w:pPr>
              <w:spacing w:after="0" w:line="240" w:lineRule="auto"/>
              <w:rPr>
                <w:rFonts w:ascii="Tw Cen MT" w:eastAsia="Twentieth Century" w:hAnsi="Tw Cen MT" w:cs="Twentieth Century"/>
                <w:b/>
                <w:bCs/>
                <w:sz w:val="20"/>
                <w:szCs w:val="20"/>
              </w:rPr>
            </w:pPr>
            <w:r w:rsidRPr="00D623AA">
              <w:rPr>
                <w:rFonts w:ascii="Tw Cen MT" w:eastAsia="Twentieth Century" w:hAnsi="Tw Cen MT" w:cs="Twentieth Century"/>
                <w:b/>
                <w:bCs/>
                <w:sz w:val="20"/>
                <w:szCs w:val="20"/>
              </w:rPr>
              <w:t>Pekerjaan</w:t>
            </w:r>
          </w:p>
          <w:p w14:paraId="2ECEFF15" w14:textId="77777777" w:rsidR="00D623AA" w:rsidRPr="00D623AA" w:rsidRDefault="00D623AA" w:rsidP="00D623AA">
            <w:pPr>
              <w:spacing w:after="0" w:line="240" w:lineRule="auto"/>
              <w:rPr>
                <w:rFonts w:ascii="Tw Cen MT" w:eastAsia="Twentieth Century" w:hAnsi="Tw Cen MT" w:cs="Twentieth Century"/>
                <w:sz w:val="20"/>
                <w:szCs w:val="20"/>
              </w:rPr>
            </w:pPr>
            <w:r w:rsidRPr="00D623AA">
              <w:rPr>
                <w:rFonts w:ascii="Tw Cen MT" w:eastAsia="Twentieth Century" w:hAnsi="Tw Cen MT" w:cs="Twentieth Century"/>
                <w:sz w:val="20"/>
                <w:szCs w:val="20"/>
              </w:rPr>
              <w:t>Tidak bekerja</w:t>
            </w:r>
          </w:p>
        </w:tc>
        <w:tc>
          <w:tcPr>
            <w:tcW w:w="397" w:type="dxa"/>
            <w:tcBorders>
              <w:bottom w:val="nil"/>
            </w:tcBorders>
            <w:shd w:val="clear" w:color="auto" w:fill="auto"/>
          </w:tcPr>
          <w:p w14:paraId="561C92F5" w14:textId="77777777" w:rsidR="00D623AA" w:rsidRPr="00D623AA" w:rsidRDefault="00D623AA" w:rsidP="00D623AA">
            <w:pPr>
              <w:spacing w:after="0" w:line="240" w:lineRule="auto"/>
              <w:ind w:left="-132"/>
              <w:jc w:val="center"/>
              <w:rPr>
                <w:rFonts w:ascii="Tw Cen MT" w:eastAsia="Twentieth Century" w:hAnsi="Tw Cen MT" w:cs="Twentieth Century"/>
                <w:sz w:val="20"/>
                <w:szCs w:val="20"/>
              </w:rPr>
            </w:pPr>
          </w:p>
          <w:p w14:paraId="213EA20A" w14:textId="77777777" w:rsidR="00D623AA" w:rsidRPr="00D623AA" w:rsidRDefault="00D623AA" w:rsidP="00D623AA">
            <w:pPr>
              <w:spacing w:after="0" w:line="240" w:lineRule="auto"/>
              <w:ind w:left="-132"/>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19</w:t>
            </w:r>
          </w:p>
        </w:tc>
        <w:tc>
          <w:tcPr>
            <w:tcW w:w="566" w:type="dxa"/>
            <w:gridSpan w:val="2"/>
            <w:tcBorders>
              <w:bottom w:val="nil"/>
            </w:tcBorders>
            <w:shd w:val="clear" w:color="auto" w:fill="auto"/>
          </w:tcPr>
          <w:p w14:paraId="7ADB15B9" w14:textId="77777777" w:rsidR="00D623AA" w:rsidRPr="00D623AA" w:rsidRDefault="00D623AA" w:rsidP="00D623AA">
            <w:pPr>
              <w:spacing w:after="0" w:line="240" w:lineRule="auto"/>
              <w:ind w:left="-105"/>
              <w:jc w:val="center"/>
              <w:rPr>
                <w:rFonts w:ascii="Tw Cen MT" w:eastAsia="Twentieth Century" w:hAnsi="Tw Cen MT" w:cs="Twentieth Century"/>
                <w:sz w:val="20"/>
                <w:szCs w:val="20"/>
              </w:rPr>
            </w:pPr>
          </w:p>
          <w:p w14:paraId="41DD4DF9" w14:textId="77777777" w:rsidR="00D623AA" w:rsidRPr="00D623AA" w:rsidRDefault="00D623AA" w:rsidP="00D623AA">
            <w:pPr>
              <w:spacing w:after="0" w:line="240" w:lineRule="auto"/>
              <w:ind w:left="-105"/>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76</w:t>
            </w:r>
          </w:p>
        </w:tc>
        <w:tc>
          <w:tcPr>
            <w:tcW w:w="566" w:type="dxa"/>
            <w:gridSpan w:val="3"/>
            <w:tcBorders>
              <w:bottom w:val="nil"/>
            </w:tcBorders>
            <w:shd w:val="clear" w:color="auto" w:fill="auto"/>
          </w:tcPr>
          <w:p w14:paraId="6205155C" w14:textId="77777777" w:rsidR="00D623AA" w:rsidRPr="00D623AA" w:rsidRDefault="00D623AA" w:rsidP="00D623AA">
            <w:pPr>
              <w:spacing w:after="0" w:line="240" w:lineRule="auto"/>
              <w:ind w:left="-108"/>
              <w:jc w:val="center"/>
              <w:rPr>
                <w:rFonts w:ascii="Tw Cen MT" w:eastAsia="Twentieth Century" w:hAnsi="Tw Cen MT" w:cs="Twentieth Century"/>
                <w:sz w:val="20"/>
                <w:szCs w:val="20"/>
              </w:rPr>
            </w:pPr>
          </w:p>
          <w:p w14:paraId="78114455" w14:textId="77777777" w:rsidR="00D623AA" w:rsidRPr="00D623AA" w:rsidRDefault="00D623AA" w:rsidP="00D623AA">
            <w:pPr>
              <w:spacing w:after="0" w:line="240" w:lineRule="auto"/>
              <w:ind w:left="-108"/>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6</w:t>
            </w:r>
          </w:p>
        </w:tc>
        <w:tc>
          <w:tcPr>
            <w:tcW w:w="569" w:type="dxa"/>
            <w:gridSpan w:val="2"/>
            <w:tcBorders>
              <w:bottom w:val="nil"/>
            </w:tcBorders>
            <w:shd w:val="clear" w:color="auto" w:fill="auto"/>
          </w:tcPr>
          <w:p w14:paraId="49776FE2" w14:textId="77777777" w:rsidR="00D623AA" w:rsidRPr="00D623AA" w:rsidRDefault="00D623AA" w:rsidP="00D623AA">
            <w:pPr>
              <w:spacing w:after="0" w:line="240" w:lineRule="auto"/>
              <w:ind w:left="-103"/>
              <w:jc w:val="center"/>
              <w:rPr>
                <w:rFonts w:ascii="Tw Cen MT" w:eastAsia="Twentieth Century" w:hAnsi="Tw Cen MT" w:cs="Twentieth Century"/>
                <w:sz w:val="20"/>
                <w:szCs w:val="20"/>
              </w:rPr>
            </w:pPr>
          </w:p>
          <w:p w14:paraId="060C0673" w14:textId="77777777" w:rsidR="00D623AA" w:rsidRPr="00D623AA" w:rsidRDefault="00D623AA" w:rsidP="00D623AA">
            <w:pPr>
              <w:spacing w:after="0" w:line="240" w:lineRule="auto"/>
              <w:ind w:left="-103"/>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24</w:t>
            </w:r>
          </w:p>
        </w:tc>
        <w:tc>
          <w:tcPr>
            <w:tcW w:w="566" w:type="dxa"/>
            <w:gridSpan w:val="2"/>
            <w:tcBorders>
              <w:bottom w:val="nil"/>
            </w:tcBorders>
            <w:shd w:val="clear" w:color="auto" w:fill="auto"/>
          </w:tcPr>
          <w:p w14:paraId="166018FC" w14:textId="77777777" w:rsidR="00D623AA" w:rsidRPr="00D623AA" w:rsidRDefault="00D623AA" w:rsidP="00D623AA">
            <w:pPr>
              <w:spacing w:after="0" w:line="240" w:lineRule="auto"/>
              <w:ind w:left="-106"/>
              <w:jc w:val="center"/>
              <w:rPr>
                <w:rFonts w:ascii="Tw Cen MT" w:eastAsia="Twentieth Century" w:hAnsi="Tw Cen MT" w:cs="Twentieth Century"/>
                <w:sz w:val="20"/>
                <w:szCs w:val="20"/>
              </w:rPr>
            </w:pPr>
          </w:p>
          <w:p w14:paraId="7FAB3FA7" w14:textId="77777777" w:rsidR="00D623AA" w:rsidRPr="00D623AA" w:rsidRDefault="00D623AA" w:rsidP="00D623AA">
            <w:pPr>
              <w:spacing w:after="0" w:line="240" w:lineRule="auto"/>
              <w:ind w:left="-106"/>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25</w:t>
            </w:r>
          </w:p>
        </w:tc>
        <w:tc>
          <w:tcPr>
            <w:tcW w:w="703" w:type="dxa"/>
            <w:gridSpan w:val="2"/>
            <w:vMerge w:val="restart"/>
            <w:shd w:val="clear" w:color="auto" w:fill="auto"/>
            <w:vAlign w:val="center"/>
          </w:tcPr>
          <w:p w14:paraId="67B5EE24" w14:textId="77777777" w:rsidR="00D623AA" w:rsidRPr="00D623AA" w:rsidRDefault="00D623AA" w:rsidP="00D623AA">
            <w:pPr>
              <w:spacing w:after="0" w:line="240" w:lineRule="auto"/>
              <w:ind w:left="-109"/>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0,004</w:t>
            </w:r>
          </w:p>
        </w:tc>
      </w:tr>
      <w:tr w:rsidR="00D623AA" w:rsidRPr="00D623AA" w14:paraId="3A9A8FF0" w14:textId="77777777" w:rsidTr="00182D65">
        <w:tc>
          <w:tcPr>
            <w:tcW w:w="1028" w:type="dxa"/>
            <w:gridSpan w:val="2"/>
            <w:tcBorders>
              <w:top w:val="nil"/>
            </w:tcBorders>
            <w:shd w:val="clear" w:color="auto" w:fill="auto"/>
          </w:tcPr>
          <w:p w14:paraId="776163BA" w14:textId="77777777" w:rsidR="00D623AA" w:rsidRPr="00D623AA" w:rsidRDefault="00D623AA" w:rsidP="00D623AA">
            <w:pPr>
              <w:spacing w:after="0" w:line="240" w:lineRule="auto"/>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Bekerja </w:t>
            </w:r>
          </w:p>
        </w:tc>
        <w:tc>
          <w:tcPr>
            <w:tcW w:w="397" w:type="dxa"/>
            <w:tcBorders>
              <w:top w:val="nil"/>
            </w:tcBorders>
            <w:shd w:val="clear" w:color="auto" w:fill="auto"/>
          </w:tcPr>
          <w:p w14:paraId="6E3BE083" w14:textId="77777777" w:rsidR="00D623AA" w:rsidRPr="00D623AA" w:rsidRDefault="00D623AA" w:rsidP="00D623AA">
            <w:pPr>
              <w:spacing w:after="0" w:line="240" w:lineRule="auto"/>
              <w:ind w:left="-132"/>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7</w:t>
            </w:r>
          </w:p>
        </w:tc>
        <w:tc>
          <w:tcPr>
            <w:tcW w:w="566" w:type="dxa"/>
            <w:gridSpan w:val="2"/>
            <w:tcBorders>
              <w:top w:val="nil"/>
            </w:tcBorders>
            <w:shd w:val="clear" w:color="auto" w:fill="auto"/>
          </w:tcPr>
          <w:p w14:paraId="0A20EADE" w14:textId="77777777" w:rsidR="00D623AA" w:rsidRPr="00D623AA" w:rsidRDefault="00D623AA" w:rsidP="00D623AA">
            <w:pPr>
              <w:spacing w:after="0" w:line="240" w:lineRule="auto"/>
              <w:ind w:hanging="247"/>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33,3</w:t>
            </w:r>
          </w:p>
        </w:tc>
        <w:tc>
          <w:tcPr>
            <w:tcW w:w="566" w:type="dxa"/>
            <w:gridSpan w:val="3"/>
            <w:tcBorders>
              <w:top w:val="nil"/>
            </w:tcBorders>
            <w:shd w:val="clear" w:color="auto" w:fill="auto"/>
          </w:tcPr>
          <w:p w14:paraId="2BDF0211" w14:textId="77777777" w:rsidR="00D623AA" w:rsidRPr="00D623AA" w:rsidRDefault="00D623AA" w:rsidP="00D623AA">
            <w:pPr>
              <w:spacing w:after="0" w:line="240" w:lineRule="auto"/>
              <w:ind w:left="-108"/>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14</w:t>
            </w:r>
          </w:p>
        </w:tc>
        <w:tc>
          <w:tcPr>
            <w:tcW w:w="569" w:type="dxa"/>
            <w:gridSpan w:val="2"/>
            <w:tcBorders>
              <w:top w:val="nil"/>
            </w:tcBorders>
            <w:shd w:val="clear" w:color="auto" w:fill="auto"/>
          </w:tcPr>
          <w:p w14:paraId="255F2197" w14:textId="77777777" w:rsidR="00D623AA" w:rsidRPr="00D623AA" w:rsidRDefault="00D623AA" w:rsidP="00D623AA">
            <w:pPr>
              <w:spacing w:after="0" w:line="240" w:lineRule="auto"/>
              <w:ind w:left="-103"/>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66,7</w:t>
            </w:r>
          </w:p>
        </w:tc>
        <w:tc>
          <w:tcPr>
            <w:tcW w:w="566" w:type="dxa"/>
            <w:gridSpan w:val="2"/>
            <w:tcBorders>
              <w:top w:val="nil"/>
            </w:tcBorders>
            <w:shd w:val="clear" w:color="auto" w:fill="auto"/>
          </w:tcPr>
          <w:p w14:paraId="4D986869" w14:textId="77777777" w:rsidR="00D623AA" w:rsidRPr="00D623AA" w:rsidRDefault="00D623AA" w:rsidP="00D623AA">
            <w:pPr>
              <w:spacing w:after="0" w:line="240" w:lineRule="auto"/>
              <w:ind w:left="-106"/>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21</w:t>
            </w:r>
          </w:p>
        </w:tc>
        <w:tc>
          <w:tcPr>
            <w:tcW w:w="703" w:type="dxa"/>
            <w:gridSpan w:val="2"/>
            <w:vMerge/>
            <w:shd w:val="clear" w:color="auto" w:fill="auto"/>
          </w:tcPr>
          <w:p w14:paraId="6AEA53B7"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r>
      <w:tr w:rsidR="00D623AA" w:rsidRPr="00D623AA" w14:paraId="4E37B8EB" w14:textId="77777777" w:rsidTr="00182D65">
        <w:tc>
          <w:tcPr>
            <w:tcW w:w="1028" w:type="dxa"/>
            <w:gridSpan w:val="2"/>
            <w:shd w:val="clear" w:color="auto" w:fill="auto"/>
          </w:tcPr>
          <w:p w14:paraId="5690B8C9" w14:textId="77777777" w:rsidR="00D623AA" w:rsidRPr="00D623AA" w:rsidRDefault="00D623AA" w:rsidP="00D623AA">
            <w:pPr>
              <w:spacing w:after="0" w:line="240" w:lineRule="auto"/>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 xml:space="preserve">Total </w:t>
            </w:r>
          </w:p>
        </w:tc>
        <w:tc>
          <w:tcPr>
            <w:tcW w:w="397" w:type="dxa"/>
            <w:shd w:val="clear" w:color="auto" w:fill="auto"/>
          </w:tcPr>
          <w:p w14:paraId="090DE59E" w14:textId="77777777" w:rsidR="00D623AA" w:rsidRPr="00D623AA" w:rsidRDefault="00D623AA" w:rsidP="00D623AA">
            <w:pPr>
              <w:spacing w:after="0" w:line="240" w:lineRule="auto"/>
              <w:ind w:left="-132"/>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26</w:t>
            </w:r>
          </w:p>
        </w:tc>
        <w:tc>
          <w:tcPr>
            <w:tcW w:w="566" w:type="dxa"/>
            <w:gridSpan w:val="2"/>
            <w:shd w:val="clear" w:color="auto" w:fill="auto"/>
          </w:tcPr>
          <w:p w14:paraId="752E95C4"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c>
          <w:tcPr>
            <w:tcW w:w="566" w:type="dxa"/>
            <w:gridSpan w:val="3"/>
            <w:shd w:val="clear" w:color="auto" w:fill="auto"/>
          </w:tcPr>
          <w:p w14:paraId="17348953" w14:textId="77777777" w:rsidR="00D623AA" w:rsidRPr="00D623AA" w:rsidRDefault="00D623AA" w:rsidP="00D623AA">
            <w:pPr>
              <w:spacing w:after="0" w:line="240" w:lineRule="auto"/>
              <w:ind w:left="-108"/>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20</w:t>
            </w:r>
          </w:p>
        </w:tc>
        <w:tc>
          <w:tcPr>
            <w:tcW w:w="569" w:type="dxa"/>
            <w:gridSpan w:val="2"/>
            <w:shd w:val="clear" w:color="auto" w:fill="auto"/>
          </w:tcPr>
          <w:p w14:paraId="5584F836"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c>
          <w:tcPr>
            <w:tcW w:w="566" w:type="dxa"/>
            <w:gridSpan w:val="2"/>
            <w:shd w:val="clear" w:color="auto" w:fill="auto"/>
          </w:tcPr>
          <w:p w14:paraId="69331F42" w14:textId="77777777" w:rsidR="00D623AA" w:rsidRPr="00D623AA" w:rsidRDefault="00D623AA" w:rsidP="00D623AA">
            <w:pPr>
              <w:spacing w:after="0" w:line="240" w:lineRule="auto"/>
              <w:ind w:left="-114"/>
              <w:jc w:val="center"/>
              <w:rPr>
                <w:rFonts w:ascii="Tw Cen MT" w:eastAsia="Twentieth Century" w:hAnsi="Tw Cen MT" w:cs="Twentieth Century"/>
                <w:sz w:val="20"/>
                <w:szCs w:val="20"/>
              </w:rPr>
            </w:pPr>
            <w:r w:rsidRPr="00D623AA">
              <w:rPr>
                <w:rFonts w:ascii="Tw Cen MT" w:eastAsia="Twentieth Century" w:hAnsi="Tw Cen MT" w:cs="Twentieth Century"/>
                <w:sz w:val="20"/>
                <w:szCs w:val="20"/>
              </w:rPr>
              <w:t>46</w:t>
            </w:r>
          </w:p>
        </w:tc>
        <w:tc>
          <w:tcPr>
            <w:tcW w:w="703" w:type="dxa"/>
            <w:gridSpan w:val="2"/>
            <w:shd w:val="clear" w:color="auto" w:fill="auto"/>
          </w:tcPr>
          <w:p w14:paraId="6943198A" w14:textId="77777777" w:rsidR="00D623AA" w:rsidRPr="00D623AA" w:rsidRDefault="00D623AA" w:rsidP="00D623AA">
            <w:pPr>
              <w:spacing w:after="0" w:line="240" w:lineRule="auto"/>
              <w:jc w:val="center"/>
              <w:rPr>
                <w:rFonts w:ascii="Tw Cen MT" w:eastAsia="Twentieth Century" w:hAnsi="Tw Cen MT" w:cs="Twentieth Century"/>
                <w:sz w:val="20"/>
                <w:szCs w:val="20"/>
              </w:rPr>
            </w:pPr>
          </w:p>
        </w:tc>
      </w:tr>
    </w:tbl>
    <w:p w14:paraId="4ABDFDE4"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Berdasarkan tabel 2. diketahui bahwa dari 20 ibu hamil yang memiliki paritas primipara dan multipara (43,5%) mengalami mual muntah, sedangkan dari 22 ibu primipara terdapat mayoritas (68,2%) ibu yang mengalami mual muntah. Hasil uji </w:t>
      </w:r>
      <w:r w:rsidRPr="00D623AA">
        <w:rPr>
          <w:rFonts w:ascii="Tw Cen MT" w:eastAsia="Twentieth Century" w:hAnsi="Tw Cen MT" w:cs="Twentieth Century"/>
          <w:i/>
          <w:iCs/>
          <w:sz w:val="24"/>
          <w:szCs w:val="24"/>
        </w:rPr>
        <w:t>chi-square</w:t>
      </w:r>
      <w:r w:rsidRPr="00D623AA">
        <w:rPr>
          <w:rFonts w:ascii="Tw Cen MT" w:eastAsia="Twentieth Century" w:hAnsi="Tw Cen MT" w:cs="Twentieth Century"/>
          <w:sz w:val="24"/>
          <w:szCs w:val="24"/>
        </w:rPr>
        <w:t xml:space="preserve"> </w:t>
      </w:r>
      <w:r w:rsidRPr="00D623AA">
        <w:rPr>
          <w:rFonts w:ascii="Tw Cen MT" w:eastAsia="Twentieth Century" w:hAnsi="Tw Cen MT" w:cs="Twentieth Century"/>
          <w:i/>
          <w:iCs/>
          <w:sz w:val="24"/>
          <w:szCs w:val="24"/>
        </w:rPr>
        <w:t xml:space="preserve">p value </w:t>
      </w:r>
      <w:r w:rsidRPr="00D623AA">
        <w:rPr>
          <w:rFonts w:ascii="Tw Cen MT" w:eastAsia="Twentieth Century" w:hAnsi="Tw Cen MT" w:cs="Twentieth Century"/>
          <w:sz w:val="24"/>
          <w:szCs w:val="24"/>
        </w:rPr>
        <w:t xml:space="preserve">0,001lebih kecil dari nilai alpha (0,05) maka artinya terdapat hubungan paritas dengan kejadian mual muntah pada ibu hamil di wilayah kerja Puskesmas Payung Sekaki.  </w:t>
      </w:r>
    </w:p>
    <w:p w14:paraId="75C1EA98"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Pada variable pekerjaan diketahui bahwa dari 21 ibu yang bekerja sebagian besar (66,7%) mengalami mualmuntah. Hasil uji </w:t>
      </w:r>
      <w:r w:rsidRPr="00D623AA">
        <w:rPr>
          <w:rFonts w:ascii="Tw Cen MT" w:eastAsia="Twentieth Century" w:hAnsi="Tw Cen MT" w:cs="Twentieth Century"/>
          <w:i/>
          <w:iCs/>
          <w:sz w:val="24"/>
          <w:szCs w:val="24"/>
        </w:rPr>
        <w:t>chi-square</w:t>
      </w:r>
      <w:r w:rsidRPr="00D623AA">
        <w:rPr>
          <w:rFonts w:ascii="Tw Cen MT" w:eastAsia="Twentieth Century" w:hAnsi="Tw Cen MT" w:cs="Twentieth Century"/>
          <w:sz w:val="24"/>
          <w:szCs w:val="24"/>
        </w:rPr>
        <w:t xml:space="preserve"> </w:t>
      </w:r>
      <w:r w:rsidRPr="00D623AA">
        <w:rPr>
          <w:rFonts w:ascii="Tw Cen MT" w:eastAsia="Twentieth Century" w:hAnsi="Tw Cen MT" w:cs="Twentieth Century"/>
          <w:i/>
          <w:iCs/>
          <w:sz w:val="24"/>
          <w:szCs w:val="24"/>
        </w:rPr>
        <w:t xml:space="preserve">p value </w:t>
      </w:r>
      <w:r w:rsidRPr="00D623AA">
        <w:rPr>
          <w:rFonts w:ascii="Tw Cen MT" w:eastAsia="Twentieth Century" w:hAnsi="Tw Cen MT" w:cs="Twentieth Century"/>
          <w:sz w:val="24"/>
          <w:szCs w:val="24"/>
        </w:rPr>
        <w:t xml:space="preserve">0,004 lebih kecil dari nilai alpha (0,05) maka artinya terdapat hubungan pekerjaan dengan kejadian mual muntah pada ibu hamil di wilayah kerja Puskesmas Payung Sekaki.  </w:t>
      </w:r>
    </w:p>
    <w:p w14:paraId="2B51B019"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Hasil analisa data pada penelitian ini menunjukkan nilai </w:t>
      </w:r>
      <w:r w:rsidRPr="00D623AA">
        <w:rPr>
          <w:rFonts w:ascii="Tw Cen MT" w:eastAsia="Twentieth Century" w:hAnsi="Tw Cen MT" w:cs="Twentieth Century"/>
          <w:i/>
          <w:iCs/>
          <w:sz w:val="24"/>
          <w:szCs w:val="24"/>
        </w:rPr>
        <w:t xml:space="preserve">p value </w:t>
      </w:r>
      <w:r w:rsidRPr="00D623AA">
        <w:rPr>
          <w:rFonts w:ascii="Tw Cen MT" w:eastAsia="Twentieth Century" w:hAnsi="Tw Cen MT" w:cs="Twentieth Century"/>
          <w:sz w:val="24"/>
          <w:szCs w:val="24"/>
        </w:rPr>
        <w:t xml:space="preserve">pada paritas 0,001 &lt; 0,05 artinya terdapat hubungan yang signifikan paritas terhadap kejadian mual muntah pada ibu di wilayah kerja Puskesmas Payung Sekaki. Mual muntah terjadi mayoritas pada ibu yang memiliki paritas primipara. </w:t>
      </w:r>
    </w:p>
    <w:p w14:paraId="77DD71B1"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Mual dan muntah dapat terjadi pada 60-80% primigravidadan 40- 60% pada multigravida, satu diantara seribu kehamilan yang belum mampu untuk beradaptasi dengan hormone estrogen dan koreonik gonadotropin sehingga lebih sering terjadi emesis gravidarum. Sedangkan pada multipara dan grandemulti sudah mampu beradaptasi dengan hormone estrogen dan koreonik gonadotropin karena sudah mempunyai pengalaman terhadap kehamilan dan melahirkan </w:t>
      </w:r>
      <w:sdt>
        <w:sdtPr>
          <w:rPr>
            <w:rFonts w:ascii="Tw Cen MT" w:eastAsia="Twentieth Century" w:hAnsi="Tw Cen MT" w:cs="Twentieth Century"/>
            <w:color w:val="000000"/>
            <w:sz w:val="24"/>
            <w:szCs w:val="24"/>
          </w:rPr>
          <w:tag w:val="MENDELEY_CITATION_v3_eyJjaXRhdGlvbklEIjoiTUVOREVMRVlfQ0lUQVRJT05fNzRhYTZmNTgtMTMzNC00MGY0LTg4MmMtYTNlNjdiMjE0MWRk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
          <w:id w:val="72009127"/>
          <w:placeholder>
            <w:docPart w:val="19153ABB10F2534A9FA299CFFE8D9A2D"/>
          </w:placeholder>
        </w:sdtPr>
        <w:sdtEndPr>
          <w:rPr>
            <w:rFonts w:eastAsiaTheme="minorEastAsia" w:cs="Calibri"/>
          </w:rPr>
        </w:sdtEndPr>
        <w:sdtContent>
          <w:r w:rsidRPr="00D623AA">
            <w:rPr>
              <w:rFonts w:ascii="Tw Cen MT" w:hAnsi="Tw Cen MT"/>
              <w:color w:val="000000"/>
              <w:sz w:val="24"/>
              <w:szCs w:val="24"/>
            </w:rPr>
            <w:t>[7]</w:t>
          </w:r>
        </w:sdtContent>
      </w:sdt>
      <w:r w:rsidRPr="00D623AA">
        <w:rPr>
          <w:rFonts w:ascii="Tw Cen MT" w:eastAsia="Twentieth Century" w:hAnsi="Tw Cen MT" w:cs="Twentieth Century"/>
          <w:sz w:val="24"/>
          <w:szCs w:val="24"/>
        </w:rPr>
        <w:t>.</w:t>
      </w:r>
    </w:p>
    <w:p w14:paraId="055F7F80"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Pada sebagian besar primigravida belum mampu beradaptasi dengan hormon estrogen dan chorionik gonadrotropin sehingga lebih sering terjadi mual muntah dibandingkan multigravida (kehamilan kedua atau selanjutnya) yang sudah memiliki pengalaman dalam kehamilan sehingga mampu beradaptasi dengan hormon estrogen dan chorionik gonadrotropin </w:t>
      </w:r>
      <w:sdt>
        <w:sdtPr>
          <w:rPr>
            <w:rFonts w:ascii="Tw Cen MT" w:eastAsia="Twentieth Century" w:hAnsi="Tw Cen MT" w:cs="Twentieth Century"/>
            <w:color w:val="000000"/>
            <w:sz w:val="24"/>
            <w:szCs w:val="24"/>
          </w:rPr>
          <w:tag w:val="MENDELEY_CITATION_v3_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"/>
          <w:id w:val="-289823133"/>
          <w:placeholder>
            <w:docPart w:val="19153ABB10F2534A9FA299CFFE8D9A2D"/>
          </w:placeholder>
        </w:sdtPr>
        <w:sdtEndPr>
          <w:rPr>
            <w:rFonts w:eastAsiaTheme="minorEastAsia" w:cs="Calibri"/>
          </w:rPr>
        </w:sdtEndPr>
        <w:sdtContent>
          <w:r w:rsidRPr="00D623AA">
            <w:rPr>
              <w:rFonts w:ascii="Tw Cen MT" w:hAnsi="Tw Cen MT"/>
              <w:color w:val="000000"/>
              <w:sz w:val="24"/>
              <w:szCs w:val="24"/>
            </w:rPr>
            <w:t>[12]</w:t>
          </w:r>
        </w:sdtContent>
      </w:sdt>
      <w:r w:rsidRPr="00D623AA">
        <w:rPr>
          <w:rFonts w:ascii="Tw Cen MT" w:eastAsia="Twentieth Century" w:hAnsi="Tw Cen MT" w:cs="Twentieth Century"/>
          <w:sz w:val="24"/>
          <w:szCs w:val="24"/>
        </w:rPr>
        <w:t>.</w:t>
      </w:r>
    </w:p>
    <w:p w14:paraId="3BAB1011" w14:textId="4796C70A"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Riwayat kehamilan yang lalu juga dapat mempengaruhi terjadinya emesis gravidarum, </w:t>
      </w:r>
      <w:r w:rsidRPr="00D623AA">
        <w:rPr>
          <w:rFonts w:ascii="Tw Cen MT" w:eastAsia="Twentieth Century" w:hAnsi="Tw Cen MT" w:cs="Twentieth Century"/>
          <w:sz w:val="24"/>
          <w:szCs w:val="24"/>
        </w:rPr>
        <w:lastRenderedPageBreak/>
        <w:t xml:space="preserve">karena ibu yang hamil dengan emesis gravidarum akan dapat dengan mudah menderita pada kehamilan selanjutnya. Upaya mencegah terjadinya mual muntah diantaranya yaitu perlunya deteksi dini dengan aktif dalam kunjungan ibu hamil pada fasilitas kesehatan terdekat, sebagai bentuk dukungan dalam menekan angka kesakitan dan kemiatian ibu dan bayi </w:t>
      </w:r>
      <w:sdt>
        <w:sdtPr>
          <w:rPr>
            <w:rFonts w:ascii="Tw Cen MT" w:eastAsia="Twentieth Century" w:hAnsi="Tw Cen MT" w:cs="Twentieth Century"/>
            <w:color w:val="000000"/>
            <w:sz w:val="24"/>
            <w:szCs w:val="24"/>
          </w:rPr>
          <w:tag w:val="MENDELEY_CITATION_v3_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"/>
          <w:id w:val="1950971516"/>
          <w:placeholder>
            <w:docPart w:val="19153ABB10F2534A9FA299CFFE8D9A2D"/>
          </w:placeholder>
        </w:sdtPr>
        <w:sdtEndPr>
          <w:rPr>
            <w:rFonts w:eastAsiaTheme="minorEastAsia" w:cs="Calibri"/>
            <w:sz w:val="21"/>
            <w:szCs w:val="21"/>
          </w:rPr>
        </w:sdtEndPr>
        <w:sdtContent>
          <w:r w:rsidRPr="00D623AA">
            <w:rPr>
              <w:rFonts w:ascii="Tw Cen MT" w:hAnsi="Tw Cen MT"/>
              <w:color w:val="000000"/>
              <w:sz w:val="24"/>
              <w:szCs w:val="24"/>
            </w:rPr>
            <w:t>[13]</w:t>
          </w:r>
          <w:r w:rsidRPr="00D623AA">
            <w:rPr>
              <w:rFonts w:ascii="Tw Cen MT" w:hAnsi="Tw Cen MT"/>
              <w:color w:val="000000"/>
              <w:sz w:val="24"/>
              <w:szCs w:val="24"/>
            </w:rPr>
            <w:t>.</w:t>
          </w:r>
        </w:sdtContent>
      </w:sdt>
    </w:p>
    <w:p w14:paraId="2C94295A" w14:textId="2DECC299"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Pada penelitian yang dilakukan oleh Jumiati 2022 menunjukkan bahwa ibu G2P1A0 mengalami perubahan makan dan terjadinya mual muntah lebih meningkat pada trimester I dibandingkan trimester II kehamilannya. Ibu merasa Lelah, tubuh lemah dan tidak mampu untuk melalukan aktivitas seperti biasanya, nafsu makan berkurang dan nyeri pada epigastrium. Kejadian mual muntah pada primigravida dipengaruhi oleh kadar hormon kehamilan. Ketika seorang wanita hamil anak pertama, maka kadar hormonal akan mengalami peningkatan lebih dibandingkan wanita multigravida yang mampu beradaptasi dengan hormon kehamilan tersebut dan sudah mempunyai pengalaman terhadap kehamilan dan kelahiran</w:t>
      </w:r>
      <w:sdt>
        <w:sdtPr>
          <w:rPr>
            <w:rFonts w:ascii="Tw Cen MT" w:eastAsia="Twentieth Century" w:hAnsi="Tw Cen MT" w:cs="Twentieth Century"/>
            <w:color w:val="000000"/>
            <w:sz w:val="24"/>
            <w:szCs w:val="24"/>
          </w:rPr>
          <w:tag w:val="MENDELEY_CITATION_v3_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"/>
          <w:id w:val="1205755406"/>
          <w:placeholder>
            <w:docPart w:val="19153ABB10F2534A9FA299CFFE8D9A2D"/>
          </w:placeholder>
        </w:sdtPr>
        <w:sdtContent>
          <w:r>
            <w:rPr>
              <w:rFonts w:ascii="Tw Cen MT" w:eastAsia="Twentieth Century" w:hAnsi="Tw Cen MT" w:cs="Twentieth Century"/>
              <w:color w:val="000000"/>
              <w:sz w:val="24"/>
              <w:szCs w:val="24"/>
            </w:rPr>
            <w:t xml:space="preserve"> </w:t>
          </w:r>
          <w:r w:rsidRPr="00D623AA">
            <w:rPr>
              <w:rFonts w:ascii="Tw Cen MT" w:eastAsia="Twentieth Century" w:hAnsi="Tw Cen MT" w:cs="Twentieth Century"/>
              <w:color w:val="000000"/>
              <w:sz w:val="24"/>
              <w:szCs w:val="24"/>
            </w:rPr>
            <w:t>[14]</w:t>
          </w:r>
        </w:sdtContent>
      </w:sdt>
      <w:r>
        <w:rPr>
          <w:rFonts w:ascii="Tw Cen MT" w:eastAsia="Twentieth Century" w:hAnsi="Tw Cen MT" w:cs="Twentieth Century"/>
          <w:sz w:val="24"/>
          <w:szCs w:val="24"/>
        </w:rPr>
        <w:t>.</w:t>
      </w:r>
    </w:p>
    <w:p w14:paraId="4B033EFB"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Penelitian di RSU Dewi Sartika Kota Kediri menunjukkan bahwa hasil uji chi-square diperoleh </w:t>
      </w:r>
      <w:r w:rsidRPr="00D623AA">
        <w:rPr>
          <w:rFonts w:ascii="Tw Cen MT" w:eastAsia="Twentieth Century" w:hAnsi="Tw Cen MT" w:cs="Twentieth Century"/>
          <w:i/>
          <w:iCs/>
          <w:sz w:val="24"/>
          <w:szCs w:val="24"/>
        </w:rPr>
        <w:t xml:space="preserve">p value </w:t>
      </w:r>
      <w:r w:rsidRPr="00D623AA">
        <w:rPr>
          <w:rFonts w:ascii="Tw Cen MT" w:eastAsia="Twentieth Century" w:hAnsi="Tw Cen MT" w:cs="Twentieth Century"/>
          <w:sz w:val="24"/>
          <w:szCs w:val="24"/>
        </w:rPr>
        <w:t xml:space="preserve">0,000 &lt; 0,05 sehingga dapat disimpulkan bahwa terdapat hubungan yang signifikan antara paritas ibu dengan kejadian hyperemesis </w:t>
      </w:r>
      <w:sdt>
        <w:sdtPr>
          <w:rPr>
            <w:rFonts w:ascii="Tw Cen MT" w:eastAsia="Twentieth Century" w:hAnsi="Tw Cen MT" w:cs="Twentieth Century"/>
            <w:color w:val="000000"/>
            <w:sz w:val="24"/>
            <w:szCs w:val="24"/>
          </w:rPr>
          <w:tag w:val="MENDELEY_CITATION_v3_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"/>
          <w:id w:val="93682762"/>
          <w:placeholder>
            <w:docPart w:val="19153ABB10F2534A9FA299CFFE8D9A2D"/>
          </w:placeholder>
        </w:sdtPr>
        <w:sdtEndPr>
          <w:rPr>
            <w:rFonts w:eastAsiaTheme="minorEastAsia" w:cs="Calibri"/>
            <w:sz w:val="21"/>
            <w:szCs w:val="21"/>
          </w:rPr>
        </w:sdtEndPr>
        <w:sdtContent>
          <w:r w:rsidRPr="00D623AA">
            <w:rPr>
              <w:rFonts w:ascii="Tw Cen MT" w:hAnsi="Tw Cen MT"/>
              <w:color w:val="000000"/>
              <w:sz w:val="24"/>
              <w:szCs w:val="24"/>
            </w:rPr>
            <w:t>[15]</w:t>
          </w:r>
        </w:sdtContent>
      </w:sdt>
      <w:r w:rsidRPr="00D623AA">
        <w:rPr>
          <w:rFonts w:ascii="Tw Cen MT" w:eastAsia="Twentieth Century" w:hAnsi="Tw Cen MT" w:cs="Twentieth Century"/>
          <w:sz w:val="24"/>
          <w:szCs w:val="24"/>
        </w:rPr>
        <w:t xml:space="preserve">. </w:t>
      </w:r>
    </w:p>
    <w:p w14:paraId="5694027E" w14:textId="77777777" w:rsidR="00D623AA" w:rsidRPr="00D623AA" w:rsidRDefault="00D623AA" w:rsidP="00D623AA">
      <w:pPr>
        <w:tabs>
          <w:tab w:val="left" w:pos="426"/>
        </w:tabs>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Hasil penelitian ini sejalan dengan penelitian di Puskesmas Batu Ampar bahwa diperoleh nilai </w:t>
      </w:r>
      <w:r w:rsidRPr="00D623AA">
        <w:rPr>
          <w:rFonts w:ascii="Tw Cen MT" w:eastAsia="Twentieth Century" w:hAnsi="Tw Cen MT" w:cs="Twentieth Century"/>
          <w:i/>
          <w:iCs/>
          <w:sz w:val="24"/>
          <w:szCs w:val="24"/>
        </w:rPr>
        <w:t>p value</w:t>
      </w:r>
      <w:r w:rsidRPr="00D623AA">
        <w:rPr>
          <w:rFonts w:ascii="Tw Cen MT" w:eastAsia="Twentieth Century" w:hAnsi="Tw Cen MT" w:cs="Twentieth Century"/>
          <w:sz w:val="24"/>
          <w:szCs w:val="24"/>
        </w:rPr>
        <w:t xml:space="preserve"> 0,008 &lt; 0,05 dan hasil OR (9,22) artinya paritas memliki 9 kali berpengauh terhadap kejadian mual muntah pada ibu hamil di Puskesmas Batu Ampar Balikpapan </w:t>
      </w:r>
      <w:sdt>
        <w:sdtPr>
          <w:rPr>
            <w:rFonts w:ascii="Tw Cen MT" w:eastAsia="Twentieth Century" w:hAnsi="Tw Cen MT" w:cs="Twentieth Century"/>
            <w:color w:val="000000"/>
            <w:sz w:val="24"/>
            <w:szCs w:val="24"/>
          </w:rPr>
          <w:tag w:val="MENDELEY_CITATION_v3_eyJjaXRhdGlvbklEIjoiTUVOREVMRVlfQ0lUQVRJT05fYjlmOGYyZGQtNmUyZC00NDVlLThhNDktODY2MjY5MGI2NjFl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
          <w:id w:val="1207289529"/>
          <w:placeholder>
            <w:docPart w:val="19153ABB10F2534A9FA299CFFE8D9A2D"/>
          </w:placeholder>
        </w:sdtPr>
        <w:sdtEndPr>
          <w:rPr>
            <w:rFonts w:eastAsiaTheme="minorEastAsia" w:cs="Calibri"/>
            <w:sz w:val="21"/>
            <w:szCs w:val="21"/>
          </w:rPr>
        </w:sdtEndPr>
        <w:sdtContent>
          <w:r w:rsidRPr="00D623AA">
            <w:rPr>
              <w:rFonts w:ascii="Tw Cen MT" w:hAnsi="Tw Cen MT"/>
              <w:color w:val="000000"/>
            </w:rPr>
            <w:t>[11]</w:t>
          </w:r>
        </w:sdtContent>
      </w:sdt>
      <w:r w:rsidRPr="00D623AA">
        <w:rPr>
          <w:rFonts w:ascii="Tw Cen MT" w:eastAsia="Twentieth Century" w:hAnsi="Tw Cen MT" w:cs="Twentieth Century"/>
          <w:sz w:val="24"/>
          <w:szCs w:val="24"/>
        </w:rPr>
        <w:t xml:space="preserve">. Hal ini dikarenakan pada primipara faktor psikologis Ibu hamil yang masih belum siap dengan kehamilannya, masih menyesuaikan diri menjadi orangtua dengan tanggung jawab yang lebih besar sehingga dapat memicu terjadinya kejadian hiperemesis gravidarum. Selanjutnya, untuk multipara penurunan fungsi organ tubuh menyebabkan berkurangnya </w:t>
      </w:r>
      <w:r w:rsidRPr="00D623AA">
        <w:rPr>
          <w:rFonts w:ascii="Tw Cen MT" w:eastAsia="Twentieth Century" w:hAnsi="Tw Cen MT" w:cs="Twentieth Century"/>
          <w:sz w:val="24"/>
          <w:szCs w:val="24"/>
        </w:rPr>
        <w:t>daya tahan tubuh dapat menimbulkan berbagai faktor resiko selama hamil.</w:t>
      </w:r>
    </w:p>
    <w:p w14:paraId="0730776A" w14:textId="77777777" w:rsidR="00D623AA" w:rsidRPr="00D623AA" w:rsidRDefault="00D623AA" w:rsidP="00D623AA">
      <w:pPr>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Pada hasil analisa pekerjaan ibu terhadap kejadian mual muntah diperoleh nilai </w:t>
      </w:r>
      <w:r w:rsidRPr="00D623AA">
        <w:rPr>
          <w:rFonts w:ascii="Tw Cen MT" w:eastAsia="Twentieth Century" w:hAnsi="Tw Cen MT" w:cs="Twentieth Century"/>
          <w:i/>
          <w:iCs/>
          <w:sz w:val="24"/>
          <w:szCs w:val="24"/>
        </w:rPr>
        <w:t xml:space="preserve">p value </w:t>
      </w:r>
      <w:r w:rsidRPr="00D623AA">
        <w:rPr>
          <w:rFonts w:ascii="Tw Cen MT" w:eastAsia="Twentieth Century" w:hAnsi="Tw Cen MT" w:cs="Twentieth Century"/>
          <w:sz w:val="24"/>
          <w:szCs w:val="24"/>
        </w:rPr>
        <w:t xml:space="preserve">0,004 &lt; 0,05 maka artinya terdapat huubungan yang signifikan antara pekerjaan ibu terhadap kejadian mual muntah pada ibu diwilayah kerja Puskesmas Payung Sekaki. Dalam penelitian ini, mual muntah mayoritas terjadi pada ibu bekerja, hal ini dikarenakan ibu yang bekerja memiliki banyak hambatan, dan sebagian besar wanita terus bekerja sampai persalinan dimulai. Namun, beberapa jenis pekerjaan mungkin meningkatkan risiko yang menghambat kehamilan. Dengan demikian, semua pekerjaan yang menyebabkan wanita hamil mengalami tekanan fisik berat perlu dihindari. Selain itu, sebaiknya wanita hamil menghindari pekerjaan yang berhubungan dengan radiasi dan bahan kimia, terutama pada usia kehamilan muda. Idealnya, wanita hamil tidak bekerja yang dapat menyebabkan kelelahan. Perlu disediakan waktu istirahat yang cukup </w:t>
      </w:r>
      <w:sdt>
        <w:sdtPr>
          <w:rPr>
            <w:rFonts w:ascii="Tw Cen MT" w:eastAsia="Twentieth Century" w:hAnsi="Tw Cen MT" w:cs="Twentieth Century"/>
            <w:color w:val="000000"/>
            <w:sz w:val="24"/>
            <w:szCs w:val="24"/>
          </w:rPr>
          <w:tag w:val="MENDELEY_CITATION_v3_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"/>
          <w:id w:val="-1107116102"/>
          <w:placeholder>
            <w:docPart w:val="19153ABB10F2534A9FA299CFFE8D9A2D"/>
          </w:placeholder>
        </w:sdtPr>
        <w:sdtEndPr>
          <w:rPr>
            <w:rFonts w:eastAsiaTheme="minorEastAsia" w:cs="Calibri"/>
          </w:rPr>
        </w:sdtEndPr>
        <w:sdtContent>
          <w:r w:rsidRPr="00D623AA">
            <w:rPr>
              <w:rFonts w:ascii="Tw Cen MT" w:hAnsi="Tw Cen MT"/>
              <w:color w:val="000000"/>
              <w:sz w:val="24"/>
              <w:szCs w:val="24"/>
            </w:rPr>
            <w:t>[16]</w:t>
          </w:r>
        </w:sdtContent>
      </w:sdt>
      <w:r w:rsidRPr="00D623AA">
        <w:rPr>
          <w:rFonts w:ascii="Tw Cen MT" w:eastAsia="Twentieth Century" w:hAnsi="Tw Cen MT" w:cs="Twentieth Century"/>
          <w:sz w:val="24"/>
          <w:szCs w:val="24"/>
        </w:rPr>
        <w:t xml:space="preserve">. </w:t>
      </w:r>
    </w:p>
    <w:p w14:paraId="6961D69A" w14:textId="77777777" w:rsidR="00D623AA" w:rsidRPr="00D623AA" w:rsidRDefault="00D623AA" w:rsidP="00D623AA">
      <w:pPr>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Hasil penelitian ini didukung oleh penelitian yang dilakukan oleh Lubis dengan judul faktor yang berhubungan dengan kejadian hiperemesis gravidarum pada ibu hamil trimester pertama di Wilayah Puskesmas Tanjung Pasir yang mengatakan bahwa faktor pekerjaan berpengaruh terhadap terjadinya kejadian mual muntah yang dialami oleh ibu hamil trimester I </w:t>
      </w:r>
      <w:sdt>
        <w:sdtPr>
          <w:rPr>
            <w:rFonts w:ascii="Tw Cen MT" w:eastAsia="Twentieth Century" w:hAnsi="Tw Cen MT" w:cs="Twentieth Century"/>
            <w:color w:val="000000"/>
            <w:sz w:val="24"/>
            <w:szCs w:val="24"/>
          </w:rPr>
          <w:tag w:val="MENDELEY_CITATION_v3_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"/>
          <w:id w:val="172778166"/>
          <w:placeholder>
            <w:docPart w:val="19153ABB10F2534A9FA299CFFE8D9A2D"/>
          </w:placeholder>
        </w:sdtPr>
        <w:sdtEndPr>
          <w:rPr>
            <w:rFonts w:eastAsiaTheme="minorEastAsia" w:cs="Calibri"/>
            <w:sz w:val="21"/>
            <w:szCs w:val="21"/>
          </w:rPr>
        </w:sdtEndPr>
        <w:sdtContent>
          <w:r w:rsidRPr="00D623AA">
            <w:rPr>
              <w:rFonts w:ascii="Tw Cen MT" w:hAnsi="Tw Cen MT"/>
              <w:color w:val="000000"/>
              <w:sz w:val="24"/>
              <w:szCs w:val="24"/>
            </w:rPr>
            <w:t>[17]</w:t>
          </w:r>
        </w:sdtContent>
      </w:sdt>
      <w:r w:rsidRPr="00D623AA">
        <w:rPr>
          <w:rFonts w:ascii="Tw Cen MT" w:eastAsia="Twentieth Century" w:hAnsi="Tw Cen MT" w:cs="Twentieth Century"/>
          <w:sz w:val="24"/>
          <w:szCs w:val="24"/>
        </w:rPr>
        <w:t>.</w:t>
      </w:r>
    </w:p>
    <w:p w14:paraId="6972BB84" w14:textId="77777777" w:rsidR="00D623AA" w:rsidRPr="00D623AA" w:rsidRDefault="00D623AA" w:rsidP="00D623AA">
      <w:pPr>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 xml:space="preserve">Namun bertolak belakang dengan penelitian Fitriyani yang menunjukkan bahwa bekerja umumnya adalah kegiatan yang menyita waktu, sehingga ibu hamil yang berkerja mengalami kecemasan lebih ringan dibanding ibu yang tidak berkerja dikarenakan pekerjaan dapat mengalihkan perasaan cemas bagi ibu hamil. Dimana kecemasan yang berlanjut menyebabkan nafsu makan menurun, kelemahan fisik dan terjadinya mual. Hal ini disebabkan responden menghabiskan waktu dirumah dan lebih mengalami tingkat stress yang lebih tinggi karena tidak bertemu dengan </w:t>
      </w:r>
      <w:r w:rsidRPr="00D623AA">
        <w:rPr>
          <w:rFonts w:ascii="Tw Cen MT" w:eastAsia="Twentieth Century" w:hAnsi="Tw Cen MT" w:cs="Twentieth Century"/>
          <w:sz w:val="24"/>
          <w:szCs w:val="24"/>
        </w:rPr>
        <w:lastRenderedPageBreak/>
        <w:t xml:space="preserve">banyak teman sehingga kecemasan dalam mengalami kehamilan semakin tinggi sehingga dapat mengakibatkan emesis gravidarum pada ibu dan dapat mengakibatkan terjadinya hiperemesis gravidarum dibanding dengan ibu yang bekerja yang berada diluar rumah </w:t>
      </w:r>
      <w:sdt>
        <w:sdtPr>
          <w:rPr>
            <w:rFonts w:ascii="Tw Cen MT" w:eastAsia="Twentieth Century" w:hAnsi="Tw Cen MT" w:cs="Twentieth Century"/>
            <w:color w:val="000000"/>
            <w:sz w:val="24"/>
            <w:szCs w:val="24"/>
          </w:rPr>
          <w:tag w:val="MENDELEY_CITATION_v3_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"/>
          <w:id w:val="998928774"/>
          <w:placeholder>
            <w:docPart w:val="19153ABB10F2534A9FA299CFFE8D9A2D"/>
          </w:placeholder>
        </w:sdtPr>
        <w:sdtEndPr>
          <w:rPr>
            <w:rFonts w:eastAsiaTheme="minorEastAsia" w:cs="Calibri"/>
          </w:rPr>
        </w:sdtEndPr>
        <w:sdtContent>
          <w:r w:rsidRPr="00D623AA">
            <w:rPr>
              <w:rFonts w:ascii="Tw Cen MT" w:hAnsi="Tw Cen MT"/>
              <w:color w:val="000000"/>
              <w:sz w:val="24"/>
              <w:szCs w:val="24"/>
            </w:rPr>
            <w:t>[18]</w:t>
          </w:r>
        </w:sdtContent>
      </w:sdt>
      <w:r w:rsidRPr="00D623AA">
        <w:rPr>
          <w:rFonts w:ascii="Tw Cen MT" w:eastAsia="Twentieth Century" w:hAnsi="Tw Cen MT" w:cs="Twentieth Century"/>
          <w:sz w:val="24"/>
          <w:szCs w:val="24"/>
        </w:rPr>
        <w:t>.</w:t>
      </w:r>
    </w:p>
    <w:p w14:paraId="7190B488" w14:textId="751BB6B6" w:rsidR="00D623AA" w:rsidRPr="00D623AA" w:rsidRDefault="00D623AA" w:rsidP="00D623AA">
      <w:pPr>
        <w:spacing w:after="0" w:line="240" w:lineRule="auto"/>
        <w:jc w:val="both"/>
        <w:rPr>
          <w:rFonts w:ascii="Tw Cen MT" w:eastAsia="Twentieth Century" w:hAnsi="Tw Cen MT" w:cs="Twentieth Century"/>
          <w:sz w:val="24"/>
          <w:szCs w:val="24"/>
        </w:rPr>
      </w:pPr>
      <w:r w:rsidRPr="00D623AA">
        <w:rPr>
          <w:rFonts w:ascii="Tw Cen MT" w:eastAsia="Twentieth Century" w:hAnsi="Tw Cen MT" w:cs="Twentieth Century"/>
          <w:sz w:val="24"/>
          <w:szCs w:val="24"/>
        </w:rPr>
        <w:t>Penelitian tentang “Karakteristik Ibu Hamil yang Mengalami Hiperemesis Gravidarum di Wilayah Kerja Puskesmas Purwosari Kudus menyatakan bahwa pekerjaan berkaitan dngan kondisi kehamilan, dimana wanita yang bekerja tidak dianjurkan untuk melakukan pekerjaan dengan beban yang cukup berat dan juga efek stress akibat beban kerja. Dengan demikian pengeluaran hormon yang berperan dalam kehamilan yakni estrogen dan progesterone di atur dalam hipotalamus. Apabila beban fikiran ibu selama hamil cukup berat maka akan berpengaruh terhadap keseimbangan hormon, dan perkerjaan juga berhubungan dengan kondisi sosial ekonomi yang dapat mempengaruhi pola makan, aktivitas, dan stress ibu hamil. Dengan kondisi demikian makan mual dan muntah yang dialami ibu hamil dapat meningkat dan menjadi hyperemesis gravidarum sehingga dapat mengganggu pekerjaan sehari-hari bahkan dapat menjadi buruk hingga dehidrasi. Oleh karena itu keadaan tersebut dapat menjadikan ibu menjadi takut akan masa depan kehamilannya, perasaan depresi dan kecemasan yang dapat memperburuk perkembangan janin</w:t>
      </w:r>
      <w:sdt>
        <w:sdtPr>
          <w:rPr>
            <w:rFonts w:ascii="Tw Cen MT" w:eastAsia="Twentieth Century" w:hAnsi="Tw Cen MT" w:cs="Twentieth Century"/>
            <w:color w:val="000000"/>
            <w:sz w:val="24"/>
            <w:szCs w:val="24"/>
          </w:rPr>
          <w:tag w:val="MENDELEY_CITATION_v3_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"/>
          <w:id w:val="906574894"/>
          <w:placeholder>
            <w:docPart w:val="19153ABB10F2534A9FA299CFFE8D9A2D"/>
          </w:placeholder>
        </w:sdtPr>
        <w:sdtContent>
          <w:r>
            <w:rPr>
              <w:rFonts w:ascii="Tw Cen MT" w:eastAsia="Twentieth Century" w:hAnsi="Tw Cen MT" w:cs="Twentieth Century"/>
              <w:color w:val="000000"/>
              <w:sz w:val="24"/>
              <w:szCs w:val="24"/>
            </w:rPr>
            <w:t xml:space="preserve"> </w:t>
          </w:r>
          <w:r w:rsidRPr="00D623AA">
            <w:rPr>
              <w:rFonts w:ascii="Tw Cen MT" w:eastAsia="Twentieth Century" w:hAnsi="Tw Cen MT" w:cs="Twentieth Century"/>
              <w:color w:val="000000"/>
              <w:sz w:val="24"/>
              <w:szCs w:val="24"/>
            </w:rPr>
            <w:t>[19]</w:t>
          </w:r>
        </w:sdtContent>
      </w:sdt>
      <w:r w:rsidRPr="00D623AA">
        <w:rPr>
          <w:rFonts w:ascii="Tw Cen MT" w:eastAsia="Twentieth Century" w:hAnsi="Tw Cen MT" w:cs="Twentieth Century"/>
          <w:sz w:val="24"/>
          <w:szCs w:val="24"/>
        </w:rPr>
        <w:t>.</w:t>
      </w:r>
    </w:p>
    <w:p w14:paraId="1CD17CBA" w14:textId="47C93600" w:rsidR="00766A76" w:rsidRPr="00D623AA" w:rsidRDefault="00D623AA" w:rsidP="00D623AA">
      <w:pPr>
        <w:tabs>
          <w:tab w:val="left" w:pos="426"/>
        </w:tabs>
        <w:spacing w:after="0" w:line="240" w:lineRule="auto"/>
        <w:jc w:val="both"/>
        <w:rPr>
          <w:rFonts w:ascii="Tw Cen MT" w:eastAsia="Twentieth Century" w:hAnsi="Tw Cen MT" w:cs="Twentieth Century"/>
          <w:bCs/>
          <w:sz w:val="24"/>
          <w:szCs w:val="24"/>
        </w:rPr>
      </w:pPr>
      <w:r w:rsidRPr="00D623AA">
        <w:rPr>
          <w:rFonts w:ascii="Tw Cen MT" w:eastAsia="Twentieth Century" w:hAnsi="Tw Cen MT" w:cs="Twentieth Century"/>
          <w:sz w:val="24"/>
          <w:szCs w:val="24"/>
        </w:rPr>
        <w:t xml:space="preserve">Penelitian tentang “Tingkat Hiperemesis Gravidarum pada Ibu Hamil Trimester I di Kabupaten Kendal” menyatakan bahwa kesiapan ibu dalam menghadapi peran barunya untuk menghadapi pengalaman hamil dan persalinan, kemudian menjadikannya sebagai orang tua. Ibu yang mengalami hiperemes gravidarum Sebagian besar responden primigravida dibandingkan secundigravida dan multigravida. Hal ini dikarenakan persiapan fisik ibu dalam menghadapi kehamilan sudah lebih matang </w:t>
      </w:r>
      <w:r w:rsidRPr="00D623AA">
        <w:rPr>
          <w:rFonts w:ascii="Tw Cen MT" w:eastAsia="Twentieth Century" w:hAnsi="Tw Cen MT" w:cs="Twentieth Century"/>
          <w:sz w:val="24"/>
          <w:szCs w:val="24"/>
        </w:rPr>
        <w:t xml:space="preserve">dibandingkan dengan kehamilan pertama. Pada ibu primigravida faktor psikologik memegang peranan penting pada penyakit ini, takut terhadap kehamilan dan persalinan, takut terhadap tanggung jawab ssebagai ibu yang menyebabkan konflik mental yang dapat meningkatkan terjadinya mual dan muntah sebagai ekspresi tidak sadar terhadap keengganan menjadi hamil atau sebagai pembelajaran kesukaran hidup </w:t>
      </w:r>
      <w:sdt>
        <w:sdtPr>
          <w:rPr>
            <w:rFonts w:ascii="Tw Cen MT" w:eastAsia="Twentieth Century" w:hAnsi="Tw Cen MT" w:cs="Twentieth Century"/>
            <w:color w:val="000000"/>
            <w:sz w:val="24"/>
            <w:szCs w:val="24"/>
          </w:rPr>
          <w:tag w:val="MENDELEY_CITATION_v3_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"/>
          <w:id w:val="-1883326548"/>
          <w:placeholder>
            <w:docPart w:val="19153ABB10F2534A9FA299CFFE8D9A2D"/>
          </w:placeholder>
        </w:sdtPr>
        <w:sdtContent>
          <w:r w:rsidRPr="00D623AA">
            <w:rPr>
              <w:rFonts w:ascii="Tw Cen MT" w:eastAsia="Twentieth Century" w:hAnsi="Tw Cen MT" w:cs="Twentieth Century"/>
              <w:color w:val="000000"/>
              <w:sz w:val="24"/>
              <w:szCs w:val="24"/>
            </w:rPr>
            <w:t>[20]</w:t>
          </w:r>
        </w:sdtContent>
      </w:sdt>
      <w:r w:rsidRPr="00D623AA">
        <w:rPr>
          <w:rFonts w:ascii="Tw Cen MT" w:eastAsia="Twentieth Century" w:hAnsi="Tw Cen MT" w:cs="Twentieth Century"/>
          <w:color w:val="000000"/>
          <w:sz w:val="24"/>
          <w:szCs w:val="24"/>
        </w:rPr>
        <w:t>.</w:t>
      </w:r>
    </w:p>
    <w:p w14:paraId="58F17B69" w14:textId="77777777" w:rsidR="00766A76" w:rsidRPr="00766A76" w:rsidRDefault="00766A76" w:rsidP="00F0256B">
      <w:pPr>
        <w:tabs>
          <w:tab w:val="left" w:pos="426"/>
        </w:tabs>
        <w:spacing w:after="0" w:line="240" w:lineRule="auto"/>
        <w:jc w:val="both"/>
        <w:rPr>
          <w:rFonts w:ascii="Tw Cen MT" w:eastAsia="Twentieth Century" w:hAnsi="Tw Cen MT" w:cs="Twentieth Century"/>
          <w:b/>
          <w:sz w:val="24"/>
          <w:szCs w:val="24"/>
          <w:lang w:val="id-ID"/>
        </w:rPr>
      </w:pPr>
    </w:p>
    <w:p w14:paraId="093D6C66" w14:textId="77777777" w:rsidR="007106F6" w:rsidRPr="0096335E" w:rsidRDefault="007106F6" w:rsidP="00F0256B">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40A9D4A" w14:textId="56410D80" w:rsidR="00F000D5" w:rsidRDefault="00F000D5" w:rsidP="00F000D5">
      <w:pPr>
        <w:spacing w:after="0" w:line="240" w:lineRule="auto"/>
        <w:jc w:val="both"/>
        <w:rPr>
          <w:rFonts w:ascii="Tw Cen MT" w:eastAsia="Twentieth Century" w:hAnsi="Tw Cen MT" w:cs="Twentieth Century"/>
          <w:sz w:val="24"/>
          <w:szCs w:val="24"/>
          <w:lang w:val="id-ID"/>
        </w:rPr>
      </w:pPr>
      <w:r w:rsidRPr="00EC6E87">
        <w:rPr>
          <w:rFonts w:ascii="Tw Cen MT" w:eastAsia="Twentieth Century" w:hAnsi="Tw Cen MT" w:cs="Twentieth Century"/>
          <w:sz w:val="24"/>
          <w:szCs w:val="24"/>
        </w:rPr>
        <w:t xml:space="preserve">Dari hasil penelitian dapat disimpulkan bahwa terdapat hubungan antara paritas dan pekerjaan terhadap kejadian mual muntah pada ibu hamil di Wilayah Kerja Puskesmas Payung Sekaki dengan hasil </w:t>
      </w:r>
      <w:r w:rsidRPr="00EC6E87">
        <w:rPr>
          <w:rFonts w:ascii="Tw Cen MT" w:eastAsia="Twentieth Century" w:hAnsi="Tw Cen MT" w:cs="Twentieth Century"/>
          <w:i/>
          <w:iCs/>
          <w:sz w:val="24"/>
          <w:szCs w:val="24"/>
        </w:rPr>
        <w:t xml:space="preserve">p value </w:t>
      </w:r>
      <w:r w:rsidRPr="00EC6E87">
        <w:rPr>
          <w:rFonts w:ascii="Tw Cen MT" w:eastAsia="Twentieth Century" w:hAnsi="Tw Cen MT" w:cs="Twentieth Century"/>
          <w:sz w:val="24"/>
          <w:szCs w:val="24"/>
        </w:rPr>
        <w:t>&lt; 0,05. Ibu hamil dengan primipara yang belum dapat beradaptasi dengan kehamilannya dan ibu bekerja yang memiliki tingkatan stress yang tinggi memiliki resiko untuk mengalami mual muntah</w:t>
      </w:r>
      <w:r w:rsidR="004721E3" w:rsidRPr="00AF178C">
        <w:rPr>
          <w:rFonts w:ascii="Tw Cen MT" w:eastAsia="Twentieth Century" w:hAnsi="Tw Cen MT" w:cs="Twentieth Century"/>
          <w:sz w:val="24"/>
          <w:szCs w:val="24"/>
          <w:lang w:val="id-ID"/>
        </w:rPr>
        <w:t>.</w:t>
      </w:r>
    </w:p>
    <w:p w14:paraId="3AF57A16" w14:textId="77777777" w:rsidR="00F000D5" w:rsidRPr="00F000D5" w:rsidRDefault="00F000D5" w:rsidP="00F000D5">
      <w:pPr>
        <w:spacing w:after="0" w:line="240" w:lineRule="auto"/>
        <w:jc w:val="both"/>
        <w:rPr>
          <w:rFonts w:ascii="Tw Cen MT" w:eastAsia="Twentieth Century" w:hAnsi="Tw Cen MT" w:cs="Twentieth Century"/>
          <w:sz w:val="24"/>
          <w:szCs w:val="24"/>
          <w:lang w:val="id-ID"/>
        </w:rPr>
      </w:pPr>
    </w:p>
    <w:p w14:paraId="15976F94" w14:textId="77777777" w:rsidR="00B22818" w:rsidRPr="00227851" w:rsidRDefault="00B22818" w:rsidP="00F000D5">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UCAPAN TERIMA KASIH </w:t>
      </w:r>
    </w:p>
    <w:p w14:paraId="2D91D778" w14:textId="25D1CDF7" w:rsidR="00B22818" w:rsidRDefault="00F000D5" w:rsidP="00B22818">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sz w:val="24"/>
          <w:szCs w:val="24"/>
        </w:rPr>
        <w:t>Dalam kegiatan penelitian tim mengucapkan terimakasih kepada pihak terkait yang banyak membantu pelaksanaan penelitian ini, dan kepada tim peneliti yang telah memberikan pemikiran dan tenaga dalam pelaksanaan penelitian ini</w:t>
      </w:r>
      <w:r w:rsidR="00B22818">
        <w:rPr>
          <w:rFonts w:ascii="Tw Cen MT" w:eastAsia="Twentieth Century" w:hAnsi="Tw Cen MT" w:cs="Twentieth Century"/>
          <w:b/>
          <w:sz w:val="24"/>
          <w:szCs w:val="24"/>
        </w:rPr>
        <w:t>.</w:t>
      </w:r>
    </w:p>
    <w:p w14:paraId="61549039" w14:textId="77777777" w:rsidR="00B22818" w:rsidRDefault="00B22818" w:rsidP="00B22818">
      <w:pPr>
        <w:tabs>
          <w:tab w:val="left" w:pos="426"/>
        </w:tabs>
        <w:spacing w:after="0" w:line="240" w:lineRule="auto"/>
        <w:jc w:val="both"/>
        <w:rPr>
          <w:rFonts w:ascii="Tw Cen MT" w:eastAsia="Twentieth Century" w:hAnsi="Tw Cen MT" w:cs="Twentieth Century"/>
          <w:b/>
          <w:sz w:val="24"/>
          <w:szCs w:val="24"/>
        </w:rPr>
      </w:pPr>
    </w:p>
    <w:p w14:paraId="7E4B783F" w14:textId="4F03D6CF" w:rsidR="004721E3" w:rsidRDefault="004721E3" w:rsidP="00B22818">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11BD0217" w14:textId="67180AEA"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S. Handayani, “Efek akupressur dalam mengatasi mual muntah selama kehamilan,” </w:t>
      </w:r>
      <w:r w:rsidRPr="00862F33">
        <w:rPr>
          <w:rFonts w:ascii="Tw Cen MT" w:hAnsi="Tw Cen MT"/>
          <w:i/>
          <w:iCs/>
          <w:sz w:val="24"/>
          <w:szCs w:val="24"/>
        </w:rPr>
        <w:t>Simposium dan Workshop Nasional Pengembangan Pendidikan dan Pelayanan Kebidanan Indonesia</w:t>
      </w:r>
      <w:r w:rsidRPr="00862F33">
        <w:rPr>
          <w:rFonts w:ascii="Tw Cen MT" w:hAnsi="Tw Cen MT"/>
          <w:sz w:val="24"/>
          <w:szCs w:val="24"/>
        </w:rPr>
        <w:t>, vol. 24, 2015.</w:t>
      </w:r>
    </w:p>
    <w:p w14:paraId="1B05F138" w14:textId="3A13D471"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F. K. Wardani, “Efektivitas Eksrtak Jahe Untuk Mengurangi Emesis Gravidarum Pada Ibu Hamil Trimester 1 Di Klinik Hj. Dewi Sesmera Medan,” </w:t>
      </w:r>
      <w:r w:rsidRPr="00862F33">
        <w:rPr>
          <w:rFonts w:ascii="Tw Cen MT" w:hAnsi="Tw Cen MT"/>
          <w:i/>
          <w:iCs/>
          <w:sz w:val="24"/>
          <w:szCs w:val="24"/>
        </w:rPr>
        <w:t>Jurnal Maternal Kebidanan</w:t>
      </w:r>
      <w:r w:rsidRPr="00862F33">
        <w:rPr>
          <w:rFonts w:ascii="Tw Cen MT" w:hAnsi="Tw Cen MT"/>
          <w:sz w:val="24"/>
          <w:szCs w:val="24"/>
        </w:rPr>
        <w:t>, vol. 3, pp. 30–39, 2020.</w:t>
      </w:r>
    </w:p>
    <w:p w14:paraId="4E03A20C" w14:textId="24C90970"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S. SiT. M. Ulfika R, Isfaizah, S SM, Puji Lestari, “Asuhan Kebidanan Pada Ibu Hamil Trimester I Dengan Emesis </w:t>
      </w:r>
      <w:r w:rsidRPr="00862F33">
        <w:rPr>
          <w:rFonts w:ascii="Tw Cen MT" w:hAnsi="Tw Cen MT"/>
          <w:sz w:val="24"/>
          <w:szCs w:val="24"/>
        </w:rPr>
        <w:lastRenderedPageBreak/>
        <w:t>Gravidarum,” Ngudi Waluyo Ungaran, 2019.</w:t>
      </w:r>
    </w:p>
    <w:p w14:paraId="7C6C82BE" w14:textId="7C1525BB"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Haridawati, “Pengaruh Jahe (Zingiber Officinale) Hangat Dalam Mengurangi Emesis Gravidarum di Wilayah Kerja Puskesmas Harapan Raya Pekanbaru,” </w:t>
      </w:r>
      <w:r w:rsidRPr="00862F33">
        <w:rPr>
          <w:rFonts w:ascii="Tw Cen MT" w:hAnsi="Tw Cen MT"/>
          <w:i/>
          <w:iCs/>
          <w:sz w:val="24"/>
          <w:szCs w:val="24"/>
        </w:rPr>
        <w:t>Jurnal Ilmu Kebidanan</w:t>
      </w:r>
      <w:r w:rsidRPr="00862F33">
        <w:rPr>
          <w:rFonts w:ascii="Tw Cen MT" w:hAnsi="Tw Cen MT"/>
          <w:sz w:val="24"/>
          <w:szCs w:val="24"/>
        </w:rPr>
        <w:t>, vol. 9</w:t>
      </w:r>
      <w:r w:rsidR="00862F33">
        <w:rPr>
          <w:rFonts w:ascii="Tw Cen MT" w:hAnsi="Tw Cen MT"/>
          <w:sz w:val="24"/>
          <w:szCs w:val="24"/>
        </w:rPr>
        <w:t xml:space="preserve">, no. </w:t>
      </w:r>
      <w:r w:rsidRPr="00862F33">
        <w:rPr>
          <w:rFonts w:ascii="Tw Cen MT" w:hAnsi="Tw Cen MT"/>
          <w:sz w:val="24"/>
          <w:szCs w:val="24"/>
        </w:rPr>
        <w:t>1, pp. 1–7, 2020.</w:t>
      </w:r>
    </w:p>
    <w:p w14:paraId="69E0B1CD" w14:textId="0038491B"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WHO, “</w:t>
      </w:r>
      <w:r w:rsidRPr="00862F33">
        <w:rPr>
          <w:rFonts w:ascii="Tw Cen MT" w:hAnsi="Tw Cen MT"/>
          <w:i/>
          <w:iCs/>
          <w:sz w:val="24"/>
          <w:szCs w:val="24"/>
        </w:rPr>
        <w:t>Prelvalelnsi Keljadian Hypelrelmelsis Gravidarulm</w:t>
      </w:r>
      <w:r w:rsidRPr="00862F33">
        <w:rPr>
          <w:rFonts w:ascii="Tw Cen MT" w:hAnsi="Tw Cen MT"/>
          <w:sz w:val="24"/>
          <w:szCs w:val="24"/>
        </w:rPr>
        <w:t>,” 2019.</w:t>
      </w:r>
    </w:p>
    <w:p w14:paraId="6C11EC32" w14:textId="40F910C1"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Depkes, “</w:t>
      </w:r>
      <w:r w:rsidRPr="00862F33">
        <w:rPr>
          <w:rFonts w:ascii="Tw Cen MT" w:hAnsi="Tw Cen MT"/>
          <w:i/>
          <w:iCs/>
          <w:sz w:val="24"/>
          <w:szCs w:val="24"/>
        </w:rPr>
        <w:t>Profil Kesehatan Indonesia</w:t>
      </w:r>
      <w:r w:rsidRPr="00862F33">
        <w:rPr>
          <w:rFonts w:ascii="Tw Cen MT" w:hAnsi="Tw Cen MT"/>
          <w:sz w:val="24"/>
          <w:szCs w:val="24"/>
        </w:rPr>
        <w:t>,” 2019.</w:t>
      </w:r>
    </w:p>
    <w:p w14:paraId="069F3B7E" w14:textId="35141E7A"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S. Prawirohardjo, </w:t>
      </w:r>
      <w:r w:rsidRPr="00862F33">
        <w:rPr>
          <w:rFonts w:ascii="Tw Cen MT" w:hAnsi="Tw Cen MT"/>
          <w:i/>
          <w:iCs/>
          <w:sz w:val="24"/>
          <w:szCs w:val="24"/>
        </w:rPr>
        <w:t>Ilmu Kebidanan</w:t>
      </w:r>
      <w:r w:rsidRPr="00862F33">
        <w:rPr>
          <w:rFonts w:ascii="Tw Cen MT" w:hAnsi="Tw Cen MT"/>
          <w:sz w:val="24"/>
          <w:szCs w:val="24"/>
        </w:rPr>
        <w:t>. Jakarta: PT Bina Pustaka, 2017.</w:t>
      </w:r>
    </w:p>
    <w:p w14:paraId="25BA1808" w14:textId="354F91AD"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Tiran, </w:t>
      </w:r>
      <w:r w:rsidRPr="00862F33">
        <w:rPr>
          <w:rFonts w:ascii="Tw Cen MT" w:hAnsi="Tw Cen MT"/>
          <w:i/>
          <w:iCs/>
          <w:sz w:val="24"/>
          <w:szCs w:val="24"/>
        </w:rPr>
        <w:t>Mual Dan Muntah Kehamilan</w:t>
      </w:r>
      <w:r w:rsidRPr="00862F33">
        <w:rPr>
          <w:rFonts w:ascii="Tw Cen MT" w:hAnsi="Tw Cen MT"/>
          <w:sz w:val="24"/>
          <w:szCs w:val="24"/>
        </w:rPr>
        <w:t>. Jakarta: EGC, 2019.</w:t>
      </w:r>
    </w:p>
    <w:p w14:paraId="6F38BAC7" w14:textId="1B43F112"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M. M. Chandra Kartika Suryaningrum, Ira Titisari, “Hubungan antara status gravida dan usia ibu dengan kejadian emesis gravidarum,” </w:t>
      </w:r>
      <w:r w:rsidRPr="00862F33">
        <w:rPr>
          <w:rFonts w:ascii="Tw Cen MT" w:hAnsi="Tw Cen MT"/>
          <w:i/>
          <w:iCs/>
          <w:sz w:val="24"/>
          <w:szCs w:val="24"/>
        </w:rPr>
        <w:t>Jurnal Ilmu Kesehatan</w:t>
      </w:r>
      <w:r w:rsidRPr="00862F33">
        <w:rPr>
          <w:rFonts w:ascii="Tw Cen MT" w:hAnsi="Tw Cen MT"/>
          <w:sz w:val="24"/>
          <w:szCs w:val="24"/>
        </w:rPr>
        <w:t>, vol. 7, pp. 342–348, 2019.</w:t>
      </w:r>
    </w:p>
    <w:p w14:paraId="6E625642" w14:textId="5E254820"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Qotimah, Sayuti and &amp; Dr. P. Muliarini, “Hubungan Paritas dan Umur Ibu Dengan Kejadian Hipermesis Gravidarum di PMB Rifatul Khusniah, S.ST Wilayah Kerja Puskesmas Pujon Kecamatan Pujon,” </w:t>
      </w:r>
      <w:r w:rsidRPr="00862F33">
        <w:rPr>
          <w:rFonts w:ascii="Tw Cen MT" w:hAnsi="Tw Cen MT"/>
          <w:i/>
          <w:iCs/>
          <w:sz w:val="24"/>
          <w:szCs w:val="24"/>
        </w:rPr>
        <w:t>Jurnal Pendiidkan Indonesia: Teori, Penelitian dan Inovasi</w:t>
      </w:r>
      <w:r w:rsidRPr="00862F33">
        <w:rPr>
          <w:rFonts w:ascii="Tw Cen MT" w:hAnsi="Tw Cen MT"/>
          <w:sz w:val="24"/>
          <w:szCs w:val="24"/>
        </w:rPr>
        <w:t>, vol. 2, pp. 158–165, 2022.</w:t>
      </w:r>
    </w:p>
    <w:p w14:paraId="4D940674" w14:textId="1B107A69"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H. N. Krisniyawati Tri, E. F. Hadiningsih, and R. Wahyun, “faktor - faktor yang berhubungan dengan kejadian mual muntah trimester I di Puskesmas Batu Ampar Balikpapan,” </w:t>
      </w:r>
      <w:r w:rsidR="00862F33">
        <w:rPr>
          <w:rFonts w:ascii="Tw Cen MT" w:hAnsi="Tw Cen MT"/>
          <w:i/>
          <w:iCs/>
          <w:sz w:val="24"/>
          <w:szCs w:val="24"/>
        </w:rPr>
        <w:t>J</w:t>
      </w:r>
      <w:r w:rsidRPr="00862F33">
        <w:rPr>
          <w:rFonts w:ascii="Tw Cen MT" w:hAnsi="Tw Cen MT"/>
          <w:i/>
          <w:iCs/>
          <w:sz w:val="24"/>
          <w:szCs w:val="24"/>
        </w:rPr>
        <w:t>urnal Voice of Midwifery</w:t>
      </w:r>
      <w:r w:rsidRPr="00862F33">
        <w:rPr>
          <w:rFonts w:ascii="Tw Cen MT" w:hAnsi="Tw Cen MT"/>
          <w:sz w:val="24"/>
          <w:szCs w:val="24"/>
        </w:rPr>
        <w:t>, vol. 13, pp. 19–30, 2023.</w:t>
      </w:r>
    </w:p>
    <w:p w14:paraId="42C8804F" w14:textId="3E077138"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T. Ibrahim, I. A., Syahrir, S., &amp; Anggriati, “Faktor-Faktor Yang Berhubungan Dengan Hyperemesis Gravidarum Pada Ibu Hamil Di RSUD Syekh Yusuf Tahun 2019,” </w:t>
      </w:r>
      <w:r w:rsidRPr="00862F33">
        <w:rPr>
          <w:rFonts w:ascii="Tw Cen MT" w:hAnsi="Tw Cen MT"/>
          <w:i/>
          <w:iCs/>
          <w:sz w:val="24"/>
          <w:szCs w:val="24"/>
        </w:rPr>
        <w:t>Al Gizzai: Public Health Nutrition Journal</w:t>
      </w:r>
      <w:r w:rsidRPr="00862F33">
        <w:rPr>
          <w:rFonts w:ascii="Tw Cen MT" w:hAnsi="Tw Cen MT"/>
          <w:sz w:val="24"/>
          <w:szCs w:val="24"/>
        </w:rPr>
        <w:t>, vol.</w:t>
      </w:r>
      <w:r w:rsidR="00862F33">
        <w:rPr>
          <w:rFonts w:ascii="Tw Cen MT" w:hAnsi="Tw Cen MT"/>
          <w:sz w:val="24"/>
          <w:szCs w:val="24"/>
        </w:rPr>
        <w:t xml:space="preserve"> </w:t>
      </w:r>
      <w:r w:rsidRPr="00862F33">
        <w:rPr>
          <w:rFonts w:ascii="Tw Cen MT" w:hAnsi="Tw Cen MT"/>
          <w:sz w:val="24"/>
          <w:szCs w:val="24"/>
        </w:rPr>
        <w:t>1, pp. 59–70, 2021.</w:t>
      </w:r>
    </w:p>
    <w:p w14:paraId="20EF2D52" w14:textId="5857CA89"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Y. et al Damis, “Dengan Menerapkan Program Inovasi Ibu Berlin Pun Bisa ( Ibu Bersalin Di Puskesmas Dengan Bidan Siaga),” </w:t>
      </w:r>
      <w:r w:rsidRPr="00862F33">
        <w:rPr>
          <w:rFonts w:ascii="Tw Cen MT" w:hAnsi="Tw Cen MT"/>
          <w:i/>
          <w:iCs/>
          <w:sz w:val="24"/>
          <w:szCs w:val="24"/>
        </w:rPr>
        <w:t>Communnity Development Journal</w:t>
      </w:r>
      <w:r w:rsidRPr="00862F33">
        <w:rPr>
          <w:rFonts w:ascii="Tw Cen MT" w:hAnsi="Tw Cen MT"/>
          <w:sz w:val="24"/>
          <w:szCs w:val="24"/>
        </w:rPr>
        <w:t>, vol. 4, 2023.</w:t>
      </w:r>
    </w:p>
    <w:p w14:paraId="12AA555E" w14:textId="4EBFB80B"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Jumiati, N. Yulita, N. Susianty, A. Rahmawati, and Haryanti, “Asuhan Kebidanan Pada Ny. R dengan Hyperemesis Gravidarum Grade I,</w:t>
      </w:r>
      <w:r w:rsidR="00862F33" w:rsidRPr="00862F33">
        <w:rPr>
          <w:rFonts w:ascii="Tw Cen MT" w:hAnsi="Tw Cen MT"/>
          <w:sz w:val="24"/>
          <w:szCs w:val="24"/>
        </w:rPr>
        <w:t xml:space="preserve"> </w:t>
      </w:r>
      <w:r w:rsidR="00862F33" w:rsidRPr="00862F33">
        <w:rPr>
          <w:rFonts w:ascii="Tw Cen MT" w:hAnsi="Tw Cen MT"/>
          <w:i/>
          <w:iCs/>
          <w:sz w:val="24"/>
          <w:szCs w:val="24"/>
        </w:rPr>
        <w:t>Jurnal Kesehatan As-Shiha</w:t>
      </w:r>
      <w:r w:rsidR="00862F33">
        <w:rPr>
          <w:rFonts w:ascii="Tw Cen MT" w:hAnsi="Tw Cen MT"/>
          <w:sz w:val="24"/>
          <w:szCs w:val="24"/>
        </w:rPr>
        <w:t>,</w:t>
      </w:r>
      <w:r w:rsidRPr="00862F33">
        <w:rPr>
          <w:rFonts w:ascii="Tw Cen MT" w:hAnsi="Tw Cen MT"/>
          <w:sz w:val="24"/>
          <w:szCs w:val="24"/>
        </w:rPr>
        <w:t xml:space="preserve"> 2022. </w:t>
      </w:r>
    </w:p>
    <w:p w14:paraId="2B99C1EE" w14:textId="57CE0082"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W. O. S. K. W. Mardika Ati Mangidi and D. A. Rahmawat, “g hubungan antara umur ibu dan paritas dengan kejadian Hiperemesis gravidarum di Rumah Sakit Dewi Sartika Kota Kendari,” </w:t>
      </w:r>
      <w:r w:rsidRPr="00862F33">
        <w:rPr>
          <w:rFonts w:ascii="Tw Cen MT" w:hAnsi="Tw Cen MT"/>
          <w:i/>
          <w:iCs/>
          <w:sz w:val="24"/>
          <w:szCs w:val="24"/>
        </w:rPr>
        <w:t>Jurnal Pelita Sains Kesehatan</w:t>
      </w:r>
      <w:r w:rsidRPr="00862F33">
        <w:rPr>
          <w:rFonts w:ascii="Tw Cen MT" w:hAnsi="Tw Cen MT"/>
          <w:sz w:val="24"/>
          <w:szCs w:val="24"/>
        </w:rPr>
        <w:t>, vol. 3</w:t>
      </w:r>
      <w:r w:rsidR="00862F33">
        <w:rPr>
          <w:rFonts w:ascii="Tw Cen MT" w:hAnsi="Tw Cen MT"/>
          <w:sz w:val="24"/>
          <w:szCs w:val="24"/>
        </w:rPr>
        <w:t>,</w:t>
      </w:r>
      <w:r w:rsidRPr="00862F33">
        <w:rPr>
          <w:rFonts w:ascii="Tw Cen MT" w:hAnsi="Tw Cen MT"/>
          <w:sz w:val="24"/>
          <w:szCs w:val="24"/>
        </w:rPr>
        <w:t xml:space="preserve"> pp. 1–8, 2023.</w:t>
      </w:r>
    </w:p>
    <w:p w14:paraId="44B18594" w14:textId="46FE2163"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Nasution, “Hubungan Dukungan Suami, Pekerjaan Dan Sikap Pada Ibu Hamil Dengan Hiperemesis Gravidarum Di Klinik Dina Karya Medan Tahun 2020,” </w:t>
      </w:r>
      <w:r w:rsidRPr="00862F33">
        <w:rPr>
          <w:rFonts w:ascii="Tw Cen MT" w:hAnsi="Tw Cen MT"/>
          <w:i/>
          <w:iCs/>
          <w:sz w:val="24"/>
          <w:szCs w:val="24"/>
        </w:rPr>
        <w:t>Jurnal Pionir LPPM Universitas Asahan</w:t>
      </w:r>
      <w:r w:rsidRPr="00862F33">
        <w:rPr>
          <w:rFonts w:ascii="Tw Cen MT" w:hAnsi="Tw Cen MT"/>
          <w:sz w:val="24"/>
          <w:szCs w:val="24"/>
        </w:rPr>
        <w:t>, vol.</w:t>
      </w:r>
      <w:r w:rsidR="00862F33">
        <w:rPr>
          <w:rFonts w:ascii="Tw Cen MT" w:hAnsi="Tw Cen MT"/>
          <w:sz w:val="24"/>
          <w:szCs w:val="24"/>
        </w:rPr>
        <w:t xml:space="preserve"> </w:t>
      </w:r>
      <w:r w:rsidRPr="00862F33">
        <w:rPr>
          <w:rFonts w:ascii="Tw Cen MT" w:hAnsi="Tw Cen MT"/>
          <w:sz w:val="24"/>
          <w:szCs w:val="24"/>
        </w:rPr>
        <w:t>7, 2021.</w:t>
      </w:r>
    </w:p>
    <w:p w14:paraId="695E487E" w14:textId="669054BC"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 xml:space="preserve">Lubis, B., Hanim, L., Br Bangun, S. and R. Ajartha, “Faktor-Faktor Yang Berhubungan Dengan Kejadian Hiperemesis Gravidarum Pada Ibu Hamil Trimester Pertama Di Wilayah Puskesmas Tanjung Pasir 2020,” </w:t>
      </w:r>
      <w:r w:rsidRPr="00862F33">
        <w:rPr>
          <w:rFonts w:ascii="Tw Cen MT" w:hAnsi="Tw Cen MT"/>
          <w:i/>
          <w:iCs/>
          <w:sz w:val="24"/>
          <w:szCs w:val="24"/>
        </w:rPr>
        <w:t>Jurnal Kesmas Dan Gizi (JKG)</w:t>
      </w:r>
      <w:r w:rsidRPr="00862F33">
        <w:rPr>
          <w:rFonts w:ascii="Tw Cen MT" w:hAnsi="Tw Cen MT"/>
          <w:sz w:val="24"/>
          <w:szCs w:val="24"/>
        </w:rPr>
        <w:t>, vol. 3</w:t>
      </w:r>
      <w:r w:rsidR="00862F33">
        <w:rPr>
          <w:rFonts w:ascii="Tw Cen MT" w:hAnsi="Tw Cen MT"/>
          <w:sz w:val="24"/>
          <w:szCs w:val="24"/>
        </w:rPr>
        <w:t>,</w:t>
      </w:r>
      <w:r w:rsidRPr="00862F33">
        <w:rPr>
          <w:rFonts w:ascii="Tw Cen MT" w:hAnsi="Tw Cen MT"/>
          <w:sz w:val="24"/>
          <w:szCs w:val="24"/>
        </w:rPr>
        <w:t xml:space="preserve"> pp. 123–130, 2021.</w:t>
      </w:r>
    </w:p>
    <w:p w14:paraId="610FFFC9" w14:textId="3A464B6A"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[Fitriyani A, “Literature Review</w:t>
      </w:r>
      <w:r w:rsidRPr="00862F33">
        <w:rPr>
          <w:rFonts w:ascii="Arial" w:hAnsi="Arial" w:cs="Arial"/>
          <w:sz w:val="24"/>
          <w:szCs w:val="24"/>
        </w:rPr>
        <w:t> </w:t>
      </w:r>
      <w:r w:rsidRPr="00862F33">
        <w:rPr>
          <w:rFonts w:ascii="Tw Cen MT" w:hAnsi="Tw Cen MT"/>
          <w:sz w:val="24"/>
          <w:szCs w:val="24"/>
        </w:rPr>
        <w:t>: Gambaran Karakteristik Ibu Hamil Trimester I Dengan Emesis Gravidarum,</w:t>
      </w:r>
      <w:r w:rsidRPr="00862F33">
        <w:rPr>
          <w:rFonts w:ascii="Tw Cen MT" w:hAnsi="Tw Cen MT" w:cs="Tw Cen MT"/>
          <w:sz w:val="24"/>
          <w:szCs w:val="24"/>
        </w:rPr>
        <w:t>”</w:t>
      </w:r>
      <w:r w:rsidR="00862F33">
        <w:rPr>
          <w:rFonts w:ascii="Tw Cen MT" w:hAnsi="Tw Cen MT" w:cs="Tw Cen MT"/>
          <w:sz w:val="24"/>
          <w:szCs w:val="24"/>
        </w:rPr>
        <w:t xml:space="preserve"> </w:t>
      </w:r>
      <w:r w:rsidR="00862F33" w:rsidRPr="00862F33">
        <w:rPr>
          <w:rFonts w:ascii="Tw Cen MT" w:hAnsi="Tw Cen MT" w:cs="Tw Cen MT"/>
          <w:i/>
          <w:iCs/>
          <w:sz w:val="24"/>
          <w:szCs w:val="24"/>
        </w:rPr>
        <w:t>Skripsi</w:t>
      </w:r>
      <w:r w:rsidR="00862F33">
        <w:rPr>
          <w:rFonts w:ascii="Tw Cen MT" w:hAnsi="Tw Cen MT" w:cs="Tw Cen MT"/>
          <w:sz w:val="24"/>
          <w:szCs w:val="24"/>
        </w:rPr>
        <w:t>.</w:t>
      </w:r>
      <w:r w:rsidRPr="00862F33">
        <w:rPr>
          <w:rFonts w:ascii="Tw Cen MT" w:hAnsi="Tw Cen MT"/>
          <w:sz w:val="24"/>
          <w:szCs w:val="24"/>
        </w:rPr>
        <w:t xml:space="preserve"> Yogyakarta: Program Studi Kebidanan Program Sarjana Terapan Fakultas Ilmu Kesehatan Universitas </w:t>
      </w:r>
      <w:r w:rsidRPr="00862F33">
        <w:rPr>
          <w:rFonts w:ascii="Tw Cen MT" w:hAnsi="Tw Cen MT" w:cs="Tw Cen MT"/>
          <w:sz w:val="24"/>
          <w:szCs w:val="24"/>
        </w:rPr>
        <w:t>‘</w:t>
      </w:r>
      <w:r w:rsidRPr="00862F33">
        <w:rPr>
          <w:rFonts w:ascii="Tw Cen MT" w:hAnsi="Tw Cen MT"/>
          <w:sz w:val="24"/>
          <w:szCs w:val="24"/>
        </w:rPr>
        <w:t>Aisyiyah Yogyakarta, 2020.</w:t>
      </w:r>
    </w:p>
    <w:p w14:paraId="3DD49F15" w14:textId="3CD23B5F" w:rsidR="00F000D5" w:rsidRPr="00862F33" w:rsidRDefault="00F000D5" w:rsidP="00862F33">
      <w:pPr>
        <w:pStyle w:val="DaftarParagraf"/>
        <w:numPr>
          <w:ilvl w:val="0"/>
          <w:numId w:val="9"/>
        </w:numPr>
        <w:autoSpaceDE w:val="0"/>
        <w:autoSpaceDN w:val="0"/>
        <w:spacing w:after="0" w:line="240" w:lineRule="auto"/>
        <w:ind w:left="567" w:hanging="567"/>
        <w:jc w:val="both"/>
        <w:rPr>
          <w:rFonts w:ascii="Tw Cen MT" w:hAnsi="Tw Cen MT"/>
          <w:sz w:val="24"/>
          <w:szCs w:val="24"/>
        </w:rPr>
      </w:pPr>
      <w:r w:rsidRPr="00862F33">
        <w:rPr>
          <w:rFonts w:ascii="Tw Cen MT" w:hAnsi="Tw Cen MT"/>
          <w:sz w:val="24"/>
          <w:szCs w:val="24"/>
        </w:rPr>
        <w:t>I. Puspitasari and I. Indrianingrum, “</w:t>
      </w:r>
      <w:r w:rsidR="00862F33" w:rsidRPr="00862F33">
        <w:rPr>
          <w:rFonts w:ascii="Tw Cen MT" w:hAnsi="Tw Cen MT"/>
          <w:sz w:val="24"/>
          <w:szCs w:val="24"/>
        </w:rPr>
        <w:t>Karakteristik Ibu Hamil Yang Mengalami Hiperemesis Garvidarum Di Wilayah Kerja Puskesmas Purwosari Kudus</w:t>
      </w:r>
      <w:r w:rsidRPr="00862F33">
        <w:rPr>
          <w:rFonts w:ascii="Tw Cen MT" w:hAnsi="Tw Cen MT"/>
          <w:sz w:val="24"/>
          <w:szCs w:val="24"/>
        </w:rPr>
        <w:t>,” 2021.</w:t>
      </w:r>
    </w:p>
    <w:p w14:paraId="3F35EB37" w14:textId="05C929A2" w:rsidR="00F05CBD" w:rsidRPr="00862F33" w:rsidRDefault="00F000D5" w:rsidP="00862F33">
      <w:pPr>
        <w:pStyle w:val="DaftarParagraf"/>
        <w:widowControl w:val="0"/>
        <w:numPr>
          <w:ilvl w:val="0"/>
          <w:numId w:val="9"/>
        </w:numPr>
        <w:autoSpaceDE w:val="0"/>
        <w:autoSpaceDN w:val="0"/>
        <w:adjustRightInd w:val="0"/>
        <w:spacing w:after="0" w:line="240" w:lineRule="auto"/>
        <w:ind w:left="567" w:hanging="567"/>
        <w:jc w:val="both"/>
        <w:rPr>
          <w:rFonts w:ascii="Tw Cen MT" w:eastAsia="Twentieth Century" w:hAnsi="Tw Cen MT" w:cs="Twentieth Century"/>
          <w:sz w:val="24"/>
          <w:szCs w:val="24"/>
        </w:rPr>
      </w:pPr>
      <w:r w:rsidRPr="00862F33">
        <w:rPr>
          <w:rFonts w:ascii="Tw Cen MT" w:hAnsi="Tw Cen MT"/>
          <w:sz w:val="24"/>
          <w:szCs w:val="24"/>
        </w:rPr>
        <w:t>T. Arisdiani and D. Y. Hastuti, “Tingkat Hiperemesis Gravidarum pada Ibu Hamil Trimester I di Kabupaten Kendal,” 2020. [Online]. Available: http://jurnal.poltekkesmamuju.ac.id/index.php/b</w:t>
      </w:r>
      <w:r w:rsidR="00B22818" w:rsidRPr="00862F33">
        <w:rPr>
          <w:rFonts w:ascii="Tw Cen MT" w:hAnsi="Tw Cen MT"/>
          <w:noProof/>
          <w:sz w:val="24"/>
          <w:szCs w:val="24"/>
        </w:rPr>
        <w:t>.</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862F33">
      <w:pPr>
        <w:tabs>
          <w:tab w:val="left" w:pos="426"/>
        </w:tabs>
        <w:spacing w:after="0" w:line="240" w:lineRule="auto"/>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F463" w14:textId="77777777" w:rsidR="004377CF" w:rsidRDefault="004377CF">
      <w:pPr>
        <w:spacing w:after="0" w:line="240" w:lineRule="auto"/>
      </w:pPr>
      <w:r>
        <w:separator/>
      </w:r>
    </w:p>
  </w:endnote>
  <w:endnote w:type="continuationSeparator" w:id="0">
    <w:p w14:paraId="1E6C8EFA" w14:textId="77777777" w:rsidR="004377CF" w:rsidRDefault="0043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74ADF50"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F569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862F33">
              <w:rPr>
                <w:rFonts w:ascii="Tw Cen MT" w:hAnsi="Tw Cen MT"/>
                <w:color w:val="000000" w:themeColor="text1"/>
                <w:sz w:val="20"/>
                <w:szCs w:val="24"/>
                <w:lang w:val="en-ID"/>
              </w:rPr>
              <w:t xml:space="preserve">Sellia Juwita </w:t>
            </w:r>
            <w:r w:rsidR="00D3183C">
              <w:rPr>
                <w:rFonts w:ascii="Tw Cen MT" w:hAnsi="Tw Cen MT"/>
                <w:color w:val="000000" w:themeColor="text1"/>
                <w:sz w:val="20"/>
                <w:szCs w:val="24"/>
                <w:lang w:val="en-ID"/>
              </w:rPr>
              <w:t xml:space="preserve">and </w:t>
            </w:r>
            <w:r w:rsidR="00862F33">
              <w:rPr>
                <w:rFonts w:ascii="Tw Cen MT" w:hAnsi="Tw Cen MT"/>
                <w:color w:val="000000" w:themeColor="text1"/>
                <w:sz w:val="20"/>
                <w:szCs w:val="24"/>
                <w:lang w:val="en-ID"/>
              </w:rPr>
              <w:t>sellia.juwit</w:t>
            </w:r>
            <w:r w:rsidR="00D3183C">
              <w:rPr>
                <w:rFonts w:ascii="Tw Cen MT" w:hAnsi="Tw Cen MT"/>
                <w:color w:val="000000" w:themeColor="text1"/>
                <w:sz w:val="20"/>
                <w:szCs w:val="24"/>
                <w:lang w:val="en-ID"/>
              </w:rPr>
              <w:t>a@</w:t>
            </w:r>
            <w:r w:rsidR="00862F33">
              <w:rPr>
                <w:rFonts w:ascii="Tw Cen MT" w:hAnsi="Tw Cen MT"/>
                <w:color w:val="000000" w:themeColor="text1"/>
                <w:sz w:val="20"/>
                <w:szCs w:val="24"/>
                <w:lang w:val="en-ID"/>
              </w:rPr>
              <w:t>univrab.ac.id</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6C12" w14:textId="77777777" w:rsidR="004377CF" w:rsidRDefault="004377CF">
      <w:pPr>
        <w:spacing w:after="0" w:line="240" w:lineRule="auto"/>
      </w:pPr>
      <w:r>
        <w:separator/>
      </w:r>
    </w:p>
  </w:footnote>
  <w:footnote w:type="continuationSeparator" w:id="0">
    <w:p w14:paraId="348FCFFD" w14:textId="77777777" w:rsidR="004377CF" w:rsidRDefault="00437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74BF316" w:rsidR="00037809" w:rsidRDefault="0003780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8C48C8">
          <w:rPr>
            <w:rFonts w:ascii="Tw Cen MT" w:hAnsi="Tw Cen MT" w:cstheme="minorBidi"/>
            <w:sz w:val="20"/>
            <w:szCs w:val="20"/>
          </w:rPr>
          <w:t>3</w:t>
        </w:r>
        <w:r>
          <w:rPr>
            <w:rFonts w:ascii="Tw Cen MT" w:hAnsi="Tw Cen MT" w:cstheme="minorBidi"/>
            <w:sz w:val="20"/>
            <w:szCs w:val="20"/>
          </w:rPr>
          <w:t>, No.1, Mei 202</w:t>
        </w:r>
        <w:r w:rsidR="00341E1A">
          <w:rPr>
            <w:rFonts w:ascii="Tw Cen MT" w:hAnsi="Tw Cen MT" w:cstheme="minorBidi"/>
            <w:sz w:val="20"/>
            <w:szCs w:val="20"/>
          </w:rPr>
          <w:t>4</w:t>
        </w:r>
        <w:r>
          <w:rPr>
            <w:rFonts w:ascii="Tw Cen MT" w:hAnsi="Tw Cen MT" w:cstheme="minorBidi"/>
            <w:sz w:val="20"/>
            <w:szCs w:val="20"/>
          </w:rPr>
          <w:t xml:space="preserve">, pp. </w:t>
        </w:r>
        <w:r w:rsidR="00862F33">
          <w:rPr>
            <w:rFonts w:ascii="Tw Cen MT" w:hAnsi="Tw Cen MT" w:cstheme="minorBidi"/>
            <w:sz w:val="20"/>
            <w:szCs w:val="20"/>
          </w:rPr>
          <w:t>77</w:t>
        </w:r>
        <w:r>
          <w:rPr>
            <w:rFonts w:ascii="Tw Cen MT" w:hAnsi="Tw Cen MT" w:cstheme="minorBidi"/>
            <w:sz w:val="20"/>
            <w:szCs w:val="20"/>
          </w:rPr>
          <w:t>-</w:t>
        </w:r>
        <w:r w:rsidR="00862F33">
          <w:rPr>
            <w:rFonts w:ascii="Tw Cen MT" w:hAnsi="Tw Cen MT" w:cstheme="minorBidi"/>
            <w:sz w:val="20"/>
            <w:szCs w:val="20"/>
          </w:rPr>
          <w:t>83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6E0A35E8">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5BE22AE"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14F69"/>
    <w:multiLevelType w:val="hybridMultilevel"/>
    <w:tmpl w:val="61E40530"/>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8904BA"/>
    <w:multiLevelType w:val="hybridMultilevel"/>
    <w:tmpl w:val="241489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9305261"/>
    <w:multiLevelType w:val="hybridMultilevel"/>
    <w:tmpl w:val="FAA07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4204">
    <w:abstractNumId w:val="6"/>
  </w:num>
  <w:num w:numId="2" w16cid:durableId="1501459303">
    <w:abstractNumId w:val="7"/>
  </w:num>
  <w:num w:numId="3" w16cid:durableId="612371167">
    <w:abstractNumId w:val="1"/>
  </w:num>
  <w:num w:numId="4" w16cid:durableId="365718882">
    <w:abstractNumId w:val="0"/>
  </w:num>
  <w:num w:numId="5" w16cid:durableId="601837212">
    <w:abstractNumId w:val="2"/>
  </w:num>
  <w:num w:numId="6" w16cid:durableId="516700404">
    <w:abstractNumId w:val="8"/>
  </w:num>
  <w:num w:numId="7" w16cid:durableId="1287586852">
    <w:abstractNumId w:val="4"/>
  </w:num>
  <w:num w:numId="8" w16cid:durableId="2141260947">
    <w:abstractNumId w:val="5"/>
  </w:num>
  <w:num w:numId="9" w16cid:durableId="221793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444"/>
    <w:rsid w:val="00035A37"/>
    <w:rsid w:val="00037809"/>
    <w:rsid w:val="00046906"/>
    <w:rsid w:val="00082EFF"/>
    <w:rsid w:val="0009030B"/>
    <w:rsid w:val="0009216C"/>
    <w:rsid w:val="00096D8F"/>
    <w:rsid w:val="000A46F4"/>
    <w:rsid w:val="000B1F81"/>
    <w:rsid w:val="000B75DE"/>
    <w:rsid w:val="000C1F9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20BA"/>
    <w:rsid w:val="002C3700"/>
    <w:rsid w:val="002C693D"/>
    <w:rsid w:val="002C73F4"/>
    <w:rsid w:val="002C7884"/>
    <w:rsid w:val="002D30A7"/>
    <w:rsid w:val="002E7BE2"/>
    <w:rsid w:val="00301611"/>
    <w:rsid w:val="00302292"/>
    <w:rsid w:val="003069B5"/>
    <w:rsid w:val="00306DA7"/>
    <w:rsid w:val="00307CDB"/>
    <w:rsid w:val="00314849"/>
    <w:rsid w:val="00341E1A"/>
    <w:rsid w:val="00360085"/>
    <w:rsid w:val="00361BBD"/>
    <w:rsid w:val="003668D9"/>
    <w:rsid w:val="00372502"/>
    <w:rsid w:val="00380121"/>
    <w:rsid w:val="003A6969"/>
    <w:rsid w:val="003D7082"/>
    <w:rsid w:val="003E750B"/>
    <w:rsid w:val="003F6489"/>
    <w:rsid w:val="003F6B0D"/>
    <w:rsid w:val="00413D75"/>
    <w:rsid w:val="00415626"/>
    <w:rsid w:val="00420F93"/>
    <w:rsid w:val="00427348"/>
    <w:rsid w:val="00431AAB"/>
    <w:rsid w:val="004377CF"/>
    <w:rsid w:val="00463B9A"/>
    <w:rsid w:val="0046541C"/>
    <w:rsid w:val="004721E3"/>
    <w:rsid w:val="0048291F"/>
    <w:rsid w:val="004A3EFA"/>
    <w:rsid w:val="004B41B7"/>
    <w:rsid w:val="004C01E6"/>
    <w:rsid w:val="004E128A"/>
    <w:rsid w:val="004F0C66"/>
    <w:rsid w:val="005357CC"/>
    <w:rsid w:val="005424FD"/>
    <w:rsid w:val="005458B9"/>
    <w:rsid w:val="005471FC"/>
    <w:rsid w:val="005642A1"/>
    <w:rsid w:val="00565328"/>
    <w:rsid w:val="005C1635"/>
    <w:rsid w:val="005C245A"/>
    <w:rsid w:val="005C30BC"/>
    <w:rsid w:val="005C5210"/>
    <w:rsid w:val="005E0707"/>
    <w:rsid w:val="00624B47"/>
    <w:rsid w:val="006334E1"/>
    <w:rsid w:val="006431BA"/>
    <w:rsid w:val="00655189"/>
    <w:rsid w:val="00665737"/>
    <w:rsid w:val="00670815"/>
    <w:rsid w:val="00670F42"/>
    <w:rsid w:val="006B1D84"/>
    <w:rsid w:val="006B3B70"/>
    <w:rsid w:val="006D261F"/>
    <w:rsid w:val="006F1B65"/>
    <w:rsid w:val="006F759A"/>
    <w:rsid w:val="007006B9"/>
    <w:rsid w:val="007017A9"/>
    <w:rsid w:val="007106F6"/>
    <w:rsid w:val="00717A6A"/>
    <w:rsid w:val="007368A2"/>
    <w:rsid w:val="00750E24"/>
    <w:rsid w:val="00762C0B"/>
    <w:rsid w:val="00765F40"/>
    <w:rsid w:val="00766A76"/>
    <w:rsid w:val="007A1AEF"/>
    <w:rsid w:val="007A770B"/>
    <w:rsid w:val="007D6D9D"/>
    <w:rsid w:val="007D7D47"/>
    <w:rsid w:val="007E655E"/>
    <w:rsid w:val="007E6A66"/>
    <w:rsid w:val="007E716D"/>
    <w:rsid w:val="007F4948"/>
    <w:rsid w:val="00812425"/>
    <w:rsid w:val="0081569B"/>
    <w:rsid w:val="00815AB4"/>
    <w:rsid w:val="00822EAC"/>
    <w:rsid w:val="00862F33"/>
    <w:rsid w:val="0086728C"/>
    <w:rsid w:val="00871BCB"/>
    <w:rsid w:val="008A326F"/>
    <w:rsid w:val="008B5C6C"/>
    <w:rsid w:val="008C48C8"/>
    <w:rsid w:val="008F41C7"/>
    <w:rsid w:val="00942731"/>
    <w:rsid w:val="00943EB9"/>
    <w:rsid w:val="0096335E"/>
    <w:rsid w:val="009634CF"/>
    <w:rsid w:val="00981789"/>
    <w:rsid w:val="00983CEF"/>
    <w:rsid w:val="00997349"/>
    <w:rsid w:val="009A70E3"/>
    <w:rsid w:val="009D387B"/>
    <w:rsid w:val="009D44D9"/>
    <w:rsid w:val="009D73CD"/>
    <w:rsid w:val="009F5E84"/>
    <w:rsid w:val="009F6554"/>
    <w:rsid w:val="00A2021A"/>
    <w:rsid w:val="00A343E3"/>
    <w:rsid w:val="00A36329"/>
    <w:rsid w:val="00A71279"/>
    <w:rsid w:val="00AA4722"/>
    <w:rsid w:val="00AB2BCC"/>
    <w:rsid w:val="00AB3448"/>
    <w:rsid w:val="00AC7CBD"/>
    <w:rsid w:val="00AE1E9C"/>
    <w:rsid w:val="00AE2862"/>
    <w:rsid w:val="00AE387B"/>
    <w:rsid w:val="00AF178C"/>
    <w:rsid w:val="00B007AD"/>
    <w:rsid w:val="00B057E2"/>
    <w:rsid w:val="00B22818"/>
    <w:rsid w:val="00B241B6"/>
    <w:rsid w:val="00B25240"/>
    <w:rsid w:val="00B41001"/>
    <w:rsid w:val="00B63555"/>
    <w:rsid w:val="00B674AF"/>
    <w:rsid w:val="00B762AC"/>
    <w:rsid w:val="00BC34CC"/>
    <w:rsid w:val="00BD3FAC"/>
    <w:rsid w:val="00BE4731"/>
    <w:rsid w:val="00BE7B4C"/>
    <w:rsid w:val="00C10CB7"/>
    <w:rsid w:val="00C133E7"/>
    <w:rsid w:val="00C20FA8"/>
    <w:rsid w:val="00C812B9"/>
    <w:rsid w:val="00C96B4B"/>
    <w:rsid w:val="00CB0A6C"/>
    <w:rsid w:val="00CB3237"/>
    <w:rsid w:val="00CC54BA"/>
    <w:rsid w:val="00CD6253"/>
    <w:rsid w:val="00CF5715"/>
    <w:rsid w:val="00D0123F"/>
    <w:rsid w:val="00D06530"/>
    <w:rsid w:val="00D2571D"/>
    <w:rsid w:val="00D3183C"/>
    <w:rsid w:val="00D31D13"/>
    <w:rsid w:val="00D37FC1"/>
    <w:rsid w:val="00D428B5"/>
    <w:rsid w:val="00D44301"/>
    <w:rsid w:val="00D466FC"/>
    <w:rsid w:val="00D56013"/>
    <w:rsid w:val="00D56193"/>
    <w:rsid w:val="00D623AA"/>
    <w:rsid w:val="00D70D6D"/>
    <w:rsid w:val="00D71AE1"/>
    <w:rsid w:val="00D9262D"/>
    <w:rsid w:val="00D9785A"/>
    <w:rsid w:val="00DB156A"/>
    <w:rsid w:val="00DB7592"/>
    <w:rsid w:val="00DC2BB5"/>
    <w:rsid w:val="00DC7B09"/>
    <w:rsid w:val="00DE3780"/>
    <w:rsid w:val="00DF0B65"/>
    <w:rsid w:val="00DF6E07"/>
    <w:rsid w:val="00E00E3E"/>
    <w:rsid w:val="00E03962"/>
    <w:rsid w:val="00E067A8"/>
    <w:rsid w:val="00E37E90"/>
    <w:rsid w:val="00E73AF6"/>
    <w:rsid w:val="00E81E13"/>
    <w:rsid w:val="00EA57B9"/>
    <w:rsid w:val="00ED0E10"/>
    <w:rsid w:val="00F000D5"/>
    <w:rsid w:val="00F0256B"/>
    <w:rsid w:val="00F05CBD"/>
    <w:rsid w:val="00F1133F"/>
    <w:rsid w:val="00F22660"/>
    <w:rsid w:val="00F5431A"/>
    <w:rsid w:val="00F6187B"/>
    <w:rsid w:val="00F64252"/>
    <w:rsid w:val="00F77802"/>
    <w:rsid w:val="00F803FE"/>
    <w:rsid w:val="00F817F4"/>
    <w:rsid w:val="00F841D1"/>
    <w:rsid w:val="00F9233C"/>
    <w:rsid w:val="00FB6AF4"/>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F7A3D2F-2D80-CC4D-8C7E-094FA06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670F42"/>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TeksIsi">
    <w:name w:val="Body Text"/>
    <w:basedOn w:val="Normal"/>
    <w:link w:val="TeksIsiKAR"/>
    <w:uiPriority w:val="1"/>
    <w:qFormat/>
    <w:rsid w:val="00670F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670F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
      <w:docPartPr>
        <w:name w:val="82DD9AD8166A674B98E22B75E41302FE"/>
        <w:category>
          <w:name w:val="Umum"/>
          <w:gallery w:val="placeholder"/>
        </w:category>
        <w:types>
          <w:type w:val="bbPlcHdr"/>
        </w:types>
        <w:behaviors>
          <w:behavior w:val="content"/>
        </w:behaviors>
        <w:guid w:val="{E5E550EC-C92C-E34A-8406-08310C721A23}"/>
      </w:docPartPr>
      <w:docPartBody>
        <w:p w:rsidR="00000000" w:rsidRDefault="00C552ED" w:rsidP="00C552ED">
          <w:pPr>
            <w:pStyle w:val="82DD9AD8166A674B98E22B75E41302FE"/>
          </w:pPr>
          <w:r w:rsidRPr="00D203BE">
            <w:rPr>
              <w:rStyle w:val="Tempatpenampungteks"/>
            </w:rPr>
            <w:t>Click or tap here to enter text.</w:t>
          </w:r>
        </w:p>
      </w:docPartBody>
    </w:docPart>
    <w:docPart>
      <w:docPartPr>
        <w:name w:val="19153ABB10F2534A9FA299CFFE8D9A2D"/>
        <w:category>
          <w:name w:val="Umum"/>
          <w:gallery w:val="placeholder"/>
        </w:category>
        <w:types>
          <w:type w:val="bbPlcHdr"/>
        </w:types>
        <w:behaviors>
          <w:behavior w:val="content"/>
        </w:behaviors>
        <w:guid w:val="{A3A7410B-72BB-AD43-9916-C7CC61CCA4B9}"/>
      </w:docPartPr>
      <w:docPartBody>
        <w:p w:rsidR="00000000" w:rsidRDefault="00C552ED" w:rsidP="00C552ED">
          <w:pPr>
            <w:pStyle w:val="19153ABB10F2534A9FA299CFFE8D9A2D"/>
          </w:pPr>
          <w:r w:rsidRPr="00D203BE">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02292"/>
    <w:rsid w:val="00342DE1"/>
    <w:rsid w:val="003A20D9"/>
    <w:rsid w:val="003B31E7"/>
    <w:rsid w:val="003B3456"/>
    <w:rsid w:val="003D7BD9"/>
    <w:rsid w:val="0047713B"/>
    <w:rsid w:val="00637CD0"/>
    <w:rsid w:val="00643590"/>
    <w:rsid w:val="008335A9"/>
    <w:rsid w:val="00A85543"/>
    <w:rsid w:val="00AC7E03"/>
    <w:rsid w:val="00C552ED"/>
    <w:rsid w:val="00C87C49"/>
    <w:rsid w:val="00DF2BBE"/>
    <w:rsid w:val="00E61418"/>
    <w:rsid w:val="00F33853"/>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C552ED"/>
    <w:rPr>
      <w:color w:val="666666"/>
    </w:rPr>
  </w:style>
  <w:style w:type="paragraph" w:customStyle="1" w:styleId="82DD9AD8166A674B98E22B75E41302FE">
    <w:name w:val="82DD9AD8166A674B98E22B75E41302FE"/>
    <w:rsid w:val="00C552ED"/>
    <w:pPr>
      <w:spacing w:after="160" w:line="278" w:lineRule="auto"/>
    </w:pPr>
    <w:rPr>
      <w:kern w:val="2"/>
      <w:sz w:val="24"/>
      <w:szCs w:val="24"/>
      <w:lang w:val="id-ID" w:eastAsia="ja-JP"/>
      <w14:ligatures w14:val="standardContextual"/>
    </w:rPr>
  </w:style>
  <w:style w:type="paragraph" w:customStyle="1" w:styleId="19153ABB10F2534A9FA299CFFE8D9A2D">
    <w:name w:val="19153ABB10F2534A9FA299CFFE8D9A2D"/>
    <w:rsid w:val="00C552ED"/>
    <w:pPr>
      <w:spacing w:after="160" w:line="278" w:lineRule="auto"/>
    </w:pPr>
    <w:rPr>
      <w:kern w:val="2"/>
      <w:sz w:val="24"/>
      <w:szCs w:val="24"/>
      <w:lang w:val="id-ID"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77-83		                                                                                                        ISSN 2715-1115 (Online), ISSN 2302 – 8610 (Print)</dc:title>
  <dc:creator>Sellia Juwita and sellia.juwita@univrab.ac.id</dc:creator>
  <cp:lastModifiedBy>iraoktavianirz@gmail.com</cp:lastModifiedBy>
  <cp:revision>3</cp:revision>
  <cp:lastPrinted>2024-07-21T08:45:00Z</cp:lastPrinted>
  <dcterms:created xsi:type="dcterms:W3CDTF">2024-08-17T11:19:00Z</dcterms:created>
  <dcterms:modified xsi:type="dcterms:W3CDTF">2024-08-17T11:26:00Z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