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79038" w14:textId="0D21119A" w:rsidR="0027621D" w:rsidRPr="0096335E" w:rsidRDefault="00D97C8B" w:rsidP="0027621D">
      <w:pPr>
        <w:spacing w:after="0" w:line="240" w:lineRule="auto"/>
        <w:jc w:val="center"/>
        <w:rPr>
          <w:rFonts w:ascii="Tw Cen MT" w:hAnsi="Tw Cen MT" w:cs="Arial"/>
          <w:b/>
          <w:bCs/>
          <w:color w:val="000000"/>
          <w:sz w:val="32"/>
          <w:szCs w:val="32"/>
        </w:rPr>
      </w:pPr>
      <w:r w:rsidRPr="00D97C8B">
        <w:rPr>
          <w:rFonts w:ascii="Tw Cen MT" w:eastAsia="Twentieth Century" w:hAnsi="Tw Cen MT" w:cs="Twentieth Century"/>
          <w:b/>
          <w:sz w:val="32"/>
          <w:szCs w:val="32"/>
        </w:rPr>
        <w:t xml:space="preserve">Factors Affecting Early Detection </w:t>
      </w:r>
      <w:r w:rsidR="00500701">
        <w:rPr>
          <w:rFonts w:ascii="Tw Cen MT" w:eastAsia="Twentieth Century" w:hAnsi="Tw Cen MT" w:cs="Twentieth Century"/>
          <w:b/>
          <w:sz w:val="32"/>
          <w:szCs w:val="32"/>
        </w:rPr>
        <w:t>o</w:t>
      </w:r>
      <w:r w:rsidRPr="00D97C8B">
        <w:rPr>
          <w:rFonts w:ascii="Tw Cen MT" w:eastAsia="Twentieth Century" w:hAnsi="Tw Cen MT" w:cs="Twentieth Century"/>
          <w:b/>
          <w:sz w:val="32"/>
          <w:szCs w:val="32"/>
        </w:rPr>
        <w:t xml:space="preserve">f High Risk </w:t>
      </w:r>
      <w:r w:rsidR="00500701">
        <w:rPr>
          <w:rFonts w:ascii="Tw Cen MT" w:eastAsia="Twentieth Century" w:hAnsi="Tw Cen MT" w:cs="Twentieth Century"/>
          <w:b/>
          <w:sz w:val="32"/>
          <w:szCs w:val="32"/>
        </w:rPr>
        <w:t>o</w:t>
      </w:r>
      <w:r w:rsidRPr="00D97C8B">
        <w:rPr>
          <w:rFonts w:ascii="Tw Cen MT" w:eastAsia="Twentieth Century" w:hAnsi="Tw Cen MT" w:cs="Twentieth Century"/>
          <w:b/>
          <w:sz w:val="32"/>
          <w:szCs w:val="32"/>
        </w:rPr>
        <w:t>f Pregnancy</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35D14F41" w:rsidR="007F4948" w:rsidRPr="0096335E" w:rsidRDefault="00D97C8B" w:rsidP="004721E3">
      <w:pPr>
        <w:spacing w:after="0" w:line="240" w:lineRule="auto"/>
        <w:jc w:val="center"/>
        <w:rPr>
          <w:rFonts w:ascii="Tw Cen MT" w:hAnsi="Tw Cen MT" w:cs="Times New Roman"/>
          <w:b/>
          <w:bCs/>
          <w:iCs/>
          <w:sz w:val="32"/>
          <w:szCs w:val="32"/>
        </w:rPr>
      </w:pPr>
      <w:bookmarkStart w:id="0" w:name="_heading=h.ku3htxpixa9v" w:colFirst="0" w:colLast="0"/>
      <w:bookmarkEnd w:id="0"/>
      <w:r w:rsidRPr="00D97C8B">
        <w:rPr>
          <w:rFonts w:ascii="Tw Cen MT" w:eastAsia="Twentieth Century" w:hAnsi="Tw Cen MT" w:cs="Twentieth Century"/>
          <w:b/>
          <w:sz w:val="32"/>
          <w:szCs w:val="32"/>
        </w:rPr>
        <w:t>Faktor Yang Mempengaruhi Deteksi Dini Resiko Tinggi Kehamilan</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14EBED55" w:rsidR="004721E3" w:rsidRPr="002E23D7" w:rsidRDefault="00D97C8B"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Lia Dwi Prafitri</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Suparni</w:t>
      </w:r>
      <w:r w:rsidR="004721E3"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w:t>
      </w:r>
      <w:r w:rsidRPr="00D97C8B">
        <w:rPr>
          <w:rFonts w:ascii="Tw Cen MT" w:eastAsia="Twentieth Century" w:hAnsi="Tw Cen MT" w:cs="Twentieth Century"/>
          <w:sz w:val="24"/>
          <w:szCs w:val="24"/>
        </w:rPr>
        <w:t xml:space="preserve"> </w:t>
      </w:r>
      <w:r>
        <w:rPr>
          <w:rFonts w:ascii="Tw Cen MT" w:eastAsia="Twentieth Century" w:hAnsi="Tw Cen MT" w:cs="Twentieth Century"/>
          <w:sz w:val="24"/>
          <w:szCs w:val="24"/>
        </w:rPr>
        <w:t>Nur Intan Kusuma</w:t>
      </w:r>
      <w:r>
        <w:rPr>
          <w:rFonts w:ascii="Tw Cen MT" w:eastAsia="Twentieth Century" w:hAnsi="Tw Cen MT" w:cs="Twentieth Century"/>
          <w:sz w:val="24"/>
          <w:szCs w:val="24"/>
          <w:vertAlign w:val="superscript"/>
        </w:rPr>
        <w:t>3</w:t>
      </w:r>
      <w:r w:rsidRPr="002E23D7">
        <w:rPr>
          <w:rFonts w:ascii="Tw Cen MT" w:eastAsia="Twentieth Century" w:hAnsi="Tw Cen MT" w:cs="Twentieth Century"/>
          <w:sz w:val="24"/>
          <w:szCs w:val="24"/>
          <w:vertAlign w:val="superscript"/>
        </w:rPr>
        <w:t xml:space="preserve"> </w:t>
      </w:r>
      <w:r w:rsidR="004721E3" w:rsidRPr="002E23D7">
        <w:rPr>
          <w:rFonts w:ascii="Tw Cen MT" w:eastAsia="Twentieth Century" w:hAnsi="Tw Cen MT" w:cs="Twentieth Century"/>
          <w:sz w:val="24"/>
          <w:szCs w:val="24"/>
          <w:vertAlign w:val="superscript"/>
        </w:rPr>
        <w:t xml:space="preserve"> </w:t>
      </w:r>
    </w:p>
    <w:p w14:paraId="37629F48" w14:textId="1491EF39" w:rsidR="004721E3" w:rsidRPr="002E23D7" w:rsidRDefault="00283220"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vertAlign w:val="superscript"/>
        </w:rPr>
        <w:t xml:space="preserve">1,2,3 </w:t>
      </w:r>
      <w:r w:rsidR="00D97C8B">
        <w:rPr>
          <w:rFonts w:ascii="Tw Cen MT" w:eastAsia="Twentieth Century" w:hAnsi="Tw Cen MT" w:cs="Twentieth Century"/>
          <w:sz w:val="20"/>
          <w:szCs w:val="20"/>
        </w:rPr>
        <w:t>Universitas Muhammadiyah Pekajangan Pekalongan, Indonesia</w:t>
      </w:r>
    </w:p>
    <w:p w14:paraId="23FA8100" w14:textId="1D0BA1AC"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w:t>
      </w:r>
      <w:r w:rsidR="00D97C8B">
        <w:rPr>
          <w:rFonts w:ascii="Tw Cen MT" w:eastAsia="Twentieth Century" w:hAnsi="Tw Cen MT" w:cs="Twentieth Century"/>
          <w:sz w:val="20"/>
          <w:szCs w:val="20"/>
        </w:rPr>
        <w:t>: L02Prafitri@gmail.com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5275C155" w14:textId="77777777" w:rsidR="00017532" w:rsidRPr="0096335E" w:rsidRDefault="007106F6" w:rsidP="00017532">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017532" w:rsidRPr="0096335E">
        <w:rPr>
          <w:rFonts w:ascii="Tw Cen MT" w:eastAsia="Twentieth Century" w:hAnsi="Tw Cen MT" w:cs="Twentieth Century"/>
          <w:b/>
          <w:i/>
          <w:sz w:val="20"/>
          <w:szCs w:val="20"/>
        </w:rPr>
        <w:t>Abstract</w:t>
      </w:r>
    </w:p>
    <w:p w14:paraId="0A86AAE1" w14:textId="490D506A" w:rsidR="00017532" w:rsidRPr="0096335E" w:rsidRDefault="00017532" w:rsidP="00017532">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8480" behindDoc="1" locked="0" layoutInCell="1" allowOverlap="1" wp14:anchorId="6619B13E" wp14:editId="02B18659">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F9F">
        <w:t xml:space="preserve"> </w:t>
      </w:r>
      <w:r w:rsidRPr="00A55F2A">
        <w:rPr>
          <w:rFonts w:ascii="Tw Cen MT" w:eastAsia="Twentieth Century" w:hAnsi="Tw Cen MT" w:cs="Twentieth Century"/>
          <w:i/>
          <w:noProof/>
          <w:color w:val="000000"/>
          <w:sz w:val="20"/>
          <w:szCs w:val="20"/>
        </w:rPr>
        <w:t>Early detection of a high</w:t>
      </w:r>
      <w:r w:rsidR="00283220">
        <w:rPr>
          <w:rFonts w:ascii="Tw Cen MT" w:eastAsia="Twentieth Century" w:hAnsi="Tw Cen MT" w:cs="Twentieth Century"/>
          <w:i/>
          <w:noProof/>
          <w:color w:val="000000"/>
          <w:sz w:val="20"/>
          <w:szCs w:val="20"/>
        </w:rPr>
        <w:t>-</w:t>
      </w:r>
      <w:r w:rsidRPr="00A55F2A">
        <w:rPr>
          <w:rFonts w:ascii="Tw Cen MT" w:eastAsia="Twentieth Century" w:hAnsi="Tw Cen MT" w:cs="Twentieth Century"/>
          <w:i/>
          <w:noProof/>
          <w:color w:val="000000"/>
          <w:sz w:val="20"/>
          <w:szCs w:val="20"/>
        </w:rPr>
        <w:t>risk pregnancy is crucial to prevent serious complications for the mother and fetus. However, the main challenge in pregnant women's health services in various regions is the low early detection rate. Factors such as education level, knowledge about pregnancy health, and access to health services are suspected to affect low awareness and preventive measures in pregnant women. This study aims to analyze the influence of these factors on the early detection of pregnancy risk using a cross-sectional quantitative approach with 103 pregnant women at the Tirto I Health Center, Pekalongan Regency, through a chi-square test. The findings showed a significant relationship between knowledge level (p-value 0.001), education (p-value 0.021), and health insurance ownership (p-value 0.017) on early detection of pregnancy risk.</w:t>
      </w:r>
      <w:r>
        <w:rPr>
          <w:rFonts w:ascii="Tw Cen MT" w:eastAsia="Twentieth Century" w:hAnsi="Tw Cen MT" w:cs="Twentieth Century"/>
          <w:i/>
          <w:noProof/>
          <w:color w:val="000000"/>
          <w:sz w:val="20"/>
          <w:szCs w:val="20"/>
        </w:rPr>
        <w:t xml:space="preserve"> </w:t>
      </w:r>
      <w:r w:rsidRPr="00A55F2A">
        <w:rPr>
          <w:rFonts w:ascii="Tw Cen MT" w:eastAsia="Twentieth Century" w:hAnsi="Tw Cen MT" w:cs="Twentieth Century"/>
          <w:i/>
          <w:noProof/>
          <w:color w:val="000000"/>
          <w:sz w:val="20"/>
          <w:szCs w:val="20"/>
        </w:rPr>
        <w:t>It is hoped that health workers can improve education and access to services to improve early detection of pregnancy risks.</w:t>
      </w:r>
    </w:p>
    <w:p w14:paraId="012B4273" w14:textId="6B563AC6" w:rsidR="007F4948" w:rsidRPr="0096335E" w:rsidRDefault="0086728C" w:rsidP="00017532">
      <w:pPr>
        <w:spacing w:after="0"/>
        <w:ind w:left="2399" w:firstLine="719"/>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26A15632" w:rsidR="007F4948" w:rsidRPr="0096335E" w:rsidRDefault="00ED6F9F" w:rsidP="0027621D">
      <w:pPr>
        <w:tabs>
          <w:tab w:val="left" w:pos="426"/>
        </w:tabs>
        <w:spacing w:after="0" w:line="240" w:lineRule="auto"/>
        <w:ind w:left="3150"/>
        <w:jc w:val="both"/>
        <w:rPr>
          <w:rFonts w:ascii="Tw Cen MT" w:eastAsia="Twentieth Century" w:hAnsi="Tw Cen MT" w:cs="Twentieth Century"/>
          <w:i/>
          <w:sz w:val="20"/>
          <w:szCs w:val="20"/>
        </w:rPr>
      </w:pPr>
      <w:r w:rsidRPr="00ED6F9F">
        <w:rPr>
          <w:rFonts w:ascii="Tw Cen MT" w:eastAsia="Twentieth Century" w:hAnsi="Tw Cen MT" w:cs="Twentieth Century"/>
          <w:i/>
          <w:sz w:val="20"/>
          <w:szCs w:val="20"/>
        </w:rPr>
        <w:t>Early detection</w:t>
      </w:r>
      <w:r w:rsidR="00283220">
        <w:rPr>
          <w:rFonts w:ascii="Tw Cen MT" w:eastAsia="Twentieth Century" w:hAnsi="Tw Cen MT" w:cs="Twentieth Century"/>
          <w:i/>
          <w:sz w:val="20"/>
          <w:szCs w:val="20"/>
        </w:rPr>
        <w:t>;</w:t>
      </w:r>
      <w:r w:rsidRPr="00ED6F9F">
        <w:rPr>
          <w:rFonts w:ascii="Tw Cen MT" w:eastAsia="Twentieth Century" w:hAnsi="Tw Cen MT" w:cs="Twentieth Century"/>
          <w:i/>
          <w:sz w:val="20"/>
          <w:szCs w:val="20"/>
        </w:rPr>
        <w:t xml:space="preserve"> high ris</w:t>
      </w:r>
      <w:r w:rsidR="00283220">
        <w:rPr>
          <w:rFonts w:ascii="Tw Cen MT" w:eastAsia="Twentieth Century" w:hAnsi="Tw Cen MT" w:cs="Twentieth Century"/>
          <w:i/>
          <w:sz w:val="20"/>
          <w:szCs w:val="20"/>
        </w:rPr>
        <w:t xml:space="preserve">k; </w:t>
      </w:r>
      <w:r w:rsidRPr="00ED6F9F">
        <w:rPr>
          <w:rFonts w:ascii="Tw Cen MT" w:eastAsia="Twentieth Century" w:hAnsi="Tw Cen MT" w:cs="Twentieth Century"/>
          <w:i/>
          <w:sz w:val="20"/>
          <w:szCs w:val="20"/>
        </w:rPr>
        <w:t>pregnancy</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0083E1B3" w14:textId="3A167B34" w:rsidR="00ED6F9F" w:rsidRDefault="00017532" w:rsidP="00017532">
      <w:pPr>
        <w:tabs>
          <w:tab w:val="left" w:pos="426"/>
        </w:tabs>
        <w:spacing w:after="0" w:line="240" w:lineRule="auto"/>
        <w:ind w:left="3150"/>
        <w:jc w:val="both"/>
        <w:rPr>
          <w:rFonts w:ascii="Tw Cen MT" w:eastAsia="Twentieth Century" w:hAnsi="Tw Cen MT" w:cs="Twentieth Century"/>
          <w:iCs/>
          <w:color w:val="000000"/>
          <w:sz w:val="20"/>
          <w:szCs w:val="20"/>
        </w:rPr>
      </w:pPr>
      <w:r w:rsidRPr="00A55F2A">
        <w:rPr>
          <w:rFonts w:ascii="Tw Cen MT" w:eastAsia="Twentieth Century" w:hAnsi="Tw Cen MT" w:cs="Twentieth Century"/>
          <w:iCs/>
          <w:color w:val="000000"/>
          <w:sz w:val="20"/>
          <w:szCs w:val="20"/>
        </w:rPr>
        <w:t>Deteksi dini terhadap risiko tinggi kehamilan sangat krusial untuk mencegah komplikasi serius bagi ibu dan janin. Namun, tantangan utama dalam pelayanan kesehatan ibu hamil di berbagai daerah adalah rendahnya angka deteksi dini. Faktor-faktor seperti tingkat pendidikan, pengetahuan mengenai kesehatan kehamilan, dan akses terhadap layanan kesehatan diduga memengaruhi rendahnya kesadaran serta tindakan preventif pada ibu hamil. Penelitian ini bertujuan untuk menganalisis pengaruh faktor-faktor tersebut terhadap deteksi dini risiko kehamilan menggunakan pendekatan kuantitatif cross-sectional dengan 103 ibu hamil di Puskesmas Tirto I, Kabupaten Pekalongan, melalui uji chi-square. Temuan menunjukkan adanya hubungan signifikan antara tingkat pengetahuan (p-value 0,001), pendidikan (p-value 0,021), dan kepemilikan asuransi kesehatan (p-value 0,017) terhadap deteksi dini risiko kehamilan. Diharapkan agar tenaga kesehatan dapat meningkatkan edukasi dan akses layanan guna memperbaiki deteksi dini risiko kehamilan.</w:t>
      </w:r>
    </w:p>
    <w:p w14:paraId="68659279" w14:textId="29280CE8" w:rsidR="007F4948" w:rsidRPr="0096335E" w:rsidRDefault="0086728C" w:rsidP="00ED6F9F">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4A9C8A4B"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8E261A">
        <w:rPr>
          <w:rFonts w:ascii="Tw Cen MT" w:eastAsia="Twentieth Century" w:hAnsi="Tw Cen MT" w:cs="Twentieth Century"/>
          <w:sz w:val="20"/>
          <w:szCs w:val="20"/>
        </w:rPr>
        <w:t>Deteksi dini</w:t>
      </w:r>
      <w:r w:rsidR="00283220">
        <w:rPr>
          <w:rFonts w:ascii="Tw Cen MT" w:eastAsia="Twentieth Century" w:hAnsi="Tw Cen MT" w:cs="Twentieth Century"/>
          <w:sz w:val="20"/>
          <w:szCs w:val="20"/>
        </w:rPr>
        <w:t>,</w:t>
      </w:r>
      <w:r w:rsidR="004721E3" w:rsidRPr="002E23D7">
        <w:rPr>
          <w:rFonts w:ascii="Tw Cen MT" w:eastAsia="Twentieth Century" w:hAnsi="Tw Cen MT" w:cs="Twentieth Century"/>
          <w:sz w:val="20"/>
          <w:szCs w:val="20"/>
        </w:rPr>
        <w:t xml:space="preserve"> </w:t>
      </w:r>
      <w:r w:rsidR="008E261A">
        <w:rPr>
          <w:rFonts w:ascii="Tw Cen MT" w:eastAsia="Twentieth Century" w:hAnsi="Tw Cen MT" w:cs="Twentieth Century"/>
          <w:sz w:val="20"/>
          <w:szCs w:val="20"/>
        </w:rPr>
        <w:t>resiko tinggi</w:t>
      </w:r>
      <w:r w:rsidR="00283220">
        <w:rPr>
          <w:rFonts w:ascii="Tw Cen MT" w:eastAsia="Twentieth Century" w:hAnsi="Tw Cen MT" w:cs="Twentieth Century"/>
          <w:sz w:val="20"/>
          <w:szCs w:val="20"/>
        </w:rPr>
        <w:t>,</w:t>
      </w:r>
      <w:r w:rsidR="004721E3" w:rsidRPr="002E23D7">
        <w:rPr>
          <w:rFonts w:ascii="Tw Cen MT" w:eastAsia="Twentieth Century" w:hAnsi="Tw Cen MT" w:cs="Twentieth Century"/>
          <w:sz w:val="20"/>
          <w:szCs w:val="20"/>
        </w:rPr>
        <w:t xml:space="preserve"> </w:t>
      </w:r>
      <w:r w:rsidR="008E261A">
        <w:rPr>
          <w:rFonts w:ascii="Tw Cen MT" w:eastAsia="Twentieth Century" w:hAnsi="Tw Cen MT" w:cs="Twentieth Century"/>
          <w:sz w:val="20"/>
          <w:szCs w:val="20"/>
        </w:rPr>
        <w:t>kehamilan</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0940F153" w14:textId="77777777" w:rsidR="00017532" w:rsidRPr="00ED6F9F" w:rsidRDefault="00017532" w:rsidP="00017532">
      <w:pPr>
        <w:spacing w:after="0" w:line="240" w:lineRule="auto"/>
        <w:ind w:right="-24" w:firstLine="436"/>
        <w:jc w:val="both"/>
        <w:rPr>
          <w:rFonts w:ascii="Tw Cen MT" w:hAnsi="Tw Cen MT" w:cs="Times New Roman"/>
          <w:color w:val="000000" w:themeColor="text1"/>
          <w:sz w:val="24"/>
          <w:szCs w:val="24"/>
        </w:rPr>
      </w:pPr>
      <w:r w:rsidRPr="00A55F2A">
        <w:rPr>
          <w:rFonts w:ascii="Tw Cen MT" w:hAnsi="Tw Cen MT" w:cs="Times New Roman"/>
          <w:color w:val="000000" w:themeColor="text1"/>
          <w:sz w:val="24"/>
          <w:szCs w:val="24"/>
        </w:rPr>
        <w:t xml:space="preserve">Angka Kematian Ibu (AKI) di Indonesia telah menunjukkan penurunan signifikan, dari 305 kematian per 100.000 kelahiran hidup pada Survei Penduduk Antar Sensus 2015 menjadi 189 kematian per 100.000 kelahiran hidup pada Sensus Penduduk 2020. Capaian ini telah melebihi target tahun 2022 yang </w:t>
      </w:r>
      <w:r w:rsidRPr="00A55F2A">
        <w:rPr>
          <w:rFonts w:ascii="Tw Cen MT" w:hAnsi="Tw Cen MT" w:cs="Times New Roman"/>
          <w:color w:val="000000" w:themeColor="text1"/>
          <w:sz w:val="24"/>
          <w:szCs w:val="24"/>
        </w:rPr>
        <w:t>sebesar 205 kematian per 100.000 kelahiran hidup. Untuk mempertahankan dan meningkatkan hasil ini, diperlukan upaya berkelanjutan guna mencapai target tahun 2024 sebesar 183 kematian per 100.000 kelahiran hidup dan target jangka panjang tahun 2030 yang lebih rendah dari 70 kematian per 100.000 kelahiran hidup</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{"citationItems":[{"id":"ITEM-1","itemData":{"abstract":"Puji Syukur kami panjatkan pada Tuhan Yang Maha Esa, atas berkat rahmat dan karunia-Nya kami dapat menyelesaikan Laporan Akuntabilitas Kinerja Instansi Pemerintah (LAKIP) dengan baik dan tepat waktu. Penyusunan laporan kinerja ini telah mengacu pada Peraturan Menteri Pendayagunaan Aparatur Negara dan Reformasi Birokasi (Permenpan) Nomor 53 tahun 2014 tentang Petunjuk Teknis Perjanjian Kinerja, Pelaporan Kinerja dan Tata Cara Reviu atas Laporan Kinerja Instansi Pemerintah. Secara garis besar laporan berisi informasi tentang tugas dan fungsi organisasi; target kinerja dan capaian kinerja sesuai dengan Rencana Stategis (Renstra) Kementerian Kesehatan tahun 2020-2024, disertai dengan faktor pendukung dan penghambat capaian, serta upaya tindak lanjut yang akan dilakukan. Dengan harapan hasil capaian tersebut dapat menjadi bahan evaluasi dalam meningkatkan kinerja di tahun berikutnya.","author":[{"dropping-particle":"","family":"Direktorat Gizi dan Kesehatan Ibu dan Anak","given":"kementrian kesehatan republik indonesia","non-dropping-particle":"","parse-names":false,"suffix":""}],"container-title":"Kementrian Kesehatan Republik Indonesia","id":"ITEM-1","issued":{"date-parts":[["2023"]]},"number-of-pages":"1-39","publisher-place":"Jakarta: Kementerian Kesehatan RI","title":"Laporan Akuntabilitas Kinerja Instansi Pemerintah (Lakip) Direktorat Gizi Dan Kesehatan Ibu Dan Anak Tahun Anggaran 2022","type":"report"},"uris":["http://www.mendeley.com/documents/?uuid=2537d097-3644-46f7-9bdb-5b64ae47dc2d"]}],"mendeley":{"formattedCitation":"[1]","plainTextFormattedCitation":"[1]","previouslyFormattedCitation":"[1]"},"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[1]</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p>
    <w:p w14:paraId="1B76B4D4" w14:textId="77777777" w:rsidR="00017532" w:rsidRPr="00ED6F9F" w:rsidRDefault="00017532" w:rsidP="00017532">
      <w:pPr>
        <w:spacing w:after="0" w:line="240" w:lineRule="auto"/>
        <w:ind w:right="-24" w:firstLine="436"/>
        <w:jc w:val="both"/>
        <w:rPr>
          <w:rFonts w:ascii="Tw Cen MT" w:hAnsi="Tw Cen MT" w:cs="Times New Roman"/>
          <w:color w:val="000000" w:themeColor="text1"/>
          <w:sz w:val="24"/>
          <w:szCs w:val="24"/>
        </w:rPr>
      </w:pPr>
      <w:r w:rsidRPr="00A55F2A">
        <w:rPr>
          <w:rFonts w:ascii="Tw Cen MT" w:hAnsi="Tw Cen MT" w:cs="Times New Roman"/>
          <w:color w:val="000000" w:themeColor="text1"/>
          <w:sz w:val="24"/>
          <w:szCs w:val="24"/>
        </w:rPr>
        <w:lastRenderedPageBreak/>
        <w:t xml:space="preserve">Menurut data dari Sample Registration System (SRS) </w:t>
      </w:r>
      <w:proofErr w:type="spellStart"/>
      <w:r w:rsidRPr="00A55F2A">
        <w:rPr>
          <w:rFonts w:ascii="Tw Cen MT" w:hAnsi="Tw Cen MT" w:cs="Times New Roman"/>
          <w:color w:val="000000" w:themeColor="text1"/>
          <w:sz w:val="24"/>
          <w:szCs w:val="24"/>
        </w:rPr>
        <w:t>Litbangkes</w:t>
      </w:r>
      <w:proofErr w:type="spellEnd"/>
      <w:r w:rsidRPr="00A55F2A">
        <w:rPr>
          <w:rFonts w:ascii="Tw Cen MT" w:hAnsi="Tw Cen MT" w:cs="Times New Roman"/>
          <w:color w:val="000000" w:themeColor="text1"/>
          <w:sz w:val="24"/>
          <w:szCs w:val="24"/>
        </w:rPr>
        <w:t xml:space="preserve"> tahun 2016, tiga penyebab utama kematian ibu adalah gangguan hipertensi (33,07%), perdarahan obstetri (27,03%), dan komplikasi non-</w:t>
      </w:r>
      <w:proofErr w:type="spellStart"/>
      <w:r w:rsidRPr="00A55F2A">
        <w:rPr>
          <w:rFonts w:ascii="Tw Cen MT" w:hAnsi="Tw Cen MT" w:cs="Times New Roman"/>
          <w:color w:val="000000" w:themeColor="text1"/>
          <w:sz w:val="24"/>
          <w:szCs w:val="24"/>
        </w:rPr>
        <w:t>obstetrik</w:t>
      </w:r>
      <w:proofErr w:type="spellEnd"/>
      <w:r w:rsidRPr="00A55F2A">
        <w:rPr>
          <w:rFonts w:ascii="Tw Cen MT" w:hAnsi="Tw Cen MT" w:cs="Times New Roman"/>
          <w:color w:val="000000" w:themeColor="text1"/>
          <w:sz w:val="24"/>
          <w:szCs w:val="24"/>
        </w:rPr>
        <w:t xml:space="preserve"> (15,7%). Sementara itu, berdasarkan Maternal Perinatal Death Notification (MPDN) per 21 September 2021, penyebab kematian ibu yang paling sering terjadi adalah </w:t>
      </w:r>
      <w:proofErr w:type="spellStart"/>
      <w:r w:rsidRPr="00A55F2A">
        <w:rPr>
          <w:rFonts w:ascii="Tw Cen MT" w:hAnsi="Tw Cen MT" w:cs="Times New Roman"/>
          <w:color w:val="000000" w:themeColor="text1"/>
          <w:sz w:val="24"/>
          <w:szCs w:val="24"/>
        </w:rPr>
        <w:t>eklamsi</w:t>
      </w:r>
      <w:proofErr w:type="spellEnd"/>
      <w:r w:rsidRPr="00A55F2A">
        <w:rPr>
          <w:rFonts w:ascii="Tw Cen MT" w:hAnsi="Tw Cen MT" w:cs="Times New Roman"/>
          <w:color w:val="000000" w:themeColor="text1"/>
          <w:sz w:val="24"/>
          <w:szCs w:val="24"/>
        </w:rPr>
        <w:t xml:space="preserve"> (37,1%), perdarahan (27,3%), dan infeksi (10,4%), dengan mayoritas kematian terjadi di rumah sakit (84%)</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{"citationItems":[{"id":"ITEM-1","itemData":{"abstract":"Puji Syukur kami panjatkan pada Tuhan Yang Maha Esa, atas berkat rahmat dan karunia-Nya kami dapat menyelesaikan Laporan Akuntabilitas Kinerja Instansi Pemerintah (LAKIP) dengan baik dan tepat waktu. Penyusunan laporan kinerja ini telah mengacu pada Peraturan Menteri Pendayagunaan Aparatur Negara dan Reformasi Birokasi (Permenpan) Nomor 53 tahun 2014 tentang Petunjuk Teknis Perjanjian Kinerja, Pelaporan Kinerja dan Tata Cara Reviu atas Laporan Kinerja Instansi Pemerintah. Secara garis besar laporan berisi informasi tentang tugas dan fungsi organisasi; target kinerja dan capaian kinerja sesuai dengan Rencana Stategis (Renstra) Kementerian Kesehatan tahun 2020-2024, disertai dengan faktor pendukung dan penghambat capaian, serta upaya tindak lanjut yang akan dilakukan. Dengan harapan hasil capaian tersebut dapat menjadi bahan evaluasi dalam meningkatkan kinerja di tahun berikutnya.","author":[{"dropping-particle":"","family":"Direktorat Gizi dan Kesehatan Ibu dan Anak","given":"kementrian kesehatan republik indonesia","non-dropping-particle":"","parse-names":false,"suffix":""}],"container-title":"Kementrian Kesehatan Republik Indonesia","id":"ITEM-1","issued":{"date-parts":[["2023"]]},"number-of-pages":"1-39","publisher-place":"Jakarta: Kementerian Kesehatan RI","title":"Laporan Akuntabilitas Kinerja Instansi Pemerintah (Lakip) Direktorat Gizi Dan Kesehatan Ibu Dan Anak Tahun Anggaran 2022","type":"report"},"uris":["http://www.mendeley.com/documents/?uuid=2537d097-3644-46f7-9bdb-5b64ae47dc2d"]}],"mendeley":{"formattedCitation":"[1]","plainTextFormattedCitation":"[1]","previouslyFormattedCitation":"[1]"},"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[1]</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p>
    <w:p w14:paraId="3403DAEB" w14:textId="77777777" w:rsidR="00017532" w:rsidRDefault="00017532" w:rsidP="00017532">
      <w:pPr>
        <w:spacing w:after="0" w:line="240" w:lineRule="auto"/>
        <w:ind w:right="-24" w:firstLine="436"/>
        <w:jc w:val="both"/>
        <w:rPr>
          <w:rFonts w:ascii="Tw Cen MT" w:hAnsi="Tw Cen MT" w:cs="Times New Roman"/>
          <w:color w:val="000000" w:themeColor="text1"/>
          <w:sz w:val="24"/>
          <w:szCs w:val="24"/>
        </w:rPr>
      </w:pPr>
      <w:r w:rsidRPr="00A55F2A">
        <w:rPr>
          <w:rFonts w:ascii="Tw Cen MT" w:hAnsi="Tw Cen MT" w:cs="Times New Roman"/>
          <w:color w:val="000000" w:themeColor="text1"/>
          <w:sz w:val="24"/>
          <w:szCs w:val="24"/>
        </w:rPr>
        <w:t xml:space="preserve">Penyebab utama kematian ibu masih didominasi oleh perdarahan (30,3%), diikuti oleh hipertensi selama kehamilan (27,1%), dan infeksi (7%). Sekitar 45% sisanya mencakup penyebab </w:t>
      </w:r>
      <w:proofErr w:type="spellStart"/>
      <w:r w:rsidRPr="00A55F2A">
        <w:rPr>
          <w:rFonts w:ascii="Tw Cen MT" w:hAnsi="Tw Cen MT" w:cs="Times New Roman"/>
          <w:color w:val="000000" w:themeColor="text1"/>
          <w:sz w:val="24"/>
          <w:szCs w:val="24"/>
        </w:rPr>
        <w:t>lain</w:t>
      </w:r>
      <w:proofErr w:type="spellEnd"/>
      <w:r w:rsidRPr="00A55F2A">
        <w:rPr>
          <w:rFonts w:ascii="Tw Cen MT" w:hAnsi="Tw Cen MT" w:cs="Times New Roman"/>
          <w:color w:val="000000" w:themeColor="text1"/>
          <w:sz w:val="24"/>
          <w:szCs w:val="24"/>
        </w:rPr>
        <w:t>, termasuk penyakit non-</w:t>
      </w:r>
      <w:proofErr w:type="spellStart"/>
      <w:r w:rsidRPr="00A55F2A">
        <w:rPr>
          <w:rFonts w:ascii="Tw Cen MT" w:hAnsi="Tw Cen MT" w:cs="Times New Roman"/>
          <w:color w:val="000000" w:themeColor="text1"/>
          <w:sz w:val="24"/>
          <w:szCs w:val="24"/>
        </w:rPr>
        <w:t>obstetrik</w:t>
      </w:r>
      <w:proofErr w:type="spellEnd"/>
      <w:r w:rsidRPr="00A55F2A">
        <w:rPr>
          <w:rFonts w:ascii="Tw Cen MT" w:hAnsi="Tw Cen MT" w:cs="Times New Roman"/>
          <w:color w:val="000000" w:themeColor="text1"/>
          <w:sz w:val="24"/>
          <w:szCs w:val="24"/>
        </w:rPr>
        <w:t>. Tingginya angka kehamilan yang tidak diinginkan juga berkontribusi signifikan terhadap kematian maternal, dengan sekitar 65% kehamilan termasuk dalam kategori "4 terlalu," yaitu kehamilan yang terlalu muda (di bawah 20 tahun), terlalu tua (lebih dari 35 tahun), terlalu sering (jarak antar kehamilan kurang dari 2 tahun), dan terlalu banyak (lebih dari 3 anak).</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{"citationItems":[{"id":"ITEM-1","itemData":{"abstract":"Puji Syukur kami panjatkan pada Tuhan Yang Maha Esa, atas berkat rahmat dan karunia-Nya kami dapat menyelesaikan Laporan Akuntabilitas Kinerja Instansi Pemerintah (LAKIP) dengan baik dan tepat waktu. Penyusunan laporan kinerja ini telah mengacu pada Peraturan Menteri Pendayagunaan Aparatur Negara dan Reformasi Birokasi (Permenpan) Nomor 53 tahun 2014 tentang Petunjuk Teknis Perjanjian Kinerja, Pelaporan Kinerja dan Tata Cara Reviu atas Laporan Kinerja Instansi Pemerintah. Secara garis besar laporan berisi informasi tentang tugas dan fungsi organisasi; target kinerja dan capaian kinerja sesuai dengan Rencana Stategis (Renstra) Kementerian Kesehatan tahun 2020-2024, disertai dengan faktor pendukung dan penghambat capaian, serta upaya tindak lanjut yang akan dilakukan. Dengan harapan hasil capaian tersebut dapat menjadi bahan evaluasi dalam meningkatkan kinerja di tahun berikutnya.","author":[{"dropping-particle":"","family":"Direktorat Gizi dan Kesehatan Ibu dan Anak","given":"kementrian kesehatan republik indonesia","non-dropping-particle":"","parse-names":false,"suffix":""}],"container-title":"Kementrian Kesehatan Republik Indonesia","id":"ITEM-1","issued":{"date-parts":[["2023"]]},"number-of-pages":"1-39","publisher-place":"Jakarta: Kementerian Kesehatan RI","title":"Laporan Akuntabilitas Kinerja Instansi Pemerintah (Lakip) Direktorat Gizi Dan Kesehatan Ibu Dan Anak Tahun Anggaran 2022","type":"report"},"uris":["http://www.mendeley.com/documents/?uuid=2537d097-3644-46f7-9bdb-5b64ae47dc2d"]}],"mendeley":{"formattedCitation":"[1]","plainTextFormattedCitation":"[1]","previouslyFormattedCitation":"[1]"},"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[1]</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{"citationItems":[{"id":"ITEM-1","itemData":{"DOI":"10.54911/litbang.v21i1.163","ISSN":"2085-0689","abstract":"Perkembangan teknologi dengan aplikasi telah dibuat untuk memudahkan pemberi pelayanan dalam memberikan asuhan kebidanan khususnya dalam pelayanan antenatal. Ditengah situasi pandemi COVID-19 ini, banyak pembatasan hampir ke semua layanan rutin termasuk pelayanan kesehatan ibu dan bayi baru lahir, diantaranya adanya anjuran menunda pemeriksaan kehamilan dan kelas ibu hamil, kegiatan posyandu, ketakutan ibu hamil tertular covid-19 serta adanya ketidaksiapan layanan dari segi tenaga dan sarana prasarana termasuk Alat Pelindung Diri maka diperlukan suatu inovasi untuk ibu hamil agar tetap mengetahui apakah ibu hamil dalam kelompok faktor risiko atau tidak agar mendapatkan penanganan yang tepat. Tujuan penelitian ini adalah untuk mengetahui keefektifitasan dari aplikasi SiBumil yaitu suatu aplikasi untuk mendeteksi risiko kehamilan secara mandiri yang bisa di akses oleh ibu hamil. Populasi dalam penelitian ini ibu hamil dengan risiko tinggi yang ada di wilayah Puskesmas Kramatsari Kota Pekalongan sebanyak 143 ibu hamil. Teknik pengambilan sampel dalam penelitian ini menggunakan tabel Krejcie dan Morgan yang didasarkan atas kesalahan 5% yaitu sebanyak 103 ibu hamil. Metode pengumpulan data primer dilakukan dengan pendampingan langsung pada ibu hamil dan penyebaran angket/kuesioner dengan menggunakan google form. Analisa pengujian aplikasi menggunakan uji alpha dengan Teknik Black box, untuk uji kelayakan dengan uji usability dan untuk mengetahui perbedaan pengetahuan ibu hamil dengan uji wilcoxon. Hasil analisa untuk pengujian apllikasi diperoleh bahwa aplikasi berhasil menguji fungsi-fungsi menu atau fasilitas yang ada pada SiBumil. Untuk Uji kelayakan SiBumil, rata-rata nilai untuk Learnability = 87%, Flexibility = 79%, Effectiveness = 86% dan Attitude = 84%. Untuk perbedaan pengetahuan menggunakan uji wilcoxon diperoleh bahwa nilai p-value 0,000 lebih kecil dari ? (0,05) sehingga dapat disimpulkan bahwa terdapat perbedaan pengetahuan sebelum (pre test) dan sesudah (post test) penggunaan SiBumil. Saran untuk BAPPEDA terkait dengan penelitian ini adalah dapat memanfaatkan hasil penelitian SiBumil ini sebagai alat bantu untuk deteksi risiko kehamilan di Wilayah Kota Pekalongan dengan memberikan rekomendasi kepada Dinas Kesehatan terkait. Kata Kunci : SiBumil, Ibu Hamil, Berbasis Android, Deteksi Risiko Kehamilan","author":[{"dropping-particle":"","family":"Suparni","given":"Suparni","non-dropping-particle":"","parse-names":false,"suffix":""},{"dropping-particle":"","family":"Fatkhudin","given":"Aslam","non-dropping-particle":"","parse-names":false,"suffix":""},{"dropping-particle":"","family":"Zuhana","given":"Nina","non-dropping-particle":"","parse-names":false,"suffix":""}],"container-title":"Jurnal Litbang Kota Pekalongan","id":"ITEM-1","issue":"2","issued":{"date-parts":[["2021"]]},"page":"7","title":"Efektivitas Sibumil (Aplikasi Deteksi Risiko Kehamilan Mandiri) Berbasis Android Di Kota Pekalongan","type":"article-journal","volume":"21"},"uris":["http://www.mendeley.com/documents/?uuid=ccfce747-9a4f-40af-97f0-33460278a228"]}],"mendeley":{"formattedCitation":"[2]","plainTextFormattedCitation":"[2]","previouslyFormattedCitation":"[2]"},"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[2]</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p>
    <w:p w14:paraId="12F2422A" w14:textId="77777777" w:rsidR="00017532" w:rsidRPr="00DA4258" w:rsidRDefault="00017532" w:rsidP="00017532">
      <w:pPr>
        <w:spacing w:after="0" w:line="240" w:lineRule="auto"/>
        <w:ind w:right="-24" w:firstLine="436"/>
        <w:jc w:val="both"/>
        <w:rPr>
          <w:rFonts w:ascii="Tw Cen MT" w:hAnsi="Tw Cen MT" w:cs="Times New Roman"/>
          <w:color w:val="000000" w:themeColor="text1"/>
          <w:sz w:val="24"/>
          <w:szCs w:val="24"/>
        </w:rPr>
      </w:pPr>
      <w:r w:rsidRPr="00ED6F9F">
        <w:rPr>
          <w:rFonts w:ascii="Tw Cen MT" w:hAnsi="Tw Cen MT" w:cs="Times New Roman"/>
          <w:color w:val="000000" w:themeColor="text1"/>
          <w:sz w:val="24"/>
          <w:szCs w:val="24"/>
        </w:rPr>
        <w:t>AKI yang tercatat di Kabupaten Pekalongan pada tahun 2022 menunjukkan penurunan dari tahun 2021 sebesar 27 kasus menjadi 21 kasus atau 143,32 per 100.000 kelahiran hidup. Meskipun demikian masih diperlukan upaya untuk menurunkan kembali AKI pada tahun berikutnya. Jumlah kasus tertinggi yang terjadi pada tahun 2023 berada di Wilayah Kerja Puskesmas Tirto 1 sebesar 4 kasus kematian ibu sampai bulan Juni 2023. Oleh karena itu, pemerintah Kabupaten Pekalongan berkomitmen untuk menangani permasalahan ini pada tahun 2024 dengan fokus pada penurunan angka kematian ibu</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Kata","author":[{"dropping-particle":"","family":"DinKes Kabupaten Pekalongan","given":"","non-dropping-particle":"","parse-names":false,"suffix":""}],"id":"ITEM-1","issued":{"date-parts":[["2022"]]},"page":"74","publisher-place":"Pekalongan:DinKes Kabupaten Pekalongan","title":"Profil Kesehatan Kabupaten Pekalongan Tahun 2022","type":"article"},"uris":["http://www.mendeley.com/documents/?uuid=e7011c3b-4c01-4dea-be71-11748ef71ff2"]}],"mendeley":{"formattedCitation":"[3]","plainTextFormattedCitation":"[3]","previouslyFormattedCitation":"[3]"},"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[3]</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r w:rsidRPr="00ED6F9F">
        <w:rPr>
          <w:rFonts w:ascii="Tw Cen MT" w:eastAsia="Twentieth Century" w:hAnsi="Tw Cen MT" w:cs="Twentieth Century"/>
          <w:color w:val="000000"/>
          <w:sz w:val="24"/>
          <w:szCs w:val="24"/>
        </w:rPr>
        <w:t xml:space="preserve"> </w:t>
      </w:r>
    </w:p>
    <w:p w14:paraId="72E10219" w14:textId="1230CCBF" w:rsidR="00017532" w:rsidRDefault="00017532" w:rsidP="00017532">
      <w:pPr>
        <w:spacing w:after="0" w:line="240" w:lineRule="auto"/>
        <w:ind w:right="-24" w:firstLine="425"/>
        <w:jc w:val="both"/>
        <w:rPr>
          <w:rFonts w:ascii="Tw Cen MT" w:hAnsi="Tw Cen MT" w:cs="Times New Roman"/>
          <w:color w:val="000000" w:themeColor="text1"/>
          <w:sz w:val="24"/>
          <w:szCs w:val="24"/>
        </w:rPr>
      </w:pPr>
      <w:r w:rsidRPr="00EB4E8C">
        <w:rPr>
          <w:rFonts w:ascii="Tw Cen MT" w:hAnsi="Tw Cen MT" w:cs="Times New Roman"/>
          <w:color w:val="000000" w:themeColor="text1"/>
          <w:sz w:val="24"/>
          <w:szCs w:val="24"/>
        </w:rPr>
        <w:t xml:space="preserve">Pencegahan kematian ibu memerlukan penanganan yang tepat di fasilitas kesehatan. Faktor waktu dan akses transportasi sangat penting dalam merujuk </w:t>
      </w:r>
      <w:r w:rsidRPr="00EB4E8C">
        <w:rPr>
          <w:rFonts w:ascii="Tw Cen MT" w:hAnsi="Tw Cen MT" w:cs="Times New Roman"/>
          <w:color w:val="000000" w:themeColor="text1"/>
          <w:sz w:val="24"/>
          <w:szCs w:val="24"/>
        </w:rPr>
        <w:t>kasus berisiko tinggi. Deteksi dini faktor risiko oleh tenaga kesehatan dan masyarakat sangat krusial untuk menghindari kematian dan penderitaan. Untuk mengurangi risiko komplikasi selama kehamilan dan persalinan, setiap ibu hamil sebaiknya mendapatkan asuhan antenatal minimal enam kali: sekali pada trimester pertama (0-12 minggu), dua kali pada trimester kedua (12-24 minggu), dan tiga kali pada trimester ketiga (24 minggu hingga persalinan)</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uthor":[{"dropping-particle":"","family":"Khadijah","given":"Siti","non-dropping-particle":"","parse-names":false,"suffix":""},{"dropping-particle":"","family":"Arneti","given":"","non-dropping-particle":"","parse-names":false,"suffix":""}],"container-title":"Jurnal Sehat Mandiri","id":"ITEM-1","issue":"1","issued":{"date-parts":[["2018"]]},"page":"27-34","title":"Upaya Deteksi Dini Resiko Tinggi Kehamilan Ditentukan oleh Pengetahuan dan Dukungan Tenaga Kesehatan","type":"article-journal","volume":"13"},"uris":["http://www.mendeley.com/documents/?uuid=312595ec-66b8-4d8b-aaed-6be21c65b4bb"]}],"mendeley":{"formattedCitation":"[4]","plainTextFormattedCitation":"[4]","previouslyFormattedCitation":"[4]"},"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[4]</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{"citationItems":[{"id":"ITEM-1","itemData":{"author":[{"dropping-particle":"","family":"Kementerian Kesehatan RI","given":"","non-dropping-particle":"","parse-names":false,"suffix":""}],"id":"ITEM-1","issued":{"date-parts":[["2019"]]},"publisher-place":"Jakarta: Kementerian Kesehatan RI","title":"Buku Kesehatan Ibu dan Anak","type":"book"},"uris":["http://www.mendeley.com/documents/?uuid=339d9053-132a-4f46-8d13-ce295bd1e5fb"]}],"mendeley":{"formattedCitation":"[5]","plainTextFormattedCitation":"[5]","previouslyFormattedCitation":"[5]"},"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[5]</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p>
    <w:p w14:paraId="3D1A65CE" w14:textId="6FFB5E6B" w:rsidR="00017532" w:rsidRPr="00DA4258" w:rsidRDefault="00017532" w:rsidP="00017532">
      <w:pPr>
        <w:spacing w:after="0" w:line="240" w:lineRule="auto"/>
        <w:ind w:right="-24" w:firstLine="436"/>
        <w:jc w:val="both"/>
        <w:rPr>
          <w:rFonts w:ascii="Tw Cen MT" w:hAnsi="Tw Cen MT" w:cs="Times New Roman"/>
          <w:color w:val="000000" w:themeColor="text1"/>
          <w:sz w:val="24"/>
          <w:szCs w:val="24"/>
        </w:rPr>
      </w:pPr>
      <w:r w:rsidRPr="00EB4E8C">
        <w:rPr>
          <w:rFonts w:ascii="Tw Cen MT" w:hAnsi="Tw Cen MT" w:cs="Times New Roman"/>
          <w:color w:val="000000" w:themeColor="text1"/>
          <w:sz w:val="24"/>
          <w:szCs w:val="24"/>
        </w:rPr>
        <w:t>Penelitian menunjukkan bahwa peningkatan pengetahuan ibu hamil tentang pemeriksaan kehamilan berisiko tinggi berhubungan positif dengan kemampuan mereka dalam deteksi dini risiko kehamilan.</w:t>
      </w:r>
      <w:r>
        <w:rPr>
          <w:rFonts w:ascii="Tw Cen MT" w:hAnsi="Tw Cen MT" w:cs="Times New Roman"/>
          <w:color w:val="000000" w:themeColor="text1"/>
          <w:sz w:val="24"/>
          <w:szCs w:val="24"/>
        </w:rPr>
        <w:t xml:space="preserve"> </w:t>
      </w:r>
      <w:r w:rsidRPr="00DA4258">
        <w:rPr>
          <w:rFonts w:ascii="Tw Cen MT" w:hAnsi="Tw Cen MT" w:cs="Times New Roman"/>
          <w:color w:val="000000" w:themeColor="text1"/>
          <w:sz w:val="24"/>
          <w:szCs w:val="24"/>
        </w:rPr>
        <w:t>Selain itu, hasil penelitian juga menunjukkan bahwa dukungan dari tenaga kesehatan memainkan peran penting dalam usaha deteksi dini resiko tinggi kehamilan serta masih banyak lagi faktor lain yang mempengaruhinya</w:t>
      </w:r>
      <w:r w:rsidRPr="00DA4258">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uthor":[{"dropping-particle":"","family":"Khadijah","given":"Siti","non-dropping-particle":"","parse-names":false,"suffix":""},{"dropping-particle":"","family":"Arneti","given":"","non-dropping-particle":"","parse-names":false,"suffix":""}],"container-title":"Jurnal Sehat Mandiri","id":"ITEM-1","issue":"1","issued":{"date-parts":[["2018"]]},"page":"27-34","title":"Upaya Deteksi Dini Resiko Tinggi Kehamilan Ditentukan oleh Pengetahuan dan Dukungan Tenaga Kesehatan","type":"article-journal","volume":"13"},"uris":["http://www.mendeley.com/documents/?uuid=312595ec-66b8-4d8b-aaed-6be21c65b4bb"]}],"mendeley":{"formattedCitation":"[4]","plainTextFormattedCitation":"[4]","previouslyFormattedCitation":"[4]"},"properties":{"noteIndex":0},"schema":"https://github.com/citation-style-language/schema/raw/master/csl-citation.json"}</w:instrText>
      </w:r>
      <w:r w:rsidRPr="00DA4258">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[4]</w:t>
      </w:r>
      <w:r w:rsidRPr="00DA4258">
        <w:rPr>
          <w:rFonts w:ascii="Tw Cen MT" w:hAnsi="Tw Cen MT" w:cs="Times New Roman"/>
          <w:color w:val="000000" w:themeColor="text1"/>
          <w:sz w:val="24"/>
          <w:szCs w:val="24"/>
        </w:rPr>
        <w:fldChar w:fldCharType="end"/>
      </w:r>
      <w:r w:rsidRPr="00DA4258">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{"citationItems":[{"id":"ITEM-1","itemData":{"DOI":"10.20885/JKKI.Vol13.Iss1.art9","author":[{"dropping-particle":"","family":"Prafitri","given":"Lia Dwi","non-dropping-particle":"","parse-names":false,"suffix":""},{"dropping-particle":"","family":"Ersila","given":"Wahyu","non-dropping-particle":"","parse-names":false,"suffix":""},{"dropping-particle":"","family":"Nurseptiani","given":"Dzikra","non-dropping-particle":"","parse-names":false,"suffix":""}],"container-title":"Jurnal Kedokteran dan Kesehatan Indonesia","id":"ITEM-1","issue":"1","issued":{"date-parts":[["2022"]]},"page":"52-59","title":"Risk Factors for Carpal Tunnel Syndrome in Pregnant Women","type":"article-journal","volume":"13"},"uris":["http://www.mendeley.com/documents/?uuid=d566d575-5eab-4bae-846b-374932854326"]}],"mendeley":{"formattedCitation":"[6]","plainTextFormattedCitation":"[6]","previouslyFormattedCitation":"[7]"},"properties":{"noteIndex":0},"schema":"https://github.com/citation-style-language/schema/raw/master/csl-citation.json"}</w:instrText>
      </w:r>
      <w:r w:rsidRPr="00DA4258">
        <w:rPr>
          <w:rFonts w:ascii="Tw Cen MT" w:hAnsi="Tw Cen MT" w:cs="Times New Roman"/>
          <w:color w:val="000000" w:themeColor="text1"/>
          <w:sz w:val="24"/>
          <w:szCs w:val="24"/>
        </w:rPr>
        <w:fldChar w:fldCharType="separate"/>
      </w:r>
      <w:r w:rsidRPr="00017532">
        <w:rPr>
          <w:rFonts w:ascii="Tw Cen MT" w:hAnsi="Tw Cen MT" w:cs="Times New Roman"/>
          <w:noProof/>
          <w:color w:val="000000" w:themeColor="text1"/>
          <w:sz w:val="24"/>
          <w:szCs w:val="24"/>
        </w:rPr>
        <w:t>[6]</w:t>
      </w:r>
      <w:r w:rsidRPr="00DA4258">
        <w:rPr>
          <w:rFonts w:ascii="Tw Cen MT" w:hAnsi="Tw Cen MT" w:cs="Times New Roman"/>
          <w:color w:val="000000" w:themeColor="text1"/>
          <w:sz w:val="24"/>
          <w:szCs w:val="24"/>
        </w:rPr>
        <w:fldChar w:fldCharType="end"/>
      </w:r>
      <w:r w:rsidRPr="00DA4258">
        <w:rPr>
          <w:rFonts w:ascii="Tw Cen MT" w:hAnsi="Tw Cen MT" w:cs="Times New Roman"/>
          <w:color w:val="000000" w:themeColor="text1"/>
          <w:sz w:val="24"/>
          <w:szCs w:val="24"/>
        </w:rPr>
        <w:t>. Dengan demikian, penulis akan melakukan analisis faktor resiko yang mempengaruhi deteksi dini resiko tinggi kehamilan di Wilayah Kerja Puskesmas Tirto I Kabupaten Pekalongan.</w:t>
      </w:r>
    </w:p>
    <w:p w14:paraId="38C058E4" w14:textId="77777777" w:rsidR="00017532" w:rsidRPr="00ED6F9F" w:rsidRDefault="00017532" w:rsidP="00017532">
      <w:pPr>
        <w:spacing w:after="0" w:line="240" w:lineRule="auto"/>
        <w:jc w:val="both"/>
        <w:rPr>
          <w:rFonts w:ascii="Tw Cen MT" w:eastAsia="Twentieth Century" w:hAnsi="Tw Cen MT" w:cs="Twentieth Century"/>
          <w:color w:val="000000"/>
          <w:sz w:val="24"/>
          <w:szCs w:val="24"/>
        </w:rPr>
      </w:pPr>
    </w:p>
    <w:p w14:paraId="461F007D" w14:textId="77777777" w:rsidR="00017532" w:rsidRPr="0096335E" w:rsidRDefault="00017532" w:rsidP="00017532">
      <w:pPr>
        <w:spacing w:after="0" w:line="240" w:lineRule="auto"/>
        <w:jc w:val="both"/>
        <w:rPr>
          <w:rFonts w:ascii="Tw Cen MT" w:eastAsia="Twentieth Century" w:hAnsi="Tw Cen MT" w:cs="Twentieth Century"/>
          <w:color w:val="000000"/>
          <w:sz w:val="24"/>
          <w:szCs w:val="24"/>
        </w:rPr>
      </w:pPr>
    </w:p>
    <w:p w14:paraId="2E629733" w14:textId="77777777" w:rsidR="00017532" w:rsidRPr="0096335E" w:rsidRDefault="00017532" w:rsidP="00017532">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174F4690" w14:textId="77777777" w:rsidR="00017532" w:rsidRDefault="00017532" w:rsidP="00017532">
      <w:pPr>
        <w:tabs>
          <w:tab w:val="left" w:pos="426"/>
        </w:tabs>
        <w:spacing w:after="0" w:line="240" w:lineRule="auto"/>
        <w:jc w:val="both"/>
        <w:rPr>
          <w:rFonts w:ascii="Tw Cen MT" w:eastAsia="Twentieth Century" w:hAnsi="Tw Cen MT" w:cs="Twentieth Century"/>
          <w:sz w:val="24"/>
          <w:szCs w:val="24"/>
        </w:rPr>
      </w:pPr>
      <w:r w:rsidRPr="00EB4E8C">
        <w:rPr>
          <w:rFonts w:ascii="Tw Cen MT" w:eastAsia="Twentieth Century" w:hAnsi="Tw Cen MT" w:cs="Twentieth Century"/>
          <w:sz w:val="24"/>
          <w:szCs w:val="24"/>
        </w:rPr>
        <w:t xml:space="preserve">Penelitian ini menggunakan desain </w:t>
      </w:r>
      <w:proofErr w:type="spellStart"/>
      <w:r w:rsidRPr="00EB4E8C">
        <w:rPr>
          <w:rFonts w:ascii="Tw Cen MT" w:eastAsia="Twentieth Century" w:hAnsi="Tw Cen MT" w:cs="Twentieth Century"/>
          <w:sz w:val="24"/>
          <w:szCs w:val="24"/>
        </w:rPr>
        <w:t>analitik</w:t>
      </w:r>
      <w:proofErr w:type="spellEnd"/>
      <w:r w:rsidRPr="00EB4E8C">
        <w:rPr>
          <w:rFonts w:ascii="Tw Cen MT" w:eastAsia="Twentieth Century" w:hAnsi="Tw Cen MT" w:cs="Twentieth Century"/>
          <w:sz w:val="24"/>
          <w:szCs w:val="24"/>
        </w:rPr>
        <w:t xml:space="preserve"> dengan pendekatan kuantitatif. Data dikumpulkan melalui wawancara tertutup dalam metode </w:t>
      </w:r>
      <w:r w:rsidRPr="00EB4E8C">
        <w:rPr>
          <w:rFonts w:ascii="Tw Cen MT" w:eastAsia="Twentieth Century" w:hAnsi="Tw Cen MT" w:cs="Twentieth Century"/>
          <w:i/>
          <w:iCs/>
          <w:sz w:val="24"/>
          <w:szCs w:val="24"/>
        </w:rPr>
        <w:t>cross-sectional</w:t>
      </w:r>
      <w:r w:rsidRPr="00EB4E8C">
        <w:rPr>
          <w:rFonts w:ascii="Tw Cen MT" w:eastAsia="Twentieth Century" w:hAnsi="Tw Cen MT" w:cs="Twentieth Century"/>
          <w:sz w:val="24"/>
          <w:szCs w:val="24"/>
        </w:rPr>
        <w:t xml:space="preserve"> tanpa melakukan intervensi. Variabel yang dianalisis mencakup pendidikan, pengetahuan, dan asuransi kesehatan. Subjek penelitian adalah ibu hamil di Wilayah Kerja Puskesmas Tirto I, Kabupaten Pekalongan. Sampel diambil secara proporsional random sampling, dengan jumlah 103 ibu hamil yang memenuhi kriteria inklusi dan eksklusi. Data dikumpulkan melalui kuesioner berbasis </w:t>
      </w:r>
      <w:r w:rsidRPr="00EB4E8C">
        <w:rPr>
          <w:rFonts w:ascii="Tw Cen MT" w:eastAsia="Twentieth Century" w:hAnsi="Tw Cen MT" w:cs="Twentieth Century"/>
          <w:i/>
          <w:iCs/>
          <w:sz w:val="24"/>
          <w:szCs w:val="24"/>
        </w:rPr>
        <w:t>Google Form</w:t>
      </w:r>
      <w:r w:rsidRPr="00EB4E8C">
        <w:rPr>
          <w:rFonts w:ascii="Tw Cen MT" w:eastAsia="Twentieth Century" w:hAnsi="Tw Cen MT" w:cs="Twentieth Century"/>
          <w:sz w:val="24"/>
          <w:szCs w:val="24"/>
        </w:rPr>
        <w:t xml:space="preserve">, dan analisis dilakukan menggunakan uji </w:t>
      </w:r>
      <w:r w:rsidRPr="00EB4E8C">
        <w:rPr>
          <w:rFonts w:ascii="Tw Cen MT" w:eastAsia="Twentieth Century" w:hAnsi="Tw Cen MT" w:cs="Twentieth Century"/>
          <w:i/>
          <w:iCs/>
          <w:sz w:val="24"/>
          <w:szCs w:val="24"/>
        </w:rPr>
        <w:t>Chi-Square</w:t>
      </w:r>
      <w:r w:rsidRPr="00EB4E8C">
        <w:rPr>
          <w:rFonts w:ascii="Tw Cen MT" w:eastAsia="Twentieth Century" w:hAnsi="Tw Cen MT" w:cs="Twentieth Century"/>
          <w:sz w:val="24"/>
          <w:szCs w:val="24"/>
        </w:rPr>
        <w:t>.</w:t>
      </w:r>
    </w:p>
    <w:p w14:paraId="5752BD48" w14:textId="77777777" w:rsidR="00017532" w:rsidRDefault="00017532" w:rsidP="00017532">
      <w:pPr>
        <w:tabs>
          <w:tab w:val="left" w:pos="426"/>
        </w:tabs>
        <w:spacing w:after="0"/>
        <w:jc w:val="both"/>
        <w:rPr>
          <w:rFonts w:ascii="Tw Cen MT" w:eastAsia="Twentieth Century" w:hAnsi="Tw Cen MT" w:cs="Twentieth Century"/>
          <w:sz w:val="24"/>
          <w:szCs w:val="24"/>
        </w:rPr>
      </w:pPr>
    </w:p>
    <w:p w14:paraId="015A1694" w14:textId="77777777" w:rsidR="00017532" w:rsidRPr="0096335E" w:rsidRDefault="00017532" w:rsidP="00017532">
      <w:pPr>
        <w:tabs>
          <w:tab w:val="left" w:pos="426"/>
        </w:tabs>
        <w:spacing w:after="0"/>
        <w:jc w:val="both"/>
        <w:rPr>
          <w:rFonts w:ascii="Tw Cen MT" w:eastAsia="Twentieth Century" w:hAnsi="Tw Cen MT" w:cs="Twentieth Century"/>
          <w:sz w:val="24"/>
          <w:szCs w:val="24"/>
        </w:rPr>
      </w:pPr>
    </w:p>
    <w:p w14:paraId="1C344B20" w14:textId="77777777" w:rsidR="00017532" w:rsidRPr="0096335E" w:rsidRDefault="00017532" w:rsidP="00017532">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HASIL DAN PEMBAHASAN</w:t>
      </w:r>
    </w:p>
    <w:p w14:paraId="1D32C78B" w14:textId="77777777" w:rsidR="00017532" w:rsidRPr="002E23D7" w:rsidRDefault="00017532" w:rsidP="00017532">
      <w:pPr>
        <w:tabs>
          <w:tab w:val="left" w:pos="426"/>
        </w:tabs>
        <w:spacing w:after="0" w:line="240" w:lineRule="auto"/>
        <w:jc w:val="both"/>
        <w:rPr>
          <w:rFonts w:ascii="Tw Cen MT" w:eastAsia="Twentieth Century" w:hAnsi="Tw Cen MT" w:cs="Twentieth Century"/>
          <w:sz w:val="24"/>
          <w:szCs w:val="24"/>
        </w:rPr>
      </w:pPr>
      <w:r w:rsidRPr="00DA4258">
        <w:rPr>
          <w:rFonts w:ascii="Tw Cen MT" w:eastAsia="Twentieth Century" w:hAnsi="Tw Cen MT" w:cs="Twentieth Century"/>
          <w:sz w:val="24"/>
          <w:szCs w:val="24"/>
        </w:rPr>
        <w:t xml:space="preserve">Data diperoleh dari 103 ibu hamil yang melakukan pengisian kuesioner di Wilayah Kerja Puskesmas Tirto I Kabupaten Pekalongan. Data yang terkumpul telah dianalisis secara </w:t>
      </w:r>
      <w:proofErr w:type="spellStart"/>
      <w:r w:rsidRPr="00DA4258">
        <w:rPr>
          <w:rFonts w:ascii="Tw Cen MT" w:eastAsia="Twentieth Century" w:hAnsi="Tw Cen MT" w:cs="Twentieth Century"/>
          <w:sz w:val="24"/>
          <w:szCs w:val="24"/>
        </w:rPr>
        <w:t>univariat</w:t>
      </w:r>
      <w:proofErr w:type="spellEnd"/>
      <w:r w:rsidRPr="00DA4258">
        <w:rPr>
          <w:rFonts w:ascii="Tw Cen MT" w:eastAsia="Twentieth Century" w:hAnsi="Tw Cen MT" w:cs="Twentieth Century"/>
          <w:sz w:val="24"/>
          <w:szCs w:val="24"/>
        </w:rPr>
        <w:t xml:space="preserve"> dan </w:t>
      </w:r>
      <w:proofErr w:type="spellStart"/>
      <w:r w:rsidRPr="00DA4258">
        <w:rPr>
          <w:rFonts w:ascii="Tw Cen MT" w:eastAsia="Twentieth Century" w:hAnsi="Tw Cen MT" w:cs="Twentieth Century"/>
          <w:sz w:val="24"/>
          <w:szCs w:val="24"/>
        </w:rPr>
        <w:t>bivariat</w:t>
      </w:r>
      <w:proofErr w:type="spellEnd"/>
      <w:r w:rsidRPr="00DA4258">
        <w:rPr>
          <w:rFonts w:ascii="Tw Cen MT" w:eastAsia="Twentieth Century" w:hAnsi="Tw Cen MT" w:cs="Twentieth Century"/>
          <w:sz w:val="24"/>
          <w:szCs w:val="24"/>
        </w:rPr>
        <w:t xml:space="preserve">, untuk mengetahui analisis faktor yang </w:t>
      </w:r>
      <w:r>
        <w:rPr>
          <w:rFonts w:ascii="Tw Cen MT" w:eastAsia="Twentieth Century" w:hAnsi="Tw Cen MT" w:cs="Twentieth Century"/>
          <w:sz w:val="24"/>
          <w:szCs w:val="24"/>
        </w:rPr>
        <w:t xml:space="preserve">mempengaruhi </w:t>
      </w:r>
      <w:r w:rsidRPr="00DA4258">
        <w:rPr>
          <w:rFonts w:ascii="Tw Cen MT" w:eastAsia="Twentieth Century" w:hAnsi="Tw Cen MT" w:cs="Twentieth Century"/>
          <w:sz w:val="24"/>
          <w:szCs w:val="24"/>
        </w:rPr>
        <w:t>deteksi dini resiko tinggi kehamilan.</w:t>
      </w:r>
    </w:p>
    <w:p w14:paraId="401DECD3" w14:textId="77777777" w:rsidR="00017532" w:rsidRPr="002E23D7" w:rsidRDefault="00017532" w:rsidP="00017532">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1</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Analisa </w:t>
      </w:r>
      <w:proofErr w:type="spellStart"/>
      <w:r>
        <w:rPr>
          <w:rFonts w:ascii="Tw Cen MT" w:eastAsia="Twentieth Century" w:hAnsi="Tw Cen MT" w:cs="Twentieth Century"/>
          <w:sz w:val="20"/>
          <w:szCs w:val="20"/>
        </w:rPr>
        <w:t>Univariat</w:t>
      </w:r>
      <w:proofErr w:type="spellEnd"/>
      <w:r>
        <w:rPr>
          <w:rFonts w:ascii="Tw Cen MT" w:eastAsia="Twentieth Century" w:hAnsi="Tw Cen MT" w:cs="Twentieth Century"/>
          <w:sz w:val="20"/>
          <w:szCs w:val="20"/>
        </w:rPr>
        <w:t xml:space="preserve"> </w:t>
      </w:r>
    </w:p>
    <w:tbl>
      <w:tblPr>
        <w:tblW w:w="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34"/>
        <w:gridCol w:w="1276"/>
      </w:tblGrid>
      <w:tr w:rsidR="00017532" w:rsidRPr="002E23D7" w14:paraId="1AF1F94A" w14:textId="77777777" w:rsidTr="00283220">
        <w:trPr>
          <w:trHeight w:val="569"/>
          <w:jc w:val="center"/>
        </w:trPr>
        <w:tc>
          <w:tcPr>
            <w:tcW w:w="1985" w:type="dxa"/>
            <w:vAlign w:val="center"/>
          </w:tcPr>
          <w:p w14:paraId="57131F83" w14:textId="77777777" w:rsidR="00017532" w:rsidRPr="002E23D7" w:rsidRDefault="00017532" w:rsidP="0081616F">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Variabel</w:t>
            </w:r>
          </w:p>
        </w:tc>
        <w:tc>
          <w:tcPr>
            <w:tcW w:w="1134" w:type="dxa"/>
            <w:vAlign w:val="center"/>
          </w:tcPr>
          <w:p w14:paraId="13ACBBA9" w14:textId="77777777"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Frekuensi</w:t>
            </w:r>
          </w:p>
        </w:tc>
        <w:tc>
          <w:tcPr>
            <w:tcW w:w="1276" w:type="dxa"/>
            <w:vAlign w:val="center"/>
          </w:tcPr>
          <w:p w14:paraId="64A7F86A" w14:textId="6EC7CEC8"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Prosentase</w:t>
            </w:r>
            <w:r w:rsidR="00B35791">
              <w:rPr>
                <w:rFonts w:ascii="Tw Cen MT" w:eastAsia="Twentieth Century" w:hAnsi="Tw Cen MT" w:cs="Twentieth Century"/>
                <w:sz w:val="20"/>
                <w:szCs w:val="20"/>
              </w:rPr>
              <w:t xml:space="preserve"> (%)</w:t>
            </w:r>
          </w:p>
        </w:tc>
      </w:tr>
      <w:tr w:rsidR="00017532" w:rsidRPr="002E23D7" w14:paraId="281E4672" w14:textId="77777777" w:rsidTr="00283220">
        <w:trPr>
          <w:trHeight w:val="269"/>
          <w:jc w:val="center"/>
        </w:trPr>
        <w:tc>
          <w:tcPr>
            <w:tcW w:w="1985" w:type="dxa"/>
          </w:tcPr>
          <w:p w14:paraId="4FF54C3F" w14:textId="77777777" w:rsidR="00017532" w:rsidRDefault="00017532" w:rsidP="0081616F">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1.</w:t>
            </w:r>
            <w:r>
              <w:rPr>
                <w:rFonts w:ascii="Tw Cen MT" w:eastAsia="Twentieth Century" w:hAnsi="Tw Cen MT" w:cs="Twentieth Century"/>
                <w:sz w:val="20"/>
                <w:szCs w:val="20"/>
              </w:rPr>
              <w:t>Pengetahuan</w:t>
            </w:r>
          </w:p>
          <w:p w14:paraId="107AE7DA" w14:textId="77777777" w:rsidR="00017532" w:rsidRDefault="00017532"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Baik</w:t>
            </w:r>
          </w:p>
          <w:p w14:paraId="561D5D4D" w14:textId="77777777" w:rsidR="00017532" w:rsidRPr="002E23D7" w:rsidRDefault="00017532"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Cukup/ Kurang</w:t>
            </w:r>
          </w:p>
        </w:tc>
        <w:tc>
          <w:tcPr>
            <w:tcW w:w="1134" w:type="dxa"/>
          </w:tcPr>
          <w:p w14:paraId="3F913B46" w14:textId="77777777" w:rsidR="00017532" w:rsidRDefault="00017532" w:rsidP="0081616F">
            <w:pPr>
              <w:spacing w:after="0" w:line="240" w:lineRule="auto"/>
              <w:jc w:val="center"/>
              <w:rPr>
                <w:rFonts w:ascii="Tw Cen MT" w:eastAsia="Twentieth Century" w:hAnsi="Tw Cen MT" w:cs="Twentieth Century"/>
                <w:sz w:val="20"/>
                <w:szCs w:val="20"/>
              </w:rPr>
            </w:pPr>
          </w:p>
          <w:p w14:paraId="419BC046" w14:textId="77777777" w:rsidR="00017532"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80</w:t>
            </w:r>
          </w:p>
          <w:p w14:paraId="0F2C2116" w14:textId="77777777"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23</w:t>
            </w:r>
          </w:p>
        </w:tc>
        <w:tc>
          <w:tcPr>
            <w:tcW w:w="1276" w:type="dxa"/>
          </w:tcPr>
          <w:p w14:paraId="2AFE12CC" w14:textId="77777777" w:rsidR="00017532" w:rsidRDefault="00017532" w:rsidP="0081616F">
            <w:pPr>
              <w:spacing w:after="0" w:line="240" w:lineRule="auto"/>
              <w:jc w:val="center"/>
              <w:rPr>
                <w:rFonts w:ascii="Tw Cen MT" w:eastAsia="Twentieth Century" w:hAnsi="Tw Cen MT" w:cs="Twentieth Century"/>
                <w:sz w:val="20"/>
                <w:szCs w:val="20"/>
              </w:rPr>
            </w:pPr>
          </w:p>
          <w:p w14:paraId="7023F2B9" w14:textId="0254BB62" w:rsidR="00017532"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77,7</w:t>
            </w:r>
          </w:p>
          <w:p w14:paraId="2E23A283" w14:textId="07A5414C"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22,3</w:t>
            </w:r>
          </w:p>
        </w:tc>
      </w:tr>
      <w:tr w:rsidR="00017532" w:rsidRPr="002E23D7" w14:paraId="575E35B9" w14:textId="77777777" w:rsidTr="00283220">
        <w:trPr>
          <w:trHeight w:val="284"/>
          <w:jc w:val="center"/>
        </w:trPr>
        <w:tc>
          <w:tcPr>
            <w:tcW w:w="1985" w:type="dxa"/>
          </w:tcPr>
          <w:p w14:paraId="2C814880" w14:textId="77777777" w:rsidR="00017532" w:rsidRDefault="00017532" w:rsidP="0081616F">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2.</w:t>
            </w:r>
            <w:r>
              <w:rPr>
                <w:rFonts w:ascii="Tw Cen MT" w:eastAsia="Twentieth Century" w:hAnsi="Tw Cen MT" w:cs="Twentieth Century"/>
                <w:sz w:val="20"/>
                <w:szCs w:val="20"/>
              </w:rPr>
              <w:t>Pendidikan</w:t>
            </w:r>
          </w:p>
          <w:p w14:paraId="76C71C1B" w14:textId="77777777" w:rsidR="00017532" w:rsidRDefault="00017532"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Perguruan Tinggi</w:t>
            </w:r>
          </w:p>
          <w:p w14:paraId="4F8E2E32" w14:textId="77777777" w:rsidR="00017532" w:rsidRPr="002E23D7" w:rsidRDefault="00017532"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SD, SMP, SMA</w:t>
            </w:r>
          </w:p>
        </w:tc>
        <w:tc>
          <w:tcPr>
            <w:tcW w:w="1134" w:type="dxa"/>
          </w:tcPr>
          <w:p w14:paraId="1C8F0DB5" w14:textId="77777777" w:rsidR="00017532" w:rsidRDefault="00017532" w:rsidP="0081616F">
            <w:pPr>
              <w:spacing w:after="0" w:line="240" w:lineRule="auto"/>
              <w:jc w:val="center"/>
              <w:rPr>
                <w:rFonts w:ascii="Tw Cen MT" w:eastAsia="Twentieth Century" w:hAnsi="Tw Cen MT" w:cs="Twentieth Century"/>
                <w:sz w:val="20"/>
                <w:szCs w:val="20"/>
              </w:rPr>
            </w:pPr>
          </w:p>
          <w:p w14:paraId="370D8E8E" w14:textId="77777777" w:rsidR="00017532"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18</w:t>
            </w:r>
          </w:p>
          <w:p w14:paraId="1E22A119" w14:textId="77777777"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85</w:t>
            </w:r>
          </w:p>
        </w:tc>
        <w:tc>
          <w:tcPr>
            <w:tcW w:w="1276" w:type="dxa"/>
          </w:tcPr>
          <w:p w14:paraId="318B08CF" w14:textId="77777777" w:rsidR="00017532" w:rsidRDefault="00017532" w:rsidP="0081616F">
            <w:pPr>
              <w:spacing w:after="0" w:line="240" w:lineRule="auto"/>
              <w:jc w:val="center"/>
              <w:rPr>
                <w:rFonts w:ascii="Tw Cen MT" w:eastAsia="Twentieth Century" w:hAnsi="Tw Cen MT" w:cs="Twentieth Century"/>
                <w:sz w:val="20"/>
                <w:szCs w:val="20"/>
              </w:rPr>
            </w:pPr>
          </w:p>
          <w:p w14:paraId="3DDDC70A" w14:textId="69C6B7E8" w:rsidR="00017532"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17,5</w:t>
            </w:r>
          </w:p>
          <w:p w14:paraId="00299C4F" w14:textId="078A3211"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82,5</w:t>
            </w:r>
          </w:p>
        </w:tc>
      </w:tr>
      <w:tr w:rsidR="00017532" w:rsidRPr="002E23D7" w14:paraId="53368D62" w14:textId="77777777" w:rsidTr="00283220">
        <w:trPr>
          <w:trHeight w:val="284"/>
          <w:jc w:val="center"/>
        </w:trPr>
        <w:tc>
          <w:tcPr>
            <w:tcW w:w="1985" w:type="dxa"/>
          </w:tcPr>
          <w:p w14:paraId="543FEECC" w14:textId="77777777" w:rsidR="00017532" w:rsidRDefault="00017532" w:rsidP="0081616F">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3.</w:t>
            </w:r>
            <w:r>
              <w:rPr>
                <w:rFonts w:ascii="Tw Cen MT" w:eastAsia="Twentieth Century" w:hAnsi="Tw Cen MT" w:cs="Twentieth Century"/>
                <w:sz w:val="20"/>
                <w:szCs w:val="20"/>
              </w:rPr>
              <w:t>Asuransi Kesehatan</w:t>
            </w:r>
          </w:p>
          <w:p w14:paraId="33B8E240" w14:textId="77777777" w:rsidR="00017532" w:rsidRDefault="00017532"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Ada</w:t>
            </w:r>
          </w:p>
          <w:p w14:paraId="56CC786E" w14:textId="77777777" w:rsidR="00017532" w:rsidRPr="002E23D7" w:rsidRDefault="00017532"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Tidak ada</w:t>
            </w:r>
          </w:p>
        </w:tc>
        <w:tc>
          <w:tcPr>
            <w:tcW w:w="1134" w:type="dxa"/>
          </w:tcPr>
          <w:p w14:paraId="7D35033A" w14:textId="77777777" w:rsidR="00017532" w:rsidRDefault="00017532" w:rsidP="0081616F">
            <w:pPr>
              <w:spacing w:after="0" w:line="240" w:lineRule="auto"/>
              <w:jc w:val="center"/>
              <w:rPr>
                <w:rFonts w:ascii="Tw Cen MT" w:eastAsia="Twentieth Century" w:hAnsi="Tw Cen MT" w:cs="Twentieth Century"/>
                <w:sz w:val="20"/>
                <w:szCs w:val="20"/>
              </w:rPr>
            </w:pPr>
          </w:p>
          <w:p w14:paraId="75C9BE28" w14:textId="77777777" w:rsidR="00017532"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74</w:t>
            </w:r>
          </w:p>
          <w:p w14:paraId="5790E88F" w14:textId="77777777"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29</w:t>
            </w:r>
          </w:p>
        </w:tc>
        <w:tc>
          <w:tcPr>
            <w:tcW w:w="1276" w:type="dxa"/>
          </w:tcPr>
          <w:p w14:paraId="6D36A2AB" w14:textId="77777777" w:rsidR="00017532" w:rsidRDefault="00017532" w:rsidP="0081616F">
            <w:pPr>
              <w:spacing w:after="0" w:line="240" w:lineRule="auto"/>
              <w:jc w:val="center"/>
              <w:rPr>
                <w:rFonts w:ascii="Tw Cen MT" w:eastAsia="Twentieth Century" w:hAnsi="Tw Cen MT" w:cs="Twentieth Century"/>
                <w:sz w:val="20"/>
                <w:szCs w:val="20"/>
              </w:rPr>
            </w:pPr>
          </w:p>
          <w:p w14:paraId="640B6976" w14:textId="5BAF64DB" w:rsidR="00017532"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71,2</w:t>
            </w:r>
          </w:p>
          <w:p w14:paraId="24D9D113" w14:textId="72BD059D"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28,2</w:t>
            </w:r>
          </w:p>
        </w:tc>
      </w:tr>
      <w:tr w:rsidR="00B35791" w:rsidRPr="002E23D7" w14:paraId="3CCACBC3" w14:textId="77777777" w:rsidTr="00283220">
        <w:trPr>
          <w:trHeight w:val="284"/>
          <w:jc w:val="center"/>
        </w:trPr>
        <w:tc>
          <w:tcPr>
            <w:tcW w:w="1985" w:type="dxa"/>
          </w:tcPr>
          <w:p w14:paraId="6697C321" w14:textId="77777777" w:rsidR="00B35791" w:rsidRDefault="00B35791"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4. Deteksi Dini Resiko Tinggi Kehamilan</w:t>
            </w:r>
          </w:p>
          <w:p w14:paraId="0A3EA026" w14:textId="77777777" w:rsidR="00B35791" w:rsidRDefault="00B35791"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Melakukan</w:t>
            </w:r>
          </w:p>
          <w:p w14:paraId="5C2F4A9D" w14:textId="4324D8EE" w:rsidR="00B35791" w:rsidRPr="002E23D7" w:rsidRDefault="00B35791"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Kurang Melakukan</w:t>
            </w:r>
          </w:p>
        </w:tc>
        <w:tc>
          <w:tcPr>
            <w:tcW w:w="1134" w:type="dxa"/>
          </w:tcPr>
          <w:p w14:paraId="41D5BD32" w14:textId="77777777" w:rsidR="00B35791" w:rsidRDefault="00B35791" w:rsidP="0081616F">
            <w:pPr>
              <w:spacing w:after="0" w:line="240" w:lineRule="auto"/>
              <w:jc w:val="center"/>
              <w:rPr>
                <w:rFonts w:ascii="Tw Cen MT" w:eastAsia="Twentieth Century" w:hAnsi="Tw Cen MT" w:cs="Twentieth Century"/>
                <w:sz w:val="20"/>
                <w:szCs w:val="20"/>
              </w:rPr>
            </w:pPr>
          </w:p>
          <w:p w14:paraId="77C70A6D" w14:textId="77777777" w:rsidR="00B35791" w:rsidRDefault="00B35791" w:rsidP="0081616F">
            <w:pPr>
              <w:spacing w:after="0" w:line="240" w:lineRule="auto"/>
              <w:jc w:val="center"/>
              <w:rPr>
                <w:rFonts w:ascii="Tw Cen MT" w:eastAsia="Twentieth Century" w:hAnsi="Tw Cen MT" w:cs="Twentieth Century"/>
                <w:sz w:val="20"/>
                <w:szCs w:val="20"/>
              </w:rPr>
            </w:pPr>
          </w:p>
          <w:p w14:paraId="58F77726" w14:textId="77777777" w:rsidR="00B35791" w:rsidRDefault="00B35791"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88</w:t>
            </w:r>
          </w:p>
          <w:p w14:paraId="1D4E5ADB" w14:textId="08CDE38F" w:rsidR="00B35791" w:rsidRDefault="00B35791"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15</w:t>
            </w:r>
          </w:p>
        </w:tc>
        <w:tc>
          <w:tcPr>
            <w:tcW w:w="1276" w:type="dxa"/>
          </w:tcPr>
          <w:p w14:paraId="4E17A5BC" w14:textId="77777777" w:rsidR="00B35791" w:rsidRDefault="00B35791" w:rsidP="0081616F">
            <w:pPr>
              <w:spacing w:after="0" w:line="240" w:lineRule="auto"/>
              <w:jc w:val="center"/>
              <w:rPr>
                <w:rFonts w:ascii="Tw Cen MT" w:eastAsia="Twentieth Century" w:hAnsi="Tw Cen MT" w:cs="Twentieth Century"/>
                <w:sz w:val="20"/>
                <w:szCs w:val="20"/>
              </w:rPr>
            </w:pPr>
          </w:p>
          <w:p w14:paraId="724FB397" w14:textId="77777777" w:rsidR="00B35791" w:rsidRDefault="00B35791" w:rsidP="0081616F">
            <w:pPr>
              <w:spacing w:after="0" w:line="240" w:lineRule="auto"/>
              <w:jc w:val="center"/>
              <w:rPr>
                <w:rFonts w:ascii="Tw Cen MT" w:eastAsia="Twentieth Century" w:hAnsi="Tw Cen MT" w:cs="Twentieth Century"/>
                <w:sz w:val="20"/>
                <w:szCs w:val="20"/>
              </w:rPr>
            </w:pPr>
          </w:p>
          <w:p w14:paraId="49A97ED2" w14:textId="588D52FE" w:rsidR="00B35791" w:rsidRDefault="00B35791"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85,44</w:t>
            </w:r>
          </w:p>
          <w:p w14:paraId="620033A9" w14:textId="40B5B6F6" w:rsidR="00B35791" w:rsidRDefault="00B35791"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14,56</w:t>
            </w:r>
          </w:p>
        </w:tc>
      </w:tr>
    </w:tbl>
    <w:p w14:paraId="6EDACD61" w14:textId="77777777" w:rsidR="00017532" w:rsidRPr="004B34C5" w:rsidRDefault="00017532" w:rsidP="00017532">
      <w:pPr>
        <w:spacing w:after="0" w:line="240" w:lineRule="auto"/>
        <w:jc w:val="both"/>
        <w:rPr>
          <w:rFonts w:ascii="Tw Cen MT" w:hAnsi="Tw Cen MT" w:cs="Times New Roman"/>
          <w:i/>
          <w:iCs/>
          <w:sz w:val="24"/>
          <w:szCs w:val="24"/>
        </w:rPr>
      </w:pPr>
      <w:r w:rsidRPr="002E23D7">
        <w:rPr>
          <w:rFonts w:ascii="Tw Cen MT" w:eastAsia="Twentieth Century" w:hAnsi="Tw Cen MT" w:cs="Twentieth Century"/>
          <w:sz w:val="20"/>
          <w:szCs w:val="20"/>
        </w:rPr>
        <w:t xml:space="preserve"> </w:t>
      </w:r>
      <w:proofErr w:type="gramStart"/>
      <w:r w:rsidRPr="004B34C5">
        <w:rPr>
          <w:rFonts w:ascii="Tw Cen MT" w:eastAsia="Twentieth Century" w:hAnsi="Tw Cen MT" w:cs="Twentieth Century"/>
          <w:i/>
          <w:iCs/>
          <w:sz w:val="20"/>
          <w:szCs w:val="20"/>
        </w:rPr>
        <w:t>Source :</w:t>
      </w:r>
      <w:proofErr w:type="gramEnd"/>
      <w:r w:rsidRPr="004B34C5">
        <w:rPr>
          <w:rFonts w:ascii="Tw Cen MT" w:eastAsia="Twentieth Century" w:hAnsi="Tw Cen MT" w:cs="Twentieth Century"/>
          <w:i/>
          <w:iCs/>
          <w:sz w:val="20"/>
          <w:szCs w:val="20"/>
        </w:rPr>
        <w:t xml:space="preserve"> </w:t>
      </w:r>
      <w:proofErr w:type="spellStart"/>
      <w:r w:rsidRPr="004B34C5">
        <w:rPr>
          <w:rFonts w:ascii="Tw Cen MT" w:eastAsia="Twentieth Century" w:hAnsi="Tw Cen MT" w:cs="Twentieth Century"/>
          <w:i/>
          <w:iCs/>
          <w:sz w:val="20"/>
          <w:szCs w:val="20"/>
        </w:rPr>
        <w:t>primery</w:t>
      </w:r>
      <w:proofErr w:type="spellEnd"/>
      <w:r w:rsidRPr="004B34C5">
        <w:rPr>
          <w:rFonts w:ascii="Tw Cen MT" w:eastAsia="Twentieth Century" w:hAnsi="Tw Cen MT" w:cs="Twentieth Century"/>
          <w:i/>
          <w:iCs/>
          <w:sz w:val="20"/>
          <w:szCs w:val="20"/>
        </w:rPr>
        <w:t xml:space="preserve"> data processing </w:t>
      </w:r>
    </w:p>
    <w:p w14:paraId="5B05E7D7" w14:textId="77777777" w:rsidR="00017532" w:rsidRPr="0096335E" w:rsidRDefault="00017532" w:rsidP="00017532">
      <w:pPr>
        <w:spacing w:after="0" w:line="240" w:lineRule="auto"/>
        <w:jc w:val="both"/>
        <w:rPr>
          <w:rFonts w:ascii="Tw Cen MT" w:hAnsi="Tw Cen MT"/>
          <w:noProof/>
          <w:sz w:val="24"/>
          <w:szCs w:val="24"/>
          <w:lang w:eastAsia="id-ID"/>
        </w:rPr>
      </w:pPr>
    </w:p>
    <w:p w14:paraId="0C9C08A3" w14:textId="77777777" w:rsidR="00017532" w:rsidRDefault="00017532" w:rsidP="00017532">
      <w:pPr>
        <w:spacing w:after="0" w:line="240" w:lineRule="auto"/>
        <w:jc w:val="both"/>
        <w:rPr>
          <w:rFonts w:ascii="Tw Cen MT" w:hAnsi="Tw Cen MT"/>
          <w:sz w:val="24"/>
          <w:szCs w:val="24"/>
        </w:rPr>
      </w:pPr>
      <w:r>
        <w:rPr>
          <w:rFonts w:ascii="Tw Cen MT" w:hAnsi="Tw Cen MT"/>
          <w:sz w:val="24"/>
          <w:szCs w:val="24"/>
        </w:rPr>
        <w:t xml:space="preserve">Adapun analisa data </w:t>
      </w:r>
      <w:proofErr w:type="spellStart"/>
      <w:r>
        <w:rPr>
          <w:rFonts w:ascii="Tw Cen MT" w:hAnsi="Tw Cen MT"/>
          <w:sz w:val="24"/>
          <w:szCs w:val="24"/>
        </w:rPr>
        <w:t>bivariat</w:t>
      </w:r>
      <w:proofErr w:type="spellEnd"/>
      <w:r>
        <w:rPr>
          <w:rFonts w:ascii="Tw Cen MT" w:hAnsi="Tw Cen MT"/>
          <w:sz w:val="24"/>
          <w:szCs w:val="24"/>
        </w:rPr>
        <w:t xml:space="preserve"> yang peneliti lakukan pada tabel di bawah ini:</w:t>
      </w:r>
    </w:p>
    <w:p w14:paraId="59040D69" w14:textId="0F21199D" w:rsidR="00017532" w:rsidRDefault="00017532" w:rsidP="00017532">
      <w:pPr>
        <w:pStyle w:val="ListParagraph"/>
        <w:spacing w:after="0" w:line="240" w:lineRule="auto"/>
        <w:ind w:left="284"/>
        <w:jc w:val="center"/>
        <w:rPr>
          <w:rFonts w:ascii="Tw Cen MT" w:eastAsia="Twentieth Century" w:hAnsi="Tw Cen MT" w:cs="Twentieth Century"/>
          <w:sz w:val="20"/>
          <w:szCs w:val="20"/>
        </w:rPr>
      </w:pPr>
      <w:r w:rsidRPr="003E590E">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2</w:t>
      </w:r>
      <w:r w:rsidRPr="003E590E">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Hasil analisa </w:t>
      </w:r>
      <w:r w:rsidR="00911160">
        <w:rPr>
          <w:rFonts w:ascii="Tw Cen MT" w:eastAsia="Twentieth Century" w:hAnsi="Tw Cen MT" w:cs="Twentieth Century"/>
          <w:sz w:val="20"/>
          <w:szCs w:val="20"/>
        </w:rPr>
        <w:t>data pengetahuan, pendidikan dan asuransi kesehatan</w:t>
      </w:r>
      <w:r>
        <w:rPr>
          <w:rFonts w:ascii="Tw Cen MT" w:eastAsia="Twentieth Century" w:hAnsi="Tw Cen MT" w:cs="Twentieth Century"/>
          <w:sz w:val="20"/>
          <w:szCs w:val="20"/>
        </w:rPr>
        <w:t xml:space="preserve"> dengan deteksi dini resiko tinggi kehamilan</w:t>
      </w:r>
    </w:p>
    <w:tbl>
      <w:tblPr>
        <w:tblStyle w:val="TableGrid"/>
        <w:tblW w:w="4243" w:type="dxa"/>
        <w:jc w:val="center"/>
        <w:tblLayout w:type="fixed"/>
        <w:tblLook w:val="04A0" w:firstRow="1" w:lastRow="0" w:firstColumn="1" w:lastColumn="0" w:noHBand="0" w:noVBand="1"/>
      </w:tblPr>
      <w:tblGrid>
        <w:gridCol w:w="1271"/>
        <w:gridCol w:w="1843"/>
        <w:gridCol w:w="1129"/>
      </w:tblGrid>
      <w:tr w:rsidR="00017532" w:rsidRPr="003E590E" w14:paraId="6CDBE4DC" w14:textId="77777777" w:rsidTr="00283220">
        <w:trPr>
          <w:trHeight w:val="218"/>
          <w:jc w:val="center"/>
        </w:trPr>
        <w:tc>
          <w:tcPr>
            <w:tcW w:w="1271" w:type="dxa"/>
            <w:vMerge w:val="restart"/>
          </w:tcPr>
          <w:p w14:paraId="0B8357D4" w14:textId="77777777" w:rsidR="00017532" w:rsidRPr="003E590E" w:rsidRDefault="00017532" w:rsidP="0081616F">
            <w:pPr>
              <w:rPr>
                <w:rFonts w:ascii="Tw Cen MT" w:hAnsi="Tw Cen MT"/>
                <w:noProof/>
                <w:sz w:val="20"/>
                <w:szCs w:val="20"/>
                <w:lang w:val="id-ID"/>
              </w:rPr>
            </w:pPr>
          </w:p>
          <w:p w14:paraId="48CD1BF5"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Variabel</w:t>
            </w:r>
          </w:p>
        </w:tc>
        <w:tc>
          <w:tcPr>
            <w:tcW w:w="1843" w:type="dxa"/>
            <w:vMerge w:val="restart"/>
          </w:tcPr>
          <w:p w14:paraId="7FB66BD4" w14:textId="77777777" w:rsidR="00017532" w:rsidRPr="003E590E" w:rsidRDefault="00017532" w:rsidP="0081616F">
            <w:pPr>
              <w:rPr>
                <w:rFonts w:ascii="Tw Cen MT" w:hAnsi="Tw Cen MT"/>
                <w:noProof/>
                <w:sz w:val="20"/>
                <w:szCs w:val="20"/>
                <w:lang w:val="id-ID"/>
              </w:rPr>
            </w:pPr>
          </w:p>
          <w:p w14:paraId="14539E74"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OR 95%</w:t>
            </w:r>
          </w:p>
        </w:tc>
        <w:tc>
          <w:tcPr>
            <w:tcW w:w="1129" w:type="dxa"/>
            <w:vMerge w:val="restart"/>
          </w:tcPr>
          <w:p w14:paraId="66F2741F" w14:textId="77777777" w:rsidR="00017532" w:rsidRPr="003E590E" w:rsidRDefault="00017532" w:rsidP="0081616F">
            <w:pPr>
              <w:rPr>
                <w:rFonts w:ascii="Tw Cen MT" w:hAnsi="Tw Cen MT"/>
                <w:noProof/>
                <w:sz w:val="20"/>
                <w:szCs w:val="20"/>
                <w:lang w:val="id-ID"/>
              </w:rPr>
            </w:pPr>
          </w:p>
          <w:p w14:paraId="7E5DBB00" w14:textId="77777777" w:rsidR="00017532" w:rsidRPr="003E590E" w:rsidRDefault="00017532" w:rsidP="0081616F">
            <w:pPr>
              <w:jc w:val="center"/>
              <w:rPr>
                <w:rFonts w:ascii="Tw Cen MT" w:hAnsi="Tw Cen MT"/>
                <w:noProof/>
                <w:sz w:val="20"/>
                <w:szCs w:val="20"/>
                <w:lang w:val="id-ID"/>
              </w:rPr>
            </w:pPr>
            <w:r w:rsidRPr="003E590E">
              <w:rPr>
                <w:rFonts w:cs="Calibri"/>
                <w:noProof/>
                <w:sz w:val="20"/>
                <w:szCs w:val="20"/>
                <w:lang w:val="id-ID"/>
              </w:rPr>
              <w:t>ρ</w:t>
            </w:r>
            <w:r w:rsidRPr="003E590E">
              <w:rPr>
                <w:rFonts w:ascii="Tw Cen MT" w:hAnsi="Tw Cen MT"/>
                <w:noProof/>
                <w:sz w:val="20"/>
                <w:szCs w:val="20"/>
                <w:lang w:val="id-ID"/>
              </w:rPr>
              <w:t xml:space="preserve"> value</w:t>
            </w:r>
          </w:p>
        </w:tc>
      </w:tr>
      <w:tr w:rsidR="00017532" w:rsidRPr="003E590E" w14:paraId="3C7F2553" w14:textId="77777777" w:rsidTr="00283220">
        <w:trPr>
          <w:trHeight w:val="218"/>
          <w:jc w:val="center"/>
        </w:trPr>
        <w:tc>
          <w:tcPr>
            <w:tcW w:w="1271" w:type="dxa"/>
            <w:vMerge/>
          </w:tcPr>
          <w:p w14:paraId="4AE7C17C" w14:textId="77777777" w:rsidR="00017532" w:rsidRPr="003E590E" w:rsidRDefault="00017532" w:rsidP="0081616F">
            <w:pPr>
              <w:jc w:val="center"/>
              <w:rPr>
                <w:rFonts w:ascii="Tw Cen MT" w:hAnsi="Tw Cen MT"/>
                <w:noProof/>
                <w:sz w:val="20"/>
                <w:szCs w:val="20"/>
                <w:lang w:val="id-ID"/>
              </w:rPr>
            </w:pPr>
          </w:p>
        </w:tc>
        <w:tc>
          <w:tcPr>
            <w:tcW w:w="1843" w:type="dxa"/>
            <w:vMerge/>
          </w:tcPr>
          <w:p w14:paraId="37F68BBD" w14:textId="77777777" w:rsidR="00017532" w:rsidRPr="003E590E" w:rsidRDefault="00017532" w:rsidP="0081616F">
            <w:pPr>
              <w:jc w:val="center"/>
              <w:rPr>
                <w:rFonts w:ascii="Tw Cen MT" w:hAnsi="Tw Cen MT"/>
                <w:noProof/>
                <w:sz w:val="20"/>
                <w:szCs w:val="20"/>
                <w:lang w:val="id-ID"/>
              </w:rPr>
            </w:pPr>
          </w:p>
        </w:tc>
        <w:tc>
          <w:tcPr>
            <w:tcW w:w="1129" w:type="dxa"/>
            <w:vMerge/>
          </w:tcPr>
          <w:p w14:paraId="085B9566" w14:textId="77777777" w:rsidR="00017532" w:rsidRPr="003E590E" w:rsidRDefault="00017532" w:rsidP="0081616F">
            <w:pPr>
              <w:jc w:val="center"/>
              <w:rPr>
                <w:rFonts w:ascii="Tw Cen MT" w:hAnsi="Tw Cen MT"/>
                <w:noProof/>
                <w:sz w:val="20"/>
                <w:szCs w:val="20"/>
                <w:lang w:val="id-ID"/>
              </w:rPr>
            </w:pPr>
          </w:p>
        </w:tc>
      </w:tr>
      <w:tr w:rsidR="00017532" w:rsidRPr="003E590E" w14:paraId="0F5780FB" w14:textId="77777777" w:rsidTr="00283220">
        <w:trPr>
          <w:trHeight w:val="218"/>
          <w:jc w:val="center"/>
        </w:trPr>
        <w:tc>
          <w:tcPr>
            <w:tcW w:w="1271" w:type="dxa"/>
            <w:vMerge/>
          </w:tcPr>
          <w:p w14:paraId="74C7AEA0" w14:textId="77777777" w:rsidR="00017532" w:rsidRPr="003E590E" w:rsidRDefault="00017532" w:rsidP="0081616F">
            <w:pPr>
              <w:jc w:val="center"/>
              <w:rPr>
                <w:rFonts w:ascii="Tw Cen MT" w:hAnsi="Tw Cen MT"/>
                <w:noProof/>
                <w:sz w:val="20"/>
                <w:szCs w:val="20"/>
                <w:lang w:val="id-ID"/>
              </w:rPr>
            </w:pPr>
          </w:p>
        </w:tc>
        <w:tc>
          <w:tcPr>
            <w:tcW w:w="1843" w:type="dxa"/>
            <w:vMerge/>
          </w:tcPr>
          <w:p w14:paraId="2B832949" w14:textId="77777777" w:rsidR="00017532" w:rsidRPr="003E590E" w:rsidRDefault="00017532" w:rsidP="0081616F">
            <w:pPr>
              <w:jc w:val="center"/>
              <w:rPr>
                <w:rFonts w:ascii="Tw Cen MT" w:hAnsi="Tw Cen MT"/>
                <w:noProof/>
                <w:sz w:val="20"/>
                <w:szCs w:val="20"/>
                <w:lang w:val="id-ID"/>
              </w:rPr>
            </w:pPr>
          </w:p>
        </w:tc>
        <w:tc>
          <w:tcPr>
            <w:tcW w:w="1129" w:type="dxa"/>
            <w:vMerge/>
          </w:tcPr>
          <w:p w14:paraId="61D3A46B" w14:textId="77777777" w:rsidR="00017532" w:rsidRPr="003E590E" w:rsidRDefault="00017532" w:rsidP="0081616F">
            <w:pPr>
              <w:jc w:val="center"/>
              <w:rPr>
                <w:rFonts w:ascii="Tw Cen MT" w:hAnsi="Tw Cen MT"/>
                <w:noProof/>
                <w:sz w:val="20"/>
                <w:szCs w:val="20"/>
                <w:lang w:val="id-ID"/>
              </w:rPr>
            </w:pPr>
          </w:p>
        </w:tc>
      </w:tr>
      <w:tr w:rsidR="00017532" w:rsidRPr="003E590E" w14:paraId="46229EF3" w14:textId="77777777" w:rsidTr="00283220">
        <w:trPr>
          <w:jc w:val="center"/>
        </w:trPr>
        <w:tc>
          <w:tcPr>
            <w:tcW w:w="1271" w:type="dxa"/>
          </w:tcPr>
          <w:p w14:paraId="2AFBC413" w14:textId="77777777" w:rsidR="00017532" w:rsidRPr="003E590E" w:rsidRDefault="00017532" w:rsidP="0081616F">
            <w:pPr>
              <w:jc w:val="both"/>
              <w:rPr>
                <w:rFonts w:ascii="Tw Cen MT" w:hAnsi="Tw Cen MT"/>
                <w:noProof/>
                <w:sz w:val="20"/>
                <w:szCs w:val="20"/>
                <w:lang w:val="id-ID"/>
              </w:rPr>
            </w:pPr>
            <w:r w:rsidRPr="003E590E">
              <w:rPr>
                <w:rFonts w:ascii="Tw Cen MT" w:hAnsi="Tw Cen MT"/>
                <w:noProof/>
                <w:sz w:val="20"/>
                <w:szCs w:val="20"/>
                <w:lang w:val="id-ID"/>
              </w:rPr>
              <w:t>Pengetahuan</w:t>
            </w:r>
          </w:p>
          <w:p w14:paraId="179DCACC" w14:textId="77777777" w:rsidR="00017532" w:rsidRPr="003E590E" w:rsidRDefault="00017532" w:rsidP="0081616F">
            <w:pPr>
              <w:jc w:val="both"/>
              <w:rPr>
                <w:rFonts w:ascii="Tw Cen MT" w:hAnsi="Tw Cen MT"/>
                <w:noProof/>
                <w:sz w:val="20"/>
                <w:szCs w:val="20"/>
                <w:lang w:val="id-ID"/>
              </w:rPr>
            </w:pPr>
          </w:p>
        </w:tc>
        <w:tc>
          <w:tcPr>
            <w:tcW w:w="1843" w:type="dxa"/>
          </w:tcPr>
          <w:p w14:paraId="1B79A8F0" w14:textId="77777777" w:rsidR="00017532" w:rsidRDefault="00017532" w:rsidP="0081616F">
            <w:pPr>
              <w:jc w:val="center"/>
              <w:rPr>
                <w:rFonts w:ascii="Tw Cen MT" w:hAnsi="Tw Cen MT"/>
                <w:noProof/>
                <w:sz w:val="20"/>
                <w:szCs w:val="20"/>
                <w:lang w:val="id-ID"/>
              </w:rPr>
            </w:pPr>
            <w:r>
              <w:rPr>
                <w:rFonts w:ascii="Tw Cen MT" w:hAnsi="Tw Cen MT"/>
                <w:noProof/>
                <w:sz w:val="20"/>
                <w:szCs w:val="20"/>
                <w:lang w:val="id-ID"/>
              </w:rPr>
              <w:t>1</w:t>
            </w:r>
            <w:r w:rsidRPr="003E590E">
              <w:rPr>
                <w:rFonts w:ascii="Tw Cen MT" w:hAnsi="Tw Cen MT"/>
                <w:noProof/>
                <w:sz w:val="20"/>
                <w:szCs w:val="20"/>
                <w:lang w:val="id-ID"/>
              </w:rPr>
              <w:t>,540</w:t>
            </w:r>
          </w:p>
          <w:p w14:paraId="2552B4D7"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 xml:space="preserve"> (0,112-</w:t>
            </w:r>
            <w:r>
              <w:rPr>
                <w:rFonts w:ascii="Tw Cen MT" w:hAnsi="Tw Cen MT"/>
                <w:noProof/>
                <w:sz w:val="20"/>
                <w:szCs w:val="20"/>
                <w:lang w:val="id-ID"/>
              </w:rPr>
              <w:t>7</w:t>
            </w:r>
            <w:r w:rsidRPr="003E590E">
              <w:rPr>
                <w:rFonts w:ascii="Tw Cen MT" w:hAnsi="Tw Cen MT"/>
                <w:noProof/>
                <w:sz w:val="20"/>
                <w:szCs w:val="20"/>
                <w:lang w:val="id-ID"/>
              </w:rPr>
              <w:t>,607)</w:t>
            </w:r>
          </w:p>
        </w:tc>
        <w:tc>
          <w:tcPr>
            <w:tcW w:w="1129" w:type="dxa"/>
          </w:tcPr>
          <w:p w14:paraId="70F051AD" w14:textId="77777777" w:rsidR="00017532" w:rsidRPr="003E590E" w:rsidRDefault="00017532" w:rsidP="0081616F">
            <w:pPr>
              <w:jc w:val="center"/>
              <w:rPr>
                <w:rFonts w:ascii="Tw Cen MT" w:hAnsi="Tw Cen MT"/>
                <w:noProof/>
                <w:sz w:val="20"/>
                <w:szCs w:val="20"/>
                <w:lang w:val="id-ID"/>
              </w:rPr>
            </w:pPr>
          </w:p>
          <w:p w14:paraId="4E7A552E"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0,001</w:t>
            </w:r>
          </w:p>
        </w:tc>
      </w:tr>
      <w:tr w:rsidR="00017532" w:rsidRPr="003E590E" w14:paraId="4D065F96" w14:textId="77777777" w:rsidTr="00283220">
        <w:trPr>
          <w:jc w:val="center"/>
        </w:trPr>
        <w:tc>
          <w:tcPr>
            <w:tcW w:w="1271" w:type="dxa"/>
          </w:tcPr>
          <w:p w14:paraId="3938B6EE" w14:textId="77777777" w:rsidR="00017532" w:rsidRPr="003E590E" w:rsidRDefault="00017532" w:rsidP="0081616F">
            <w:pPr>
              <w:rPr>
                <w:rFonts w:ascii="Tw Cen MT" w:hAnsi="Tw Cen MT"/>
                <w:noProof/>
                <w:sz w:val="20"/>
                <w:szCs w:val="20"/>
                <w:lang w:val="id-ID"/>
              </w:rPr>
            </w:pPr>
            <w:r w:rsidRPr="003E590E">
              <w:rPr>
                <w:rFonts w:ascii="Tw Cen MT" w:hAnsi="Tw Cen MT"/>
                <w:noProof/>
                <w:sz w:val="20"/>
                <w:szCs w:val="20"/>
                <w:lang w:val="id-ID"/>
              </w:rPr>
              <w:t xml:space="preserve">Pendidikan </w:t>
            </w:r>
          </w:p>
          <w:p w14:paraId="4FCE9C74" w14:textId="77777777" w:rsidR="00017532" w:rsidRPr="003E590E" w:rsidRDefault="00017532" w:rsidP="0081616F">
            <w:pPr>
              <w:rPr>
                <w:rFonts w:ascii="Tw Cen MT" w:hAnsi="Tw Cen MT"/>
                <w:noProof/>
                <w:sz w:val="20"/>
                <w:szCs w:val="20"/>
                <w:lang w:val="id-ID"/>
              </w:rPr>
            </w:pPr>
          </w:p>
        </w:tc>
        <w:tc>
          <w:tcPr>
            <w:tcW w:w="1843" w:type="dxa"/>
          </w:tcPr>
          <w:p w14:paraId="4454FFBB" w14:textId="77777777" w:rsidR="00017532"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 xml:space="preserve">2,625 </w:t>
            </w:r>
          </w:p>
          <w:p w14:paraId="0BE390DD"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(0,557-12,373)</w:t>
            </w:r>
          </w:p>
        </w:tc>
        <w:tc>
          <w:tcPr>
            <w:tcW w:w="1129" w:type="dxa"/>
          </w:tcPr>
          <w:p w14:paraId="34391F4A" w14:textId="77777777" w:rsidR="00017532" w:rsidRPr="003E590E" w:rsidRDefault="00017532" w:rsidP="0081616F">
            <w:pPr>
              <w:jc w:val="center"/>
              <w:rPr>
                <w:rFonts w:ascii="Tw Cen MT" w:hAnsi="Tw Cen MT"/>
                <w:noProof/>
                <w:sz w:val="20"/>
                <w:szCs w:val="20"/>
                <w:lang w:val="id-ID"/>
              </w:rPr>
            </w:pPr>
          </w:p>
          <w:p w14:paraId="0E722BC8"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0,021</w:t>
            </w:r>
          </w:p>
        </w:tc>
      </w:tr>
      <w:tr w:rsidR="00017532" w:rsidRPr="003E590E" w14:paraId="2B5B3D34" w14:textId="77777777" w:rsidTr="00283220">
        <w:trPr>
          <w:jc w:val="center"/>
        </w:trPr>
        <w:tc>
          <w:tcPr>
            <w:tcW w:w="1271" w:type="dxa"/>
          </w:tcPr>
          <w:p w14:paraId="088DE5B9" w14:textId="77777777" w:rsidR="00017532" w:rsidRPr="003E590E" w:rsidRDefault="00017532" w:rsidP="0081616F">
            <w:pPr>
              <w:rPr>
                <w:rFonts w:ascii="Tw Cen MT" w:hAnsi="Tw Cen MT"/>
                <w:noProof/>
                <w:sz w:val="20"/>
                <w:szCs w:val="20"/>
                <w:lang w:val="id-ID"/>
              </w:rPr>
            </w:pPr>
            <w:r w:rsidRPr="003E590E">
              <w:rPr>
                <w:rFonts w:ascii="Tw Cen MT" w:hAnsi="Tw Cen MT"/>
                <w:noProof/>
                <w:sz w:val="20"/>
                <w:szCs w:val="20"/>
                <w:lang w:val="id-ID"/>
              </w:rPr>
              <w:t xml:space="preserve">Asuransi Kesehatan </w:t>
            </w:r>
          </w:p>
          <w:p w14:paraId="46B290B8" w14:textId="77777777" w:rsidR="00017532" w:rsidRPr="003E590E" w:rsidRDefault="00017532" w:rsidP="0081616F">
            <w:pPr>
              <w:rPr>
                <w:rFonts w:ascii="Tw Cen MT" w:hAnsi="Tw Cen MT"/>
                <w:noProof/>
                <w:sz w:val="20"/>
                <w:szCs w:val="20"/>
                <w:lang w:val="id-ID"/>
              </w:rPr>
            </w:pPr>
          </w:p>
        </w:tc>
        <w:tc>
          <w:tcPr>
            <w:tcW w:w="1843" w:type="dxa"/>
          </w:tcPr>
          <w:p w14:paraId="4B66CA9E" w14:textId="77777777" w:rsidR="00017532" w:rsidRDefault="00017532" w:rsidP="0081616F">
            <w:pPr>
              <w:jc w:val="center"/>
              <w:rPr>
                <w:rFonts w:ascii="Tw Cen MT" w:hAnsi="Tw Cen MT"/>
                <w:noProof/>
                <w:sz w:val="20"/>
                <w:szCs w:val="20"/>
                <w:lang w:val="id-ID"/>
              </w:rPr>
            </w:pPr>
            <w:r>
              <w:rPr>
                <w:rFonts w:ascii="Tw Cen MT" w:hAnsi="Tw Cen MT"/>
                <w:noProof/>
                <w:sz w:val="20"/>
                <w:szCs w:val="20"/>
                <w:lang w:val="id-ID"/>
              </w:rPr>
              <w:t>3</w:t>
            </w:r>
            <w:r w:rsidRPr="003E590E">
              <w:rPr>
                <w:rFonts w:ascii="Tw Cen MT" w:hAnsi="Tw Cen MT"/>
                <w:noProof/>
                <w:sz w:val="20"/>
                <w:szCs w:val="20"/>
                <w:lang w:val="id-ID"/>
              </w:rPr>
              <w:t xml:space="preserve">,317 </w:t>
            </w:r>
          </w:p>
          <w:p w14:paraId="4177FF31"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w:t>
            </w:r>
            <w:r>
              <w:rPr>
                <w:rFonts w:ascii="Tw Cen MT" w:hAnsi="Tw Cen MT"/>
                <w:noProof/>
                <w:sz w:val="20"/>
                <w:szCs w:val="20"/>
                <w:lang w:val="id-ID"/>
              </w:rPr>
              <w:t>1</w:t>
            </w:r>
            <w:r w:rsidRPr="003E590E">
              <w:rPr>
                <w:rFonts w:ascii="Tw Cen MT" w:hAnsi="Tw Cen MT"/>
                <w:noProof/>
                <w:sz w:val="20"/>
                <w:szCs w:val="20"/>
                <w:lang w:val="id-ID"/>
              </w:rPr>
              <w:t>,120-</w:t>
            </w:r>
            <w:r>
              <w:rPr>
                <w:rFonts w:ascii="Tw Cen MT" w:hAnsi="Tw Cen MT"/>
                <w:noProof/>
                <w:sz w:val="20"/>
                <w:szCs w:val="20"/>
                <w:lang w:val="id-ID"/>
              </w:rPr>
              <w:t>13</w:t>
            </w:r>
            <w:r w:rsidRPr="003E590E">
              <w:rPr>
                <w:rFonts w:ascii="Tw Cen MT" w:hAnsi="Tw Cen MT"/>
                <w:noProof/>
                <w:sz w:val="20"/>
                <w:szCs w:val="20"/>
                <w:lang w:val="id-ID"/>
              </w:rPr>
              <w:t>,837)</w:t>
            </w:r>
          </w:p>
        </w:tc>
        <w:tc>
          <w:tcPr>
            <w:tcW w:w="1129" w:type="dxa"/>
          </w:tcPr>
          <w:p w14:paraId="3385D4F1" w14:textId="77777777" w:rsidR="00017532" w:rsidRPr="003E590E" w:rsidRDefault="00017532" w:rsidP="0081616F">
            <w:pPr>
              <w:jc w:val="center"/>
              <w:rPr>
                <w:rFonts w:ascii="Tw Cen MT" w:hAnsi="Tw Cen MT"/>
                <w:noProof/>
                <w:sz w:val="20"/>
                <w:szCs w:val="20"/>
                <w:lang w:val="id-ID"/>
              </w:rPr>
            </w:pPr>
          </w:p>
          <w:p w14:paraId="3046E8BC"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0,017</w:t>
            </w:r>
          </w:p>
        </w:tc>
      </w:tr>
    </w:tbl>
    <w:p w14:paraId="6647C39D" w14:textId="77777777" w:rsidR="00017532" w:rsidRPr="004B34C5" w:rsidRDefault="00017532" w:rsidP="00017532">
      <w:pPr>
        <w:spacing w:after="0" w:line="240" w:lineRule="auto"/>
        <w:jc w:val="both"/>
        <w:rPr>
          <w:rFonts w:ascii="Tw Cen MT" w:eastAsia="Twentieth Century" w:hAnsi="Tw Cen MT" w:cs="Twentieth Century"/>
          <w:i/>
          <w:iCs/>
          <w:sz w:val="20"/>
          <w:szCs w:val="20"/>
        </w:rPr>
      </w:pPr>
      <w:proofErr w:type="gramStart"/>
      <w:r w:rsidRPr="004B34C5">
        <w:rPr>
          <w:rFonts w:ascii="Tw Cen MT" w:eastAsia="Twentieth Century" w:hAnsi="Tw Cen MT" w:cs="Twentieth Century"/>
          <w:i/>
          <w:iCs/>
          <w:sz w:val="20"/>
          <w:szCs w:val="20"/>
        </w:rPr>
        <w:t>Source :</w:t>
      </w:r>
      <w:proofErr w:type="gramEnd"/>
      <w:r w:rsidRPr="004B34C5">
        <w:rPr>
          <w:rFonts w:ascii="Tw Cen MT" w:eastAsia="Twentieth Century" w:hAnsi="Tw Cen MT" w:cs="Twentieth Century"/>
          <w:i/>
          <w:iCs/>
          <w:sz w:val="20"/>
          <w:szCs w:val="20"/>
        </w:rPr>
        <w:t xml:space="preserve"> </w:t>
      </w:r>
      <w:proofErr w:type="spellStart"/>
      <w:r w:rsidRPr="004B34C5">
        <w:rPr>
          <w:rFonts w:ascii="Tw Cen MT" w:eastAsia="Twentieth Century" w:hAnsi="Tw Cen MT" w:cs="Twentieth Century"/>
          <w:i/>
          <w:iCs/>
          <w:sz w:val="20"/>
          <w:szCs w:val="20"/>
        </w:rPr>
        <w:t>primery</w:t>
      </w:r>
      <w:proofErr w:type="spellEnd"/>
      <w:r w:rsidRPr="004B34C5">
        <w:rPr>
          <w:rFonts w:ascii="Tw Cen MT" w:eastAsia="Twentieth Century" w:hAnsi="Tw Cen MT" w:cs="Twentieth Century"/>
          <w:i/>
          <w:iCs/>
          <w:sz w:val="20"/>
          <w:szCs w:val="20"/>
        </w:rPr>
        <w:t xml:space="preserve"> data processing </w:t>
      </w:r>
    </w:p>
    <w:p w14:paraId="6A284210" w14:textId="77777777" w:rsidR="00017532" w:rsidRPr="004B34C5" w:rsidRDefault="00017532" w:rsidP="00017532">
      <w:pPr>
        <w:spacing w:after="0" w:line="240" w:lineRule="auto"/>
        <w:jc w:val="both"/>
        <w:rPr>
          <w:rFonts w:ascii="Tw Cen MT" w:hAnsi="Tw Cen MT" w:cs="Times New Roman"/>
          <w:i/>
          <w:iCs/>
          <w:sz w:val="24"/>
          <w:szCs w:val="24"/>
        </w:rPr>
      </w:pPr>
    </w:p>
    <w:p w14:paraId="257B4C76" w14:textId="77777777" w:rsidR="00017532" w:rsidRPr="00500701" w:rsidRDefault="00017532" w:rsidP="00017532">
      <w:pPr>
        <w:pStyle w:val="ListParagraph"/>
        <w:numPr>
          <w:ilvl w:val="0"/>
          <w:numId w:val="5"/>
        </w:numPr>
        <w:spacing w:after="0" w:line="240" w:lineRule="auto"/>
        <w:ind w:left="284"/>
        <w:jc w:val="both"/>
        <w:rPr>
          <w:rFonts w:ascii="Tw Cen MT" w:hAnsi="Tw Cen MT"/>
          <w:b/>
          <w:bCs/>
          <w:sz w:val="24"/>
          <w:szCs w:val="24"/>
        </w:rPr>
      </w:pPr>
      <w:r w:rsidRPr="00500701">
        <w:rPr>
          <w:rFonts w:ascii="Tw Cen MT" w:hAnsi="Tw Cen MT"/>
          <w:b/>
          <w:bCs/>
          <w:sz w:val="24"/>
          <w:szCs w:val="24"/>
        </w:rPr>
        <w:t>Hubungan antara pengetahuan dengan deteksi dini resiko tinggi kehamilan</w:t>
      </w:r>
    </w:p>
    <w:p w14:paraId="3D7C009D" w14:textId="77777777" w:rsidR="00283220" w:rsidRDefault="00017532" w:rsidP="00017532">
      <w:pPr>
        <w:pStyle w:val="ListParagraph"/>
        <w:spacing w:after="0"/>
        <w:ind w:left="0" w:firstLine="425"/>
        <w:jc w:val="both"/>
        <w:rPr>
          <w:rFonts w:ascii="Tw Cen MT" w:hAnsi="Tw Cen MT"/>
          <w:noProof/>
          <w:sz w:val="24"/>
          <w:szCs w:val="24"/>
          <w:lang w:val="id-ID"/>
        </w:rPr>
      </w:pPr>
      <w:r w:rsidRPr="00EB4E8C">
        <w:rPr>
          <w:rFonts w:ascii="Tw Cen MT" w:hAnsi="Tw Cen MT"/>
          <w:noProof/>
          <w:sz w:val="24"/>
          <w:szCs w:val="24"/>
          <w:lang w:val="id-ID"/>
        </w:rPr>
        <w:t xml:space="preserve">Hasil analisis statistik mengungkapkan adanya hubungan signifikan antara tingkat pengetahuan ibu hamil dan kemampuan </w:t>
      </w:r>
      <w:r w:rsidRPr="00EB4E8C">
        <w:rPr>
          <w:rFonts w:ascii="Tw Cen MT" w:hAnsi="Tw Cen MT"/>
          <w:noProof/>
          <w:sz w:val="24"/>
          <w:szCs w:val="24"/>
          <w:lang w:val="id-ID"/>
        </w:rPr>
        <w:t>deteksi dini risiko tinggi kehamilan</w:t>
      </w:r>
      <w:r w:rsidR="00283220">
        <w:rPr>
          <w:rFonts w:ascii="Tw Cen MT" w:hAnsi="Tw Cen MT"/>
          <w:noProof/>
          <w:sz w:val="24"/>
          <w:szCs w:val="24"/>
          <w:lang w:val="id-ID"/>
        </w:rPr>
        <w:t>, seperti pada tabel di bawah ini:</w:t>
      </w:r>
    </w:p>
    <w:p w14:paraId="1BEB97F6" w14:textId="30EFA266" w:rsidR="00283220" w:rsidRPr="00911160" w:rsidRDefault="00283220" w:rsidP="00911160">
      <w:pPr>
        <w:pStyle w:val="ListParagraph"/>
        <w:spacing w:after="0" w:line="240" w:lineRule="auto"/>
        <w:ind w:left="284"/>
        <w:jc w:val="center"/>
        <w:rPr>
          <w:rFonts w:ascii="Tw Cen MT" w:eastAsia="Twentieth Century" w:hAnsi="Tw Cen MT" w:cs="Twentieth Century"/>
          <w:sz w:val="20"/>
          <w:szCs w:val="20"/>
        </w:rPr>
      </w:pPr>
      <w:r w:rsidRPr="003E590E">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3</w:t>
      </w:r>
      <w:r w:rsidRPr="003E590E">
        <w:rPr>
          <w:rFonts w:ascii="Tw Cen MT" w:eastAsia="Twentieth Century" w:hAnsi="Tw Cen MT" w:cs="Twentieth Century"/>
          <w:sz w:val="20"/>
          <w:szCs w:val="20"/>
        </w:rPr>
        <w:t xml:space="preserve">. </w:t>
      </w:r>
      <w:r>
        <w:rPr>
          <w:rFonts w:ascii="Tw Cen MT" w:eastAsia="Twentieth Century" w:hAnsi="Tw Cen MT" w:cs="Twentieth Century"/>
          <w:sz w:val="20"/>
          <w:szCs w:val="20"/>
        </w:rPr>
        <w:t>Hasil analisa hubungan antara pengetahuan dengan deteksi dini resiko tinggi kehamilan</w:t>
      </w:r>
    </w:p>
    <w:tbl>
      <w:tblP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563"/>
        <w:gridCol w:w="853"/>
        <w:gridCol w:w="513"/>
        <w:gridCol w:w="761"/>
        <w:gridCol w:w="850"/>
        <w:gridCol w:w="708"/>
      </w:tblGrid>
      <w:tr w:rsidR="00B35791" w:rsidRPr="00283220" w14:paraId="184F738C" w14:textId="2F0AC362" w:rsidTr="00B35791">
        <w:tblPrEx>
          <w:tblCellMar>
            <w:top w:w="0" w:type="dxa"/>
            <w:bottom w:w="0" w:type="dxa"/>
          </w:tblCellMar>
        </w:tblPrEx>
        <w:trPr>
          <w:cantSplit/>
          <w:trHeight w:val="454"/>
        </w:trPr>
        <w:tc>
          <w:tcPr>
            <w:tcW w:w="1275" w:type="dxa"/>
            <w:vMerge w:val="restart"/>
            <w:vAlign w:val="center"/>
          </w:tcPr>
          <w:p w14:paraId="59305196" w14:textId="776B6CAC" w:rsidR="00B35791" w:rsidRPr="00283220" w:rsidRDefault="00B35791" w:rsidP="004B34C5">
            <w:pPr>
              <w:spacing w:line="240" w:lineRule="auto"/>
              <w:ind w:right="-44"/>
              <w:rPr>
                <w:rFonts w:ascii="Tw Cen MT" w:hAnsi="Tw Cen MT"/>
                <w:b/>
                <w:bCs/>
                <w:sz w:val="20"/>
                <w:szCs w:val="20"/>
                <w:lang w:val="nb-NO"/>
              </w:rPr>
            </w:pPr>
            <w:r w:rsidRPr="00283220">
              <w:rPr>
                <w:rFonts w:ascii="Tw Cen MT" w:hAnsi="Tw Cen MT"/>
                <w:b/>
                <w:bCs/>
                <w:sz w:val="20"/>
                <w:szCs w:val="20"/>
                <w:lang w:val="nb-NO"/>
              </w:rPr>
              <w:t xml:space="preserve">Pengetahuan Ibu Hamil </w:t>
            </w:r>
          </w:p>
        </w:tc>
        <w:tc>
          <w:tcPr>
            <w:tcW w:w="2690" w:type="dxa"/>
            <w:gridSpan w:val="4"/>
            <w:vAlign w:val="center"/>
          </w:tcPr>
          <w:p w14:paraId="2DB6DD6E" w14:textId="0CB3F014" w:rsidR="00B35791" w:rsidRPr="00283220" w:rsidRDefault="00B35791" w:rsidP="004B34C5">
            <w:pPr>
              <w:spacing w:line="240" w:lineRule="auto"/>
              <w:jc w:val="center"/>
              <w:rPr>
                <w:rFonts w:ascii="Tw Cen MT" w:hAnsi="Tw Cen MT"/>
                <w:b/>
                <w:bCs/>
                <w:sz w:val="20"/>
                <w:szCs w:val="20"/>
              </w:rPr>
            </w:pPr>
            <w:r>
              <w:rPr>
                <w:rFonts w:ascii="Tw Cen MT" w:hAnsi="Tw Cen MT"/>
                <w:b/>
                <w:bCs/>
                <w:sz w:val="20"/>
                <w:szCs w:val="20"/>
              </w:rPr>
              <w:t>Deteksi dini resiko tinggi kehamilan</w:t>
            </w:r>
          </w:p>
        </w:tc>
        <w:tc>
          <w:tcPr>
            <w:tcW w:w="850" w:type="dxa"/>
            <w:vMerge w:val="restart"/>
            <w:vAlign w:val="center"/>
          </w:tcPr>
          <w:p w14:paraId="2BA1E64D" w14:textId="69B703D2" w:rsidR="00B35791" w:rsidRPr="00283220" w:rsidRDefault="00B35791" w:rsidP="004B34C5">
            <w:pPr>
              <w:spacing w:line="240" w:lineRule="auto"/>
              <w:jc w:val="center"/>
              <w:rPr>
                <w:rFonts w:ascii="Tw Cen MT" w:hAnsi="Tw Cen MT"/>
                <w:b/>
                <w:bCs/>
                <w:sz w:val="20"/>
                <w:szCs w:val="20"/>
              </w:rPr>
            </w:pPr>
            <w:r w:rsidRPr="00283220">
              <w:rPr>
                <w:rFonts w:ascii="Tw Cen MT" w:hAnsi="Tw Cen MT"/>
                <w:b/>
                <w:bCs/>
                <w:sz w:val="20"/>
                <w:szCs w:val="20"/>
              </w:rPr>
              <w:t>OR</w:t>
            </w:r>
            <w:r>
              <w:rPr>
                <w:rFonts w:ascii="Tw Cen MT" w:hAnsi="Tw Cen MT"/>
                <w:b/>
                <w:bCs/>
                <w:sz w:val="20"/>
                <w:szCs w:val="20"/>
              </w:rPr>
              <w:t xml:space="preserve"> </w:t>
            </w:r>
            <w:r w:rsidRPr="00283220">
              <w:rPr>
                <w:rFonts w:ascii="Tw Cen MT" w:hAnsi="Tw Cen MT"/>
                <w:b/>
                <w:bCs/>
                <w:sz w:val="20"/>
                <w:szCs w:val="20"/>
              </w:rPr>
              <w:t>95%</w:t>
            </w:r>
          </w:p>
        </w:tc>
        <w:tc>
          <w:tcPr>
            <w:tcW w:w="708" w:type="dxa"/>
            <w:vMerge w:val="restart"/>
          </w:tcPr>
          <w:p w14:paraId="0D691D91" w14:textId="77777777" w:rsidR="00B35791" w:rsidRDefault="00B35791" w:rsidP="004B34C5">
            <w:pPr>
              <w:spacing w:line="240" w:lineRule="auto"/>
              <w:jc w:val="center"/>
              <w:rPr>
                <w:rFonts w:ascii="Tw Cen MT" w:hAnsi="Tw Cen MT"/>
                <w:b/>
                <w:bCs/>
                <w:sz w:val="20"/>
                <w:szCs w:val="20"/>
              </w:rPr>
            </w:pPr>
          </w:p>
          <w:p w14:paraId="4AF64E88" w14:textId="435A868D" w:rsidR="00B35791" w:rsidRPr="00283220" w:rsidRDefault="00B35791" w:rsidP="004B34C5">
            <w:pPr>
              <w:spacing w:line="240" w:lineRule="auto"/>
              <w:jc w:val="center"/>
              <w:rPr>
                <w:rFonts w:ascii="Tw Cen MT" w:hAnsi="Tw Cen MT"/>
                <w:b/>
                <w:bCs/>
                <w:sz w:val="20"/>
                <w:szCs w:val="20"/>
              </w:rPr>
            </w:pPr>
            <w:r>
              <w:rPr>
                <w:rFonts w:ascii="Tw Cen MT" w:hAnsi="Tw Cen MT"/>
                <w:b/>
                <w:bCs/>
                <w:sz w:val="20"/>
                <w:szCs w:val="20"/>
              </w:rPr>
              <w:t>P value</w:t>
            </w:r>
          </w:p>
        </w:tc>
      </w:tr>
      <w:tr w:rsidR="00B35791" w:rsidRPr="00283220" w14:paraId="0BC79B69" w14:textId="662F9FA1" w:rsidTr="00B35791">
        <w:tblPrEx>
          <w:tblCellMar>
            <w:top w:w="0" w:type="dxa"/>
            <w:bottom w:w="0" w:type="dxa"/>
          </w:tblCellMar>
        </w:tblPrEx>
        <w:trPr>
          <w:cantSplit/>
          <w:trHeight w:val="578"/>
        </w:trPr>
        <w:tc>
          <w:tcPr>
            <w:tcW w:w="1275" w:type="dxa"/>
            <w:vMerge/>
            <w:vAlign w:val="center"/>
          </w:tcPr>
          <w:p w14:paraId="3B10727D" w14:textId="77777777" w:rsidR="00B35791" w:rsidRPr="00283220" w:rsidRDefault="00B35791" w:rsidP="004B34C5">
            <w:pPr>
              <w:spacing w:line="240" w:lineRule="auto"/>
              <w:jc w:val="center"/>
              <w:rPr>
                <w:rFonts w:ascii="Tw Cen MT" w:hAnsi="Tw Cen MT"/>
                <w:b/>
                <w:bCs/>
                <w:sz w:val="20"/>
                <w:szCs w:val="20"/>
              </w:rPr>
            </w:pPr>
          </w:p>
        </w:tc>
        <w:tc>
          <w:tcPr>
            <w:tcW w:w="1416" w:type="dxa"/>
            <w:gridSpan w:val="2"/>
            <w:vAlign w:val="center"/>
          </w:tcPr>
          <w:p w14:paraId="0104FAD5" w14:textId="1A267839" w:rsidR="00B35791" w:rsidRPr="00283220" w:rsidRDefault="00B35791" w:rsidP="004B34C5">
            <w:pPr>
              <w:spacing w:line="240" w:lineRule="auto"/>
              <w:jc w:val="center"/>
              <w:rPr>
                <w:rFonts w:ascii="Tw Cen MT" w:hAnsi="Tw Cen MT"/>
                <w:b/>
                <w:bCs/>
                <w:sz w:val="20"/>
                <w:szCs w:val="20"/>
              </w:rPr>
            </w:pPr>
            <w:r>
              <w:rPr>
                <w:rFonts w:ascii="Tw Cen MT" w:hAnsi="Tw Cen MT"/>
                <w:b/>
                <w:bCs/>
                <w:sz w:val="20"/>
                <w:szCs w:val="20"/>
              </w:rPr>
              <w:t>Melakukan</w:t>
            </w:r>
          </w:p>
        </w:tc>
        <w:tc>
          <w:tcPr>
            <w:tcW w:w="1274" w:type="dxa"/>
            <w:gridSpan w:val="2"/>
            <w:vAlign w:val="center"/>
          </w:tcPr>
          <w:p w14:paraId="3717738E" w14:textId="28B11E79" w:rsidR="00B35791" w:rsidRPr="00283220" w:rsidRDefault="00B35791" w:rsidP="004B34C5">
            <w:pPr>
              <w:spacing w:line="240" w:lineRule="auto"/>
              <w:jc w:val="center"/>
              <w:rPr>
                <w:rFonts w:ascii="Tw Cen MT" w:hAnsi="Tw Cen MT"/>
                <w:b/>
                <w:bCs/>
                <w:sz w:val="20"/>
                <w:szCs w:val="20"/>
              </w:rPr>
            </w:pPr>
            <w:r w:rsidRPr="00283220">
              <w:rPr>
                <w:rFonts w:ascii="Tw Cen MT" w:hAnsi="Tw Cen MT"/>
                <w:b/>
                <w:bCs/>
                <w:sz w:val="20"/>
                <w:szCs w:val="20"/>
              </w:rPr>
              <w:t xml:space="preserve">Kurang </w:t>
            </w:r>
            <w:r>
              <w:rPr>
                <w:rFonts w:ascii="Tw Cen MT" w:hAnsi="Tw Cen MT"/>
                <w:b/>
                <w:bCs/>
                <w:sz w:val="20"/>
                <w:szCs w:val="20"/>
              </w:rPr>
              <w:t>Melakukan</w:t>
            </w:r>
          </w:p>
        </w:tc>
        <w:tc>
          <w:tcPr>
            <w:tcW w:w="850" w:type="dxa"/>
            <w:vMerge/>
            <w:vAlign w:val="center"/>
          </w:tcPr>
          <w:p w14:paraId="7073210B" w14:textId="77777777" w:rsidR="00B35791" w:rsidRPr="00283220" w:rsidRDefault="00B35791" w:rsidP="004B34C5">
            <w:pPr>
              <w:spacing w:line="240" w:lineRule="auto"/>
              <w:jc w:val="center"/>
              <w:rPr>
                <w:rFonts w:ascii="Tw Cen MT" w:hAnsi="Tw Cen MT"/>
                <w:b/>
                <w:bCs/>
                <w:sz w:val="20"/>
                <w:szCs w:val="20"/>
              </w:rPr>
            </w:pPr>
          </w:p>
        </w:tc>
        <w:tc>
          <w:tcPr>
            <w:tcW w:w="708" w:type="dxa"/>
            <w:vMerge/>
          </w:tcPr>
          <w:p w14:paraId="4C0BD6BA" w14:textId="77777777" w:rsidR="00B35791" w:rsidRPr="00283220" w:rsidRDefault="00B35791" w:rsidP="004B34C5">
            <w:pPr>
              <w:spacing w:line="240" w:lineRule="auto"/>
              <w:jc w:val="center"/>
              <w:rPr>
                <w:rFonts w:ascii="Tw Cen MT" w:hAnsi="Tw Cen MT"/>
                <w:b/>
                <w:bCs/>
                <w:sz w:val="20"/>
                <w:szCs w:val="20"/>
              </w:rPr>
            </w:pPr>
          </w:p>
        </w:tc>
      </w:tr>
      <w:tr w:rsidR="00B35791" w:rsidRPr="00283220" w14:paraId="3ECB07BF" w14:textId="7D398558" w:rsidTr="00B35791">
        <w:tblPrEx>
          <w:tblCellMar>
            <w:top w:w="0" w:type="dxa"/>
            <w:bottom w:w="0" w:type="dxa"/>
          </w:tblCellMar>
        </w:tblPrEx>
        <w:trPr>
          <w:cantSplit/>
        </w:trPr>
        <w:tc>
          <w:tcPr>
            <w:tcW w:w="1275" w:type="dxa"/>
            <w:vMerge/>
          </w:tcPr>
          <w:p w14:paraId="03A1BABA" w14:textId="77777777" w:rsidR="00B35791" w:rsidRPr="00283220" w:rsidRDefault="00B35791" w:rsidP="004B34C5">
            <w:pPr>
              <w:spacing w:line="240" w:lineRule="auto"/>
              <w:jc w:val="center"/>
              <w:rPr>
                <w:rFonts w:ascii="Tw Cen MT" w:hAnsi="Tw Cen MT"/>
                <w:b/>
                <w:bCs/>
                <w:sz w:val="20"/>
                <w:szCs w:val="20"/>
              </w:rPr>
            </w:pPr>
          </w:p>
        </w:tc>
        <w:tc>
          <w:tcPr>
            <w:tcW w:w="563" w:type="dxa"/>
          </w:tcPr>
          <w:p w14:paraId="6E853228" w14:textId="77777777" w:rsidR="00B35791" w:rsidRPr="00283220" w:rsidRDefault="00B35791" w:rsidP="004B34C5">
            <w:pPr>
              <w:spacing w:line="240" w:lineRule="auto"/>
              <w:jc w:val="center"/>
              <w:rPr>
                <w:rFonts w:ascii="Tw Cen MT" w:hAnsi="Tw Cen MT"/>
                <w:b/>
                <w:bCs/>
                <w:sz w:val="20"/>
                <w:szCs w:val="20"/>
              </w:rPr>
            </w:pPr>
            <w:r w:rsidRPr="00283220">
              <w:rPr>
                <w:rFonts w:ascii="Tw Cen MT" w:hAnsi="Tw Cen MT"/>
                <w:b/>
                <w:bCs/>
                <w:sz w:val="20"/>
                <w:szCs w:val="20"/>
              </w:rPr>
              <w:t>N</w:t>
            </w:r>
          </w:p>
        </w:tc>
        <w:tc>
          <w:tcPr>
            <w:tcW w:w="853" w:type="dxa"/>
          </w:tcPr>
          <w:p w14:paraId="06E21867" w14:textId="77777777" w:rsidR="00B35791" w:rsidRPr="00283220" w:rsidRDefault="00B35791" w:rsidP="004B34C5">
            <w:pPr>
              <w:spacing w:line="240" w:lineRule="auto"/>
              <w:jc w:val="center"/>
              <w:rPr>
                <w:rFonts w:ascii="Tw Cen MT" w:hAnsi="Tw Cen MT"/>
                <w:b/>
                <w:bCs/>
                <w:sz w:val="20"/>
                <w:szCs w:val="20"/>
              </w:rPr>
            </w:pPr>
            <w:r w:rsidRPr="00283220">
              <w:rPr>
                <w:rFonts w:ascii="Tw Cen MT" w:hAnsi="Tw Cen MT"/>
                <w:b/>
                <w:bCs/>
                <w:sz w:val="20"/>
                <w:szCs w:val="20"/>
              </w:rPr>
              <w:t>%</w:t>
            </w:r>
          </w:p>
        </w:tc>
        <w:tc>
          <w:tcPr>
            <w:tcW w:w="513" w:type="dxa"/>
          </w:tcPr>
          <w:p w14:paraId="2ACEE23D" w14:textId="77777777" w:rsidR="00B35791" w:rsidRPr="00283220" w:rsidRDefault="00B35791" w:rsidP="004B34C5">
            <w:pPr>
              <w:spacing w:line="240" w:lineRule="auto"/>
              <w:jc w:val="center"/>
              <w:rPr>
                <w:rFonts w:ascii="Tw Cen MT" w:hAnsi="Tw Cen MT"/>
                <w:b/>
                <w:bCs/>
                <w:sz w:val="20"/>
                <w:szCs w:val="20"/>
              </w:rPr>
            </w:pPr>
            <w:r w:rsidRPr="00283220">
              <w:rPr>
                <w:rFonts w:ascii="Tw Cen MT" w:hAnsi="Tw Cen MT"/>
                <w:b/>
                <w:bCs/>
                <w:sz w:val="20"/>
                <w:szCs w:val="20"/>
              </w:rPr>
              <w:t>N</w:t>
            </w:r>
          </w:p>
        </w:tc>
        <w:tc>
          <w:tcPr>
            <w:tcW w:w="761" w:type="dxa"/>
          </w:tcPr>
          <w:p w14:paraId="5DCA0830" w14:textId="77777777" w:rsidR="00B35791" w:rsidRPr="00283220" w:rsidRDefault="00B35791" w:rsidP="004B34C5">
            <w:pPr>
              <w:spacing w:line="240" w:lineRule="auto"/>
              <w:jc w:val="center"/>
              <w:rPr>
                <w:rFonts w:ascii="Tw Cen MT" w:hAnsi="Tw Cen MT"/>
                <w:b/>
                <w:bCs/>
                <w:sz w:val="20"/>
                <w:szCs w:val="20"/>
              </w:rPr>
            </w:pPr>
            <w:r w:rsidRPr="00283220">
              <w:rPr>
                <w:rFonts w:ascii="Tw Cen MT" w:hAnsi="Tw Cen MT"/>
                <w:b/>
                <w:bCs/>
                <w:sz w:val="20"/>
                <w:szCs w:val="20"/>
              </w:rPr>
              <w:t>%</w:t>
            </w:r>
          </w:p>
        </w:tc>
        <w:tc>
          <w:tcPr>
            <w:tcW w:w="850" w:type="dxa"/>
            <w:vMerge/>
          </w:tcPr>
          <w:p w14:paraId="0B6863D8" w14:textId="77777777" w:rsidR="00B35791" w:rsidRPr="00283220" w:rsidRDefault="00B35791" w:rsidP="004B34C5">
            <w:pPr>
              <w:spacing w:line="240" w:lineRule="auto"/>
              <w:jc w:val="center"/>
              <w:rPr>
                <w:rFonts w:ascii="Tw Cen MT" w:hAnsi="Tw Cen MT"/>
                <w:b/>
                <w:bCs/>
                <w:sz w:val="20"/>
                <w:szCs w:val="20"/>
              </w:rPr>
            </w:pPr>
          </w:p>
        </w:tc>
        <w:tc>
          <w:tcPr>
            <w:tcW w:w="708" w:type="dxa"/>
            <w:vMerge/>
          </w:tcPr>
          <w:p w14:paraId="22BD70C4" w14:textId="77777777" w:rsidR="00B35791" w:rsidRPr="00283220" w:rsidRDefault="00B35791" w:rsidP="004B34C5">
            <w:pPr>
              <w:spacing w:line="240" w:lineRule="auto"/>
              <w:jc w:val="center"/>
              <w:rPr>
                <w:rFonts w:ascii="Tw Cen MT" w:hAnsi="Tw Cen MT"/>
                <w:b/>
                <w:bCs/>
                <w:sz w:val="20"/>
                <w:szCs w:val="20"/>
              </w:rPr>
            </w:pPr>
          </w:p>
        </w:tc>
      </w:tr>
      <w:tr w:rsidR="00B35791" w:rsidRPr="00283220" w14:paraId="0CB6881D" w14:textId="589BC2FA" w:rsidTr="00B35791">
        <w:tblPrEx>
          <w:tblCellMar>
            <w:top w:w="0" w:type="dxa"/>
            <w:bottom w:w="0" w:type="dxa"/>
          </w:tblCellMar>
        </w:tblPrEx>
        <w:tc>
          <w:tcPr>
            <w:tcW w:w="1275" w:type="dxa"/>
          </w:tcPr>
          <w:p w14:paraId="0DF4FFA9" w14:textId="77777777" w:rsidR="00B35791" w:rsidRPr="00283220" w:rsidRDefault="00B35791" w:rsidP="004B34C5">
            <w:pPr>
              <w:pStyle w:val="Header"/>
              <w:rPr>
                <w:rFonts w:ascii="Tw Cen MT" w:hAnsi="Tw Cen MT"/>
                <w:sz w:val="20"/>
                <w:szCs w:val="20"/>
              </w:rPr>
            </w:pPr>
            <w:r w:rsidRPr="00283220">
              <w:rPr>
                <w:rFonts w:ascii="Tw Cen MT" w:hAnsi="Tw Cen MT"/>
                <w:sz w:val="20"/>
                <w:szCs w:val="20"/>
              </w:rPr>
              <w:t>Baik</w:t>
            </w:r>
          </w:p>
          <w:p w14:paraId="0B009EA2" w14:textId="77777777" w:rsidR="00B35791" w:rsidRPr="00283220" w:rsidRDefault="00B35791" w:rsidP="004B34C5">
            <w:pPr>
              <w:pStyle w:val="Header"/>
              <w:rPr>
                <w:rFonts w:ascii="Tw Cen MT" w:hAnsi="Tw Cen MT"/>
                <w:sz w:val="20"/>
                <w:szCs w:val="20"/>
              </w:rPr>
            </w:pPr>
          </w:p>
          <w:p w14:paraId="31D27515" w14:textId="77777777" w:rsidR="00B35791" w:rsidRPr="00283220" w:rsidRDefault="00B35791" w:rsidP="004B34C5">
            <w:pPr>
              <w:pStyle w:val="Header"/>
              <w:rPr>
                <w:rFonts w:ascii="Tw Cen MT" w:hAnsi="Tw Cen MT"/>
                <w:sz w:val="20"/>
                <w:szCs w:val="20"/>
              </w:rPr>
            </w:pPr>
            <w:r w:rsidRPr="00283220">
              <w:rPr>
                <w:rFonts w:ascii="Tw Cen MT" w:hAnsi="Tw Cen MT"/>
                <w:sz w:val="20"/>
                <w:szCs w:val="20"/>
              </w:rPr>
              <w:t>Cukup</w:t>
            </w:r>
          </w:p>
        </w:tc>
        <w:tc>
          <w:tcPr>
            <w:tcW w:w="563" w:type="dxa"/>
          </w:tcPr>
          <w:p w14:paraId="71E2845D" w14:textId="725F2E5F" w:rsidR="00B35791" w:rsidRPr="00283220" w:rsidRDefault="00B35791" w:rsidP="004B34C5">
            <w:pPr>
              <w:spacing w:line="240" w:lineRule="auto"/>
              <w:jc w:val="center"/>
              <w:rPr>
                <w:rFonts w:ascii="Tw Cen MT" w:hAnsi="Tw Cen MT"/>
                <w:sz w:val="20"/>
                <w:szCs w:val="20"/>
              </w:rPr>
            </w:pPr>
            <w:r>
              <w:rPr>
                <w:rFonts w:ascii="Tw Cen MT" w:hAnsi="Tw Cen MT"/>
                <w:sz w:val="20"/>
                <w:szCs w:val="20"/>
              </w:rPr>
              <w:t>69</w:t>
            </w:r>
          </w:p>
          <w:p w14:paraId="1159858F" w14:textId="5F18D406" w:rsidR="00B35791" w:rsidRPr="00283220" w:rsidRDefault="00B35791" w:rsidP="004B34C5">
            <w:pPr>
              <w:spacing w:line="240" w:lineRule="auto"/>
              <w:jc w:val="center"/>
              <w:rPr>
                <w:rFonts w:ascii="Tw Cen MT" w:hAnsi="Tw Cen MT"/>
                <w:sz w:val="20"/>
                <w:szCs w:val="20"/>
              </w:rPr>
            </w:pPr>
            <w:r>
              <w:rPr>
                <w:rFonts w:ascii="Tw Cen MT" w:hAnsi="Tw Cen MT"/>
                <w:sz w:val="20"/>
                <w:szCs w:val="20"/>
              </w:rPr>
              <w:t>19</w:t>
            </w:r>
          </w:p>
        </w:tc>
        <w:tc>
          <w:tcPr>
            <w:tcW w:w="853" w:type="dxa"/>
          </w:tcPr>
          <w:p w14:paraId="3265883B" w14:textId="01F809CC" w:rsidR="00B35791" w:rsidRPr="00283220" w:rsidRDefault="00B35791" w:rsidP="004B34C5">
            <w:pPr>
              <w:spacing w:line="240" w:lineRule="auto"/>
              <w:jc w:val="center"/>
              <w:rPr>
                <w:rFonts w:ascii="Tw Cen MT" w:hAnsi="Tw Cen MT"/>
                <w:sz w:val="20"/>
                <w:szCs w:val="20"/>
              </w:rPr>
            </w:pPr>
            <w:r>
              <w:rPr>
                <w:rFonts w:ascii="Tw Cen MT" w:hAnsi="Tw Cen MT"/>
                <w:sz w:val="20"/>
                <w:szCs w:val="20"/>
              </w:rPr>
              <w:t>86,25</w:t>
            </w:r>
          </w:p>
          <w:p w14:paraId="27533BA4" w14:textId="3A25AA8A" w:rsidR="00B35791" w:rsidRPr="00283220" w:rsidRDefault="00B35791" w:rsidP="004B34C5">
            <w:pPr>
              <w:spacing w:line="240" w:lineRule="auto"/>
              <w:jc w:val="center"/>
              <w:rPr>
                <w:rFonts w:ascii="Tw Cen MT" w:hAnsi="Tw Cen MT"/>
                <w:sz w:val="20"/>
                <w:szCs w:val="20"/>
              </w:rPr>
            </w:pPr>
            <w:r>
              <w:rPr>
                <w:rFonts w:ascii="Tw Cen MT" w:hAnsi="Tw Cen MT"/>
                <w:sz w:val="20"/>
                <w:szCs w:val="20"/>
              </w:rPr>
              <w:t>82,60</w:t>
            </w:r>
          </w:p>
        </w:tc>
        <w:tc>
          <w:tcPr>
            <w:tcW w:w="513" w:type="dxa"/>
          </w:tcPr>
          <w:p w14:paraId="3F23CABC" w14:textId="5F27EF1B" w:rsidR="00B35791" w:rsidRPr="00283220" w:rsidRDefault="00B35791" w:rsidP="004B34C5">
            <w:pPr>
              <w:spacing w:line="240" w:lineRule="auto"/>
              <w:jc w:val="center"/>
              <w:rPr>
                <w:rFonts w:ascii="Tw Cen MT" w:hAnsi="Tw Cen MT"/>
                <w:sz w:val="20"/>
                <w:szCs w:val="20"/>
              </w:rPr>
            </w:pPr>
            <w:r w:rsidRPr="00283220">
              <w:rPr>
                <w:rFonts w:ascii="Tw Cen MT" w:hAnsi="Tw Cen MT"/>
                <w:sz w:val="20"/>
                <w:szCs w:val="20"/>
              </w:rPr>
              <w:t>1</w:t>
            </w:r>
            <w:r>
              <w:rPr>
                <w:rFonts w:ascii="Tw Cen MT" w:hAnsi="Tw Cen MT"/>
                <w:sz w:val="20"/>
                <w:szCs w:val="20"/>
              </w:rPr>
              <w:t>1</w:t>
            </w:r>
          </w:p>
          <w:p w14:paraId="44A2FDB0" w14:textId="29652CB8" w:rsidR="00B35791" w:rsidRPr="00283220" w:rsidRDefault="00B35791" w:rsidP="004B34C5">
            <w:pPr>
              <w:spacing w:line="240" w:lineRule="auto"/>
              <w:jc w:val="center"/>
              <w:rPr>
                <w:rFonts w:ascii="Tw Cen MT" w:hAnsi="Tw Cen MT"/>
                <w:sz w:val="20"/>
                <w:szCs w:val="20"/>
              </w:rPr>
            </w:pPr>
            <w:r>
              <w:rPr>
                <w:rFonts w:ascii="Tw Cen MT" w:hAnsi="Tw Cen MT"/>
                <w:sz w:val="20"/>
                <w:szCs w:val="20"/>
              </w:rPr>
              <w:t>4</w:t>
            </w:r>
          </w:p>
        </w:tc>
        <w:tc>
          <w:tcPr>
            <w:tcW w:w="761" w:type="dxa"/>
          </w:tcPr>
          <w:p w14:paraId="3BEB31D6" w14:textId="40152812" w:rsidR="00B35791" w:rsidRPr="00283220" w:rsidRDefault="00B35791" w:rsidP="004B34C5">
            <w:pPr>
              <w:spacing w:line="240" w:lineRule="auto"/>
              <w:jc w:val="center"/>
              <w:rPr>
                <w:rFonts w:ascii="Tw Cen MT" w:hAnsi="Tw Cen MT"/>
                <w:sz w:val="20"/>
                <w:szCs w:val="20"/>
              </w:rPr>
            </w:pPr>
            <w:r>
              <w:rPr>
                <w:rFonts w:ascii="Tw Cen MT" w:hAnsi="Tw Cen MT"/>
                <w:sz w:val="20"/>
                <w:szCs w:val="20"/>
              </w:rPr>
              <w:t>13,75</w:t>
            </w:r>
          </w:p>
          <w:p w14:paraId="64E1EA24" w14:textId="1FCB0528" w:rsidR="00B35791" w:rsidRPr="00283220" w:rsidRDefault="00B35791" w:rsidP="004B34C5">
            <w:pPr>
              <w:spacing w:line="240" w:lineRule="auto"/>
              <w:jc w:val="center"/>
              <w:rPr>
                <w:rFonts w:ascii="Tw Cen MT" w:hAnsi="Tw Cen MT"/>
                <w:sz w:val="20"/>
                <w:szCs w:val="20"/>
              </w:rPr>
            </w:pPr>
            <w:r>
              <w:rPr>
                <w:rFonts w:ascii="Tw Cen MT" w:hAnsi="Tw Cen MT"/>
                <w:sz w:val="20"/>
                <w:szCs w:val="20"/>
              </w:rPr>
              <w:t>17,40</w:t>
            </w:r>
          </w:p>
        </w:tc>
        <w:tc>
          <w:tcPr>
            <w:tcW w:w="850" w:type="dxa"/>
            <w:vMerge w:val="restart"/>
          </w:tcPr>
          <w:p w14:paraId="5119B3FE" w14:textId="77777777" w:rsidR="00911160" w:rsidRDefault="00B35791" w:rsidP="004B34C5">
            <w:pPr>
              <w:spacing w:line="240" w:lineRule="auto"/>
              <w:jc w:val="center"/>
              <w:rPr>
                <w:rFonts w:ascii="Tw Cen MT" w:hAnsi="Tw Cen MT"/>
                <w:sz w:val="20"/>
                <w:szCs w:val="20"/>
              </w:rPr>
            </w:pPr>
            <w:r>
              <w:rPr>
                <w:rFonts w:ascii="Tw Cen MT" w:hAnsi="Tw Cen MT"/>
                <w:sz w:val="20"/>
                <w:szCs w:val="20"/>
              </w:rPr>
              <w:t xml:space="preserve">1,540 </w:t>
            </w:r>
          </w:p>
          <w:p w14:paraId="509055B1" w14:textId="71A48F48" w:rsidR="00B35791" w:rsidRPr="00283220" w:rsidRDefault="00B35791" w:rsidP="004B34C5">
            <w:pPr>
              <w:spacing w:line="240" w:lineRule="auto"/>
              <w:jc w:val="center"/>
              <w:rPr>
                <w:rFonts w:ascii="Tw Cen MT" w:hAnsi="Tw Cen MT"/>
                <w:sz w:val="20"/>
                <w:szCs w:val="20"/>
              </w:rPr>
            </w:pPr>
            <w:r>
              <w:rPr>
                <w:rFonts w:ascii="Tw Cen MT" w:hAnsi="Tw Cen MT"/>
                <w:sz w:val="20"/>
                <w:szCs w:val="20"/>
              </w:rPr>
              <w:t>(0,112-7,607)</w:t>
            </w:r>
          </w:p>
        </w:tc>
        <w:tc>
          <w:tcPr>
            <w:tcW w:w="708" w:type="dxa"/>
            <w:vMerge w:val="restart"/>
          </w:tcPr>
          <w:p w14:paraId="6A93DE5D" w14:textId="30DFCAE3" w:rsidR="00B35791" w:rsidRDefault="00B35791" w:rsidP="004B34C5">
            <w:pPr>
              <w:spacing w:line="240" w:lineRule="auto"/>
              <w:jc w:val="center"/>
              <w:rPr>
                <w:rFonts w:ascii="Tw Cen MT" w:hAnsi="Tw Cen MT"/>
                <w:sz w:val="20"/>
                <w:szCs w:val="20"/>
              </w:rPr>
            </w:pPr>
            <w:r>
              <w:rPr>
                <w:rFonts w:ascii="Tw Cen MT" w:hAnsi="Tw Cen MT"/>
                <w:sz w:val="20"/>
                <w:szCs w:val="20"/>
              </w:rPr>
              <w:t>0,001</w:t>
            </w:r>
          </w:p>
        </w:tc>
      </w:tr>
      <w:tr w:rsidR="00B35791" w:rsidRPr="00283220" w14:paraId="56FF29FF" w14:textId="45C6850E" w:rsidTr="00B35791">
        <w:tblPrEx>
          <w:tblCellMar>
            <w:top w:w="0" w:type="dxa"/>
            <w:bottom w:w="0" w:type="dxa"/>
          </w:tblCellMar>
        </w:tblPrEx>
        <w:tc>
          <w:tcPr>
            <w:tcW w:w="1275" w:type="dxa"/>
          </w:tcPr>
          <w:p w14:paraId="5190804C" w14:textId="77777777" w:rsidR="00B35791" w:rsidRPr="00283220" w:rsidRDefault="00B35791" w:rsidP="004B34C5">
            <w:pPr>
              <w:pStyle w:val="Header"/>
              <w:spacing w:before="40" w:after="40"/>
              <w:jc w:val="center"/>
              <w:rPr>
                <w:rFonts w:ascii="Tw Cen MT" w:hAnsi="Tw Cen MT"/>
                <w:b/>
                <w:bCs/>
                <w:sz w:val="20"/>
                <w:szCs w:val="20"/>
              </w:rPr>
            </w:pPr>
            <w:r w:rsidRPr="00283220">
              <w:rPr>
                <w:rFonts w:ascii="Tw Cen MT" w:hAnsi="Tw Cen MT"/>
                <w:b/>
                <w:bCs/>
                <w:sz w:val="20"/>
                <w:szCs w:val="20"/>
              </w:rPr>
              <w:t>Total</w:t>
            </w:r>
          </w:p>
        </w:tc>
        <w:tc>
          <w:tcPr>
            <w:tcW w:w="563" w:type="dxa"/>
          </w:tcPr>
          <w:p w14:paraId="2F96D38E" w14:textId="646973A5" w:rsidR="00B35791" w:rsidRPr="00283220" w:rsidRDefault="00B35791" w:rsidP="004B34C5">
            <w:pPr>
              <w:spacing w:before="40" w:after="40" w:line="240" w:lineRule="auto"/>
              <w:jc w:val="center"/>
              <w:rPr>
                <w:rFonts w:ascii="Tw Cen MT" w:hAnsi="Tw Cen MT"/>
                <w:b/>
                <w:bCs/>
                <w:sz w:val="20"/>
                <w:szCs w:val="20"/>
              </w:rPr>
            </w:pPr>
            <w:r>
              <w:rPr>
                <w:rFonts w:ascii="Tw Cen MT" w:hAnsi="Tw Cen MT"/>
                <w:b/>
                <w:bCs/>
                <w:sz w:val="20"/>
                <w:szCs w:val="20"/>
              </w:rPr>
              <w:t>88</w:t>
            </w:r>
          </w:p>
        </w:tc>
        <w:tc>
          <w:tcPr>
            <w:tcW w:w="853" w:type="dxa"/>
          </w:tcPr>
          <w:p w14:paraId="483EB04C" w14:textId="68FA7EC5" w:rsidR="00B35791" w:rsidRPr="00283220" w:rsidRDefault="00B35791" w:rsidP="004B34C5">
            <w:pPr>
              <w:spacing w:before="40" w:after="40" w:line="240" w:lineRule="auto"/>
              <w:jc w:val="center"/>
              <w:rPr>
                <w:rFonts w:ascii="Tw Cen MT" w:hAnsi="Tw Cen MT"/>
                <w:b/>
                <w:bCs/>
                <w:sz w:val="20"/>
                <w:szCs w:val="20"/>
              </w:rPr>
            </w:pPr>
            <w:r>
              <w:rPr>
                <w:rFonts w:ascii="Tw Cen MT" w:hAnsi="Tw Cen MT"/>
                <w:b/>
                <w:bCs/>
                <w:sz w:val="20"/>
                <w:szCs w:val="20"/>
              </w:rPr>
              <w:t>85,44</w:t>
            </w:r>
          </w:p>
        </w:tc>
        <w:tc>
          <w:tcPr>
            <w:tcW w:w="513" w:type="dxa"/>
          </w:tcPr>
          <w:p w14:paraId="27FE38EA" w14:textId="5805ABAA" w:rsidR="00B35791" w:rsidRPr="00283220" w:rsidRDefault="00B35791" w:rsidP="004B34C5">
            <w:pPr>
              <w:spacing w:before="40" w:after="40" w:line="240" w:lineRule="auto"/>
              <w:jc w:val="center"/>
              <w:rPr>
                <w:rFonts w:ascii="Tw Cen MT" w:hAnsi="Tw Cen MT"/>
                <w:b/>
                <w:bCs/>
                <w:sz w:val="20"/>
                <w:szCs w:val="20"/>
              </w:rPr>
            </w:pPr>
            <w:r>
              <w:rPr>
                <w:rFonts w:ascii="Tw Cen MT" w:hAnsi="Tw Cen MT"/>
                <w:b/>
                <w:bCs/>
                <w:sz w:val="20"/>
                <w:szCs w:val="20"/>
              </w:rPr>
              <w:t>15</w:t>
            </w:r>
          </w:p>
        </w:tc>
        <w:tc>
          <w:tcPr>
            <w:tcW w:w="761" w:type="dxa"/>
          </w:tcPr>
          <w:p w14:paraId="5EDA32A9" w14:textId="2C6CA26F" w:rsidR="00B35791" w:rsidRPr="00283220" w:rsidRDefault="00B35791" w:rsidP="004B34C5">
            <w:pPr>
              <w:spacing w:before="40" w:after="40" w:line="240" w:lineRule="auto"/>
              <w:jc w:val="center"/>
              <w:rPr>
                <w:rFonts w:ascii="Tw Cen MT" w:hAnsi="Tw Cen MT"/>
                <w:b/>
                <w:bCs/>
                <w:sz w:val="20"/>
                <w:szCs w:val="20"/>
              </w:rPr>
            </w:pPr>
            <w:r>
              <w:rPr>
                <w:rFonts w:ascii="Tw Cen MT" w:hAnsi="Tw Cen MT"/>
                <w:b/>
                <w:bCs/>
                <w:sz w:val="20"/>
                <w:szCs w:val="20"/>
              </w:rPr>
              <w:t>14,56</w:t>
            </w:r>
          </w:p>
        </w:tc>
        <w:tc>
          <w:tcPr>
            <w:tcW w:w="850" w:type="dxa"/>
            <w:vMerge/>
          </w:tcPr>
          <w:p w14:paraId="3121661E" w14:textId="77777777" w:rsidR="00B35791" w:rsidRPr="00283220" w:rsidRDefault="00B35791" w:rsidP="004B34C5">
            <w:pPr>
              <w:spacing w:before="40" w:after="40" w:line="240" w:lineRule="auto"/>
              <w:jc w:val="center"/>
              <w:rPr>
                <w:rFonts w:ascii="Tw Cen MT" w:hAnsi="Tw Cen MT"/>
                <w:b/>
                <w:bCs/>
                <w:sz w:val="20"/>
                <w:szCs w:val="20"/>
              </w:rPr>
            </w:pPr>
          </w:p>
        </w:tc>
        <w:tc>
          <w:tcPr>
            <w:tcW w:w="708" w:type="dxa"/>
            <w:vMerge/>
          </w:tcPr>
          <w:p w14:paraId="6BEB39CF" w14:textId="77777777" w:rsidR="00B35791" w:rsidRPr="00283220" w:rsidRDefault="00B35791" w:rsidP="004B34C5">
            <w:pPr>
              <w:spacing w:before="40" w:after="40" w:line="240" w:lineRule="auto"/>
              <w:jc w:val="center"/>
              <w:rPr>
                <w:rFonts w:ascii="Tw Cen MT" w:hAnsi="Tw Cen MT"/>
                <w:b/>
                <w:bCs/>
                <w:sz w:val="20"/>
                <w:szCs w:val="20"/>
              </w:rPr>
            </w:pPr>
          </w:p>
        </w:tc>
      </w:tr>
    </w:tbl>
    <w:p w14:paraId="38E4FA94" w14:textId="065692CD" w:rsidR="004B34C5" w:rsidRPr="00B35791" w:rsidRDefault="004B34C5" w:rsidP="00B35791">
      <w:pPr>
        <w:spacing w:after="0"/>
        <w:jc w:val="both"/>
        <w:rPr>
          <w:rFonts w:ascii="Tw Cen MT" w:hAnsi="Tw Cen MT"/>
          <w:noProof/>
          <w:sz w:val="24"/>
          <w:szCs w:val="24"/>
          <w:lang w:val="id-ID"/>
        </w:rPr>
      </w:pPr>
      <w:proofErr w:type="gramStart"/>
      <w:r w:rsidRPr="00B35791">
        <w:rPr>
          <w:rFonts w:ascii="Tw Cen MT" w:eastAsia="Twentieth Century" w:hAnsi="Tw Cen MT" w:cs="Twentieth Century"/>
          <w:i/>
          <w:iCs/>
          <w:sz w:val="20"/>
          <w:szCs w:val="20"/>
        </w:rPr>
        <w:t>Source :</w:t>
      </w:r>
      <w:proofErr w:type="gramEnd"/>
      <w:r w:rsidRPr="00B35791">
        <w:rPr>
          <w:rFonts w:ascii="Tw Cen MT" w:eastAsia="Twentieth Century" w:hAnsi="Tw Cen MT" w:cs="Twentieth Century"/>
          <w:i/>
          <w:iCs/>
          <w:sz w:val="20"/>
          <w:szCs w:val="20"/>
        </w:rPr>
        <w:t xml:space="preserve"> </w:t>
      </w:r>
      <w:proofErr w:type="spellStart"/>
      <w:r w:rsidRPr="00B35791">
        <w:rPr>
          <w:rFonts w:ascii="Tw Cen MT" w:eastAsia="Twentieth Century" w:hAnsi="Tw Cen MT" w:cs="Twentieth Century"/>
          <w:i/>
          <w:iCs/>
          <w:sz w:val="20"/>
          <w:szCs w:val="20"/>
        </w:rPr>
        <w:t>primery</w:t>
      </w:r>
      <w:proofErr w:type="spellEnd"/>
      <w:r w:rsidRPr="00B35791">
        <w:rPr>
          <w:rFonts w:ascii="Tw Cen MT" w:eastAsia="Twentieth Century" w:hAnsi="Tw Cen MT" w:cs="Twentieth Century"/>
          <w:i/>
          <w:iCs/>
          <w:sz w:val="20"/>
          <w:szCs w:val="20"/>
        </w:rPr>
        <w:t xml:space="preserve"> data processing</w:t>
      </w:r>
    </w:p>
    <w:p w14:paraId="06310CE2" w14:textId="4379F626" w:rsidR="00017532" w:rsidRDefault="00017532" w:rsidP="00017532">
      <w:pPr>
        <w:pStyle w:val="ListParagraph"/>
        <w:spacing w:after="0"/>
        <w:ind w:left="0" w:firstLine="425"/>
        <w:jc w:val="both"/>
        <w:rPr>
          <w:rFonts w:ascii="Tw Cen MT" w:hAnsi="Tw Cen MT"/>
          <w:noProof/>
          <w:sz w:val="24"/>
          <w:szCs w:val="24"/>
          <w:lang w:val="id-ID"/>
        </w:rPr>
      </w:pPr>
      <w:r w:rsidRPr="00EB4E8C">
        <w:rPr>
          <w:rFonts w:ascii="Tw Cen MT" w:hAnsi="Tw Cen MT"/>
          <w:noProof/>
          <w:sz w:val="24"/>
          <w:szCs w:val="24"/>
          <w:lang w:val="id-ID"/>
        </w:rPr>
        <w:t xml:space="preserve">Uji statistik menghasilkan p-value sebesar 0,001, menunjukkan bahwa hubungan ini sangat signifikan secara statistik pada tingkat signifikansi </w:t>
      </w:r>
      <w:r w:rsidRPr="00EB4E8C">
        <w:rPr>
          <w:rFonts w:cs="Calibri"/>
          <w:noProof/>
          <w:sz w:val="24"/>
          <w:szCs w:val="24"/>
          <w:lang w:val="id-ID"/>
        </w:rPr>
        <w:t>α</w:t>
      </w:r>
      <w:r w:rsidRPr="00EB4E8C">
        <w:rPr>
          <w:rFonts w:ascii="Tw Cen MT" w:hAnsi="Tw Cen MT"/>
          <w:noProof/>
          <w:sz w:val="24"/>
          <w:szCs w:val="24"/>
          <w:lang w:val="id-ID"/>
        </w:rPr>
        <w:t xml:space="preserve"> = 0,05. Nilai p-value sebesar 0,001 menandakan adanya hubungan yang kuat antara pengetahuan ibu hamil dan kemampuannya dalam mendeteksi risiko tinggi selama kehamilan.</w:t>
      </w:r>
      <w:r>
        <w:rPr>
          <w:rFonts w:ascii="Tw Cen MT" w:hAnsi="Tw Cen MT"/>
          <w:noProof/>
          <w:sz w:val="24"/>
          <w:szCs w:val="24"/>
          <w:lang w:val="id-ID"/>
        </w:rPr>
        <w:t xml:space="preserve"> </w:t>
      </w:r>
      <w:r w:rsidRPr="00D32B7E">
        <w:rPr>
          <w:rFonts w:ascii="Tw Cen MT" w:hAnsi="Tw Cen MT"/>
          <w:noProof/>
          <w:sz w:val="24"/>
          <w:szCs w:val="24"/>
          <w:lang w:val="id-ID"/>
        </w:rPr>
        <w:t>Artinya, semakin tinggi pengetahuan ibu hamil tentang kehamilan dan tanda-tanda risiko, semakin besar kemungkinan mereka untuk melakukan deteksi dini terhadap potensi komplikasi.</w:t>
      </w:r>
    </w:p>
    <w:p w14:paraId="22C7EE8E" w14:textId="77777777" w:rsidR="00017532" w:rsidRPr="00F4585D" w:rsidRDefault="00017532" w:rsidP="00017532">
      <w:pPr>
        <w:pStyle w:val="ListParagraph"/>
        <w:spacing w:after="0"/>
        <w:ind w:left="0" w:firstLine="425"/>
        <w:jc w:val="both"/>
        <w:rPr>
          <w:rFonts w:ascii="Tw Cen MT" w:hAnsi="Tw Cen MT"/>
          <w:noProof/>
          <w:sz w:val="24"/>
          <w:szCs w:val="24"/>
          <w:lang w:val="id-ID"/>
        </w:rPr>
      </w:pPr>
      <w:r w:rsidRPr="00F4585D">
        <w:rPr>
          <w:rFonts w:ascii="Tw Cen MT" w:hAnsi="Tw Cen MT"/>
          <w:noProof/>
          <w:sz w:val="24"/>
          <w:szCs w:val="24"/>
          <w:lang w:val="id-ID"/>
        </w:rPr>
        <w:t xml:space="preserve">Interpretasi nilai OR ini mengindikasikan bahwa ibu hamil </w:t>
      </w:r>
      <w:r w:rsidRPr="00EB4E8C">
        <w:rPr>
          <w:rFonts w:ascii="Tw Cen MT" w:hAnsi="Tw Cen MT"/>
          <w:noProof/>
          <w:sz w:val="24"/>
          <w:szCs w:val="24"/>
          <w:lang w:val="id-ID"/>
        </w:rPr>
        <w:t>dengan tingkat pengetahuan yang lebih tinggi memiliki peluang 1,54 kali lebih besar untuk melakukan deteksi dini risiko tinggi kehamilan dibandingkan dengan ibu hamil yang memiliki pengetahuan lebih rendah.</w:t>
      </w:r>
      <w:r>
        <w:rPr>
          <w:rFonts w:ascii="Tw Cen MT" w:hAnsi="Tw Cen MT"/>
          <w:noProof/>
          <w:sz w:val="24"/>
          <w:szCs w:val="24"/>
          <w:lang w:val="id-ID"/>
        </w:rPr>
        <w:t xml:space="preserve"> </w:t>
      </w:r>
      <w:r w:rsidRPr="00F4585D">
        <w:rPr>
          <w:rFonts w:ascii="Tw Cen MT" w:hAnsi="Tw Cen MT"/>
          <w:noProof/>
          <w:sz w:val="24"/>
          <w:szCs w:val="24"/>
          <w:lang w:val="id-ID"/>
        </w:rPr>
        <w:t>Namun, karena interval kepercayaan mencakup nilai 1 dan memiliki rentang yang cukup lebar, hasil ini menunjukkan bahwa hubungan tersebut tidak cukup kuat atau konsisten, dan mungkin dipengaruhi oleh variabilitas data atau ukuran sampel yang terbatas.</w:t>
      </w:r>
    </w:p>
    <w:p w14:paraId="6B1776C1" w14:textId="77777777" w:rsidR="00017532" w:rsidRPr="00D32B7E" w:rsidRDefault="00017532" w:rsidP="00017532">
      <w:pPr>
        <w:pStyle w:val="ListParagraph"/>
        <w:spacing w:after="0"/>
        <w:ind w:left="0" w:firstLine="425"/>
        <w:jc w:val="both"/>
        <w:rPr>
          <w:rFonts w:ascii="Tw Cen MT" w:hAnsi="Tw Cen MT"/>
          <w:noProof/>
          <w:sz w:val="24"/>
          <w:szCs w:val="24"/>
          <w:lang w:val="id-ID"/>
        </w:rPr>
      </w:pPr>
      <w:r w:rsidRPr="00F4585D">
        <w:rPr>
          <w:rFonts w:ascii="Tw Cen MT" w:hAnsi="Tw Cen MT"/>
          <w:noProof/>
          <w:sz w:val="24"/>
          <w:szCs w:val="24"/>
          <w:lang w:val="id-ID"/>
        </w:rPr>
        <w:lastRenderedPageBreak/>
        <w:t>Meskipun demikian, temuan ini tetap menyoroti pentingnya pengetahuan ibu hamil dalam meningkatkan kesadaran dan tindakan pencegahan terhadap risiko kehamilan, sehingga intervensi edukasi kesehatan tetap relevan dan perlu diperkuat.</w:t>
      </w:r>
    </w:p>
    <w:p w14:paraId="7E33BAA7" w14:textId="4902730A" w:rsidR="00017532" w:rsidRPr="00D32B7E" w:rsidRDefault="00017532" w:rsidP="00017532">
      <w:pPr>
        <w:pStyle w:val="ListParagraph"/>
        <w:spacing w:after="0"/>
        <w:ind w:left="0" w:firstLine="425"/>
        <w:jc w:val="both"/>
        <w:rPr>
          <w:rFonts w:ascii="Tw Cen MT" w:hAnsi="Tw Cen MT"/>
          <w:noProof/>
          <w:sz w:val="24"/>
          <w:szCs w:val="24"/>
          <w:lang w:val="id-ID"/>
        </w:rPr>
      </w:pPr>
      <w:r w:rsidRPr="00D32B7E">
        <w:rPr>
          <w:rFonts w:ascii="Tw Cen MT" w:hAnsi="Tw Cen MT"/>
          <w:noProof/>
          <w:sz w:val="24"/>
          <w:szCs w:val="24"/>
          <w:lang w:val="id-ID"/>
        </w:rPr>
        <w:t xml:space="preserve">Pengetahuan ibu hamil mencakup pemahaman tentang tanda-tanda awal komplikasi kehamilan, pentingnya pemeriksaan antenatal secara rutin, serta faktor risiko yang mungkin dihadapi selama kehamilan. </w:t>
      </w:r>
      <w:r w:rsidRPr="00EB4E8C">
        <w:rPr>
          <w:rFonts w:ascii="Tw Cen MT" w:hAnsi="Tw Cen MT"/>
          <w:noProof/>
          <w:sz w:val="24"/>
          <w:szCs w:val="24"/>
          <w:lang w:val="id-ID"/>
        </w:rPr>
        <w:t xml:space="preserve">Ibu hamil dengan pengetahuan yang lebih baik cenderung lebih menyadari pentingnya pemeriksaan antenatal dan lebih aktif </w:t>
      </w:r>
      <w:r w:rsidRPr="00D32B7E">
        <w:rPr>
          <w:rFonts w:ascii="Tw Cen MT" w:hAnsi="Tw Cen MT"/>
          <w:noProof/>
          <w:sz w:val="24"/>
          <w:szCs w:val="24"/>
          <w:lang w:val="id-ID"/>
        </w:rPr>
        <w:t>dalam mengenali tanda-tanda bahaya, seperti tekanan darah tinggi, pendarahan, atau gerakan janin yang tidak normal</w:t>
      </w:r>
      <w:r>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{"citationItems":[{"id":"ITEM-1","itemData":{"DOI":"10.55047/comorbid.v1i4.591","abstract":"Pregnancy is a physiological condition that can become pathological if there are complications that affect the health of both the mother and the baby. Pregnant women need to be aware of potential high-risk pregnancy factors and understand the importance of early detection. Health education is an essential tool for improving pregnant women's knowledge in this area. The aim of this study is to explore the impact of health education on pregnant women's knowledge about high-risk pregnancy. To achieve this, we conducted a review of existing research sources obtained from Google and Google Scholar. The sources were taken within the last five years, from 2018 to 2022. A total of 13 articles were identified, consisting of national and international journals that focused on pregnant women who received interventions in the form of health education about high-risk pregnancy. The findings suggest that health education has a positive impact on pregnant women's knowledge and can help reduce the risks associated with high-risk pregnancies.","author":[{"dropping-particle":"","family":"Handayani","given":"Evika Putri","non-dropping-particle":"","parse-names":false,"suffix":""},{"dropping-particle":"","family":"Jannah","given":"Muliatul","non-dropping-particle":"","parse-names":false,"suffix":""},{"dropping-particle":"","family":"Rahmawati","given":"Alfiah","non-dropping-particle":"","parse-names":false,"suffix":""}],"container-title":"Pharmacology Medical Reports Orthopedic and Illness Details (Comorbid)","id":"ITEM-1","issue":"4","issued":{"date-parts":[["2023"]]},"page":"14-21","title":"Efforts To Increase Pregnant Women'S Knowledge About High-Risk Pregnancy With Health Education","type":"article-journal","volume":"1"},"uris":["http://www.mendeley.com/documents/?uuid=9393fb90-23f9-4185-a88c-e9fe324f5934"]}],"mendeley":{"formattedCitation":"[7]","plainTextFormattedCitation":"[7]","previouslyFormattedCitation":"[8]"},"properties":{"noteIndex":0},"schema":"https://github.com/citation-style-language/schema/raw/master/csl-citation.json"}</w:instrText>
      </w:r>
      <w:r>
        <w:rPr>
          <w:rFonts w:ascii="Tw Cen MT" w:hAnsi="Tw Cen MT"/>
          <w:noProof/>
          <w:sz w:val="24"/>
          <w:szCs w:val="24"/>
          <w:lang w:val="id-ID"/>
        </w:rPr>
        <w:fldChar w:fldCharType="separate"/>
      </w:r>
      <w:r w:rsidRPr="00017532">
        <w:rPr>
          <w:rFonts w:ascii="Tw Cen MT" w:hAnsi="Tw Cen MT"/>
          <w:noProof/>
          <w:sz w:val="24"/>
          <w:szCs w:val="24"/>
          <w:lang w:val="id-ID"/>
        </w:rPr>
        <w:t>[7]</w:t>
      </w:r>
      <w:r>
        <w:rPr>
          <w:rFonts w:ascii="Tw Cen MT" w:hAnsi="Tw Cen MT"/>
          <w:noProof/>
          <w:sz w:val="24"/>
          <w:szCs w:val="24"/>
          <w:lang w:val="id-ID"/>
        </w:rPr>
        <w:fldChar w:fldCharType="end"/>
      </w:r>
      <w:r w:rsidRPr="00D32B7E">
        <w:rPr>
          <w:rFonts w:ascii="Tw Cen MT" w:hAnsi="Tw Cen MT"/>
          <w:noProof/>
          <w:sz w:val="24"/>
          <w:szCs w:val="24"/>
          <w:lang w:val="id-ID"/>
        </w:rPr>
        <w:t xml:space="preserve">. Deteksi dini risiko kehamilan sangat penting untuk mencegah komplikasi yang lebih serius, baik bagi ibu maupun janin. Pengetahuan yang baik memungkinkan ibu untuk mengambil tindakan pencegahan lebih awal, seperti segera berkonsultasi dengan tenaga kesehatan atau menjalani pemeriksaan tambahan. Hasil ini menunjukkan bahwa intervensi yang bertujuan untuk meningkatkan pengetahuan ibu hamil, seperti edukasi kesehatan melalui kelas kehamilan atau konseling individual, dapat meningkatkan kemampuan ibu dalam melakukan deteksi dini dan, pada akhirnya, menurunkan angka komplikasi kehamilan </w:t>
      </w:r>
      <w:r w:rsidRPr="00D32B7E">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{"citationItems":[{"id":"ITEM-1","itemData":{"author":[{"dropping-particle":"","family":"Nainggolan","given":"Dimpu Rismawaty","non-dropping-particle":"","parse-names":false,"suffix":""},{"dropping-particle":"","family":"Ujung","given":"Riance Mardiana","non-dropping-particle":"","parse-names":false,"suffix":""}],"container-title":"Jurnal Mitra Prima (JMP)","id":"ITEM-1","issue":"2","issued":{"date-parts":[["2022"]]},"title":"Peningkatan Pengetahuan dan Deteksi Dini Tanda Bahaya Kehamilan di Wilayah Kerja Puskesmas Sipahutar Kabupaten Tapanuli Utara Tahun 2022","type":"article-journal","volume":"4"},"uris":["http://www.mendeley.com/documents/?uuid=2fc1e9e9-ac4d-4da5-98bb-4e0249b2536b"]}],"mendeley":{"formattedCitation":"[8]","plainTextFormattedCitation":"[8]","previouslyFormattedCitation":"[9]"},"properties":{"noteIndex":0},"schema":"https://github.com/citation-style-language/schema/raw/master/csl-citation.json"}</w:instrText>
      </w:r>
      <w:r w:rsidRPr="00D32B7E">
        <w:rPr>
          <w:rFonts w:ascii="Tw Cen MT" w:hAnsi="Tw Cen MT"/>
          <w:noProof/>
          <w:sz w:val="24"/>
          <w:szCs w:val="24"/>
          <w:lang w:val="id-ID"/>
        </w:rPr>
        <w:fldChar w:fldCharType="separate"/>
      </w:r>
      <w:r w:rsidRPr="00017532">
        <w:rPr>
          <w:rFonts w:ascii="Tw Cen MT" w:hAnsi="Tw Cen MT"/>
          <w:noProof/>
          <w:sz w:val="24"/>
          <w:szCs w:val="24"/>
          <w:lang w:val="id-ID"/>
        </w:rPr>
        <w:t>[8]</w:t>
      </w:r>
      <w:r w:rsidRPr="00D32B7E">
        <w:rPr>
          <w:rFonts w:ascii="Tw Cen MT" w:hAnsi="Tw Cen MT"/>
          <w:noProof/>
          <w:sz w:val="24"/>
          <w:szCs w:val="24"/>
          <w:lang w:val="id-ID"/>
        </w:rPr>
        <w:fldChar w:fldCharType="end"/>
      </w:r>
      <w:r w:rsidRPr="00D32B7E">
        <w:rPr>
          <w:rFonts w:ascii="Tw Cen MT" w:hAnsi="Tw Cen MT"/>
          <w:noProof/>
          <w:sz w:val="24"/>
          <w:szCs w:val="24"/>
          <w:lang w:val="id-ID"/>
        </w:rPr>
        <w:t>.</w:t>
      </w:r>
    </w:p>
    <w:p w14:paraId="218C9247" w14:textId="4D2113AF" w:rsidR="00017532" w:rsidRPr="00D32B7E" w:rsidRDefault="00017532" w:rsidP="00017532">
      <w:pPr>
        <w:pStyle w:val="ListParagraph"/>
        <w:spacing w:after="0"/>
        <w:ind w:left="0" w:firstLine="425"/>
        <w:jc w:val="both"/>
        <w:rPr>
          <w:rFonts w:ascii="Tw Cen MT" w:hAnsi="Tw Cen MT"/>
          <w:noProof/>
          <w:sz w:val="24"/>
          <w:szCs w:val="24"/>
          <w:lang w:val="id-ID"/>
        </w:rPr>
      </w:pPr>
      <w:r w:rsidRPr="00D32B7E">
        <w:rPr>
          <w:rFonts w:ascii="Tw Cen MT" w:hAnsi="Tw Cen MT"/>
          <w:noProof/>
          <w:sz w:val="24"/>
          <w:szCs w:val="24"/>
          <w:lang w:val="id-ID"/>
        </w:rPr>
        <w:t xml:space="preserve">Temuan ini menekankan pentingnya program edukasi bagi ibu hamil yang dapat dilakukan di Puskesmas, klinik, atau melalui media lainnya. Program-program ini perlu dirancang sedemikian rupa agar dapat diakses oleh ibu hamil dari berbagai latar belakang sosial-ekonomi dan pendidikan. Materi edukasi yang mencakup informasi </w:t>
      </w:r>
      <w:r w:rsidRPr="00D32B7E">
        <w:rPr>
          <w:rFonts w:ascii="Tw Cen MT" w:hAnsi="Tw Cen MT"/>
          <w:noProof/>
          <w:sz w:val="24"/>
          <w:szCs w:val="24"/>
          <w:lang w:val="id-ID"/>
        </w:rPr>
        <w:t>tentang tanda-tanda risiko tinggi kehamilan, pentingnya kunjungan antenatal, dan langkah-langkah pencegahan dapat memperkuat pengetahuan ibu hamil dan meningkatkan deteksi dini</w:t>
      </w:r>
      <w:r w:rsidRPr="00D32B7E">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{"citationItems":[{"id":"ITEM-1","itemData":{"DOI":"10.7759/cureus.39285","ISSN":"2168-8184","PMID":"37223341","abstract":"INTRODUCTION Antenatal (prenatal) education is a vital role of midwives when giving antenatal care to pregnant women. Particularly in the late stages of pregnancy, antenatal education regarding the natural-labor process, the introduction of labor rooms, coping strategies, and labor-pain management may enhance maternal self-efficacy and perceptions of childbirth. However, educational programs that include birth plans, pain-relief measures, and birth preparation are not a structured part of the Saudi healthcare system. This is the first study to investigate the effect of antenatal education on maternal self-efficacy in Saudi Arabia. The aim of this study was to investigate the effect of an antenatal education program on maternal self-efficacy in primiparous pregnant women and to determine the relationship between maternal self-efficacy and their sociodemographic characteristics in Jeddah, Saudi Arabia. METHODS A randomized control trial (pretest/posttest) design was conducted with 94 primiparous pregnant women. Two groups were compared: an intervention group, which received a structured antenatal educational program (n = 46), and a control group, which received routine antenatal care (n = 48). The childbirth self-efficacy inventory (CBSEI) was used to assess maternal self-efficacy. The data were analyzed using IBM SPSS Statistics for Windows, Version 24 (Released 2016; IBM Corp., Armonk, New York, United States). RESULTS The mean score on the CBSEI pretest was 238.5 ± 237.4 compared to 242.9 ± 276.2 in the posttest mean score, with significant differences (p &lt; .05) in maternal self-efficacy between the pretest and posttest scores for both groups. CONCLUSION The findings of this study suggest that an antenatal educational program could serve as an essential tool, providing access to high-quality information and skills during the antenatal period and significantly enhancing maternal self-efficacy. It is crucial to invest resources to empower and equip pregnant women in ways that promote positive perceptions and boost their confidence regarding childbirth.","author":[{"dropping-particle":"","family":"Somali","given":"Zohour","non-dropping-particle":"Al","parse-names":false,"suffix":""},{"dropping-particle":"","family":"Bajamal","given":"Eman","non-dropping-particle":"","parse-names":false,"suffix":""},{"dropping-particle":"","family":"Esheaba","given":"Ola","non-dropping-particle":"","parse-names":false,"suffix":""}],"container-title":"Cureus Journal","id":"ITEM-1","issue":"5","issued":{"date-parts":[["2023"]]},"title":"The Effect of Structured The Effect of Structured Antenatal Education on Childbirth Self-Efficacy","type":"article-journal","volume":"15"},"uris":["http://www.mendeley.com/documents/?uuid=002441de-28f2-48ed-b2d8-24dfcf55ece1"]},{"id":"ITEM-2","itemData":{"author":[{"dropping-particle":"De","family":"Araujo","given":"Eugenia Carvalho","non-dropping-particle":"","parse-names":false,"suffix":""},{"dropping-particle":"","family":"Pereira","given":"Natalia","non-dropping-particle":"","parse-names":false,"suffix":""},{"dropping-particle":"","family":"Tilman","given":"Etelvina Jose S","non-dropping-particle":"","parse-names":false,"suffix":""},{"dropping-particle":"Da","family":"C","given":"Ana Claudia","non-dropping-particle":"","parse-names":false,"suffix":""},{"dropping-particle":"","family":"Corte","given":"Artur N","non-dropping-particle":"","parse-names":false,"suffix":""},{"dropping-particle":"","family":"Araujo","given":"Real","non-dropping-particle":"","parse-names":false,"suffix":""}],"container-title":"Journal of International Multidiscriplinary Research","id":"ITEM-2","issue":"5","issued":{"date-parts":[["2024"]]},"page":"450-462","title":"Effect of Reproductive Health Education on Pregnant Women ' s Knowledge about Normal Delivery","type":"article-journal","volume":"2"},"uris":["http://www.mendeley.com/documents/?uuid=af07171d-a1bf-4a63-b7cc-9bd7f99e1474"]}],"mendeley":{"formattedCitation":"[9], [10]","plainTextFormattedCitation":"[9], [10]","previouslyFormattedCitation":"[10], [11]"},"properties":{"noteIndex":0},"schema":"https://github.com/citation-style-language/schema/raw/master/csl-citation.json"}</w:instrText>
      </w:r>
      <w:r w:rsidRPr="00D32B7E">
        <w:rPr>
          <w:rFonts w:ascii="Tw Cen MT" w:hAnsi="Tw Cen MT"/>
          <w:noProof/>
          <w:sz w:val="24"/>
          <w:szCs w:val="24"/>
          <w:lang w:val="id-ID"/>
        </w:rPr>
        <w:fldChar w:fldCharType="separate"/>
      </w:r>
      <w:r w:rsidRPr="00017532">
        <w:rPr>
          <w:rFonts w:ascii="Tw Cen MT" w:hAnsi="Tw Cen MT"/>
          <w:noProof/>
          <w:sz w:val="24"/>
          <w:szCs w:val="24"/>
          <w:lang w:val="id-ID"/>
        </w:rPr>
        <w:t>[9], [10]</w:t>
      </w:r>
      <w:r w:rsidRPr="00D32B7E">
        <w:rPr>
          <w:rFonts w:ascii="Tw Cen MT" w:hAnsi="Tw Cen MT"/>
          <w:noProof/>
          <w:sz w:val="24"/>
          <w:szCs w:val="24"/>
          <w:lang w:val="id-ID"/>
        </w:rPr>
        <w:fldChar w:fldCharType="end"/>
      </w:r>
      <w:r w:rsidRPr="00D32B7E">
        <w:rPr>
          <w:rFonts w:ascii="Tw Cen MT" w:hAnsi="Tw Cen MT"/>
          <w:noProof/>
          <w:sz w:val="24"/>
          <w:szCs w:val="24"/>
          <w:lang w:val="id-ID"/>
        </w:rPr>
        <w:t>.</w:t>
      </w:r>
    </w:p>
    <w:p w14:paraId="28D48024" w14:textId="24042E0A" w:rsidR="00017532" w:rsidRPr="00D32B7E" w:rsidRDefault="00017532" w:rsidP="00017532">
      <w:pPr>
        <w:pStyle w:val="ListParagraph"/>
        <w:spacing w:after="0"/>
        <w:ind w:left="0" w:firstLine="425"/>
        <w:jc w:val="both"/>
        <w:rPr>
          <w:rFonts w:ascii="Tw Cen MT" w:hAnsi="Tw Cen MT"/>
          <w:noProof/>
          <w:sz w:val="24"/>
          <w:szCs w:val="24"/>
          <w:lang w:val="id-ID"/>
        </w:rPr>
      </w:pPr>
      <w:r w:rsidRPr="00D32B7E">
        <w:rPr>
          <w:rFonts w:ascii="Tw Cen MT" w:hAnsi="Tw Cen MT"/>
          <w:noProof/>
          <w:sz w:val="24"/>
          <w:szCs w:val="24"/>
          <w:lang w:val="id-ID"/>
        </w:rPr>
        <w:t xml:space="preserve">Namun, perlu diperhatikan bahwa peningkatan pengetahuan saja tidak selalu cukup. Faktor-faktor lain, seperti akses ke layanan kesehatan, dukungan keluarga, dan faktor budaya, juga memainkan peran penting dalam keberhasilan deteksi dini. Oleh karena itu, intervensi yang komprehensif diperlukan untuk mengatasi berbagai hambatan yang mungkin menghalangi ibu hamil dalam melakukan deteksi dini, meskipun mereka memiliki pengetahuan yang cukup </w:t>
      </w:r>
      <w:r w:rsidRPr="00D32B7E">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{"citationItems":[{"id":"ITEM-1","itemData":{"DOI":"10.1038/s41598-023-32056-y","ISBN":"0123456789","ISSN":"20452322","PMID":"37024531","abstract":"Early Infant Diagnosis of HIV infection services are crucial for managing the perinatally acquired HIV infection. Assessing the performance of the EID services and its underlying determinants is important for the National AIDS Control Program, India. The objectives of this study were to find out access to HIV testing, the timeliness of the testing cascade, and the proportion of HIV exposed infants who are followed up to 18 months for a definitive diagnosis of HIV. The study design was a mixed method. A total of 11 states accounting for 80% of HIV-positive pregnant women were selected. Program records from a total of 62 Integrated counselling and testing centres (ICTCs) served as the source of information. The qualitative component included interviews of program managers at the state and district level, service providers at the ICTC level, and caregivers of HIV exposed infants. In the sampled 62 ICTCs, 78% of the HIV exposed infants had at least one HIV test. Of the infants who had HIV tests, 50% had at first sample collected by 8 weeks of age. The median turnaround time from sample collection to DNA PCR testing was 36 (IQR 19–70) days and that to next sample collection in case of detection of virus in the first sample was 66 (IQR 55–116) days. At 18 months of age, 544 (62%) HIV exposed infants were retained in the EID testing cascade. A total of 30 infants were diagnosed with HIV at a median age of 421 (IQR 149–650) days. More than three fourth of the HIV exposed infants had access to early infant diagnosis (EID) services. Both demand and supply-side factors contribute to access, timeliness and retention and there is a need to address these factors.","author":[{"dropping-particle":"","family":"Kamble","given":"Suchit","non-dropping-particle":"","parse-names":false,"suffix":""},{"dropping-particle":"","family":"Gawde","given":"Nilesh","non-dropping-particle":"","parse-names":false,"suffix":""},{"dropping-particle":"","family":"Goel","given":"Noopur","non-dropping-particle":"","parse-names":false,"suffix":""},{"dropping-particle":"","family":"Thorwat","given":"Mohan","non-dropping-particle":"","parse-names":false,"suffix":""},{"dropping-particle":"","family":"Nikhare","given":"Kalyani","non-dropping-particle":"","parse-names":false,"suffix":""},{"dropping-particle":"","family":"Bembalkar","given":"Shilpa","non-dropping-particle":"","parse-names":false,"suffix":""},{"dropping-particle":"","family":"Kamble","given":"Sushmita","non-dropping-particle":"","parse-names":false,"suffix":""},{"dropping-particle":"","family":"Brahme","given":"Radhika","non-dropping-particle":"","parse-names":false,"suffix":""},{"dropping-particle":"","family":"Pawar","given":"Swapna","non-dropping-particle":"","parse-names":false,"suffix":""},{"dropping-particle":"","family":"Sahoo","given":"Rakesh","non-dropping-particle":"","parse-names":false,"suffix":""},{"dropping-particle":"","family":"Rana","given":"Manish","non-dropping-particle":"","parse-names":false,"suffix":""},{"dropping-particle":"","family":"Singh","given":"Manishkumar","non-dropping-particle":"","parse-names":false,"suffix":""},{"dropping-particle":"","family":"Mohiuddin","given":"Syed Ahmed","non-dropping-particle":"","parse-names":false,"suffix":""},{"dropping-particle":"","family":"Hatnoor","given":"Shivappa","non-dropping-particle":"","parse-names":false,"suffix":""},{"dropping-particle":"","family":"Narapureddy","given":"Bayapa Reddy","non-dropping-particle":"","parse-names":false,"suffix":""},{"dropping-particle":"","family":"Saleem","given":"M.","non-dropping-particle":"","parse-names":false,"suffix":""},{"dropping-particle":"","family":"Shekhawat","given":"Kirti","non-dropping-particle":"","parse-names":false,"suffix":""},{"dropping-particle":"","family":"Verma","given":"Vinita","non-dropping-particle":"","parse-names":false,"suffix":""},{"dropping-particle":"","family":"Kapoor","given":"Neha","non-dropping-particle":"","parse-names":false,"suffix":""},{"dropping-particle":"","family":"Das","given":"Chinmoyee","non-dropping-particle":"","parse-names":false,"suffix":""},{"dropping-particle":"","family":"Gangakhedkar","given":"Raman","non-dropping-particle":"","parse-names":false,"suffix":""}],"container-title":"Scientific Reports","id":"ITEM-1","issue":"1","issued":{"date-parts":[["2023"]]},"page":"1-11","publisher":"Nature Publishing Group UK","title":"Access, timeliness and retention for HIV testing under early infant diagnosis (EID) program, India","type":"article-journal","volume":"13"},"uris":["http://www.mendeley.com/documents/?uuid=4cb154cb-e3cf-4cb3-86d5-245f3ae3c41c"]},{"id":"ITEM-2","itemData":{"DOI":"10.18203/2394-6040.ijcmph20231772","ISSN":"2394-6032","abstract":"Even in the advanced era of today, maternal morbidity and mortality are quite high; however, most pregnancy-related complications can be successfully prevented by early diagnosis and timely management. The primary care setting is of utmost importance in this regard, as it is the first line of contact between patients and physicians, and regular antenatal care services are provided by most of primary care settings. Ectopic pregnancy is one of the most prevalent pregnancy disorders and is further associated with high-risk complications and mortality. The clinical manifestations may mimic non-ectopic pregnancy conditions, making it difficult to develop diagnostic standards. However, ultrasonography and human chorionic gonadotropin (</w:instrText>
      </w:r>
      <w:r>
        <w:rPr>
          <w:rFonts w:cs="Calibri"/>
          <w:noProof/>
          <w:sz w:val="24"/>
          <w:szCs w:val="24"/>
          <w:lang w:val="id-ID"/>
        </w:rPr>
        <w:instrText>β</w:instrText>
      </w:r>
      <w:r>
        <w:rPr>
          <w:rFonts w:ascii="Tw Cen MT" w:hAnsi="Tw Cen MT"/>
          <w:noProof/>
          <w:sz w:val="24"/>
          <w:szCs w:val="24"/>
          <w:lang w:val="id-ID"/>
        </w:rPr>
        <w:instrText xml:space="preserve">-hCG) levels can ensure early diagnosis. Conservative treatment is pursued since surgical management is linked to multiple significant side effects. In most situations, pharmacotherapy using methotrexate in a single- or multi-dose regimen is the preferred course of treatment. Performing ultrasonography as soon as a pregnancy is confirmed to determine the location of the pregnancy, monitoring </w:instrText>
      </w:r>
      <w:r>
        <w:rPr>
          <w:rFonts w:cs="Calibri"/>
          <w:noProof/>
          <w:sz w:val="24"/>
          <w:szCs w:val="24"/>
          <w:lang w:val="id-ID"/>
        </w:rPr>
        <w:instrText>β</w:instrText>
      </w:r>
      <w:r>
        <w:rPr>
          <w:rFonts w:ascii="Tw Cen MT" w:hAnsi="Tw Cen MT"/>
          <w:noProof/>
          <w:sz w:val="24"/>
          <w:szCs w:val="24"/>
          <w:lang w:val="id-ID"/>
        </w:rPr>
        <w:instrText>-hCG levels, and ensuring prompt referral in the event of a possible ectopic pregnancy that cannot be treated conservatively are all important ways that primary care settings can play a significant role in early diagnosis and prompt management. Additionally, obstetric ultrasonography training for family physicians can help in the early detection of ectopic pregnancy, which can lead to favourable results. The purpose of this research is to review the available information about strategies to improve the diagnosis and management of ectopic pregnancy in primary care.  ","author":[{"dropping-particle":"","family":"Alharbi","given":"Shada Murshed","non-dropping-particle":"","parse-names":false,"suffix":""},{"dropping-particle":"","family":"Mazi","given":"Orjuwan Abdulbari","non-dropping-particle":"","parse-names":false,"suffix":""},{"dropping-particle":"","family":"Aljassar","given":"Marah Rashed","non-dropping-particle":"","parse-names":false,"suffix":""},{"dropping-particle":"","family":"Al-Omani","given":"Danah Jazaa","non-dropping-particle":"","parse-names":false,"suffix":""},{"dropping-particle":"","family":"Alharbi","given":"Lama Yousef","non-dropping-particle":"","parse-names":false,"suffix":""},{"dropping-particle":"","family":"Rasheed","given":"Yasmen Tawfeeq","non-dropping-particle":"","parse-names":false,"suffix":""},{"dropping-particle":"","family":"Alhagbani","given":"Mona Abdulrahman","non-dropping-particle":"","parse-names":false,"suffix":""},{"dropping-particle":"","family":"Alyami","given":"Maram Mohammed","non-dropping-particle":"","parse-names":false,"suffix":""},{"dropping-particle":"","family":"Gadeer","given":"Rana Hassan","non-dropping-particle":"","parse-names":false,"suffix":""},{"dropping-particle":"","family":"Alsenan","given":"Yasmeen Zaki","non-dropping-particle":"","parse-names":false,"suffix":""},{"dropping-particle":"","family":"Ibrahim","given":"Nuha Eltigani","non-dropping-particle":"","parse-names":false,"suffix":""}],"container-title":"International Journal Of Community Medicine And Public Health","id":"ITEM-2","issue":"7","issued":{"date-parts":[["2023"]]},"page":"2599-2603","title":"Strategies to improve the early detection and management of ectopic pregnancies in primary care","type":"article-journal","volume":"10"},"uris":["http://www.mendeley.com/documents/?uuid=3b591fe9-1aca-4877-9e52-548cb7a77497"]}],"mendeley":{"formattedCitation":"[11], [12]","plainTextFormattedCitation":"[11], [12]","previouslyFormattedCitation":"[12], [13]"},"properties":{"noteIndex":0},"schema":"https://github.com/citation-style-language/schema/raw/master/csl-citation.json"}</w:instrText>
      </w:r>
      <w:r w:rsidRPr="00D32B7E">
        <w:rPr>
          <w:rFonts w:ascii="Tw Cen MT" w:hAnsi="Tw Cen MT"/>
          <w:noProof/>
          <w:sz w:val="24"/>
          <w:szCs w:val="24"/>
          <w:lang w:val="id-ID"/>
        </w:rPr>
        <w:fldChar w:fldCharType="separate"/>
      </w:r>
      <w:r w:rsidRPr="00017532">
        <w:rPr>
          <w:rFonts w:ascii="Tw Cen MT" w:hAnsi="Tw Cen MT"/>
          <w:noProof/>
          <w:sz w:val="24"/>
          <w:szCs w:val="24"/>
          <w:lang w:val="id-ID"/>
        </w:rPr>
        <w:t>[11], [12]</w:t>
      </w:r>
      <w:r w:rsidRPr="00D32B7E">
        <w:rPr>
          <w:rFonts w:ascii="Tw Cen MT" w:hAnsi="Tw Cen MT"/>
          <w:noProof/>
          <w:sz w:val="24"/>
          <w:szCs w:val="24"/>
          <w:lang w:val="id-ID"/>
        </w:rPr>
        <w:fldChar w:fldCharType="end"/>
      </w:r>
      <w:r w:rsidRPr="00D32B7E">
        <w:rPr>
          <w:rFonts w:ascii="Tw Cen MT" w:hAnsi="Tw Cen MT"/>
          <w:noProof/>
          <w:sz w:val="24"/>
          <w:szCs w:val="24"/>
          <w:lang w:val="id-ID"/>
        </w:rPr>
        <w:t>.</w:t>
      </w:r>
    </w:p>
    <w:p w14:paraId="7B44B074" w14:textId="77777777" w:rsidR="00017532" w:rsidRPr="00D32B7E" w:rsidRDefault="00017532" w:rsidP="00017532">
      <w:pPr>
        <w:pStyle w:val="ListParagraph"/>
        <w:spacing w:after="0"/>
        <w:ind w:left="0" w:firstLine="425"/>
        <w:jc w:val="both"/>
        <w:rPr>
          <w:rFonts w:ascii="Tw Cen MT" w:hAnsi="Tw Cen MT"/>
          <w:noProof/>
          <w:sz w:val="24"/>
          <w:szCs w:val="24"/>
          <w:lang w:val="id-ID"/>
        </w:rPr>
      </w:pPr>
      <w:r w:rsidRPr="00D32B7E">
        <w:rPr>
          <w:rFonts w:ascii="Tw Cen MT" w:hAnsi="Tw Cen MT"/>
          <w:noProof/>
          <w:sz w:val="24"/>
          <w:szCs w:val="24"/>
          <w:lang w:val="id-ID"/>
        </w:rPr>
        <w:t>Hasil penelitian ini mengonfirmasi bahwa pengetahuan ibu hamil memiliki hubungan yang signifikan dengan deteksi dini risiko tinggi kehamilan. Dengan p-value sebesar 0,001, dapat disimpulkan bahwa peningkatan pengetahuan ibu hamil melalui edukasi dan penyuluhan merupakan langkah strategis untuk meningkatkan deteksi dini dan mencegah komplikasi kehamilan. Intervensi yang dirancang untuk meningkatkan pengetahuan ibu hamil harus menjadi prioritas dalam program kesehatan ibu dan anak di berbagai layanan kesehatan.</w:t>
      </w:r>
    </w:p>
    <w:p w14:paraId="15324801" w14:textId="77777777" w:rsidR="00017532" w:rsidRPr="00D32B7E" w:rsidRDefault="00017532" w:rsidP="00017532">
      <w:pPr>
        <w:spacing w:after="0" w:line="240" w:lineRule="auto"/>
        <w:jc w:val="both"/>
        <w:rPr>
          <w:rFonts w:ascii="Tw Cen MT" w:hAnsi="Tw Cen MT"/>
          <w:sz w:val="24"/>
          <w:szCs w:val="24"/>
        </w:rPr>
      </w:pPr>
    </w:p>
    <w:p w14:paraId="34C1786C" w14:textId="1FB72B1E" w:rsidR="00911160" w:rsidRPr="00911160" w:rsidRDefault="00017532" w:rsidP="00911160">
      <w:pPr>
        <w:pStyle w:val="ListParagraph"/>
        <w:numPr>
          <w:ilvl w:val="0"/>
          <w:numId w:val="5"/>
        </w:numPr>
        <w:spacing w:after="0" w:line="240" w:lineRule="auto"/>
        <w:ind w:left="284"/>
        <w:jc w:val="both"/>
        <w:rPr>
          <w:rFonts w:ascii="Tw Cen MT" w:hAnsi="Tw Cen MT"/>
          <w:b/>
          <w:bCs/>
          <w:sz w:val="24"/>
          <w:szCs w:val="24"/>
        </w:rPr>
      </w:pPr>
      <w:r w:rsidRPr="00500701">
        <w:rPr>
          <w:rFonts w:ascii="Tw Cen MT" w:hAnsi="Tw Cen MT"/>
          <w:b/>
          <w:bCs/>
          <w:sz w:val="24"/>
          <w:szCs w:val="24"/>
        </w:rPr>
        <w:t>Hubungan antara pendidikan dengan deteksi dini resiko tinggi kehamilan</w:t>
      </w:r>
    </w:p>
    <w:p w14:paraId="361C4D1D" w14:textId="4E03FD1F" w:rsidR="00911160" w:rsidRDefault="00911160" w:rsidP="00017532">
      <w:pPr>
        <w:pStyle w:val="ListParagraph"/>
        <w:spacing w:after="0"/>
        <w:ind w:left="0" w:firstLine="284"/>
        <w:jc w:val="both"/>
        <w:rPr>
          <w:rFonts w:ascii="Tw Cen MT" w:hAnsi="Tw Cen MT"/>
          <w:noProof/>
          <w:sz w:val="24"/>
          <w:szCs w:val="24"/>
          <w:lang w:val="id-ID"/>
        </w:rPr>
      </w:pPr>
      <w:r>
        <w:rPr>
          <w:rFonts w:ascii="Tw Cen MT" w:hAnsi="Tw Cen MT"/>
          <w:noProof/>
          <w:sz w:val="24"/>
          <w:szCs w:val="24"/>
          <w:lang w:val="id-ID"/>
        </w:rPr>
        <w:t>Hasil analisa bivariat dapat ditunjukkan pada tabel di bawah ini:</w:t>
      </w:r>
    </w:p>
    <w:p w14:paraId="620B2101" w14:textId="77777777" w:rsidR="00911160" w:rsidRDefault="00911160" w:rsidP="00017532">
      <w:pPr>
        <w:pStyle w:val="ListParagraph"/>
        <w:spacing w:after="0"/>
        <w:ind w:left="0" w:firstLine="284"/>
        <w:jc w:val="both"/>
        <w:rPr>
          <w:rFonts w:ascii="Tw Cen MT" w:hAnsi="Tw Cen MT"/>
          <w:noProof/>
          <w:sz w:val="24"/>
          <w:szCs w:val="24"/>
          <w:lang w:val="id-ID"/>
        </w:rPr>
      </w:pPr>
    </w:p>
    <w:p w14:paraId="2EF2D989" w14:textId="77777777" w:rsidR="00911160" w:rsidRDefault="00911160" w:rsidP="00017532">
      <w:pPr>
        <w:pStyle w:val="ListParagraph"/>
        <w:spacing w:after="0"/>
        <w:ind w:left="0" w:firstLine="284"/>
        <w:jc w:val="both"/>
        <w:rPr>
          <w:rFonts w:ascii="Tw Cen MT" w:hAnsi="Tw Cen MT"/>
          <w:noProof/>
          <w:sz w:val="24"/>
          <w:szCs w:val="24"/>
          <w:lang w:val="id-ID"/>
        </w:rPr>
      </w:pPr>
    </w:p>
    <w:p w14:paraId="7888F078" w14:textId="77777777" w:rsidR="00911160" w:rsidRDefault="00911160" w:rsidP="00017532">
      <w:pPr>
        <w:pStyle w:val="ListParagraph"/>
        <w:spacing w:after="0"/>
        <w:ind w:left="0" w:firstLine="284"/>
        <w:jc w:val="both"/>
        <w:rPr>
          <w:rFonts w:ascii="Tw Cen MT" w:hAnsi="Tw Cen MT"/>
          <w:noProof/>
          <w:sz w:val="24"/>
          <w:szCs w:val="24"/>
          <w:lang w:val="id-ID"/>
        </w:rPr>
      </w:pPr>
    </w:p>
    <w:p w14:paraId="5BEFDC71" w14:textId="77777777" w:rsidR="00911160" w:rsidRDefault="00911160" w:rsidP="00017532">
      <w:pPr>
        <w:pStyle w:val="ListParagraph"/>
        <w:spacing w:after="0"/>
        <w:ind w:left="0" w:firstLine="284"/>
        <w:jc w:val="both"/>
        <w:rPr>
          <w:rFonts w:ascii="Tw Cen MT" w:hAnsi="Tw Cen MT"/>
          <w:noProof/>
          <w:sz w:val="24"/>
          <w:szCs w:val="24"/>
          <w:lang w:val="id-ID"/>
        </w:rPr>
      </w:pPr>
    </w:p>
    <w:p w14:paraId="7114D21F" w14:textId="59E7D248" w:rsidR="00911160" w:rsidRPr="00911160" w:rsidRDefault="00911160" w:rsidP="00911160">
      <w:pPr>
        <w:pStyle w:val="ListParagraph"/>
        <w:spacing w:after="0" w:line="240" w:lineRule="auto"/>
        <w:ind w:left="284"/>
        <w:jc w:val="center"/>
        <w:rPr>
          <w:rFonts w:ascii="Tw Cen MT" w:eastAsia="Twentieth Century" w:hAnsi="Tw Cen MT" w:cs="Twentieth Century"/>
          <w:sz w:val="20"/>
          <w:szCs w:val="20"/>
        </w:rPr>
      </w:pPr>
      <w:r w:rsidRPr="003E590E">
        <w:rPr>
          <w:rFonts w:ascii="Tw Cen MT" w:eastAsia="Twentieth Century" w:hAnsi="Tw Cen MT" w:cs="Twentieth Century"/>
          <w:sz w:val="20"/>
          <w:szCs w:val="20"/>
        </w:rPr>
        <w:lastRenderedPageBreak/>
        <w:t xml:space="preserve">Tabel </w:t>
      </w:r>
      <w:r>
        <w:rPr>
          <w:rFonts w:ascii="Tw Cen MT" w:eastAsia="Twentieth Century" w:hAnsi="Tw Cen MT" w:cs="Twentieth Century"/>
          <w:sz w:val="20"/>
          <w:szCs w:val="20"/>
        </w:rPr>
        <w:t>4</w:t>
      </w:r>
      <w:r w:rsidRPr="003E590E">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Hasil analisa hubungan antara </w:t>
      </w:r>
      <w:r>
        <w:rPr>
          <w:rFonts w:ascii="Tw Cen MT" w:eastAsia="Twentieth Century" w:hAnsi="Tw Cen MT" w:cs="Twentieth Century"/>
          <w:sz w:val="20"/>
          <w:szCs w:val="20"/>
        </w:rPr>
        <w:t>pendidikan</w:t>
      </w:r>
      <w:r>
        <w:rPr>
          <w:rFonts w:ascii="Tw Cen MT" w:eastAsia="Twentieth Century" w:hAnsi="Tw Cen MT" w:cs="Twentieth Century"/>
          <w:sz w:val="20"/>
          <w:szCs w:val="20"/>
        </w:rPr>
        <w:t xml:space="preserve"> dengan deteksi dini resiko tinggi kehamilan</w:t>
      </w:r>
    </w:p>
    <w:tbl>
      <w:tblPr>
        <w:tblW w:w="567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563"/>
        <w:gridCol w:w="853"/>
        <w:gridCol w:w="513"/>
        <w:gridCol w:w="761"/>
        <w:gridCol w:w="997"/>
        <w:gridCol w:w="708"/>
      </w:tblGrid>
      <w:tr w:rsidR="00911160" w:rsidRPr="00283220" w14:paraId="6275C793" w14:textId="77777777" w:rsidTr="00911160">
        <w:tblPrEx>
          <w:tblCellMar>
            <w:top w:w="0" w:type="dxa"/>
            <w:bottom w:w="0" w:type="dxa"/>
          </w:tblCellMar>
        </w:tblPrEx>
        <w:trPr>
          <w:cantSplit/>
          <w:trHeight w:val="454"/>
        </w:trPr>
        <w:tc>
          <w:tcPr>
            <w:tcW w:w="1275" w:type="dxa"/>
            <w:vMerge w:val="restart"/>
            <w:vAlign w:val="center"/>
          </w:tcPr>
          <w:p w14:paraId="46CDE5B9" w14:textId="372E24DF" w:rsidR="00911160" w:rsidRPr="00283220" w:rsidRDefault="00911160" w:rsidP="00E63B00">
            <w:pPr>
              <w:spacing w:line="240" w:lineRule="auto"/>
              <w:ind w:right="-44"/>
              <w:rPr>
                <w:rFonts w:ascii="Tw Cen MT" w:hAnsi="Tw Cen MT"/>
                <w:b/>
                <w:bCs/>
                <w:sz w:val="20"/>
                <w:szCs w:val="20"/>
                <w:lang w:val="nb-NO"/>
              </w:rPr>
            </w:pPr>
            <w:r w:rsidRPr="00283220">
              <w:rPr>
                <w:rFonts w:ascii="Tw Cen MT" w:hAnsi="Tw Cen MT"/>
                <w:b/>
                <w:bCs/>
                <w:sz w:val="20"/>
                <w:szCs w:val="20"/>
                <w:lang w:val="nb-NO"/>
              </w:rPr>
              <w:t>Pen</w:t>
            </w:r>
            <w:r>
              <w:rPr>
                <w:rFonts w:ascii="Tw Cen MT" w:hAnsi="Tw Cen MT"/>
                <w:b/>
                <w:bCs/>
                <w:sz w:val="20"/>
                <w:szCs w:val="20"/>
                <w:lang w:val="nb-NO"/>
              </w:rPr>
              <w:t>didikan</w:t>
            </w:r>
            <w:r w:rsidRPr="00283220">
              <w:rPr>
                <w:rFonts w:ascii="Tw Cen MT" w:hAnsi="Tw Cen MT"/>
                <w:b/>
                <w:bCs/>
                <w:sz w:val="20"/>
                <w:szCs w:val="20"/>
                <w:lang w:val="nb-NO"/>
              </w:rPr>
              <w:t xml:space="preserve"> Ibu Hamil </w:t>
            </w:r>
          </w:p>
        </w:tc>
        <w:tc>
          <w:tcPr>
            <w:tcW w:w="2690" w:type="dxa"/>
            <w:gridSpan w:val="4"/>
            <w:vAlign w:val="center"/>
          </w:tcPr>
          <w:p w14:paraId="63F2CACA" w14:textId="77777777" w:rsidR="00911160" w:rsidRPr="00283220" w:rsidRDefault="00911160" w:rsidP="00E63B00">
            <w:pPr>
              <w:spacing w:line="240" w:lineRule="auto"/>
              <w:jc w:val="center"/>
              <w:rPr>
                <w:rFonts w:ascii="Tw Cen MT" w:hAnsi="Tw Cen MT"/>
                <w:b/>
                <w:bCs/>
                <w:sz w:val="20"/>
                <w:szCs w:val="20"/>
              </w:rPr>
            </w:pPr>
            <w:r>
              <w:rPr>
                <w:rFonts w:ascii="Tw Cen MT" w:hAnsi="Tw Cen MT"/>
                <w:b/>
                <w:bCs/>
                <w:sz w:val="20"/>
                <w:szCs w:val="20"/>
              </w:rPr>
              <w:t>Deteksi dini resiko tinggi kehamilan</w:t>
            </w:r>
          </w:p>
        </w:tc>
        <w:tc>
          <w:tcPr>
            <w:tcW w:w="997" w:type="dxa"/>
            <w:vMerge w:val="restart"/>
            <w:vAlign w:val="center"/>
          </w:tcPr>
          <w:p w14:paraId="745A8664" w14:textId="77777777" w:rsidR="00911160" w:rsidRPr="00283220" w:rsidRDefault="00911160" w:rsidP="00E63B00">
            <w:pPr>
              <w:spacing w:line="240" w:lineRule="auto"/>
              <w:jc w:val="center"/>
              <w:rPr>
                <w:rFonts w:ascii="Tw Cen MT" w:hAnsi="Tw Cen MT"/>
                <w:b/>
                <w:bCs/>
                <w:sz w:val="20"/>
                <w:szCs w:val="20"/>
              </w:rPr>
            </w:pPr>
            <w:r w:rsidRPr="00283220">
              <w:rPr>
                <w:rFonts w:ascii="Tw Cen MT" w:hAnsi="Tw Cen MT"/>
                <w:b/>
                <w:bCs/>
                <w:sz w:val="20"/>
                <w:szCs w:val="20"/>
              </w:rPr>
              <w:t>OR</w:t>
            </w:r>
            <w:r>
              <w:rPr>
                <w:rFonts w:ascii="Tw Cen MT" w:hAnsi="Tw Cen MT"/>
                <w:b/>
                <w:bCs/>
                <w:sz w:val="20"/>
                <w:szCs w:val="20"/>
              </w:rPr>
              <w:t xml:space="preserve"> </w:t>
            </w:r>
            <w:r w:rsidRPr="00283220">
              <w:rPr>
                <w:rFonts w:ascii="Tw Cen MT" w:hAnsi="Tw Cen MT"/>
                <w:b/>
                <w:bCs/>
                <w:sz w:val="20"/>
                <w:szCs w:val="20"/>
              </w:rPr>
              <w:t>95%</w:t>
            </w:r>
          </w:p>
        </w:tc>
        <w:tc>
          <w:tcPr>
            <w:tcW w:w="708" w:type="dxa"/>
            <w:vMerge w:val="restart"/>
          </w:tcPr>
          <w:p w14:paraId="4FE29074" w14:textId="77777777" w:rsidR="00911160" w:rsidRDefault="00911160" w:rsidP="00E63B00">
            <w:pPr>
              <w:spacing w:line="240" w:lineRule="auto"/>
              <w:jc w:val="center"/>
              <w:rPr>
                <w:rFonts w:ascii="Tw Cen MT" w:hAnsi="Tw Cen MT"/>
                <w:b/>
                <w:bCs/>
                <w:sz w:val="20"/>
                <w:szCs w:val="20"/>
              </w:rPr>
            </w:pPr>
          </w:p>
          <w:p w14:paraId="41CCA229" w14:textId="77777777" w:rsidR="00911160" w:rsidRPr="00283220" w:rsidRDefault="00911160" w:rsidP="00E63B00">
            <w:pPr>
              <w:spacing w:line="240" w:lineRule="auto"/>
              <w:jc w:val="center"/>
              <w:rPr>
                <w:rFonts w:ascii="Tw Cen MT" w:hAnsi="Tw Cen MT"/>
                <w:b/>
                <w:bCs/>
                <w:sz w:val="20"/>
                <w:szCs w:val="20"/>
              </w:rPr>
            </w:pPr>
            <w:r>
              <w:rPr>
                <w:rFonts w:ascii="Tw Cen MT" w:hAnsi="Tw Cen MT"/>
                <w:b/>
                <w:bCs/>
                <w:sz w:val="20"/>
                <w:szCs w:val="20"/>
              </w:rPr>
              <w:t>P value</w:t>
            </w:r>
          </w:p>
        </w:tc>
      </w:tr>
      <w:tr w:rsidR="00911160" w:rsidRPr="00283220" w14:paraId="598A0F3C" w14:textId="77777777" w:rsidTr="00911160">
        <w:tblPrEx>
          <w:tblCellMar>
            <w:top w:w="0" w:type="dxa"/>
            <w:bottom w:w="0" w:type="dxa"/>
          </w:tblCellMar>
        </w:tblPrEx>
        <w:trPr>
          <w:cantSplit/>
          <w:trHeight w:val="578"/>
        </w:trPr>
        <w:tc>
          <w:tcPr>
            <w:tcW w:w="1275" w:type="dxa"/>
            <w:vMerge/>
            <w:vAlign w:val="center"/>
          </w:tcPr>
          <w:p w14:paraId="5B763395" w14:textId="77777777" w:rsidR="00911160" w:rsidRPr="00283220" w:rsidRDefault="00911160" w:rsidP="00E63B00">
            <w:pPr>
              <w:spacing w:line="240" w:lineRule="auto"/>
              <w:jc w:val="center"/>
              <w:rPr>
                <w:rFonts w:ascii="Tw Cen MT" w:hAnsi="Tw Cen MT"/>
                <w:b/>
                <w:bCs/>
                <w:sz w:val="20"/>
                <w:szCs w:val="20"/>
              </w:rPr>
            </w:pPr>
          </w:p>
        </w:tc>
        <w:tc>
          <w:tcPr>
            <w:tcW w:w="1416" w:type="dxa"/>
            <w:gridSpan w:val="2"/>
            <w:vAlign w:val="center"/>
          </w:tcPr>
          <w:p w14:paraId="60A5CB85" w14:textId="77777777" w:rsidR="00911160" w:rsidRPr="00283220" w:rsidRDefault="00911160" w:rsidP="00E63B00">
            <w:pPr>
              <w:spacing w:line="240" w:lineRule="auto"/>
              <w:jc w:val="center"/>
              <w:rPr>
                <w:rFonts w:ascii="Tw Cen MT" w:hAnsi="Tw Cen MT"/>
                <w:b/>
                <w:bCs/>
                <w:sz w:val="20"/>
                <w:szCs w:val="20"/>
              </w:rPr>
            </w:pPr>
            <w:r>
              <w:rPr>
                <w:rFonts w:ascii="Tw Cen MT" w:hAnsi="Tw Cen MT"/>
                <w:b/>
                <w:bCs/>
                <w:sz w:val="20"/>
                <w:szCs w:val="20"/>
              </w:rPr>
              <w:t>Melakukan</w:t>
            </w:r>
          </w:p>
        </w:tc>
        <w:tc>
          <w:tcPr>
            <w:tcW w:w="1274" w:type="dxa"/>
            <w:gridSpan w:val="2"/>
            <w:vAlign w:val="center"/>
          </w:tcPr>
          <w:p w14:paraId="537D98D6" w14:textId="77777777" w:rsidR="00911160" w:rsidRPr="00283220" w:rsidRDefault="00911160" w:rsidP="00E63B00">
            <w:pPr>
              <w:spacing w:line="240" w:lineRule="auto"/>
              <w:jc w:val="center"/>
              <w:rPr>
                <w:rFonts w:ascii="Tw Cen MT" w:hAnsi="Tw Cen MT"/>
                <w:b/>
                <w:bCs/>
                <w:sz w:val="20"/>
                <w:szCs w:val="20"/>
              </w:rPr>
            </w:pPr>
            <w:r w:rsidRPr="00283220">
              <w:rPr>
                <w:rFonts w:ascii="Tw Cen MT" w:hAnsi="Tw Cen MT"/>
                <w:b/>
                <w:bCs/>
                <w:sz w:val="20"/>
                <w:szCs w:val="20"/>
              </w:rPr>
              <w:t xml:space="preserve">Kurang </w:t>
            </w:r>
            <w:r>
              <w:rPr>
                <w:rFonts w:ascii="Tw Cen MT" w:hAnsi="Tw Cen MT"/>
                <w:b/>
                <w:bCs/>
                <w:sz w:val="20"/>
                <w:szCs w:val="20"/>
              </w:rPr>
              <w:t>Melakukan</w:t>
            </w:r>
          </w:p>
        </w:tc>
        <w:tc>
          <w:tcPr>
            <w:tcW w:w="997" w:type="dxa"/>
            <w:vMerge/>
            <w:vAlign w:val="center"/>
          </w:tcPr>
          <w:p w14:paraId="145D3CAF" w14:textId="77777777" w:rsidR="00911160" w:rsidRPr="00283220" w:rsidRDefault="00911160" w:rsidP="00E63B00">
            <w:pPr>
              <w:spacing w:line="240" w:lineRule="auto"/>
              <w:jc w:val="center"/>
              <w:rPr>
                <w:rFonts w:ascii="Tw Cen MT" w:hAnsi="Tw Cen MT"/>
                <w:b/>
                <w:bCs/>
                <w:sz w:val="20"/>
                <w:szCs w:val="20"/>
              </w:rPr>
            </w:pPr>
          </w:p>
        </w:tc>
        <w:tc>
          <w:tcPr>
            <w:tcW w:w="708" w:type="dxa"/>
            <w:vMerge/>
          </w:tcPr>
          <w:p w14:paraId="57EDD17A" w14:textId="77777777" w:rsidR="00911160" w:rsidRPr="00283220" w:rsidRDefault="00911160" w:rsidP="00E63B00">
            <w:pPr>
              <w:spacing w:line="240" w:lineRule="auto"/>
              <w:jc w:val="center"/>
              <w:rPr>
                <w:rFonts w:ascii="Tw Cen MT" w:hAnsi="Tw Cen MT"/>
                <w:b/>
                <w:bCs/>
                <w:sz w:val="20"/>
                <w:szCs w:val="20"/>
              </w:rPr>
            </w:pPr>
          </w:p>
        </w:tc>
      </w:tr>
      <w:tr w:rsidR="00911160" w:rsidRPr="00283220" w14:paraId="0F46CB03" w14:textId="77777777" w:rsidTr="00911160">
        <w:tblPrEx>
          <w:tblCellMar>
            <w:top w:w="0" w:type="dxa"/>
            <w:bottom w:w="0" w:type="dxa"/>
          </w:tblCellMar>
        </w:tblPrEx>
        <w:trPr>
          <w:cantSplit/>
        </w:trPr>
        <w:tc>
          <w:tcPr>
            <w:tcW w:w="1275" w:type="dxa"/>
            <w:vMerge/>
          </w:tcPr>
          <w:p w14:paraId="20774970" w14:textId="77777777" w:rsidR="00911160" w:rsidRPr="00283220" w:rsidRDefault="00911160" w:rsidP="00E63B00">
            <w:pPr>
              <w:spacing w:line="240" w:lineRule="auto"/>
              <w:jc w:val="center"/>
              <w:rPr>
                <w:rFonts w:ascii="Tw Cen MT" w:hAnsi="Tw Cen MT"/>
                <w:b/>
                <w:bCs/>
                <w:sz w:val="20"/>
                <w:szCs w:val="20"/>
              </w:rPr>
            </w:pPr>
          </w:p>
        </w:tc>
        <w:tc>
          <w:tcPr>
            <w:tcW w:w="563" w:type="dxa"/>
          </w:tcPr>
          <w:p w14:paraId="1B4922F5" w14:textId="77777777" w:rsidR="00911160" w:rsidRPr="00283220" w:rsidRDefault="00911160" w:rsidP="00E63B00">
            <w:pPr>
              <w:spacing w:line="240" w:lineRule="auto"/>
              <w:jc w:val="center"/>
              <w:rPr>
                <w:rFonts w:ascii="Tw Cen MT" w:hAnsi="Tw Cen MT"/>
                <w:b/>
                <w:bCs/>
                <w:sz w:val="20"/>
                <w:szCs w:val="20"/>
              </w:rPr>
            </w:pPr>
            <w:r w:rsidRPr="00283220">
              <w:rPr>
                <w:rFonts w:ascii="Tw Cen MT" w:hAnsi="Tw Cen MT"/>
                <w:b/>
                <w:bCs/>
                <w:sz w:val="20"/>
                <w:szCs w:val="20"/>
              </w:rPr>
              <w:t>N</w:t>
            </w:r>
          </w:p>
        </w:tc>
        <w:tc>
          <w:tcPr>
            <w:tcW w:w="853" w:type="dxa"/>
          </w:tcPr>
          <w:p w14:paraId="5FCEDF9A" w14:textId="77777777" w:rsidR="00911160" w:rsidRPr="00283220" w:rsidRDefault="00911160" w:rsidP="00E63B00">
            <w:pPr>
              <w:spacing w:line="240" w:lineRule="auto"/>
              <w:jc w:val="center"/>
              <w:rPr>
                <w:rFonts w:ascii="Tw Cen MT" w:hAnsi="Tw Cen MT"/>
                <w:b/>
                <w:bCs/>
                <w:sz w:val="20"/>
                <w:szCs w:val="20"/>
              </w:rPr>
            </w:pPr>
            <w:r w:rsidRPr="00283220">
              <w:rPr>
                <w:rFonts w:ascii="Tw Cen MT" w:hAnsi="Tw Cen MT"/>
                <w:b/>
                <w:bCs/>
                <w:sz w:val="20"/>
                <w:szCs w:val="20"/>
              </w:rPr>
              <w:t>%</w:t>
            </w:r>
          </w:p>
        </w:tc>
        <w:tc>
          <w:tcPr>
            <w:tcW w:w="513" w:type="dxa"/>
          </w:tcPr>
          <w:p w14:paraId="1E65058B" w14:textId="77777777" w:rsidR="00911160" w:rsidRPr="00283220" w:rsidRDefault="00911160" w:rsidP="00E63B00">
            <w:pPr>
              <w:spacing w:line="240" w:lineRule="auto"/>
              <w:jc w:val="center"/>
              <w:rPr>
                <w:rFonts w:ascii="Tw Cen MT" w:hAnsi="Tw Cen MT"/>
                <w:b/>
                <w:bCs/>
                <w:sz w:val="20"/>
                <w:szCs w:val="20"/>
              </w:rPr>
            </w:pPr>
            <w:r w:rsidRPr="00283220">
              <w:rPr>
                <w:rFonts w:ascii="Tw Cen MT" w:hAnsi="Tw Cen MT"/>
                <w:b/>
                <w:bCs/>
                <w:sz w:val="20"/>
                <w:szCs w:val="20"/>
              </w:rPr>
              <w:t>N</w:t>
            </w:r>
          </w:p>
        </w:tc>
        <w:tc>
          <w:tcPr>
            <w:tcW w:w="761" w:type="dxa"/>
          </w:tcPr>
          <w:p w14:paraId="24925CDF" w14:textId="77777777" w:rsidR="00911160" w:rsidRPr="00283220" w:rsidRDefault="00911160" w:rsidP="00E63B00">
            <w:pPr>
              <w:spacing w:line="240" w:lineRule="auto"/>
              <w:jc w:val="center"/>
              <w:rPr>
                <w:rFonts w:ascii="Tw Cen MT" w:hAnsi="Tw Cen MT"/>
                <w:b/>
                <w:bCs/>
                <w:sz w:val="20"/>
                <w:szCs w:val="20"/>
              </w:rPr>
            </w:pPr>
            <w:r w:rsidRPr="00283220">
              <w:rPr>
                <w:rFonts w:ascii="Tw Cen MT" w:hAnsi="Tw Cen MT"/>
                <w:b/>
                <w:bCs/>
                <w:sz w:val="20"/>
                <w:szCs w:val="20"/>
              </w:rPr>
              <w:t>%</w:t>
            </w:r>
          </w:p>
        </w:tc>
        <w:tc>
          <w:tcPr>
            <w:tcW w:w="997" w:type="dxa"/>
            <w:vMerge/>
          </w:tcPr>
          <w:p w14:paraId="1E019368" w14:textId="77777777" w:rsidR="00911160" w:rsidRPr="00283220" w:rsidRDefault="00911160" w:rsidP="00E63B00">
            <w:pPr>
              <w:spacing w:line="240" w:lineRule="auto"/>
              <w:jc w:val="center"/>
              <w:rPr>
                <w:rFonts w:ascii="Tw Cen MT" w:hAnsi="Tw Cen MT"/>
                <w:b/>
                <w:bCs/>
                <w:sz w:val="20"/>
                <w:szCs w:val="20"/>
              </w:rPr>
            </w:pPr>
          </w:p>
        </w:tc>
        <w:tc>
          <w:tcPr>
            <w:tcW w:w="708" w:type="dxa"/>
            <w:vMerge/>
          </w:tcPr>
          <w:p w14:paraId="3D80BFB1" w14:textId="77777777" w:rsidR="00911160" w:rsidRPr="00283220" w:rsidRDefault="00911160" w:rsidP="00E63B00">
            <w:pPr>
              <w:spacing w:line="240" w:lineRule="auto"/>
              <w:jc w:val="center"/>
              <w:rPr>
                <w:rFonts w:ascii="Tw Cen MT" w:hAnsi="Tw Cen MT"/>
                <w:b/>
                <w:bCs/>
                <w:sz w:val="20"/>
                <w:szCs w:val="20"/>
              </w:rPr>
            </w:pPr>
          </w:p>
        </w:tc>
      </w:tr>
      <w:tr w:rsidR="00911160" w:rsidRPr="00283220" w14:paraId="5260C747" w14:textId="77777777" w:rsidTr="00911160">
        <w:tblPrEx>
          <w:tblCellMar>
            <w:top w:w="0" w:type="dxa"/>
            <w:bottom w:w="0" w:type="dxa"/>
          </w:tblCellMar>
        </w:tblPrEx>
        <w:tc>
          <w:tcPr>
            <w:tcW w:w="1275" w:type="dxa"/>
          </w:tcPr>
          <w:p w14:paraId="29E6E02C" w14:textId="284D4DA4" w:rsidR="00911160" w:rsidRPr="00283220" w:rsidRDefault="00911160" w:rsidP="00911160">
            <w:pPr>
              <w:pStyle w:val="Header"/>
              <w:rPr>
                <w:rFonts w:ascii="Tw Cen MT" w:hAnsi="Tw Cen MT"/>
                <w:sz w:val="20"/>
                <w:szCs w:val="20"/>
              </w:rPr>
            </w:pPr>
            <w:r>
              <w:rPr>
                <w:rFonts w:ascii="Tw Cen MT" w:hAnsi="Tw Cen MT"/>
                <w:sz w:val="20"/>
                <w:szCs w:val="20"/>
              </w:rPr>
              <w:t>PT</w:t>
            </w:r>
          </w:p>
          <w:p w14:paraId="1932C6A9" w14:textId="77777777" w:rsidR="00911160" w:rsidRPr="00283220" w:rsidRDefault="00911160" w:rsidP="00911160">
            <w:pPr>
              <w:pStyle w:val="Header"/>
              <w:rPr>
                <w:rFonts w:ascii="Tw Cen MT" w:hAnsi="Tw Cen MT"/>
                <w:sz w:val="20"/>
                <w:szCs w:val="20"/>
              </w:rPr>
            </w:pPr>
          </w:p>
          <w:p w14:paraId="4BFC1098" w14:textId="6DCA6CC0" w:rsidR="00911160" w:rsidRPr="00283220" w:rsidRDefault="00911160" w:rsidP="00911160">
            <w:pPr>
              <w:pStyle w:val="Header"/>
              <w:rPr>
                <w:rFonts w:ascii="Tw Cen MT" w:hAnsi="Tw Cen MT"/>
                <w:sz w:val="20"/>
                <w:szCs w:val="20"/>
              </w:rPr>
            </w:pPr>
            <w:r>
              <w:rPr>
                <w:rFonts w:ascii="Tw Cen MT" w:hAnsi="Tw Cen MT"/>
                <w:sz w:val="20"/>
                <w:szCs w:val="20"/>
              </w:rPr>
              <w:t>SD, SMP, SMA</w:t>
            </w:r>
          </w:p>
        </w:tc>
        <w:tc>
          <w:tcPr>
            <w:tcW w:w="563" w:type="dxa"/>
          </w:tcPr>
          <w:p w14:paraId="201570D6" w14:textId="2DE2D52C" w:rsidR="00911160" w:rsidRPr="00283220" w:rsidRDefault="00911160" w:rsidP="00911160">
            <w:pPr>
              <w:spacing w:line="240" w:lineRule="auto"/>
              <w:jc w:val="center"/>
              <w:rPr>
                <w:rFonts w:ascii="Tw Cen MT" w:hAnsi="Tw Cen MT"/>
                <w:sz w:val="20"/>
                <w:szCs w:val="20"/>
              </w:rPr>
            </w:pPr>
            <w:r>
              <w:rPr>
                <w:rFonts w:ascii="Tw Cen MT" w:hAnsi="Tw Cen MT"/>
                <w:sz w:val="20"/>
                <w:szCs w:val="20"/>
              </w:rPr>
              <w:t>17</w:t>
            </w:r>
          </w:p>
          <w:p w14:paraId="71967E82" w14:textId="054FCB70" w:rsidR="00911160" w:rsidRPr="00283220" w:rsidRDefault="00911160" w:rsidP="00911160">
            <w:pPr>
              <w:spacing w:line="240" w:lineRule="auto"/>
              <w:jc w:val="center"/>
              <w:rPr>
                <w:rFonts w:ascii="Tw Cen MT" w:hAnsi="Tw Cen MT"/>
                <w:sz w:val="20"/>
                <w:szCs w:val="20"/>
              </w:rPr>
            </w:pPr>
            <w:r>
              <w:rPr>
                <w:rFonts w:ascii="Tw Cen MT" w:hAnsi="Tw Cen MT"/>
                <w:sz w:val="20"/>
                <w:szCs w:val="20"/>
              </w:rPr>
              <w:t>71</w:t>
            </w:r>
          </w:p>
        </w:tc>
        <w:tc>
          <w:tcPr>
            <w:tcW w:w="853" w:type="dxa"/>
          </w:tcPr>
          <w:p w14:paraId="358026FB" w14:textId="7AB5D4FF" w:rsidR="00911160" w:rsidRPr="00283220" w:rsidRDefault="00911160" w:rsidP="00911160">
            <w:pPr>
              <w:spacing w:line="240" w:lineRule="auto"/>
              <w:jc w:val="center"/>
              <w:rPr>
                <w:rFonts w:ascii="Tw Cen MT" w:hAnsi="Tw Cen MT"/>
                <w:sz w:val="20"/>
                <w:szCs w:val="20"/>
              </w:rPr>
            </w:pPr>
            <w:r>
              <w:rPr>
                <w:rFonts w:ascii="Tw Cen MT" w:hAnsi="Tw Cen MT"/>
                <w:sz w:val="20"/>
                <w:szCs w:val="20"/>
              </w:rPr>
              <w:t>94,45</w:t>
            </w:r>
          </w:p>
          <w:p w14:paraId="10643870" w14:textId="54B8EA70" w:rsidR="00911160" w:rsidRPr="00283220" w:rsidRDefault="00911160" w:rsidP="00911160">
            <w:pPr>
              <w:spacing w:line="240" w:lineRule="auto"/>
              <w:jc w:val="center"/>
              <w:rPr>
                <w:rFonts w:ascii="Tw Cen MT" w:hAnsi="Tw Cen MT"/>
                <w:sz w:val="20"/>
                <w:szCs w:val="20"/>
              </w:rPr>
            </w:pPr>
            <w:r>
              <w:rPr>
                <w:rFonts w:ascii="Tw Cen MT" w:hAnsi="Tw Cen MT"/>
                <w:sz w:val="20"/>
                <w:szCs w:val="20"/>
              </w:rPr>
              <w:t>8</w:t>
            </w:r>
            <w:r>
              <w:rPr>
                <w:rFonts w:ascii="Tw Cen MT" w:hAnsi="Tw Cen MT"/>
                <w:sz w:val="20"/>
                <w:szCs w:val="20"/>
              </w:rPr>
              <w:t>3,53</w:t>
            </w:r>
          </w:p>
        </w:tc>
        <w:tc>
          <w:tcPr>
            <w:tcW w:w="513" w:type="dxa"/>
          </w:tcPr>
          <w:p w14:paraId="6FD5DE93" w14:textId="7218C063" w:rsidR="00911160" w:rsidRPr="00283220" w:rsidRDefault="00911160" w:rsidP="00911160">
            <w:pPr>
              <w:spacing w:line="240" w:lineRule="auto"/>
              <w:jc w:val="center"/>
              <w:rPr>
                <w:rFonts w:ascii="Tw Cen MT" w:hAnsi="Tw Cen MT"/>
                <w:sz w:val="20"/>
                <w:szCs w:val="20"/>
              </w:rPr>
            </w:pPr>
            <w:r w:rsidRPr="00283220">
              <w:rPr>
                <w:rFonts w:ascii="Tw Cen MT" w:hAnsi="Tw Cen MT"/>
                <w:sz w:val="20"/>
                <w:szCs w:val="20"/>
              </w:rPr>
              <w:t>1</w:t>
            </w:r>
          </w:p>
          <w:p w14:paraId="7AC8AEF3" w14:textId="3A999A24" w:rsidR="00911160" w:rsidRPr="00283220" w:rsidRDefault="00911160" w:rsidP="00911160">
            <w:pPr>
              <w:spacing w:line="240" w:lineRule="auto"/>
              <w:jc w:val="center"/>
              <w:rPr>
                <w:rFonts w:ascii="Tw Cen MT" w:hAnsi="Tw Cen MT"/>
                <w:sz w:val="20"/>
                <w:szCs w:val="20"/>
              </w:rPr>
            </w:pPr>
            <w:r>
              <w:rPr>
                <w:rFonts w:ascii="Tw Cen MT" w:hAnsi="Tw Cen MT"/>
                <w:sz w:val="20"/>
                <w:szCs w:val="20"/>
              </w:rPr>
              <w:t>1</w:t>
            </w:r>
            <w:r>
              <w:rPr>
                <w:rFonts w:ascii="Tw Cen MT" w:hAnsi="Tw Cen MT"/>
                <w:sz w:val="20"/>
                <w:szCs w:val="20"/>
              </w:rPr>
              <w:t>4</w:t>
            </w:r>
          </w:p>
        </w:tc>
        <w:tc>
          <w:tcPr>
            <w:tcW w:w="761" w:type="dxa"/>
          </w:tcPr>
          <w:p w14:paraId="7FECA2B9" w14:textId="23BD68D6" w:rsidR="00911160" w:rsidRPr="00283220" w:rsidRDefault="00911160" w:rsidP="00911160">
            <w:pPr>
              <w:spacing w:line="240" w:lineRule="auto"/>
              <w:jc w:val="center"/>
              <w:rPr>
                <w:rFonts w:ascii="Tw Cen MT" w:hAnsi="Tw Cen MT"/>
                <w:sz w:val="20"/>
                <w:szCs w:val="20"/>
              </w:rPr>
            </w:pPr>
            <w:r>
              <w:rPr>
                <w:rFonts w:ascii="Tw Cen MT" w:hAnsi="Tw Cen MT"/>
                <w:sz w:val="20"/>
                <w:szCs w:val="20"/>
              </w:rPr>
              <w:t>5,55</w:t>
            </w:r>
          </w:p>
          <w:p w14:paraId="342B9C8D" w14:textId="67C141D0" w:rsidR="00911160" w:rsidRPr="00283220" w:rsidRDefault="00911160" w:rsidP="00911160">
            <w:pPr>
              <w:spacing w:line="240" w:lineRule="auto"/>
              <w:jc w:val="center"/>
              <w:rPr>
                <w:rFonts w:ascii="Tw Cen MT" w:hAnsi="Tw Cen MT"/>
                <w:sz w:val="20"/>
                <w:szCs w:val="20"/>
              </w:rPr>
            </w:pPr>
            <w:r>
              <w:rPr>
                <w:rFonts w:ascii="Tw Cen MT" w:hAnsi="Tw Cen MT"/>
                <w:sz w:val="20"/>
                <w:szCs w:val="20"/>
              </w:rPr>
              <w:t>16,47</w:t>
            </w:r>
          </w:p>
        </w:tc>
        <w:tc>
          <w:tcPr>
            <w:tcW w:w="997" w:type="dxa"/>
            <w:vMerge w:val="restart"/>
          </w:tcPr>
          <w:p w14:paraId="03DC43F8" w14:textId="77777777" w:rsidR="00911160" w:rsidRDefault="00911160" w:rsidP="00911160">
            <w:pPr>
              <w:jc w:val="center"/>
              <w:rPr>
                <w:rFonts w:ascii="Tw Cen MT" w:hAnsi="Tw Cen MT"/>
                <w:noProof/>
                <w:sz w:val="20"/>
                <w:szCs w:val="20"/>
                <w:lang w:val="id-ID"/>
              </w:rPr>
            </w:pPr>
            <w:r w:rsidRPr="003E590E">
              <w:rPr>
                <w:rFonts w:ascii="Tw Cen MT" w:hAnsi="Tw Cen MT"/>
                <w:noProof/>
                <w:sz w:val="20"/>
                <w:szCs w:val="20"/>
                <w:lang w:val="id-ID"/>
              </w:rPr>
              <w:t xml:space="preserve">2,625 </w:t>
            </w:r>
          </w:p>
          <w:p w14:paraId="0821A51E" w14:textId="34283180" w:rsidR="00911160" w:rsidRPr="00283220" w:rsidRDefault="00911160" w:rsidP="00911160">
            <w:pPr>
              <w:spacing w:line="240" w:lineRule="auto"/>
              <w:jc w:val="center"/>
              <w:rPr>
                <w:rFonts w:ascii="Tw Cen MT" w:hAnsi="Tw Cen MT"/>
                <w:sz w:val="20"/>
                <w:szCs w:val="20"/>
              </w:rPr>
            </w:pPr>
            <w:r w:rsidRPr="003E590E">
              <w:rPr>
                <w:rFonts w:ascii="Tw Cen MT" w:hAnsi="Tw Cen MT"/>
                <w:noProof/>
                <w:sz w:val="20"/>
                <w:szCs w:val="20"/>
                <w:lang w:val="id-ID"/>
              </w:rPr>
              <w:t>(0,557-12,373)</w:t>
            </w:r>
          </w:p>
        </w:tc>
        <w:tc>
          <w:tcPr>
            <w:tcW w:w="708" w:type="dxa"/>
            <w:vMerge w:val="restart"/>
          </w:tcPr>
          <w:p w14:paraId="61DCA7FD" w14:textId="77777777" w:rsidR="00911160" w:rsidRPr="003E590E" w:rsidRDefault="00911160" w:rsidP="00911160">
            <w:pPr>
              <w:jc w:val="center"/>
              <w:rPr>
                <w:rFonts w:ascii="Tw Cen MT" w:hAnsi="Tw Cen MT"/>
                <w:noProof/>
                <w:sz w:val="20"/>
                <w:szCs w:val="20"/>
                <w:lang w:val="id-ID"/>
              </w:rPr>
            </w:pPr>
          </w:p>
          <w:p w14:paraId="0DC825DA" w14:textId="69257A23" w:rsidR="00911160" w:rsidRDefault="00911160" w:rsidP="00911160">
            <w:pPr>
              <w:spacing w:line="240" w:lineRule="auto"/>
              <w:jc w:val="center"/>
              <w:rPr>
                <w:rFonts w:ascii="Tw Cen MT" w:hAnsi="Tw Cen MT"/>
                <w:sz w:val="20"/>
                <w:szCs w:val="20"/>
              </w:rPr>
            </w:pPr>
            <w:r w:rsidRPr="003E590E">
              <w:rPr>
                <w:rFonts w:ascii="Tw Cen MT" w:hAnsi="Tw Cen MT"/>
                <w:noProof/>
                <w:sz w:val="20"/>
                <w:szCs w:val="20"/>
                <w:lang w:val="id-ID"/>
              </w:rPr>
              <w:t>0,021</w:t>
            </w:r>
          </w:p>
        </w:tc>
      </w:tr>
      <w:tr w:rsidR="00911160" w:rsidRPr="00283220" w14:paraId="4A4DF63D" w14:textId="77777777" w:rsidTr="00911160">
        <w:tblPrEx>
          <w:tblCellMar>
            <w:top w:w="0" w:type="dxa"/>
            <w:bottom w:w="0" w:type="dxa"/>
          </w:tblCellMar>
        </w:tblPrEx>
        <w:tc>
          <w:tcPr>
            <w:tcW w:w="1275" w:type="dxa"/>
          </w:tcPr>
          <w:p w14:paraId="65C9D9A4" w14:textId="77777777" w:rsidR="00911160" w:rsidRPr="00283220" w:rsidRDefault="00911160" w:rsidP="00911160">
            <w:pPr>
              <w:pStyle w:val="Header"/>
              <w:spacing w:before="40" w:after="40"/>
              <w:jc w:val="center"/>
              <w:rPr>
                <w:rFonts w:ascii="Tw Cen MT" w:hAnsi="Tw Cen MT"/>
                <w:b/>
                <w:bCs/>
                <w:sz w:val="20"/>
                <w:szCs w:val="20"/>
              </w:rPr>
            </w:pPr>
            <w:r w:rsidRPr="00283220">
              <w:rPr>
                <w:rFonts w:ascii="Tw Cen MT" w:hAnsi="Tw Cen MT"/>
                <w:b/>
                <w:bCs/>
                <w:sz w:val="20"/>
                <w:szCs w:val="20"/>
              </w:rPr>
              <w:t>Total</w:t>
            </w:r>
          </w:p>
        </w:tc>
        <w:tc>
          <w:tcPr>
            <w:tcW w:w="563" w:type="dxa"/>
          </w:tcPr>
          <w:p w14:paraId="0BAF432C" w14:textId="77777777" w:rsidR="00911160" w:rsidRPr="00283220" w:rsidRDefault="00911160" w:rsidP="00911160">
            <w:pPr>
              <w:spacing w:before="40" w:after="40" w:line="240" w:lineRule="auto"/>
              <w:jc w:val="center"/>
              <w:rPr>
                <w:rFonts w:ascii="Tw Cen MT" w:hAnsi="Tw Cen MT"/>
                <w:b/>
                <w:bCs/>
                <w:sz w:val="20"/>
                <w:szCs w:val="20"/>
              </w:rPr>
            </w:pPr>
            <w:r>
              <w:rPr>
                <w:rFonts w:ascii="Tw Cen MT" w:hAnsi="Tw Cen MT"/>
                <w:b/>
                <w:bCs/>
                <w:sz w:val="20"/>
                <w:szCs w:val="20"/>
              </w:rPr>
              <w:t>88</w:t>
            </w:r>
          </w:p>
        </w:tc>
        <w:tc>
          <w:tcPr>
            <w:tcW w:w="853" w:type="dxa"/>
          </w:tcPr>
          <w:p w14:paraId="5DB09340" w14:textId="7DA8A0C5" w:rsidR="00911160" w:rsidRPr="00283220" w:rsidRDefault="00911160" w:rsidP="00911160">
            <w:pPr>
              <w:spacing w:before="40" w:after="40" w:line="240" w:lineRule="auto"/>
              <w:jc w:val="center"/>
              <w:rPr>
                <w:rFonts w:ascii="Tw Cen MT" w:hAnsi="Tw Cen MT"/>
                <w:b/>
                <w:bCs/>
                <w:sz w:val="20"/>
                <w:szCs w:val="20"/>
              </w:rPr>
            </w:pPr>
            <w:r>
              <w:rPr>
                <w:rFonts w:ascii="Tw Cen MT" w:hAnsi="Tw Cen MT"/>
                <w:b/>
                <w:bCs/>
                <w:sz w:val="20"/>
                <w:szCs w:val="20"/>
              </w:rPr>
              <w:t>85,4</w:t>
            </w:r>
            <w:r>
              <w:rPr>
                <w:rFonts w:ascii="Tw Cen MT" w:hAnsi="Tw Cen MT"/>
                <w:b/>
                <w:bCs/>
                <w:sz w:val="20"/>
                <w:szCs w:val="20"/>
              </w:rPr>
              <w:t>3</w:t>
            </w:r>
          </w:p>
        </w:tc>
        <w:tc>
          <w:tcPr>
            <w:tcW w:w="513" w:type="dxa"/>
          </w:tcPr>
          <w:p w14:paraId="5A0DD4CA" w14:textId="77777777" w:rsidR="00911160" w:rsidRPr="00283220" w:rsidRDefault="00911160" w:rsidP="00911160">
            <w:pPr>
              <w:spacing w:before="40" w:after="40" w:line="240" w:lineRule="auto"/>
              <w:jc w:val="center"/>
              <w:rPr>
                <w:rFonts w:ascii="Tw Cen MT" w:hAnsi="Tw Cen MT"/>
                <w:b/>
                <w:bCs/>
                <w:sz w:val="20"/>
                <w:szCs w:val="20"/>
              </w:rPr>
            </w:pPr>
            <w:r>
              <w:rPr>
                <w:rFonts w:ascii="Tw Cen MT" w:hAnsi="Tw Cen MT"/>
                <w:b/>
                <w:bCs/>
                <w:sz w:val="20"/>
                <w:szCs w:val="20"/>
              </w:rPr>
              <w:t>15</w:t>
            </w:r>
          </w:p>
        </w:tc>
        <w:tc>
          <w:tcPr>
            <w:tcW w:w="761" w:type="dxa"/>
          </w:tcPr>
          <w:p w14:paraId="5FA941B7" w14:textId="77777777" w:rsidR="00911160" w:rsidRPr="00283220" w:rsidRDefault="00911160" w:rsidP="00911160">
            <w:pPr>
              <w:spacing w:before="40" w:after="40" w:line="240" w:lineRule="auto"/>
              <w:jc w:val="center"/>
              <w:rPr>
                <w:rFonts w:ascii="Tw Cen MT" w:hAnsi="Tw Cen MT"/>
                <w:b/>
                <w:bCs/>
                <w:sz w:val="20"/>
                <w:szCs w:val="20"/>
              </w:rPr>
            </w:pPr>
            <w:r>
              <w:rPr>
                <w:rFonts w:ascii="Tw Cen MT" w:hAnsi="Tw Cen MT"/>
                <w:b/>
                <w:bCs/>
                <w:sz w:val="20"/>
                <w:szCs w:val="20"/>
              </w:rPr>
              <w:t>14,56</w:t>
            </w:r>
          </w:p>
        </w:tc>
        <w:tc>
          <w:tcPr>
            <w:tcW w:w="997" w:type="dxa"/>
            <w:vMerge/>
          </w:tcPr>
          <w:p w14:paraId="7B4AFEBD" w14:textId="77777777" w:rsidR="00911160" w:rsidRPr="00283220" w:rsidRDefault="00911160" w:rsidP="00911160">
            <w:pPr>
              <w:spacing w:before="40" w:after="40" w:line="240" w:lineRule="auto"/>
              <w:jc w:val="center"/>
              <w:rPr>
                <w:rFonts w:ascii="Tw Cen MT" w:hAnsi="Tw Cen MT"/>
                <w:b/>
                <w:bCs/>
                <w:sz w:val="20"/>
                <w:szCs w:val="20"/>
              </w:rPr>
            </w:pPr>
          </w:p>
        </w:tc>
        <w:tc>
          <w:tcPr>
            <w:tcW w:w="708" w:type="dxa"/>
            <w:vMerge/>
          </w:tcPr>
          <w:p w14:paraId="071BA322" w14:textId="77777777" w:rsidR="00911160" w:rsidRPr="00283220" w:rsidRDefault="00911160" w:rsidP="00911160">
            <w:pPr>
              <w:spacing w:before="40" w:after="40" w:line="240" w:lineRule="auto"/>
              <w:jc w:val="center"/>
              <w:rPr>
                <w:rFonts w:ascii="Tw Cen MT" w:hAnsi="Tw Cen MT"/>
                <w:b/>
                <w:bCs/>
                <w:sz w:val="20"/>
                <w:szCs w:val="20"/>
              </w:rPr>
            </w:pPr>
          </w:p>
        </w:tc>
      </w:tr>
    </w:tbl>
    <w:p w14:paraId="2BEC666A" w14:textId="77777777" w:rsidR="00911160" w:rsidRPr="00B35791" w:rsidRDefault="00911160" w:rsidP="00911160">
      <w:pPr>
        <w:spacing w:after="0"/>
        <w:jc w:val="both"/>
        <w:rPr>
          <w:rFonts w:ascii="Tw Cen MT" w:hAnsi="Tw Cen MT"/>
          <w:noProof/>
          <w:sz w:val="24"/>
          <w:szCs w:val="24"/>
          <w:lang w:val="id-ID"/>
        </w:rPr>
      </w:pPr>
      <w:proofErr w:type="gramStart"/>
      <w:r w:rsidRPr="00B35791">
        <w:rPr>
          <w:rFonts w:ascii="Tw Cen MT" w:eastAsia="Twentieth Century" w:hAnsi="Tw Cen MT" w:cs="Twentieth Century"/>
          <w:i/>
          <w:iCs/>
          <w:sz w:val="20"/>
          <w:szCs w:val="20"/>
        </w:rPr>
        <w:t>Source :</w:t>
      </w:r>
      <w:proofErr w:type="gramEnd"/>
      <w:r w:rsidRPr="00B35791">
        <w:rPr>
          <w:rFonts w:ascii="Tw Cen MT" w:eastAsia="Twentieth Century" w:hAnsi="Tw Cen MT" w:cs="Twentieth Century"/>
          <w:i/>
          <w:iCs/>
          <w:sz w:val="20"/>
          <w:szCs w:val="20"/>
        </w:rPr>
        <w:t xml:space="preserve"> </w:t>
      </w:r>
      <w:proofErr w:type="spellStart"/>
      <w:r w:rsidRPr="00B35791">
        <w:rPr>
          <w:rFonts w:ascii="Tw Cen MT" w:eastAsia="Twentieth Century" w:hAnsi="Tw Cen MT" w:cs="Twentieth Century"/>
          <w:i/>
          <w:iCs/>
          <w:sz w:val="20"/>
          <w:szCs w:val="20"/>
        </w:rPr>
        <w:t>primery</w:t>
      </w:r>
      <w:proofErr w:type="spellEnd"/>
      <w:r w:rsidRPr="00B35791">
        <w:rPr>
          <w:rFonts w:ascii="Tw Cen MT" w:eastAsia="Twentieth Century" w:hAnsi="Tw Cen MT" w:cs="Twentieth Century"/>
          <w:i/>
          <w:iCs/>
          <w:sz w:val="20"/>
          <w:szCs w:val="20"/>
        </w:rPr>
        <w:t xml:space="preserve"> data processing</w:t>
      </w:r>
    </w:p>
    <w:p w14:paraId="7FF11673" w14:textId="77777777" w:rsidR="00911160" w:rsidRPr="00911160" w:rsidRDefault="00911160" w:rsidP="00911160">
      <w:pPr>
        <w:spacing w:after="0"/>
        <w:jc w:val="both"/>
        <w:rPr>
          <w:rFonts w:ascii="Tw Cen MT" w:hAnsi="Tw Cen MT"/>
          <w:noProof/>
          <w:sz w:val="24"/>
          <w:szCs w:val="24"/>
          <w:lang w:val="id-ID"/>
        </w:rPr>
      </w:pPr>
    </w:p>
    <w:p w14:paraId="56D7F6ED" w14:textId="50FDDD36" w:rsidR="00017532" w:rsidRDefault="00017532" w:rsidP="00017532">
      <w:pPr>
        <w:pStyle w:val="ListParagraph"/>
        <w:spacing w:after="0"/>
        <w:ind w:left="0" w:firstLine="284"/>
        <w:jc w:val="both"/>
        <w:rPr>
          <w:rFonts w:ascii="Tw Cen MT" w:hAnsi="Tw Cen MT"/>
          <w:noProof/>
          <w:sz w:val="24"/>
          <w:szCs w:val="24"/>
          <w:lang w:val="id-ID"/>
        </w:rPr>
      </w:pPr>
      <w:r w:rsidRPr="00D32B7E">
        <w:rPr>
          <w:rFonts w:ascii="Tw Cen MT" w:hAnsi="Tw Cen MT"/>
          <w:noProof/>
          <w:sz w:val="24"/>
          <w:szCs w:val="24"/>
          <w:lang w:val="id-ID"/>
        </w:rPr>
        <w:t xml:space="preserve">Nilai p-value yang diperoleh sebesar 0,021, yang menunjukkan adanya hubungan yang signifikan secara statistik (dengan tingkat signifikansi </w:t>
      </w:r>
      <w:r w:rsidRPr="00D32B7E">
        <w:rPr>
          <w:rFonts w:cs="Calibri"/>
          <w:noProof/>
          <w:sz w:val="24"/>
          <w:szCs w:val="24"/>
          <w:lang w:val="id-ID"/>
        </w:rPr>
        <w:t>α</w:t>
      </w:r>
      <w:r w:rsidRPr="00D32B7E">
        <w:rPr>
          <w:rFonts w:ascii="Tw Cen MT" w:hAnsi="Tw Cen MT"/>
          <w:noProof/>
          <w:sz w:val="24"/>
          <w:szCs w:val="24"/>
          <w:lang w:val="id-ID"/>
        </w:rPr>
        <w:t xml:space="preserve"> = 0,05). Nilai p-value sebesar 0,021 mengindikasikan bahwa tingkat pendidikan ibu hamil berpengaruh terhadap kemampuan mereka untuk mendeteksi dini risiko tinggi kehamilan. Hal ini menunjukkan bahwa ibu hamil dengan tingkat pendidikan yang lebih tinggi cenderung lebih mampu dalam mengenali tanda-tanda risiko kehamilan dan lebih proaktif dalam melakukan deteksi dini dibandingkan dengan ibu hamil yang memiliki tingkat pendidikan lebih rendah.</w:t>
      </w:r>
    </w:p>
    <w:p w14:paraId="3628C53B" w14:textId="77777777" w:rsidR="00017532" w:rsidRPr="00F4585D"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Nilai OR 2,625 mengindikasikan bahwa ibu hamil dengan tingkat pendidikan lebih tinggi memiliki kemungkinan 2,625 kali lebih besar untuk melakukan deteksi dini risiko tinggi kehamilan dibandingkan dengan ibu hamil yang memiliki pendidikan lebih rendah. Namun, interval kepercayaan yang sangat luas, yaitu dari 0,557 hingga 12,373, menunjukkan adanya ketidakpastian yang signifikan mengenai kekuatan hubungan ini.</w:t>
      </w:r>
    </w:p>
    <w:p w14:paraId="552327D2" w14:textId="77777777" w:rsidR="00017532" w:rsidRPr="00D32B7E"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Rentang yang lebar ini mengindikasikan bahwa hasil tersebut tidak cukup konsisten atau kuat, dan bisa dipengaruhi oleh variabilitas data atau ukuran sampel yang terbatas. Meskipun demikian, hasil ini menunjukkan bahwa tingkat pendidikan berpotensi berkontribusi pada peningkatan deteksi dini risiko kehamilan, sehingga upaya untuk meningkatkan pendidikan kesehatan ibu hamil tetap penting dan relevan.</w:t>
      </w:r>
    </w:p>
    <w:p w14:paraId="40BB96C1" w14:textId="7CE79C92" w:rsidR="00017532" w:rsidRPr="00D32B7E" w:rsidRDefault="00017532" w:rsidP="00017532">
      <w:pPr>
        <w:pStyle w:val="ListParagraph"/>
        <w:spacing w:after="0"/>
        <w:ind w:left="0" w:firstLine="284"/>
        <w:jc w:val="both"/>
        <w:rPr>
          <w:rFonts w:ascii="Tw Cen MT" w:hAnsi="Tw Cen MT"/>
          <w:noProof/>
          <w:sz w:val="24"/>
          <w:szCs w:val="24"/>
          <w:lang w:val="id-ID"/>
        </w:rPr>
      </w:pPr>
      <w:r w:rsidRPr="00D32B7E">
        <w:rPr>
          <w:rFonts w:ascii="Tw Cen MT" w:hAnsi="Tw Cen MT"/>
          <w:noProof/>
          <w:sz w:val="24"/>
          <w:szCs w:val="24"/>
          <w:lang w:val="id-ID"/>
        </w:rPr>
        <w:t xml:space="preserve">Pendidikan berperan penting dalam membentuk pola pikir dan kesadaran ibu hamil terhadap pentingnya menjaga kesehatan selama kehamilan. Ibu hamil yang memiliki pendidikan lebih tinggi cenderung memiliki akses lebih baik terhadap informasi kesehatan, serta lebih mampu memahami dan menganalisis informasi tersebut. Ibu hamil lebih mungkin untuk memahami pentingnya pemeriksaan antenatal secara teratur, mengenali tanda-tanda bahaya, dan mengetahui kapan harus mencari bantuan medis </w:t>
      </w:r>
      <w:r w:rsidRPr="00D32B7E">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{"citationItems":[{"id":"ITEM-1","itemData":{"DOI":"10.58860/ijsh.v2i6.64","abstract":"Pregnancy is the period in the life of an adult woman, lasting approximately nine months, during which the fetus, i.e., the baby, grows inside her body. Certain physiological changes occur in a woman's body to support the growing fetus. The fetus obtains all the necessary nutrients for its growth from the mother's body through the placenta. Therefore, pregnancy is a period characterized by morphological, anatomical, and physiological changes accompanied by high nutritional requirements. The objective of this study was to identify and analyze health awareness during pregnancy in the Chamarajanagara district. The research methodology employed in this study was purposive, and the researcher has over 10 years of experience in the Department of Social Work at Chamarajanagara University, Suvarnagangotri, Chamarajanagara. The study results indicated that pregnant women provided information on their highest educational qualifications, emphasizing the importance of food for the health of both the pregnant woman and her baby. Consequently, pregnant women consume a significant amount of non-vegetarian food, and it was found that a healthy eating pattern is crucial for facilitating easy childbirth. This research has implications in terms of providing a better understanding of health awareness during pregnancy, formulating public policies, and establishing a foundation for the development of educational programs and health promotion initiatives aimed at enhancing health awareness during pregnancy.","author":[{"dropping-particle":"","family":"P","given":"Bhavya","non-dropping-particle":"","parse-names":false,"suffix":""},{"dropping-particle":"","family":"Somashekar","given":"Somashekar","non-dropping-particle":"","parse-names":false,"suffix":""}],"container-title":"International Journal of Social Health","id":"ITEM-1","issue":"6","issued":{"date-parts":[["2023"]]},"page":"391-396","title":"A Study on Health Awareness During Pregnancy with Special Reference to Chamarajanagara District","type":"article-journal","volume":"2"},"uris":["http://www.mendeley.com/documents/?uuid=ac660dda-10ab-464e-a3c5-1304ad25410c"]}],"mendeley":{"formattedCitation":"[13]","plainTextFormattedCitation":"[13]","previouslyFormattedCitation":"[14]"},"properties":{"noteIndex":0},"schema":"https://github.com/citation-style-language/schema/raw/master/csl-citation.json"}</w:instrText>
      </w:r>
      <w:r w:rsidRPr="00D32B7E">
        <w:rPr>
          <w:rFonts w:ascii="Tw Cen MT" w:hAnsi="Tw Cen MT"/>
          <w:noProof/>
          <w:sz w:val="24"/>
          <w:szCs w:val="24"/>
          <w:lang w:val="id-ID"/>
        </w:rPr>
        <w:fldChar w:fldCharType="separate"/>
      </w:r>
      <w:r w:rsidRPr="00017532">
        <w:rPr>
          <w:rFonts w:ascii="Tw Cen MT" w:hAnsi="Tw Cen MT"/>
          <w:noProof/>
          <w:sz w:val="24"/>
          <w:szCs w:val="24"/>
          <w:lang w:val="id-ID"/>
        </w:rPr>
        <w:t>[13]</w:t>
      </w:r>
      <w:r w:rsidRPr="00D32B7E">
        <w:rPr>
          <w:rFonts w:ascii="Tw Cen MT" w:hAnsi="Tw Cen MT"/>
          <w:noProof/>
          <w:sz w:val="24"/>
          <w:szCs w:val="24"/>
          <w:lang w:val="id-ID"/>
        </w:rPr>
        <w:fldChar w:fldCharType="end"/>
      </w:r>
      <w:r w:rsidRPr="00D32B7E">
        <w:rPr>
          <w:rFonts w:ascii="Tw Cen MT" w:hAnsi="Tw Cen MT"/>
          <w:noProof/>
          <w:sz w:val="24"/>
          <w:szCs w:val="24"/>
          <w:lang w:val="id-ID"/>
        </w:rPr>
        <w:t>.</w:t>
      </w:r>
    </w:p>
    <w:p w14:paraId="7793406D" w14:textId="660653C6" w:rsidR="00017532" w:rsidRPr="00D32B7E" w:rsidRDefault="00017532" w:rsidP="00017532">
      <w:pPr>
        <w:pStyle w:val="ListParagraph"/>
        <w:spacing w:after="0"/>
        <w:ind w:left="0" w:firstLine="284"/>
        <w:jc w:val="both"/>
        <w:rPr>
          <w:rFonts w:ascii="Tw Cen MT" w:hAnsi="Tw Cen MT"/>
          <w:noProof/>
          <w:sz w:val="24"/>
          <w:szCs w:val="24"/>
          <w:lang w:val="id-ID"/>
        </w:rPr>
      </w:pPr>
      <w:r w:rsidRPr="00D32B7E">
        <w:rPr>
          <w:rFonts w:ascii="Tw Cen MT" w:hAnsi="Tw Cen MT"/>
          <w:noProof/>
          <w:sz w:val="24"/>
          <w:szCs w:val="24"/>
          <w:lang w:val="id-ID"/>
        </w:rPr>
        <w:t xml:space="preserve">Deteksi dini risiko kehamilan sangat bergantung pada kesadaran dan pengetahuan ibu hamil tentang tanda-tanda komplikasi. Ibu dengan pendidikan yang lebih tinggi cenderung lebih sadar akan berbagai risiko dan lebih termotivasi untuk melakukan pemeriksaan rutin serta konsultasi dengan tenaga kesehatan. Hal ini meningkatkan kemungkinan deteksi dini risiko, yang sangat penting untuk mencegah komplikasi yang lebih serius </w:t>
      </w:r>
      <w:r w:rsidRPr="00D32B7E">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{"citationItems":[{"id":"ITEM-1","itemData":{"DOI":"10.55299/ijcs.v1i2.174","abstract":"Hypertension in pregnant women occurs in about 10% of pregnancies worldwide and is one of the main causes of morbidity and mortality in mothers and their babies. The incidence of hypertension during pregnancy can be triggered by stress experienced by the mother, stress is a condition or condition of the body that is disturbed due to psychological pressure or psychological disease, the age of pregnant women if less than 20 years or more than 35 years can also increase the risk of hypertension. Various kinds of risk factors that cause preeclampsia, one of which is a history of hypertension and nutritional status of pregnant women, pregnant women with a history of hypertension will have a greater risk of experiencing preeclampsia. The counseling method was in the form of direct presentation of lecture material and measurement of blood pressure in pregnant women, amounting to 27 people . Submission of material on early detection of symptoms of hypertension in pregnant women with the effectiveness of the counseling pregnant women can gain knowledge about early detection of symptoms of hypertension in pregnant women.","author":[{"dropping-particle":"","family":"Fitriani","given":"","non-dropping-particle":"","parse-names":false,"suffix":""},{"dropping-particle":"","family":"Sukri","given":"","non-dropping-particle":"","parse-names":false,"suffix":""},{"dropping-particle":"","family":"Efendi","given":"Suradi","non-dropping-particle":"","parse-names":false,"suffix":""},{"dropping-particle":"","family":"Sriyanah","given":"Nour","non-dropping-particle":"","parse-names":false,"suffix":""}],"container-title":"International Journal of Community Service (IJCS)","id":"ITEM-1","issue":"2","issued":{"date-parts":[["2022"]]},"page":"142-147","title":"Early Detection of Hypertension Symptoms in Pregnancy","type":"article-journal","volume":"1"},"uris":["http://www.mendeley.com/documents/?uuid=a7bba266-0b32-42cb-a01b-ff1db683a826"]},{"id":"ITEM-2","itemData":{"DOI":"10.55047/comorbid.v1i4.591","abstract":"Pregnancy is a physiological condition that can become pathological if there are complications that affect the health of both the mother and the baby. Pregnant women need to be aware of potential high-risk pregnancy factors and understand the importance of early detection. Health education is an essential tool for improving pregnant women's knowledge in this area. The aim of this study is to explore the impact of health education on pregnant women's knowledge about high-risk pregnancy. To achieve this, we conducted a review of existing research sources obtained from Google and Google Scholar. The sources were taken within the last five years, from 2018 to 2022. A total of 13 articles were identified, consisting of national and international journals that focused on pregnant women who received interventions in the form of health education about high-risk pregnancy. The findings suggest that health education has a positive impact on pregnant women's knowledge and can help reduce the risks associated with high-risk pregnancies.","author":[{"dropping-particle":"","family":"Handayani","given":"Evika Putri","non-dropping-particle":"","parse-names":false,"suffix":""},{"dropping-particle":"","family":"Jannah","given":"Muliatul","non-dropping-particle":"","parse-names":false,"suffix":""},{"dropping-particle":"","family":"Rahmawati","given":"Alfiah","non-dropping-particle":"","parse-names":false,"suffix":""}],"container-title":"Pharmacology Medical Reports Orthopedic and Illness Details (Comorbid)","id":"ITEM-2","issue":"4","issued":{"date-parts":[["2023"]]},"page":"14-21","title":"Efforts To Increase Pregnant Women'S Knowledge About High-Risk Pregnancy With Health Education","type":"article-journal","volume":"1"},"uris":["http://www.mendeley.com/documents/?uuid=9393fb90-23f9-4185-a88c-e9fe324f5934"]}],"mendeley":{"formattedCitation":"[7], [14]","plainTextFormattedCitation":"[7], [14]","previouslyFormattedCitation":"[8], [15]"},"properties":{"noteIndex":0},"schema":"https://github.com/citation-style-language/schema/raw/master/csl-citation.json"}</w:instrText>
      </w:r>
      <w:r w:rsidRPr="00D32B7E">
        <w:rPr>
          <w:rFonts w:ascii="Tw Cen MT" w:hAnsi="Tw Cen MT"/>
          <w:noProof/>
          <w:sz w:val="24"/>
          <w:szCs w:val="24"/>
          <w:lang w:val="id-ID"/>
        </w:rPr>
        <w:fldChar w:fldCharType="separate"/>
      </w:r>
      <w:r w:rsidRPr="00017532">
        <w:rPr>
          <w:rFonts w:ascii="Tw Cen MT" w:hAnsi="Tw Cen MT"/>
          <w:noProof/>
          <w:sz w:val="24"/>
          <w:szCs w:val="24"/>
          <w:lang w:val="id-ID"/>
        </w:rPr>
        <w:t>[7], [14]</w:t>
      </w:r>
      <w:r w:rsidRPr="00D32B7E">
        <w:rPr>
          <w:rFonts w:ascii="Tw Cen MT" w:hAnsi="Tw Cen MT"/>
          <w:noProof/>
          <w:sz w:val="24"/>
          <w:szCs w:val="24"/>
          <w:lang w:val="id-ID"/>
        </w:rPr>
        <w:fldChar w:fldCharType="end"/>
      </w:r>
      <w:r w:rsidRPr="00D32B7E">
        <w:rPr>
          <w:rFonts w:ascii="Tw Cen MT" w:hAnsi="Tw Cen MT"/>
          <w:noProof/>
          <w:sz w:val="24"/>
          <w:szCs w:val="24"/>
          <w:lang w:val="id-ID"/>
        </w:rPr>
        <w:t xml:space="preserve">. Meskipun temuan ini menunjukkan bahwa pendidikan berhubungan dengan kemampuan untuk mendeteksi dini risiko kehamilan, hal ini juga menyoroti perlunya intervensi khusus bagi ibu hamil dengan pendidikan rendah. Program edukasi yang </w:t>
      </w:r>
      <w:r w:rsidRPr="00D32B7E">
        <w:rPr>
          <w:rFonts w:ascii="Tw Cen MT" w:hAnsi="Tw Cen MT"/>
          <w:noProof/>
          <w:sz w:val="24"/>
          <w:szCs w:val="24"/>
          <w:lang w:val="id-ID"/>
        </w:rPr>
        <w:lastRenderedPageBreak/>
        <w:t xml:space="preserve">dirancang khusus dengan pendekatan yang mudah dipahami dan relevan bagi kelompok ini dapat membantu meningkatkan kesadaran dan pengetahuan mereka tentang pentingnya deteksi dini risiko kehamilan </w:t>
      </w:r>
      <w:r w:rsidRPr="00D32B7E">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{"citationItems":[{"id":"ITEM-1","itemData":{"DOI":"10.7759/cureus.39285","ISSN":"2168-8184","PMID":"37223341","abstract":"INTRODUCTION Antenatal (prenatal) education is a vital role of midwives when giving antenatal care to pregnant women. Particularly in the late stages of pregnancy, antenatal education regarding the natural-labor process, the introduction of labor rooms, coping strategies, and labor-pain management may enhance maternal self-efficacy and perceptions of childbirth. However, educational programs that include birth plans, pain-relief measures, and birth preparation are not a structured part of the Saudi healthcare system. This is the first study to investigate the effect of antenatal education on maternal self-efficacy in Saudi Arabia. The aim of this study was to investigate the effect of an antenatal education program on maternal self-efficacy in primiparous pregnant women and to determine the relationship between maternal self-efficacy and their sociodemographic characteristics in Jeddah, Saudi Arabia. METHODS A randomized control trial (pretest/posttest) design was conducted with 94 primiparous pregnant women. Two groups were compared: an intervention group, which received a structured antenatal educational program (n = 46), and a control group, which received routine antenatal care (n = 48). The childbirth self-efficacy inventory (CBSEI) was used to assess maternal self-efficacy. The data were analyzed using IBM SPSS Statistics for Windows, Version 24 (Released 2016; IBM Corp., Armonk, New York, United States). RESULTS The mean score on the CBSEI pretest was 238.5 ± 237.4 compared to 242.9 ± 276.2 in the posttest mean score, with significant differences (p &lt; .05) in maternal self-efficacy between the pretest and posttest scores for both groups. CONCLUSION The findings of this study suggest that an antenatal educational program could serve as an essential tool, providing access to high-quality information and skills during the antenatal period and significantly enhancing maternal self-efficacy. It is crucial to invest resources to empower and equip pregnant women in ways that promote positive perceptions and boost their confidence regarding childbirth.","author":[{"dropping-particle":"","family":"Somali","given":"Zohour","non-dropping-particle":"Al","parse-names":false,"suffix":""},{"dropping-particle":"","family":"Bajamal","given":"Eman","non-dropping-particle":"","parse-names":false,"suffix":""},{"dropping-particle":"","family":"Esheaba","given":"Ola","non-dropping-particle":"","parse-names":false,"suffix":""}],"container-title":"Cureus Journal","id":"ITEM-1","issue":"5","issued":{"date-parts":[["2023"]]},"title":"The Effect of Structured The Effect of Structured Antenatal Education on Childbirth Self-Efficacy","type":"article-journal","volume":"15"},"uris":["http://www.mendeley.com/documents/?uuid=002441de-28f2-48ed-b2d8-24dfcf55ece1"]}],"mendeley":{"formattedCitation":"[9]","plainTextFormattedCitation":"[9]","previouslyFormattedCitation":"[10]"},"properties":{"noteIndex":0},"schema":"https://github.com/citation-style-language/schema/raw/master/csl-citation.json"}</w:instrText>
      </w:r>
      <w:r w:rsidRPr="00D32B7E">
        <w:rPr>
          <w:rFonts w:ascii="Tw Cen MT" w:hAnsi="Tw Cen MT"/>
          <w:noProof/>
          <w:sz w:val="24"/>
          <w:szCs w:val="24"/>
          <w:lang w:val="id-ID"/>
        </w:rPr>
        <w:fldChar w:fldCharType="separate"/>
      </w:r>
      <w:r w:rsidRPr="00017532">
        <w:rPr>
          <w:rFonts w:ascii="Tw Cen MT" w:hAnsi="Tw Cen MT"/>
          <w:noProof/>
          <w:sz w:val="24"/>
          <w:szCs w:val="24"/>
          <w:lang w:val="id-ID"/>
        </w:rPr>
        <w:t>[9]</w:t>
      </w:r>
      <w:r w:rsidRPr="00D32B7E">
        <w:rPr>
          <w:rFonts w:ascii="Tw Cen MT" w:hAnsi="Tw Cen MT"/>
          <w:noProof/>
          <w:sz w:val="24"/>
          <w:szCs w:val="24"/>
          <w:lang w:val="id-ID"/>
        </w:rPr>
        <w:fldChar w:fldCharType="end"/>
      </w:r>
      <w:r w:rsidRPr="00D32B7E">
        <w:rPr>
          <w:rFonts w:ascii="Tw Cen MT" w:hAnsi="Tw Cen MT"/>
          <w:noProof/>
          <w:sz w:val="24"/>
          <w:szCs w:val="24"/>
          <w:lang w:val="id-ID"/>
        </w:rPr>
        <w:t>.</w:t>
      </w:r>
    </w:p>
    <w:p w14:paraId="671B9F64" w14:textId="77777777" w:rsidR="00017532" w:rsidRPr="00D32B7E" w:rsidRDefault="00017532" w:rsidP="00017532">
      <w:pPr>
        <w:pStyle w:val="ListParagraph"/>
        <w:spacing w:after="0"/>
        <w:ind w:left="0" w:firstLine="284"/>
        <w:jc w:val="both"/>
        <w:rPr>
          <w:rFonts w:ascii="Tw Cen MT" w:hAnsi="Tw Cen MT"/>
          <w:noProof/>
          <w:sz w:val="24"/>
          <w:szCs w:val="24"/>
          <w:lang w:val="id-ID"/>
        </w:rPr>
      </w:pPr>
      <w:r w:rsidRPr="00D32B7E">
        <w:rPr>
          <w:rFonts w:ascii="Tw Cen MT" w:hAnsi="Tw Cen MT"/>
          <w:noProof/>
          <w:sz w:val="24"/>
          <w:szCs w:val="24"/>
          <w:lang w:val="id-ID"/>
        </w:rPr>
        <w:t>Tenaga kesehatan di Puskesmas dan layanan kesehatan lainnya perlu memainkan peran aktif dalam menjangkau ibu hamil dengan tingkat pendidikan lebih rendah. Mereka harus memberikan informasi kesehatan dengan cara yang lebih komunikatif dan mudah dipahami, serta memastikan bahwa ibu hamil ini merasa didukung dan dipandu dalam proses kehamilan mereka. Penggunaan metode pendidikan yang interaktif dan berbasis komunitas juga dapat efektif dalam menjembatani kesenjangan informasi ini. Hasil penelitian ini menunjukkan bahwa terdapat hubungan signifikan antara tingkat pendidikan ibu hamil dan kemampuan mereka dalam mendeteksi dini risiko tinggi kehamilan, sebagaimana dibuktikan oleh nilai p-value sebesar 0,021. Ini menegaskan bahwa pendidikan memainkan peran penting dalam peningkatan deteksi dini risiko kehamilan. Oleh karena itu, upaya peningkatan pendidikan dan akses informasi kesehatan bagi ibu hamil, terutama yang memiliki pendidikan rendah, harus menjadi prioritas dalam program-program kesehatan ibu dan anak. Edukasi kesehatan yang disesuaikan dengan kebutuhan dan kemampuan pemahaman ibu hamil perlu ditingkatkan untuk mendorong deteksi dini yang lebih efektif.</w:t>
      </w:r>
    </w:p>
    <w:p w14:paraId="29BE9AAB" w14:textId="77777777" w:rsidR="00017532" w:rsidRDefault="00017532" w:rsidP="00017532">
      <w:pPr>
        <w:pStyle w:val="ListParagraph"/>
        <w:spacing w:after="0" w:line="240" w:lineRule="auto"/>
        <w:ind w:left="0" w:firstLine="284"/>
        <w:jc w:val="both"/>
        <w:rPr>
          <w:rFonts w:ascii="Tw Cen MT" w:hAnsi="Tw Cen MT"/>
          <w:sz w:val="24"/>
          <w:szCs w:val="24"/>
        </w:rPr>
      </w:pPr>
    </w:p>
    <w:p w14:paraId="104055B6" w14:textId="77777777" w:rsidR="00017532" w:rsidRPr="00500701" w:rsidRDefault="00017532" w:rsidP="00017532">
      <w:pPr>
        <w:pStyle w:val="ListParagraph"/>
        <w:numPr>
          <w:ilvl w:val="0"/>
          <w:numId w:val="5"/>
        </w:numPr>
        <w:spacing w:after="0" w:line="240" w:lineRule="auto"/>
        <w:ind w:left="284"/>
        <w:jc w:val="both"/>
        <w:rPr>
          <w:rFonts w:ascii="Tw Cen MT" w:hAnsi="Tw Cen MT"/>
          <w:b/>
          <w:bCs/>
          <w:sz w:val="24"/>
          <w:szCs w:val="24"/>
        </w:rPr>
      </w:pPr>
      <w:r w:rsidRPr="00500701">
        <w:rPr>
          <w:rFonts w:ascii="Tw Cen MT" w:hAnsi="Tw Cen MT"/>
          <w:b/>
          <w:bCs/>
          <w:sz w:val="24"/>
          <w:szCs w:val="24"/>
        </w:rPr>
        <w:t>Hubungan antara asuransi kesehatan dengan deteksi dini resiko tinggi kehamilan</w:t>
      </w:r>
    </w:p>
    <w:p w14:paraId="31AE0D87" w14:textId="2C426BD6" w:rsidR="00911160" w:rsidRDefault="00911160" w:rsidP="00017532">
      <w:pPr>
        <w:pStyle w:val="ListParagraph"/>
        <w:spacing w:after="0"/>
        <w:ind w:left="0" w:firstLine="284"/>
        <w:jc w:val="both"/>
        <w:rPr>
          <w:rFonts w:ascii="Tw Cen MT" w:hAnsi="Tw Cen MT"/>
          <w:noProof/>
          <w:sz w:val="24"/>
          <w:szCs w:val="24"/>
          <w:lang w:val="id-ID"/>
        </w:rPr>
      </w:pPr>
      <w:r>
        <w:rPr>
          <w:rFonts w:ascii="Tw Cen MT" w:hAnsi="Tw Cen MT"/>
          <w:noProof/>
          <w:sz w:val="24"/>
          <w:szCs w:val="24"/>
          <w:lang w:val="id-ID"/>
        </w:rPr>
        <w:t>Hasil analisa hubungan asuransi kesehatan dengan deteksi dini resiko tinggi kehamilan dapat dilihat pada tabel di bawah ini:</w:t>
      </w:r>
    </w:p>
    <w:p w14:paraId="4E357693" w14:textId="19BF180F" w:rsidR="00911160" w:rsidRPr="00911160" w:rsidRDefault="00911160" w:rsidP="00911160">
      <w:pPr>
        <w:pStyle w:val="ListParagraph"/>
        <w:spacing w:after="0" w:line="240" w:lineRule="auto"/>
        <w:ind w:left="284"/>
        <w:jc w:val="center"/>
        <w:rPr>
          <w:rFonts w:ascii="Tw Cen MT" w:eastAsia="Twentieth Century" w:hAnsi="Tw Cen MT" w:cs="Twentieth Century"/>
          <w:sz w:val="20"/>
          <w:szCs w:val="20"/>
        </w:rPr>
      </w:pPr>
      <w:r w:rsidRPr="003E590E">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5</w:t>
      </w:r>
      <w:r w:rsidRPr="003E590E">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Hasil analisa hubungan antara </w:t>
      </w:r>
      <w:r>
        <w:rPr>
          <w:rFonts w:ascii="Tw Cen MT" w:eastAsia="Twentieth Century" w:hAnsi="Tw Cen MT" w:cs="Twentieth Century"/>
          <w:sz w:val="20"/>
          <w:szCs w:val="20"/>
        </w:rPr>
        <w:t>asuransi kesehatan</w:t>
      </w:r>
      <w:r>
        <w:rPr>
          <w:rFonts w:ascii="Tw Cen MT" w:eastAsia="Twentieth Century" w:hAnsi="Tw Cen MT" w:cs="Twentieth Century"/>
          <w:sz w:val="20"/>
          <w:szCs w:val="20"/>
        </w:rPr>
        <w:t xml:space="preserve"> dengan deteksi dini resiko tinggi kehamilan</w:t>
      </w:r>
    </w:p>
    <w:tbl>
      <w:tblPr>
        <w:tblW w:w="56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563"/>
        <w:gridCol w:w="853"/>
        <w:gridCol w:w="513"/>
        <w:gridCol w:w="761"/>
        <w:gridCol w:w="997"/>
        <w:gridCol w:w="708"/>
      </w:tblGrid>
      <w:tr w:rsidR="00911160" w:rsidRPr="00283220" w14:paraId="3D69DB0D" w14:textId="77777777" w:rsidTr="00911160">
        <w:tblPrEx>
          <w:tblCellMar>
            <w:top w:w="0" w:type="dxa"/>
            <w:bottom w:w="0" w:type="dxa"/>
          </w:tblCellMar>
        </w:tblPrEx>
        <w:trPr>
          <w:cantSplit/>
          <w:trHeight w:val="454"/>
        </w:trPr>
        <w:tc>
          <w:tcPr>
            <w:tcW w:w="1275" w:type="dxa"/>
            <w:vMerge w:val="restart"/>
            <w:vAlign w:val="center"/>
          </w:tcPr>
          <w:p w14:paraId="7412B280" w14:textId="470BAF21" w:rsidR="00911160" w:rsidRPr="00283220" w:rsidRDefault="00911160" w:rsidP="00E63B00">
            <w:pPr>
              <w:spacing w:line="240" w:lineRule="auto"/>
              <w:ind w:right="-44"/>
              <w:rPr>
                <w:rFonts w:ascii="Tw Cen MT" w:hAnsi="Tw Cen MT"/>
                <w:b/>
                <w:bCs/>
                <w:sz w:val="20"/>
                <w:szCs w:val="20"/>
                <w:lang w:val="nb-NO"/>
              </w:rPr>
            </w:pPr>
            <w:r>
              <w:rPr>
                <w:rFonts w:ascii="Tw Cen MT" w:hAnsi="Tw Cen MT"/>
                <w:b/>
                <w:bCs/>
                <w:sz w:val="20"/>
                <w:szCs w:val="20"/>
                <w:lang w:val="nb-NO"/>
              </w:rPr>
              <w:t>Asuransi Kesehatan</w:t>
            </w:r>
            <w:r w:rsidRPr="00283220">
              <w:rPr>
                <w:rFonts w:ascii="Tw Cen MT" w:hAnsi="Tw Cen MT"/>
                <w:b/>
                <w:bCs/>
                <w:sz w:val="20"/>
                <w:szCs w:val="20"/>
                <w:lang w:val="nb-NO"/>
              </w:rPr>
              <w:t xml:space="preserve"> </w:t>
            </w:r>
          </w:p>
        </w:tc>
        <w:tc>
          <w:tcPr>
            <w:tcW w:w="2690" w:type="dxa"/>
            <w:gridSpan w:val="4"/>
            <w:vAlign w:val="center"/>
          </w:tcPr>
          <w:p w14:paraId="0C56D52F" w14:textId="77777777" w:rsidR="00911160" w:rsidRPr="00283220" w:rsidRDefault="00911160" w:rsidP="00E63B00">
            <w:pPr>
              <w:spacing w:line="240" w:lineRule="auto"/>
              <w:jc w:val="center"/>
              <w:rPr>
                <w:rFonts w:ascii="Tw Cen MT" w:hAnsi="Tw Cen MT"/>
                <w:b/>
                <w:bCs/>
                <w:sz w:val="20"/>
                <w:szCs w:val="20"/>
              </w:rPr>
            </w:pPr>
            <w:r>
              <w:rPr>
                <w:rFonts w:ascii="Tw Cen MT" w:hAnsi="Tw Cen MT"/>
                <w:b/>
                <w:bCs/>
                <w:sz w:val="20"/>
                <w:szCs w:val="20"/>
              </w:rPr>
              <w:t>Deteksi dini resiko tinggi kehamilan</w:t>
            </w:r>
          </w:p>
        </w:tc>
        <w:tc>
          <w:tcPr>
            <w:tcW w:w="997" w:type="dxa"/>
            <w:vMerge w:val="restart"/>
            <w:vAlign w:val="center"/>
          </w:tcPr>
          <w:p w14:paraId="7A3D2923" w14:textId="77777777" w:rsidR="00911160" w:rsidRPr="00283220" w:rsidRDefault="00911160" w:rsidP="00E63B00">
            <w:pPr>
              <w:spacing w:line="240" w:lineRule="auto"/>
              <w:jc w:val="center"/>
              <w:rPr>
                <w:rFonts w:ascii="Tw Cen MT" w:hAnsi="Tw Cen MT"/>
                <w:b/>
                <w:bCs/>
                <w:sz w:val="20"/>
                <w:szCs w:val="20"/>
              </w:rPr>
            </w:pPr>
            <w:r w:rsidRPr="00283220">
              <w:rPr>
                <w:rFonts w:ascii="Tw Cen MT" w:hAnsi="Tw Cen MT"/>
                <w:b/>
                <w:bCs/>
                <w:sz w:val="20"/>
                <w:szCs w:val="20"/>
              </w:rPr>
              <w:t>OR</w:t>
            </w:r>
            <w:r>
              <w:rPr>
                <w:rFonts w:ascii="Tw Cen MT" w:hAnsi="Tw Cen MT"/>
                <w:b/>
                <w:bCs/>
                <w:sz w:val="20"/>
                <w:szCs w:val="20"/>
              </w:rPr>
              <w:t xml:space="preserve"> </w:t>
            </w:r>
            <w:r w:rsidRPr="00283220">
              <w:rPr>
                <w:rFonts w:ascii="Tw Cen MT" w:hAnsi="Tw Cen MT"/>
                <w:b/>
                <w:bCs/>
                <w:sz w:val="20"/>
                <w:szCs w:val="20"/>
              </w:rPr>
              <w:t>95%</w:t>
            </w:r>
          </w:p>
        </w:tc>
        <w:tc>
          <w:tcPr>
            <w:tcW w:w="708" w:type="dxa"/>
            <w:vMerge w:val="restart"/>
          </w:tcPr>
          <w:p w14:paraId="17602558" w14:textId="77777777" w:rsidR="00911160" w:rsidRDefault="00911160" w:rsidP="00E63B00">
            <w:pPr>
              <w:spacing w:line="240" w:lineRule="auto"/>
              <w:jc w:val="center"/>
              <w:rPr>
                <w:rFonts w:ascii="Tw Cen MT" w:hAnsi="Tw Cen MT"/>
                <w:b/>
                <w:bCs/>
                <w:sz w:val="20"/>
                <w:szCs w:val="20"/>
              </w:rPr>
            </w:pPr>
          </w:p>
          <w:p w14:paraId="5E855DBC" w14:textId="77777777" w:rsidR="00911160" w:rsidRPr="00283220" w:rsidRDefault="00911160" w:rsidP="00E63B00">
            <w:pPr>
              <w:spacing w:line="240" w:lineRule="auto"/>
              <w:jc w:val="center"/>
              <w:rPr>
                <w:rFonts w:ascii="Tw Cen MT" w:hAnsi="Tw Cen MT"/>
                <w:b/>
                <w:bCs/>
                <w:sz w:val="20"/>
                <w:szCs w:val="20"/>
              </w:rPr>
            </w:pPr>
            <w:r>
              <w:rPr>
                <w:rFonts w:ascii="Tw Cen MT" w:hAnsi="Tw Cen MT"/>
                <w:b/>
                <w:bCs/>
                <w:sz w:val="20"/>
                <w:szCs w:val="20"/>
              </w:rPr>
              <w:t>P value</w:t>
            </w:r>
          </w:p>
        </w:tc>
      </w:tr>
      <w:tr w:rsidR="00911160" w:rsidRPr="00283220" w14:paraId="16870B3A" w14:textId="77777777" w:rsidTr="00911160">
        <w:tblPrEx>
          <w:tblCellMar>
            <w:top w:w="0" w:type="dxa"/>
            <w:bottom w:w="0" w:type="dxa"/>
          </w:tblCellMar>
        </w:tblPrEx>
        <w:trPr>
          <w:cantSplit/>
          <w:trHeight w:val="578"/>
        </w:trPr>
        <w:tc>
          <w:tcPr>
            <w:tcW w:w="1275" w:type="dxa"/>
            <w:vMerge/>
            <w:vAlign w:val="center"/>
          </w:tcPr>
          <w:p w14:paraId="21054ED3" w14:textId="77777777" w:rsidR="00911160" w:rsidRPr="00283220" w:rsidRDefault="00911160" w:rsidP="00E63B00">
            <w:pPr>
              <w:spacing w:line="240" w:lineRule="auto"/>
              <w:jc w:val="center"/>
              <w:rPr>
                <w:rFonts w:ascii="Tw Cen MT" w:hAnsi="Tw Cen MT"/>
                <w:b/>
                <w:bCs/>
                <w:sz w:val="20"/>
                <w:szCs w:val="20"/>
              </w:rPr>
            </w:pPr>
          </w:p>
        </w:tc>
        <w:tc>
          <w:tcPr>
            <w:tcW w:w="1416" w:type="dxa"/>
            <w:gridSpan w:val="2"/>
            <w:vAlign w:val="center"/>
          </w:tcPr>
          <w:p w14:paraId="63ADCAF8" w14:textId="77777777" w:rsidR="00911160" w:rsidRPr="00283220" w:rsidRDefault="00911160" w:rsidP="00E63B00">
            <w:pPr>
              <w:spacing w:line="240" w:lineRule="auto"/>
              <w:jc w:val="center"/>
              <w:rPr>
                <w:rFonts w:ascii="Tw Cen MT" w:hAnsi="Tw Cen MT"/>
                <w:b/>
                <w:bCs/>
                <w:sz w:val="20"/>
                <w:szCs w:val="20"/>
              </w:rPr>
            </w:pPr>
            <w:r>
              <w:rPr>
                <w:rFonts w:ascii="Tw Cen MT" w:hAnsi="Tw Cen MT"/>
                <w:b/>
                <w:bCs/>
                <w:sz w:val="20"/>
                <w:szCs w:val="20"/>
              </w:rPr>
              <w:t>Melakukan</w:t>
            </w:r>
          </w:p>
        </w:tc>
        <w:tc>
          <w:tcPr>
            <w:tcW w:w="1274" w:type="dxa"/>
            <w:gridSpan w:val="2"/>
            <w:vAlign w:val="center"/>
          </w:tcPr>
          <w:p w14:paraId="1D506F87" w14:textId="77777777" w:rsidR="00911160" w:rsidRPr="00283220" w:rsidRDefault="00911160" w:rsidP="00E63B00">
            <w:pPr>
              <w:spacing w:line="240" w:lineRule="auto"/>
              <w:jc w:val="center"/>
              <w:rPr>
                <w:rFonts w:ascii="Tw Cen MT" w:hAnsi="Tw Cen MT"/>
                <w:b/>
                <w:bCs/>
                <w:sz w:val="20"/>
                <w:szCs w:val="20"/>
              </w:rPr>
            </w:pPr>
            <w:r w:rsidRPr="00283220">
              <w:rPr>
                <w:rFonts w:ascii="Tw Cen MT" w:hAnsi="Tw Cen MT"/>
                <w:b/>
                <w:bCs/>
                <w:sz w:val="20"/>
                <w:szCs w:val="20"/>
              </w:rPr>
              <w:t xml:space="preserve">Kurang </w:t>
            </w:r>
            <w:r>
              <w:rPr>
                <w:rFonts w:ascii="Tw Cen MT" w:hAnsi="Tw Cen MT"/>
                <w:b/>
                <w:bCs/>
                <w:sz w:val="20"/>
                <w:szCs w:val="20"/>
              </w:rPr>
              <w:t>Melakukan</w:t>
            </w:r>
          </w:p>
        </w:tc>
        <w:tc>
          <w:tcPr>
            <w:tcW w:w="997" w:type="dxa"/>
            <w:vMerge/>
            <w:vAlign w:val="center"/>
          </w:tcPr>
          <w:p w14:paraId="31D342F2" w14:textId="77777777" w:rsidR="00911160" w:rsidRPr="00283220" w:rsidRDefault="00911160" w:rsidP="00E63B00">
            <w:pPr>
              <w:spacing w:line="240" w:lineRule="auto"/>
              <w:jc w:val="center"/>
              <w:rPr>
                <w:rFonts w:ascii="Tw Cen MT" w:hAnsi="Tw Cen MT"/>
                <w:b/>
                <w:bCs/>
                <w:sz w:val="20"/>
                <w:szCs w:val="20"/>
              </w:rPr>
            </w:pPr>
          </w:p>
        </w:tc>
        <w:tc>
          <w:tcPr>
            <w:tcW w:w="708" w:type="dxa"/>
            <w:vMerge/>
          </w:tcPr>
          <w:p w14:paraId="10BBFA89" w14:textId="77777777" w:rsidR="00911160" w:rsidRPr="00283220" w:rsidRDefault="00911160" w:rsidP="00E63B00">
            <w:pPr>
              <w:spacing w:line="240" w:lineRule="auto"/>
              <w:jc w:val="center"/>
              <w:rPr>
                <w:rFonts w:ascii="Tw Cen MT" w:hAnsi="Tw Cen MT"/>
                <w:b/>
                <w:bCs/>
                <w:sz w:val="20"/>
                <w:szCs w:val="20"/>
              </w:rPr>
            </w:pPr>
          </w:p>
        </w:tc>
      </w:tr>
      <w:tr w:rsidR="00911160" w:rsidRPr="00283220" w14:paraId="36420481" w14:textId="77777777" w:rsidTr="00911160">
        <w:tblPrEx>
          <w:tblCellMar>
            <w:top w:w="0" w:type="dxa"/>
            <w:bottom w:w="0" w:type="dxa"/>
          </w:tblCellMar>
        </w:tblPrEx>
        <w:trPr>
          <w:cantSplit/>
        </w:trPr>
        <w:tc>
          <w:tcPr>
            <w:tcW w:w="1275" w:type="dxa"/>
            <w:vMerge/>
          </w:tcPr>
          <w:p w14:paraId="55C65F0D" w14:textId="77777777" w:rsidR="00911160" w:rsidRPr="00283220" w:rsidRDefault="00911160" w:rsidP="00E63B00">
            <w:pPr>
              <w:spacing w:line="240" w:lineRule="auto"/>
              <w:jc w:val="center"/>
              <w:rPr>
                <w:rFonts w:ascii="Tw Cen MT" w:hAnsi="Tw Cen MT"/>
                <w:b/>
                <w:bCs/>
                <w:sz w:val="20"/>
                <w:szCs w:val="20"/>
              </w:rPr>
            </w:pPr>
          </w:p>
        </w:tc>
        <w:tc>
          <w:tcPr>
            <w:tcW w:w="563" w:type="dxa"/>
          </w:tcPr>
          <w:p w14:paraId="36394B4B" w14:textId="77777777" w:rsidR="00911160" w:rsidRPr="00283220" w:rsidRDefault="00911160" w:rsidP="00E63B00">
            <w:pPr>
              <w:spacing w:line="240" w:lineRule="auto"/>
              <w:jc w:val="center"/>
              <w:rPr>
                <w:rFonts w:ascii="Tw Cen MT" w:hAnsi="Tw Cen MT"/>
                <w:b/>
                <w:bCs/>
                <w:sz w:val="20"/>
                <w:szCs w:val="20"/>
              </w:rPr>
            </w:pPr>
            <w:r w:rsidRPr="00283220">
              <w:rPr>
                <w:rFonts w:ascii="Tw Cen MT" w:hAnsi="Tw Cen MT"/>
                <w:b/>
                <w:bCs/>
                <w:sz w:val="20"/>
                <w:szCs w:val="20"/>
              </w:rPr>
              <w:t>N</w:t>
            </w:r>
          </w:p>
        </w:tc>
        <w:tc>
          <w:tcPr>
            <w:tcW w:w="853" w:type="dxa"/>
          </w:tcPr>
          <w:p w14:paraId="4F0A405B" w14:textId="77777777" w:rsidR="00911160" w:rsidRPr="00283220" w:rsidRDefault="00911160" w:rsidP="00E63B00">
            <w:pPr>
              <w:spacing w:line="240" w:lineRule="auto"/>
              <w:jc w:val="center"/>
              <w:rPr>
                <w:rFonts w:ascii="Tw Cen MT" w:hAnsi="Tw Cen MT"/>
                <w:b/>
                <w:bCs/>
                <w:sz w:val="20"/>
                <w:szCs w:val="20"/>
              </w:rPr>
            </w:pPr>
            <w:r w:rsidRPr="00283220">
              <w:rPr>
                <w:rFonts w:ascii="Tw Cen MT" w:hAnsi="Tw Cen MT"/>
                <w:b/>
                <w:bCs/>
                <w:sz w:val="20"/>
                <w:szCs w:val="20"/>
              </w:rPr>
              <w:t>%</w:t>
            </w:r>
          </w:p>
        </w:tc>
        <w:tc>
          <w:tcPr>
            <w:tcW w:w="513" w:type="dxa"/>
          </w:tcPr>
          <w:p w14:paraId="5753C12B" w14:textId="77777777" w:rsidR="00911160" w:rsidRPr="00283220" w:rsidRDefault="00911160" w:rsidP="00E63B00">
            <w:pPr>
              <w:spacing w:line="240" w:lineRule="auto"/>
              <w:jc w:val="center"/>
              <w:rPr>
                <w:rFonts w:ascii="Tw Cen MT" w:hAnsi="Tw Cen MT"/>
                <w:b/>
                <w:bCs/>
                <w:sz w:val="20"/>
                <w:szCs w:val="20"/>
              </w:rPr>
            </w:pPr>
            <w:r w:rsidRPr="00283220">
              <w:rPr>
                <w:rFonts w:ascii="Tw Cen MT" w:hAnsi="Tw Cen MT"/>
                <w:b/>
                <w:bCs/>
                <w:sz w:val="20"/>
                <w:szCs w:val="20"/>
              </w:rPr>
              <w:t>N</w:t>
            </w:r>
          </w:p>
        </w:tc>
        <w:tc>
          <w:tcPr>
            <w:tcW w:w="761" w:type="dxa"/>
          </w:tcPr>
          <w:p w14:paraId="43266DDB" w14:textId="77777777" w:rsidR="00911160" w:rsidRPr="00283220" w:rsidRDefault="00911160" w:rsidP="00E63B00">
            <w:pPr>
              <w:spacing w:line="240" w:lineRule="auto"/>
              <w:jc w:val="center"/>
              <w:rPr>
                <w:rFonts w:ascii="Tw Cen MT" w:hAnsi="Tw Cen MT"/>
                <w:b/>
                <w:bCs/>
                <w:sz w:val="20"/>
                <w:szCs w:val="20"/>
              </w:rPr>
            </w:pPr>
            <w:r w:rsidRPr="00283220">
              <w:rPr>
                <w:rFonts w:ascii="Tw Cen MT" w:hAnsi="Tw Cen MT"/>
                <w:b/>
                <w:bCs/>
                <w:sz w:val="20"/>
                <w:szCs w:val="20"/>
              </w:rPr>
              <w:t>%</w:t>
            </w:r>
          </w:p>
        </w:tc>
        <w:tc>
          <w:tcPr>
            <w:tcW w:w="997" w:type="dxa"/>
            <w:vMerge/>
          </w:tcPr>
          <w:p w14:paraId="34513F3B" w14:textId="77777777" w:rsidR="00911160" w:rsidRPr="00283220" w:rsidRDefault="00911160" w:rsidP="00E63B00">
            <w:pPr>
              <w:spacing w:line="240" w:lineRule="auto"/>
              <w:jc w:val="center"/>
              <w:rPr>
                <w:rFonts w:ascii="Tw Cen MT" w:hAnsi="Tw Cen MT"/>
                <w:b/>
                <w:bCs/>
                <w:sz w:val="20"/>
                <w:szCs w:val="20"/>
              </w:rPr>
            </w:pPr>
          </w:p>
        </w:tc>
        <w:tc>
          <w:tcPr>
            <w:tcW w:w="708" w:type="dxa"/>
            <w:vMerge/>
          </w:tcPr>
          <w:p w14:paraId="2BF377A7" w14:textId="77777777" w:rsidR="00911160" w:rsidRPr="00283220" w:rsidRDefault="00911160" w:rsidP="00E63B00">
            <w:pPr>
              <w:spacing w:line="240" w:lineRule="auto"/>
              <w:jc w:val="center"/>
              <w:rPr>
                <w:rFonts w:ascii="Tw Cen MT" w:hAnsi="Tw Cen MT"/>
                <w:b/>
                <w:bCs/>
                <w:sz w:val="20"/>
                <w:szCs w:val="20"/>
              </w:rPr>
            </w:pPr>
          </w:p>
        </w:tc>
      </w:tr>
      <w:tr w:rsidR="00911160" w:rsidRPr="00283220" w14:paraId="6C395F9F" w14:textId="77777777" w:rsidTr="00911160">
        <w:tblPrEx>
          <w:tblCellMar>
            <w:top w:w="0" w:type="dxa"/>
            <w:bottom w:w="0" w:type="dxa"/>
          </w:tblCellMar>
        </w:tblPrEx>
        <w:tc>
          <w:tcPr>
            <w:tcW w:w="1275" w:type="dxa"/>
          </w:tcPr>
          <w:p w14:paraId="1DB3A39B" w14:textId="6999106E" w:rsidR="00911160" w:rsidRPr="00283220" w:rsidRDefault="00911160" w:rsidP="00911160">
            <w:pPr>
              <w:pStyle w:val="Header"/>
              <w:rPr>
                <w:rFonts w:ascii="Tw Cen MT" w:hAnsi="Tw Cen MT"/>
                <w:sz w:val="20"/>
                <w:szCs w:val="20"/>
              </w:rPr>
            </w:pPr>
            <w:r>
              <w:rPr>
                <w:rFonts w:ascii="Tw Cen MT" w:hAnsi="Tw Cen MT"/>
                <w:sz w:val="20"/>
                <w:szCs w:val="20"/>
              </w:rPr>
              <w:t>Ada</w:t>
            </w:r>
          </w:p>
          <w:p w14:paraId="0F982384" w14:textId="77777777" w:rsidR="00911160" w:rsidRPr="00283220" w:rsidRDefault="00911160" w:rsidP="00911160">
            <w:pPr>
              <w:pStyle w:val="Header"/>
              <w:rPr>
                <w:rFonts w:ascii="Tw Cen MT" w:hAnsi="Tw Cen MT"/>
                <w:sz w:val="20"/>
                <w:szCs w:val="20"/>
              </w:rPr>
            </w:pPr>
          </w:p>
          <w:p w14:paraId="5A9726E3" w14:textId="2903912F" w:rsidR="00911160" w:rsidRPr="00283220" w:rsidRDefault="00911160" w:rsidP="00911160">
            <w:pPr>
              <w:pStyle w:val="Header"/>
              <w:rPr>
                <w:rFonts w:ascii="Tw Cen MT" w:hAnsi="Tw Cen MT"/>
                <w:sz w:val="20"/>
                <w:szCs w:val="20"/>
              </w:rPr>
            </w:pPr>
            <w:r>
              <w:rPr>
                <w:rFonts w:ascii="Tw Cen MT" w:hAnsi="Tw Cen MT"/>
                <w:sz w:val="20"/>
                <w:szCs w:val="20"/>
              </w:rPr>
              <w:t>Tidak ada</w:t>
            </w:r>
          </w:p>
        </w:tc>
        <w:tc>
          <w:tcPr>
            <w:tcW w:w="563" w:type="dxa"/>
          </w:tcPr>
          <w:p w14:paraId="73BBCB8C" w14:textId="05221BD3" w:rsidR="00911160" w:rsidRPr="00283220" w:rsidRDefault="00FC3A84" w:rsidP="00911160">
            <w:pPr>
              <w:spacing w:line="240" w:lineRule="auto"/>
              <w:jc w:val="center"/>
              <w:rPr>
                <w:rFonts w:ascii="Tw Cen MT" w:hAnsi="Tw Cen MT"/>
                <w:sz w:val="20"/>
                <w:szCs w:val="20"/>
              </w:rPr>
            </w:pPr>
            <w:r>
              <w:rPr>
                <w:rFonts w:ascii="Tw Cen MT" w:hAnsi="Tw Cen MT"/>
                <w:sz w:val="20"/>
                <w:szCs w:val="20"/>
              </w:rPr>
              <w:t>64</w:t>
            </w:r>
          </w:p>
          <w:p w14:paraId="067CA815" w14:textId="08DDF8C5" w:rsidR="00911160" w:rsidRPr="00283220" w:rsidRDefault="00FC3A84" w:rsidP="00911160">
            <w:pPr>
              <w:spacing w:line="240" w:lineRule="auto"/>
              <w:jc w:val="center"/>
              <w:rPr>
                <w:rFonts w:ascii="Tw Cen MT" w:hAnsi="Tw Cen MT"/>
                <w:sz w:val="20"/>
                <w:szCs w:val="20"/>
              </w:rPr>
            </w:pPr>
            <w:r>
              <w:rPr>
                <w:rFonts w:ascii="Tw Cen MT" w:hAnsi="Tw Cen MT"/>
                <w:sz w:val="20"/>
                <w:szCs w:val="20"/>
              </w:rPr>
              <w:t>24</w:t>
            </w:r>
          </w:p>
        </w:tc>
        <w:tc>
          <w:tcPr>
            <w:tcW w:w="853" w:type="dxa"/>
          </w:tcPr>
          <w:p w14:paraId="7748E898" w14:textId="32BC8B4D" w:rsidR="00911160" w:rsidRPr="00283220" w:rsidRDefault="00FC3A84" w:rsidP="00911160">
            <w:pPr>
              <w:spacing w:line="240" w:lineRule="auto"/>
              <w:jc w:val="center"/>
              <w:rPr>
                <w:rFonts w:ascii="Tw Cen MT" w:hAnsi="Tw Cen MT"/>
                <w:sz w:val="20"/>
                <w:szCs w:val="20"/>
              </w:rPr>
            </w:pPr>
            <w:r>
              <w:rPr>
                <w:rFonts w:ascii="Tw Cen MT" w:hAnsi="Tw Cen MT"/>
                <w:sz w:val="20"/>
                <w:szCs w:val="20"/>
              </w:rPr>
              <w:t>86,48</w:t>
            </w:r>
          </w:p>
          <w:p w14:paraId="43100D8C" w14:textId="1932F78B" w:rsidR="00911160" w:rsidRPr="00283220" w:rsidRDefault="00FC3A84" w:rsidP="00911160">
            <w:pPr>
              <w:spacing w:line="240" w:lineRule="auto"/>
              <w:jc w:val="center"/>
              <w:rPr>
                <w:rFonts w:ascii="Tw Cen MT" w:hAnsi="Tw Cen MT"/>
                <w:sz w:val="20"/>
                <w:szCs w:val="20"/>
              </w:rPr>
            </w:pPr>
            <w:r>
              <w:rPr>
                <w:rFonts w:ascii="Tw Cen MT" w:hAnsi="Tw Cen MT"/>
                <w:sz w:val="20"/>
                <w:szCs w:val="20"/>
              </w:rPr>
              <w:t>82,75</w:t>
            </w:r>
          </w:p>
        </w:tc>
        <w:tc>
          <w:tcPr>
            <w:tcW w:w="513" w:type="dxa"/>
          </w:tcPr>
          <w:p w14:paraId="59E4974A" w14:textId="089232AA" w:rsidR="00911160" w:rsidRPr="00283220" w:rsidRDefault="00911160" w:rsidP="00911160">
            <w:pPr>
              <w:spacing w:line="240" w:lineRule="auto"/>
              <w:jc w:val="center"/>
              <w:rPr>
                <w:rFonts w:ascii="Tw Cen MT" w:hAnsi="Tw Cen MT"/>
                <w:sz w:val="20"/>
                <w:szCs w:val="20"/>
              </w:rPr>
            </w:pPr>
            <w:r w:rsidRPr="00283220">
              <w:rPr>
                <w:rFonts w:ascii="Tw Cen MT" w:hAnsi="Tw Cen MT"/>
                <w:sz w:val="20"/>
                <w:szCs w:val="20"/>
              </w:rPr>
              <w:t>1</w:t>
            </w:r>
            <w:r w:rsidR="00FC3A84">
              <w:rPr>
                <w:rFonts w:ascii="Tw Cen MT" w:hAnsi="Tw Cen MT"/>
                <w:sz w:val="20"/>
                <w:szCs w:val="20"/>
              </w:rPr>
              <w:t>0</w:t>
            </w:r>
          </w:p>
          <w:p w14:paraId="318CCD26" w14:textId="436C08D0" w:rsidR="00911160" w:rsidRPr="00283220" w:rsidRDefault="00FC3A84" w:rsidP="00911160">
            <w:pPr>
              <w:spacing w:line="240" w:lineRule="auto"/>
              <w:jc w:val="center"/>
              <w:rPr>
                <w:rFonts w:ascii="Tw Cen MT" w:hAnsi="Tw Cen MT"/>
                <w:sz w:val="20"/>
                <w:szCs w:val="20"/>
              </w:rPr>
            </w:pPr>
            <w:r>
              <w:rPr>
                <w:rFonts w:ascii="Tw Cen MT" w:hAnsi="Tw Cen MT"/>
                <w:sz w:val="20"/>
                <w:szCs w:val="20"/>
              </w:rPr>
              <w:t>5</w:t>
            </w:r>
          </w:p>
        </w:tc>
        <w:tc>
          <w:tcPr>
            <w:tcW w:w="761" w:type="dxa"/>
          </w:tcPr>
          <w:p w14:paraId="01A6E76D" w14:textId="0C6C32C5" w:rsidR="00911160" w:rsidRPr="00283220" w:rsidRDefault="00FC3A84" w:rsidP="00911160">
            <w:pPr>
              <w:spacing w:line="240" w:lineRule="auto"/>
              <w:jc w:val="center"/>
              <w:rPr>
                <w:rFonts w:ascii="Tw Cen MT" w:hAnsi="Tw Cen MT"/>
                <w:sz w:val="20"/>
                <w:szCs w:val="20"/>
              </w:rPr>
            </w:pPr>
            <w:r>
              <w:rPr>
                <w:rFonts w:ascii="Tw Cen MT" w:hAnsi="Tw Cen MT"/>
                <w:sz w:val="20"/>
                <w:szCs w:val="20"/>
              </w:rPr>
              <w:t>13,52</w:t>
            </w:r>
          </w:p>
          <w:p w14:paraId="7B08F20C" w14:textId="57E0D9D6" w:rsidR="00911160" w:rsidRPr="00283220" w:rsidRDefault="00FC3A84" w:rsidP="00911160">
            <w:pPr>
              <w:spacing w:line="240" w:lineRule="auto"/>
              <w:jc w:val="center"/>
              <w:rPr>
                <w:rFonts w:ascii="Tw Cen MT" w:hAnsi="Tw Cen MT"/>
                <w:sz w:val="20"/>
                <w:szCs w:val="20"/>
              </w:rPr>
            </w:pPr>
            <w:r>
              <w:rPr>
                <w:rFonts w:ascii="Tw Cen MT" w:hAnsi="Tw Cen MT"/>
                <w:sz w:val="20"/>
                <w:szCs w:val="20"/>
              </w:rPr>
              <w:t>17,25</w:t>
            </w:r>
          </w:p>
        </w:tc>
        <w:tc>
          <w:tcPr>
            <w:tcW w:w="997" w:type="dxa"/>
            <w:vMerge w:val="restart"/>
          </w:tcPr>
          <w:p w14:paraId="1682629C" w14:textId="77777777" w:rsidR="00911160" w:rsidRDefault="00911160" w:rsidP="00911160">
            <w:pPr>
              <w:jc w:val="center"/>
              <w:rPr>
                <w:rFonts w:ascii="Tw Cen MT" w:hAnsi="Tw Cen MT"/>
                <w:noProof/>
                <w:sz w:val="20"/>
                <w:szCs w:val="20"/>
                <w:lang w:val="id-ID"/>
              </w:rPr>
            </w:pPr>
            <w:r>
              <w:rPr>
                <w:rFonts w:ascii="Tw Cen MT" w:hAnsi="Tw Cen MT"/>
                <w:noProof/>
                <w:sz w:val="20"/>
                <w:szCs w:val="20"/>
                <w:lang w:val="id-ID"/>
              </w:rPr>
              <w:t>3</w:t>
            </w:r>
            <w:r w:rsidRPr="003E590E">
              <w:rPr>
                <w:rFonts w:ascii="Tw Cen MT" w:hAnsi="Tw Cen MT"/>
                <w:noProof/>
                <w:sz w:val="20"/>
                <w:szCs w:val="20"/>
                <w:lang w:val="id-ID"/>
              </w:rPr>
              <w:t xml:space="preserve">,317 </w:t>
            </w:r>
          </w:p>
          <w:p w14:paraId="63CE175B" w14:textId="230DAB01" w:rsidR="00911160" w:rsidRPr="00283220" w:rsidRDefault="00911160" w:rsidP="00911160">
            <w:pPr>
              <w:spacing w:line="240" w:lineRule="auto"/>
              <w:jc w:val="center"/>
              <w:rPr>
                <w:rFonts w:ascii="Tw Cen MT" w:hAnsi="Tw Cen MT"/>
                <w:sz w:val="20"/>
                <w:szCs w:val="20"/>
              </w:rPr>
            </w:pPr>
            <w:r w:rsidRPr="003E590E">
              <w:rPr>
                <w:rFonts w:ascii="Tw Cen MT" w:hAnsi="Tw Cen MT"/>
                <w:noProof/>
                <w:sz w:val="20"/>
                <w:szCs w:val="20"/>
                <w:lang w:val="id-ID"/>
              </w:rPr>
              <w:t>(</w:t>
            </w:r>
            <w:r>
              <w:rPr>
                <w:rFonts w:ascii="Tw Cen MT" w:hAnsi="Tw Cen MT"/>
                <w:noProof/>
                <w:sz w:val="20"/>
                <w:szCs w:val="20"/>
                <w:lang w:val="id-ID"/>
              </w:rPr>
              <w:t>1</w:t>
            </w:r>
            <w:r w:rsidRPr="003E590E">
              <w:rPr>
                <w:rFonts w:ascii="Tw Cen MT" w:hAnsi="Tw Cen MT"/>
                <w:noProof/>
                <w:sz w:val="20"/>
                <w:szCs w:val="20"/>
                <w:lang w:val="id-ID"/>
              </w:rPr>
              <w:t>,120-</w:t>
            </w:r>
            <w:r>
              <w:rPr>
                <w:rFonts w:ascii="Tw Cen MT" w:hAnsi="Tw Cen MT"/>
                <w:noProof/>
                <w:sz w:val="20"/>
                <w:szCs w:val="20"/>
                <w:lang w:val="id-ID"/>
              </w:rPr>
              <w:t>13</w:t>
            </w:r>
            <w:r w:rsidRPr="003E590E">
              <w:rPr>
                <w:rFonts w:ascii="Tw Cen MT" w:hAnsi="Tw Cen MT"/>
                <w:noProof/>
                <w:sz w:val="20"/>
                <w:szCs w:val="20"/>
                <w:lang w:val="id-ID"/>
              </w:rPr>
              <w:t>,837)</w:t>
            </w:r>
          </w:p>
        </w:tc>
        <w:tc>
          <w:tcPr>
            <w:tcW w:w="708" w:type="dxa"/>
            <w:vMerge w:val="restart"/>
          </w:tcPr>
          <w:p w14:paraId="09F0F74E" w14:textId="77777777" w:rsidR="00911160" w:rsidRPr="003E590E" w:rsidRDefault="00911160" w:rsidP="00911160">
            <w:pPr>
              <w:jc w:val="center"/>
              <w:rPr>
                <w:rFonts w:ascii="Tw Cen MT" w:hAnsi="Tw Cen MT"/>
                <w:noProof/>
                <w:sz w:val="20"/>
                <w:szCs w:val="20"/>
                <w:lang w:val="id-ID"/>
              </w:rPr>
            </w:pPr>
          </w:p>
          <w:p w14:paraId="12629D4D" w14:textId="7C4C29D3" w:rsidR="00911160" w:rsidRDefault="00911160" w:rsidP="00911160">
            <w:pPr>
              <w:spacing w:line="240" w:lineRule="auto"/>
              <w:jc w:val="center"/>
              <w:rPr>
                <w:rFonts w:ascii="Tw Cen MT" w:hAnsi="Tw Cen MT"/>
                <w:sz w:val="20"/>
                <w:szCs w:val="20"/>
              </w:rPr>
            </w:pPr>
            <w:r w:rsidRPr="003E590E">
              <w:rPr>
                <w:rFonts w:ascii="Tw Cen MT" w:hAnsi="Tw Cen MT"/>
                <w:noProof/>
                <w:sz w:val="20"/>
                <w:szCs w:val="20"/>
                <w:lang w:val="id-ID"/>
              </w:rPr>
              <w:t>0,017</w:t>
            </w:r>
          </w:p>
        </w:tc>
      </w:tr>
      <w:tr w:rsidR="00911160" w:rsidRPr="00283220" w14:paraId="7B921A70" w14:textId="77777777" w:rsidTr="00911160">
        <w:tblPrEx>
          <w:tblCellMar>
            <w:top w:w="0" w:type="dxa"/>
            <w:bottom w:w="0" w:type="dxa"/>
          </w:tblCellMar>
        </w:tblPrEx>
        <w:tc>
          <w:tcPr>
            <w:tcW w:w="1275" w:type="dxa"/>
          </w:tcPr>
          <w:p w14:paraId="70164FFE" w14:textId="77777777" w:rsidR="00911160" w:rsidRPr="00283220" w:rsidRDefault="00911160" w:rsidP="00E63B00">
            <w:pPr>
              <w:pStyle w:val="Header"/>
              <w:spacing w:before="40" w:after="40"/>
              <w:jc w:val="center"/>
              <w:rPr>
                <w:rFonts w:ascii="Tw Cen MT" w:hAnsi="Tw Cen MT"/>
                <w:b/>
                <w:bCs/>
                <w:sz w:val="20"/>
                <w:szCs w:val="20"/>
              </w:rPr>
            </w:pPr>
            <w:r w:rsidRPr="00283220">
              <w:rPr>
                <w:rFonts w:ascii="Tw Cen MT" w:hAnsi="Tw Cen MT"/>
                <w:b/>
                <w:bCs/>
                <w:sz w:val="20"/>
                <w:szCs w:val="20"/>
              </w:rPr>
              <w:t>Total</w:t>
            </w:r>
          </w:p>
        </w:tc>
        <w:tc>
          <w:tcPr>
            <w:tcW w:w="563" w:type="dxa"/>
          </w:tcPr>
          <w:p w14:paraId="2307BF95" w14:textId="77777777" w:rsidR="00911160" w:rsidRPr="00283220" w:rsidRDefault="00911160" w:rsidP="00E63B00">
            <w:pPr>
              <w:spacing w:before="40" w:after="40" w:line="240" w:lineRule="auto"/>
              <w:jc w:val="center"/>
              <w:rPr>
                <w:rFonts w:ascii="Tw Cen MT" w:hAnsi="Tw Cen MT"/>
                <w:b/>
                <w:bCs/>
                <w:sz w:val="20"/>
                <w:szCs w:val="20"/>
              </w:rPr>
            </w:pPr>
            <w:r>
              <w:rPr>
                <w:rFonts w:ascii="Tw Cen MT" w:hAnsi="Tw Cen MT"/>
                <w:b/>
                <w:bCs/>
                <w:sz w:val="20"/>
                <w:szCs w:val="20"/>
              </w:rPr>
              <w:t>88</w:t>
            </w:r>
          </w:p>
        </w:tc>
        <w:tc>
          <w:tcPr>
            <w:tcW w:w="853" w:type="dxa"/>
          </w:tcPr>
          <w:p w14:paraId="7B4D77CA" w14:textId="77777777" w:rsidR="00911160" w:rsidRPr="00283220" w:rsidRDefault="00911160" w:rsidP="00E63B00">
            <w:pPr>
              <w:spacing w:before="40" w:after="40" w:line="240" w:lineRule="auto"/>
              <w:jc w:val="center"/>
              <w:rPr>
                <w:rFonts w:ascii="Tw Cen MT" w:hAnsi="Tw Cen MT"/>
                <w:b/>
                <w:bCs/>
                <w:sz w:val="20"/>
                <w:szCs w:val="20"/>
              </w:rPr>
            </w:pPr>
            <w:r>
              <w:rPr>
                <w:rFonts w:ascii="Tw Cen MT" w:hAnsi="Tw Cen MT"/>
                <w:b/>
                <w:bCs/>
                <w:sz w:val="20"/>
                <w:szCs w:val="20"/>
              </w:rPr>
              <w:t>85,43</w:t>
            </w:r>
          </w:p>
        </w:tc>
        <w:tc>
          <w:tcPr>
            <w:tcW w:w="513" w:type="dxa"/>
          </w:tcPr>
          <w:p w14:paraId="65F97738" w14:textId="77777777" w:rsidR="00911160" w:rsidRPr="00283220" w:rsidRDefault="00911160" w:rsidP="00E63B00">
            <w:pPr>
              <w:spacing w:before="40" w:after="40" w:line="240" w:lineRule="auto"/>
              <w:jc w:val="center"/>
              <w:rPr>
                <w:rFonts w:ascii="Tw Cen MT" w:hAnsi="Tw Cen MT"/>
                <w:b/>
                <w:bCs/>
                <w:sz w:val="20"/>
                <w:szCs w:val="20"/>
              </w:rPr>
            </w:pPr>
            <w:r>
              <w:rPr>
                <w:rFonts w:ascii="Tw Cen MT" w:hAnsi="Tw Cen MT"/>
                <w:b/>
                <w:bCs/>
                <w:sz w:val="20"/>
                <w:szCs w:val="20"/>
              </w:rPr>
              <w:t>15</w:t>
            </w:r>
          </w:p>
        </w:tc>
        <w:tc>
          <w:tcPr>
            <w:tcW w:w="761" w:type="dxa"/>
          </w:tcPr>
          <w:p w14:paraId="2E5F7C7B" w14:textId="77777777" w:rsidR="00911160" w:rsidRPr="00283220" w:rsidRDefault="00911160" w:rsidP="00E63B00">
            <w:pPr>
              <w:spacing w:before="40" w:after="40" w:line="240" w:lineRule="auto"/>
              <w:jc w:val="center"/>
              <w:rPr>
                <w:rFonts w:ascii="Tw Cen MT" w:hAnsi="Tw Cen MT"/>
                <w:b/>
                <w:bCs/>
                <w:sz w:val="20"/>
                <w:szCs w:val="20"/>
              </w:rPr>
            </w:pPr>
            <w:r>
              <w:rPr>
                <w:rFonts w:ascii="Tw Cen MT" w:hAnsi="Tw Cen MT"/>
                <w:b/>
                <w:bCs/>
                <w:sz w:val="20"/>
                <w:szCs w:val="20"/>
              </w:rPr>
              <w:t>14,56</w:t>
            </w:r>
          </w:p>
        </w:tc>
        <w:tc>
          <w:tcPr>
            <w:tcW w:w="997" w:type="dxa"/>
            <w:vMerge/>
          </w:tcPr>
          <w:p w14:paraId="20374C0F" w14:textId="77777777" w:rsidR="00911160" w:rsidRPr="00283220" w:rsidRDefault="00911160" w:rsidP="00E63B00">
            <w:pPr>
              <w:spacing w:before="40" w:after="40" w:line="240" w:lineRule="auto"/>
              <w:jc w:val="center"/>
              <w:rPr>
                <w:rFonts w:ascii="Tw Cen MT" w:hAnsi="Tw Cen MT"/>
                <w:b/>
                <w:bCs/>
                <w:sz w:val="20"/>
                <w:szCs w:val="20"/>
              </w:rPr>
            </w:pPr>
          </w:p>
        </w:tc>
        <w:tc>
          <w:tcPr>
            <w:tcW w:w="708" w:type="dxa"/>
            <w:vMerge/>
          </w:tcPr>
          <w:p w14:paraId="046D98F8" w14:textId="77777777" w:rsidR="00911160" w:rsidRPr="00283220" w:rsidRDefault="00911160" w:rsidP="00E63B00">
            <w:pPr>
              <w:spacing w:before="40" w:after="40" w:line="240" w:lineRule="auto"/>
              <w:jc w:val="center"/>
              <w:rPr>
                <w:rFonts w:ascii="Tw Cen MT" w:hAnsi="Tw Cen MT"/>
                <w:b/>
                <w:bCs/>
                <w:sz w:val="20"/>
                <w:szCs w:val="20"/>
              </w:rPr>
            </w:pPr>
          </w:p>
        </w:tc>
      </w:tr>
    </w:tbl>
    <w:p w14:paraId="2F0D2B4E" w14:textId="77777777" w:rsidR="00911160" w:rsidRPr="00B35791" w:rsidRDefault="00911160" w:rsidP="00911160">
      <w:pPr>
        <w:spacing w:after="0"/>
        <w:jc w:val="both"/>
        <w:rPr>
          <w:rFonts w:ascii="Tw Cen MT" w:hAnsi="Tw Cen MT"/>
          <w:noProof/>
          <w:sz w:val="24"/>
          <w:szCs w:val="24"/>
          <w:lang w:val="id-ID"/>
        </w:rPr>
      </w:pPr>
      <w:proofErr w:type="gramStart"/>
      <w:r w:rsidRPr="00B35791">
        <w:rPr>
          <w:rFonts w:ascii="Tw Cen MT" w:eastAsia="Twentieth Century" w:hAnsi="Tw Cen MT" w:cs="Twentieth Century"/>
          <w:i/>
          <w:iCs/>
          <w:sz w:val="20"/>
          <w:szCs w:val="20"/>
        </w:rPr>
        <w:t>Source :</w:t>
      </w:r>
      <w:proofErr w:type="gramEnd"/>
      <w:r w:rsidRPr="00B35791">
        <w:rPr>
          <w:rFonts w:ascii="Tw Cen MT" w:eastAsia="Twentieth Century" w:hAnsi="Tw Cen MT" w:cs="Twentieth Century"/>
          <w:i/>
          <w:iCs/>
          <w:sz w:val="20"/>
          <w:szCs w:val="20"/>
        </w:rPr>
        <w:t xml:space="preserve"> </w:t>
      </w:r>
      <w:proofErr w:type="spellStart"/>
      <w:r w:rsidRPr="00B35791">
        <w:rPr>
          <w:rFonts w:ascii="Tw Cen MT" w:eastAsia="Twentieth Century" w:hAnsi="Tw Cen MT" w:cs="Twentieth Century"/>
          <w:i/>
          <w:iCs/>
          <w:sz w:val="20"/>
          <w:szCs w:val="20"/>
        </w:rPr>
        <w:t>primery</w:t>
      </w:r>
      <w:proofErr w:type="spellEnd"/>
      <w:r w:rsidRPr="00B35791">
        <w:rPr>
          <w:rFonts w:ascii="Tw Cen MT" w:eastAsia="Twentieth Century" w:hAnsi="Tw Cen MT" w:cs="Twentieth Century"/>
          <w:i/>
          <w:iCs/>
          <w:sz w:val="20"/>
          <w:szCs w:val="20"/>
        </w:rPr>
        <w:t xml:space="preserve"> data processing</w:t>
      </w:r>
    </w:p>
    <w:p w14:paraId="423F5607" w14:textId="77777777" w:rsidR="00911160" w:rsidRPr="00911160" w:rsidRDefault="00911160" w:rsidP="00911160">
      <w:pPr>
        <w:spacing w:after="0"/>
        <w:jc w:val="both"/>
        <w:rPr>
          <w:rFonts w:ascii="Tw Cen MT" w:hAnsi="Tw Cen MT"/>
          <w:noProof/>
          <w:sz w:val="24"/>
          <w:szCs w:val="24"/>
          <w:lang w:val="id-ID"/>
        </w:rPr>
      </w:pPr>
    </w:p>
    <w:p w14:paraId="0F24D474" w14:textId="717BB3CF" w:rsidR="00017532"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 xml:space="preserve">Nilai p-value yang diperoleh sebesar 0,017, yang berarti hubungan ini signifikan secara statistik (dengan tingkat signifikansi </w:t>
      </w:r>
      <w:r w:rsidRPr="00F4585D">
        <w:rPr>
          <w:rFonts w:cs="Calibri"/>
          <w:noProof/>
          <w:sz w:val="24"/>
          <w:szCs w:val="24"/>
          <w:lang w:val="id-ID"/>
        </w:rPr>
        <w:t>α</w:t>
      </w:r>
      <w:r w:rsidRPr="00F4585D">
        <w:rPr>
          <w:rFonts w:ascii="Tw Cen MT" w:hAnsi="Tw Cen MT"/>
          <w:noProof/>
          <w:sz w:val="24"/>
          <w:szCs w:val="24"/>
          <w:lang w:val="id-ID"/>
        </w:rPr>
        <w:t xml:space="preserve"> = 0,05). Nilai p-value sebesar 0,017 mengindikasikan bahwa ibu hamil yang memiliki asuransi kesehatan lebih cenderung melakukan deteksi dini terhadap risiko tinggi kehamilan dibandingkan dengan mereka yang tidak memiliki asuransi. Kepemilikan asuransi kesehatan memberikan akses yang lebih baik terhadap layanan kesehatan, termasuk pemeriksaan antenatal rutin dan layanan medis lainnya yang dapat membantu dalam mendeteksi komplikasi kehamilan lebih awal.</w:t>
      </w:r>
    </w:p>
    <w:p w14:paraId="12F71580" w14:textId="77777777" w:rsidR="00017532" w:rsidRPr="00500701" w:rsidRDefault="00017532" w:rsidP="00017532">
      <w:pPr>
        <w:pStyle w:val="ListParagraph"/>
        <w:spacing w:after="0"/>
        <w:ind w:left="0" w:firstLine="284"/>
        <w:jc w:val="both"/>
        <w:rPr>
          <w:rFonts w:ascii="Tw Cen MT" w:hAnsi="Tw Cen MT"/>
          <w:noProof/>
          <w:sz w:val="24"/>
          <w:szCs w:val="24"/>
          <w:lang w:val="id-ID"/>
        </w:rPr>
      </w:pPr>
      <w:r w:rsidRPr="00500701">
        <w:rPr>
          <w:rFonts w:ascii="Tw Cen MT" w:hAnsi="Tw Cen MT"/>
          <w:noProof/>
          <w:sz w:val="24"/>
          <w:szCs w:val="24"/>
          <w:lang w:val="id-ID"/>
        </w:rPr>
        <w:t xml:space="preserve">Nilai OR 3,317 mengindikasikan bahwa ibu hamil yang memiliki asuransi kesehatan memiliki kemungkinan 3,317 kali lebih besar untuk melakukan deteksi dini risiko tinggi kehamilan dibandingkan dengan ibu hamil yang tidak memiliki asuransi kesehatan. Interval kepercayaan yang tidak mencakup nilai 1 (1,120-13,837) menunjukkan bahwa </w:t>
      </w:r>
      <w:r w:rsidRPr="00500701">
        <w:rPr>
          <w:rFonts w:ascii="Tw Cen MT" w:hAnsi="Tw Cen MT"/>
          <w:noProof/>
          <w:sz w:val="24"/>
          <w:szCs w:val="24"/>
          <w:lang w:val="id-ID"/>
        </w:rPr>
        <w:lastRenderedPageBreak/>
        <w:t>hubungan ini signifikan secara statistik dan memberikan keyakinan bahwa kepemilikan asuransi kesehatan berperan penting dalam meningkatkan deteksi dini.</w:t>
      </w:r>
    </w:p>
    <w:p w14:paraId="2C007B2F" w14:textId="77777777" w:rsidR="00017532" w:rsidRPr="00F4585D" w:rsidRDefault="00017532" w:rsidP="00017532">
      <w:pPr>
        <w:pStyle w:val="ListParagraph"/>
        <w:spacing w:after="0"/>
        <w:ind w:left="0" w:firstLine="284"/>
        <w:jc w:val="both"/>
        <w:rPr>
          <w:rFonts w:ascii="Tw Cen MT" w:hAnsi="Tw Cen MT"/>
          <w:noProof/>
          <w:sz w:val="24"/>
          <w:szCs w:val="24"/>
          <w:lang w:val="id-ID"/>
        </w:rPr>
      </w:pPr>
      <w:r w:rsidRPr="00500701">
        <w:rPr>
          <w:rFonts w:ascii="Tw Cen MT" w:hAnsi="Tw Cen MT"/>
          <w:noProof/>
          <w:sz w:val="24"/>
          <w:szCs w:val="24"/>
          <w:lang w:val="id-ID"/>
        </w:rPr>
        <w:t>Temuan ini menyoroti bahwa akses yang lebih baik ke layanan kesehatan, yang seringkali dimungkinkan oleh adanya asuransi kesehatan, dapat meningkatkan kemungkinan deteksi dini risiko tinggi kehamilan. Oleh karena itu, perluasan cakupan asuransi kesehatan dan peningkatan aksesibilitas layanan medis menjadi langkah strategis dalam meningkatkan kesehatan ibu hamil dan mencegah komplikasi serius.</w:t>
      </w:r>
    </w:p>
    <w:p w14:paraId="29828FF2" w14:textId="459638C0" w:rsidR="00017532" w:rsidRPr="00F4585D"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 xml:space="preserve">Asuransi kesehatan memainkan peran penting dalam aksesibilitas layanan kesehatan bagi ibu hamil. Dengan adanya asuransi, biaya pemeriksaan kehamilan dan tindakan medis lainnya dapat lebih terjangkau, sehingga ibu hamil lebih termotivasi untuk memanfaatkan layanan tersebut. Ini sangat penting dalam konteks deteksi dini, di mana pemeriksaan rutin dapat mengidentifikasi tanda-tanda risiko sebelum menjadi lebih serius </w:t>
      </w:r>
      <w:r w:rsidRPr="00F4585D">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{"citationItems":[{"id":"ITEM-1","itemData":{"DOI":"http://dx.doi.org/10.5772/intechopen.106431","author":[{"dropping-particle":"","family":"Feyisa","given":"Diriba","non-dropping-particle":"","parse-names":false,"suffix":""}],"container-title":"Health Insurance","id":"ITEM-1","issued":{"date-parts":[["2022"]]},"page":"1-14","publisher-place":"London: IntechOpen","title":"Toward Universal Health Coverage : The Role of Health Insurance","type":"chapter"},"uris":["http://www.mendeley.com/documents/?uuid=8be0cdb1-f6b0-4d8d-91ba-58587eb38312"]}],"mendeley":{"formattedCitation":"[15]","plainTextFormattedCitation":"[15]","previouslyFormattedCitation":"[16]"},"properties":{"noteIndex":0},"schema":"https://github.com/citation-style-language/schema/raw/master/csl-citation.json"}</w:instrText>
      </w:r>
      <w:r w:rsidRPr="00F4585D">
        <w:rPr>
          <w:rFonts w:ascii="Tw Cen MT" w:hAnsi="Tw Cen MT"/>
          <w:noProof/>
          <w:sz w:val="24"/>
          <w:szCs w:val="24"/>
          <w:lang w:val="id-ID"/>
        </w:rPr>
        <w:fldChar w:fldCharType="separate"/>
      </w:r>
      <w:r w:rsidRPr="00017532">
        <w:rPr>
          <w:rFonts w:ascii="Tw Cen MT" w:hAnsi="Tw Cen MT"/>
          <w:noProof/>
          <w:sz w:val="24"/>
          <w:szCs w:val="24"/>
          <w:lang w:val="id-ID"/>
        </w:rPr>
        <w:t>[15]</w:t>
      </w:r>
      <w:r w:rsidRPr="00F4585D">
        <w:rPr>
          <w:rFonts w:ascii="Tw Cen MT" w:hAnsi="Tw Cen MT"/>
          <w:noProof/>
          <w:sz w:val="24"/>
          <w:szCs w:val="24"/>
          <w:lang w:val="id-ID"/>
        </w:rPr>
        <w:fldChar w:fldCharType="end"/>
      </w:r>
      <w:r w:rsidRPr="00F4585D">
        <w:rPr>
          <w:rFonts w:ascii="Tw Cen MT" w:hAnsi="Tw Cen MT"/>
          <w:noProof/>
          <w:sz w:val="24"/>
          <w:szCs w:val="24"/>
          <w:lang w:val="id-ID"/>
        </w:rPr>
        <w:t>. Ibu hamil yang memiliki asuransi kesehatan mungkin lebih terdorong untuk melakukan pemeriksaan antenatal secara teratur karena mereka tidak perlu khawatir tentang biaya yang harus dikeluarkan. Pemeriksaan rutin ini memungkinkan tenaga kesehatan untuk memonitor perkembangan kehamilan secara lebih ketat dan mengidentifikasi faktor risiko lebih awal. Sebaliknya, ibu yang tidak memiliki asuransi mungkin menunda atau bahkan menghindari pemeriksaan karena keterbatasan finansial, yang dapat mengurangi peluang deteksi dini risiko</w:t>
      </w:r>
      <w:r w:rsidRPr="00F4585D">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{"citationItems":[{"id":"ITEM-1","itemData":{"DOI":"https://doi.org/10.21203/rs.3.rs-2855451/v1 License:","URL":"https://doi.org/10.21203/rs.3.rs-2855451/v1","abstract":"Background","author":[{"dropping-particle":"","family":"Hamzah","given":"Haidar Ali","non-dropping-particle":"","parse-names":false,"suffix":""},{"dropping-particle":"","family":"Aadhanti","given":"Putri Mahirah","non-dropping-particle":"","parse-names":false,"suffix":""},{"dropping-particle":"","family":"Raka","given":"Kharin","non-dropping-particle":"","parse-names":false,"suffix":""},{"dropping-particle":"","family":"Romadhan","given":"Muhammad Despriansyah","non-dropping-particle":"","parse-names":false,"suffix":""},{"dropping-particle":"","family":"Deanasa","given":"Raehan Satya","non-dropping-particle":"","parse-names":false,"suffix":""},{"dropping-particle":"","family":"Farhan","given":"Muhammad","non-dropping-particle":"","parse-names":false,"suffix":""},{"dropping-particle":"","family":"Chang","given":"Patrick","non-dropping-particle":"","parse-names":false,"suffix":""}],"container-title":"Research Square","id":"ITEM-1","issued":{"date-parts":[["2023"]]},"page":"1-10","title":"The Impact of Health Insurance on Maternal Health Care in Indonesia: A Systematic Review","type":"webpage"},"uris":["http://www.mendeley.com/documents/?uuid=6a3dcd61-59a9-4426-851a-0389ca7711c3"]},{"id":"ITEM-2","itemData":{"DOI":"10.30604/jika.v8i2.2046","ISSN":"2502-4825","abstract":"Most of pregnancy women experience anxiety during pregnancy, both of in high-income and low-middle income countries. Financial security supported by the easiness access to the healthcare facility were important to the antenatal anxiety. Mother’s age, mother’s and husband’s working status will decrease anxiety in facing delivery. This study aimed to examine the effect of socioeconomic factors including working status, family income, health insurance, accessibility to the healthcare facility, and mother’s age to the prenatal anxiety of women in Indonesia. This study was a cross-sectional study conducted between April-May 2022 to examine the effect of socioeconomic factors to the prenatal anxiety. 155 pregnancy women in a Maternal Clinic participated in this study, chosen used consecutive sampling. Multiple linear regression has been used to explore the predictive and protective factors related to the prenatal anxiety. Majority of mother and husband’s age were 20-35 years old, with most of them graduated from Senior High School. Mother dominated mother’s working status without employment and or housewives while husband worked in non-government institutions. Only few of mother used the private insurance as their healthcare insurance and public transportation to go to the healthcare facility. Two of socioeconomic factors found significantly affected the prenatal anxiety including the distance to access the healthcare facility (.020, B: -.163) and wife’s age (.000, B: -.510). The distance between residence to the healthcare facility and mother’s age were socioeconomic factors affected the prenatal anxiety. Other factors could help mother have better preparation in pregnancy and facing delivery. Abstrak:  Mayoritas Ibu hamil mengalami kecemasan selama kehamilan, baik pada negara-negara dengan pendapatan tinggi dan menengah ke bawah. Keamanan keuangan didukung dengan kemudahan dalam mengakses fasilitas kesehatan penting bagi kecemasan sebelum persalinan. Usia ibu, status bekerja Ibu dan suami akan membantu menurunkan kecemasan menghadapi persalinan. Penelitian ini bertujuan untuk menguji pengaruh faktor sosial dan ekonomi yang terdiri dari status bekerja, pendapatan keluarga, asuransi kesehatan, akses terhadap fasilitas kesehatan, dan usia Ibu terhadap kecemasan persalinan Ibu di Indonesia. Penelitian ini merupakan penelitian cross-sectional yang dilaksanakan pada April-Mei 2022 untuk menguji faktor sosial dan ekonomi dengan kecemasan persalinan. Mayoritas usia…","author":[{"dropping-particle":"","family":"Imamah","given":"Nur Fithriyanti","non-dropping-particle":"","parse-names":false,"suffix":""},{"dropping-particle":"","family":"Ekadinata","given":"Nopryan","non-dropping-particle":"","parse-names":false,"suffix":""},{"dropping-particle":"","family":"Prayogo","given":"Galih","non-dropping-particle":"","parse-names":false,"suffix":""},{"dropping-particle":"","family":"Pramesona","given":"Bayu Anggileo","non-dropping-particle":"","parse-names":false,"suffix":""}],"container-title":"Jurnal Aisyah : Jurnal Ilmu Kesehatan","id":"ITEM-2","issue":"2","issued":{"date-parts":[["2023"]]},"page":"879-886","title":"Employment, Income, Health Insurance, Accessibility to Healthcare Facility, Age, and Prenatal Anxiety in Indonesia","type":"article-journal","volume":"8"},"uris":["http://www.mendeley.com/documents/?uuid=342aa3e2-87c6-4045-8739-dc38a09d270d"]}],"mendeley":{"formattedCitation":"[16], [17]","plainTextFormattedCitation":"[16], [17]","previouslyFormattedCitation":"[17], [18]"},"properties":{"noteIndex":0},"schema":"https://github.com/citation-style-language/schema/raw/master/csl-citation.json"}</w:instrText>
      </w:r>
      <w:r w:rsidRPr="00F4585D">
        <w:rPr>
          <w:rFonts w:ascii="Tw Cen MT" w:hAnsi="Tw Cen MT"/>
          <w:noProof/>
          <w:sz w:val="24"/>
          <w:szCs w:val="24"/>
          <w:lang w:val="id-ID"/>
        </w:rPr>
        <w:fldChar w:fldCharType="separate"/>
      </w:r>
      <w:r w:rsidRPr="00017532">
        <w:rPr>
          <w:rFonts w:ascii="Tw Cen MT" w:hAnsi="Tw Cen MT"/>
          <w:noProof/>
          <w:sz w:val="24"/>
          <w:szCs w:val="24"/>
          <w:lang w:val="id-ID"/>
        </w:rPr>
        <w:t>[16], [17]</w:t>
      </w:r>
      <w:r w:rsidRPr="00F4585D">
        <w:rPr>
          <w:rFonts w:ascii="Tw Cen MT" w:hAnsi="Tw Cen MT"/>
          <w:noProof/>
          <w:sz w:val="24"/>
          <w:szCs w:val="24"/>
          <w:lang w:val="id-ID"/>
        </w:rPr>
        <w:fldChar w:fldCharType="end"/>
      </w:r>
      <w:r w:rsidRPr="00F4585D">
        <w:rPr>
          <w:rFonts w:ascii="Tw Cen MT" w:hAnsi="Tw Cen MT"/>
          <w:noProof/>
          <w:sz w:val="24"/>
          <w:szCs w:val="24"/>
          <w:lang w:val="id-ID"/>
        </w:rPr>
        <w:t>.</w:t>
      </w:r>
    </w:p>
    <w:p w14:paraId="10D8F08A" w14:textId="25675E4B" w:rsidR="00017532" w:rsidRPr="00F4585D"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 xml:space="preserve">Asuransi kesehatan memberikan rasa aman secara finansial, yang memungkinkan ibu hamil untuk fokus pada kesehatan mereka tanpa dibebani oleh biaya medis yang tinggi. Rasa aman ini dapat meningkatkan kemungkinan ibu hamil untuk mematuhi rekomendasi medis dan menjalani tes atau pemeriksaan yang mungkin diperlukan untuk mendeteksi risiko kehamilan sejak dini. Temuan ini juga menyoroti adanya kesenjangan akses terhadap layanan kesehatan antara ibu hamil yang memiliki asuransi dan yang tidak. Ibu yang tidak memiliki asuransi kesehatan mungkin menghadapi kendala besar dalam mengakses layanan kesehatan yang penting, yang dapat berakibat pada keterlambatan dalam deteksi risiko kehamilan. Ini menunjukkan perlunya intervensi kebijakan yang bertujuan untuk memperluas cakupan asuransi kesehatan bagi semua ibu hamil, terutama bagi mereka yang berada dalam kelompok berpenghasilan rendah </w:t>
      </w:r>
      <w:r w:rsidRPr="00F4585D">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https://doi.org/10.21203/rs.3.rs-2598067/v1","author":[{"dropping-particle":"","family":"Tao","given":"Xiaomeng","non-dropping-particle":"","parse-names":false,"suffix":""},{"dropping-particle":"","family":"Zeng","given":"Yanbing","non-dropping-particle":"","parse-names":false,"suffix":""},{"dropping-particle":"","family":"Wang","given":"Shuojia","non-dropping-particle":"","parse-names":false,"suffix":""},{"dropping-particle":"","family":"Zheng","given":"Jianguang","non-dropping-particle":"","parse-names":false,"suffix":""},{"dropping-particle":"","family":"Ye","given":"Birong","non-dropping-particle":"","parse-names":false,"suffix":""},{"dropping-particle":"","family":"Zheng","given":"Yefeng","non-dropping-particle":"","parse-names":false,"suffix":""}],"container-title":"Research Square","id":"ITEM-1","issued":{"date-parts":[["2023"]]},"page":"1-19","title":"Research on the impact of medical and old-age security on the utilization of medical services for the disabled elderly","type":"webpage"},"uris":["http://www.mendeley.com/documents/?uuid=e57d8ce5-38f8-49d2-9e05-154b34cf193c"]}],"mendeley":{"formattedCitation":"[18]","plainTextFormattedCitation":"[18]","previouslyFormattedCitation":"[19]"},"properties":{"noteIndex":0},"schema":"https://github.com/citation-style-language/schema/raw/master/csl-citation.json"}</w:instrText>
      </w:r>
      <w:r w:rsidRPr="00F4585D">
        <w:rPr>
          <w:rFonts w:ascii="Tw Cen MT" w:hAnsi="Tw Cen MT"/>
          <w:noProof/>
          <w:sz w:val="24"/>
          <w:szCs w:val="24"/>
          <w:lang w:val="id-ID"/>
        </w:rPr>
        <w:fldChar w:fldCharType="separate"/>
      </w:r>
      <w:r w:rsidRPr="00017532">
        <w:rPr>
          <w:rFonts w:ascii="Tw Cen MT" w:hAnsi="Tw Cen MT"/>
          <w:noProof/>
          <w:sz w:val="24"/>
          <w:szCs w:val="24"/>
          <w:lang w:val="id-ID"/>
        </w:rPr>
        <w:t>[18]</w:t>
      </w:r>
      <w:r w:rsidRPr="00F4585D">
        <w:rPr>
          <w:rFonts w:ascii="Tw Cen MT" w:hAnsi="Tw Cen MT"/>
          <w:noProof/>
          <w:sz w:val="24"/>
          <w:szCs w:val="24"/>
          <w:lang w:val="id-ID"/>
        </w:rPr>
        <w:fldChar w:fldCharType="end"/>
      </w:r>
      <w:r w:rsidRPr="00F4585D">
        <w:rPr>
          <w:rFonts w:ascii="Tw Cen MT" w:hAnsi="Tw Cen MT"/>
          <w:noProof/>
          <w:sz w:val="24"/>
          <w:szCs w:val="24"/>
          <w:lang w:val="id-ID"/>
        </w:rPr>
        <w:t>.</w:t>
      </w:r>
    </w:p>
    <w:p w14:paraId="6D908565" w14:textId="66C51F3D" w:rsidR="00017532" w:rsidRPr="00F4585D"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 xml:space="preserve">Tenaga kesehatan memiliki peran penting dalam mendorong ibu hamil untuk memanfaatkan asuransi kesehatan mereka dengan optimal. Edukasi mengenai manfaat asuransi, serta cara memanfaatkannya untuk pemeriksaan kehamilan dan deteksi dini risiko, perlu ditingkatkan. Tenaga kesehatan juga harus memberikan informasi yang jelas tentang prosedur dan manfaat pemeriksaan yang dicakup oleh asuransi, sehingga ibu hamil dapat mengambil keputusan yang lebih baik mengenai kesehatan mereka </w:t>
      </w:r>
      <w:r w:rsidRPr="00F4585D">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{"citationItems":[{"id":"ITEM-1","itemData":{"author":[{"dropping-particle":"","family":"Nainggolan","given":"Dimpu Rismawaty","non-dropping-particle":"","parse-names":false,"suffix":""},{"dropping-particle":"","family":"Ujung","given":"Riance Mardiana","non-dropping-particle":"","parse-names":false,"suffix":""}],"container-title":"Jurnal Mitra Prima (JMP)","id":"ITEM-1","issue":"2","issued":{"date-parts":[["2022"]]},"title":"Peningkatan Pengetahuan dan Deteksi Dini Tanda Bahaya Kehamilan di Wilayah Kerja Puskesmas Sipahutar Kabupaten Tapanuli Utara Tahun 2022","type":"article-journal","volume":"4"},"uris":["http://www.mendeley.com/documents/?uuid=2fc1e9e9-ac4d-4da5-98bb-4e0249b2536b"]}],"mendeley":{"formattedCitation":"[8]","plainTextFormattedCitation":"[8]","previouslyFormattedCitation":"[9]"},"properties":{"noteIndex":0},"schema":"https://github.com/citation-style-language/schema/raw/master/csl-citation.json"}</w:instrText>
      </w:r>
      <w:r w:rsidRPr="00F4585D">
        <w:rPr>
          <w:rFonts w:ascii="Tw Cen MT" w:hAnsi="Tw Cen MT"/>
          <w:noProof/>
          <w:sz w:val="24"/>
          <w:szCs w:val="24"/>
          <w:lang w:val="id-ID"/>
        </w:rPr>
        <w:fldChar w:fldCharType="separate"/>
      </w:r>
      <w:r w:rsidRPr="00017532">
        <w:rPr>
          <w:rFonts w:ascii="Tw Cen MT" w:hAnsi="Tw Cen MT"/>
          <w:noProof/>
          <w:sz w:val="24"/>
          <w:szCs w:val="24"/>
          <w:lang w:val="id-ID"/>
        </w:rPr>
        <w:t>[8]</w:t>
      </w:r>
      <w:r w:rsidRPr="00F4585D">
        <w:rPr>
          <w:rFonts w:ascii="Tw Cen MT" w:hAnsi="Tw Cen MT"/>
          <w:noProof/>
          <w:sz w:val="24"/>
          <w:szCs w:val="24"/>
          <w:lang w:val="id-ID"/>
        </w:rPr>
        <w:fldChar w:fldCharType="end"/>
      </w:r>
      <w:r w:rsidRPr="00F4585D">
        <w:rPr>
          <w:rFonts w:ascii="Tw Cen MT" w:hAnsi="Tw Cen MT"/>
          <w:noProof/>
          <w:sz w:val="24"/>
          <w:szCs w:val="24"/>
          <w:lang w:val="id-ID"/>
        </w:rPr>
        <w:t>.</w:t>
      </w:r>
    </w:p>
    <w:p w14:paraId="5C5A546C" w14:textId="77777777" w:rsidR="00017532"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 xml:space="preserve">Hasil penelitian mengindikasikan bahwa asuransi kesehatan merupakan faktor penting dalam meningkatkan akses dan motivasi ibu hamil untuk melakukan deteksi dini terhadap risiko kehamilan. Oleh karena itu, kebijakan </w:t>
      </w:r>
      <w:r w:rsidRPr="00F4585D">
        <w:rPr>
          <w:rFonts w:ascii="Tw Cen MT" w:hAnsi="Tw Cen MT"/>
          <w:noProof/>
          <w:sz w:val="24"/>
          <w:szCs w:val="24"/>
          <w:lang w:val="id-ID"/>
        </w:rPr>
        <w:lastRenderedPageBreak/>
        <w:t xml:space="preserve">yang mendukung perluasan cakupan asuransi kesehatan dan edukasi tentang penggunaannya perlu ditingkatkan untuk memastikan bahwa </w:t>
      </w:r>
      <w:r>
        <w:rPr>
          <w:rFonts w:ascii="Tw Cen MT" w:hAnsi="Tw Cen MT"/>
          <w:noProof/>
          <w:sz w:val="24"/>
          <w:szCs w:val="24"/>
          <w:lang w:val="id-ID"/>
        </w:rPr>
        <w:t>setiap</w:t>
      </w:r>
      <w:r w:rsidRPr="00F4585D">
        <w:rPr>
          <w:rFonts w:ascii="Tw Cen MT" w:hAnsi="Tw Cen MT"/>
          <w:noProof/>
          <w:sz w:val="24"/>
          <w:szCs w:val="24"/>
          <w:lang w:val="id-ID"/>
        </w:rPr>
        <w:t xml:space="preserve"> ibu hamil </w:t>
      </w:r>
      <w:r>
        <w:rPr>
          <w:rFonts w:ascii="Tw Cen MT" w:hAnsi="Tw Cen MT"/>
          <w:noProof/>
          <w:sz w:val="24"/>
          <w:szCs w:val="24"/>
          <w:lang w:val="id-ID"/>
        </w:rPr>
        <w:t>mendapatkan</w:t>
      </w:r>
      <w:r w:rsidRPr="00F4585D">
        <w:rPr>
          <w:rFonts w:ascii="Tw Cen MT" w:hAnsi="Tw Cen MT"/>
          <w:noProof/>
          <w:sz w:val="24"/>
          <w:szCs w:val="24"/>
          <w:lang w:val="id-ID"/>
        </w:rPr>
        <w:t xml:space="preserve"> akses yang memadai ke layanan kesehatan yang </w:t>
      </w:r>
      <w:r>
        <w:rPr>
          <w:rFonts w:ascii="Tw Cen MT" w:hAnsi="Tw Cen MT"/>
          <w:noProof/>
          <w:sz w:val="24"/>
          <w:szCs w:val="24"/>
          <w:lang w:val="id-ID"/>
        </w:rPr>
        <w:t>diperlukan</w:t>
      </w:r>
      <w:r w:rsidRPr="00F4585D">
        <w:rPr>
          <w:rFonts w:ascii="Tw Cen MT" w:hAnsi="Tw Cen MT"/>
          <w:noProof/>
          <w:sz w:val="24"/>
          <w:szCs w:val="24"/>
          <w:lang w:val="id-ID"/>
        </w:rPr>
        <w:t xml:space="preserve"> selama kehamilan.</w:t>
      </w:r>
    </w:p>
    <w:p w14:paraId="1065A042" w14:textId="77777777" w:rsidR="00017532" w:rsidRPr="00F4585D" w:rsidRDefault="00017532" w:rsidP="00017532">
      <w:pPr>
        <w:pStyle w:val="ListParagraph"/>
        <w:spacing w:after="0"/>
        <w:ind w:left="0" w:firstLine="284"/>
        <w:jc w:val="both"/>
        <w:rPr>
          <w:rFonts w:ascii="Tw Cen MT" w:hAnsi="Tw Cen MT"/>
          <w:noProof/>
          <w:sz w:val="24"/>
          <w:szCs w:val="24"/>
          <w:lang w:val="id-ID"/>
        </w:rPr>
      </w:pPr>
    </w:p>
    <w:p w14:paraId="25C1C278" w14:textId="77777777" w:rsidR="00017532" w:rsidRPr="0096335E" w:rsidRDefault="00017532" w:rsidP="00017532">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54E3BCE" w14:textId="77777777" w:rsidR="00017532" w:rsidRDefault="00017532" w:rsidP="00017532">
      <w:pPr>
        <w:spacing w:line="240" w:lineRule="auto"/>
        <w:jc w:val="both"/>
        <w:rPr>
          <w:rFonts w:ascii="Tw Cen MT" w:eastAsia="Twentieth Century" w:hAnsi="Tw Cen MT" w:cs="Twentieth Century"/>
          <w:sz w:val="24"/>
          <w:szCs w:val="24"/>
        </w:rPr>
      </w:pPr>
      <w:r w:rsidRPr="00500701">
        <w:rPr>
          <w:rFonts w:ascii="Tw Cen MT" w:eastAsia="Twentieth Century" w:hAnsi="Tw Cen MT" w:cs="Twentieth Century"/>
          <w:sz w:val="24"/>
          <w:szCs w:val="24"/>
        </w:rPr>
        <w:t>Penelitian menunjukkan hubungan signifikan antara pengetahuan, pendidikan, dan kepemilikan asuransi kesehatan dengan deteksi dini risiko tinggi kehamilan. Pengetahuan ibu hamil berhubungan erat dengan deteksi dini (p-value 0,001; OR 1,54), sementara pendidikan yang lebih tinggi juga meningkatkan deteksi dini (p-value 0,021; OR 2,625), meski dengan ketidakpastian dalam interval kepercayaan. Kepemilikan asuransi kesehatan memiliki hubungan kuat (p-value 0,017; OR 3,317) dan meningkatkan akses ke layanan kesehatan.</w:t>
      </w:r>
      <w:r>
        <w:rPr>
          <w:rFonts w:ascii="Tw Cen MT" w:eastAsia="Twentieth Century" w:hAnsi="Tw Cen MT" w:cs="Twentieth Century"/>
          <w:sz w:val="24"/>
          <w:szCs w:val="24"/>
        </w:rPr>
        <w:t xml:space="preserve"> </w:t>
      </w:r>
      <w:r w:rsidRPr="00500701">
        <w:rPr>
          <w:rFonts w:ascii="Tw Cen MT" w:eastAsia="Twentieth Century" w:hAnsi="Tw Cen MT" w:cs="Twentieth Century"/>
          <w:sz w:val="24"/>
          <w:szCs w:val="24"/>
        </w:rPr>
        <w:t>Saran dari penelitian ini meliputi peningkatan pengetahuan melalui program edukasi kesehatan, pengembangan program pendidikan yang sesuai dengan latar belakang ibu hamil, serta perluasan cakupan asuransi kesehatan dan edukasi mengenai manfaatnya. Upaya ini penting untuk meningkatkan deteksi dini risiko kehamilan dan mengurangi komplikasi yang mungkin terjadi.</w:t>
      </w:r>
    </w:p>
    <w:p w14:paraId="755908E0" w14:textId="77777777" w:rsidR="00017532" w:rsidRPr="002E23D7" w:rsidRDefault="00017532" w:rsidP="00017532">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1D09C364" w:rsidR="004721E3" w:rsidRDefault="00017532" w:rsidP="00017532">
      <w:pPr>
        <w:spacing w:line="240" w:lineRule="auto"/>
        <w:jc w:val="both"/>
        <w:rPr>
          <w:rFonts w:ascii="Tw Cen MT" w:eastAsia="Twentieth Century" w:hAnsi="Tw Cen MT" w:cs="Twentieth Century"/>
          <w:sz w:val="24"/>
          <w:szCs w:val="24"/>
        </w:rPr>
      </w:pPr>
      <w:r w:rsidRPr="00500701">
        <w:rPr>
          <w:rFonts w:ascii="Tw Cen MT" w:eastAsia="Twentieth Century" w:hAnsi="Tw Cen MT" w:cs="Twentieth Century"/>
          <w:sz w:val="24"/>
          <w:szCs w:val="24"/>
        </w:rPr>
        <w:t xml:space="preserve">Terima kasih kepada </w:t>
      </w:r>
      <w:r>
        <w:rPr>
          <w:rFonts w:ascii="Tw Cen MT" w:eastAsia="Twentieth Century" w:hAnsi="Tw Cen MT" w:cs="Twentieth Century"/>
          <w:sz w:val="24"/>
          <w:szCs w:val="24"/>
        </w:rPr>
        <w:t xml:space="preserve">LPPM UMPP, Puskesmas Tirto I, </w:t>
      </w:r>
      <w:r w:rsidRPr="00500701">
        <w:rPr>
          <w:rFonts w:ascii="Tw Cen MT" w:eastAsia="Twentieth Century" w:hAnsi="Tw Cen MT" w:cs="Twentieth Century"/>
          <w:sz w:val="24"/>
          <w:szCs w:val="24"/>
        </w:rPr>
        <w:t xml:space="preserve">peserta yang telah meluangkan waktu untuk berpartisipasi, serta kepada tim peneliti dan pihak </w:t>
      </w:r>
      <w:r>
        <w:rPr>
          <w:rFonts w:ascii="Tw Cen MT" w:eastAsia="Twentieth Century" w:hAnsi="Tw Cen MT" w:cs="Twentieth Century"/>
          <w:sz w:val="24"/>
          <w:szCs w:val="24"/>
        </w:rPr>
        <w:t>lain</w:t>
      </w:r>
      <w:r w:rsidRPr="00500701">
        <w:rPr>
          <w:rFonts w:ascii="Tw Cen MT" w:eastAsia="Twentieth Century" w:hAnsi="Tw Cen MT" w:cs="Twentieth Century"/>
          <w:sz w:val="24"/>
          <w:szCs w:val="24"/>
        </w:rPr>
        <w:t xml:space="preserve"> yang </w:t>
      </w:r>
      <w:r>
        <w:rPr>
          <w:rFonts w:ascii="Tw Cen MT" w:eastAsia="Twentieth Century" w:hAnsi="Tw Cen MT" w:cs="Twentieth Century"/>
          <w:sz w:val="24"/>
          <w:szCs w:val="24"/>
        </w:rPr>
        <w:t>sudah</w:t>
      </w:r>
      <w:r w:rsidRPr="00500701">
        <w:rPr>
          <w:rFonts w:ascii="Tw Cen MT" w:eastAsia="Twentieth Century" w:hAnsi="Tw Cen MT" w:cs="Twentieth Century"/>
          <w:sz w:val="24"/>
          <w:szCs w:val="24"/>
        </w:rPr>
        <w:t xml:space="preserve"> </w:t>
      </w:r>
      <w:r>
        <w:rPr>
          <w:rFonts w:ascii="Tw Cen MT" w:eastAsia="Twentieth Century" w:hAnsi="Tw Cen MT" w:cs="Twentieth Century"/>
          <w:sz w:val="24"/>
          <w:szCs w:val="24"/>
        </w:rPr>
        <w:t>berkontribusi dalam membantu</w:t>
      </w:r>
      <w:r w:rsidRPr="00500701">
        <w:rPr>
          <w:rFonts w:ascii="Tw Cen MT" w:eastAsia="Twentieth Century" w:hAnsi="Tw Cen MT" w:cs="Twentieth Century"/>
          <w:sz w:val="24"/>
          <w:szCs w:val="24"/>
        </w:rPr>
        <w:t xml:space="preserve"> dan </w:t>
      </w:r>
      <w:r>
        <w:rPr>
          <w:rFonts w:ascii="Tw Cen MT" w:eastAsia="Twentieth Century" w:hAnsi="Tw Cen MT" w:cs="Twentieth Century"/>
          <w:sz w:val="24"/>
          <w:szCs w:val="24"/>
        </w:rPr>
        <w:t xml:space="preserve">memberikan </w:t>
      </w:r>
      <w:r w:rsidRPr="00500701">
        <w:rPr>
          <w:rFonts w:ascii="Tw Cen MT" w:eastAsia="Twentieth Century" w:hAnsi="Tw Cen MT" w:cs="Twentieth Century"/>
          <w:sz w:val="24"/>
          <w:szCs w:val="24"/>
        </w:rPr>
        <w:t>dukungan berharga. Keberhasilan ini tidak lepas dari dukungan dan kerja sama yang telah diberikan.</w:t>
      </w:r>
    </w:p>
    <w:p w14:paraId="3B884CDC" w14:textId="77777777" w:rsidR="00B80D29" w:rsidRPr="0096335E" w:rsidRDefault="00B80D29" w:rsidP="00017532">
      <w:pPr>
        <w:spacing w:line="240" w:lineRule="auto"/>
        <w:jc w:val="both"/>
        <w:rPr>
          <w:rFonts w:ascii="Tw Cen MT" w:eastAsia="Twentieth Century" w:hAnsi="Tw Cen MT" w:cs="Twentieth Century"/>
          <w:sz w:val="24"/>
          <w:szCs w:val="24"/>
        </w:rPr>
      </w:pP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7786582A" w14:textId="77777777" w:rsidR="004721E3" w:rsidRDefault="004721E3" w:rsidP="004721E3">
      <w:pPr>
        <w:spacing w:after="0" w:line="240" w:lineRule="auto"/>
        <w:ind w:left="426" w:hanging="426"/>
        <w:jc w:val="both"/>
        <w:rPr>
          <w:rFonts w:ascii="Tw Cen MT" w:eastAsia="Twentieth Century" w:hAnsi="Tw Cen MT" w:cs="Twentieth Century"/>
          <w:color w:val="0D0D0D"/>
          <w:sz w:val="24"/>
          <w:szCs w:val="24"/>
        </w:rPr>
      </w:pPr>
    </w:p>
    <w:p w14:paraId="0EC65837" w14:textId="5827C6C5" w:rsidR="00017532" w:rsidRPr="00017532" w:rsidRDefault="00500701"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017532" w:rsidRPr="00017532">
        <w:rPr>
          <w:rFonts w:ascii="Tw Cen MT" w:hAnsi="Tw Cen MT" w:cs="Times New Roman"/>
          <w:noProof/>
          <w:sz w:val="24"/>
          <w:szCs w:val="24"/>
        </w:rPr>
        <w:t>[1]</w:t>
      </w:r>
      <w:r w:rsidR="00017532" w:rsidRPr="00017532">
        <w:rPr>
          <w:rFonts w:ascii="Tw Cen MT" w:hAnsi="Tw Cen MT" w:cs="Times New Roman"/>
          <w:noProof/>
          <w:sz w:val="24"/>
          <w:szCs w:val="24"/>
        </w:rPr>
        <w:tab/>
      </w:r>
      <w:r w:rsidR="00017532">
        <w:rPr>
          <w:rFonts w:ascii="Tw Cen MT" w:hAnsi="Tw Cen MT" w:cs="Times New Roman"/>
          <w:noProof/>
          <w:sz w:val="24"/>
          <w:szCs w:val="24"/>
        </w:rPr>
        <w:t>K</w:t>
      </w:r>
      <w:r w:rsidR="00017532" w:rsidRPr="00017532">
        <w:rPr>
          <w:rFonts w:ascii="Tw Cen MT" w:hAnsi="Tw Cen MT" w:cs="Times New Roman"/>
          <w:noProof/>
          <w:sz w:val="24"/>
          <w:szCs w:val="24"/>
        </w:rPr>
        <w:t>ementrian kesehatan republik indonesia Direktorat Gizi dan Kesehatan Ibu dan Anak, “Laporan Akuntabilitas Kinerja Instansi Pemerintah (Lakip) Direktorat Gizi Dan Kesehatan Ibu Dan Anak Tahun Anggaran 2022,” Jakarta: Kementerian Kesehatan RI, 2023.</w:t>
      </w:r>
    </w:p>
    <w:p w14:paraId="6A32FEA9"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[2]</w:t>
      </w:r>
      <w:r w:rsidRPr="00017532">
        <w:rPr>
          <w:rFonts w:ascii="Tw Cen MT" w:hAnsi="Tw Cen MT" w:cs="Times New Roman"/>
          <w:noProof/>
          <w:sz w:val="24"/>
          <w:szCs w:val="24"/>
        </w:rPr>
        <w:tab/>
        <w:t xml:space="preserve">S. Suparni, A. Fatkhudin, and N. Zuhana, “Efektivitas Sibumil (Aplikasi Deteksi Risiko Kehamilan Mandiri) Berbasis Android Di Kota Pekalongan,” </w:t>
      </w:r>
      <w:r w:rsidRPr="00017532">
        <w:rPr>
          <w:rFonts w:ascii="Tw Cen MT" w:hAnsi="Tw Cen MT" w:cs="Times New Roman"/>
          <w:i/>
          <w:iCs/>
          <w:noProof/>
          <w:sz w:val="24"/>
          <w:szCs w:val="24"/>
        </w:rPr>
        <w:t>J. Litbang Kota Pekalongan</w:t>
      </w:r>
      <w:r w:rsidRPr="00017532">
        <w:rPr>
          <w:rFonts w:ascii="Tw Cen MT" w:hAnsi="Tw Cen MT" w:cs="Times New Roman"/>
          <w:noProof/>
          <w:sz w:val="24"/>
          <w:szCs w:val="24"/>
        </w:rPr>
        <w:t>, vol. 21, no. 2, p. 7, 2021, doi: 10.54911/litbang.v21i1.163.</w:t>
      </w:r>
    </w:p>
    <w:p w14:paraId="41607A94"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[3]</w:t>
      </w:r>
      <w:r w:rsidRPr="00017532">
        <w:rPr>
          <w:rFonts w:ascii="Tw Cen MT" w:hAnsi="Tw Cen MT" w:cs="Times New Roman"/>
          <w:noProof/>
          <w:sz w:val="24"/>
          <w:szCs w:val="24"/>
        </w:rPr>
        <w:tab/>
        <w:t>DinKes Kabupaten Pekalongan, “Profil Kesehatan Kabupaten Pekalongan Tahun 2022.” Pekalongan:DinKes Kabupaten Pekalongan, p. 74, 2022, [Online]. Available: https://drive.google.com/file/d/17ggp2vYJSWrpwima5-s5xNC_wcRNLt5Q/view.</w:t>
      </w:r>
    </w:p>
    <w:p w14:paraId="2D4B49CC"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[4]</w:t>
      </w:r>
      <w:r w:rsidRPr="00017532">
        <w:rPr>
          <w:rFonts w:ascii="Tw Cen MT" w:hAnsi="Tw Cen MT" w:cs="Times New Roman"/>
          <w:noProof/>
          <w:sz w:val="24"/>
          <w:szCs w:val="24"/>
        </w:rPr>
        <w:tab/>
        <w:t xml:space="preserve">S. Khadijah and Arneti, “Upaya Deteksi Dini Resiko Tinggi Kehamilan Ditentukan oleh Pengetahuan dan Dukungan Tenaga Kesehatan,” </w:t>
      </w:r>
      <w:r w:rsidRPr="00017532">
        <w:rPr>
          <w:rFonts w:ascii="Tw Cen MT" w:hAnsi="Tw Cen MT" w:cs="Times New Roman"/>
          <w:i/>
          <w:iCs/>
          <w:noProof/>
          <w:sz w:val="24"/>
          <w:szCs w:val="24"/>
        </w:rPr>
        <w:t>J. Sehat Mandiri</w:t>
      </w:r>
      <w:r w:rsidRPr="00017532">
        <w:rPr>
          <w:rFonts w:ascii="Tw Cen MT" w:hAnsi="Tw Cen MT" w:cs="Times New Roman"/>
          <w:noProof/>
          <w:sz w:val="24"/>
          <w:szCs w:val="24"/>
        </w:rPr>
        <w:t>, vol. 13, no. 1, pp. 27–34, 2018, [Online]. Available: https://jurnal.poltekkespadang.ac.id/ojs/index.php/jsm/article/view/2/4.</w:t>
      </w:r>
    </w:p>
    <w:p w14:paraId="3C5ADC45"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[5]</w:t>
      </w:r>
      <w:r w:rsidRPr="00017532">
        <w:rPr>
          <w:rFonts w:ascii="Tw Cen MT" w:hAnsi="Tw Cen MT" w:cs="Times New Roman"/>
          <w:noProof/>
          <w:sz w:val="24"/>
          <w:szCs w:val="24"/>
        </w:rPr>
        <w:tab/>
        <w:t xml:space="preserve">Kementerian Kesehatan RI, </w:t>
      </w:r>
      <w:r w:rsidRPr="00017532">
        <w:rPr>
          <w:rFonts w:ascii="Tw Cen MT" w:hAnsi="Tw Cen MT" w:cs="Times New Roman"/>
          <w:i/>
          <w:iCs/>
          <w:noProof/>
          <w:sz w:val="24"/>
          <w:szCs w:val="24"/>
        </w:rPr>
        <w:t>Buku Kesehatan Ibu dan Anak</w:t>
      </w:r>
      <w:r w:rsidRPr="00017532">
        <w:rPr>
          <w:rFonts w:ascii="Tw Cen MT" w:hAnsi="Tw Cen MT" w:cs="Times New Roman"/>
          <w:noProof/>
          <w:sz w:val="24"/>
          <w:szCs w:val="24"/>
        </w:rPr>
        <w:t>. Jakarta: Kementerian Kesehatan RI, 2019.</w:t>
      </w:r>
    </w:p>
    <w:p w14:paraId="04C10FA6"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[6]</w:t>
      </w:r>
      <w:r w:rsidRPr="00017532">
        <w:rPr>
          <w:rFonts w:ascii="Tw Cen MT" w:hAnsi="Tw Cen MT" w:cs="Times New Roman"/>
          <w:noProof/>
          <w:sz w:val="24"/>
          <w:szCs w:val="24"/>
        </w:rPr>
        <w:tab/>
        <w:t xml:space="preserve">L. D. Prafitri, W. Ersila, and D. Nurseptiani, “Risk Factors for Carpal Tunnel Syndrome in Pregnant Women,” </w:t>
      </w:r>
      <w:r w:rsidRPr="00017532">
        <w:rPr>
          <w:rFonts w:ascii="Tw Cen MT" w:hAnsi="Tw Cen MT" w:cs="Times New Roman"/>
          <w:i/>
          <w:iCs/>
          <w:noProof/>
          <w:sz w:val="24"/>
          <w:szCs w:val="24"/>
        </w:rPr>
        <w:t>J. Kedokt. dan Kesehat. Indones.</w:t>
      </w:r>
      <w:r w:rsidRPr="00017532">
        <w:rPr>
          <w:rFonts w:ascii="Tw Cen MT" w:hAnsi="Tw Cen MT" w:cs="Times New Roman"/>
          <w:noProof/>
          <w:sz w:val="24"/>
          <w:szCs w:val="24"/>
        </w:rPr>
        <w:t>, vol. 13, no. 1, pp. 52–59, 2022, doi: 10.20885/JKKI.Vol13.Iss1.art9.</w:t>
      </w:r>
    </w:p>
    <w:p w14:paraId="7D81F8D7"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[7]</w:t>
      </w:r>
      <w:r w:rsidRPr="00017532">
        <w:rPr>
          <w:rFonts w:ascii="Tw Cen MT" w:hAnsi="Tw Cen MT" w:cs="Times New Roman"/>
          <w:noProof/>
          <w:sz w:val="24"/>
          <w:szCs w:val="24"/>
        </w:rPr>
        <w:tab/>
        <w:t xml:space="preserve">E. P. Handayani, M. Jannah, and A. Rahmawati, “Efforts To Increase Pregnant Women’S Knowledge About High-Risk Pregnancy With Health </w:t>
      </w:r>
      <w:r w:rsidRPr="00017532">
        <w:rPr>
          <w:rFonts w:ascii="Tw Cen MT" w:hAnsi="Tw Cen MT" w:cs="Times New Roman"/>
          <w:noProof/>
          <w:sz w:val="24"/>
          <w:szCs w:val="24"/>
        </w:rPr>
        <w:lastRenderedPageBreak/>
        <w:t xml:space="preserve">Education,” </w:t>
      </w:r>
      <w:r w:rsidRPr="00017532">
        <w:rPr>
          <w:rFonts w:ascii="Tw Cen MT" w:hAnsi="Tw Cen MT" w:cs="Times New Roman"/>
          <w:i/>
          <w:iCs/>
          <w:noProof/>
          <w:sz w:val="24"/>
          <w:szCs w:val="24"/>
        </w:rPr>
        <w:t>Pharmacol. Med. Reports Orthop. Illn. Details</w:t>
      </w:r>
      <w:r w:rsidRPr="00017532">
        <w:rPr>
          <w:rFonts w:ascii="Tw Cen MT" w:hAnsi="Tw Cen MT" w:cs="Times New Roman"/>
          <w:noProof/>
          <w:sz w:val="24"/>
          <w:szCs w:val="24"/>
        </w:rPr>
        <w:t>, vol. 1, no. 4, pp. 14–21, 2023, doi: 10.55047/comorbid.v1i4.591.</w:t>
      </w:r>
    </w:p>
    <w:p w14:paraId="7E345061"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[8]</w:t>
      </w:r>
      <w:r w:rsidRPr="00017532">
        <w:rPr>
          <w:rFonts w:ascii="Tw Cen MT" w:hAnsi="Tw Cen MT" w:cs="Times New Roman"/>
          <w:noProof/>
          <w:sz w:val="24"/>
          <w:szCs w:val="24"/>
        </w:rPr>
        <w:tab/>
        <w:t xml:space="preserve">D. R. Nainggolan and R. M. Ujung, “Peningkatan Pengetahuan dan Deteksi Dini Tanda Bahaya Kehamilan di Wilayah Kerja Puskesmas Sipahutar Kabupaten Tapanuli Utara Tahun 2022,” </w:t>
      </w:r>
      <w:r w:rsidRPr="00017532">
        <w:rPr>
          <w:rFonts w:ascii="Tw Cen MT" w:hAnsi="Tw Cen MT" w:cs="Times New Roman"/>
          <w:i/>
          <w:iCs/>
          <w:noProof/>
          <w:sz w:val="24"/>
          <w:szCs w:val="24"/>
        </w:rPr>
        <w:t>J. Mitra Prima</w:t>
      </w:r>
      <w:r w:rsidRPr="00017532">
        <w:rPr>
          <w:rFonts w:ascii="Tw Cen MT" w:hAnsi="Tw Cen MT" w:cs="Times New Roman"/>
          <w:noProof/>
          <w:sz w:val="24"/>
          <w:szCs w:val="24"/>
        </w:rPr>
        <w:t>, vol. 4, no. 2, 2022.</w:t>
      </w:r>
    </w:p>
    <w:p w14:paraId="37FC983E"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[9]</w:t>
      </w:r>
      <w:r w:rsidRPr="00017532">
        <w:rPr>
          <w:rFonts w:ascii="Tw Cen MT" w:hAnsi="Tw Cen MT" w:cs="Times New Roman"/>
          <w:noProof/>
          <w:sz w:val="24"/>
          <w:szCs w:val="24"/>
        </w:rPr>
        <w:tab/>
        <w:t xml:space="preserve">Z. Al Somali, E. Bajamal, and O. Esheaba, “The Effect of Structured The Effect of Structured Antenatal Education on Childbirth Self-Efficacy,” </w:t>
      </w:r>
      <w:r w:rsidRPr="00017532">
        <w:rPr>
          <w:rFonts w:ascii="Tw Cen MT" w:hAnsi="Tw Cen MT" w:cs="Times New Roman"/>
          <w:i/>
          <w:iCs/>
          <w:noProof/>
          <w:sz w:val="24"/>
          <w:szCs w:val="24"/>
        </w:rPr>
        <w:t>Cureus J.</w:t>
      </w:r>
      <w:r w:rsidRPr="00017532">
        <w:rPr>
          <w:rFonts w:ascii="Tw Cen MT" w:hAnsi="Tw Cen MT" w:cs="Times New Roman"/>
          <w:noProof/>
          <w:sz w:val="24"/>
          <w:szCs w:val="24"/>
        </w:rPr>
        <w:t>, vol. 15, no. 5, 2023, doi: 10.7759/cureus.39285.</w:t>
      </w:r>
    </w:p>
    <w:p w14:paraId="706957DD"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[10]</w:t>
      </w:r>
      <w:r w:rsidRPr="00017532">
        <w:rPr>
          <w:rFonts w:ascii="Tw Cen MT" w:hAnsi="Tw Cen MT" w:cs="Times New Roman"/>
          <w:noProof/>
          <w:sz w:val="24"/>
          <w:szCs w:val="24"/>
        </w:rPr>
        <w:tab/>
        <w:t xml:space="preserve">E. C. De Araujo, N. Pereira, E. J. S. Tilman, A. C. Da C, A. N. Corte, and R. Araujo, “Effect of Reproductive Health Education on Pregnant Women ’ s Knowledge about Normal Delivery,” </w:t>
      </w:r>
      <w:r w:rsidRPr="00017532">
        <w:rPr>
          <w:rFonts w:ascii="Tw Cen MT" w:hAnsi="Tw Cen MT" w:cs="Times New Roman"/>
          <w:i/>
          <w:iCs/>
          <w:noProof/>
          <w:sz w:val="24"/>
          <w:szCs w:val="24"/>
        </w:rPr>
        <w:t>J. Int. Multidiscriplinary Res.</w:t>
      </w:r>
      <w:r w:rsidRPr="00017532">
        <w:rPr>
          <w:rFonts w:ascii="Tw Cen MT" w:hAnsi="Tw Cen MT" w:cs="Times New Roman"/>
          <w:noProof/>
          <w:sz w:val="24"/>
          <w:szCs w:val="24"/>
        </w:rPr>
        <w:t>, vol. 2, no. 5, pp. 450–462, 2024.</w:t>
      </w:r>
    </w:p>
    <w:p w14:paraId="145CB538"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[11]</w:t>
      </w:r>
      <w:r w:rsidRPr="00017532">
        <w:rPr>
          <w:rFonts w:ascii="Tw Cen MT" w:hAnsi="Tw Cen MT" w:cs="Times New Roman"/>
          <w:noProof/>
          <w:sz w:val="24"/>
          <w:szCs w:val="24"/>
        </w:rPr>
        <w:tab/>
        <w:t xml:space="preserve">S. Kamble </w:t>
      </w:r>
      <w:r w:rsidRPr="00017532">
        <w:rPr>
          <w:rFonts w:ascii="Tw Cen MT" w:hAnsi="Tw Cen MT" w:cs="Times New Roman"/>
          <w:i/>
          <w:iCs/>
          <w:noProof/>
          <w:sz w:val="24"/>
          <w:szCs w:val="24"/>
        </w:rPr>
        <w:t>et al.</w:t>
      </w:r>
      <w:r w:rsidRPr="00017532">
        <w:rPr>
          <w:rFonts w:ascii="Tw Cen MT" w:hAnsi="Tw Cen MT" w:cs="Times New Roman"/>
          <w:noProof/>
          <w:sz w:val="24"/>
          <w:szCs w:val="24"/>
        </w:rPr>
        <w:t xml:space="preserve">, “Access, timeliness and retention for HIV testing under early infant diagnosis (EID) program, India,” </w:t>
      </w:r>
      <w:r w:rsidRPr="00017532">
        <w:rPr>
          <w:rFonts w:ascii="Tw Cen MT" w:hAnsi="Tw Cen MT" w:cs="Times New Roman"/>
          <w:i/>
          <w:iCs/>
          <w:noProof/>
          <w:sz w:val="24"/>
          <w:szCs w:val="24"/>
        </w:rPr>
        <w:t>Sci. Rep.</w:t>
      </w:r>
      <w:r w:rsidRPr="00017532">
        <w:rPr>
          <w:rFonts w:ascii="Tw Cen MT" w:hAnsi="Tw Cen MT" w:cs="Times New Roman"/>
          <w:noProof/>
          <w:sz w:val="24"/>
          <w:szCs w:val="24"/>
        </w:rPr>
        <w:t>, vol. 13, no. 1, pp. 1–11, 2023, doi: 10.1038/s41598-023-32056-y.</w:t>
      </w:r>
    </w:p>
    <w:p w14:paraId="43A0E99B"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[12]</w:t>
      </w:r>
      <w:r w:rsidRPr="00017532">
        <w:rPr>
          <w:rFonts w:ascii="Tw Cen MT" w:hAnsi="Tw Cen MT" w:cs="Times New Roman"/>
          <w:noProof/>
          <w:sz w:val="24"/>
          <w:szCs w:val="24"/>
        </w:rPr>
        <w:tab/>
        <w:t xml:space="preserve">S. M. Alharbi </w:t>
      </w:r>
      <w:r w:rsidRPr="00017532">
        <w:rPr>
          <w:rFonts w:ascii="Tw Cen MT" w:hAnsi="Tw Cen MT" w:cs="Times New Roman"/>
          <w:i/>
          <w:iCs/>
          <w:noProof/>
          <w:sz w:val="24"/>
          <w:szCs w:val="24"/>
        </w:rPr>
        <w:t>et al.</w:t>
      </w:r>
      <w:r w:rsidRPr="00017532">
        <w:rPr>
          <w:rFonts w:ascii="Tw Cen MT" w:hAnsi="Tw Cen MT" w:cs="Times New Roman"/>
          <w:noProof/>
          <w:sz w:val="24"/>
          <w:szCs w:val="24"/>
        </w:rPr>
        <w:t xml:space="preserve">, “Strategies to improve the early detection and management of ectopic pregnancies in primary care,” </w:t>
      </w:r>
      <w:r w:rsidRPr="00017532">
        <w:rPr>
          <w:rFonts w:ascii="Tw Cen MT" w:hAnsi="Tw Cen MT" w:cs="Times New Roman"/>
          <w:i/>
          <w:iCs/>
          <w:noProof/>
          <w:sz w:val="24"/>
          <w:szCs w:val="24"/>
        </w:rPr>
        <w:t>Int. J. Community Med. Public Heal.</w:t>
      </w:r>
      <w:r w:rsidRPr="00017532">
        <w:rPr>
          <w:rFonts w:ascii="Tw Cen MT" w:hAnsi="Tw Cen MT" w:cs="Times New Roman"/>
          <w:noProof/>
          <w:sz w:val="24"/>
          <w:szCs w:val="24"/>
        </w:rPr>
        <w:t>, vol. 10, no. 7, pp. 2599–2603, 2023, doi: 10.18203/2394-6040.ijcmph20231772.</w:t>
      </w:r>
    </w:p>
    <w:p w14:paraId="0F2EA4FF"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[13]</w:t>
      </w:r>
      <w:r w:rsidRPr="00017532">
        <w:rPr>
          <w:rFonts w:ascii="Tw Cen MT" w:hAnsi="Tw Cen MT" w:cs="Times New Roman"/>
          <w:noProof/>
          <w:sz w:val="24"/>
          <w:szCs w:val="24"/>
        </w:rPr>
        <w:tab/>
        <w:t xml:space="preserve">B. P and S. Somashekar, “A Study on Health Awareness During Pregnancy with Special Reference to Chamarajanagara District,” </w:t>
      </w:r>
      <w:r w:rsidRPr="00017532">
        <w:rPr>
          <w:rFonts w:ascii="Tw Cen MT" w:hAnsi="Tw Cen MT" w:cs="Times New Roman"/>
          <w:i/>
          <w:iCs/>
          <w:noProof/>
          <w:sz w:val="24"/>
          <w:szCs w:val="24"/>
        </w:rPr>
        <w:t>Int. J. Soc. Heal.</w:t>
      </w:r>
      <w:r w:rsidRPr="00017532">
        <w:rPr>
          <w:rFonts w:ascii="Tw Cen MT" w:hAnsi="Tw Cen MT" w:cs="Times New Roman"/>
          <w:noProof/>
          <w:sz w:val="24"/>
          <w:szCs w:val="24"/>
        </w:rPr>
        <w:t>, vol. 2, no. 6, pp. 391–396, 2023, doi: 10.58860/ijsh.v2i6.64.</w:t>
      </w:r>
    </w:p>
    <w:p w14:paraId="0B7C7B45"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[14]</w:t>
      </w:r>
      <w:r w:rsidRPr="00017532">
        <w:rPr>
          <w:rFonts w:ascii="Tw Cen MT" w:hAnsi="Tw Cen MT" w:cs="Times New Roman"/>
          <w:noProof/>
          <w:sz w:val="24"/>
          <w:szCs w:val="24"/>
        </w:rPr>
        <w:tab/>
        <w:t xml:space="preserve">Fitriani, Sukri, S. Efendi, and N. Sriyanah, “Early Detection of Hypertension Symptoms in Pregnancy,” </w:t>
      </w:r>
      <w:r w:rsidRPr="00017532">
        <w:rPr>
          <w:rFonts w:ascii="Tw Cen MT" w:hAnsi="Tw Cen MT" w:cs="Times New Roman"/>
          <w:i/>
          <w:iCs/>
          <w:noProof/>
          <w:sz w:val="24"/>
          <w:szCs w:val="24"/>
        </w:rPr>
        <w:t>Int. J. Community Serv.</w:t>
      </w:r>
      <w:r w:rsidRPr="00017532">
        <w:rPr>
          <w:rFonts w:ascii="Tw Cen MT" w:hAnsi="Tw Cen MT" w:cs="Times New Roman"/>
          <w:noProof/>
          <w:sz w:val="24"/>
          <w:szCs w:val="24"/>
        </w:rPr>
        <w:t>, vol. 1, no. 2, pp. 142–147, 2022, doi: 10.55299/ijcs.v1i2.174.</w:t>
      </w:r>
    </w:p>
    <w:p w14:paraId="4191B51F"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[15]</w:t>
      </w:r>
      <w:r w:rsidRPr="00017532">
        <w:rPr>
          <w:rFonts w:ascii="Tw Cen MT" w:hAnsi="Tw Cen MT" w:cs="Times New Roman"/>
          <w:noProof/>
          <w:sz w:val="24"/>
          <w:szCs w:val="24"/>
        </w:rPr>
        <w:tab/>
        <w:t>D. Feyisa, “Toward Universal Health Coverage</w:t>
      </w:r>
      <w:r w:rsidRPr="00017532">
        <w:rPr>
          <w:rFonts w:ascii="Arial" w:hAnsi="Arial" w:cs="Arial"/>
          <w:noProof/>
          <w:sz w:val="24"/>
          <w:szCs w:val="24"/>
        </w:rPr>
        <w:t> </w:t>
      </w:r>
      <w:r w:rsidRPr="00017532">
        <w:rPr>
          <w:rFonts w:ascii="Tw Cen MT" w:hAnsi="Tw Cen MT" w:cs="Times New Roman"/>
          <w:noProof/>
          <w:sz w:val="24"/>
          <w:szCs w:val="24"/>
        </w:rPr>
        <w:t xml:space="preserve">: The Role of Health Insurance,” in </w:t>
      </w:r>
      <w:r w:rsidRPr="00017532">
        <w:rPr>
          <w:rFonts w:ascii="Tw Cen MT" w:hAnsi="Tw Cen MT" w:cs="Times New Roman"/>
          <w:i/>
          <w:iCs/>
          <w:noProof/>
          <w:sz w:val="24"/>
          <w:szCs w:val="24"/>
        </w:rPr>
        <w:t>Health Insurance</w:t>
      </w:r>
      <w:r w:rsidRPr="00017532">
        <w:rPr>
          <w:rFonts w:ascii="Tw Cen MT" w:hAnsi="Tw Cen MT" w:cs="Times New Roman"/>
          <w:noProof/>
          <w:sz w:val="24"/>
          <w:szCs w:val="24"/>
        </w:rPr>
        <w:t>, London: IntechOpen, 2022, pp. 1–14.</w:t>
      </w:r>
    </w:p>
    <w:p w14:paraId="0DDE42CD"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[16]</w:t>
      </w:r>
      <w:r w:rsidRPr="00017532">
        <w:rPr>
          <w:rFonts w:ascii="Tw Cen MT" w:hAnsi="Tw Cen MT" w:cs="Times New Roman"/>
          <w:noProof/>
          <w:sz w:val="24"/>
          <w:szCs w:val="24"/>
        </w:rPr>
        <w:tab/>
        <w:t xml:space="preserve">H. A. Hamzah </w:t>
      </w:r>
      <w:r w:rsidRPr="00017532">
        <w:rPr>
          <w:rFonts w:ascii="Tw Cen MT" w:hAnsi="Tw Cen MT" w:cs="Times New Roman"/>
          <w:i/>
          <w:iCs/>
          <w:noProof/>
          <w:sz w:val="24"/>
          <w:szCs w:val="24"/>
        </w:rPr>
        <w:t>et al.</w:t>
      </w:r>
      <w:r w:rsidRPr="00017532">
        <w:rPr>
          <w:rFonts w:ascii="Tw Cen MT" w:hAnsi="Tw Cen MT" w:cs="Times New Roman"/>
          <w:noProof/>
          <w:sz w:val="24"/>
          <w:szCs w:val="24"/>
        </w:rPr>
        <w:t xml:space="preserve">, “The Impact of Health Insurance on Maternal Health Care in Indonesia: A Systematic Review,” </w:t>
      </w:r>
      <w:r w:rsidRPr="00017532">
        <w:rPr>
          <w:rFonts w:ascii="Tw Cen MT" w:hAnsi="Tw Cen MT" w:cs="Times New Roman"/>
          <w:i/>
          <w:iCs/>
          <w:noProof/>
          <w:sz w:val="24"/>
          <w:szCs w:val="24"/>
        </w:rPr>
        <w:t>Research Square</w:t>
      </w:r>
      <w:r w:rsidRPr="00017532">
        <w:rPr>
          <w:rFonts w:ascii="Tw Cen MT" w:hAnsi="Tw Cen MT" w:cs="Times New Roman"/>
          <w:noProof/>
          <w:sz w:val="24"/>
          <w:szCs w:val="24"/>
        </w:rPr>
        <w:t>, 2023. https://doi.org/10.21203/rs.3.rs-2855451/v1.</w:t>
      </w:r>
    </w:p>
    <w:p w14:paraId="22B57277"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[17]</w:t>
      </w:r>
      <w:r w:rsidRPr="00017532">
        <w:rPr>
          <w:rFonts w:ascii="Tw Cen MT" w:hAnsi="Tw Cen MT" w:cs="Times New Roman"/>
          <w:noProof/>
          <w:sz w:val="24"/>
          <w:szCs w:val="24"/>
        </w:rPr>
        <w:tab/>
        <w:t xml:space="preserve">N. F. Imamah, N. Ekadinata, G. Prayogo, and B. A. Pramesona, “Employment, Income, Health Insurance, Accessibility to Healthcare Facility, Age, and Prenatal Anxiety in Indonesia,” </w:t>
      </w:r>
      <w:r w:rsidRPr="00017532">
        <w:rPr>
          <w:rFonts w:ascii="Tw Cen MT" w:hAnsi="Tw Cen MT" w:cs="Times New Roman"/>
          <w:i/>
          <w:iCs/>
          <w:noProof/>
          <w:sz w:val="24"/>
          <w:szCs w:val="24"/>
        </w:rPr>
        <w:t>J. Aisyah  J. Ilmu Kesehat.</w:t>
      </w:r>
      <w:r w:rsidRPr="00017532">
        <w:rPr>
          <w:rFonts w:ascii="Tw Cen MT" w:hAnsi="Tw Cen MT" w:cs="Times New Roman"/>
          <w:noProof/>
          <w:sz w:val="24"/>
          <w:szCs w:val="24"/>
        </w:rPr>
        <w:t>, vol. 8, no. 2, pp. 879–886, 2023, doi: 10.30604/jika.v8i2.2046.</w:t>
      </w:r>
    </w:p>
    <w:p w14:paraId="25F4F75B"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noProof/>
          <w:sz w:val="24"/>
        </w:rPr>
      </w:pPr>
      <w:r w:rsidRPr="00017532">
        <w:rPr>
          <w:rFonts w:ascii="Tw Cen MT" w:hAnsi="Tw Cen MT" w:cs="Times New Roman"/>
          <w:noProof/>
          <w:sz w:val="24"/>
          <w:szCs w:val="24"/>
        </w:rPr>
        <w:t>[18]</w:t>
      </w:r>
      <w:r w:rsidRPr="00017532">
        <w:rPr>
          <w:rFonts w:ascii="Tw Cen MT" w:hAnsi="Tw Cen MT" w:cs="Times New Roman"/>
          <w:noProof/>
          <w:sz w:val="24"/>
          <w:szCs w:val="24"/>
        </w:rPr>
        <w:tab/>
        <w:t xml:space="preserve">X. Tao, Y. Zeng, S. Wang, J. Zheng, B. Ye, and Y. Zheng, “Research on the impact of medical and old-age security on the utilization of medical services for the disabled elderly,” </w:t>
      </w:r>
      <w:r w:rsidRPr="00017532">
        <w:rPr>
          <w:rFonts w:ascii="Tw Cen MT" w:hAnsi="Tw Cen MT" w:cs="Times New Roman"/>
          <w:i/>
          <w:iCs/>
          <w:noProof/>
          <w:sz w:val="24"/>
          <w:szCs w:val="24"/>
        </w:rPr>
        <w:t>Research Square</w:t>
      </w:r>
      <w:r w:rsidRPr="00017532">
        <w:rPr>
          <w:rFonts w:ascii="Tw Cen MT" w:hAnsi="Tw Cen MT" w:cs="Times New Roman"/>
          <w:noProof/>
          <w:sz w:val="24"/>
          <w:szCs w:val="24"/>
        </w:rPr>
        <w:t>, 2023. .</w:t>
      </w:r>
    </w:p>
    <w:p w14:paraId="2DC7BB5D" w14:textId="6D5BE3B3" w:rsidR="00500701" w:rsidRPr="002E23D7" w:rsidRDefault="00500701" w:rsidP="004721E3">
      <w:pPr>
        <w:spacing w:after="0" w:line="240" w:lineRule="auto"/>
        <w:ind w:left="426" w:hanging="426"/>
        <w:jc w:val="both"/>
        <w:rPr>
          <w:rFonts w:ascii="Tw Cen MT" w:eastAsia="Twentieth Century" w:hAnsi="Tw Cen MT" w:cs="Twentieth Century"/>
          <w:color w:val="0D0D0D"/>
          <w:sz w:val="24"/>
          <w:szCs w:val="24"/>
        </w:rPr>
        <w:sectPr w:rsidR="00500701" w:rsidRPr="002E23D7">
          <w:type w:val="continuous"/>
          <w:pgSz w:w="12240" w:h="15840"/>
          <w:pgMar w:top="1440" w:right="1440" w:bottom="1440" w:left="1440" w:header="720" w:footer="720" w:gutter="0"/>
          <w:cols w:num="2" w:space="720" w:equalWidth="0">
            <w:col w:w="4320" w:space="720"/>
            <w:col w:w="4320" w:space="0"/>
          </w:cols>
        </w:sectPr>
      </w:pPr>
      <w:r>
        <w:rPr>
          <w:rFonts w:ascii="Tw Cen MT" w:eastAsia="Twentieth Century" w:hAnsi="Tw Cen MT" w:cs="Twentieth Century"/>
          <w:color w:val="0D0D0D"/>
          <w:sz w:val="24"/>
          <w:szCs w:val="24"/>
        </w:rPr>
        <w:fldChar w:fldCharType="end"/>
      </w: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60033" w14:textId="77777777" w:rsidR="00A4478C" w:rsidRDefault="00A4478C">
      <w:pPr>
        <w:spacing w:after="0" w:line="240" w:lineRule="auto"/>
      </w:pPr>
      <w:r>
        <w:separator/>
      </w:r>
    </w:p>
  </w:endnote>
  <w:endnote w:type="continuationSeparator" w:id="0">
    <w:p w14:paraId="66376202" w14:textId="77777777" w:rsidR="00A4478C" w:rsidRDefault="00A4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1E8CAF23"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500701">
          <w:t xml:space="preserve">Lia Dwi Prafitri and </w: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500701">
              <w:rPr>
                <w:rFonts w:ascii="Tw Cen MT" w:hAnsi="Tw Cen MT"/>
                <w:color w:val="000000" w:themeColor="text1"/>
                <w:sz w:val="20"/>
                <w:szCs w:val="24"/>
                <w:lang w:val="en-ID"/>
              </w:rPr>
              <w:t>L02Prafitri</w:t>
            </w:r>
            <w:r w:rsidR="00017532">
              <w:rPr>
                <w:rFonts w:ascii="Tw Cen MT" w:hAnsi="Tw Cen MT"/>
                <w:color w:val="000000" w:themeColor="text1"/>
                <w:sz w:val="20"/>
                <w:szCs w:val="24"/>
                <w:lang w:val="en-ID"/>
              </w:rPr>
              <w:t>@</w:t>
            </w:r>
            <w:r w:rsidR="00500701">
              <w:rPr>
                <w:rFonts w:ascii="Tw Cen MT" w:hAnsi="Tw Cen MT"/>
                <w:color w:val="000000" w:themeColor="text1"/>
                <w:sz w:val="20"/>
                <w:szCs w:val="24"/>
                <w:lang w:val="en-ID"/>
              </w:rPr>
              <w:t>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683AA" w14:textId="77777777" w:rsidR="00A4478C" w:rsidRDefault="00A4478C">
      <w:pPr>
        <w:spacing w:after="0" w:line="240" w:lineRule="auto"/>
      </w:pPr>
      <w:r>
        <w:separator/>
      </w:r>
    </w:p>
  </w:footnote>
  <w:footnote w:type="continuationSeparator" w:id="0">
    <w:p w14:paraId="4BCBF125" w14:textId="77777777" w:rsidR="00A4478C" w:rsidRDefault="00A44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0923BFE"/>
    <w:multiLevelType w:val="hybridMultilevel"/>
    <w:tmpl w:val="6FBE40CA"/>
    <w:lvl w:ilvl="0" w:tplc="9E8E213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A751A"/>
    <w:multiLevelType w:val="hybridMultilevel"/>
    <w:tmpl w:val="F00EFF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3"/>
  </w:num>
  <w:num w:numId="2" w16cid:durableId="949356608">
    <w:abstractNumId w:val="5"/>
  </w:num>
  <w:num w:numId="3" w16cid:durableId="1651202949">
    <w:abstractNumId w:val="1"/>
  </w:num>
  <w:num w:numId="4" w16cid:durableId="449783476">
    <w:abstractNumId w:val="0"/>
  </w:num>
  <w:num w:numId="5" w16cid:durableId="1927498309">
    <w:abstractNumId w:val="4"/>
  </w:num>
  <w:num w:numId="6" w16cid:durableId="14177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7532"/>
    <w:rsid w:val="00035A37"/>
    <w:rsid w:val="00046906"/>
    <w:rsid w:val="0005516F"/>
    <w:rsid w:val="00060928"/>
    <w:rsid w:val="00062BAC"/>
    <w:rsid w:val="00082EFF"/>
    <w:rsid w:val="00096D8F"/>
    <w:rsid w:val="000A46F4"/>
    <w:rsid w:val="000B1F81"/>
    <w:rsid w:val="000B75DE"/>
    <w:rsid w:val="000C4719"/>
    <w:rsid w:val="000D0DFF"/>
    <w:rsid w:val="000D1F27"/>
    <w:rsid w:val="000E02F6"/>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61BB2"/>
    <w:rsid w:val="0027621D"/>
    <w:rsid w:val="00283220"/>
    <w:rsid w:val="00292E42"/>
    <w:rsid w:val="00293DB9"/>
    <w:rsid w:val="002B20BA"/>
    <w:rsid w:val="002B44F1"/>
    <w:rsid w:val="002C693D"/>
    <w:rsid w:val="002C73F4"/>
    <w:rsid w:val="002D30A7"/>
    <w:rsid w:val="002E7BE2"/>
    <w:rsid w:val="00301611"/>
    <w:rsid w:val="003069B5"/>
    <w:rsid w:val="00306DA7"/>
    <w:rsid w:val="00307CDB"/>
    <w:rsid w:val="00314849"/>
    <w:rsid w:val="00360085"/>
    <w:rsid w:val="00361BBD"/>
    <w:rsid w:val="00372502"/>
    <w:rsid w:val="00380121"/>
    <w:rsid w:val="003C6F58"/>
    <w:rsid w:val="003E590E"/>
    <w:rsid w:val="003F6489"/>
    <w:rsid w:val="003F6B0D"/>
    <w:rsid w:val="00413D75"/>
    <w:rsid w:val="00420F93"/>
    <w:rsid w:val="00431AAB"/>
    <w:rsid w:val="00463B9A"/>
    <w:rsid w:val="0046541C"/>
    <w:rsid w:val="004721E3"/>
    <w:rsid w:val="004A3EFA"/>
    <w:rsid w:val="004B34C5"/>
    <w:rsid w:val="004B41B7"/>
    <w:rsid w:val="004C01E6"/>
    <w:rsid w:val="004E128A"/>
    <w:rsid w:val="004F0C66"/>
    <w:rsid w:val="00500701"/>
    <w:rsid w:val="005424FD"/>
    <w:rsid w:val="005458B9"/>
    <w:rsid w:val="005471FC"/>
    <w:rsid w:val="00550644"/>
    <w:rsid w:val="005642A1"/>
    <w:rsid w:val="00565328"/>
    <w:rsid w:val="00596094"/>
    <w:rsid w:val="005C1635"/>
    <w:rsid w:val="005C30BC"/>
    <w:rsid w:val="005C5210"/>
    <w:rsid w:val="005E0707"/>
    <w:rsid w:val="005F01EE"/>
    <w:rsid w:val="00624B47"/>
    <w:rsid w:val="006334E1"/>
    <w:rsid w:val="006431BA"/>
    <w:rsid w:val="00655189"/>
    <w:rsid w:val="00665737"/>
    <w:rsid w:val="00670815"/>
    <w:rsid w:val="006B1D84"/>
    <w:rsid w:val="006D261F"/>
    <w:rsid w:val="006D6395"/>
    <w:rsid w:val="007006B9"/>
    <w:rsid w:val="007106F6"/>
    <w:rsid w:val="007368A2"/>
    <w:rsid w:val="00762C0B"/>
    <w:rsid w:val="00765F40"/>
    <w:rsid w:val="007A1AEF"/>
    <w:rsid w:val="007A770B"/>
    <w:rsid w:val="007D6D9D"/>
    <w:rsid w:val="007E655E"/>
    <w:rsid w:val="007E6A66"/>
    <w:rsid w:val="007F4948"/>
    <w:rsid w:val="00812425"/>
    <w:rsid w:val="0081569B"/>
    <w:rsid w:val="00825567"/>
    <w:rsid w:val="0086728C"/>
    <w:rsid w:val="008A326F"/>
    <w:rsid w:val="008E261A"/>
    <w:rsid w:val="00911160"/>
    <w:rsid w:val="00942731"/>
    <w:rsid w:val="00943EB9"/>
    <w:rsid w:val="0096335E"/>
    <w:rsid w:val="00997349"/>
    <w:rsid w:val="009A70E3"/>
    <w:rsid w:val="009D73CD"/>
    <w:rsid w:val="009F5E84"/>
    <w:rsid w:val="009F6554"/>
    <w:rsid w:val="00A343E3"/>
    <w:rsid w:val="00A36329"/>
    <w:rsid w:val="00A4478C"/>
    <w:rsid w:val="00A71279"/>
    <w:rsid w:val="00AA0403"/>
    <w:rsid w:val="00AB2BCC"/>
    <w:rsid w:val="00AE2862"/>
    <w:rsid w:val="00B057E2"/>
    <w:rsid w:val="00B241B6"/>
    <w:rsid w:val="00B25240"/>
    <w:rsid w:val="00B35791"/>
    <w:rsid w:val="00B41001"/>
    <w:rsid w:val="00B63555"/>
    <w:rsid w:val="00B674AF"/>
    <w:rsid w:val="00B80D29"/>
    <w:rsid w:val="00BC34CC"/>
    <w:rsid w:val="00BE7B4C"/>
    <w:rsid w:val="00C133E7"/>
    <w:rsid w:val="00C20FA8"/>
    <w:rsid w:val="00C812B9"/>
    <w:rsid w:val="00C96B4B"/>
    <w:rsid w:val="00CB0A6C"/>
    <w:rsid w:val="00CB3237"/>
    <w:rsid w:val="00CD6253"/>
    <w:rsid w:val="00CF5715"/>
    <w:rsid w:val="00D0123F"/>
    <w:rsid w:val="00D06530"/>
    <w:rsid w:val="00D2571D"/>
    <w:rsid w:val="00D31D13"/>
    <w:rsid w:val="00D32B7E"/>
    <w:rsid w:val="00D37FC1"/>
    <w:rsid w:val="00D428B5"/>
    <w:rsid w:val="00D44301"/>
    <w:rsid w:val="00D466FC"/>
    <w:rsid w:val="00D56013"/>
    <w:rsid w:val="00D70D6D"/>
    <w:rsid w:val="00D9262D"/>
    <w:rsid w:val="00D9785A"/>
    <w:rsid w:val="00D97C8B"/>
    <w:rsid w:val="00DA4258"/>
    <w:rsid w:val="00DB156A"/>
    <w:rsid w:val="00DB7592"/>
    <w:rsid w:val="00DC2BB5"/>
    <w:rsid w:val="00DE3780"/>
    <w:rsid w:val="00DF0B65"/>
    <w:rsid w:val="00DF6E07"/>
    <w:rsid w:val="00E00E3E"/>
    <w:rsid w:val="00E03962"/>
    <w:rsid w:val="00E067A8"/>
    <w:rsid w:val="00E37E90"/>
    <w:rsid w:val="00E61A59"/>
    <w:rsid w:val="00E81E13"/>
    <w:rsid w:val="00EA57B9"/>
    <w:rsid w:val="00ED0E10"/>
    <w:rsid w:val="00ED6F9F"/>
    <w:rsid w:val="00F1133F"/>
    <w:rsid w:val="00F4585D"/>
    <w:rsid w:val="00F5431A"/>
    <w:rsid w:val="00F6187B"/>
    <w:rsid w:val="00F64252"/>
    <w:rsid w:val="00F817F4"/>
    <w:rsid w:val="00F841D1"/>
    <w:rsid w:val="00F9233C"/>
    <w:rsid w:val="00FC3A84"/>
    <w:rsid w:val="00FD5C0A"/>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ody of text,Body of text+1,Body of text+2,Body of text+3,List Paragraph11"/>
    <w:basedOn w:val="Normal"/>
    <w:link w:val="ListParagraphCh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aliases w:val="Body of text Char,Body of text+1 Char,Body of text+2 Char,Body of text+3 Char,List Paragraph11 Char"/>
    <w:link w:val="ListParagraph"/>
    <w:uiPriority w:val="1"/>
    <w:locked/>
    <w:rsid w:val="00D32B7E"/>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5516F"/>
    <w:rsid w:val="00062BAC"/>
    <w:rsid w:val="000E02F6"/>
    <w:rsid w:val="00122296"/>
    <w:rsid w:val="00287697"/>
    <w:rsid w:val="00342DE1"/>
    <w:rsid w:val="003D7BD9"/>
    <w:rsid w:val="00474971"/>
    <w:rsid w:val="00637CD0"/>
    <w:rsid w:val="0098738B"/>
    <w:rsid w:val="00A85543"/>
    <w:rsid w:val="00D67E47"/>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10089</Words>
  <Characters>64979</Characters>
  <Application>Microsoft Office Word</Application>
  <DocSecurity>0</DocSecurity>
  <Lines>2599</Lines>
  <Paragraphs>708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L02Prafitri@gmail.com</dc:creator>
  <cp:lastModifiedBy>Lia Dwi Prafitri</cp:lastModifiedBy>
  <cp:revision>3</cp:revision>
  <cp:lastPrinted>2023-05-02T07:00:00Z</cp:lastPrinted>
  <dcterms:created xsi:type="dcterms:W3CDTF">2024-10-21T07:37:00Z</dcterms:created>
  <dcterms:modified xsi:type="dcterms:W3CDTF">2024-10-21T07:39:00Z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0395618f-fab6-32a3-851f-24889ca46d6e</vt:lpwstr>
  </property>
  <property fmtid="{D5CDD505-2E9C-101B-9397-08002B2CF9AE}" pid="24" name="Mendeley Citation Style_1">
    <vt:lpwstr>http://www.zotero.org/styles/ieee</vt:lpwstr>
  </property>
  <property fmtid="{D5CDD505-2E9C-101B-9397-08002B2CF9AE}" pid="25" name="GrammarlyDocumentId">
    <vt:lpwstr>b734ef0a9654a2089ad4872c9d120088267b0f2f5f01a3f41d568147c6fc6064</vt:lpwstr>
  </property>
</Properties>
</file>