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79038" w14:textId="1304FB14" w:rsidR="0027621D" w:rsidRPr="0096335E" w:rsidRDefault="00D97C8B" w:rsidP="00091BF6">
      <w:pPr>
        <w:spacing w:after="0" w:line="240" w:lineRule="auto"/>
        <w:jc w:val="center"/>
        <w:rPr>
          <w:rFonts w:ascii="Tw Cen MT" w:hAnsi="Tw Cen MT" w:cs="Arial"/>
          <w:b/>
          <w:bCs/>
          <w:color w:val="000000"/>
          <w:sz w:val="32"/>
          <w:szCs w:val="32"/>
        </w:rPr>
      </w:pPr>
      <w:r w:rsidRPr="00D97C8B">
        <w:rPr>
          <w:rFonts w:ascii="Tw Cen MT" w:eastAsia="Twentieth Century" w:hAnsi="Tw Cen MT" w:cs="Twentieth Century"/>
          <w:b/>
          <w:sz w:val="32"/>
          <w:szCs w:val="32"/>
        </w:rPr>
        <w:t xml:space="preserve">Factors Affecting Early Detection </w:t>
      </w:r>
      <w:r w:rsidR="00500701">
        <w:rPr>
          <w:rFonts w:ascii="Tw Cen MT" w:eastAsia="Twentieth Century" w:hAnsi="Tw Cen MT" w:cs="Twentieth Century"/>
          <w:b/>
          <w:sz w:val="32"/>
          <w:szCs w:val="32"/>
        </w:rPr>
        <w:t>o</w:t>
      </w:r>
      <w:r w:rsidRPr="00D97C8B">
        <w:rPr>
          <w:rFonts w:ascii="Tw Cen MT" w:eastAsia="Twentieth Century" w:hAnsi="Tw Cen MT" w:cs="Twentieth Century"/>
          <w:b/>
          <w:sz w:val="32"/>
          <w:szCs w:val="32"/>
        </w:rPr>
        <w:t xml:space="preserve">f High Risk </w:t>
      </w:r>
      <w:r w:rsidR="00500701">
        <w:rPr>
          <w:rFonts w:ascii="Tw Cen MT" w:eastAsia="Twentieth Century" w:hAnsi="Tw Cen MT" w:cs="Twentieth Century"/>
          <w:b/>
          <w:sz w:val="32"/>
          <w:szCs w:val="32"/>
        </w:rPr>
        <w:t>o</w:t>
      </w:r>
      <w:r w:rsidRPr="00D97C8B">
        <w:rPr>
          <w:rFonts w:ascii="Tw Cen MT" w:eastAsia="Twentieth Century" w:hAnsi="Tw Cen MT" w:cs="Twentieth Century"/>
          <w:b/>
          <w:sz w:val="32"/>
          <w:szCs w:val="32"/>
        </w:rPr>
        <w:t>f Pregnancy</w:t>
      </w:r>
    </w:p>
    <w:p w14:paraId="2D71662A" w14:textId="77777777" w:rsidR="0027621D" w:rsidRPr="0096335E" w:rsidRDefault="0027621D" w:rsidP="00091BF6">
      <w:pPr>
        <w:spacing w:after="0" w:line="240" w:lineRule="auto"/>
        <w:jc w:val="center"/>
        <w:rPr>
          <w:rFonts w:ascii="Tw Cen MT" w:eastAsia="Twentieth Century" w:hAnsi="Tw Cen MT" w:cs="Twentieth Century"/>
          <w:b/>
          <w:sz w:val="32"/>
          <w:szCs w:val="32"/>
        </w:rPr>
      </w:pPr>
    </w:p>
    <w:p w14:paraId="2E7DDF99" w14:textId="35D14F41" w:rsidR="007F4948" w:rsidRPr="0096335E" w:rsidRDefault="00D97C8B" w:rsidP="00091BF6">
      <w:pPr>
        <w:spacing w:after="0" w:line="240" w:lineRule="auto"/>
        <w:jc w:val="center"/>
        <w:rPr>
          <w:rFonts w:ascii="Tw Cen MT" w:hAnsi="Tw Cen MT" w:cs="Times New Roman"/>
          <w:b/>
          <w:bCs/>
          <w:iCs/>
          <w:sz w:val="32"/>
          <w:szCs w:val="32"/>
        </w:rPr>
      </w:pPr>
      <w:bookmarkStart w:id="0" w:name="_heading=h.ku3htxpixa9v" w:colFirst="0" w:colLast="0"/>
      <w:bookmarkEnd w:id="0"/>
      <w:r w:rsidRPr="00D97C8B">
        <w:rPr>
          <w:rFonts w:ascii="Tw Cen MT" w:eastAsia="Twentieth Century" w:hAnsi="Tw Cen MT" w:cs="Twentieth Century"/>
          <w:b/>
          <w:sz w:val="32"/>
          <w:szCs w:val="32"/>
        </w:rPr>
        <w:t>Faktor Yang Mempengaruhi Deteksi Dini Resiko Tinggi Kehamilan</w:t>
      </w:r>
    </w:p>
    <w:p w14:paraId="4184BDE4" w14:textId="77777777" w:rsidR="0027621D" w:rsidRPr="0096335E" w:rsidRDefault="0027621D" w:rsidP="00091BF6">
      <w:pPr>
        <w:spacing w:after="0" w:line="240" w:lineRule="auto"/>
        <w:jc w:val="center"/>
        <w:rPr>
          <w:rFonts w:ascii="Tw Cen MT" w:hAnsi="Tw Cen MT" w:cs="Times New Roman"/>
          <w:b/>
          <w:bCs/>
          <w:iCs/>
          <w:sz w:val="32"/>
          <w:szCs w:val="32"/>
        </w:rPr>
      </w:pPr>
    </w:p>
    <w:p w14:paraId="781ACE20" w14:textId="14EBED55" w:rsidR="004721E3" w:rsidRPr="002E23D7" w:rsidRDefault="00D97C8B" w:rsidP="00091BF6">
      <w:pPr>
        <w:widowControl w:val="0"/>
        <w:spacing w:after="0" w:line="240" w:lineRule="auto"/>
        <w:ind w:left="7" w:right="-20"/>
        <w:jc w:val="center"/>
        <w:rPr>
          <w:rFonts w:ascii="Tw Cen MT" w:eastAsia="Twentieth Century" w:hAnsi="Tw Cen MT" w:cs="Twentieth Century"/>
          <w:sz w:val="24"/>
          <w:szCs w:val="24"/>
        </w:rPr>
      </w:pPr>
      <w:r>
        <w:rPr>
          <w:rFonts w:ascii="Tw Cen MT" w:eastAsia="Twentieth Century" w:hAnsi="Tw Cen MT" w:cs="Twentieth Century"/>
          <w:sz w:val="24"/>
          <w:szCs w:val="24"/>
        </w:rPr>
        <w:t>Lia Dwi Prafitri</w:t>
      </w:r>
      <w:r w:rsidR="004721E3" w:rsidRPr="002E23D7">
        <w:rPr>
          <w:rFonts w:ascii="Tw Cen MT" w:eastAsia="Twentieth Century" w:hAnsi="Tw Cen MT" w:cs="Twentieth Century"/>
          <w:sz w:val="24"/>
          <w:szCs w:val="24"/>
          <w:vertAlign w:val="superscript"/>
        </w:rPr>
        <w:t xml:space="preserve">1, </w:t>
      </w:r>
      <w:r>
        <w:rPr>
          <w:rFonts w:ascii="Tw Cen MT" w:eastAsia="Twentieth Century" w:hAnsi="Tw Cen MT" w:cs="Twentieth Century"/>
          <w:sz w:val="24"/>
          <w:szCs w:val="24"/>
        </w:rPr>
        <w:t>Suparni</w:t>
      </w:r>
      <w:r w:rsidR="004721E3" w:rsidRPr="002E23D7">
        <w:rPr>
          <w:rFonts w:ascii="Tw Cen MT" w:eastAsia="Twentieth Century" w:hAnsi="Tw Cen MT" w:cs="Twentieth Century"/>
          <w:sz w:val="24"/>
          <w:szCs w:val="24"/>
          <w:vertAlign w:val="superscript"/>
        </w:rPr>
        <w:t>2</w:t>
      </w:r>
      <w:r>
        <w:rPr>
          <w:rFonts w:ascii="Tw Cen MT" w:eastAsia="Twentieth Century" w:hAnsi="Tw Cen MT" w:cs="Twentieth Century"/>
          <w:sz w:val="24"/>
          <w:szCs w:val="24"/>
          <w:vertAlign w:val="superscript"/>
        </w:rPr>
        <w:t>,</w:t>
      </w:r>
      <w:r w:rsidRPr="00D97C8B">
        <w:rPr>
          <w:rFonts w:ascii="Tw Cen MT" w:eastAsia="Twentieth Century" w:hAnsi="Tw Cen MT" w:cs="Twentieth Century"/>
          <w:sz w:val="24"/>
          <w:szCs w:val="24"/>
        </w:rPr>
        <w:t xml:space="preserve"> </w:t>
      </w:r>
      <w:r>
        <w:rPr>
          <w:rFonts w:ascii="Tw Cen MT" w:eastAsia="Twentieth Century" w:hAnsi="Tw Cen MT" w:cs="Twentieth Century"/>
          <w:sz w:val="24"/>
          <w:szCs w:val="24"/>
        </w:rPr>
        <w:t>Nur Intan Kusuma</w:t>
      </w:r>
      <w:r>
        <w:rPr>
          <w:rFonts w:ascii="Tw Cen MT" w:eastAsia="Twentieth Century" w:hAnsi="Tw Cen MT" w:cs="Twentieth Century"/>
          <w:sz w:val="24"/>
          <w:szCs w:val="24"/>
          <w:vertAlign w:val="superscript"/>
        </w:rPr>
        <w:t>3</w:t>
      </w:r>
      <w:r w:rsidRPr="002E23D7">
        <w:rPr>
          <w:rFonts w:ascii="Tw Cen MT" w:eastAsia="Twentieth Century" w:hAnsi="Tw Cen MT" w:cs="Twentieth Century"/>
          <w:sz w:val="24"/>
          <w:szCs w:val="24"/>
          <w:vertAlign w:val="superscript"/>
        </w:rPr>
        <w:t xml:space="preserve"> </w:t>
      </w:r>
      <w:r w:rsidR="004721E3" w:rsidRPr="002E23D7">
        <w:rPr>
          <w:rFonts w:ascii="Tw Cen MT" w:eastAsia="Twentieth Century" w:hAnsi="Tw Cen MT" w:cs="Twentieth Century"/>
          <w:sz w:val="24"/>
          <w:szCs w:val="24"/>
          <w:vertAlign w:val="superscript"/>
        </w:rPr>
        <w:t xml:space="preserve"> </w:t>
      </w:r>
    </w:p>
    <w:p w14:paraId="37629F48" w14:textId="1491EF39" w:rsidR="004721E3" w:rsidRPr="002E23D7" w:rsidRDefault="00283220" w:rsidP="00091BF6">
      <w:pPr>
        <w:widowControl w:val="0"/>
        <w:spacing w:after="0" w:line="240"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vertAlign w:val="superscript"/>
        </w:rPr>
        <w:t xml:space="preserve">1,2,3 </w:t>
      </w:r>
      <w:r w:rsidR="00D97C8B">
        <w:rPr>
          <w:rFonts w:ascii="Tw Cen MT" w:eastAsia="Twentieth Century" w:hAnsi="Tw Cen MT" w:cs="Twentieth Century"/>
          <w:sz w:val="20"/>
          <w:szCs w:val="20"/>
        </w:rPr>
        <w:t>Universitas Muhammadiyah Pekajangan Pekalongan, Indonesia</w:t>
      </w:r>
    </w:p>
    <w:p w14:paraId="23FA8100" w14:textId="1D0BA1AC" w:rsidR="007F4948" w:rsidRPr="0096335E" w:rsidRDefault="004721E3" w:rsidP="00091BF6">
      <w:pPr>
        <w:widowControl w:val="0"/>
        <w:spacing w:after="0" w:line="240" w:lineRule="auto"/>
        <w:ind w:right="-20"/>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Email</w:t>
      </w:r>
      <w:r w:rsidR="00D97C8B">
        <w:rPr>
          <w:rFonts w:ascii="Tw Cen MT" w:eastAsia="Twentieth Century" w:hAnsi="Tw Cen MT" w:cs="Twentieth Century"/>
          <w:sz w:val="20"/>
          <w:szCs w:val="20"/>
        </w:rPr>
        <w:t>: L02Prafitri@gmail.com</w:t>
      </w:r>
    </w:p>
    <w:p w14:paraId="5C33921F" w14:textId="2062BDBA" w:rsidR="007F4948" w:rsidRPr="0096335E" w:rsidRDefault="0027621D" w:rsidP="00091BF6">
      <w:pPr>
        <w:spacing w:after="0" w:line="240" w:lineRule="auto"/>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0CA6B79E"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E81BE2" w:rsidRPr="00E81BE2">
                              <w:rPr>
                                <w:rFonts w:ascii="Tw Cen MT" w:hAnsi="Tw Cen MT"/>
                                <w:sz w:val="20"/>
                                <w:szCs w:val="20"/>
                              </w:rPr>
                              <w:t>2024-09-04</w:t>
                            </w:r>
                          </w:p>
                          <w:p w14:paraId="2E3C9739" w14:textId="2D86468E"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E81BE2" w:rsidRPr="00E81BE2">
                              <w:rPr>
                                <w:rFonts w:ascii="Tw Cen MT" w:hAnsi="Tw Cen MT" w:cs="Noto Sans"/>
                                <w:sz w:val="20"/>
                                <w:szCs w:val="20"/>
                                <w:shd w:val="clear" w:color="auto" w:fill="FFFFFF"/>
                              </w:rPr>
                              <w:t>2025-06-20</w:t>
                            </w:r>
                          </w:p>
                          <w:p w14:paraId="65822EE9" w14:textId="735726B1"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E81BE2" w:rsidRPr="00E81BE2">
                              <w:rPr>
                                <w:rFonts w:ascii="Tw Cen MT" w:hAnsi="Tw Cen MT" w:cs="Noto Sans"/>
                                <w:sz w:val="20"/>
                                <w:szCs w:val="20"/>
                                <w:shd w:val="clear" w:color="auto" w:fill="FFFFFF"/>
                              </w:rPr>
                              <w:t>2025-06-24</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0CA6B79E"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E81BE2" w:rsidRPr="00E81BE2">
                        <w:rPr>
                          <w:rFonts w:ascii="Tw Cen MT" w:hAnsi="Tw Cen MT"/>
                          <w:sz w:val="20"/>
                          <w:szCs w:val="20"/>
                        </w:rPr>
                        <w:t>2024-09-04</w:t>
                      </w:r>
                    </w:p>
                    <w:p w14:paraId="2E3C9739" w14:textId="2D86468E"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E81BE2" w:rsidRPr="00E81BE2">
                        <w:rPr>
                          <w:rFonts w:ascii="Tw Cen MT" w:hAnsi="Tw Cen MT" w:cs="Noto Sans"/>
                          <w:sz w:val="20"/>
                          <w:szCs w:val="20"/>
                          <w:shd w:val="clear" w:color="auto" w:fill="FFFFFF"/>
                        </w:rPr>
                        <w:t>2025-06-20</w:t>
                      </w:r>
                    </w:p>
                    <w:p w14:paraId="65822EE9" w14:textId="735726B1"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E81BE2" w:rsidRPr="00E81BE2">
                        <w:rPr>
                          <w:rFonts w:ascii="Tw Cen MT" w:hAnsi="Tw Cen MT" w:cs="Noto Sans"/>
                          <w:sz w:val="20"/>
                          <w:szCs w:val="20"/>
                          <w:shd w:val="clear" w:color="auto" w:fill="FFFFFF"/>
                        </w:rPr>
                        <w:t>2025-06-24</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5275C155" w14:textId="77777777" w:rsidR="00017532" w:rsidRPr="0096335E" w:rsidRDefault="007106F6" w:rsidP="00091BF6">
      <w:pPr>
        <w:spacing w:after="0" w:line="240" w:lineRule="auto"/>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017532" w:rsidRPr="0096335E">
        <w:rPr>
          <w:rFonts w:ascii="Tw Cen MT" w:eastAsia="Twentieth Century" w:hAnsi="Tw Cen MT" w:cs="Twentieth Century"/>
          <w:b/>
          <w:i/>
          <w:sz w:val="20"/>
          <w:szCs w:val="20"/>
        </w:rPr>
        <w:t>Abstract</w:t>
      </w:r>
    </w:p>
    <w:p w14:paraId="0A86AAE1" w14:textId="3550C6F0" w:rsidR="00017532" w:rsidRPr="0096335E" w:rsidRDefault="00017532" w:rsidP="00091BF6">
      <w:pPr>
        <w:widowControl w:val="0"/>
        <w:spacing w:after="0" w:line="240" w:lineRule="auto"/>
        <w:ind w:left="3150" w:right="-19"/>
        <w:jc w:val="both"/>
        <w:rPr>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8480" behindDoc="1" locked="0" layoutInCell="1" allowOverlap="1" wp14:anchorId="6619B13E" wp14:editId="02B18659">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695835" w:rsidRPr="00695835">
        <w:rPr>
          <w:rFonts w:ascii="Tw Cen MT" w:eastAsia="Twentieth Century" w:hAnsi="Tw Cen MT" w:cs="Twentieth Century"/>
          <w:i/>
          <w:noProof/>
          <w:color w:val="000000"/>
          <w:sz w:val="20"/>
          <w:szCs w:val="20"/>
        </w:rPr>
        <w:t>Early detection of high-risk pregnancies is important to prevent complications for both the mother and the fetus. However, the still low rates of early detection in several areas pose a challenge, which is suspected to be influenced by education level, knowledge, and access to healthcare services. This study aims to analyze the influence of these factors on early detection of pregnancy risks. The method used is quantitative with a cross-sectional design involving 103 pregnant women at the Tirto I Community Health Center in Pekalongan Regency, using chi-square tests. The results show a significant relationship between knowledge level (p=0.001), education (p=0.021), and health insurance ownership (p=0.017) with early detection of pregnancy risks. Based on these findings, improving health education and facilitating access to services need to be optimized by healthcare providers to enhance pregnant women's awareness of early detection.</w:t>
      </w:r>
      <w:r w:rsidR="00695835">
        <w:rPr>
          <w:rFonts w:ascii="Tw Cen MT" w:eastAsia="Twentieth Century" w:hAnsi="Tw Cen MT" w:cs="Twentieth Century"/>
          <w:i/>
          <w:noProof/>
          <w:color w:val="000000"/>
          <w:sz w:val="20"/>
          <w:szCs w:val="20"/>
        </w:rPr>
        <w:t xml:space="preserve"> </w:t>
      </w:r>
      <w:r w:rsidR="00695835" w:rsidRPr="00695835">
        <w:rPr>
          <w:rFonts w:ascii="Tw Cen MT" w:eastAsia="Twentieth Century" w:hAnsi="Tw Cen MT" w:cs="Twentieth Century"/>
          <w:i/>
          <w:noProof/>
          <w:color w:val="000000"/>
          <w:sz w:val="20"/>
          <w:szCs w:val="20"/>
        </w:rPr>
        <w:t>Therefore, it is recommended that healthcare workers become more proactive in providing continuous education and expanding the reach of healthcare services, so that pregnant women have adequate understanding and better access to early detection of pregnancy risks.</w:t>
      </w:r>
    </w:p>
    <w:p w14:paraId="012B4273" w14:textId="6B563AC6" w:rsidR="007F4948" w:rsidRPr="0096335E" w:rsidRDefault="0086728C" w:rsidP="00091BF6">
      <w:pPr>
        <w:spacing w:after="0" w:line="240" w:lineRule="auto"/>
        <w:ind w:left="2399" w:firstLine="719"/>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3A0DA90" w14:textId="4E66F6B3" w:rsidR="007F4948" w:rsidRPr="0096335E" w:rsidRDefault="006A0128" w:rsidP="00091BF6">
      <w:pPr>
        <w:tabs>
          <w:tab w:val="left" w:pos="426"/>
          <w:tab w:val="left" w:pos="3119"/>
        </w:tabs>
        <w:spacing w:after="0" w:line="240" w:lineRule="auto"/>
        <w:jc w:val="both"/>
        <w:rPr>
          <w:rFonts w:ascii="Tw Cen MT" w:eastAsia="Twentieth Century" w:hAnsi="Tw Cen MT" w:cs="Twentieth Century"/>
          <w:i/>
          <w:sz w:val="20"/>
          <w:szCs w:val="20"/>
        </w:rPr>
      </w:pPr>
      <w:r>
        <w:rPr>
          <w:rFonts w:ascii="Tw Cen MT" w:eastAsia="Twentieth Century" w:hAnsi="Tw Cen MT" w:cs="Twentieth Century"/>
          <w:i/>
          <w:sz w:val="20"/>
          <w:szCs w:val="20"/>
        </w:rPr>
        <w:tab/>
      </w:r>
      <w:r>
        <w:rPr>
          <w:rFonts w:ascii="Tw Cen MT" w:eastAsia="Twentieth Century" w:hAnsi="Tw Cen MT" w:cs="Twentieth Century"/>
          <w:i/>
          <w:sz w:val="20"/>
          <w:szCs w:val="20"/>
        </w:rPr>
        <w:tab/>
        <w:t>E</w:t>
      </w:r>
      <w:r w:rsidR="00ED6F9F" w:rsidRPr="00ED6F9F">
        <w:rPr>
          <w:rFonts w:ascii="Tw Cen MT" w:eastAsia="Twentieth Century" w:hAnsi="Tw Cen MT" w:cs="Twentieth Century"/>
          <w:i/>
          <w:sz w:val="20"/>
          <w:szCs w:val="20"/>
        </w:rPr>
        <w:t>arly detection</w:t>
      </w:r>
      <w:r w:rsidR="00283220">
        <w:rPr>
          <w:rFonts w:ascii="Tw Cen MT" w:eastAsia="Twentieth Century" w:hAnsi="Tw Cen MT" w:cs="Twentieth Century"/>
          <w:i/>
          <w:sz w:val="20"/>
          <w:szCs w:val="20"/>
        </w:rPr>
        <w:t>;</w:t>
      </w:r>
      <w:r w:rsidR="00ED6F9F" w:rsidRPr="00ED6F9F">
        <w:rPr>
          <w:rFonts w:ascii="Tw Cen MT" w:eastAsia="Twentieth Century" w:hAnsi="Tw Cen MT" w:cs="Twentieth Century"/>
          <w:i/>
          <w:sz w:val="20"/>
          <w:szCs w:val="20"/>
        </w:rPr>
        <w:t xml:space="preserve"> high ris</w:t>
      </w:r>
      <w:r w:rsidR="00283220">
        <w:rPr>
          <w:rFonts w:ascii="Tw Cen MT" w:eastAsia="Twentieth Century" w:hAnsi="Tw Cen MT" w:cs="Twentieth Century"/>
          <w:i/>
          <w:sz w:val="20"/>
          <w:szCs w:val="20"/>
        </w:rPr>
        <w:t xml:space="preserve">k; </w:t>
      </w:r>
      <w:r w:rsidR="00ED6F9F" w:rsidRPr="00ED6F9F">
        <w:rPr>
          <w:rFonts w:ascii="Tw Cen MT" w:eastAsia="Twentieth Century" w:hAnsi="Tw Cen MT" w:cs="Twentieth Century"/>
          <w:i/>
          <w:sz w:val="20"/>
          <w:szCs w:val="20"/>
        </w:rPr>
        <w:t>pregnancy</w:t>
      </w:r>
    </w:p>
    <w:p w14:paraId="7CEDCDA1" w14:textId="77777777" w:rsidR="007F4948" w:rsidRPr="0096335E" w:rsidRDefault="007F4948" w:rsidP="00091BF6">
      <w:pPr>
        <w:tabs>
          <w:tab w:val="left" w:pos="426"/>
        </w:tabs>
        <w:spacing w:after="0" w:line="240" w:lineRule="auto"/>
        <w:ind w:left="3150"/>
        <w:jc w:val="both"/>
        <w:rPr>
          <w:rFonts w:ascii="Tw Cen MT" w:eastAsia="Twentieth Century" w:hAnsi="Tw Cen MT" w:cs="Twentieth Century"/>
          <w:b/>
          <w:sz w:val="20"/>
          <w:szCs w:val="20"/>
        </w:rPr>
      </w:pPr>
    </w:p>
    <w:p w14:paraId="49F6A6E1" w14:textId="77777777" w:rsidR="007F4948" w:rsidRPr="0096335E" w:rsidRDefault="0086728C" w:rsidP="00091BF6">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14:paraId="0083E1B3" w14:textId="65B5BCB3" w:rsidR="00ED6F9F" w:rsidRDefault="00695835" w:rsidP="00091BF6">
      <w:pPr>
        <w:tabs>
          <w:tab w:val="left" w:pos="426"/>
        </w:tabs>
        <w:spacing w:after="0" w:line="240" w:lineRule="auto"/>
        <w:ind w:left="3150"/>
        <w:jc w:val="both"/>
        <w:rPr>
          <w:rFonts w:ascii="Tw Cen MT" w:eastAsia="Twentieth Century" w:hAnsi="Tw Cen MT" w:cs="Twentieth Century"/>
          <w:iCs/>
          <w:color w:val="000000"/>
          <w:sz w:val="20"/>
          <w:szCs w:val="20"/>
        </w:rPr>
      </w:pPr>
      <w:r w:rsidRPr="00695835">
        <w:rPr>
          <w:rFonts w:ascii="Tw Cen MT" w:eastAsia="Twentieth Century" w:hAnsi="Tw Cen MT" w:cs="Twentieth Century"/>
          <w:iCs/>
          <w:color w:val="000000"/>
          <w:sz w:val="20"/>
          <w:szCs w:val="20"/>
        </w:rPr>
        <w:t>Deteksi dini risiko tinggi kehamilan penting untuk mencegah komplikasi pada ibu dan janin. Namun, masih rendahnya angka deteksi dini di beberapa daerah menjadi tantangan, yang diduga dipengaruhi oleh tingkat pendidikan, pengetahuan, dan akses layanan kesehatan. Penelitian ini bertujuan menganalisis pengaruh faktor-faktor tersebut terhadap deteksi dini risiko kehamilan. Metode yang digunakan adalah kuantitatif dengan desain cross-sectional pada 103 ibu hamil di Puskesmas Tirto I, Kabupaten Pekalongan, menggunakan uji chi-square. Hasil menunjukkan hubungan signifikan antara tingkat pengetahuan (p=0,001), pendidikan (p=0,021), dan kepemilikan asuransi kesehatan (p=0,017) dengan deteksi dini risiko kehamilan. Berdasarkan temuan tersebut, peningkatan edukasi kesehatan serta kemudahan akses layanan perlu dioptimalkan oleh tenaga kesehatan untuk meningkatkan kesadaran ibu hamil dalam melakukan deteksi dini.</w:t>
      </w:r>
      <w:r>
        <w:rPr>
          <w:rFonts w:ascii="Tw Cen MT" w:eastAsia="Twentieth Century" w:hAnsi="Tw Cen MT" w:cs="Twentieth Century"/>
          <w:iCs/>
          <w:color w:val="000000"/>
          <w:sz w:val="20"/>
          <w:szCs w:val="20"/>
        </w:rPr>
        <w:t xml:space="preserve"> </w:t>
      </w:r>
      <w:r w:rsidRPr="00695835">
        <w:rPr>
          <w:rFonts w:ascii="Tw Cen MT" w:eastAsia="Twentieth Century" w:hAnsi="Tw Cen MT" w:cs="Twentieth Century"/>
          <w:iCs/>
          <w:color w:val="000000"/>
          <w:sz w:val="20"/>
          <w:szCs w:val="20"/>
        </w:rPr>
        <w:t>Oleh karena itu, disarankan agar tenaga kesehatan lebih proaktif dalam memberikan edukasi yang berkelanjutan serta memperluas jangkauan layanan kesehatan, sehingga ibu hamil memiliki pemahaman yang memadai dan akses yang lebih baik dalam melakukan deteksi dini risiko kehamilan.</w:t>
      </w:r>
    </w:p>
    <w:p w14:paraId="68659279" w14:textId="29280CE8" w:rsidR="007F4948" w:rsidRPr="0096335E" w:rsidRDefault="0086728C" w:rsidP="00091BF6">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Kata Kunci</w:t>
      </w:r>
      <w:r w:rsidR="00106D4F" w:rsidRPr="0096335E">
        <w:rPr>
          <w:rFonts w:ascii="Tw Cen MT" w:eastAsia="Twentieth Century" w:hAnsi="Tw Cen MT" w:cs="Twentieth Century"/>
          <w:b/>
          <w:sz w:val="20"/>
          <w:szCs w:val="20"/>
        </w:rPr>
        <w:t>:</w:t>
      </w:r>
    </w:p>
    <w:p w14:paraId="240275AD" w14:textId="4A9C8A4B" w:rsidR="00314849" w:rsidRPr="0096335E" w:rsidRDefault="00997349" w:rsidP="00091BF6">
      <w:pPr>
        <w:spacing w:line="240" w:lineRule="auto"/>
        <w:ind w:left="3150"/>
        <w:rPr>
          <w:rFonts w:ascii="Tw Cen MT" w:eastAsia="Twentieth Century" w:hAnsi="Tw Cen MT" w:cs="Twentieth Century"/>
          <w:sz w:val="20"/>
          <w:szCs w:val="20"/>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r w:rsidR="008E261A">
        <w:rPr>
          <w:rFonts w:ascii="Tw Cen MT" w:eastAsia="Twentieth Century" w:hAnsi="Tw Cen MT" w:cs="Twentieth Century"/>
          <w:sz w:val="20"/>
          <w:szCs w:val="20"/>
        </w:rPr>
        <w:t>Deteksi dini</w:t>
      </w:r>
      <w:r w:rsidR="00283220">
        <w:rPr>
          <w:rFonts w:ascii="Tw Cen MT" w:eastAsia="Twentieth Century" w:hAnsi="Tw Cen MT" w:cs="Twentieth Century"/>
          <w:sz w:val="20"/>
          <w:szCs w:val="20"/>
        </w:rPr>
        <w:t>,</w:t>
      </w:r>
      <w:r w:rsidR="004721E3" w:rsidRPr="002E23D7">
        <w:rPr>
          <w:rFonts w:ascii="Tw Cen MT" w:eastAsia="Twentieth Century" w:hAnsi="Tw Cen MT" w:cs="Twentieth Century"/>
          <w:sz w:val="20"/>
          <w:szCs w:val="20"/>
        </w:rPr>
        <w:t xml:space="preserve"> </w:t>
      </w:r>
      <w:r w:rsidR="008E261A">
        <w:rPr>
          <w:rFonts w:ascii="Tw Cen MT" w:eastAsia="Twentieth Century" w:hAnsi="Tw Cen MT" w:cs="Twentieth Century"/>
          <w:sz w:val="20"/>
          <w:szCs w:val="20"/>
        </w:rPr>
        <w:t>resiko tinggi</w:t>
      </w:r>
      <w:r w:rsidR="00283220">
        <w:rPr>
          <w:rFonts w:ascii="Tw Cen MT" w:eastAsia="Twentieth Century" w:hAnsi="Tw Cen MT" w:cs="Twentieth Century"/>
          <w:sz w:val="20"/>
          <w:szCs w:val="20"/>
        </w:rPr>
        <w:t>,</w:t>
      </w:r>
      <w:r w:rsidR="004721E3" w:rsidRPr="002E23D7">
        <w:rPr>
          <w:rFonts w:ascii="Tw Cen MT" w:eastAsia="Twentieth Century" w:hAnsi="Tw Cen MT" w:cs="Twentieth Century"/>
          <w:sz w:val="20"/>
          <w:szCs w:val="20"/>
        </w:rPr>
        <w:t xml:space="preserve"> </w:t>
      </w:r>
      <w:r w:rsidR="008E261A">
        <w:rPr>
          <w:rFonts w:ascii="Tw Cen MT" w:eastAsia="Twentieth Century" w:hAnsi="Tw Cen MT" w:cs="Twentieth Century"/>
          <w:sz w:val="20"/>
          <w:szCs w:val="20"/>
        </w:rPr>
        <w:t>kehamilan</w:t>
      </w:r>
    </w:p>
    <w:p w14:paraId="448ACAA7" w14:textId="46832C1D" w:rsidR="00997349" w:rsidRPr="0096335E" w:rsidRDefault="00997349" w:rsidP="00091BF6">
      <w:pPr>
        <w:spacing w:line="240" w:lineRule="auto"/>
        <w:rPr>
          <w:rFonts w:ascii="Tw Cen MT" w:eastAsia="Twentieth Century" w:hAnsi="Tw Cen MT" w:cs="Twentieth Century"/>
          <w:sz w:val="20"/>
          <w:szCs w:val="20"/>
        </w:rPr>
        <w:sectPr w:rsidR="00997349" w:rsidRPr="0096335E" w:rsidSect="00091BF6">
          <w:headerReference w:type="default" r:id="rId10"/>
          <w:footerReference w:type="default" r:id="rId11"/>
          <w:pgSz w:w="12240" w:h="15840"/>
          <w:pgMar w:top="1440" w:right="1440" w:bottom="1440" w:left="1440" w:header="720" w:footer="720" w:gutter="0"/>
          <w:pgNumType w:start="64"/>
          <w:cols w:space="720"/>
        </w:sectPr>
      </w:pPr>
    </w:p>
    <w:p w14:paraId="12468592" w14:textId="77777777" w:rsidR="007106F6" w:rsidRPr="0096335E" w:rsidRDefault="007106F6" w:rsidP="00091BF6">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0940F153" w14:textId="77777777" w:rsidR="00017532" w:rsidRPr="00ED6F9F" w:rsidRDefault="00017532" w:rsidP="00091BF6">
      <w:pPr>
        <w:spacing w:after="0" w:line="240" w:lineRule="auto"/>
        <w:ind w:right="-24"/>
        <w:jc w:val="both"/>
        <w:rPr>
          <w:rFonts w:ascii="Tw Cen MT" w:hAnsi="Tw Cen MT" w:cs="Times New Roman"/>
          <w:color w:val="000000" w:themeColor="text1"/>
          <w:sz w:val="24"/>
          <w:szCs w:val="24"/>
        </w:rPr>
      </w:pPr>
      <w:r w:rsidRPr="00A55F2A">
        <w:rPr>
          <w:rFonts w:ascii="Tw Cen MT" w:hAnsi="Tw Cen MT" w:cs="Times New Roman"/>
          <w:color w:val="000000" w:themeColor="text1"/>
          <w:sz w:val="24"/>
          <w:szCs w:val="24"/>
        </w:rPr>
        <w:t xml:space="preserve">Angka Kematian Ibu (AKI) di Indonesia telah menunjukkan penurunan signifikan, dari 305 kematian per 100.000 kelahiran hidup pada </w:t>
      </w:r>
      <w:r w:rsidRPr="00A55F2A">
        <w:rPr>
          <w:rFonts w:ascii="Tw Cen MT" w:hAnsi="Tw Cen MT" w:cs="Times New Roman"/>
          <w:color w:val="000000" w:themeColor="text1"/>
          <w:sz w:val="24"/>
          <w:szCs w:val="24"/>
        </w:rPr>
        <w:t xml:space="preserve">Survei Penduduk Antar Sensus 2015 menjadi 189 kematian per 100.000 kelahiran hidup pada Sensus Penduduk 2020. Capaian ini telah melebihi target tahun 2022 yang sebesar 205 </w:t>
      </w:r>
      <w:r w:rsidRPr="00A55F2A">
        <w:rPr>
          <w:rFonts w:ascii="Tw Cen MT" w:hAnsi="Tw Cen MT" w:cs="Times New Roman"/>
          <w:color w:val="000000" w:themeColor="text1"/>
          <w:sz w:val="24"/>
          <w:szCs w:val="24"/>
        </w:rPr>
        <w:lastRenderedPageBreak/>
        <w:t>kematian per 100.000 kelahiran hidup. Untuk mempertahankan dan meningkatkan hasil ini, diperlukan upaya berkelanjutan guna mencapai target tahun 2024 sebesar 183 kematian per 100.000 kelahiran hidup dan target jangka panjang tahun 2030 yang lebih rendah dari 70 kematian per 100.000 kelahiran hidup</w:t>
      </w:r>
      <w:r w:rsidRPr="00ED6F9F">
        <w:rPr>
          <w:rFonts w:ascii="Tw Cen MT" w:hAnsi="Tw Cen MT" w:cs="Times New Roman"/>
          <w:color w:val="000000" w:themeColor="text1"/>
          <w:sz w:val="24"/>
          <w:szCs w:val="24"/>
        </w:rPr>
        <w:fldChar w:fldCharType="begin" w:fldLock="1"/>
      </w:r>
      <w:r>
        <w:rPr>
          <w:rFonts w:ascii="Tw Cen MT" w:hAnsi="Tw Cen MT" w:cs="Times New Roman"/>
          <w:color w:val="000000" w:themeColor="text1"/>
          <w:sz w:val="24"/>
          <w:szCs w:val="24"/>
        </w:rPr>
        <w:instrText>ADDIN CSL_CITATION {"citationItems":[{"id":"ITEM-1","itemData":{"abstract":"Puji Syukur kami panjatkan pada Tuhan Yang Maha Esa, atas berkat rahmat dan karunia-Nya kami dapat menyelesaikan Laporan Akuntabilitas Kinerja Instansi Pemerintah (LAKIP) dengan baik dan tepat waktu. Penyusunan laporan kinerja ini telah mengacu pada Peraturan Menteri Pendayagunaan Aparatur Negara dan Reformasi Birokasi (Permenpan) Nomor 53 tahun 2014 tentang Petunjuk Teknis Perjanjian Kinerja, Pelaporan Kinerja dan Tata Cara Reviu atas Laporan Kinerja Instansi Pemerintah. Secara garis besar laporan berisi informasi tentang tugas dan fungsi organisasi; target kinerja dan capaian kinerja sesuai dengan Rencana Stategis (Renstra) Kementerian Kesehatan tahun 2020-2024, disertai dengan faktor pendukung dan penghambat capaian, serta upaya tindak lanjut yang akan dilakukan. Dengan harapan hasil capaian tersebut dapat menjadi bahan evaluasi dalam meningkatkan kinerja di tahun berikutnya.","author":[{"dropping-particle":"","family":"Direktorat Gizi dan Kesehatan Ibu dan Anak","given":"kementrian kesehatan republik indonesia","non-dropping-particle":"","parse-names":false,"suffix":""}],"container-title":"Kementrian Kesehatan Republik Indonesia","id":"ITEM-1","issued":{"date-parts":[["2023"]]},"number-of-pages":"1-39","publisher-place":"Jakarta: Kementerian Kesehatan RI","title":"Laporan Akuntabilitas Kinerja Instansi Pemerintah (Lakip) Direktorat Gizi Dan Kesehatan Ibu Dan Anak Tahun Anggaran 2022","type":"report"},"uris":["http://www.mendeley.com/documents/?uuid=2537d097-3644-46f7-9bdb-5b64ae47dc2d"]}],"mendeley":{"formattedCitation":"[1]","plainTextFormattedCitation":"[1]","previouslyFormattedCitation":"[1]"},"properties":{"noteIndex":0},"schema":"https://github.com/citation-style-language/schema/raw/master/csl-citation.json"}</w:instrText>
      </w:r>
      <w:r w:rsidRPr="00ED6F9F">
        <w:rPr>
          <w:rFonts w:ascii="Tw Cen MT" w:hAnsi="Tw Cen MT" w:cs="Times New Roman"/>
          <w:color w:val="000000" w:themeColor="text1"/>
          <w:sz w:val="24"/>
          <w:szCs w:val="24"/>
        </w:rPr>
        <w:fldChar w:fldCharType="separate"/>
      </w:r>
      <w:r w:rsidRPr="00F4585D">
        <w:rPr>
          <w:rFonts w:ascii="Tw Cen MT" w:hAnsi="Tw Cen MT" w:cs="Times New Roman"/>
          <w:noProof/>
          <w:color w:val="000000" w:themeColor="text1"/>
          <w:sz w:val="24"/>
          <w:szCs w:val="24"/>
        </w:rPr>
        <w:t>[1]</w:t>
      </w:r>
      <w:r w:rsidRPr="00ED6F9F">
        <w:rPr>
          <w:rFonts w:ascii="Tw Cen MT" w:hAnsi="Tw Cen MT" w:cs="Times New Roman"/>
          <w:color w:val="000000" w:themeColor="text1"/>
          <w:sz w:val="24"/>
          <w:szCs w:val="24"/>
        </w:rPr>
        <w:fldChar w:fldCharType="end"/>
      </w:r>
      <w:r w:rsidRPr="00ED6F9F">
        <w:rPr>
          <w:rFonts w:ascii="Tw Cen MT" w:hAnsi="Tw Cen MT" w:cs="Times New Roman"/>
          <w:color w:val="000000" w:themeColor="text1"/>
          <w:sz w:val="24"/>
          <w:szCs w:val="24"/>
        </w:rPr>
        <w:t>.</w:t>
      </w:r>
    </w:p>
    <w:p w14:paraId="1B76B4D4" w14:textId="77777777" w:rsidR="00017532" w:rsidRPr="00ED6F9F" w:rsidRDefault="00017532" w:rsidP="00091BF6">
      <w:pPr>
        <w:spacing w:after="0" w:line="240" w:lineRule="auto"/>
        <w:ind w:right="-24"/>
        <w:jc w:val="both"/>
        <w:rPr>
          <w:rFonts w:ascii="Tw Cen MT" w:hAnsi="Tw Cen MT" w:cs="Times New Roman"/>
          <w:color w:val="000000" w:themeColor="text1"/>
          <w:sz w:val="24"/>
          <w:szCs w:val="24"/>
        </w:rPr>
      </w:pPr>
      <w:r w:rsidRPr="00A55F2A">
        <w:rPr>
          <w:rFonts w:ascii="Tw Cen MT" w:hAnsi="Tw Cen MT" w:cs="Times New Roman"/>
          <w:color w:val="000000" w:themeColor="text1"/>
          <w:sz w:val="24"/>
          <w:szCs w:val="24"/>
        </w:rPr>
        <w:t xml:space="preserve">Menurut data dari </w:t>
      </w:r>
      <w:r w:rsidRPr="00695835">
        <w:rPr>
          <w:rFonts w:ascii="Tw Cen MT" w:hAnsi="Tw Cen MT" w:cs="Times New Roman"/>
          <w:i/>
          <w:iCs/>
          <w:color w:val="000000" w:themeColor="text1"/>
          <w:sz w:val="24"/>
          <w:szCs w:val="24"/>
        </w:rPr>
        <w:t>Sample Registration System</w:t>
      </w:r>
      <w:r w:rsidRPr="00A55F2A">
        <w:rPr>
          <w:rFonts w:ascii="Tw Cen MT" w:hAnsi="Tw Cen MT" w:cs="Times New Roman"/>
          <w:color w:val="000000" w:themeColor="text1"/>
          <w:sz w:val="24"/>
          <w:szCs w:val="24"/>
        </w:rPr>
        <w:t xml:space="preserve"> (SRS) Litbangkes tahun 2016, tiga penyebab utama kematian ibu adalah gangguan hipertensi (33,07%), perdarahan obstetri (27,03%), dan komplikasi </w:t>
      </w:r>
      <w:r w:rsidRPr="00695835">
        <w:rPr>
          <w:rFonts w:ascii="Tw Cen MT" w:hAnsi="Tw Cen MT" w:cs="Times New Roman"/>
          <w:i/>
          <w:iCs/>
          <w:color w:val="000000" w:themeColor="text1"/>
          <w:sz w:val="24"/>
          <w:szCs w:val="24"/>
        </w:rPr>
        <w:t>non-obstetrik</w:t>
      </w:r>
      <w:r w:rsidRPr="00A55F2A">
        <w:rPr>
          <w:rFonts w:ascii="Tw Cen MT" w:hAnsi="Tw Cen MT" w:cs="Times New Roman"/>
          <w:color w:val="000000" w:themeColor="text1"/>
          <w:sz w:val="24"/>
          <w:szCs w:val="24"/>
        </w:rPr>
        <w:t xml:space="preserve"> (15,7%). Sementara itu, berdasarkan </w:t>
      </w:r>
      <w:r w:rsidRPr="00695835">
        <w:rPr>
          <w:rFonts w:ascii="Tw Cen MT" w:hAnsi="Tw Cen MT" w:cs="Times New Roman"/>
          <w:i/>
          <w:iCs/>
          <w:color w:val="000000" w:themeColor="text1"/>
          <w:sz w:val="24"/>
          <w:szCs w:val="24"/>
        </w:rPr>
        <w:t>Maternal Perinatal Death Notification</w:t>
      </w:r>
      <w:r w:rsidRPr="00A55F2A">
        <w:rPr>
          <w:rFonts w:ascii="Tw Cen MT" w:hAnsi="Tw Cen MT" w:cs="Times New Roman"/>
          <w:color w:val="000000" w:themeColor="text1"/>
          <w:sz w:val="24"/>
          <w:szCs w:val="24"/>
        </w:rPr>
        <w:t xml:space="preserve"> (MPDN) per 21 September 2021, penyebab kematian ibu yang paling sering terjadi adalah eklamsi (37,1%), perdarahan (27,3%), dan infeksi (10,4%), dengan mayoritas kematian terjadi di rumah sakit (84%)</w:t>
      </w:r>
      <w:r w:rsidRPr="00ED6F9F">
        <w:rPr>
          <w:rFonts w:ascii="Tw Cen MT" w:hAnsi="Tw Cen MT" w:cs="Times New Roman"/>
          <w:color w:val="000000" w:themeColor="text1"/>
          <w:sz w:val="24"/>
          <w:szCs w:val="24"/>
        </w:rPr>
        <w:fldChar w:fldCharType="begin" w:fldLock="1"/>
      </w:r>
      <w:r>
        <w:rPr>
          <w:rFonts w:ascii="Tw Cen MT" w:hAnsi="Tw Cen MT" w:cs="Times New Roman"/>
          <w:color w:val="000000" w:themeColor="text1"/>
          <w:sz w:val="24"/>
          <w:szCs w:val="24"/>
        </w:rPr>
        <w:instrText>ADDIN CSL_CITATION {"citationItems":[{"id":"ITEM-1","itemData":{"abstract":"Puji Syukur kami panjatkan pada Tuhan Yang Maha Esa, atas berkat rahmat dan karunia-Nya kami dapat menyelesaikan Laporan Akuntabilitas Kinerja Instansi Pemerintah (LAKIP) dengan baik dan tepat waktu. Penyusunan laporan kinerja ini telah mengacu pada Peraturan Menteri Pendayagunaan Aparatur Negara dan Reformasi Birokasi (Permenpan) Nomor 53 tahun 2014 tentang Petunjuk Teknis Perjanjian Kinerja, Pelaporan Kinerja dan Tata Cara Reviu atas Laporan Kinerja Instansi Pemerintah. Secara garis besar laporan berisi informasi tentang tugas dan fungsi organisasi; target kinerja dan capaian kinerja sesuai dengan Rencana Stategis (Renstra) Kementerian Kesehatan tahun 2020-2024, disertai dengan faktor pendukung dan penghambat capaian, serta upaya tindak lanjut yang akan dilakukan. Dengan harapan hasil capaian tersebut dapat menjadi bahan evaluasi dalam meningkatkan kinerja di tahun berikutnya.","author":[{"dropping-particle":"","family":"Direktorat Gizi dan Kesehatan Ibu dan Anak","given":"kementrian kesehatan republik indonesia","non-dropping-particle":"","parse-names":false,"suffix":""}],"container-title":"Kementrian Kesehatan Republik Indonesia","id":"ITEM-1","issued":{"date-parts":[["2023"]]},"number-of-pages":"1-39","publisher-place":"Jakarta: Kementerian Kesehatan RI","title":"Laporan Akuntabilitas Kinerja Instansi Pemerintah (Lakip) Direktorat Gizi Dan Kesehatan Ibu Dan Anak Tahun Anggaran 2022","type":"report"},"uris":["http://www.mendeley.com/documents/?uuid=2537d097-3644-46f7-9bdb-5b64ae47dc2d"]}],"mendeley":{"formattedCitation":"[1]","plainTextFormattedCitation":"[1]","previouslyFormattedCitation":"[1]"},"properties":{"noteIndex":0},"schema":"https://github.com/citation-style-language/schema/raw/master/csl-citation.json"}</w:instrText>
      </w:r>
      <w:r w:rsidRPr="00ED6F9F">
        <w:rPr>
          <w:rFonts w:ascii="Tw Cen MT" w:hAnsi="Tw Cen MT" w:cs="Times New Roman"/>
          <w:color w:val="000000" w:themeColor="text1"/>
          <w:sz w:val="24"/>
          <w:szCs w:val="24"/>
        </w:rPr>
        <w:fldChar w:fldCharType="separate"/>
      </w:r>
      <w:r w:rsidRPr="00F4585D">
        <w:rPr>
          <w:rFonts w:ascii="Tw Cen MT" w:hAnsi="Tw Cen MT" w:cs="Times New Roman"/>
          <w:noProof/>
          <w:color w:val="000000" w:themeColor="text1"/>
          <w:sz w:val="24"/>
          <w:szCs w:val="24"/>
        </w:rPr>
        <w:t>[1]</w:t>
      </w:r>
      <w:r w:rsidRPr="00ED6F9F">
        <w:rPr>
          <w:rFonts w:ascii="Tw Cen MT" w:hAnsi="Tw Cen MT" w:cs="Times New Roman"/>
          <w:color w:val="000000" w:themeColor="text1"/>
          <w:sz w:val="24"/>
          <w:szCs w:val="24"/>
        </w:rPr>
        <w:fldChar w:fldCharType="end"/>
      </w:r>
      <w:r w:rsidRPr="00ED6F9F">
        <w:rPr>
          <w:rFonts w:ascii="Tw Cen MT" w:hAnsi="Tw Cen MT" w:cs="Times New Roman"/>
          <w:color w:val="000000" w:themeColor="text1"/>
          <w:sz w:val="24"/>
          <w:szCs w:val="24"/>
        </w:rPr>
        <w:t>.</w:t>
      </w:r>
    </w:p>
    <w:p w14:paraId="3403DAEB" w14:textId="4B4FB782" w:rsidR="00017532" w:rsidRDefault="00017532" w:rsidP="00091BF6">
      <w:pPr>
        <w:spacing w:after="0" w:line="240" w:lineRule="auto"/>
        <w:ind w:right="-24"/>
        <w:jc w:val="both"/>
        <w:rPr>
          <w:rFonts w:ascii="Tw Cen MT" w:hAnsi="Tw Cen MT" w:cs="Times New Roman"/>
          <w:color w:val="000000" w:themeColor="text1"/>
          <w:sz w:val="24"/>
          <w:szCs w:val="24"/>
        </w:rPr>
      </w:pPr>
      <w:r w:rsidRPr="00A55F2A">
        <w:rPr>
          <w:rFonts w:ascii="Tw Cen MT" w:hAnsi="Tw Cen MT" w:cs="Times New Roman"/>
          <w:color w:val="000000" w:themeColor="text1"/>
          <w:sz w:val="24"/>
          <w:szCs w:val="24"/>
        </w:rPr>
        <w:t xml:space="preserve">Penyebab utama kematian ibu masih didominasi oleh perdarahan (30,3%), diikuti oleh hipertensi selama kehamilan (27,1%), dan infeksi (7%). Sekitar 45% sisanya mencakup penyebab lain, termasuk penyakit </w:t>
      </w:r>
      <w:r w:rsidRPr="00695835">
        <w:rPr>
          <w:rFonts w:ascii="Tw Cen MT" w:hAnsi="Tw Cen MT" w:cs="Times New Roman"/>
          <w:i/>
          <w:iCs/>
          <w:color w:val="000000" w:themeColor="text1"/>
          <w:sz w:val="24"/>
          <w:szCs w:val="24"/>
        </w:rPr>
        <w:t>non-obstetrik</w:t>
      </w:r>
      <w:r w:rsidRPr="00A55F2A">
        <w:rPr>
          <w:rFonts w:ascii="Tw Cen MT" w:hAnsi="Tw Cen MT" w:cs="Times New Roman"/>
          <w:color w:val="000000" w:themeColor="text1"/>
          <w:sz w:val="24"/>
          <w:szCs w:val="24"/>
        </w:rPr>
        <w:t>. Tingginya angka kehamilan yang tidak diinginkan juga berkontribusi signifikan terhadap kematian maternal, dengan sekitar 65% kehamilan termasuk dalam kategori "4 terlalu," yaitu kehamilan yang terlalu muda (di bawah 20 tahun), terlalu tua (lebih dari 35 tahun), terlalu sering (jarak antar kehamilan kurang dari 2 tahun), dan terlalu banyak (lebih dari 3 anak)</w:t>
      </w:r>
      <w:r w:rsidR="00695835">
        <w:rPr>
          <w:rFonts w:ascii="Tw Cen MT" w:hAnsi="Tw Cen MT" w:cs="Times New Roman"/>
          <w:color w:val="000000" w:themeColor="text1"/>
          <w:sz w:val="24"/>
          <w:szCs w:val="24"/>
        </w:rPr>
        <w:t xml:space="preserve"> </w:t>
      </w:r>
      <w:r w:rsidRPr="00ED6F9F">
        <w:rPr>
          <w:rFonts w:ascii="Tw Cen MT" w:hAnsi="Tw Cen MT" w:cs="Times New Roman"/>
          <w:color w:val="000000" w:themeColor="text1"/>
          <w:sz w:val="24"/>
          <w:szCs w:val="24"/>
        </w:rPr>
        <w:fldChar w:fldCharType="begin" w:fldLock="1"/>
      </w:r>
      <w:r>
        <w:rPr>
          <w:rFonts w:ascii="Tw Cen MT" w:hAnsi="Tw Cen MT" w:cs="Times New Roman"/>
          <w:color w:val="000000" w:themeColor="text1"/>
          <w:sz w:val="24"/>
          <w:szCs w:val="24"/>
        </w:rPr>
        <w:instrText>ADDIN CSL_CITATION {"citationItems":[{"id":"ITEM-1","itemData":{"abstract":"Puji Syukur kami panjatkan pada Tuhan Yang Maha Esa, atas berkat rahmat dan karunia-Nya kami dapat menyelesaikan Laporan Akuntabilitas Kinerja Instansi Pemerintah (LAKIP) dengan baik dan tepat waktu. Penyusunan laporan kinerja ini telah mengacu pada Peraturan Menteri Pendayagunaan Aparatur Negara dan Reformasi Birokasi (Permenpan) Nomor 53 tahun 2014 tentang Petunjuk Teknis Perjanjian Kinerja, Pelaporan Kinerja dan Tata Cara Reviu atas Laporan Kinerja Instansi Pemerintah. Secara garis besar laporan berisi informasi tentang tugas dan fungsi organisasi; target kinerja dan capaian kinerja sesuai dengan Rencana Stategis (Renstra) Kementerian Kesehatan tahun 2020-2024, disertai dengan faktor pendukung dan penghambat capaian, serta upaya tindak lanjut yang akan dilakukan. Dengan harapan hasil capaian tersebut dapat menjadi bahan evaluasi dalam meningkatkan kinerja di tahun berikutnya.","author":[{"dropping-particle":"","family":"Direktorat Gizi dan Kesehatan Ibu dan Anak","given":"kementrian kesehatan republik indonesia","non-dropping-particle":"","parse-names":false,"suffix":""}],"container-title":"Kementrian Kesehatan Republik Indonesia","id":"ITEM-1","issued":{"date-parts":[["2023"]]},"number-of-pages":"1-39","publisher-place":"Jakarta: Kementerian Kesehatan RI","title":"Laporan Akuntabilitas Kinerja Instansi Pemerintah (Lakip) Direktorat Gizi Dan Kesehatan Ibu Dan Anak Tahun Anggaran 2022","type":"report"},"uris":["http://www.mendeley.com/documents/?uuid=2537d097-3644-46f7-9bdb-5b64ae47dc2d"]}],"mendeley":{"formattedCitation":"[1]","plainTextFormattedCitation":"[1]","previouslyFormattedCitation":"[1]"},"properties":{"noteIndex":0},"schema":"https://github.com/citation-style-language/schema/raw/master/csl-citation.json"}</w:instrText>
      </w:r>
      <w:r w:rsidRPr="00ED6F9F">
        <w:rPr>
          <w:rFonts w:ascii="Tw Cen MT" w:hAnsi="Tw Cen MT" w:cs="Times New Roman"/>
          <w:color w:val="000000" w:themeColor="text1"/>
          <w:sz w:val="24"/>
          <w:szCs w:val="24"/>
        </w:rPr>
        <w:fldChar w:fldCharType="separate"/>
      </w:r>
      <w:r w:rsidRPr="00F4585D">
        <w:rPr>
          <w:rFonts w:ascii="Tw Cen MT" w:hAnsi="Tw Cen MT" w:cs="Times New Roman"/>
          <w:noProof/>
          <w:color w:val="000000" w:themeColor="text1"/>
          <w:sz w:val="24"/>
          <w:szCs w:val="24"/>
        </w:rPr>
        <w:t>[1]</w:t>
      </w:r>
      <w:r w:rsidRPr="00ED6F9F">
        <w:rPr>
          <w:rFonts w:ascii="Tw Cen MT" w:hAnsi="Tw Cen MT" w:cs="Times New Roman"/>
          <w:color w:val="000000" w:themeColor="text1"/>
          <w:sz w:val="24"/>
          <w:szCs w:val="24"/>
        </w:rPr>
        <w:fldChar w:fldCharType="end"/>
      </w:r>
      <w:r w:rsidRPr="00ED6F9F">
        <w:rPr>
          <w:rFonts w:ascii="Tw Cen MT" w:hAnsi="Tw Cen MT" w:cs="Times New Roman"/>
          <w:color w:val="000000" w:themeColor="text1"/>
          <w:sz w:val="24"/>
          <w:szCs w:val="24"/>
        </w:rPr>
        <w:fldChar w:fldCharType="begin" w:fldLock="1"/>
      </w:r>
      <w:r>
        <w:rPr>
          <w:rFonts w:ascii="Tw Cen MT" w:hAnsi="Tw Cen MT" w:cs="Times New Roman"/>
          <w:color w:val="000000" w:themeColor="text1"/>
          <w:sz w:val="24"/>
          <w:szCs w:val="24"/>
        </w:rPr>
        <w:instrText>ADDIN CSL_CITATION {"citationItems":[{"id":"ITEM-1","itemData":{"DOI":"10.54911/litbang.v21i1.163","ISSN":"2085-0689","abstract":"Perkembangan teknologi dengan aplikasi telah dibuat untuk memudahkan pemberi pelayanan dalam memberikan asuhan kebidanan khususnya dalam pelayanan antenatal. Ditengah situasi pandemi COVID-19 ini, banyak pembatasan hampir ke semua layanan rutin termasuk pelayanan kesehatan ibu dan bayi baru lahir, diantaranya adanya anjuran menunda pemeriksaan kehamilan dan kelas ibu hamil, kegiatan posyandu, ketakutan ibu hamil tertular covid-19 serta adanya ketidaksiapan layanan dari segi tenaga dan sarana prasarana termasuk Alat Pelindung Diri maka diperlukan suatu inovasi untuk ibu hamil agar tetap mengetahui apakah ibu hamil dalam kelompok faktor risiko atau tidak agar mendapatkan penanganan yang tepat. Tujuan penelitian ini adalah untuk mengetahui keefektifitasan dari aplikasi SiBumil yaitu suatu aplikasi untuk mendeteksi risiko kehamilan secara mandiri yang bisa di akses oleh ibu hamil. Populasi dalam penelitian ini ibu hamil dengan risiko tinggi yang ada di wilayah Puskesmas Kramatsari Kota Pekalongan sebanyak 143 ibu hamil. Teknik pengambilan sampel dalam penelitian ini menggunakan tabel Krejcie dan Morgan yang didasarkan atas kesalahan 5% yaitu sebanyak 103 ibu hamil. Metode pengumpulan data primer dilakukan dengan pendampingan langsung pada ibu hamil dan penyebaran angket/kuesioner dengan menggunakan google form. Analisa pengujian aplikasi menggunakan uji alpha dengan Teknik Black box, untuk uji kelayakan dengan uji usability dan untuk mengetahui perbedaan pengetahuan ibu hamil dengan uji wilcoxon. Hasil analisa untuk pengujian apllikasi diperoleh bahwa aplikasi berhasil menguji fungsi-fungsi menu atau fasilitas yang ada pada SiBumil. Untuk Uji kelayakan SiBumil, rata-rata nilai untuk Learnability = 87%, Flexibility = 79%, Effectiveness = 86% dan Attitude = 84%. Untuk perbedaan pengetahuan menggunakan uji wilcoxon diperoleh bahwa nilai p-value 0,000 lebih kecil dari ? (0,05) sehingga dapat disimpulkan bahwa terdapat perbedaan pengetahuan sebelum (pre test) dan sesudah (post test) penggunaan SiBumil. Saran untuk BAPPEDA terkait dengan penelitian ini adalah dapat memanfaatkan hasil penelitian SiBumil ini sebagai alat bantu untuk deteksi risiko kehamilan di Wilayah Kota Pekalongan dengan memberikan rekomendasi kepada Dinas Kesehatan terkait. Kata Kunci : SiBumil, Ibu Hamil, Berbasis Android, Deteksi Risiko Kehamilan","author":[{"dropping-particle":"","family":"Suparni","given":"Suparni","non-dropping-particle":"","parse-names":false,"suffix":""},{"dropping-particle":"","family":"Fatkhudin","given":"Aslam","non-dropping-particle":"","parse-names":false,"suffix":""},{"dropping-particle":"","family":"Zuhana","given":"Nina","non-dropping-particle":"","parse-names":false,"suffix":""}],"container-title":"Jurnal Litbang Kota Pekalongan","id":"ITEM-1","issue":"2","issued":{"date-parts":[["2021"]]},"page":"7","title":"Efektivitas Sibumil (Aplikasi Deteksi Risiko Kehamilan Mandiri) Berbasis Android Di Kota Pekalongan","type":"article-journal","volume":"21"},"uris":["http://www.mendeley.com/documents/?uuid=ccfce747-9a4f-40af-97f0-33460278a228"]}],"mendeley":{"formattedCitation":"[2]","plainTextFormattedCitation":"[2]","previouslyFormattedCitation":"[2]"},"properties":{"noteIndex":0},"schema":"https://github.com/citation-style-language/schema/raw/master/csl-citation.json"}</w:instrText>
      </w:r>
      <w:r w:rsidRPr="00ED6F9F">
        <w:rPr>
          <w:rFonts w:ascii="Tw Cen MT" w:hAnsi="Tw Cen MT" w:cs="Times New Roman"/>
          <w:color w:val="000000" w:themeColor="text1"/>
          <w:sz w:val="24"/>
          <w:szCs w:val="24"/>
        </w:rPr>
        <w:fldChar w:fldCharType="separate"/>
      </w:r>
      <w:r w:rsidRPr="00F4585D">
        <w:rPr>
          <w:rFonts w:ascii="Tw Cen MT" w:hAnsi="Tw Cen MT" w:cs="Times New Roman"/>
          <w:noProof/>
          <w:color w:val="000000" w:themeColor="text1"/>
          <w:sz w:val="24"/>
          <w:szCs w:val="24"/>
        </w:rPr>
        <w:t>[2]</w:t>
      </w:r>
      <w:r w:rsidRPr="00ED6F9F">
        <w:rPr>
          <w:rFonts w:ascii="Tw Cen MT" w:hAnsi="Tw Cen MT" w:cs="Times New Roman"/>
          <w:color w:val="000000" w:themeColor="text1"/>
          <w:sz w:val="24"/>
          <w:szCs w:val="24"/>
        </w:rPr>
        <w:fldChar w:fldCharType="end"/>
      </w:r>
      <w:r w:rsidRPr="00ED6F9F">
        <w:rPr>
          <w:rFonts w:ascii="Tw Cen MT" w:hAnsi="Tw Cen MT" w:cs="Times New Roman"/>
          <w:color w:val="000000" w:themeColor="text1"/>
          <w:sz w:val="24"/>
          <w:szCs w:val="24"/>
        </w:rPr>
        <w:t>.</w:t>
      </w:r>
    </w:p>
    <w:p w14:paraId="12F2422A" w14:textId="77777777" w:rsidR="00017532" w:rsidRPr="00DA4258" w:rsidRDefault="00017532" w:rsidP="00091BF6">
      <w:pPr>
        <w:spacing w:after="0" w:line="240" w:lineRule="auto"/>
        <w:ind w:right="-24"/>
        <w:jc w:val="both"/>
        <w:rPr>
          <w:rFonts w:ascii="Tw Cen MT" w:hAnsi="Tw Cen MT" w:cs="Times New Roman"/>
          <w:color w:val="000000" w:themeColor="text1"/>
          <w:sz w:val="24"/>
          <w:szCs w:val="24"/>
        </w:rPr>
      </w:pPr>
      <w:r w:rsidRPr="00ED6F9F">
        <w:rPr>
          <w:rFonts w:ascii="Tw Cen MT" w:hAnsi="Tw Cen MT" w:cs="Times New Roman"/>
          <w:color w:val="000000" w:themeColor="text1"/>
          <w:sz w:val="24"/>
          <w:szCs w:val="24"/>
        </w:rPr>
        <w:t>AKI yang tercatat di Kabupaten Pekalongan pada tahun 2022 menunjukkan penurunan dari tahun 2021 sebesar 27 kasus menjadi 21 kasus atau 143,32 per 100.000 kelahiran hidup. Meskipun demikian masih diperlukan upaya untuk menurunkan kembali AKI pada tahun berikutnya. Jumlah kasus tertinggi yang terjadi pada tahun 2023 berada di Wilayah Kerja Puskesmas Tirto 1 sebesar 4 kasus kematian ibu sampai bulan Juni 2023. Oleh karena itu, pemerintah Kabupaten Pekalongan berkomitmen untuk menangani permasalahan ini pada tahun 2024 dengan fokus pada penurunan angka kematian ibu</w:t>
      </w:r>
      <w:r w:rsidRPr="00ED6F9F">
        <w:rPr>
          <w:rFonts w:ascii="Tw Cen MT" w:hAnsi="Tw Cen MT" w:cs="Times New Roman"/>
          <w:color w:val="000000" w:themeColor="text1"/>
          <w:sz w:val="24"/>
          <w:szCs w:val="24"/>
        </w:rPr>
        <w:fldChar w:fldCharType="begin" w:fldLock="1"/>
      </w:r>
      <w:r>
        <w:rPr>
          <w:rFonts w:ascii="Tw Cen MT" w:hAnsi="Tw Cen MT" w:cs="Times New Roman"/>
          <w:color w:val="000000" w:themeColor="text1"/>
          <w:sz w:val="24"/>
          <w:szCs w:val="24"/>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Kata","author":[{"dropping-particle":"","family":"DinKes Kabupaten Pekalongan","given":"","non-dropping-particle":"","parse-names":false,"suffix":""}],"id":"ITEM-1","issued":{"date-parts":[["2022"]]},"page":"74","publisher-place":"Pekalongan:DinKes Kabupaten Pekalongan","title":"Profil Kesehatan Kabupaten Pekalongan Tahun 2022","type":"article"},"uris":["http://www.mendeley.com/documents/?uuid=e7011c3b-4c01-4dea-be71-11748ef71ff2"]}],"mendeley":{"formattedCitation":"[3]","plainTextFormattedCitation":"[3]","previouslyFormattedCitation":"[3]"},"properties":{"noteIndex":0},"schema":"https://github.com/citation-style-language/schema/raw/master/csl-citation.json"}</w:instrText>
      </w:r>
      <w:r w:rsidRPr="00ED6F9F">
        <w:rPr>
          <w:rFonts w:ascii="Tw Cen MT" w:hAnsi="Tw Cen MT" w:cs="Times New Roman"/>
          <w:color w:val="000000" w:themeColor="text1"/>
          <w:sz w:val="24"/>
          <w:szCs w:val="24"/>
        </w:rPr>
        <w:fldChar w:fldCharType="separate"/>
      </w:r>
      <w:r w:rsidRPr="00F4585D">
        <w:rPr>
          <w:rFonts w:ascii="Tw Cen MT" w:hAnsi="Tw Cen MT" w:cs="Times New Roman"/>
          <w:noProof/>
          <w:color w:val="000000" w:themeColor="text1"/>
          <w:sz w:val="24"/>
          <w:szCs w:val="24"/>
        </w:rPr>
        <w:t>[3]</w:t>
      </w:r>
      <w:r w:rsidRPr="00ED6F9F">
        <w:rPr>
          <w:rFonts w:ascii="Tw Cen MT" w:hAnsi="Tw Cen MT" w:cs="Times New Roman"/>
          <w:color w:val="000000" w:themeColor="text1"/>
          <w:sz w:val="24"/>
          <w:szCs w:val="24"/>
        </w:rPr>
        <w:fldChar w:fldCharType="end"/>
      </w:r>
      <w:r w:rsidRPr="00ED6F9F">
        <w:rPr>
          <w:rFonts w:ascii="Tw Cen MT" w:hAnsi="Tw Cen MT" w:cs="Times New Roman"/>
          <w:color w:val="000000" w:themeColor="text1"/>
          <w:sz w:val="24"/>
          <w:szCs w:val="24"/>
        </w:rPr>
        <w:t>.</w:t>
      </w:r>
      <w:r w:rsidRPr="00ED6F9F">
        <w:rPr>
          <w:rFonts w:ascii="Tw Cen MT" w:eastAsia="Twentieth Century" w:hAnsi="Tw Cen MT" w:cs="Twentieth Century"/>
          <w:color w:val="000000"/>
          <w:sz w:val="24"/>
          <w:szCs w:val="24"/>
        </w:rPr>
        <w:t xml:space="preserve"> </w:t>
      </w:r>
    </w:p>
    <w:p w14:paraId="72E10219" w14:textId="1230CCBF" w:rsidR="00017532" w:rsidRDefault="00017532" w:rsidP="00091BF6">
      <w:pPr>
        <w:spacing w:after="0" w:line="240" w:lineRule="auto"/>
        <w:ind w:right="-24"/>
        <w:jc w:val="both"/>
        <w:rPr>
          <w:rFonts w:ascii="Tw Cen MT" w:hAnsi="Tw Cen MT" w:cs="Times New Roman"/>
          <w:color w:val="000000" w:themeColor="text1"/>
          <w:sz w:val="24"/>
          <w:szCs w:val="24"/>
        </w:rPr>
      </w:pPr>
      <w:r w:rsidRPr="00EB4E8C">
        <w:rPr>
          <w:rFonts w:ascii="Tw Cen MT" w:hAnsi="Tw Cen MT" w:cs="Times New Roman"/>
          <w:color w:val="000000" w:themeColor="text1"/>
          <w:sz w:val="24"/>
          <w:szCs w:val="24"/>
        </w:rPr>
        <w:t>Pencegahan kematian ibu memerlukan penanganan yang tepat di fasilitas kesehatan. Faktor waktu dan akses transportasi sangat penting dalam merujuk kasus berisiko tinggi. Deteksi dini faktor risiko oleh tenaga kesehatan dan masyarakat sangat krusial untuk menghindari kematian dan penderitaan. Untuk mengurangi risiko komplikasi selama kehamilan dan persalinan, setiap ibu hamil sebaiknya mendapatkan asuhan antenatal minimal enam kali: sekali pada trimester pertama (0-12 minggu), dua kali pada trimester kedua (12-24 minggu), dan tiga kali pada trimester ketiga (24 minggu hingga persalinan)</w:t>
      </w:r>
      <w:r w:rsidRPr="00ED6F9F">
        <w:rPr>
          <w:rFonts w:ascii="Tw Cen MT" w:hAnsi="Tw Cen MT" w:cs="Times New Roman"/>
          <w:color w:val="000000" w:themeColor="text1"/>
          <w:sz w:val="24"/>
          <w:szCs w:val="24"/>
        </w:rPr>
        <w:fldChar w:fldCharType="begin" w:fldLock="1"/>
      </w:r>
      <w:r>
        <w:rPr>
          <w:rFonts w:ascii="Tw Cen MT" w:hAnsi="Tw Cen MT" w:cs="Times New Roman"/>
          <w:color w:val="000000" w:themeColor="text1"/>
          <w:sz w:val="24"/>
          <w:szCs w:val="24"/>
        </w:rPr>
        <w:instrText>ADDIN CSL_CITATION {"citationItems":[{"id":"ITEM-1","itemData":{"author":[{"dropping-particle":"","family":"Khadijah","given":"Siti","non-dropping-particle":"","parse-names":false,"suffix":""},{"dropping-particle":"","family":"Arneti","given":"","non-dropping-particle":"","parse-names":false,"suffix":""}],"container-title":"Jurnal Sehat Mandiri","id":"ITEM-1","issue":"1","issued":{"date-parts":[["2018"]]},"page":"27-34","title":"Upaya Deteksi Dini Resiko Tinggi Kehamilan Ditentukan oleh Pengetahuan dan Dukungan Tenaga Kesehatan","type":"article-journal","volume":"13"},"uris":["http://www.mendeley.com/documents/?uuid=312595ec-66b8-4d8b-aaed-6be21c65b4bb"]}],"mendeley":{"formattedCitation":"[4]","plainTextFormattedCitation":"[4]","previouslyFormattedCitation":"[4]"},"properties":{"noteIndex":0},"schema":"https://github.com/citation-style-language/schema/raw/master/csl-citation.json"}</w:instrText>
      </w:r>
      <w:r w:rsidRPr="00ED6F9F">
        <w:rPr>
          <w:rFonts w:ascii="Tw Cen MT" w:hAnsi="Tw Cen MT" w:cs="Times New Roman"/>
          <w:color w:val="000000" w:themeColor="text1"/>
          <w:sz w:val="24"/>
          <w:szCs w:val="24"/>
        </w:rPr>
        <w:fldChar w:fldCharType="separate"/>
      </w:r>
      <w:r w:rsidRPr="00F4585D">
        <w:rPr>
          <w:rFonts w:ascii="Tw Cen MT" w:hAnsi="Tw Cen MT" w:cs="Times New Roman"/>
          <w:noProof/>
          <w:color w:val="000000" w:themeColor="text1"/>
          <w:sz w:val="24"/>
          <w:szCs w:val="24"/>
        </w:rPr>
        <w:t>[4]</w:t>
      </w:r>
      <w:r w:rsidRPr="00ED6F9F">
        <w:rPr>
          <w:rFonts w:ascii="Tw Cen MT" w:hAnsi="Tw Cen MT" w:cs="Times New Roman"/>
          <w:color w:val="000000" w:themeColor="text1"/>
          <w:sz w:val="24"/>
          <w:szCs w:val="24"/>
        </w:rPr>
        <w:fldChar w:fldCharType="end"/>
      </w:r>
      <w:r w:rsidRPr="00ED6F9F">
        <w:rPr>
          <w:rFonts w:ascii="Tw Cen MT" w:hAnsi="Tw Cen MT" w:cs="Times New Roman"/>
          <w:color w:val="000000" w:themeColor="text1"/>
          <w:sz w:val="24"/>
          <w:szCs w:val="24"/>
        </w:rPr>
        <w:fldChar w:fldCharType="begin" w:fldLock="1"/>
      </w:r>
      <w:r>
        <w:rPr>
          <w:rFonts w:ascii="Tw Cen MT" w:hAnsi="Tw Cen MT" w:cs="Times New Roman"/>
          <w:color w:val="000000" w:themeColor="text1"/>
          <w:sz w:val="24"/>
          <w:szCs w:val="24"/>
        </w:rPr>
        <w:instrText>ADDIN CSL_CITATION {"citationItems":[{"id":"ITEM-1","itemData":{"author":[{"dropping-particle":"","family":"Kementerian Kesehatan RI","given":"","non-dropping-particle":"","parse-names":false,"suffix":""}],"id":"ITEM-1","issued":{"date-parts":[["2019"]]},"publisher-place":"Jakarta: Kementerian Kesehatan RI","title":"Buku Kesehatan Ibu dan Anak","type":"book"},"uris":["http://www.mendeley.com/documents/?uuid=339d9053-132a-4f46-8d13-ce295bd1e5fb"]}],"mendeley":{"formattedCitation":"[5]","plainTextFormattedCitation":"[5]","previouslyFormattedCitation":"[5]"},"properties":{"noteIndex":0},"schema":"https://github.com/citation-style-language/schema/raw/master/csl-citation.json"}</w:instrText>
      </w:r>
      <w:r w:rsidRPr="00ED6F9F">
        <w:rPr>
          <w:rFonts w:ascii="Tw Cen MT" w:hAnsi="Tw Cen MT" w:cs="Times New Roman"/>
          <w:color w:val="000000" w:themeColor="text1"/>
          <w:sz w:val="24"/>
          <w:szCs w:val="24"/>
        </w:rPr>
        <w:fldChar w:fldCharType="separate"/>
      </w:r>
      <w:r w:rsidRPr="00F4585D">
        <w:rPr>
          <w:rFonts w:ascii="Tw Cen MT" w:hAnsi="Tw Cen MT" w:cs="Times New Roman"/>
          <w:noProof/>
          <w:color w:val="000000" w:themeColor="text1"/>
          <w:sz w:val="24"/>
          <w:szCs w:val="24"/>
        </w:rPr>
        <w:t>[5]</w:t>
      </w:r>
      <w:r w:rsidRPr="00ED6F9F">
        <w:rPr>
          <w:rFonts w:ascii="Tw Cen MT" w:hAnsi="Tw Cen MT" w:cs="Times New Roman"/>
          <w:color w:val="000000" w:themeColor="text1"/>
          <w:sz w:val="24"/>
          <w:szCs w:val="24"/>
        </w:rPr>
        <w:fldChar w:fldCharType="end"/>
      </w:r>
      <w:r w:rsidRPr="00ED6F9F">
        <w:rPr>
          <w:rFonts w:ascii="Tw Cen MT" w:hAnsi="Tw Cen MT" w:cs="Times New Roman"/>
          <w:color w:val="000000" w:themeColor="text1"/>
          <w:sz w:val="24"/>
          <w:szCs w:val="24"/>
        </w:rPr>
        <w:t>.</w:t>
      </w:r>
    </w:p>
    <w:p w14:paraId="58D0F8A3" w14:textId="442C9488" w:rsidR="005E2DCC" w:rsidRDefault="00017532" w:rsidP="00091BF6">
      <w:pPr>
        <w:spacing w:after="0" w:line="240" w:lineRule="auto"/>
        <w:ind w:right="-24"/>
        <w:jc w:val="both"/>
        <w:rPr>
          <w:rFonts w:ascii="Tw Cen MT" w:hAnsi="Tw Cen MT" w:cs="Times New Roman"/>
          <w:color w:val="000000" w:themeColor="text1"/>
          <w:sz w:val="24"/>
          <w:szCs w:val="24"/>
        </w:rPr>
      </w:pPr>
      <w:r w:rsidRPr="00EB4E8C">
        <w:rPr>
          <w:rFonts w:ascii="Tw Cen MT" w:hAnsi="Tw Cen MT" w:cs="Times New Roman"/>
          <w:color w:val="000000" w:themeColor="text1"/>
          <w:sz w:val="24"/>
          <w:szCs w:val="24"/>
        </w:rPr>
        <w:t>Penelitian menunjukkan bahwa peningkatan pengetahuan ibu hamil tentang pemeriksaan kehamilan berisiko tinggi berhubungan positif dengan kemampuan mereka dalam deteksi dini risiko kehamilan.</w:t>
      </w:r>
      <w:r>
        <w:rPr>
          <w:rFonts w:ascii="Tw Cen MT" w:hAnsi="Tw Cen MT" w:cs="Times New Roman"/>
          <w:color w:val="000000" w:themeColor="text1"/>
          <w:sz w:val="24"/>
          <w:szCs w:val="24"/>
        </w:rPr>
        <w:t xml:space="preserve"> </w:t>
      </w:r>
      <w:r w:rsidRPr="00DA4258">
        <w:rPr>
          <w:rFonts w:ascii="Tw Cen MT" w:hAnsi="Tw Cen MT" w:cs="Times New Roman"/>
          <w:color w:val="000000" w:themeColor="text1"/>
          <w:sz w:val="24"/>
          <w:szCs w:val="24"/>
        </w:rPr>
        <w:t>Selain itu, hasil penelitian juga menunjukkan bahwa dukungan dari tenaga kesehatan memainkan peran penting dalam usaha deteksi dini resiko tinggi kehamilan serta masih banyak lagi faktor lain yang mempengaruhinya</w:t>
      </w:r>
      <w:r w:rsidRPr="00DA4258">
        <w:rPr>
          <w:rFonts w:ascii="Tw Cen MT" w:hAnsi="Tw Cen MT" w:cs="Times New Roman"/>
          <w:color w:val="000000" w:themeColor="text1"/>
          <w:sz w:val="24"/>
          <w:szCs w:val="24"/>
        </w:rPr>
        <w:fldChar w:fldCharType="begin" w:fldLock="1"/>
      </w:r>
      <w:r>
        <w:rPr>
          <w:rFonts w:ascii="Tw Cen MT" w:hAnsi="Tw Cen MT" w:cs="Times New Roman"/>
          <w:color w:val="000000" w:themeColor="text1"/>
          <w:sz w:val="24"/>
          <w:szCs w:val="24"/>
        </w:rPr>
        <w:instrText>ADDIN CSL_CITATION {"citationItems":[{"id":"ITEM-1","itemData":{"author":[{"dropping-particle":"","family":"Khadijah","given":"Siti","non-dropping-particle":"","parse-names":false,"suffix":""},{"dropping-particle":"","family":"Arneti","given":"","non-dropping-particle":"","parse-names":false,"suffix":""}],"container-title":"Jurnal Sehat Mandiri","id":"ITEM-1","issue":"1","issued":{"date-parts":[["2018"]]},"page":"27-34","title":"Upaya Deteksi Dini Resiko Tinggi Kehamilan Ditentukan oleh Pengetahuan dan Dukungan Tenaga Kesehatan","type":"article-journal","volume":"13"},"uris":["http://www.mendeley.com/documents/?uuid=312595ec-66b8-4d8b-aaed-6be21c65b4bb"]}],"mendeley":{"formattedCitation":"[4]","plainTextFormattedCitation":"[4]","previouslyFormattedCitation":"[4]"},"properties":{"noteIndex":0},"schema":"https://github.com/citation-style-language/schema/raw/master/csl-citation.json"}</w:instrText>
      </w:r>
      <w:r w:rsidRPr="00DA4258">
        <w:rPr>
          <w:rFonts w:ascii="Tw Cen MT" w:hAnsi="Tw Cen MT" w:cs="Times New Roman"/>
          <w:color w:val="000000" w:themeColor="text1"/>
          <w:sz w:val="24"/>
          <w:szCs w:val="24"/>
        </w:rPr>
        <w:fldChar w:fldCharType="separate"/>
      </w:r>
      <w:r w:rsidRPr="00F4585D">
        <w:rPr>
          <w:rFonts w:ascii="Tw Cen MT" w:hAnsi="Tw Cen MT" w:cs="Times New Roman"/>
          <w:noProof/>
          <w:color w:val="000000" w:themeColor="text1"/>
          <w:sz w:val="24"/>
          <w:szCs w:val="24"/>
        </w:rPr>
        <w:t>[4]</w:t>
      </w:r>
      <w:r w:rsidRPr="00DA4258">
        <w:rPr>
          <w:rFonts w:ascii="Tw Cen MT" w:hAnsi="Tw Cen MT" w:cs="Times New Roman"/>
          <w:color w:val="000000" w:themeColor="text1"/>
          <w:sz w:val="24"/>
          <w:szCs w:val="24"/>
        </w:rPr>
        <w:fldChar w:fldCharType="end"/>
      </w:r>
      <w:r w:rsidRPr="00DA4258">
        <w:rPr>
          <w:rFonts w:ascii="Tw Cen MT" w:hAnsi="Tw Cen MT" w:cs="Times New Roman"/>
          <w:color w:val="000000" w:themeColor="text1"/>
          <w:sz w:val="24"/>
          <w:szCs w:val="24"/>
        </w:rPr>
        <w:fldChar w:fldCharType="begin" w:fldLock="1"/>
      </w:r>
      <w:r w:rsidR="00DF2B72">
        <w:rPr>
          <w:rFonts w:ascii="Tw Cen MT" w:hAnsi="Tw Cen MT" w:cs="Times New Roman"/>
          <w:color w:val="000000" w:themeColor="text1"/>
          <w:sz w:val="24"/>
          <w:szCs w:val="24"/>
        </w:rPr>
        <w:instrText>ADDIN CSL_CITATION {"citationItems":[{"id":"ITEM-1","itemData":{"DOI":"10.20885/JKKI.Vol13.Iss1.art9","author":[{"dropping-particle":"","family":"Prafitri","given":"Lia Dwi","non-dropping-particle":"","parse-names":false,"suffix":""},{"dropping-particle":"","family":"Ersila","given":"Wahyu","non-dropping-particle":"","parse-names":false,"suffix":""},{"dropping-particle":"","family":"Nurseptiani","given":"Dzikra","non-dropping-particle":"","parse-names":false,"suffix":""}],"container-title":"Jurnal Kedokteran dan Kesehatan Indonesia","id":"ITEM-1","issue":"1","issued":{"date-parts":[["2022"]]},"page":"52-59","title":"Risk Factors for Carpal Tunnel Syndrome in Pregnant Women","type":"article-journal","volume":"13"},"uris":["http://www.mendeley.com/documents/?uuid=d566d575-5eab-4bae-846b-374932854326"]}],"mendeley":{"formattedCitation":"[6]","plainTextFormattedCitation":"[6]","previouslyFormattedCitation":"[6]"},"properties":{"noteIndex":0},"schema":"https://github.com/citation-style-language/schema/raw/master/csl-citation.json"}</w:instrText>
      </w:r>
      <w:r w:rsidRPr="00DA4258">
        <w:rPr>
          <w:rFonts w:ascii="Tw Cen MT" w:hAnsi="Tw Cen MT" w:cs="Times New Roman"/>
          <w:color w:val="000000" w:themeColor="text1"/>
          <w:sz w:val="24"/>
          <w:szCs w:val="24"/>
        </w:rPr>
        <w:fldChar w:fldCharType="separate"/>
      </w:r>
      <w:r w:rsidRPr="00017532">
        <w:rPr>
          <w:rFonts w:ascii="Tw Cen MT" w:hAnsi="Tw Cen MT" w:cs="Times New Roman"/>
          <w:noProof/>
          <w:color w:val="000000" w:themeColor="text1"/>
          <w:sz w:val="24"/>
          <w:szCs w:val="24"/>
        </w:rPr>
        <w:t>[6]</w:t>
      </w:r>
      <w:r w:rsidRPr="00DA4258">
        <w:rPr>
          <w:rFonts w:ascii="Tw Cen MT" w:hAnsi="Tw Cen MT" w:cs="Times New Roman"/>
          <w:color w:val="000000" w:themeColor="text1"/>
          <w:sz w:val="24"/>
          <w:szCs w:val="24"/>
        </w:rPr>
        <w:fldChar w:fldCharType="end"/>
      </w:r>
      <w:r w:rsidRPr="00DA4258">
        <w:rPr>
          <w:rFonts w:ascii="Tw Cen MT" w:hAnsi="Tw Cen MT" w:cs="Times New Roman"/>
          <w:color w:val="000000" w:themeColor="text1"/>
          <w:sz w:val="24"/>
          <w:szCs w:val="24"/>
        </w:rPr>
        <w:t>.</w:t>
      </w:r>
      <w:r w:rsidR="005E2DCC">
        <w:rPr>
          <w:rFonts w:ascii="Tw Cen MT" w:hAnsi="Tw Cen MT" w:cs="Times New Roman"/>
          <w:color w:val="000000" w:themeColor="text1"/>
          <w:sz w:val="24"/>
          <w:szCs w:val="24"/>
        </w:rPr>
        <w:t xml:space="preserve"> </w:t>
      </w:r>
      <w:r w:rsidR="005E2DCC" w:rsidRPr="005E2DCC">
        <w:rPr>
          <w:rFonts w:ascii="Tw Cen MT" w:hAnsi="Tw Cen MT" w:cs="Times New Roman"/>
          <w:color w:val="000000" w:themeColor="text1"/>
          <w:sz w:val="24"/>
          <w:szCs w:val="24"/>
        </w:rPr>
        <w:t>Deteksi dini terhadap risiko tinggi dalam kehamilan merupakan salah satu upaya krusial dalam menurunkan angka kesakitan dan kematian ibu serta bayi. Komplikasi obstetri seperti preeklamsia, anemia berat, dan persalinan prematur sering kali tidak teridentifikasi sejak awal akibat rendahnya kesadaran ibu hamil terhadap tanda bahaya kehamilan</w:t>
      </w:r>
      <w:r w:rsidR="00DF2B72">
        <w:rPr>
          <w:rFonts w:ascii="Tw Cen MT" w:hAnsi="Tw Cen MT" w:cs="Times New Roman"/>
          <w:color w:val="000000" w:themeColor="text1"/>
          <w:sz w:val="24"/>
          <w:szCs w:val="24"/>
        </w:rPr>
        <w:fldChar w:fldCharType="begin" w:fldLock="1"/>
      </w:r>
      <w:r w:rsidR="00DF2B72">
        <w:rPr>
          <w:rFonts w:ascii="Tw Cen MT" w:hAnsi="Tw Cen MT" w:cs="Times New Roman"/>
          <w:color w:val="000000" w:themeColor="text1"/>
          <w:sz w:val="24"/>
          <w:szCs w:val="24"/>
        </w:rPr>
        <w:instrText>ADDIN CSL_CITATION {"citationItems":[{"id":"ITEM-1","itemData":{"ISBN":"6221527716","abstract":"Padi merupakan salah satu makanan pokok masyarakat Indonesia. Produksi padi pada tahun 2014 sebesar 70,85 ton Gabah Kering Giling (GKG) mengalami penurunan sebesar 433,24 ribu ton (0,61 persen) dibandingkan tahun 2013. Provinsi Jawa Timur merupakan provinsi penyumbang produksi padi terbesar di Indonesia. Hal ini yang menuntut Provinsi Jawa Timur untuk terus meningkatkan produksi padi demi ketercapaian swasembada pangan khususnya untuk masyarakat Jawa Timur dan umumnya untuk Indonesia. Penelitian ini akan membahas tentang faktor-faktor apa saja yang diduga mempengaruhi produksi padi Jawa Timur tahun 2014 menggunakan regresi semiparametrik spline. Hasil dari regresi semiparametrik spline menunjukkan factor-faktor yang berpengaruh signifikan terhadap produksi padi yaitu luas panen padi dan curah hujan, sedangkan faktor-faktor yang tidak berpengaruh signifikan adalah luas puso padi, realisasi pupuk bersubsidi, dan ketinggian rata-rata dari permukaan laut dengan nilai koefisien determinasi yang didapatkan adalah sebesar 99,17 persen.","author":[{"dropping-particle":"","family":"Kementrian Kesehatan","given":"","non-dropping-particle":"","parse-names":false,"suffix":""}],"id":"ITEM-1","issued":{"date-parts":[["2024"]]},"number-of-pages":"100","publisher-place":"Jakarta : Kementerian Kesehatan Republik Indonesia","title":"Profil Kesehatan Indonesia 2023","type":"book"},"uris":["http://www.mendeley.com/documents/?uuid=3e460825-fb48-4dc8-92e7-8f3da5d2606d"]}],"mendeley":{"formattedCitation":"[7]","plainTextFormattedCitation":"[7]","previouslyFormattedCitation":"[7]"},"properties":{"noteIndex":0},"schema":"https://github.com/citation-style-language/schema/raw/master/csl-citation.json"}</w:instrText>
      </w:r>
      <w:r w:rsidR="00DF2B72">
        <w:rPr>
          <w:rFonts w:ascii="Tw Cen MT" w:hAnsi="Tw Cen MT" w:cs="Times New Roman"/>
          <w:color w:val="000000" w:themeColor="text1"/>
          <w:sz w:val="24"/>
          <w:szCs w:val="24"/>
        </w:rPr>
        <w:fldChar w:fldCharType="separate"/>
      </w:r>
      <w:r w:rsidR="00DF2B72" w:rsidRPr="00DF2B72">
        <w:rPr>
          <w:rFonts w:ascii="Tw Cen MT" w:hAnsi="Tw Cen MT" w:cs="Times New Roman"/>
          <w:noProof/>
          <w:color w:val="000000" w:themeColor="text1"/>
          <w:sz w:val="24"/>
          <w:szCs w:val="24"/>
        </w:rPr>
        <w:t>[7]</w:t>
      </w:r>
      <w:r w:rsidR="00DF2B72">
        <w:rPr>
          <w:rFonts w:ascii="Tw Cen MT" w:hAnsi="Tw Cen MT" w:cs="Times New Roman"/>
          <w:color w:val="000000" w:themeColor="text1"/>
          <w:sz w:val="24"/>
          <w:szCs w:val="24"/>
        </w:rPr>
        <w:fldChar w:fldCharType="end"/>
      </w:r>
      <w:r w:rsidR="005E2DCC" w:rsidRPr="005E2DCC">
        <w:rPr>
          <w:rFonts w:ascii="Tw Cen MT" w:hAnsi="Tw Cen MT" w:cs="Times New Roman"/>
          <w:color w:val="000000" w:themeColor="text1"/>
          <w:sz w:val="24"/>
          <w:szCs w:val="24"/>
        </w:rPr>
        <w:t>. Di Indonesia, berbagai laporan menunjukkan bahwa keterlambatan dalam mengenali risiko kehamilan masih menjadi penyebab utama kegagalan intervensi dini. Faktor pendidikan, tingkat pengetahuan, dan kepemilikan jaminan kesehatan diduga kuat memengaruhi perilaku ibu dalam melakukan pemeriksaan kehamilan secara teratur</w:t>
      </w:r>
      <w:r w:rsidR="00DF2B72">
        <w:rPr>
          <w:rFonts w:ascii="Tw Cen MT" w:hAnsi="Tw Cen MT" w:cs="Times New Roman"/>
          <w:color w:val="000000" w:themeColor="text1"/>
          <w:sz w:val="24"/>
          <w:szCs w:val="24"/>
        </w:rPr>
        <w:fldChar w:fldCharType="begin" w:fldLock="1"/>
      </w:r>
      <w:r w:rsidR="00263CD2">
        <w:rPr>
          <w:rFonts w:ascii="Tw Cen MT" w:hAnsi="Tw Cen MT" w:cs="Times New Roman"/>
          <w:color w:val="000000" w:themeColor="text1"/>
          <w:sz w:val="24"/>
          <w:szCs w:val="24"/>
        </w:rPr>
        <w:instrText>ADDIN CSL_CITATION {"citationItems":[{"id":"ITEM-1","itemData":{"author":[{"dropping-particle":"","family":"WHO","given":"","non-dropping-particle":"","parse-names":false,"suffix":""}],"id":"ITEM-1","issued":{"date-parts":[["2022"]]},"publisher-place":"World Health Organization","title":"World health statistics 2022: monitoring health for the SDGs, Sustainable Development Goals","type":"report"},"uris":["http://www.mendeley.com/documents/?uuid=60c763e1-c226-4a93-9d63-eaec3c54e7fd"]}],"mendeley":{"formattedCitation":"[8]","plainTextFormattedCitation":"[8]","previouslyFormattedCitation":"[8]"},"properties":{"noteIndex":0},"schema":"https://github.com/citation-style-language/schema/raw/master/csl-citation.json"}</w:instrText>
      </w:r>
      <w:r w:rsidR="00DF2B72">
        <w:rPr>
          <w:rFonts w:ascii="Tw Cen MT" w:hAnsi="Tw Cen MT" w:cs="Times New Roman"/>
          <w:color w:val="000000" w:themeColor="text1"/>
          <w:sz w:val="24"/>
          <w:szCs w:val="24"/>
        </w:rPr>
        <w:fldChar w:fldCharType="separate"/>
      </w:r>
      <w:r w:rsidR="00DF2B72" w:rsidRPr="00DF2B72">
        <w:rPr>
          <w:rFonts w:ascii="Tw Cen MT" w:hAnsi="Tw Cen MT" w:cs="Times New Roman"/>
          <w:noProof/>
          <w:color w:val="000000" w:themeColor="text1"/>
          <w:sz w:val="24"/>
          <w:szCs w:val="24"/>
        </w:rPr>
        <w:t>[8]</w:t>
      </w:r>
      <w:r w:rsidR="00DF2B72">
        <w:rPr>
          <w:rFonts w:ascii="Tw Cen MT" w:hAnsi="Tw Cen MT" w:cs="Times New Roman"/>
          <w:color w:val="000000" w:themeColor="text1"/>
          <w:sz w:val="24"/>
          <w:szCs w:val="24"/>
        </w:rPr>
        <w:fldChar w:fldCharType="end"/>
      </w:r>
      <w:r w:rsidR="005E2DCC" w:rsidRPr="005E2DCC">
        <w:rPr>
          <w:rFonts w:ascii="Tw Cen MT" w:hAnsi="Tw Cen MT" w:cs="Times New Roman"/>
          <w:color w:val="000000" w:themeColor="text1"/>
          <w:sz w:val="24"/>
          <w:szCs w:val="24"/>
        </w:rPr>
        <w:t>. Oleh karena itu, penelitian ini menjadi penting untuk mengkaji hubungan antara faktor-faktor tersebut dengan deteksi dini risiko kehamilan, guna memberikan dasar ilmiah dalam perumusan strategi peningkatan layanan antenatal yang lebih tepat sasaran.</w:t>
      </w:r>
    </w:p>
    <w:p w14:paraId="3D1A65CE" w14:textId="63DF79F4" w:rsidR="00017532" w:rsidRPr="00DA4258" w:rsidRDefault="00017532" w:rsidP="00091BF6">
      <w:pPr>
        <w:spacing w:after="0" w:line="240" w:lineRule="auto"/>
        <w:ind w:right="-24"/>
        <w:jc w:val="both"/>
        <w:rPr>
          <w:rFonts w:ascii="Tw Cen MT" w:hAnsi="Tw Cen MT" w:cs="Times New Roman"/>
          <w:color w:val="000000" w:themeColor="text1"/>
          <w:sz w:val="24"/>
          <w:szCs w:val="24"/>
        </w:rPr>
      </w:pPr>
      <w:r w:rsidRPr="00DA4258">
        <w:rPr>
          <w:rFonts w:ascii="Tw Cen MT" w:hAnsi="Tw Cen MT" w:cs="Times New Roman"/>
          <w:color w:val="000000" w:themeColor="text1"/>
          <w:sz w:val="24"/>
          <w:szCs w:val="24"/>
        </w:rPr>
        <w:t>Dengan demikian, penulis akan melakukan analisis faktor resiko yang mempengaruhi deteksi dini resiko tinggi kehamilan di Wilayah Kerja Puskesmas Tirto I Kabupaten Pekalongan.</w:t>
      </w:r>
    </w:p>
    <w:p w14:paraId="461F007D" w14:textId="77777777" w:rsidR="00017532" w:rsidRPr="0096335E" w:rsidRDefault="00017532" w:rsidP="00091BF6">
      <w:pPr>
        <w:spacing w:after="0" w:line="240" w:lineRule="auto"/>
        <w:jc w:val="both"/>
        <w:rPr>
          <w:rFonts w:ascii="Tw Cen MT" w:eastAsia="Twentieth Century" w:hAnsi="Tw Cen MT" w:cs="Twentieth Century"/>
          <w:color w:val="000000"/>
          <w:sz w:val="24"/>
          <w:szCs w:val="24"/>
        </w:rPr>
      </w:pPr>
    </w:p>
    <w:p w14:paraId="2E629733" w14:textId="77777777" w:rsidR="00017532" w:rsidRPr="0096335E" w:rsidRDefault="00017532" w:rsidP="00091B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42099743" w14:textId="7FDBFD38" w:rsidR="00DF2B72" w:rsidRPr="00DF2B72" w:rsidRDefault="00017532" w:rsidP="00091BF6">
      <w:pPr>
        <w:tabs>
          <w:tab w:val="left" w:pos="426"/>
        </w:tabs>
        <w:spacing w:after="0" w:line="240" w:lineRule="auto"/>
        <w:jc w:val="both"/>
        <w:rPr>
          <w:rFonts w:ascii="Tw Cen MT" w:eastAsia="Twentieth Century" w:hAnsi="Tw Cen MT" w:cs="Twentieth Century"/>
          <w:sz w:val="24"/>
          <w:szCs w:val="24"/>
        </w:rPr>
      </w:pPr>
      <w:r w:rsidRPr="00EB4E8C">
        <w:rPr>
          <w:rFonts w:ascii="Tw Cen MT" w:eastAsia="Twentieth Century" w:hAnsi="Tw Cen MT" w:cs="Twentieth Century"/>
          <w:sz w:val="24"/>
          <w:szCs w:val="24"/>
        </w:rPr>
        <w:t xml:space="preserve">Penelitian ini menggunakan desain analitik dengan pendekatan kuantitatif. </w:t>
      </w:r>
      <w:r w:rsidR="00DF2B72" w:rsidRPr="00DF2B72">
        <w:rPr>
          <w:rFonts w:ascii="Tw Cen MT" w:eastAsia="Twentieth Century" w:hAnsi="Tw Cen MT" w:cs="Twentieth Century"/>
          <w:sz w:val="24"/>
          <w:szCs w:val="24"/>
        </w:rPr>
        <w:t xml:space="preserve">Populasi penelitian ini adalah seluruh ibu hamil yang terdaftar di wilayah kerja Puskesmas Tirto I, Kabupaten Pekalongan, sebanyak 139 </w:t>
      </w:r>
      <w:r w:rsidR="00263CD2">
        <w:rPr>
          <w:rFonts w:ascii="Tw Cen MT" w:eastAsia="Twentieth Century" w:hAnsi="Tw Cen MT" w:cs="Twentieth Century"/>
          <w:sz w:val="24"/>
          <w:szCs w:val="24"/>
        </w:rPr>
        <w:t>IBU hamil</w:t>
      </w:r>
      <w:r w:rsidR="00DF2B72" w:rsidRPr="00DF2B72">
        <w:rPr>
          <w:rFonts w:ascii="Tw Cen MT" w:eastAsia="Twentieth Century" w:hAnsi="Tw Cen MT" w:cs="Twentieth Century"/>
          <w:sz w:val="24"/>
          <w:szCs w:val="24"/>
        </w:rPr>
        <w:t xml:space="preserve">. Teknik pengambilan sampel menggunakan </w:t>
      </w:r>
      <w:r w:rsidR="00DF2B72" w:rsidRPr="00263CD2">
        <w:rPr>
          <w:rFonts w:ascii="Tw Cen MT" w:eastAsia="Twentieth Century" w:hAnsi="Tw Cen MT" w:cs="Twentieth Century"/>
          <w:i/>
          <w:iCs/>
          <w:sz w:val="24"/>
          <w:szCs w:val="24"/>
        </w:rPr>
        <w:t>proportional random sampling</w:t>
      </w:r>
      <w:r w:rsidR="00DF2B72" w:rsidRPr="00DF2B72">
        <w:rPr>
          <w:rFonts w:ascii="Tw Cen MT" w:eastAsia="Twentieth Century" w:hAnsi="Tw Cen MT" w:cs="Twentieth Century"/>
          <w:sz w:val="24"/>
          <w:szCs w:val="24"/>
        </w:rPr>
        <w:t xml:space="preserve"> berdasarkan jumlah ibu hamil di masing-masing desa dalam wilayah kerja Puskesmas. Jumlah sampel yang ditentukan sebanyak 103 orang, dengan kriteria inklusi: ibu hamil usia kehamilan ≥12 minggu, bersedia menjadi responden, dan mampu membaca serta menulis. Kriteria eksklusi: ibu dengan gangguan komunikasi atau kondisi medis yang tidak memungkinkan untuk diwawancarai.</w:t>
      </w:r>
    </w:p>
    <w:p w14:paraId="7086CAA3" w14:textId="358E4023" w:rsidR="00DF2B72" w:rsidRPr="00DF2B72" w:rsidRDefault="00DF2B72" w:rsidP="00091BF6">
      <w:pPr>
        <w:tabs>
          <w:tab w:val="left" w:pos="426"/>
        </w:tabs>
        <w:spacing w:after="0" w:line="240" w:lineRule="auto"/>
        <w:jc w:val="both"/>
        <w:rPr>
          <w:rFonts w:ascii="Tw Cen MT" w:eastAsia="Twentieth Century" w:hAnsi="Tw Cen MT" w:cs="Twentieth Century"/>
          <w:sz w:val="24"/>
          <w:szCs w:val="24"/>
        </w:rPr>
      </w:pPr>
      <w:r w:rsidRPr="00DF2B72">
        <w:rPr>
          <w:rFonts w:ascii="Tw Cen MT" w:eastAsia="Twentieth Century" w:hAnsi="Tw Cen MT" w:cs="Twentieth Century"/>
          <w:sz w:val="24"/>
          <w:szCs w:val="24"/>
        </w:rPr>
        <w:t xml:space="preserve">Alat ukur berupa kuesioner terstruktur yang terdiri dari tiga bagian: karakteristik responden, pengetahuan tentang kehamilan risiko tinggi, dan tindakan deteksi dini. Kuesioner diuji validitas menggunakan analisis korelasi </w:t>
      </w:r>
      <w:r w:rsidRPr="00263CD2">
        <w:rPr>
          <w:rFonts w:ascii="Tw Cen MT" w:eastAsia="Twentieth Century" w:hAnsi="Tw Cen MT" w:cs="Twentieth Century"/>
          <w:i/>
          <w:iCs/>
          <w:sz w:val="24"/>
          <w:szCs w:val="24"/>
        </w:rPr>
        <w:t>Pearson</w:t>
      </w:r>
      <w:r w:rsidRPr="00DF2B72">
        <w:rPr>
          <w:rFonts w:ascii="Tw Cen MT" w:eastAsia="Twentieth Century" w:hAnsi="Tw Cen MT" w:cs="Twentieth Century"/>
          <w:sz w:val="24"/>
          <w:szCs w:val="24"/>
        </w:rPr>
        <w:t xml:space="preserve"> dan reliabilitas dengan </w:t>
      </w:r>
      <w:r w:rsidRPr="00263CD2">
        <w:rPr>
          <w:rFonts w:ascii="Tw Cen MT" w:eastAsia="Twentieth Century" w:hAnsi="Tw Cen MT" w:cs="Twentieth Century"/>
          <w:i/>
          <w:iCs/>
          <w:sz w:val="24"/>
          <w:szCs w:val="24"/>
        </w:rPr>
        <w:t>Cronbach’s Alpha</w:t>
      </w:r>
      <w:r w:rsidRPr="00DF2B72">
        <w:rPr>
          <w:rFonts w:ascii="Tw Cen MT" w:eastAsia="Twentieth Century" w:hAnsi="Tw Cen MT" w:cs="Twentieth Century"/>
          <w:sz w:val="24"/>
          <w:szCs w:val="24"/>
        </w:rPr>
        <w:t xml:space="preserve">, yang menunjukkan nilai </w:t>
      </w:r>
      <w:r w:rsidRPr="00263CD2">
        <w:rPr>
          <w:rFonts w:ascii="Tw Cen MT" w:eastAsia="Twentieth Century" w:hAnsi="Tw Cen MT" w:cs="Twentieth Century"/>
          <w:i/>
          <w:iCs/>
          <w:sz w:val="24"/>
          <w:szCs w:val="24"/>
        </w:rPr>
        <w:t>alpha</w:t>
      </w:r>
      <w:r w:rsidRPr="00DF2B72">
        <w:rPr>
          <w:rFonts w:ascii="Tw Cen MT" w:eastAsia="Twentieth Century" w:hAnsi="Tw Cen MT" w:cs="Twentieth Century"/>
          <w:sz w:val="24"/>
          <w:szCs w:val="24"/>
        </w:rPr>
        <w:t xml:space="preserve"> sebesar &gt;0,70, menandakan bahwa instrumen reliabel.</w:t>
      </w:r>
    </w:p>
    <w:p w14:paraId="7E18C586" w14:textId="2D3F3CAF" w:rsidR="00DF2B72" w:rsidRPr="00DF2B72" w:rsidRDefault="00DF2B72" w:rsidP="00091BF6">
      <w:pPr>
        <w:tabs>
          <w:tab w:val="left" w:pos="426"/>
        </w:tabs>
        <w:spacing w:after="0" w:line="240" w:lineRule="auto"/>
        <w:jc w:val="both"/>
        <w:rPr>
          <w:rFonts w:ascii="Tw Cen MT" w:eastAsia="Twentieth Century" w:hAnsi="Tw Cen MT" w:cs="Twentieth Century"/>
          <w:sz w:val="24"/>
          <w:szCs w:val="24"/>
        </w:rPr>
      </w:pPr>
      <w:r w:rsidRPr="00DF2B72">
        <w:rPr>
          <w:rFonts w:ascii="Tw Cen MT" w:eastAsia="Twentieth Century" w:hAnsi="Tw Cen MT" w:cs="Twentieth Century"/>
          <w:sz w:val="24"/>
          <w:szCs w:val="24"/>
        </w:rPr>
        <w:t xml:space="preserve">Data primer diperoleh dari hasil pengisian kuesioner oleh responden. Data sekunder diperoleh dari laporan bulanan Puskesmas, profil kesehatan ibu hamil, serta dokumentasi program pemeriksaan kehamilan. Data dianalisis menggunakan uji </w:t>
      </w:r>
      <w:r w:rsidRPr="00263CD2">
        <w:rPr>
          <w:rFonts w:ascii="Tw Cen MT" w:eastAsia="Twentieth Century" w:hAnsi="Tw Cen MT" w:cs="Twentieth Century"/>
          <w:i/>
          <w:iCs/>
          <w:sz w:val="24"/>
          <w:szCs w:val="24"/>
        </w:rPr>
        <w:t>chi-square</w:t>
      </w:r>
      <w:r w:rsidRPr="00DF2B72">
        <w:rPr>
          <w:rFonts w:ascii="Tw Cen MT" w:eastAsia="Twentieth Century" w:hAnsi="Tw Cen MT" w:cs="Twentieth Century"/>
          <w:sz w:val="24"/>
          <w:szCs w:val="24"/>
        </w:rPr>
        <w:t xml:space="preserve"> untuk melihat hubungan antara variabel independen dan dependen. Pengolahan data dilakukan melalui aplikasi SPSS, dimulai dari </w:t>
      </w:r>
      <w:r w:rsidRPr="00263CD2">
        <w:rPr>
          <w:rFonts w:ascii="Tw Cen MT" w:eastAsia="Twentieth Century" w:hAnsi="Tw Cen MT" w:cs="Twentieth Century"/>
          <w:i/>
          <w:iCs/>
          <w:sz w:val="24"/>
          <w:szCs w:val="24"/>
        </w:rPr>
        <w:t>coding, tabulasi, editing</w:t>
      </w:r>
      <w:r w:rsidRPr="00DF2B72">
        <w:rPr>
          <w:rFonts w:ascii="Tw Cen MT" w:eastAsia="Twentieth Century" w:hAnsi="Tw Cen MT" w:cs="Twentieth Century"/>
          <w:sz w:val="24"/>
          <w:szCs w:val="24"/>
        </w:rPr>
        <w:t>, hingga analisis bivariat.</w:t>
      </w:r>
    </w:p>
    <w:p w14:paraId="015A1694" w14:textId="77777777" w:rsidR="00017532" w:rsidRPr="0096335E" w:rsidRDefault="00017532" w:rsidP="00091BF6">
      <w:pPr>
        <w:tabs>
          <w:tab w:val="left" w:pos="426"/>
        </w:tabs>
        <w:spacing w:after="0" w:line="240" w:lineRule="auto"/>
        <w:jc w:val="both"/>
        <w:rPr>
          <w:rFonts w:ascii="Tw Cen MT" w:eastAsia="Twentieth Century" w:hAnsi="Tw Cen MT" w:cs="Twentieth Century"/>
          <w:sz w:val="24"/>
          <w:szCs w:val="24"/>
        </w:rPr>
      </w:pPr>
    </w:p>
    <w:p w14:paraId="3A920B0A" w14:textId="77777777" w:rsidR="006A0128" w:rsidRDefault="006A0128" w:rsidP="00091BF6">
      <w:pPr>
        <w:tabs>
          <w:tab w:val="left" w:pos="426"/>
        </w:tabs>
        <w:spacing w:after="0" w:line="240" w:lineRule="auto"/>
        <w:jc w:val="both"/>
        <w:rPr>
          <w:rFonts w:ascii="Tw Cen MT" w:eastAsia="Twentieth Century" w:hAnsi="Tw Cen MT" w:cs="Twentieth Century"/>
          <w:b/>
          <w:sz w:val="24"/>
          <w:szCs w:val="24"/>
        </w:rPr>
      </w:pPr>
    </w:p>
    <w:p w14:paraId="14B6A73C" w14:textId="77777777" w:rsidR="006A0128" w:rsidRDefault="006A0128" w:rsidP="00091BF6">
      <w:pPr>
        <w:tabs>
          <w:tab w:val="left" w:pos="426"/>
        </w:tabs>
        <w:spacing w:after="0" w:line="240" w:lineRule="auto"/>
        <w:jc w:val="both"/>
        <w:rPr>
          <w:rFonts w:ascii="Tw Cen MT" w:eastAsia="Twentieth Century" w:hAnsi="Tw Cen MT" w:cs="Twentieth Century"/>
          <w:b/>
          <w:sz w:val="24"/>
          <w:szCs w:val="24"/>
        </w:rPr>
      </w:pPr>
    </w:p>
    <w:p w14:paraId="1C344B20" w14:textId="0FBE5B06" w:rsidR="00017532" w:rsidRPr="0096335E" w:rsidRDefault="00017532" w:rsidP="00091BF6">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1CE29DB8" w14:textId="77777777" w:rsidR="00091BF6" w:rsidRDefault="00017532" w:rsidP="00091BF6">
      <w:pPr>
        <w:tabs>
          <w:tab w:val="left" w:pos="426"/>
        </w:tabs>
        <w:spacing w:after="0" w:line="240" w:lineRule="auto"/>
        <w:jc w:val="both"/>
        <w:rPr>
          <w:rFonts w:ascii="Tw Cen MT" w:eastAsia="Twentieth Century" w:hAnsi="Tw Cen MT" w:cs="Twentieth Century"/>
          <w:sz w:val="24"/>
          <w:szCs w:val="24"/>
        </w:rPr>
      </w:pPr>
      <w:r w:rsidRPr="00DA4258">
        <w:rPr>
          <w:rFonts w:ascii="Tw Cen MT" w:eastAsia="Twentieth Century" w:hAnsi="Tw Cen MT" w:cs="Twentieth Century"/>
          <w:sz w:val="24"/>
          <w:szCs w:val="24"/>
        </w:rPr>
        <w:t xml:space="preserve">Data diperoleh dari 103 ibu hamil yang melakukan pengisian kuesioner di Wilayah Kerja Puskesmas Tirto I Kabupaten Pekalongan. </w:t>
      </w:r>
    </w:p>
    <w:p w14:paraId="1D32C78B" w14:textId="162B798C" w:rsidR="00017532" w:rsidRPr="002E23D7" w:rsidRDefault="00017532" w:rsidP="00091BF6">
      <w:pPr>
        <w:tabs>
          <w:tab w:val="left" w:pos="426"/>
        </w:tabs>
        <w:spacing w:after="0" w:line="240" w:lineRule="auto"/>
        <w:jc w:val="both"/>
        <w:rPr>
          <w:rFonts w:ascii="Tw Cen MT" w:eastAsia="Twentieth Century" w:hAnsi="Tw Cen MT" w:cs="Twentieth Century"/>
          <w:sz w:val="24"/>
          <w:szCs w:val="24"/>
        </w:rPr>
      </w:pPr>
      <w:r w:rsidRPr="00DA4258">
        <w:rPr>
          <w:rFonts w:ascii="Tw Cen MT" w:eastAsia="Twentieth Century" w:hAnsi="Tw Cen MT" w:cs="Twentieth Century"/>
          <w:sz w:val="24"/>
          <w:szCs w:val="24"/>
        </w:rPr>
        <w:t xml:space="preserve">Data yang terkumpul telah dianalisis secara univariat dan bivariat, untuk mengetahui analisis faktor yang </w:t>
      </w:r>
      <w:r>
        <w:rPr>
          <w:rFonts w:ascii="Tw Cen MT" w:eastAsia="Twentieth Century" w:hAnsi="Tw Cen MT" w:cs="Twentieth Century"/>
          <w:sz w:val="24"/>
          <w:szCs w:val="24"/>
        </w:rPr>
        <w:t xml:space="preserve">mempengaruhi </w:t>
      </w:r>
      <w:r w:rsidRPr="00DA4258">
        <w:rPr>
          <w:rFonts w:ascii="Tw Cen MT" w:eastAsia="Twentieth Century" w:hAnsi="Tw Cen MT" w:cs="Twentieth Century"/>
          <w:sz w:val="24"/>
          <w:szCs w:val="24"/>
        </w:rPr>
        <w:t>deteksi dini resiko tinggi kehamilan.</w:t>
      </w:r>
    </w:p>
    <w:p w14:paraId="401DECD3" w14:textId="77777777" w:rsidR="00017532" w:rsidRPr="002E23D7" w:rsidRDefault="00017532" w:rsidP="00091BF6">
      <w:pPr>
        <w:spacing w:after="0" w:line="240" w:lineRule="auto"/>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 xml:space="preserve">Tabel </w:t>
      </w:r>
      <w:r>
        <w:rPr>
          <w:rFonts w:ascii="Tw Cen MT" w:eastAsia="Twentieth Century" w:hAnsi="Tw Cen MT" w:cs="Twentieth Century"/>
          <w:sz w:val="20"/>
          <w:szCs w:val="20"/>
        </w:rPr>
        <w:t>1</w:t>
      </w:r>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 xml:space="preserve">Analisa Univariat </w:t>
      </w:r>
    </w:p>
    <w:tbl>
      <w:tblPr>
        <w:tblW w:w="4395"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134"/>
        <w:gridCol w:w="1276"/>
      </w:tblGrid>
      <w:tr w:rsidR="00017532" w:rsidRPr="002E23D7" w14:paraId="1AF1F94A" w14:textId="77777777" w:rsidTr="006A0128">
        <w:trPr>
          <w:trHeight w:val="569"/>
          <w:jc w:val="center"/>
        </w:trPr>
        <w:tc>
          <w:tcPr>
            <w:tcW w:w="1985" w:type="dxa"/>
            <w:tcBorders>
              <w:right w:val="nil"/>
            </w:tcBorders>
            <w:vAlign w:val="center"/>
          </w:tcPr>
          <w:p w14:paraId="57131F83" w14:textId="77777777" w:rsidR="00017532" w:rsidRPr="002E23D7" w:rsidRDefault="00017532" w:rsidP="00091BF6">
            <w:pPr>
              <w:spacing w:after="0" w:line="240" w:lineRule="auto"/>
              <w:jc w:val="both"/>
              <w:rPr>
                <w:rFonts w:ascii="Tw Cen MT" w:eastAsia="Twentieth Century" w:hAnsi="Tw Cen MT" w:cs="Twentieth Century"/>
                <w:sz w:val="20"/>
                <w:szCs w:val="20"/>
              </w:rPr>
            </w:pPr>
            <w:r w:rsidRPr="002E23D7">
              <w:rPr>
                <w:rFonts w:ascii="Tw Cen MT" w:eastAsia="Twentieth Century" w:hAnsi="Tw Cen MT" w:cs="Twentieth Century"/>
                <w:sz w:val="20"/>
                <w:szCs w:val="20"/>
              </w:rPr>
              <w:t>Variabel</w:t>
            </w:r>
          </w:p>
        </w:tc>
        <w:tc>
          <w:tcPr>
            <w:tcW w:w="1134" w:type="dxa"/>
            <w:tcBorders>
              <w:left w:val="nil"/>
              <w:right w:val="nil"/>
            </w:tcBorders>
            <w:vAlign w:val="center"/>
          </w:tcPr>
          <w:p w14:paraId="13ACBBA9" w14:textId="77777777" w:rsidR="00017532" w:rsidRPr="002E23D7" w:rsidRDefault="00017532" w:rsidP="00091BF6">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Frekuensi</w:t>
            </w:r>
          </w:p>
        </w:tc>
        <w:tc>
          <w:tcPr>
            <w:tcW w:w="1276" w:type="dxa"/>
            <w:tcBorders>
              <w:left w:val="nil"/>
            </w:tcBorders>
            <w:vAlign w:val="center"/>
          </w:tcPr>
          <w:p w14:paraId="64A7F86A" w14:textId="6EC7CEC8" w:rsidR="00017532" w:rsidRPr="002E23D7" w:rsidRDefault="00017532" w:rsidP="00091BF6">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Prosentase</w:t>
            </w:r>
            <w:r w:rsidR="00B35791">
              <w:rPr>
                <w:rFonts w:ascii="Tw Cen MT" w:eastAsia="Twentieth Century" w:hAnsi="Tw Cen MT" w:cs="Twentieth Century"/>
                <w:sz w:val="20"/>
                <w:szCs w:val="20"/>
              </w:rPr>
              <w:t xml:space="preserve"> (%)</w:t>
            </w:r>
          </w:p>
        </w:tc>
      </w:tr>
      <w:tr w:rsidR="00017532" w:rsidRPr="002E23D7" w14:paraId="281E4672" w14:textId="77777777" w:rsidTr="006A0128">
        <w:trPr>
          <w:trHeight w:val="269"/>
          <w:jc w:val="center"/>
        </w:trPr>
        <w:tc>
          <w:tcPr>
            <w:tcW w:w="1985" w:type="dxa"/>
            <w:tcBorders>
              <w:right w:val="nil"/>
            </w:tcBorders>
          </w:tcPr>
          <w:p w14:paraId="4FF54C3F" w14:textId="77777777" w:rsidR="00017532" w:rsidRDefault="00017532" w:rsidP="00091BF6">
            <w:pPr>
              <w:spacing w:after="0" w:line="240" w:lineRule="auto"/>
              <w:jc w:val="both"/>
              <w:rPr>
                <w:rFonts w:ascii="Tw Cen MT" w:eastAsia="Twentieth Century" w:hAnsi="Tw Cen MT" w:cs="Twentieth Century"/>
                <w:sz w:val="20"/>
                <w:szCs w:val="20"/>
              </w:rPr>
            </w:pPr>
            <w:r w:rsidRPr="002E23D7">
              <w:rPr>
                <w:rFonts w:ascii="Tw Cen MT" w:eastAsia="Twentieth Century" w:hAnsi="Tw Cen MT" w:cs="Twentieth Century"/>
                <w:sz w:val="20"/>
                <w:szCs w:val="20"/>
              </w:rPr>
              <w:t>1.</w:t>
            </w:r>
            <w:r>
              <w:rPr>
                <w:rFonts w:ascii="Tw Cen MT" w:eastAsia="Twentieth Century" w:hAnsi="Tw Cen MT" w:cs="Twentieth Century"/>
                <w:sz w:val="20"/>
                <w:szCs w:val="20"/>
              </w:rPr>
              <w:t>Pengetahuan</w:t>
            </w:r>
          </w:p>
          <w:p w14:paraId="107AE7DA" w14:textId="77777777" w:rsidR="00017532" w:rsidRDefault="00017532" w:rsidP="00091BF6">
            <w:p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Baik</w:t>
            </w:r>
          </w:p>
          <w:p w14:paraId="561D5D4D" w14:textId="77777777" w:rsidR="00017532" w:rsidRPr="002E23D7" w:rsidRDefault="00017532" w:rsidP="00091BF6">
            <w:p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Cukup/ Kurang</w:t>
            </w:r>
          </w:p>
        </w:tc>
        <w:tc>
          <w:tcPr>
            <w:tcW w:w="1134" w:type="dxa"/>
            <w:tcBorders>
              <w:left w:val="nil"/>
              <w:right w:val="nil"/>
            </w:tcBorders>
          </w:tcPr>
          <w:p w14:paraId="3F913B46" w14:textId="77777777" w:rsidR="00017532" w:rsidRDefault="00017532" w:rsidP="00091BF6">
            <w:pPr>
              <w:spacing w:after="0" w:line="240" w:lineRule="auto"/>
              <w:jc w:val="center"/>
              <w:rPr>
                <w:rFonts w:ascii="Tw Cen MT" w:eastAsia="Twentieth Century" w:hAnsi="Tw Cen MT" w:cs="Twentieth Century"/>
                <w:sz w:val="20"/>
                <w:szCs w:val="20"/>
              </w:rPr>
            </w:pPr>
          </w:p>
          <w:p w14:paraId="419BC046" w14:textId="77777777" w:rsidR="00017532" w:rsidRDefault="00017532" w:rsidP="00091BF6">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80</w:t>
            </w:r>
          </w:p>
          <w:p w14:paraId="0F2C2116" w14:textId="77777777" w:rsidR="00017532" w:rsidRPr="002E23D7" w:rsidRDefault="00017532" w:rsidP="00091BF6">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23</w:t>
            </w:r>
          </w:p>
        </w:tc>
        <w:tc>
          <w:tcPr>
            <w:tcW w:w="1276" w:type="dxa"/>
            <w:tcBorders>
              <w:left w:val="nil"/>
            </w:tcBorders>
          </w:tcPr>
          <w:p w14:paraId="2AFE12CC" w14:textId="77777777" w:rsidR="00017532" w:rsidRDefault="00017532" w:rsidP="00091BF6">
            <w:pPr>
              <w:spacing w:after="0" w:line="240" w:lineRule="auto"/>
              <w:jc w:val="center"/>
              <w:rPr>
                <w:rFonts w:ascii="Tw Cen MT" w:eastAsia="Twentieth Century" w:hAnsi="Tw Cen MT" w:cs="Twentieth Century"/>
                <w:sz w:val="20"/>
                <w:szCs w:val="20"/>
              </w:rPr>
            </w:pPr>
          </w:p>
          <w:p w14:paraId="7023F2B9" w14:textId="0254BB62" w:rsidR="00017532" w:rsidRDefault="00017532" w:rsidP="00091BF6">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77,7</w:t>
            </w:r>
          </w:p>
          <w:p w14:paraId="2E23A283" w14:textId="07A5414C" w:rsidR="00017532" w:rsidRPr="002E23D7" w:rsidRDefault="00017532" w:rsidP="00091BF6">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22,3</w:t>
            </w:r>
          </w:p>
        </w:tc>
      </w:tr>
      <w:tr w:rsidR="00017532" w:rsidRPr="002E23D7" w14:paraId="575E35B9" w14:textId="77777777" w:rsidTr="006A0128">
        <w:trPr>
          <w:trHeight w:val="284"/>
          <w:jc w:val="center"/>
        </w:trPr>
        <w:tc>
          <w:tcPr>
            <w:tcW w:w="1985" w:type="dxa"/>
            <w:tcBorders>
              <w:right w:val="nil"/>
            </w:tcBorders>
          </w:tcPr>
          <w:p w14:paraId="2C814880" w14:textId="77777777" w:rsidR="00017532" w:rsidRDefault="00017532" w:rsidP="00091BF6">
            <w:pPr>
              <w:spacing w:after="0" w:line="240" w:lineRule="auto"/>
              <w:jc w:val="both"/>
              <w:rPr>
                <w:rFonts w:ascii="Tw Cen MT" w:eastAsia="Twentieth Century" w:hAnsi="Tw Cen MT" w:cs="Twentieth Century"/>
                <w:sz w:val="20"/>
                <w:szCs w:val="20"/>
              </w:rPr>
            </w:pPr>
            <w:r w:rsidRPr="002E23D7">
              <w:rPr>
                <w:rFonts w:ascii="Tw Cen MT" w:eastAsia="Twentieth Century" w:hAnsi="Tw Cen MT" w:cs="Twentieth Century"/>
                <w:sz w:val="20"/>
                <w:szCs w:val="20"/>
              </w:rPr>
              <w:t>2.</w:t>
            </w:r>
            <w:r>
              <w:rPr>
                <w:rFonts w:ascii="Tw Cen MT" w:eastAsia="Twentieth Century" w:hAnsi="Tw Cen MT" w:cs="Twentieth Century"/>
                <w:sz w:val="20"/>
                <w:szCs w:val="20"/>
              </w:rPr>
              <w:t>Pendidikan</w:t>
            </w:r>
          </w:p>
          <w:p w14:paraId="76C71C1B" w14:textId="77777777" w:rsidR="00017532" w:rsidRDefault="00017532" w:rsidP="00091BF6">
            <w:p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Perguruan Tinggi</w:t>
            </w:r>
          </w:p>
          <w:p w14:paraId="4F8E2E32" w14:textId="77777777" w:rsidR="00017532" w:rsidRPr="002E23D7" w:rsidRDefault="00017532" w:rsidP="00091BF6">
            <w:p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SD, SMP, SMA</w:t>
            </w:r>
          </w:p>
        </w:tc>
        <w:tc>
          <w:tcPr>
            <w:tcW w:w="1134" w:type="dxa"/>
            <w:tcBorders>
              <w:left w:val="nil"/>
              <w:right w:val="nil"/>
            </w:tcBorders>
          </w:tcPr>
          <w:p w14:paraId="1C8F0DB5" w14:textId="77777777" w:rsidR="00017532" w:rsidRDefault="00017532" w:rsidP="00091BF6">
            <w:pPr>
              <w:spacing w:after="0" w:line="240" w:lineRule="auto"/>
              <w:jc w:val="center"/>
              <w:rPr>
                <w:rFonts w:ascii="Tw Cen MT" w:eastAsia="Twentieth Century" w:hAnsi="Tw Cen MT" w:cs="Twentieth Century"/>
                <w:sz w:val="20"/>
                <w:szCs w:val="20"/>
              </w:rPr>
            </w:pPr>
          </w:p>
          <w:p w14:paraId="370D8E8E" w14:textId="77777777" w:rsidR="00017532" w:rsidRDefault="00017532" w:rsidP="00091BF6">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18</w:t>
            </w:r>
          </w:p>
          <w:p w14:paraId="1E22A119" w14:textId="77777777" w:rsidR="00017532" w:rsidRPr="002E23D7" w:rsidRDefault="00017532" w:rsidP="00091BF6">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85</w:t>
            </w:r>
          </w:p>
        </w:tc>
        <w:tc>
          <w:tcPr>
            <w:tcW w:w="1276" w:type="dxa"/>
            <w:tcBorders>
              <w:left w:val="nil"/>
            </w:tcBorders>
          </w:tcPr>
          <w:p w14:paraId="318B08CF" w14:textId="77777777" w:rsidR="00017532" w:rsidRDefault="00017532" w:rsidP="00091BF6">
            <w:pPr>
              <w:spacing w:after="0" w:line="240" w:lineRule="auto"/>
              <w:jc w:val="center"/>
              <w:rPr>
                <w:rFonts w:ascii="Tw Cen MT" w:eastAsia="Twentieth Century" w:hAnsi="Tw Cen MT" w:cs="Twentieth Century"/>
                <w:sz w:val="20"/>
                <w:szCs w:val="20"/>
              </w:rPr>
            </w:pPr>
          </w:p>
          <w:p w14:paraId="3DDDC70A" w14:textId="69C6B7E8" w:rsidR="00017532" w:rsidRDefault="00017532" w:rsidP="00091BF6">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17,5</w:t>
            </w:r>
          </w:p>
          <w:p w14:paraId="00299C4F" w14:textId="078A3211" w:rsidR="00017532" w:rsidRPr="002E23D7" w:rsidRDefault="00017532" w:rsidP="00091BF6">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82,5</w:t>
            </w:r>
          </w:p>
        </w:tc>
      </w:tr>
      <w:tr w:rsidR="00017532" w:rsidRPr="002E23D7" w14:paraId="53368D62" w14:textId="77777777" w:rsidTr="006A0128">
        <w:trPr>
          <w:trHeight w:val="284"/>
          <w:jc w:val="center"/>
        </w:trPr>
        <w:tc>
          <w:tcPr>
            <w:tcW w:w="1985" w:type="dxa"/>
            <w:tcBorders>
              <w:right w:val="nil"/>
            </w:tcBorders>
          </w:tcPr>
          <w:p w14:paraId="543FEECC" w14:textId="77777777" w:rsidR="00017532" w:rsidRDefault="00017532" w:rsidP="00091BF6">
            <w:pPr>
              <w:spacing w:after="0" w:line="240" w:lineRule="auto"/>
              <w:jc w:val="both"/>
              <w:rPr>
                <w:rFonts w:ascii="Tw Cen MT" w:eastAsia="Twentieth Century" w:hAnsi="Tw Cen MT" w:cs="Twentieth Century"/>
                <w:sz w:val="20"/>
                <w:szCs w:val="20"/>
              </w:rPr>
            </w:pPr>
            <w:r w:rsidRPr="002E23D7">
              <w:rPr>
                <w:rFonts w:ascii="Tw Cen MT" w:eastAsia="Twentieth Century" w:hAnsi="Tw Cen MT" w:cs="Twentieth Century"/>
                <w:sz w:val="20"/>
                <w:szCs w:val="20"/>
              </w:rPr>
              <w:t>3.</w:t>
            </w:r>
            <w:r>
              <w:rPr>
                <w:rFonts w:ascii="Tw Cen MT" w:eastAsia="Twentieth Century" w:hAnsi="Tw Cen MT" w:cs="Twentieth Century"/>
                <w:sz w:val="20"/>
                <w:szCs w:val="20"/>
              </w:rPr>
              <w:t>Asuransi Kesehatan</w:t>
            </w:r>
          </w:p>
          <w:p w14:paraId="33B8E240" w14:textId="77777777" w:rsidR="00017532" w:rsidRDefault="00017532" w:rsidP="00091BF6">
            <w:p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Ada</w:t>
            </w:r>
          </w:p>
          <w:p w14:paraId="56CC786E" w14:textId="77777777" w:rsidR="00017532" w:rsidRPr="002E23D7" w:rsidRDefault="00017532" w:rsidP="00091BF6">
            <w:p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Tidak ada</w:t>
            </w:r>
          </w:p>
        </w:tc>
        <w:tc>
          <w:tcPr>
            <w:tcW w:w="1134" w:type="dxa"/>
            <w:tcBorders>
              <w:left w:val="nil"/>
              <w:right w:val="nil"/>
            </w:tcBorders>
          </w:tcPr>
          <w:p w14:paraId="7D35033A" w14:textId="77777777" w:rsidR="00017532" w:rsidRDefault="00017532" w:rsidP="00091BF6">
            <w:pPr>
              <w:spacing w:after="0" w:line="240" w:lineRule="auto"/>
              <w:jc w:val="center"/>
              <w:rPr>
                <w:rFonts w:ascii="Tw Cen MT" w:eastAsia="Twentieth Century" w:hAnsi="Tw Cen MT" w:cs="Twentieth Century"/>
                <w:sz w:val="20"/>
                <w:szCs w:val="20"/>
              </w:rPr>
            </w:pPr>
          </w:p>
          <w:p w14:paraId="75C9BE28" w14:textId="77777777" w:rsidR="00017532" w:rsidRDefault="00017532" w:rsidP="00091BF6">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74</w:t>
            </w:r>
          </w:p>
          <w:p w14:paraId="5790E88F" w14:textId="77777777" w:rsidR="00017532" w:rsidRPr="002E23D7" w:rsidRDefault="00017532" w:rsidP="00091BF6">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29</w:t>
            </w:r>
          </w:p>
        </w:tc>
        <w:tc>
          <w:tcPr>
            <w:tcW w:w="1276" w:type="dxa"/>
            <w:tcBorders>
              <w:left w:val="nil"/>
            </w:tcBorders>
          </w:tcPr>
          <w:p w14:paraId="6D36A2AB" w14:textId="77777777" w:rsidR="00017532" w:rsidRDefault="00017532" w:rsidP="00091BF6">
            <w:pPr>
              <w:spacing w:after="0" w:line="240" w:lineRule="auto"/>
              <w:jc w:val="center"/>
              <w:rPr>
                <w:rFonts w:ascii="Tw Cen MT" w:eastAsia="Twentieth Century" w:hAnsi="Tw Cen MT" w:cs="Twentieth Century"/>
                <w:sz w:val="20"/>
                <w:szCs w:val="20"/>
              </w:rPr>
            </w:pPr>
          </w:p>
          <w:p w14:paraId="640B6976" w14:textId="5BAF64DB" w:rsidR="00017532" w:rsidRDefault="00017532" w:rsidP="00091BF6">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71,2</w:t>
            </w:r>
          </w:p>
          <w:p w14:paraId="24D9D113" w14:textId="72BD059D" w:rsidR="00017532" w:rsidRPr="002E23D7" w:rsidRDefault="00017532" w:rsidP="00091BF6">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28,2</w:t>
            </w:r>
          </w:p>
        </w:tc>
      </w:tr>
      <w:tr w:rsidR="00B35791" w:rsidRPr="002E23D7" w14:paraId="3CCACBC3" w14:textId="77777777" w:rsidTr="006A0128">
        <w:trPr>
          <w:trHeight w:val="284"/>
          <w:jc w:val="center"/>
        </w:trPr>
        <w:tc>
          <w:tcPr>
            <w:tcW w:w="1985" w:type="dxa"/>
            <w:tcBorders>
              <w:right w:val="nil"/>
            </w:tcBorders>
          </w:tcPr>
          <w:p w14:paraId="6697C321" w14:textId="77777777" w:rsidR="00B35791" w:rsidRDefault="00B35791" w:rsidP="00091BF6">
            <w:p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4. Deteksi Dini Resiko Tinggi Kehamilan</w:t>
            </w:r>
          </w:p>
          <w:p w14:paraId="0A3EA026" w14:textId="77777777" w:rsidR="00B35791" w:rsidRDefault="00B35791" w:rsidP="00091BF6">
            <w:p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Melakukan</w:t>
            </w:r>
          </w:p>
          <w:p w14:paraId="5C2F4A9D" w14:textId="4324D8EE" w:rsidR="00B35791" w:rsidRPr="002E23D7" w:rsidRDefault="00B35791" w:rsidP="00091BF6">
            <w:p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Kurang Melakukan</w:t>
            </w:r>
          </w:p>
        </w:tc>
        <w:tc>
          <w:tcPr>
            <w:tcW w:w="1134" w:type="dxa"/>
            <w:tcBorders>
              <w:left w:val="nil"/>
              <w:right w:val="nil"/>
            </w:tcBorders>
          </w:tcPr>
          <w:p w14:paraId="41D5BD32" w14:textId="77777777" w:rsidR="00B35791" w:rsidRDefault="00B35791" w:rsidP="00091BF6">
            <w:pPr>
              <w:spacing w:after="0" w:line="240" w:lineRule="auto"/>
              <w:jc w:val="center"/>
              <w:rPr>
                <w:rFonts w:ascii="Tw Cen MT" w:eastAsia="Twentieth Century" w:hAnsi="Tw Cen MT" w:cs="Twentieth Century"/>
                <w:sz w:val="20"/>
                <w:szCs w:val="20"/>
              </w:rPr>
            </w:pPr>
          </w:p>
          <w:p w14:paraId="77C70A6D" w14:textId="77777777" w:rsidR="00B35791" w:rsidRDefault="00B35791" w:rsidP="00091BF6">
            <w:pPr>
              <w:spacing w:after="0" w:line="240" w:lineRule="auto"/>
              <w:jc w:val="center"/>
              <w:rPr>
                <w:rFonts w:ascii="Tw Cen MT" w:eastAsia="Twentieth Century" w:hAnsi="Tw Cen MT" w:cs="Twentieth Century"/>
                <w:sz w:val="20"/>
                <w:szCs w:val="20"/>
              </w:rPr>
            </w:pPr>
          </w:p>
          <w:p w14:paraId="58F77726" w14:textId="77777777" w:rsidR="00B35791" w:rsidRDefault="00B35791" w:rsidP="00091BF6">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88</w:t>
            </w:r>
          </w:p>
          <w:p w14:paraId="1D4E5ADB" w14:textId="08CDE38F" w:rsidR="00B35791" w:rsidRDefault="00B35791" w:rsidP="00091BF6">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15</w:t>
            </w:r>
          </w:p>
        </w:tc>
        <w:tc>
          <w:tcPr>
            <w:tcW w:w="1276" w:type="dxa"/>
            <w:tcBorders>
              <w:left w:val="nil"/>
            </w:tcBorders>
          </w:tcPr>
          <w:p w14:paraId="4E17A5BC" w14:textId="77777777" w:rsidR="00B35791" w:rsidRDefault="00B35791" w:rsidP="00091BF6">
            <w:pPr>
              <w:spacing w:after="0" w:line="240" w:lineRule="auto"/>
              <w:jc w:val="center"/>
              <w:rPr>
                <w:rFonts w:ascii="Tw Cen MT" w:eastAsia="Twentieth Century" w:hAnsi="Tw Cen MT" w:cs="Twentieth Century"/>
                <w:sz w:val="20"/>
                <w:szCs w:val="20"/>
              </w:rPr>
            </w:pPr>
          </w:p>
          <w:p w14:paraId="724FB397" w14:textId="77777777" w:rsidR="00B35791" w:rsidRDefault="00B35791" w:rsidP="00091BF6">
            <w:pPr>
              <w:spacing w:after="0" w:line="240" w:lineRule="auto"/>
              <w:jc w:val="center"/>
              <w:rPr>
                <w:rFonts w:ascii="Tw Cen MT" w:eastAsia="Twentieth Century" w:hAnsi="Tw Cen MT" w:cs="Twentieth Century"/>
                <w:sz w:val="20"/>
                <w:szCs w:val="20"/>
              </w:rPr>
            </w:pPr>
          </w:p>
          <w:p w14:paraId="49A97ED2" w14:textId="588D52FE" w:rsidR="00B35791" w:rsidRDefault="00B35791" w:rsidP="00091BF6">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85,44</w:t>
            </w:r>
          </w:p>
          <w:p w14:paraId="620033A9" w14:textId="40B5B6F6" w:rsidR="00B35791" w:rsidRDefault="00B35791" w:rsidP="00091BF6">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14,56</w:t>
            </w:r>
          </w:p>
        </w:tc>
      </w:tr>
    </w:tbl>
    <w:p w14:paraId="6EDACD61" w14:textId="77777777" w:rsidR="00017532" w:rsidRPr="004B34C5" w:rsidRDefault="00017532" w:rsidP="00091BF6">
      <w:pPr>
        <w:spacing w:after="0" w:line="240" w:lineRule="auto"/>
        <w:jc w:val="both"/>
        <w:rPr>
          <w:rFonts w:ascii="Tw Cen MT" w:hAnsi="Tw Cen MT" w:cs="Times New Roman"/>
          <w:i/>
          <w:iCs/>
          <w:sz w:val="24"/>
          <w:szCs w:val="24"/>
        </w:rPr>
      </w:pPr>
      <w:r w:rsidRPr="002E23D7">
        <w:rPr>
          <w:rFonts w:ascii="Tw Cen MT" w:eastAsia="Twentieth Century" w:hAnsi="Tw Cen MT" w:cs="Twentieth Century"/>
          <w:sz w:val="20"/>
          <w:szCs w:val="20"/>
        </w:rPr>
        <w:t xml:space="preserve"> </w:t>
      </w:r>
      <w:r w:rsidRPr="004B34C5">
        <w:rPr>
          <w:rFonts w:ascii="Tw Cen MT" w:eastAsia="Twentieth Century" w:hAnsi="Tw Cen MT" w:cs="Twentieth Century"/>
          <w:i/>
          <w:iCs/>
          <w:sz w:val="20"/>
          <w:szCs w:val="20"/>
        </w:rPr>
        <w:t xml:space="preserve">Source : primery data processing </w:t>
      </w:r>
    </w:p>
    <w:p w14:paraId="5B05E7D7" w14:textId="77777777" w:rsidR="00017532" w:rsidRDefault="00017532" w:rsidP="00091BF6">
      <w:pPr>
        <w:spacing w:after="0" w:line="240" w:lineRule="auto"/>
        <w:jc w:val="both"/>
        <w:rPr>
          <w:rFonts w:ascii="Tw Cen MT" w:hAnsi="Tw Cen MT"/>
          <w:noProof/>
          <w:sz w:val="24"/>
          <w:szCs w:val="24"/>
          <w:lang w:eastAsia="id-ID"/>
        </w:rPr>
      </w:pPr>
    </w:p>
    <w:p w14:paraId="4FB26637" w14:textId="47F2854B" w:rsidR="00663E0E" w:rsidRPr="00663E0E" w:rsidRDefault="00663E0E" w:rsidP="00091BF6">
      <w:pPr>
        <w:spacing w:after="0" w:line="240" w:lineRule="auto"/>
        <w:jc w:val="both"/>
        <w:rPr>
          <w:rFonts w:ascii="Tw Cen MT" w:hAnsi="Tw Cen MT"/>
          <w:noProof/>
          <w:sz w:val="24"/>
          <w:szCs w:val="24"/>
          <w:lang w:eastAsia="id-ID"/>
        </w:rPr>
      </w:pPr>
      <w:r w:rsidRPr="00663E0E">
        <w:rPr>
          <w:rFonts w:ascii="Tw Cen MT" w:hAnsi="Tw Cen MT"/>
          <w:noProof/>
          <w:sz w:val="24"/>
          <w:szCs w:val="24"/>
          <w:lang w:eastAsia="id-ID"/>
        </w:rPr>
        <w:t xml:space="preserve">Hasil analisis univariat menunjukkan bahwa sebagian besar responden memiliki tingkat pengetahuan yang baik mengenai kehamilan risiko tinggi, yaitu sebanyak 80 orang (77,7%). Temuan ini mengindikasikan bahwa mayoritas ibu hamil telah memiliki pemahaman yang memadai terhadap tanda bahaya dan pentingnya deteksi dini. Pengetahuan yang baik ini menjadi faktor kunci dalam perilaku pencegahan, sebagaimana </w:t>
      </w:r>
      <w:r>
        <w:rPr>
          <w:rFonts w:ascii="Tw Cen MT" w:hAnsi="Tw Cen MT"/>
          <w:noProof/>
          <w:sz w:val="24"/>
          <w:szCs w:val="24"/>
          <w:lang w:eastAsia="id-ID"/>
        </w:rPr>
        <w:t>temuan yang menyatakan</w:t>
      </w:r>
      <w:r w:rsidRPr="00663E0E">
        <w:rPr>
          <w:rFonts w:ascii="Tw Cen MT" w:hAnsi="Tw Cen MT"/>
          <w:noProof/>
          <w:sz w:val="24"/>
          <w:szCs w:val="24"/>
          <w:lang w:eastAsia="id-ID"/>
        </w:rPr>
        <w:t xml:space="preserve"> bahwa pengetahuan ibu sangat berpengaruh terhadap kesiapan dalam menghadapi komplikasi kehamilan. Pengetahuan yang baik memungkinkan ibu mengenali risiko sejak dini dan segera mencari pertolongan medis</w:t>
      </w:r>
      <w:r>
        <w:rPr>
          <w:rFonts w:ascii="Tw Cen MT" w:hAnsi="Tw Cen MT"/>
          <w:noProof/>
          <w:sz w:val="24"/>
          <w:szCs w:val="24"/>
          <w:lang w:eastAsia="id-ID"/>
        </w:rPr>
        <w:fldChar w:fldCharType="begin" w:fldLock="1"/>
      </w:r>
      <w:r>
        <w:rPr>
          <w:rFonts w:ascii="Tw Cen MT" w:hAnsi="Tw Cen MT"/>
          <w:noProof/>
          <w:sz w:val="24"/>
          <w:szCs w:val="24"/>
          <w:lang w:eastAsia="id-ID"/>
        </w:rPr>
        <w:instrText>ADDIN CSL_CITATION {"citationItems":[{"id":"ITEM-1","itemData":{"author":[{"dropping-particle":"","family":"Prafitri","given":"Lia Dwi","non-dropping-particle":"","parse-names":false,"suffix":""},{"dropping-particle":"","family":"Suparni","given":"Suparni","non-dropping-particle":"","parse-names":false,"suffix":""},{"dropping-particle":"","family":"Setianto","given":"Gigih","non-dropping-particle":"","parse-names":false,"suffix":""}],"container-title":"Journal of Community Development","id":"ITEM-1","issue":"3","issued":{"date-parts":[["2025"]]},"page":"423-433","title":"Pendampingan Ibu Hamil Dalam Upaya Deteksi Dini Resiko Tinggi Kehamilan","type":"article-journal","volume":"5"},"uris":["http://www.mendeley.com/documents/?uuid=689dc9a4-b148-4a66-9333-6c0ff45b9158"]}],"mendeley":{"formattedCitation":"[9]","plainTextFormattedCitation":"[9]","previouslyFormattedCitation":"[9]"},"properties":{"noteIndex":0},"schema":"https://github.com/citation-style-language/schema/raw/master/csl-citation.json"}</w:instrText>
      </w:r>
      <w:r>
        <w:rPr>
          <w:rFonts w:ascii="Tw Cen MT" w:hAnsi="Tw Cen MT"/>
          <w:noProof/>
          <w:sz w:val="24"/>
          <w:szCs w:val="24"/>
          <w:lang w:eastAsia="id-ID"/>
        </w:rPr>
        <w:fldChar w:fldCharType="separate"/>
      </w:r>
      <w:r w:rsidRPr="00663E0E">
        <w:rPr>
          <w:rFonts w:ascii="Tw Cen MT" w:hAnsi="Tw Cen MT"/>
          <w:noProof/>
          <w:sz w:val="24"/>
          <w:szCs w:val="24"/>
          <w:lang w:eastAsia="id-ID"/>
        </w:rPr>
        <w:t>[9]</w:t>
      </w:r>
      <w:r>
        <w:rPr>
          <w:rFonts w:ascii="Tw Cen MT" w:hAnsi="Tw Cen MT"/>
          <w:noProof/>
          <w:sz w:val="24"/>
          <w:szCs w:val="24"/>
          <w:lang w:eastAsia="id-ID"/>
        </w:rPr>
        <w:fldChar w:fldCharType="end"/>
      </w:r>
      <w:r w:rsidRPr="00663E0E">
        <w:rPr>
          <w:rFonts w:ascii="Tw Cen MT" w:hAnsi="Tw Cen MT"/>
          <w:noProof/>
          <w:sz w:val="24"/>
          <w:szCs w:val="24"/>
          <w:lang w:eastAsia="id-ID"/>
        </w:rPr>
        <w:t>.</w:t>
      </w:r>
    </w:p>
    <w:p w14:paraId="73B43113" w14:textId="3DF0732D" w:rsidR="00663E0E" w:rsidRPr="00663E0E" w:rsidRDefault="00663E0E" w:rsidP="00091BF6">
      <w:pPr>
        <w:spacing w:after="0" w:line="240" w:lineRule="auto"/>
        <w:jc w:val="both"/>
        <w:rPr>
          <w:rFonts w:ascii="Tw Cen MT" w:hAnsi="Tw Cen MT"/>
          <w:noProof/>
          <w:sz w:val="24"/>
          <w:szCs w:val="24"/>
          <w:lang w:eastAsia="id-ID"/>
        </w:rPr>
      </w:pPr>
      <w:r w:rsidRPr="00663E0E">
        <w:rPr>
          <w:rFonts w:ascii="Tw Cen MT" w:hAnsi="Tw Cen MT"/>
          <w:noProof/>
          <w:sz w:val="24"/>
          <w:szCs w:val="24"/>
          <w:lang w:eastAsia="id-ID"/>
        </w:rPr>
        <w:t>Dalam hal pendidikan, sebagian besar responden (85 orang atau 82,5%) berpendidikan SD hingga SMA, sedangkan hanya 18 orang (17,5%) yang mengenyam pendidikan tinggi. Rendahnya tingkat pendidikan formal ini dapat menjadi hambatan dalam pemahaman informasi kesehatan, terutama jika tidak diimbangi dengan edukasi dari tenaga kesehatan. Meski begitu, hasil penelitian menunjukkan bahwa pendidikan tetap memiliki hubungan signifikan dengan deteksi dini, mendukung teori bahwa pendidikan berpengaruh terhadap kemampuan kognitif dan pengambilan keputusan dalam hal kesehatan</w:t>
      </w:r>
      <w:r>
        <w:rPr>
          <w:rFonts w:ascii="Tw Cen MT" w:hAnsi="Tw Cen MT"/>
          <w:noProof/>
          <w:sz w:val="24"/>
          <w:szCs w:val="24"/>
          <w:lang w:eastAsia="id-ID"/>
        </w:rPr>
        <w:fldChar w:fldCharType="begin" w:fldLock="1"/>
      </w:r>
      <w:r>
        <w:rPr>
          <w:rFonts w:ascii="Tw Cen MT" w:hAnsi="Tw Cen MT"/>
          <w:noProof/>
          <w:sz w:val="24"/>
          <w:szCs w:val="24"/>
          <w:lang w:eastAsia="id-ID"/>
        </w:rPr>
        <w:instrText>ADDIN CSL_CITATION {"citationItems":[{"id":"ITEM-1","itemData":{"author":[{"dropping-particle":"","family":"WHO","given":"","non-dropping-particle":"","parse-names":false,"suffix":""}],"id":"ITEM-1","issued":{"date-parts":[["2022"]]},"publisher-place":"World Health Organization","title":"World health statistics 2022: monitoring health for the SDGs, Sustainable Development Goals","type":"report"},"uris":["http://www.mendeley.com/documents/?uuid=60c763e1-c226-4a93-9d63-eaec3c54e7fd"]}],"mendeley":{"formattedCitation":"[8]","plainTextFormattedCitation":"[8]","previouslyFormattedCitation":"[8]"},"properties":{"noteIndex":0},"schema":"https://github.com/citation-style-language/schema/raw/master/csl-citation.json"}</w:instrText>
      </w:r>
      <w:r>
        <w:rPr>
          <w:rFonts w:ascii="Tw Cen MT" w:hAnsi="Tw Cen MT"/>
          <w:noProof/>
          <w:sz w:val="24"/>
          <w:szCs w:val="24"/>
          <w:lang w:eastAsia="id-ID"/>
        </w:rPr>
        <w:fldChar w:fldCharType="separate"/>
      </w:r>
      <w:r w:rsidRPr="00663E0E">
        <w:rPr>
          <w:rFonts w:ascii="Tw Cen MT" w:hAnsi="Tw Cen MT"/>
          <w:noProof/>
          <w:sz w:val="24"/>
          <w:szCs w:val="24"/>
          <w:lang w:eastAsia="id-ID"/>
        </w:rPr>
        <w:t>[8]</w:t>
      </w:r>
      <w:r>
        <w:rPr>
          <w:rFonts w:ascii="Tw Cen MT" w:hAnsi="Tw Cen MT"/>
          <w:noProof/>
          <w:sz w:val="24"/>
          <w:szCs w:val="24"/>
          <w:lang w:eastAsia="id-ID"/>
        </w:rPr>
        <w:fldChar w:fldCharType="end"/>
      </w:r>
      <w:r w:rsidRPr="00663E0E">
        <w:rPr>
          <w:rFonts w:ascii="Tw Cen MT" w:hAnsi="Tw Cen MT"/>
          <w:noProof/>
          <w:sz w:val="24"/>
          <w:szCs w:val="24"/>
          <w:lang w:eastAsia="id-ID"/>
        </w:rPr>
        <w:t>.</w:t>
      </w:r>
    </w:p>
    <w:p w14:paraId="35FE762E" w14:textId="3206B044" w:rsidR="00663E0E" w:rsidRPr="00663E0E" w:rsidRDefault="00663E0E" w:rsidP="00091BF6">
      <w:pPr>
        <w:spacing w:after="0" w:line="240" w:lineRule="auto"/>
        <w:jc w:val="both"/>
        <w:rPr>
          <w:rFonts w:ascii="Tw Cen MT" w:hAnsi="Tw Cen MT"/>
          <w:noProof/>
          <w:sz w:val="24"/>
          <w:szCs w:val="24"/>
          <w:lang w:eastAsia="id-ID"/>
        </w:rPr>
      </w:pPr>
      <w:r w:rsidRPr="00663E0E">
        <w:rPr>
          <w:rFonts w:ascii="Tw Cen MT" w:hAnsi="Tw Cen MT"/>
          <w:noProof/>
          <w:sz w:val="24"/>
          <w:szCs w:val="24"/>
          <w:lang w:eastAsia="id-ID"/>
        </w:rPr>
        <w:t>74 responden (71,2%) tercatat memiliki asuransi kesehatan, sedangkan 29 lainnya (28,2%) tidak memiliki. Kepemilikan asuransi berperan penting dalam menunjang akses terhadap layanan kesehatan, karena dapat mengurangi hambatan biaya. Temuan ini memperkuat laporan Kemenkes RI (2023) yang menyatakan bahwa Jaminan Kesehatan Nasional (JKN) meningkatkan utilisasi layanan antenatal, termasuk deteksi dini risiko kehamilan</w:t>
      </w:r>
      <w:r>
        <w:rPr>
          <w:rFonts w:ascii="Tw Cen MT" w:hAnsi="Tw Cen MT"/>
          <w:noProof/>
          <w:sz w:val="24"/>
          <w:szCs w:val="24"/>
          <w:lang w:eastAsia="id-ID"/>
        </w:rPr>
        <w:fldChar w:fldCharType="begin" w:fldLock="1"/>
      </w:r>
      <w:r>
        <w:rPr>
          <w:rFonts w:ascii="Tw Cen MT" w:hAnsi="Tw Cen MT"/>
          <w:noProof/>
          <w:sz w:val="24"/>
          <w:szCs w:val="24"/>
          <w:lang w:eastAsia="id-ID"/>
        </w:rPr>
        <w:instrText>ADDIN CSL_CITATION {"citationItems":[{"id":"ITEM-1","itemData":{"ISBN":"6221527716","abstract":"Padi merupakan salah satu makanan pokok masyarakat Indonesia. Produksi padi pada tahun 2014 sebesar 70,85 ton Gabah Kering Giling (GKG) mengalami penurunan sebesar 433,24 ribu ton (0,61 persen) dibandingkan tahun 2013. Provinsi Jawa Timur merupakan provinsi penyumbang produksi padi terbesar di Indonesia. Hal ini yang menuntut Provinsi Jawa Timur untuk terus meningkatkan produksi padi demi ketercapaian swasembada pangan khususnya untuk masyarakat Jawa Timur dan umumnya untuk Indonesia. Penelitian ini akan membahas tentang faktor-faktor apa saja yang diduga mempengaruhi produksi padi Jawa Timur tahun 2014 menggunakan regresi semiparametrik spline. Hasil dari regresi semiparametrik spline menunjukkan factor-faktor yang berpengaruh signifikan terhadap produksi padi yaitu luas panen padi dan curah hujan, sedangkan faktor-faktor yang tidak berpengaruh signifikan adalah luas puso padi, realisasi pupuk bersubsidi, dan ketinggian rata-rata dari permukaan laut dengan nilai koefisien determinasi yang didapatkan adalah sebesar 99,17 persen.","author":[{"dropping-particle":"","family":"Kementrian Kesehatan","given":"","non-dropping-particle":"","parse-names":false,"suffix":""}],"id":"ITEM-1","issued":{"date-parts":[["2024"]]},"number-of-pages":"100","publisher-place":"Jakarta : Kementerian Kesehatan Republik Indonesia","title":"Profil Kesehatan Indonesia 2023","type":"book"},"uris":["http://www.mendeley.com/documents/?uuid=3e460825-fb48-4dc8-92e7-8f3da5d2606d"]}],"mendeley":{"formattedCitation":"[7]","plainTextFormattedCitation":"[7]"},"properties":{"noteIndex":0},"schema":"https://github.com/citation-style-language/schema/raw/master/csl-citation.json"}</w:instrText>
      </w:r>
      <w:r>
        <w:rPr>
          <w:rFonts w:ascii="Tw Cen MT" w:hAnsi="Tw Cen MT"/>
          <w:noProof/>
          <w:sz w:val="24"/>
          <w:szCs w:val="24"/>
          <w:lang w:eastAsia="id-ID"/>
        </w:rPr>
        <w:fldChar w:fldCharType="separate"/>
      </w:r>
      <w:r w:rsidRPr="00663E0E">
        <w:rPr>
          <w:rFonts w:ascii="Tw Cen MT" w:hAnsi="Tw Cen MT"/>
          <w:noProof/>
          <w:sz w:val="24"/>
          <w:szCs w:val="24"/>
          <w:lang w:eastAsia="id-ID"/>
        </w:rPr>
        <w:t>[7]</w:t>
      </w:r>
      <w:r>
        <w:rPr>
          <w:rFonts w:ascii="Tw Cen MT" w:hAnsi="Tw Cen MT"/>
          <w:noProof/>
          <w:sz w:val="24"/>
          <w:szCs w:val="24"/>
          <w:lang w:eastAsia="id-ID"/>
        </w:rPr>
        <w:fldChar w:fldCharType="end"/>
      </w:r>
      <w:r w:rsidRPr="00663E0E">
        <w:rPr>
          <w:rFonts w:ascii="Tw Cen MT" w:hAnsi="Tw Cen MT"/>
          <w:noProof/>
          <w:sz w:val="24"/>
          <w:szCs w:val="24"/>
          <w:lang w:eastAsia="id-ID"/>
        </w:rPr>
        <w:t>.</w:t>
      </w:r>
    </w:p>
    <w:p w14:paraId="29A75333" w14:textId="4B8DBBF7" w:rsidR="00663E0E" w:rsidRPr="00663E0E" w:rsidRDefault="00663E0E" w:rsidP="00091BF6">
      <w:pPr>
        <w:spacing w:after="0" w:line="240" w:lineRule="auto"/>
        <w:jc w:val="both"/>
        <w:rPr>
          <w:rFonts w:ascii="Tw Cen MT" w:hAnsi="Tw Cen MT"/>
          <w:noProof/>
          <w:sz w:val="24"/>
          <w:szCs w:val="24"/>
          <w:lang w:eastAsia="id-ID"/>
        </w:rPr>
      </w:pPr>
      <w:r w:rsidRPr="00663E0E">
        <w:rPr>
          <w:rFonts w:ascii="Tw Cen MT" w:hAnsi="Tw Cen MT"/>
          <w:noProof/>
          <w:sz w:val="24"/>
          <w:szCs w:val="24"/>
          <w:lang w:eastAsia="id-ID"/>
        </w:rPr>
        <w:t>Adapun dalam variabel utama, yaitu tindakan deteksi dini kehamilan risiko tinggi, sebanyak 88 responden (85,44%) dilaporkan telah melakukan deteksi dini, dan hanya 15 responden (14,56%) yang kurang melakukannya. Tingginya angka ini menunjukkan kesadaran yang cukup baik, yang kemungkinan besar dipengaruhi oleh kombinasi faktor pengetahuan, pendidikan, dan akses layanan.</w:t>
      </w:r>
    </w:p>
    <w:p w14:paraId="132F9FD3" w14:textId="77777777" w:rsidR="00663E0E" w:rsidRPr="00663E0E" w:rsidRDefault="00663E0E" w:rsidP="00091BF6">
      <w:pPr>
        <w:spacing w:after="0" w:line="240" w:lineRule="auto"/>
        <w:jc w:val="both"/>
        <w:rPr>
          <w:rFonts w:ascii="Tw Cen MT" w:hAnsi="Tw Cen MT"/>
          <w:noProof/>
          <w:sz w:val="24"/>
          <w:szCs w:val="24"/>
          <w:lang w:eastAsia="id-ID"/>
        </w:rPr>
      </w:pPr>
      <w:r w:rsidRPr="00663E0E">
        <w:rPr>
          <w:rFonts w:ascii="Tw Cen MT" w:hAnsi="Tw Cen MT"/>
          <w:noProof/>
          <w:sz w:val="24"/>
          <w:szCs w:val="24"/>
          <w:lang w:eastAsia="id-ID"/>
        </w:rPr>
        <w:t>Secara keseluruhan, hasil analisis univariat memberikan gambaran bahwa sebagian besar ibu hamil berada dalam kondisi sosiodemografi dan kognitif yang mendukung perilaku deteksi dini. Hal ini konsisten dengan hasil analisis bivariat yang menunjukkan adanya hubungan signifikan antara ketiga variabel bebas dengan variabel dependen. Dengan demikian, hasil penelitian ini sejalan dengan teori dan penelitian sebelumnya yang menekankan pentingnya pengetahuan, pendidikan, dan akses layanan dalam meningkatkan perilaku kesehatan ibu hamil. Namun demikian, masih terdapat kelompok minoritas dengan pengetahuan rendah, pendidikan terbatas, dan tanpa asuransi, yang perlu menjadi sasaran utama dalam program edukasi dan intervensi berbasis masyarakat.</w:t>
      </w:r>
    </w:p>
    <w:p w14:paraId="257B4C76" w14:textId="77777777" w:rsidR="00017532" w:rsidRPr="00500701" w:rsidRDefault="00017532" w:rsidP="00091BF6">
      <w:pPr>
        <w:pStyle w:val="ListParagraph"/>
        <w:numPr>
          <w:ilvl w:val="0"/>
          <w:numId w:val="5"/>
        </w:numPr>
        <w:spacing w:after="0" w:line="240" w:lineRule="auto"/>
        <w:ind w:left="284"/>
        <w:jc w:val="both"/>
        <w:rPr>
          <w:rFonts w:ascii="Tw Cen MT" w:hAnsi="Tw Cen MT"/>
          <w:b/>
          <w:bCs/>
          <w:sz w:val="24"/>
          <w:szCs w:val="24"/>
        </w:rPr>
      </w:pPr>
      <w:r w:rsidRPr="00500701">
        <w:rPr>
          <w:rFonts w:ascii="Tw Cen MT" w:hAnsi="Tw Cen MT"/>
          <w:b/>
          <w:bCs/>
          <w:sz w:val="24"/>
          <w:szCs w:val="24"/>
        </w:rPr>
        <w:t>Hubungan antara pengetahuan dengan deteksi dini resiko tinggi kehamilan</w:t>
      </w:r>
    </w:p>
    <w:p w14:paraId="3D7C009D" w14:textId="43C84202" w:rsidR="00283220" w:rsidRDefault="00017532" w:rsidP="00091BF6">
      <w:pPr>
        <w:pStyle w:val="ListParagraph"/>
        <w:spacing w:after="0" w:line="240" w:lineRule="auto"/>
        <w:ind w:left="0" w:firstLine="425"/>
        <w:jc w:val="both"/>
        <w:rPr>
          <w:rFonts w:ascii="Tw Cen MT" w:hAnsi="Tw Cen MT"/>
          <w:noProof/>
          <w:sz w:val="24"/>
          <w:szCs w:val="24"/>
          <w:lang w:val="id-ID"/>
        </w:rPr>
      </w:pPr>
      <w:r w:rsidRPr="00EB4E8C">
        <w:rPr>
          <w:rFonts w:ascii="Tw Cen MT" w:hAnsi="Tw Cen MT"/>
          <w:noProof/>
          <w:sz w:val="24"/>
          <w:szCs w:val="24"/>
          <w:lang w:val="id-ID"/>
        </w:rPr>
        <w:t>Hasil analisis statistik mengungkapkan adanya hubungan signifikan antara tingkat pengetahuan ibu hamil dan kemampuan deteksi dini risiko tinggi kehamilan</w:t>
      </w:r>
      <w:r w:rsidR="00283220">
        <w:rPr>
          <w:rFonts w:ascii="Tw Cen MT" w:hAnsi="Tw Cen MT"/>
          <w:noProof/>
          <w:sz w:val="24"/>
          <w:szCs w:val="24"/>
          <w:lang w:val="id-ID"/>
        </w:rPr>
        <w:t>, seperti pada tabel</w:t>
      </w:r>
      <w:r w:rsidR="00091BF6">
        <w:rPr>
          <w:rFonts w:ascii="Tw Cen MT" w:hAnsi="Tw Cen MT"/>
          <w:noProof/>
          <w:sz w:val="24"/>
          <w:szCs w:val="24"/>
          <w:lang w:val="id-ID"/>
        </w:rPr>
        <w:t xml:space="preserve"> 2</w:t>
      </w:r>
    </w:p>
    <w:p w14:paraId="1BEB97F6" w14:textId="24750D5A" w:rsidR="00283220" w:rsidRPr="00911160" w:rsidRDefault="00283220" w:rsidP="00091BF6">
      <w:pPr>
        <w:pStyle w:val="ListParagraph"/>
        <w:spacing w:after="0" w:line="240" w:lineRule="auto"/>
        <w:ind w:left="284"/>
        <w:jc w:val="center"/>
        <w:rPr>
          <w:rFonts w:ascii="Tw Cen MT" w:eastAsia="Twentieth Century" w:hAnsi="Tw Cen MT" w:cs="Twentieth Century"/>
          <w:sz w:val="20"/>
          <w:szCs w:val="20"/>
        </w:rPr>
      </w:pPr>
      <w:r w:rsidRPr="003E590E">
        <w:rPr>
          <w:rFonts w:ascii="Tw Cen MT" w:eastAsia="Twentieth Century" w:hAnsi="Tw Cen MT" w:cs="Twentieth Century"/>
          <w:sz w:val="20"/>
          <w:szCs w:val="20"/>
        </w:rPr>
        <w:t xml:space="preserve">Tabel </w:t>
      </w:r>
      <w:r w:rsidR="00663E0E">
        <w:rPr>
          <w:rFonts w:ascii="Tw Cen MT" w:eastAsia="Twentieth Century" w:hAnsi="Tw Cen MT" w:cs="Twentieth Century"/>
          <w:sz w:val="20"/>
          <w:szCs w:val="20"/>
        </w:rPr>
        <w:t>2</w:t>
      </w:r>
      <w:r w:rsidRPr="003E590E">
        <w:rPr>
          <w:rFonts w:ascii="Tw Cen MT" w:eastAsia="Twentieth Century" w:hAnsi="Tw Cen MT" w:cs="Twentieth Century"/>
          <w:sz w:val="20"/>
          <w:szCs w:val="20"/>
        </w:rPr>
        <w:t xml:space="preserve">. </w:t>
      </w:r>
      <w:r>
        <w:rPr>
          <w:rFonts w:ascii="Tw Cen MT" w:eastAsia="Twentieth Century" w:hAnsi="Tw Cen MT" w:cs="Twentieth Century"/>
          <w:sz w:val="20"/>
          <w:szCs w:val="20"/>
        </w:rPr>
        <w:t>Hasil analisa hubungan antara pengetahuan dengan deteksi dini resiko tinggi kehamilan</w:t>
      </w:r>
    </w:p>
    <w:tbl>
      <w:tblPr>
        <w:tblW w:w="4820"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3"/>
        <w:gridCol w:w="853"/>
        <w:gridCol w:w="513"/>
        <w:gridCol w:w="761"/>
        <w:gridCol w:w="571"/>
        <w:gridCol w:w="708"/>
      </w:tblGrid>
      <w:tr w:rsidR="00B35791" w:rsidRPr="00283220" w14:paraId="184F738C" w14:textId="2F0AC362" w:rsidTr="00091BF6">
        <w:trPr>
          <w:cantSplit/>
          <w:trHeight w:val="454"/>
        </w:trPr>
        <w:tc>
          <w:tcPr>
            <w:tcW w:w="851" w:type="dxa"/>
            <w:vMerge w:val="restart"/>
            <w:tcBorders>
              <w:right w:val="nil"/>
            </w:tcBorders>
            <w:vAlign w:val="center"/>
          </w:tcPr>
          <w:p w14:paraId="59305196" w14:textId="776B6CAC" w:rsidR="00B35791" w:rsidRPr="00283220" w:rsidRDefault="00B35791" w:rsidP="00091BF6">
            <w:pPr>
              <w:spacing w:line="240" w:lineRule="auto"/>
              <w:ind w:right="-44"/>
              <w:rPr>
                <w:rFonts w:ascii="Tw Cen MT" w:hAnsi="Tw Cen MT"/>
                <w:b/>
                <w:bCs/>
                <w:sz w:val="20"/>
                <w:szCs w:val="20"/>
                <w:lang w:val="nb-NO"/>
              </w:rPr>
            </w:pPr>
            <w:r w:rsidRPr="00283220">
              <w:rPr>
                <w:rFonts w:ascii="Tw Cen MT" w:hAnsi="Tw Cen MT"/>
                <w:b/>
                <w:bCs/>
                <w:sz w:val="20"/>
                <w:szCs w:val="20"/>
                <w:lang w:val="nb-NO"/>
              </w:rPr>
              <w:t xml:space="preserve">Pengetahuan Ibu Hamil </w:t>
            </w:r>
          </w:p>
        </w:tc>
        <w:tc>
          <w:tcPr>
            <w:tcW w:w="2690" w:type="dxa"/>
            <w:gridSpan w:val="4"/>
            <w:tcBorders>
              <w:left w:val="nil"/>
              <w:right w:val="nil"/>
            </w:tcBorders>
            <w:vAlign w:val="center"/>
          </w:tcPr>
          <w:p w14:paraId="2DB6DD6E" w14:textId="0CB3F014" w:rsidR="00B35791" w:rsidRPr="00283220" w:rsidRDefault="00B35791" w:rsidP="00091BF6">
            <w:pPr>
              <w:spacing w:line="240" w:lineRule="auto"/>
              <w:jc w:val="center"/>
              <w:rPr>
                <w:rFonts w:ascii="Tw Cen MT" w:hAnsi="Tw Cen MT"/>
                <w:b/>
                <w:bCs/>
                <w:sz w:val="20"/>
                <w:szCs w:val="20"/>
              </w:rPr>
            </w:pPr>
            <w:r>
              <w:rPr>
                <w:rFonts w:ascii="Tw Cen MT" w:hAnsi="Tw Cen MT"/>
                <w:b/>
                <w:bCs/>
                <w:sz w:val="20"/>
                <w:szCs w:val="20"/>
              </w:rPr>
              <w:t>Deteksi dini resiko tinggi kehamilan</w:t>
            </w:r>
          </w:p>
        </w:tc>
        <w:tc>
          <w:tcPr>
            <w:tcW w:w="571" w:type="dxa"/>
            <w:vMerge w:val="restart"/>
            <w:tcBorders>
              <w:left w:val="nil"/>
              <w:right w:val="nil"/>
            </w:tcBorders>
            <w:vAlign w:val="center"/>
          </w:tcPr>
          <w:p w14:paraId="2BA1E64D" w14:textId="69B703D2" w:rsidR="00B35791" w:rsidRPr="00283220" w:rsidRDefault="00B35791" w:rsidP="00091BF6">
            <w:pPr>
              <w:spacing w:line="240" w:lineRule="auto"/>
              <w:jc w:val="center"/>
              <w:rPr>
                <w:rFonts w:ascii="Tw Cen MT" w:hAnsi="Tw Cen MT"/>
                <w:b/>
                <w:bCs/>
                <w:sz w:val="20"/>
                <w:szCs w:val="20"/>
              </w:rPr>
            </w:pPr>
            <w:r w:rsidRPr="00283220">
              <w:rPr>
                <w:rFonts w:ascii="Tw Cen MT" w:hAnsi="Tw Cen MT"/>
                <w:b/>
                <w:bCs/>
                <w:sz w:val="20"/>
                <w:szCs w:val="20"/>
              </w:rPr>
              <w:t>OR</w:t>
            </w:r>
            <w:r>
              <w:rPr>
                <w:rFonts w:ascii="Tw Cen MT" w:hAnsi="Tw Cen MT"/>
                <w:b/>
                <w:bCs/>
                <w:sz w:val="20"/>
                <w:szCs w:val="20"/>
              </w:rPr>
              <w:t xml:space="preserve"> </w:t>
            </w:r>
            <w:r w:rsidRPr="00283220">
              <w:rPr>
                <w:rFonts w:ascii="Tw Cen MT" w:hAnsi="Tw Cen MT"/>
                <w:b/>
                <w:bCs/>
                <w:sz w:val="20"/>
                <w:szCs w:val="20"/>
              </w:rPr>
              <w:t>95%</w:t>
            </w:r>
          </w:p>
        </w:tc>
        <w:tc>
          <w:tcPr>
            <w:tcW w:w="708" w:type="dxa"/>
            <w:vMerge w:val="restart"/>
            <w:tcBorders>
              <w:left w:val="nil"/>
            </w:tcBorders>
          </w:tcPr>
          <w:p w14:paraId="0D691D91" w14:textId="77777777" w:rsidR="00B35791" w:rsidRDefault="00B35791" w:rsidP="00091BF6">
            <w:pPr>
              <w:spacing w:line="240" w:lineRule="auto"/>
              <w:jc w:val="center"/>
              <w:rPr>
                <w:rFonts w:ascii="Tw Cen MT" w:hAnsi="Tw Cen MT"/>
                <w:b/>
                <w:bCs/>
                <w:sz w:val="20"/>
                <w:szCs w:val="20"/>
              </w:rPr>
            </w:pPr>
          </w:p>
          <w:p w14:paraId="4AF64E88" w14:textId="435A868D" w:rsidR="00B35791" w:rsidRPr="00283220" w:rsidRDefault="00B35791" w:rsidP="00091BF6">
            <w:pPr>
              <w:spacing w:line="240" w:lineRule="auto"/>
              <w:jc w:val="center"/>
              <w:rPr>
                <w:rFonts w:ascii="Tw Cen MT" w:hAnsi="Tw Cen MT"/>
                <w:b/>
                <w:bCs/>
                <w:sz w:val="20"/>
                <w:szCs w:val="20"/>
              </w:rPr>
            </w:pPr>
            <w:r>
              <w:rPr>
                <w:rFonts w:ascii="Tw Cen MT" w:hAnsi="Tw Cen MT"/>
                <w:b/>
                <w:bCs/>
                <w:sz w:val="20"/>
                <w:szCs w:val="20"/>
              </w:rPr>
              <w:t>P value</w:t>
            </w:r>
          </w:p>
        </w:tc>
      </w:tr>
      <w:tr w:rsidR="00B35791" w:rsidRPr="00283220" w14:paraId="0BC79B69" w14:textId="662F9FA1" w:rsidTr="00091BF6">
        <w:trPr>
          <w:cantSplit/>
          <w:trHeight w:val="578"/>
        </w:trPr>
        <w:tc>
          <w:tcPr>
            <w:tcW w:w="851" w:type="dxa"/>
            <w:vMerge/>
            <w:tcBorders>
              <w:right w:val="nil"/>
            </w:tcBorders>
            <w:vAlign w:val="center"/>
          </w:tcPr>
          <w:p w14:paraId="3B10727D" w14:textId="77777777" w:rsidR="00B35791" w:rsidRPr="00283220" w:rsidRDefault="00B35791" w:rsidP="00091BF6">
            <w:pPr>
              <w:spacing w:line="240" w:lineRule="auto"/>
              <w:jc w:val="center"/>
              <w:rPr>
                <w:rFonts w:ascii="Tw Cen MT" w:hAnsi="Tw Cen MT"/>
                <w:b/>
                <w:bCs/>
                <w:sz w:val="20"/>
                <w:szCs w:val="20"/>
              </w:rPr>
            </w:pPr>
          </w:p>
        </w:tc>
        <w:tc>
          <w:tcPr>
            <w:tcW w:w="1416" w:type="dxa"/>
            <w:gridSpan w:val="2"/>
            <w:tcBorders>
              <w:left w:val="nil"/>
              <w:right w:val="nil"/>
            </w:tcBorders>
            <w:vAlign w:val="center"/>
          </w:tcPr>
          <w:p w14:paraId="0104FAD5" w14:textId="1A267839" w:rsidR="00B35791" w:rsidRPr="00283220" w:rsidRDefault="00B35791" w:rsidP="00091BF6">
            <w:pPr>
              <w:spacing w:line="240" w:lineRule="auto"/>
              <w:jc w:val="center"/>
              <w:rPr>
                <w:rFonts w:ascii="Tw Cen MT" w:hAnsi="Tw Cen MT"/>
                <w:b/>
                <w:bCs/>
                <w:sz w:val="20"/>
                <w:szCs w:val="20"/>
              </w:rPr>
            </w:pPr>
            <w:r>
              <w:rPr>
                <w:rFonts w:ascii="Tw Cen MT" w:hAnsi="Tw Cen MT"/>
                <w:b/>
                <w:bCs/>
                <w:sz w:val="20"/>
                <w:szCs w:val="20"/>
              </w:rPr>
              <w:t>Melakukan</w:t>
            </w:r>
          </w:p>
        </w:tc>
        <w:tc>
          <w:tcPr>
            <w:tcW w:w="1274" w:type="dxa"/>
            <w:gridSpan w:val="2"/>
            <w:tcBorders>
              <w:left w:val="nil"/>
              <w:right w:val="nil"/>
            </w:tcBorders>
            <w:vAlign w:val="center"/>
          </w:tcPr>
          <w:p w14:paraId="3717738E" w14:textId="28B11E79" w:rsidR="00B35791" w:rsidRPr="00283220" w:rsidRDefault="00B35791" w:rsidP="00091BF6">
            <w:pPr>
              <w:spacing w:line="240" w:lineRule="auto"/>
              <w:jc w:val="center"/>
              <w:rPr>
                <w:rFonts w:ascii="Tw Cen MT" w:hAnsi="Tw Cen MT"/>
                <w:b/>
                <w:bCs/>
                <w:sz w:val="20"/>
                <w:szCs w:val="20"/>
              </w:rPr>
            </w:pPr>
            <w:r w:rsidRPr="00283220">
              <w:rPr>
                <w:rFonts w:ascii="Tw Cen MT" w:hAnsi="Tw Cen MT"/>
                <w:b/>
                <w:bCs/>
                <w:sz w:val="20"/>
                <w:szCs w:val="20"/>
              </w:rPr>
              <w:t xml:space="preserve">Kurang </w:t>
            </w:r>
            <w:r>
              <w:rPr>
                <w:rFonts w:ascii="Tw Cen MT" w:hAnsi="Tw Cen MT"/>
                <w:b/>
                <w:bCs/>
                <w:sz w:val="20"/>
                <w:szCs w:val="20"/>
              </w:rPr>
              <w:t>Melakukan</w:t>
            </w:r>
          </w:p>
        </w:tc>
        <w:tc>
          <w:tcPr>
            <w:tcW w:w="571" w:type="dxa"/>
            <w:vMerge/>
            <w:tcBorders>
              <w:left w:val="nil"/>
              <w:right w:val="nil"/>
            </w:tcBorders>
            <w:vAlign w:val="center"/>
          </w:tcPr>
          <w:p w14:paraId="7073210B" w14:textId="77777777" w:rsidR="00B35791" w:rsidRPr="00283220" w:rsidRDefault="00B35791" w:rsidP="00091BF6">
            <w:pPr>
              <w:spacing w:line="240" w:lineRule="auto"/>
              <w:jc w:val="center"/>
              <w:rPr>
                <w:rFonts w:ascii="Tw Cen MT" w:hAnsi="Tw Cen MT"/>
                <w:b/>
                <w:bCs/>
                <w:sz w:val="20"/>
                <w:szCs w:val="20"/>
              </w:rPr>
            </w:pPr>
          </w:p>
        </w:tc>
        <w:tc>
          <w:tcPr>
            <w:tcW w:w="708" w:type="dxa"/>
            <w:vMerge/>
            <w:tcBorders>
              <w:left w:val="nil"/>
            </w:tcBorders>
          </w:tcPr>
          <w:p w14:paraId="4C0BD6BA" w14:textId="77777777" w:rsidR="00B35791" w:rsidRPr="00283220" w:rsidRDefault="00B35791" w:rsidP="00091BF6">
            <w:pPr>
              <w:spacing w:line="240" w:lineRule="auto"/>
              <w:jc w:val="center"/>
              <w:rPr>
                <w:rFonts w:ascii="Tw Cen MT" w:hAnsi="Tw Cen MT"/>
                <w:b/>
                <w:bCs/>
                <w:sz w:val="20"/>
                <w:szCs w:val="20"/>
              </w:rPr>
            </w:pPr>
          </w:p>
        </w:tc>
      </w:tr>
      <w:tr w:rsidR="00B35791" w:rsidRPr="00283220" w14:paraId="3ECB07BF" w14:textId="7D398558" w:rsidTr="00091BF6">
        <w:trPr>
          <w:cantSplit/>
        </w:trPr>
        <w:tc>
          <w:tcPr>
            <w:tcW w:w="851" w:type="dxa"/>
            <w:vMerge/>
            <w:tcBorders>
              <w:right w:val="nil"/>
            </w:tcBorders>
          </w:tcPr>
          <w:p w14:paraId="03A1BABA" w14:textId="77777777" w:rsidR="00B35791" w:rsidRPr="00283220" w:rsidRDefault="00B35791" w:rsidP="00091BF6">
            <w:pPr>
              <w:spacing w:line="240" w:lineRule="auto"/>
              <w:jc w:val="center"/>
              <w:rPr>
                <w:rFonts w:ascii="Tw Cen MT" w:hAnsi="Tw Cen MT"/>
                <w:b/>
                <w:bCs/>
                <w:sz w:val="20"/>
                <w:szCs w:val="20"/>
              </w:rPr>
            </w:pPr>
          </w:p>
        </w:tc>
        <w:tc>
          <w:tcPr>
            <w:tcW w:w="563" w:type="dxa"/>
            <w:tcBorders>
              <w:left w:val="nil"/>
              <w:right w:val="nil"/>
            </w:tcBorders>
          </w:tcPr>
          <w:p w14:paraId="6E853228" w14:textId="77777777" w:rsidR="00B35791" w:rsidRPr="00283220" w:rsidRDefault="00B35791" w:rsidP="00091BF6">
            <w:pPr>
              <w:spacing w:line="240" w:lineRule="auto"/>
              <w:jc w:val="center"/>
              <w:rPr>
                <w:rFonts w:ascii="Tw Cen MT" w:hAnsi="Tw Cen MT"/>
                <w:b/>
                <w:bCs/>
                <w:sz w:val="20"/>
                <w:szCs w:val="20"/>
              </w:rPr>
            </w:pPr>
            <w:r w:rsidRPr="00283220">
              <w:rPr>
                <w:rFonts w:ascii="Tw Cen MT" w:hAnsi="Tw Cen MT"/>
                <w:b/>
                <w:bCs/>
                <w:sz w:val="20"/>
                <w:szCs w:val="20"/>
              </w:rPr>
              <w:t>N</w:t>
            </w:r>
          </w:p>
        </w:tc>
        <w:tc>
          <w:tcPr>
            <w:tcW w:w="853" w:type="dxa"/>
            <w:tcBorders>
              <w:left w:val="nil"/>
              <w:right w:val="nil"/>
            </w:tcBorders>
          </w:tcPr>
          <w:p w14:paraId="06E21867" w14:textId="77777777" w:rsidR="00B35791" w:rsidRPr="00283220" w:rsidRDefault="00B35791" w:rsidP="00091BF6">
            <w:pPr>
              <w:spacing w:line="240" w:lineRule="auto"/>
              <w:jc w:val="center"/>
              <w:rPr>
                <w:rFonts w:ascii="Tw Cen MT" w:hAnsi="Tw Cen MT"/>
                <w:b/>
                <w:bCs/>
                <w:sz w:val="20"/>
                <w:szCs w:val="20"/>
              </w:rPr>
            </w:pPr>
            <w:r w:rsidRPr="00283220">
              <w:rPr>
                <w:rFonts w:ascii="Tw Cen MT" w:hAnsi="Tw Cen MT"/>
                <w:b/>
                <w:bCs/>
                <w:sz w:val="20"/>
                <w:szCs w:val="20"/>
              </w:rPr>
              <w:t>%</w:t>
            </w:r>
          </w:p>
        </w:tc>
        <w:tc>
          <w:tcPr>
            <w:tcW w:w="513" w:type="dxa"/>
            <w:tcBorders>
              <w:left w:val="nil"/>
              <w:right w:val="nil"/>
            </w:tcBorders>
          </w:tcPr>
          <w:p w14:paraId="2ACEE23D" w14:textId="77777777" w:rsidR="00B35791" w:rsidRPr="00283220" w:rsidRDefault="00B35791" w:rsidP="00091BF6">
            <w:pPr>
              <w:spacing w:line="240" w:lineRule="auto"/>
              <w:jc w:val="center"/>
              <w:rPr>
                <w:rFonts w:ascii="Tw Cen MT" w:hAnsi="Tw Cen MT"/>
                <w:b/>
                <w:bCs/>
                <w:sz w:val="20"/>
                <w:szCs w:val="20"/>
              </w:rPr>
            </w:pPr>
            <w:r w:rsidRPr="00283220">
              <w:rPr>
                <w:rFonts w:ascii="Tw Cen MT" w:hAnsi="Tw Cen MT"/>
                <w:b/>
                <w:bCs/>
                <w:sz w:val="20"/>
                <w:szCs w:val="20"/>
              </w:rPr>
              <w:t>N</w:t>
            </w:r>
          </w:p>
        </w:tc>
        <w:tc>
          <w:tcPr>
            <w:tcW w:w="761" w:type="dxa"/>
            <w:tcBorders>
              <w:left w:val="nil"/>
              <w:right w:val="nil"/>
            </w:tcBorders>
          </w:tcPr>
          <w:p w14:paraId="5DCA0830" w14:textId="77777777" w:rsidR="00B35791" w:rsidRPr="00283220" w:rsidRDefault="00B35791" w:rsidP="00091BF6">
            <w:pPr>
              <w:spacing w:line="240" w:lineRule="auto"/>
              <w:jc w:val="center"/>
              <w:rPr>
                <w:rFonts w:ascii="Tw Cen MT" w:hAnsi="Tw Cen MT"/>
                <w:b/>
                <w:bCs/>
                <w:sz w:val="20"/>
                <w:szCs w:val="20"/>
              </w:rPr>
            </w:pPr>
            <w:r w:rsidRPr="00283220">
              <w:rPr>
                <w:rFonts w:ascii="Tw Cen MT" w:hAnsi="Tw Cen MT"/>
                <w:b/>
                <w:bCs/>
                <w:sz w:val="20"/>
                <w:szCs w:val="20"/>
              </w:rPr>
              <w:t>%</w:t>
            </w:r>
          </w:p>
        </w:tc>
        <w:tc>
          <w:tcPr>
            <w:tcW w:w="571" w:type="dxa"/>
            <w:vMerge/>
            <w:tcBorders>
              <w:left w:val="nil"/>
              <w:right w:val="nil"/>
            </w:tcBorders>
          </w:tcPr>
          <w:p w14:paraId="0B6863D8" w14:textId="77777777" w:rsidR="00B35791" w:rsidRPr="00283220" w:rsidRDefault="00B35791" w:rsidP="00091BF6">
            <w:pPr>
              <w:spacing w:line="240" w:lineRule="auto"/>
              <w:jc w:val="center"/>
              <w:rPr>
                <w:rFonts w:ascii="Tw Cen MT" w:hAnsi="Tw Cen MT"/>
                <w:b/>
                <w:bCs/>
                <w:sz w:val="20"/>
                <w:szCs w:val="20"/>
              </w:rPr>
            </w:pPr>
          </w:p>
        </w:tc>
        <w:tc>
          <w:tcPr>
            <w:tcW w:w="708" w:type="dxa"/>
            <w:vMerge/>
            <w:tcBorders>
              <w:left w:val="nil"/>
            </w:tcBorders>
          </w:tcPr>
          <w:p w14:paraId="22BD70C4" w14:textId="77777777" w:rsidR="00B35791" w:rsidRPr="00283220" w:rsidRDefault="00B35791" w:rsidP="00091BF6">
            <w:pPr>
              <w:spacing w:line="240" w:lineRule="auto"/>
              <w:jc w:val="center"/>
              <w:rPr>
                <w:rFonts w:ascii="Tw Cen MT" w:hAnsi="Tw Cen MT"/>
                <w:b/>
                <w:bCs/>
                <w:sz w:val="20"/>
                <w:szCs w:val="20"/>
              </w:rPr>
            </w:pPr>
          </w:p>
        </w:tc>
      </w:tr>
      <w:tr w:rsidR="00B35791" w:rsidRPr="00283220" w14:paraId="0CB6881D" w14:textId="589BC2FA" w:rsidTr="00091BF6">
        <w:tc>
          <w:tcPr>
            <w:tcW w:w="851" w:type="dxa"/>
            <w:tcBorders>
              <w:right w:val="nil"/>
            </w:tcBorders>
          </w:tcPr>
          <w:p w14:paraId="0DF4FFA9" w14:textId="77777777" w:rsidR="00B35791" w:rsidRPr="00283220" w:rsidRDefault="00B35791" w:rsidP="00091BF6">
            <w:pPr>
              <w:pStyle w:val="Header"/>
              <w:rPr>
                <w:rFonts w:ascii="Tw Cen MT" w:hAnsi="Tw Cen MT"/>
                <w:sz w:val="20"/>
                <w:szCs w:val="20"/>
              </w:rPr>
            </w:pPr>
            <w:r w:rsidRPr="00283220">
              <w:rPr>
                <w:rFonts w:ascii="Tw Cen MT" w:hAnsi="Tw Cen MT"/>
                <w:sz w:val="20"/>
                <w:szCs w:val="20"/>
              </w:rPr>
              <w:t>Baik</w:t>
            </w:r>
          </w:p>
          <w:p w14:paraId="0B009EA2" w14:textId="77777777" w:rsidR="00B35791" w:rsidRPr="00283220" w:rsidRDefault="00B35791" w:rsidP="00091BF6">
            <w:pPr>
              <w:pStyle w:val="Header"/>
              <w:rPr>
                <w:rFonts w:ascii="Tw Cen MT" w:hAnsi="Tw Cen MT"/>
                <w:sz w:val="20"/>
                <w:szCs w:val="20"/>
              </w:rPr>
            </w:pPr>
          </w:p>
          <w:p w14:paraId="31D27515" w14:textId="77777777" w:rsidR="00B35791" w:rsidRPr="00283220" w:rsidRDefault="00B35791" w:rsidP="00091BF6">
            <w:pPr>
              <w:pStyle w:val="Header"/>
              <w:rPr>
                <w:rFonts w:ascii="Tw Cen MT" w:hAnsi="Tw Cen MT"/>
                <w:sz w:val="20"/>
                <w:szCs w:val="20"/>
              </w:rPr>
            </w:pPr>
            <w:r w:rsidRPr="00283220">
              <w:rPr>
                <w:rFonts w:ascii="Tw Cen MT" w:hAnsi="Tw Cen MT"/>
                <w:sz w:val="20"/>
                <w:szCs w:val="20"/>
              </w:rPr>
              <w:t>Cukup</w:t>
            </w:r>
          </w:p>
        </w:tc>
        <w:tc>
          <w:tcPr>
            <w:tcW w:w="563" w:type="dxa"/>
            <w:tcBorders>
              <w:left w:val="nil"/>
              <w:right w:val="nil"/>
            </w:tcBorders>
          </w:tcPr>
          <w:p w14:paraId="71E2845D" w14:textId="725F2E5F" w:rsidR="00B35791" w:rsidRPr="00283220" w:rsidRDefault="00B35791" w:rsidP="00091BF6">
            <w:pPr>
              <w:spacing w:line="240" w:lineRule="auto"/>
              <w:jc w:val="center"/>
              <w:rPr>
                <w:rFonts w:ascii="Tw Cen MT" w:hAnsi="Tw Cen MT"/>
                <w:sz w:val="20"/>
                <w:szCs w:val="20"/>
              </w:rPr>
            </w:pPr>
            <w:r>
              <w:rPr>
                <w:rFonts w:ascii="Tw Cen MT" w:hAnsi="Tw Cen MT"/>
                <w:sz w:val="20"/>
                <w:szCs w:val="20"/>
              </w:rPr>
              <w:t>69</w:t>
            </w:r>
          </w:p>
          <w:p w14:paraId="1159858F" w14:textId="5F18D406" w:rsidR="00B35791" w:rsidRPr="00283220" w:rsidRDefault="00B35791" w:rsidP="00091BF6">
            <w:pPr>
              <w:spacing w:line="240" w:lineRule="auto"/>
              <w:jc w:val="center"/>
              <w:rPr>
                <w:rFonts w:ascii="Tw Cen MT" w:hAnsi="Tw Cen MT"/>
                <w:sz w:val="20"/>
                <w:szCs w:val="20"/>
              </w:rPr>
            </w:pPr>
            <w:r>
              <w:rPr>
                <w:rFonts w:ascii="Tw Cen MT" w:hAnsi="Tw Cen MT"/>
                <w:sz w:val="20"/>
                <w:szCs w:val="20"/>
              </w:rPr>
              <w:t>19</w:t>
            </w:r>
          </w:p>
        </w:tc>
        <w:tc>
          <w:tcPr>
            <w:tcW w:w="853" w:type="dxa"/>
            <w:tcBorders>
              <w:left w:val="nil"/>
              <w:right w:val="nil"/>
            </w:tcBorders>
          </w:tcPr>
          <w:p w14:paraId="3265883B" w14:textId="01F809CC" w:rsidR="00B35791" w:rsidRPr="00283220" w:rsidRDefault="00B35791" w:rsidP="00091BF6">
            <w:pPr>
              <w:spacing w:line="240" w:lineRule="auto"/>
              <w:jc w:val="center"/>
              <w:rPr>
                <w:rFonts w:ascii="Tw Cen MT" w:hAnsi="Tw Cen MT"/>
                <w:sz w:val="20"/>
                <w:szCs w:val="20"/>
              </w:rPr>
            </w:pPr>
            <w:r>
              <w:rPr>
                <w:rFonts w:ascii="Tw Cen MT" w:hAnsi="Tw Cen MT"/>
                <w:sz w:val="20"/>
                <w:szCs w:val="20"/>
              </w:rPr>
              <w:t>86,25</w:t>
            </w:r>
          </w:p>
          <w:p w14:paraId="27533BA4" w14:textId="3A25AA8A" w:rsidR="00B35791" w:rsidRPr="00283220" w:rsidRDefault="00B35791" w:rsidP="00091BF6">
            <w:pPr>
              <w:spacing w:line="240" w:lineRule="auto"/>
              <w:jc w:val="center"/>
              <w:rPr>
                <w:rFonts w:ascii="Tw Cen MT" w:hAnsi="Tw Cen MT"/>
                <w:sz w:val="20"/>
                <w:szCs w:val="20"/>
              </w:rPr>
            </w:pPr>
            <w:r>
              <w:rPr>
                <w:rFonts w:ascii="Tw Cen MT" w:hAnsi="Tw Cen MT"/>
                <w:sz w:val="20"/>
                <w:szCs w:val="20"/>
              </w:rPr>
              <w:t>82,60</w:t>
            </w:r>
          </w:p>
        </w:tc>
        <w:tc>
          <w:tcPr>
            <w:tcW w:w="513" w:type="dxa"/>
            <w:tcBorders>
              <w:left w:val="nil"/>
              <w:right w:val="nil"/>
            </w:tcBorders>
          </w:tcPr>
          <w:p w14:paraId="3F23CABC" w14:textId="5F27EF1B" w:rsidR="00B35791" w:rsidRPr="00283220" w:rsidRDefault="00B35791" w:rsidP="00091BF6">
            <w:pPr>
              <w:spacing w:line="240" w:lineRule="auto"/>
              <w:jc w:val="center"/>
              <w:rPr>
                <w:rFonts w:ascii="Tw Cen MT" w:hAnsi="Tw Cen MT"/>
                <w:sz w:val="20"/>
                <w:szCs w:val="20"/>
              </w:rPr>
            </w:pPr>
            <w:r w:rsidRPr="00283220">
              <w:rPr>
                <w:rFonts w:ascii="Tw Cen MT" w:hAnsi="Tw Cen MT"/>
                <w:sz w:val="20"/>
                <w:szCs w:val="20"/>
              </w:rPr>
              <w:t>1</w:t>
            </w:r>
            <w:r>
              <w:rPr>
                <w:rFonts w:ascii="Tw Cen MT" w:hAnsi="Tw Cen MT"/>
                <w:sz w:val="20"/>
                <w:szCs w:val="20"/>
              </w:rPr>
              <w:t>1</w:t>
            </w:r>
          </w:p>
          <w:p w14:paraId="44A2FDB0" w14:textId="29652CB8" w:rsidR="00B35791" w:rsidRPr="00283220" w:rsidRDefault="00B35791" w:rsidP="00091BF6">
            <w:pPr>
              <w:spacing w:line="240" w:lineRule="auto"/>
              <w:jc w:val="center"/>
              <w:rPr>
                <w:rFonts w:ascii="Tw Cen MT" w:hAnsi="Tw Cen MT"/>
                <w:sz w:val="20"/>
                <w:szCs w:val="20"/>
              </w:rPr>
            </w:pPr>
            <w:r>
              <w:rPr>
                <w:rFonts w:ascii="Tw Cen MT" w:hAnsi="Tw Cen MT"/>
                <w:sz w:val="20"/>
                <w:szCs w:val="20"/>
              </w:rPr>
              <w:t>4</w:t>
            </w:r>
          </w:p>
        </w:tc>
        <w:tc>
          <w:tcPr>
            <w:tcW w:w="761" w:type="dxa"/>
            <w:tcBorders>
              <w:left w:val="nil"/>
              <w:right w:val="nil"/>
            </w:tcBorders>
          </w:tcPr>
          <w:p w14:paraId="3BEB31D6" w14:textId="40152812" w:rsidR="00B35791" w:rsidRPr="00283220" w:rsidRDefault="00B35791" w:rsidP="00091BF6">
            <w:pPr>
              <w:spacing w:line="240" w:lineRule="auto"/>
              <w:jc w:val="center"/>
              <w:rPr>
                <w:rFonts w:ascii="Tw Cen MT" w:hAnsi="Tw Cen MT"/>
                <w:sz w:val="20"/>
                <w:szCs w:val="20"/>
              </w:rPr>
            </w:pPr>
            <w:r>
              <w:rPr>
                <w:rFonts w:ascii="Tw Cen MT" w:hAnsi="Tw Cen MT"/>
                <w:sz w:val="20"/>
                <w:szCs w:val="20"/>
              </w:rPr>
              <w:t>13,75</w:t>
            </w:r>
          </w:p>
          <w:p w14:paraId="64E1EA24" w14:textId="1FCB0528" w:rsidR="00B35791" w:rsidRPr="00283220" w:rsidRDefault="00B35791" w:rsidP="00091BF6">
            <w:pPr>
              <w:spacing w:line="240" w:lineRule="auto"/>
              <w:jc w:val="center"/>
              <w:rPr>
                <w:rFonts w:ascii="Tw Cen MT" w:hAnsi="Tw Cen MT"/>
                <w:sz w:val="20"/>
                <w:szCs w:val="20"/>
              </w:rPr>
            </w:pPr>
            <w:r>
              <w:rPr>
                <w:rFonts w:ascii="Tw Cen MT" w:hAnsi="Tw Cen MT"/>
                <w:sz w:val="20"/>
                <w:szCs w:val="20"/>
              </w:rPr>
              <w:t>17,40</w:t>
            </w:r>
          </w:p>
        </w:tc>
        <w:tc>
          <w:tcPr>
            <w:tcW w:w="571" w:type="dxa"/>
            <w:vMerge w:val="restart"/>
            <w:tcBorders>
              <w:left w:val="nil"/>
              <w:right w:val="nil"/>
            </w:tcBorders>
          </w:tcPr>
          <w:p w14:paraId="5119B3FE" w14:textId="77777777" w:rsidR="00911160" w:rsidRDefault="00B35791" w:rsidP="00091BF6">
            <w:pPr>
              <w:spacing w:line="240" w:lineRule="auto"/>
              <w:jc w:val="center"/>
              <w:rPr>
                <w:rFonts w:ascii="Tw Cen MT" w:hAnsi="Tw Cen MT"/>
                <w:sz w:val="20"/>
                <w:szCs w:val="20"/>
              </w:rPr>
            </w:pPr>
            <w:r>
              <w:rPr>
                <w:rFonts w:ascii="Tw Cen MT" w:hAnsi="Tw Cen MT"/>
                <w:sz w:val="20"/>
                <w:szCs w:val="20"/>
              </w:rPr>
              <w:t xml:space="preserve">1,540 </w:t>
            </w:r>
          </w:p>
          <w:p w14:paraId="509055B1" w14:textId="71A48F48" w:rsidR="00B35791" w:rsidRPr="00283220" w:rsidRDefault="00B35791" w:rsidP="00091BF6">
            <w:pPr>
              <w:spacing w:line="240" w:lineRule="auto"/>
              <w:jc w:val="center"/>
              <w:rPr>
                <w:rFonts w:ascii="Tw Cen MT" w:hAnsi="Tw Cen MT"/>
                <w:sz w:val="20"/>
                <w:szCs w:val="20"/>
              </w:rPr>
            </w:pPr>
            <w:r>
              <w:rPr>
                <w:rFonts w:ascii="Tw Cen MT" w:hAnsi="Tw Cen MT"/>
                <w:sz w:val="20"/>
                <w:szCs w:val="20"/>
              </w:rPr>
              <w:t>(0,112-7,607)</w:t>
            </w:r>
          </w:p>
        </w:tc>
        <w:tc>
          <w:tcPr>
            <w:tcW w:w="708" w:type="dxa"/>
            <w:vMerge w:val="restart"/>
            <w:tcBorders>
              <w:left w:val="nil"/>
            </w:tcBorders>
          </w:tcPr>
          <w:p w14:paraId="6A93DE5D" w14:textId="30DFCAE3" w:rsidR="00B35791" w:rsidRDefault="00B35791" w:rsidP="00091BF6">
            <w:pPr>
              <w:spacing w:line="240" w:lineRule="auto"/>
              <w:jc w:val="center"/>
              <w:rPr>
                <w:rFonts w:ascii="Tw Cen MT" w:hAnsi="Tw Cen MT"/>
                <w:sz w:val="20"/>
                <w:szCs w:val="20"/>
              </w:rPr>
            </w:pPr>
            <w:r>
              <w:rPr>
                <w:rFonts w:ascii="Tw Cen MT" w:hAnsi="Tw Cen MT"/>
                <w:sz w:val="20"/>
                <w:szCs w:val="20"/>
              </w:rPr>
              <w:t>0,001</w:t>
            </w:r>
          </w:p>
        </w:tc>
      </w:tr>
      <w:tr w:rsidR="00B35791" w:rsidRPr="00283220" w14:paraId="56FF29FF" w14:textId="45C6850E" w:rsidTr="00091BF6">
        <w:tc>
          <w:tcPr>
            <w:tcW w:w="851" w:type="dxa"/>
            <w:tcBorders>
              <w:right w:val="nil"/>
            </w:tcBorders>
          </w:tcPr>
          <w:p w14:paraId="5190804C" w14:textId="77777777" w:rsidR="00B35791" w:rsidRPr="00283220" w:rsidRDefault="00B35791" w:rsidP="00091BF6">
            <w:pPr>
              <w:pStyle w:val="Header"/>
              <w:spacing w:before="40" w:after="40"/>
              <w:jc w:val="center"/>
              <w:rPr>
                <w:rFonts w:ascii="Tw Cen MT" w:hAnsi="Tw Cen MT"/>
                <w:b/>
                <w:bCs/>
                <w:sz w:val="20"/>
                <w:szCs w:val="20"/>
              </w:rPr>
            </w:pPr>
            <w:r w:rsidRPr="00283220">
              <w:rPr>
                <w:rFonts w:ascii="Tw Cen MT" w:hAnsi="Tw Cen MT"/>
                <w:b/>
                <w:bCs/>
                <w:sz w:val="20"/>
                <w:szCs w:val="20"/>
              </w:rPr>
              <w:t>Total</w:t>
            </w:r>
          </w:p>
        </w:tc>
        <w:tc>
          <w:tcPr>
            <w:tcW w:w="563" w:type="dxa"/>
            <w:tcBorders>
              <w:left w:val="nil"/>
              <w:right w:val="nil"/>
            </w:tcBorders>
          </w:tcPr>
          <w:p w14:paraId="2F96D38E" w14:textId="646973A5" w:rsidR="00B35791" w:rsidRPr="00283220" w:rsidRDefault="00B35791" w:rsidP="00091BF6">
            <w:pPr>
              <w:spacing w:before="40" w:after="40" w:line="240" w:lineRule="auto"/>
              <w:jc w:val="center"/>
              <w:rPr>
                <w:rFonts w:ascii="Tw Cen MT" w:hAnsi="Tw Cen MT"/>
                <w:b/>
                <w:bCs/>
                <w:sz w:val="20"/>
                <w:szCs w:val="20"/>
              </w:rPr>
            </w:pPr>
            <w:r>
              <w:rPr>
                <w:rFonts w:ascii="Tw Cen MT" w:hAnsi="Tw Cen MT"/>
                <w:b/>
                <w:bCs/>
                <w:sz w:val="20"/>
                <w:szCs w:val="20"/>
              </w:rPr>
              <w:t>88</w:t>
            </w:r>
          </w:p>
        </w:tc>
        <w:tc>
          <w:tcPr>
            <w:tcW w:w="853" w:type="dxa"/>
            <w:tcBorders>
              <w:left w:val="nil"/>
              <w:right w:val="nil"/>
            </w:tcBorders>
          </w:tcPr>
          <w:p w14:paraId="483EB04C" w14:textId="68FA7EC5" w:rsidR="00B35791" w:rsidRPr="00283220" w:rsidRDefault="00B35791" w:rsidP="00091BF6">
            <w:pPr>
              <w:spacing w:before="40" w:after="40" w:line="240" w:lineRule="auto"/>
              <w:jc w:val="center"/>
              <w:rPr>
                <w:rFonts w:ascii="Tw Cen MT" w:hAnsi="Tw Cen MT"/>
                <w:b/>
                <w:bCs/>
                <w:sz w:val="20"/>
                <w:szCs w:val="20"/>
              </w:rPr>
            </w:pPr>
            <w:r>
              <w:rPr>
                <w:rFonts w:ascii="Tw Cen MT" w:hAnsi="Tw Cen MT"/>
                <w:b/>
                <w:bCs/>
                <w:sz w:val="20"/>
                <w:szCs w:val="20"/>
              </w:rPr>
              <w:t>85,44</w:t>
            </w:r>
          </w:p>
        </w:tc>
        <w:tc>
          <w:tcPr>
            <w:tcW w:w="513" w:type="dxa"/>
            <w:tcBorders>
              <w:left w:val="nil"/>
              <w:right w:val="nil"/>
            </w:tcBorders>
          </w:tcPr>
          <w:p w14:paraId="27FE38EA" w14:textId="5805ABAA" w:rsidR="00B35791" w:rsidRPr="00283220" w:rsidRDefault="00B35791" w:rsidP="00091BF6">
            <w:pPr>
              <w:spacing w:before="40" w:after="40" w:line="240" w:lineRule="auto"/>
              <w:jc w:val="center"/>
              <w:rPr>
                <w:rFonts w:ascii="Tw Cen MT" w:hAnsi="Tw Cen MT"/>
                <w:b/>
                <w:bCs/>
                <w:sz w:val="20"/>
                <w:szCs w:val="20"/>
              </w:rPr>
            </w:pPr>
            <w:r>
              <w:rPr>
                <w:rFonts w:ascii="Tw Cen MT" w:hAnsi="Tw Cen MT"/>
                <w:b/>
                <w:bCs/>
                <w:sz w:val="20"/>
                <w:szCs w:val="20"/>
              </w:rPr>
              <w:t>15</w:t>
            </w:r>
          </w:p>
        </w:tc>
        <w:tc>
          <w:tcPr>
            <w:tcW w:w="761" w:type="dxa"/>
            <w:tcBorders>
              <w:left w:val="nil"/>
              <w:right w:val="nil"/>
            </w:tcBorders>
          </w:tcPr>
          <w:p w14:paraId="5EDA32A9" w14:textId="2C6CA26F" w:rsidR="00B35791" w:rsidRPr="00283220" w:rsidRDefault="00B35791" w:rsidP="00091BF6">
            <w:pPr>
              <w:spacing w:before="40" w:after="40" w:line="240" w:lineRule="auto"/>
              <w:jc w:val="center"/>
              <w:rPr>
                <w:rFonts w:ascii="Tw Cen MT" w:hAnsi="Tw Cen MT"/>
                <w:b/>
                <w:bCs/>
                <w:sz w:val="20"/>
                <w:szCs w:val="20"/>
              </w:rPr>
            </w:pPr>
            <w:r>
              <w:rPr>
                <w:rFonts w:ascii="Tw Cen MT" w:hAnsi="Tw Cen MT"/>
                <w:b/>
                <w:bCs/>
                <w:sz w:val="20"/>
                <w:szCs w:val="20"/>
              </w:rPr>
              <w:t>14,56</w:t>
            </w:r>
          </w:p>
        </w:tc>
        <w:tc>
          <w:tcPr>
            <w:tcW w:w="571" w:type="dxa"/>
            <w:vMerge/>
            <w:tcBorders>
              <w:left w:val="nil"/>
              <w:right w:val="nil"/>
            </w:tcBorders>
          </w:tcPr>
          <w:p w14:paraId="3121661E" w14:textId="77777777" w:rsidR="00B35791" w:rsidRPr="00283220" w:rsidRDefault="00B35791" w:rsidP="00091BF6">
            <w:pPr>
              <w:spacing w:before="40" w:after="40" w:line="240" w:lineRule="auto"/>
              <w:jc w:val="center"/>
              <w:rPr>
                <w:rFonts w:ascii="Tw Cen MT" w:hAnsi="Tw Cen MT"/>
                <w:b/>
                <w:bCs/>
                <w:sz w:val="20"/>
                <w:szCs w:val="20"/>
              </w:rPr>
            </w:pPr>
          </w:p>
        </w:tc>
        <w:tc>
          <w:tcPr>
            <w:tcW w:w="708" w:type="dxa"/>
            <w:vMerge/>
            <w:tcBorders>
              <w:left w:val="nil"/>
            </w:tcBorders>
          </w:tcPr>
          <w:p w14:paraId="6BEB39CF" w14:textId="77777777" w:rsidR="00B35791" w:rsidRPr="00283220" w:rsidRDefault="00B35791" w:rsidP="00091BF6">
            <w:pPr>
              <w:spacing w:before="40" w:after="40" w:line="240" w:lineRule="auto"/>
              <w:jc w:val="center"/>
              <w:rPr>
                <w:rFonts w:ascii="Tw Cen MT" w:hAnsi="Tw Cen MT"/>
                <w:b/>
                <w:bCs/>
                <w:sz w:val="20"/>
                <w:szCs w:val="20"/>
              </w:rPr>
            </w:pPr>
          </w:p>
        </w:tc>
      </w:tr>
    </w:tbl>
    <w:p w14:paraId="38E4FA94" w14:textId="065692CD" w:rsidR="004B34C5" w:rsidRPr="00B35791" w:rsidRDefault="004B34C5" w:rsidP="00091BF6">
      <w:pPr>
        <w:spacing w:after="0" w:line="240" w:lineRule="auto"/>
        <w:jc w:val="both"/>
        <w:rPr>
          <w:rFonts w:ascii="Tw Cen MT" w:hAnsi="Tw Cen MT"/>
          <w:noProof/>
          <w:sz w:val="24"/>
          <w:szCs w:val="24"/>
          <w:lang w:val="id-ID"/>
        </w:rPr>
      </w:pPr>
      <w:r w:rsidRPr="00B35791">
        <w:rPr>
          <w:rFonts w:ascii="Tw Cen MT" w:eastAsia="Twentieth Century" w:hAnsi="Tw Cen MT" w:cs="Twentieth Century"/>
          <w:i/>
          <w:iCs/>
          <w:sz w:val="20"/>
          <w:szCs w:val="20"/>
        </w:rPr>
        <w:t>Source : primery data processing</w:t>
      </w:r>
    </w:p>
    <w:p w14:paraId="6EEF7676" w14:textId="77777777" w:rsidR="00091BF6" w:rsidRDefault="00091BF6" w:rsidP="00091BF6">
      <w:pPr>
        <w:pStyle w:val="ListParagraph"/>
        <w:spacing w:after="0" w:line="240" w:lineRule="auto"/>
        <w:ind w:left="0"/>
        <w:jc w:val="both"/>
        <w:rPr>
          <w:rFonts w:ascii="Tw Cen MT" w:hAnsi="Tw Cen MT"/>
          <w:noProof/>
          <w:sz w:val="24"/>
          <w:szCs w:val="24"/>
          <w:lang w:val="id-ID"/>
        </w:rPr>
      </w:pPr>
    </w:p>
    <w:p w14:paraId="06310CE2" w14:textId="0B4B9DC0" w:rsidR="00017532" w:rsidRDefault="00017532" w:rsidP="00091BF6">
      <w:pPr>
        <w:pStyle w:val="ListParagraph"/>
        <w:spacing w:after="0" w:line="240" w:lineRule="auto"/>
        <w:ind w:left="0"/>
        <w:jc w:val="both"/>
        <w:rPr>
          <w:rFonts w:ascii="Tw Cen MT" w:hAnsi="Tw Cen MT"/>
          <w:noProof/>
          <w:sz w:val="24"/>
          <w:szCs w:val="24"/>
          <w:lang w:val="id-ID"/>
        </w:rPr>
      </w:pPr>
      <w:r w:rsidRPr="00EB4E8C">
        <w:rPr>
          <w:rFonts w:ascii="Tw Cen MT" w:hAnsi="Tw Cen MT"/>
          <w:noProof/>
          <w:sz w:val="24"/>
          <w:szCs w:val="24"/>
          <w:lang w:val="id-ID"/>
        </w:rPr>
        <w:t xml:space="preserve">Uji statistik menghasilkan p-value sebesar 0,001, menunjukkan bahwa hubungan ini sangat signifikan secara statistik pada tingkat signifikansi </w:t>
      </w:r>
      <w:r w:rsidRPr="00EB4E8C">
        <w:rPr>
          <w:rFonts w:cs="Calibri"/>
          <w:noProof/>
          <w:sz w:val="24"/>
          <w:szCs w:val="24"/>
          <w:lang w:val="id-ID"/>
        </w:rPr>
        <w:t>α</w:t>
      </w:r>
      <w:r w:rsidRPr="00EB4E8C">
        <w:rPr>
          <w:rFonts w:ascii="Tw Cen MT" w:hAnsi="Tw Cen MT"/>
          <w:noProof/>
          <w:sz w:val="24"/>
          <w:szCs w:val="24"/>
          <w:lang w:val="id-ID"/>
        </w:rPr>
        <w:t xml:space="preserve"> = 0,05. Nilai </w:t>
      </w:r>
      <w:r w:rsidRPr="00695835">
        <w:rPr>
          <w:rFonts w:ascii="Tw Cen MT" w:hAnsi="Tw Cen MT"/>
          <w:i/>
          <w:iCs/>
          <w:noProof/>
          <w:sz w:val="24"/>
          <w:szCs w:val="24"/>
          <w:lang w:val="id-ID"/>
        </w:rPr>
        <w:t>p-value</w:t>
      </w:r>
      <w:r w:rsidRPr="00EB4E8C">
        <w:rPr>
          <w:rFonts w:ascii="Tw Cen MT" w:hAnsi="Tw Cen MT"/>
          <w:noProof/>
          <w:sz w:val="24"/>
          <w:szCs w:val="24"/>
          <w:lang w:val="id-ID"/>
        </w:rPr>
        <w:t xml:space="preserve"> sebesar 0,001 menandakan adanya hubungan yang kuat antara pengetahuan ibu hamil dan kemampuannya dalam mendeteksi risiko tinggi selama kehamilan.</w:t>
      </w:r>
      <w:r>
        <w:rPr>
          <w:rFonts w:ascii="Tw Cen MT" w:hAnsi="Tw Cen MT"/>
          <w:noProof/>
          <w:sz w:val="24"/>
          <w:szCs w:val="24"/>
          <w:lang w:val="id-ID"/>
        </w:rPr>
        <w:t xml:space="preserve"> </w:t>
      </w:r>
      <w:r w:rsidRPr="00D32B7E">
        <w:rPr>
          <w:rFonts w:ascii="Tw Cen MT" w:hAnsi="Tw Cen MT"/>
          <w:noProof/>
          <w:sz w:val="24"/>
          <w:szCs w:val="24"/>
          <w:lang w:val="id-ID"/>
        </w:rPr>
        <w:t>Artinya, semakin tinggi pengetahuan ibu hamil tentang kehamilan dan tanda-tanda risiko, semakin besar kemungkinan mereka untuk melakukan deteksi dini terhadap potensi komplikasi.</w:t>
      </w:r>
    </w:p>
    <w:p w14:paraId="22C7EE8E" w14:textId="77777777" w:rsidR="00017532" w:rsidRPr="00F4585D" w:rsidRDefault="00017532" w:rsidP="00091BF6">
      <w:pPr>
        <w:pStyle w:val="ListParagraph"/>
        <w:spacing w:after="0" w:line="240" w:lineRule="auto"/>
        <w:ind w:left="0"/>
        <w:jc w:val="both"/>
        <w:rPr>
          <w:rFonts w:ascii="Tw Cen MT" w:hAnsi="Tw Cen MT"/>
          <w:noProof/>
          <w:sz w:val="24"/>
          <w:szCs w:val="24"/>
          <w:lang w:val="id-ID"/>
        </w:rPr>
      </w:pPr>
      <w:r w:rsidRPr="00F4585D">
        <w:rPr>
          <w:rFonts w:ascii="Tw Cen MT" w:hAnsi="Tw Cen MT"/>
          <w:noProof/>
          <w:sz w:val="24"/>
          <w:szCs w:val="24"/>
          <w:lang w:val="id-ID"/>
        </w:rPr>
        <w:t xml:space="preserve">Interpretasi nilai OR ini mengindikasikan bahwa ibu hamil </w:t>
      </w:r>
      <w:r w:rsidRPr="00EB4E8C">
        <w:rPr>
          <w:rFonts w:ascii="Tw Cen MT" w:hAnsi="Tw Cen MT"/>
          <w:noProof/>
          <w:sz w:val="24"/>
          <w:szCs w:val="24"/>
          <w:lang w:val="id-ID"/>
        </w:rPr>
        <w:t>dengan tingkat pengetahuan yang lebih tinggi memiliki peluang 1,54 kali lebih besar untuk melakukan deteksi dini risiko tinggi kehamilan dibandingkan dengan ibu hamil yang memiliki pengetahuan lebih rendah.</w:t>
      </w:r>
      <w:r>
        <w:rPr>
          <w:rFonts w:ascii="Tw Cen MT" w:hAnsi="Tw Cen MT"/>
          <w:noProof/>
          <w:sz w:val="24"/>
          <w:szCs w:val="24"/>
          <w:lang w:val="id-ID"/>
        </w:rPr>
        <w:t xml:space="preserve"> </w:t>
      </w:r>
      <w:r w:rsidRPr="00F4585D">
        <w:rPr>
          <w:rFonts w:ascii="Tw Cen MT" w:hAnsi="Tw Cen MT"/>
          <w:noProof/>
          <w:sz w:val="24"/>
          <w:szCs w:val="24"/>
          <w:lang w:val="id-ID"/>
        </w:rPr>
        <w:t>Namun, karena interval kepercayaan mencakup nilai 1 dan memiliki rentang yang cukup lebar, hasil ini menunjukkan bahwa hubungan tersebut tidak cukup kuat atau konsisten, dan mungkin dipengaruhi oleh variabilitas data atau ukuran sampel yang terbatas.</w:t>
      </w:r>
    </w:p>
    <w:p w14:paraId="7E33BAA7" w14:textId="64EAFC8F" w:rsidR="00017532" w:rsidRPr="00D32B7E" w:rsidRDefault="00F67BDE" w:rsidP="00091BF6">
      <w:pPr>
        <w:pStyle w:val="ListParagraph"/>
        <w:spacing w:after="0" w:line="240" w:lineRule="auto"/>
        <w:ind w:left="0"/>
        <w:jc w:val="both"/>
        <w:rPr>
          <w:rFonts w:ascii="Tw Cen MT" w:hAnsi="Tw Cen MT"/>
          <w:noProof/>
          <w:sz w:val="24"/>
          <w:szCs w:val="24"/>
          <w:lang w:val="id-ID"/>
        </w:rPr>
      </w:pPr>
      <w:r>
        <w:rPr>
          <w:rFonts w:ascii="Tw Cen MT" w:hAnsi="Tw Cen MT"/>
          <w:noProof/>
          <w:sz w:val="24"/>
          <w:szCs w:val="24"/>
          <w:lang w:val="id-ID"/>
        </w:rPr>
        <w:t>T</w:t>
      </w:r>
      <w:r w:rsidR="00017532" w:rsidRPr="00F4585D">
        <w:rPr>
          <w:rFonts w:ascii="Tw Cen MT" w:hAnsi="Tw Cen MT"/>
          <w:noProof/>
          <w:sz w:val="24"/>
          <w:szCs w:val="24"/>
          <w:lang w:val="id-ID"/>
        </w:rPr>
        <w:t>emuan ini menyoroti pentingnya pengetahuan ibu hamil dalam meningkatkan kesadaran dan tindakan pencegahan terhadap risiko kehamilan, sehingga intervensi edukasi kesehatan tetap relevan dan perlu diperkuat.</w:t>
      </w:r>
      <w:r>
        <w:rPr>
          <w:rFonts w:ascii="Tw Cen MT" w:hAnsi="Tw Cen MT"/>
          <w:noProof/>
          <w:sz w:val="24"/>
          <w:szCs w:val="24"/>
          <w:lang w:val="id-ID"/>
        </w:rPr>
        <w:t xml:space="preserve"> </w:t>
      </w:r>
      <w:r w:rsidR="00017532" w:rsidRPr="00D32B7E">
        <w:rPr>
          <w:rFonts w:ascii="Tw Cen MT" w:hAnsi="Tw Cen MT"/>
          <w:noProof/>
          <w:sz w:val="24"/>
          <w:szCs w:val="24"/>
          <w:lang w:val="id-ID"/>
        </w:rPr>
        <w:t xml:space="preserve">Pengetahuan ibu hamil mencakup pemahaman tentang tanda-tanda awal komplikasi kehamilan, pentingnya pemeriksaan antenatal secara rutin, serta faktor risiko yang mungkin dihadapi selama kehamilan. </w:t>
      </w:r>
      <w:r w:rsidR="00017532" w:rsidRPr="00EB4E8C">
        <w:rPr>
          <w:rFonts w:ascii="Tw Cen MT" w:hAnsi="Tw Cen MT"/>
          <w:noProof/>
          <w:sz w:val="24"/>
          <w:szCs w:val="24"/>
          <w:lang w:val="id-ID"/>
        </w:rPr>
        <w:t xml:space="preserve">Ibu hamil dengan pengetahuan yang lebih baik cenderung lebih menyadari pentingnya pemeriksaan antenatal dan lebih aktif </w:t>
      </w:r>
      <w:r w:rsidR="00017532" w:rsidRPr="00D32B7E">
        <w:rPr>
          <w:rFonts w:ascii="Tw Cen MT" w:hAnsi="Tw Cen MT"/>
          <w:noProof/>
          <w:sz w:val="24"/>
          <w:szCs w:val="24"/>
          <w:lang w:val="id-ID"/>
        </w:rPr>
        <w:t>dalam mengenali tanda-tanda bahaya, seperti tekanan darah tinggi, pendarahan, atau gerakan janin yang tidak normal</w:t>
      </w:r>
      <w:r w:rsidR="00017532">
        <w:rPr>
          <w:rFonts w:ascii="Tw Cen MT" w:hAnsi="Tw Cen MT"/>
          <w:noProof/>
          <w:sz w:val="24"/>
          <w:szCs w:val="24"/>
          <w:lang w:val="id-ID"/>
        </w:rPr>
        <w:fldChar w:fldCharType="begin" w:fldLock="1"/>
      </w:r>
      <w:r w:rsidR="00663E0E">
        <w:rPr>
          <w:rFonts w:ascii="Tw Cen MT" w:hAnsi="Tw Cen MT"/>
          <w:noProof/>
          <w:sz w:val="24"/>
          <w:szCs w:val="24"/>
          <w:lang w:val="id-ID"/>
        </w:rPr>
        <w:instrText>ADDIN CSL_CITATION {"citationItems":[{"id":"ITEM-1","itemData":{"DOI":"10.55047/comorbid.v1i4.591","abstract":"Pregnancy is a physiological condition that can become pathological if there are complications that affect the health of both the mother and the baby. Pregnant women need to be aware of potential high-risk pregnancy factors and understand the importance of early detection. Health education is an essential tool for improving pregnant women's knowledge in this area. The aim of this study is to explore the impact of health education on pregnant women's knowledge about high-risk pregnancy. To achieve this, we conducted a review of existing research sources obtained from Google and Google Scholar. The sources were taken within the last five years, from 2018 to 2022. A total of 13 articles were identified, consisting of national and international journals that focused on pregnant women who received interventions in the form of health education about high-risk pregnancy. The findings suggest that health education has a positive impact on pregnant women's knowledge and can help reduce the risks associated with high-risk pregnancies.","author":[{"dropping-particle":"","family":"Handayani","given":"Evika Putri","non-dropping-particle":"","parse-names":false,"suffix":""},{"dropping-particle":"","family":"Jannah","given":"Muliatul","non-dropping-particle":"","parse-names":false,"suffix":""},{"dropping-particle":"","family":"Rahmawati","given":"Alfiah","non-dropping-particle":"","parse-names":false,"suffix":""}],"container-title":"Pharmacology Medical Reports Orthopedic and Illness Details (Comorbid)","id":"ITEM-1","issue":"4","issued":{"date-parts":[["2023"]]},"page":"14-21","title":"Efforts To Increase Pregnant Women'S Knowledge About High-Risk Pregnancy With Health Education","type":"article-journal","volume":"1"},"uris":["http://www.mendeley.com/documents/?uuid=9393fb90-23f9-4185-a88c-e9fe324f5934"]}],"mendeley":{"formattedCitation":"[10]","plainTextFormattedCitation":"[10]","previouslyFormattedCitation":"[10]"},"properties":{"noteIndex":0},"schema":"https://github.com/citation-style-language/schema/raw/master/csl-citation.json"}</w:instrText>
      </w:r>
      <w:r w:rsidR="00017532">
        <w:rPr>
          <w:rFonts w:ascii="Tw Cen MT" w:hAnsi="Tw Cen MT"/>
          <w:noProof/>
          <w:sz w:val="24"/>
          <w:szCs w:val="24"/>
          <w:lang w:val="id-ID"/>
        </w:rPr>
        <w:fldChar w:fldCharType="separate"/>
      </w:r>
      <w:r w:rsidR="00663E0E" w:rsidRPr="00663E0E">
        <w:rPr>
          <w:rFonts w:ascii="Tw Cen MT" w:hAnsi="Tw Cen MT"/>
          <w:noProof/>
          <w:sz w:val="24"/>
          <w:szCs w:val="24"/>
          <w:lang w:val="id-ID"/>
        </w:rPr>
        <w:t>[10]</w:t>
      </w:r>
      <w:r w:rsidR="00017532">
        <w:rPr>
          <w:rFonts w:ascii="Tw Cen MT" w:hAnsi="Tw Cen MT"/>
          <w:noProof/>
          <w:sz w:val="24"/>
          <w:szCs w:val="24"/>
          <w:lang w:val="id-ID"/>
        </w:rPr>
        <w:fldChar w:fldCharType="end"/>
      </w:r>
      <w:r w:rsidR="00017532" w:rsidRPr="00D32B7E">
        <w:rPr>
          <w:rFonts w:ascii="Tw Cen MT" w:hAnsi="Tw Cen MT"/>
          <w:noProof/>
          <w:sz w:val="24"/>
          <w:szCs w:val="24"/>
          <w:lang w:val="id-ID"/>
        </w:rPr>
        <w:t xml:space="preserve">. Deteksi dini risiko kehamilan sangat penting untuk mencegah komplikasi yang lebih serius, baik bagi ibu maupun janin. Pengetahuan yang baik memungkinkan ibu untuk mengambil tindakan pencegahan lebih awal, seperti segera berkonsultasi dengan tenaga kesehatan atau menjalani pemeriksaan tambahan. Hasil ini menunjukkan bahwa intervensi yang bertujuan untuk meningkatkan pengetahuan ibu hamil, seperti edukasi kesehatan melalui kelas kehamilan atau konseling individual, dapat meningkatkan kemampuan ibu dalam melakukan deteksi dini dan, pada akhirnya, menurunkan angka komplikasi kehamilan </w:t>
      </w:r>
      <w:r w:rsidR="00017532" w:rsidRPr="00D32B7E">
        <w:rPr>
          <w:rFonts w:ascii="Tw Cen MT" w:hAnsi="Tw Cen MT"/>
          <w:noProof/>
          <w:sz w:val="24"/>
          <w:szCs w:val="24"/>
          <w:lang w:val="id-ID"/>
        </w:rPr>
        <w:fldChar w:fldCharType="begin" w:fldLock="1"/>
      </w:r>
      <w:r w:rsidR="00663E0E">
        <w:rPr>
          <w:rFonts w:ascii="Tw Cen MT" w:hAnsi="Tw Cen MT"/>
          <w:noProof/>
          <w:sz w:val="24"/>
          <w:szCs w:val="24"/>
          <w:lang w:val="id-ID"/>
        </w:rPr>
        <w:instrText>ADDIN CSL_CITATION {"citationItems":[{"id":"ITEM-1","itemData":{"author":[{"dropping-particle":"","family":"Nainggolan","given":"Dimpu Rismawaty","non-dropping-particle":"","parse-names":false,"suffix":""},{"dropping-particle":"","family":"Ujung","given":"Riance Mardiana","non-dropping-particle":"","parse-names":false,"suffix":""}],"container-title":"Jurnal Mitra Prima (JMP)","id":"ITEM-1","issue":"2","issued":{"date-parts":[["2022"]]},"title":"Peningkatan Pengetahuan dan Deteksi Dini Tanda Bahaya Kehamilan di Wilayah Kerja Puskesmas Sipahutar Kabupaten Tapanuli Utara Tahun 2022","type":"article-journal","volume":"4"},"uris":["http://www.mendeley.com/documents/?uuid=2fc1e9e9-ac4d-4da5-98bb-4e0249b2536b"]}],"mendeley":{"formattedCitation":"[11]","plainTextFormattedCitation":"[11]","previouslyFormattedCitation":"[11]"},"properties":{"noteIndex":0},"schema":"https://github.com/citation-style-language/schema/raw/master/csl-citation.json"}</w:instrText>
      </w:r>
      <w:r w:rsidR="00017532" w:rsidRPr="00D32B7E">
        <w:rPr>
          <w:rFonts w:ascii="Tw Cen MT" w:hAnsi="Tw Cen MT"/>
          <w:noProof/>
          <w:sz w:val="24"/>
          <w:szCs w:val="24"/>
          <w:lang w:val="id-ID"/>
        </w:rPr>
        <w:fldChar w:fldCharType="separate"/>
      </w:r>
      <w:r w:rsidR="00663E0E" w:rsidRPr="00663E0E">
        <w:rPr>
          <w:rFonts w:ascii="Tw Cen MT" w:hAnsi="Tw Cen MT"/>
          <w:noProof/>
          <w:sz w:val="24"/>
          <w:szCs w:val="24"/>
          <w:lang w:val="id-ID"/>
        </w:rPr>
        <w:t>[11]</w:t>
      </w:r>
      <w:r w:rsidR="00017532" w:rsidRPr="00D32B7E">
        <w:rPr>
          <w:rFonts w:ascii="Tw Cen MT" w:hAnsi="Tw Cen MT"/>
          <w:noProof/>
          <w:sz w:val="24"/>
          <w:szCs w:val="24"/>
          <w:lang w:val="id-ID"/>
        </w:rPr>
        <w:fldChar w:fldCharType="end"/>
      </w:r>
      <w:r w:rsidR="00017532" w:rsidRPr="00D32B7E">
        <w:rPr>
          <w:rFonts w:ascii="Tw Cen MT" w:hAnsi="Tw Cen MT"/>
          <w:noProof/>
          <w:sz w:val="24"/>
          <w:szCs w:val="24"/>
          <w:lang w:val="id-ID"/>
        </w:rPr>
        <w:t>.</w:t>
      </w:r>
    </w:p>
    <w:p w14:paraId="218C9247" w14:textId="54613AB8" w:rsidR="00017532" w:rsidRPr="00D32B7E" w:rsidRDefault="00017532" w:rsidP="00091BF6">
      <w:pPr>
        <w:pStyle w:val="ListParagraph"/>
        <w:spacing w:after="0" w:line="240" w:lineRule="auto"/>
        <w:ind w:left="0"/>
        <w:jc w:val="both"/>
        <w:rPr>
          <w:rFonts w:ascii="Tw Cen MT" w:hAnsi="Tw Cen MT"/>
          <w:noProof/>
          <w:sz w:val="24"/>
          <w:szCs w:val="24"/>
          <w:lang w:val="id-ID"/>
        </w:rPr>
      </w:pPr>
      <w:r w:rsidRPr="00D32B7E">
        <w:rPr>
          <w:rFonts w:ascii="Tw Cen MT" w:hAnsi="Tw Cen MT"/>
          <w:noProof/>
          <w:sz w:val="24"/>
          <w:szCs w:val="24"/>
          <w:lang w:val="id-ID"/>
        </w:rPr>
        <w:t>Temuan ini menekankan pentingnya program edukasi bagi ibu hamil yang dapat dilakukan di Puskesmas, klinik, atau melalui media lainnya. Program-program ini perlu dirancang sedemikian rupa agar dapat diakses oleh ibu hamil dari berbagai latar belakang sosial-ekonomi dan pendidikan. Materi edukasi yang mencakup informasi tentang tanda-tanda risiko tinggi kehamilan, pentingnya kunjungan antenatal, dan langkah-langkah pencegahan dapat memperkuat pengetahuan ibu hamil dan meningkatkan deteksi dini</w:t>
      </w:r>
      <w:r w:rsidR="00695835">
        <w:rPr>
          <w:rFonts w:ascii="Tw Cen MT" w:hAnsi="Tw Cen MT"/>
          <w:noProof/>
          <w:sz w:val="24"/>
          <w:szCs w:val="24"/>
          <w:lang w:val="id-ID"/>
        </w:rPr>
        <w:t xml:space="preserve"> </w:t>
      </w:r>
      <w:r w:rsidRPr="00D32B7E">
        <w:rPr>
          <w:rFonts w:ascii="Tw Cen MT" w:hAnsi="Tw Cen MT"/>
          <w:noProof/>
          <w:sz w:val="24"/>
          <w:szCs w:val="24"/>
          <w:lang w:val="id-ID"/>
        </w:rPr>
        <w:fldChar w:fldCharType="begin" w:fldLock="1"/>
      </w:r>
      <w:r w:rsidR="00663E0E">
        <w:rPr>
          <w:rFonts w:ascii="Tw Cen MT" w:hAnsi="Tw Cen MT"/>
          <w:noProof/>
          <w:sz w:val="24"/>
          <w:szCs w:val="24"/>
          <w:lang w:val="id-ID"/>
        </w:rPr>
        <w:instrText>ADDIN CSL_CITATION {"citationItems":[{"id":"ITEM-1","itemData":{"DOI":"10.7759/cureus.39285","ISSN":"2168-8184","PMID":"37223341","abstract":"INTRODUCTION Antenatal (prenatal) education is a vital role of midwives when giving antenatal care to pregnant women. Particularly in the late stages of pregnancy, antenatal education regarding the natural-labor process, the introduction of labor rooms, coping strategies, and labor-pain management may enhance maternal self-efficacy and perceptions of childbirth. However, educational programs that include birth plans, pain-relief measures, and birth preparation are not a structured part of the Saudi healthcare system. This is the first study to investigate the effect of antenatal education on maternal self-efficacy in Saudi Arabia. The aim of this study was to investigate the effect of an antenatal education program on maternal self-efficacy in primiparous pregnant women and to determine the relationship between maternal self-efficacy and their sociodemographic characteristics in Jeddah, Saudi Arabia. METHODS A randomized control trial (pretest/posttest) design was conducted with 94 primiparous pregnant women. Two groups were compared: an intervention group, which received a structured antenatal educational program (n = 46), and a control group, which received routine antenatal care (n = 48). The childbirth self-efficacy inventory (CBSEI) was used to assess maternal self-efficacy. The data were analyzed using IBM SPSS Statistics for Windows, Version 24 (Released 2016; IBM Corp., Armonk, New York, United States). RESULTS The mean score on the CBSEI pretest was 238.5 ± 237.4 compared to 242.9 ± 276.2 in the posttest mean score, with significant differences (p &lt; .05) in maternal self-efficacy between the pretest and posttest scores for both groups. CONCLUSION The findings of this study suggest that an antenatal educational program could serve as an essential tool, providing access to high-quality information and skills during the antenatal period and significantly enhancing maternal self-efficacy. It is crucial to invest resources to empower and equip pregnant women in ways that promote positive perceptions and boost their confidence regarding childbirth.","author":[{"dropping-particle":"","family":"Somali","given":"Zohour","non-dropping-particle":"Al","parse-names":false,"suffix":""},{"dropping-particle":"","family":"Bajamal","given":"Eman","non-dropping-particle":"","parse-names":false,"suffix":""},{"dropping-particle":"","family":"Esheaba","given":"Ola","non-dropping-particle":"","parse-names":false,"suffix":""}],"container-title":"Cureus Journal","id":"ITEM-1","issue":"5","issued":{"date-parts":[["2023"]]},"title":"The Effect of Structured The Effect of Structured Antenatal Education on Childbirth Self-Efficacy","type":"article-journal","volume":"15"},"uris":["http://www.mendeley.com/documents/?uuid=002441de-28f2-48ed-b2d8-24dfcf55ece1"]},{"id":"ITEM-2","itemData":{"author":[{"dropping-particle":"De","family":"Araujo","given":"Eugenia Carvalho","non-dropping-particle":"","parse-names":false,"suffix":""},{"dropping-particle":"","family":"Pereira","given":"Natalia","non-dropping-particle":"","parse-names":false,"suffix":""},{"dropping-particle":"","family":"Tilman","given":"Etelvina Jose S","non-dropping-particle":"","parse-names":false,"suffix":""},{"dropping-particle":"Da","family":"C","given":"Ana Claudia","non-dropping-particle":"","parse-names":false,"suffix":""},{"dropping-particle":"","family":"Corte","given":"Artur N","non-dropping-particle":"","parse-names":false,"suffix":""},{"dropping-particle":"","family":"Araujo","given":"Real","non-dropping-particle":"","parse-names":false,"suffix":""}],"container-title":"Journal of International Multidiscriplinary Research","id":"ITEM-2","issue":"5","issued":{"date-parts":[["2024"]]},"page":"450-462","title":"Effect of Reproductive Health Education on Pregnant Women ' s Knowledge about Normal Delivery","type":"article-journal","volume":"2"},"uris":["http://www.mendeley.com/documents/?uuid=af07171d-a1bf-4a63-b7cc-9bd7f99e1474"]}],"mendeley":{"formattedCitation":"[12], [13]","plainTextFormattedCitation":"[12], [13]","previouslyFormattedCitation":"[12], [13]"},"properties":{"noteIndex":0},"schema":"https://github.com/citation-style-language/schema/raw/master/csl-citation.json"}</w:instrText>
      </w:r>
      <w:r w:rsidRPr="00D32B7E">
        <w:rPr>
          <w:rFonts w:ascii="Tw Cen MT" w:hAnsi="Tw Cen MT"/>
          <w:noProof/>
          <w:sz w:val="24"/>
          <w:szCs w:val="24"/>
          <w:lang w:val="id-ID"/>
        </w:rPr>
        <w:fldChar w:fldCharType="separate"/>
      </w:r>
      <w:r w:rsidR="00663E0E" w:rsidRPr="00663E0E">
        <w:rPr>
          <w:rFonts w:ascii="Tw Cen MT" w:hAnsi="Tw Cen MT"/>
          <w:noProof/>
          <w:sz w:val="24"/>
          <w:szCs w:val="24"/>
          <w:lang w:val="id-ID"/>
        </w:rPr>
        <w:t>[12], [13]</w:t>
      </w:r>
      <w:r w:rsidRPr="00D32B7E">
        <w:rPr>
          <w:rFonts w:ascii="Tw Cen MT" w:hAnsi="Tw Cen MT"/>
          <w:noProof/>
          <w:sz w:val="24"/>
          <w:szCs w:val="24"/>
          <w:lang w:val="id-ID"/>
        </w:rPr>
        <w:fldChar w:fldCharType="end"/>
      </w:r>
      <w:r w:rsidRPr="00D32B7E">
        <w:rPr>
          <w:rFonts w:ascii="Tw Cen MT" w:hAnsi="Tw Cen MT"/>
          <w:noProof/>
          <w:sz w:val="24"/>
          <w:szCs w:val="24"/>
          <w:lang w:val="id-ID"/>
        </w:rPr>
        <w:t>.</w:t>
      </w:r>
    </w:p>
    <w:p w14:paraId="28D48024" w14:textId="74C7BAB5" w:rsidR="00017532" w:rsidRPr="00D32B7E" w:rsidRDefault="00F67BDE" w:rsidP="00091BF6">
      <w:pPr>
        <w:pStyle w:val="ListParagraph"/>
        <w:spacing w:after="0" w:line="240" w:lineRule="auto"/>
        <w:ind w:left="0"/>
        <w:jc w:val="both"/>
        <w:rPr>
          <w:rFonts w:ascii="Tw Cen MT" w:hAnsi="Tw Cen MT"/>
          <w:noProof/>
          <w:sz w:val="24"/>
          <w:szCs w:val="24"/>
          <w:lang w:val="id-ID"/>
        </w:rPr>
      </w:pPr>
      <w:r>
        <w:rPr>
          <w:rFonts w:ascii="Tw Cen MT" w:hAnsi="Tw Cen MT"/>
          <w:noProof/>
          <w:sz w:val="24"/>
          <w:szCs w:val="24"/>
          <w:lang w:val="id-ID"/>
        </w:rPr>
        <w:t>P</w:t>
      </w:r>
      <w:r w:rsidR="00017532" w:rsidRPr="00D32B7E">
        <w:rPr>
          <w:rFonts w:ascii="Tw Cen MT" w:hAnsi="Tw Cen MT"/>
          <w:noProof/>
          <w:sz w:val="24"/>
          <w:szCs w:val="24"/>
          <w:lang w:val="id-ID"/>
        </w:rPr>
        <w:t xml:space="preserve">erlu diperhatikan bahwa peningkatan pengetahuan saja tidak selalu cukup. Faktor-faktor lain, seperti akses ke layanan kesehatan, dukungan keluarga, dan faktor budaya, juga memainkan peran penting dalam keberhasilan deteksi dini. Oleh karena itu, intervensi yang komprehensif diperlukan untuk mengatasi berbagai hambatan yang mungkin menghalangi ibu hamil dalam melakukan deteksi dini, meskipun mereka memiliki pengetahuan yang cukup </w:t>
      </w:r>
      <w:r w:rsidR="00017532" w:rsidRPr="00D32B7E">
        <w:rPr>
          <w:rFonts w:ascii="Tw Cen MT" w:hAnsi="Tw Cen MT"/>
          <w:noProof/>
          <w:sz w:val="24"/>
          <w:szCs w:val="24"/>
          <w:lang w:val="id-ID"/>
        </w:rPr>
        <w:fldChar w:fldCharType="begin" w:fldLock="1"/>
      </w:r>
      <w:r w:rsidR="00663E0E">
        <w:rPr>
          <w:rFonts w:ascii="Tw Cen MT" w:hAnsi="Tw Cen MT"/>
          <w:noProof/>
          <w:sz w:val="24"/>
          <w:szCs w:val="24"/>
          <w:lang w:val="id-ID"/>
        </w:rPr>
        <w:instrText>ADDIN CSL_CITATION {"citationItems":[{"id":"ITEM-1","itemData":{"DOI":"10.1038/s41598-023-32056-y","ISBN":"0123456789","ISSN":"20452322","PMID":"37024531","abstract":"Early Infant Diagnosis of HIV infection services are crucial for managing the perinatally acquired HIV infection. Assessing the performance of the EID services and its underlying determinants is important for the National AIDS Control Program, India. The objectives of this study were to find out access to HIV testing, the timeliness of the testing cascade, and the proportion of HIV exposed infants who are followed up to 18 months for a definitive diagnosis of HIV. The study design was a mixed method. A total of 11 states accounting for 80% of HIV-positive pregnant women were selected. Program records from a total of 62 Integrated counselling and testing centres (ICTCs) served as the source of information. The qualitative component included interviews of program managers at the state and district level, service providers at the ICTC level, and caregivers of HIV exposed infants. In the sampled 62 ICTCs, 78% of the HIV exposed infants had at least one HIV test. Of the infants who had HIV tests, 50% had at first sample collected by 8 weeks of age. The median turnaround time from sample collection to DNA PCR testing was 36 (IQR 19–70) days and that to next sample collection in case of detection of virus in the first sample was 66 (IQR 55–116) days. At 18 months of age, 544 (62%) HIV exposed infants were retained in the EID testing cascade. A total of 30 infants were diagnosed with HIV at a median age of 421 (IQR 149–650) days. More than three fourth of the HIV exposed infants had access to early infant diagnosis (EID) services. Both demand and supply-side factors contribute to access, timeliness and retention and there is a need to address these factors.","author":[{"dropping-particle":"","family":"Kamble","given":"Suchit","non-dropping-particle":"","parse-names":false,"suffix":""},{"dropping-particle":"","family":"Gawde","given":"Nilesh","non-dropping-particle":"","parse-names":false,"suffix":""},{"dropping-particle":"","family":"Goel","given":"Noopur","non-dropping-particle":"","parse-names":false,"suffix":""},{"dropping-particle":"","family":"Thorwat","given":"Mohan","non-dropping-particle":"","parse-names":false,"suffix":""},{"dropping-particle":"","family":"Nikhare","given":"Kalyani","non-dropping-particle":"","parse-names":false,"suffix":""},{"dropping-particle":"","family":"Bembalkar","given":"Shilpa","non-dropping-particle":"","parse-names":false,"suffix":""},{"dropping-particle":"","family":"Kamble","given":"Sushmita","non-dropping-particle":"","parse-names":false,"suffix":""},{"dropping-particle":"","family":"Brahme","given":"Radhika","non-dropping-particle":"","parse-names":false,"suffix":""},{"dropping-particle":"","family":"Pawar","given":"Swapna","non-dropping-particle":"","parse-names":false,"suffix":""},{"dropping-particle":"","family":"Sahoo","given":"Rakesh","non-dropping-particle":"","parse-names":false,"suffix":""},{"dropping-particle":"","family":"Rana","given":"Manish","non-dropping-particle":"","parse-names":false,"suffix":""},{"dropping-particle":"","family":"Singh","given":"Manishkumar","non-dropping-particle":"","parse-names":false,"suffix":""},{"dropping-particle":"","family":"Mohiuddin","given":"Syed Ahmed","non-dropping-particle":"","parse-names":false,"suffix":""},{"dropping-particle":"","family":"Hatnoor","given":"Shivappa","non-dropping-particle":"","parse-names":false,"suffix":""},{"dropping-particle":"","family":"Narapureddy","given":"Bayapa Reddy","non-dropping-particle":"","parse-names":false,"suffix":""},{"dropping-particle":"","family":"Saleem","given":"M.","non-dropping-particle":"","parse-names":false,"suffix":""},{"dropping-particle":"","family":"Shekhawat","given":"Kirti","non-dropping-particle":"","parse-names":false,"suffix":""},{"dropping-particle":"","family":"Verma","given":"Vinita","non-dropping-particle":"","parse-names":false,"suffix":""},{"dropping-particle":"","family":"Kapoor","given":"Neha","non-dropping-particle":"","parse-names":false,"suffix":""},{"dropping-particle":"","family":"Das","given":"Chinmoyee","non-dropping-particle":"","parse-names":false,"suffix":""},{"dropping-particle":"","family":"Gangakhedkar","given":"Raman","non-dropping-particle":"","parse-names":false,"suffix":""}],"container-title":"Scientific Reports","id":"ITEM-1","issue":"1","issued":{"date-parts":[["2023"]]},"page":"1-11","publisher":"Nature Publishing Group UK","title":"Access, timeliness and retention for HIV testing under early infant diagnosis (EID) program, India","type":"article-journal","volume":"13"},"uris":["http://www.mendeley.com/documents/?uuid=4cb154cb-e3cf-4cb3-86d5-245f3ae3c41c"]},{"id":"ITEM-2","itemData":{"DOI":"10.18203/2394-6040.ijcmph20231772","ISSN":"2394-6032","abstract":"Even in the advanced era of today, maternal morbidity and mortality are quite high; however, most pregnancy-related complications can be successfully prevented by early diagnosis and timely management. The primary care setting is of utmost importance in this regard, as it is the first line of contact between patients and physicians, and regular antenatal care services are provided by most of primary care settings. Ectopic pregnancy is one of the most prevalent pregnancy disorders and is further associated with high-risk complications and mortality. The clinical manifestations may mimic non-ectopic pregnancy conditions, making it difficult to develop diagnostic standards. However, ultrasonography and human chorionic gonadotropin (</w:instrText>
      </w:r>
      <w:r w:rsidR="00663E0E">
        <w:rPr>
          <w:rFonts w:cs="Calibri"/>
          <w:noProof/>
          <w:sz w:val="24"/>
          <w:szCs w:val="24"/>
          <w:lang w:val="id-ID"/>
        </w:rPr>
        <w:instrText>β</w:instrText>
      </w:r>
      <w:r w:rsidR="00663E0E">
        <w:rPr>
          <w:rFonts w:ascii="Tw Cen MT" w:hAnsi="Tw Cen MT"/>
          <w:noProof/>
          <w:sz w:val="24"/>
          <w:szCs w:val="24"/>
          <w:lang w:val="id-ID"/>
        </w:rPr>
        <w:instrText xml:space="preserve">-hCG) levels can ensure early diagnosis. Conservative treatment is pursued since surgical management is linked to multiple significant side effects. In most situations, pharmacotherapy using methotrexate in a single- or multi-dose regimen is the preferred course of treatment. Performing ultrasonography as soon as a pregnancy is confirmed to determine the location of the pregnancy, monitoring </w:instrText>
      </w:r>
      <w:r w:rsidR="00663E0E">
        <w:rPr>
          <w:rFonts w:cs="Calibri"/>
          <w:noProof/>
          <w:sz w:val="24"/>
          <w:szCs w:val="24"/>
          <w:lang w:val="id-ID"/>
        </w:rPr>
        <w:instrText>β</w:instrText>
      </w:r>
      <w:r w:rsidR="00663E0E">
        <w:rPr>
          <w:rFonts w:ascii="Tw Cen MT" w:hAnsi="Tw Cen MT"/>
          <w:noProof/>
          <w:sz w:val="24"/>
          <w:szCs w:val="24"/>
          <w:lang w:val="id-ID"/>
        </w:rPr>
        <w:instrText>-hCG levels, and ensuring prompt referral in the event of a possible ectopic pregnancy that cannot be treated conservatively are all important ways that primary care settings can play a significant role in early diagnosis and prompt management. Additionally, obstetric ultrasonography training for family physicians can help in the early detection of ectopic pregnancy, which can lead to favourable results. The purpose of this research is to review the available information about strategies to improve the diagnosis and management of ectopic pregnancy in primary care.  ","author":[{"dropping-particle":"","family":"Alharbi","given":"Shada Murshed","non-dropping-particle":"","parse-names":false,"suffix":""},{"dropping-particle":"","family":"Mazi","given":"Orjuwan Abdulbari","non-dropping-particle":"","parse-names":false,"suffix":""},{"dropping-particle":"","family":"Aljassar","given":"Marah Rashed","non-dropping-particle":"","parse-names":false,"suffix":""},{"dropping-particle":"","family":"Al-Omani","given":"Danah Jazaa","non-dropping-particle":"","parse-names":false,"suffix":""},{"dropping-particle":"","family":"Alharbi","given":"Lama Yousef","non-dropping-particle":"","parse-names":false,"suffix":""},{"dropping-particle":"","family":"Rasheed","given":"Yasmen Tawfeeq","non-dropping-particle":"","parse-names":false,"suffix":""},{"dropping-particle":"","family":"Alhagbani","given":"Mona Abdulrahman","non-dropping-particle":"","parse-names":false,"suffix":""},{"dropping-particle":"","family":"Alyami","given":"Maram Mohammed","non-dropping-particle":"","parse-names":false,"suffix":""},{"dropping-particle":"","family":"Gadeer","given":"Rana Hassan","non-dropping-particle":"","parse-names":false,"suffix":""},{"dropping-particle":"","family":"Alsenan","given":"Yasmeen Zaki","non-dropping-particle":"","parse-names":false,"suffix":""},{"dropping-particle":"","family":"Ibrahim","given":"Nuha Eltigani","non-dropping-particle":"","parse-names":false,"suffix":""}],"container-title":"International Journal Of Community Medicine And Public Health","id":"ITEM-2","issue":"7","issued":{"date-parts":[["2023"]]},"page":"2599-2603","title":"Strategies to improve the early detection and management of ectopic pregnancies in primary care","type":"article-journal","volume":"10"},"uris":["http://www.mendeley.com/documents/?uuid=3b591fe9-1aca-4877-9e52-548cb7a77497"]}],"mendeley":{"formattedCitation":"[14], [15]","plainTextFormattedCitation":"[14], [15]","previouslyFormattedCitation":"[14], [15]"},"properties":{"noteIndex":0},"schema":"https://github.com/citation-style-language/schema/raw/master/csl-citation.json"}</w:instrText>
      </w:r>
      <w:r w:rsidR="00017532" w:rsidRPr="00D32B7E">
        <w:rPr>
          <w:rFonts w:ascii="Tw Cen MT" w:hAnsi="Tw Cen MT"/>
          <w:noProof/>
          <w:sz w:val="24"/>
          <w:szCs w:val="24"/>
          <w:lang w:val="id-ID"/>
        </w:rPr>
        <w:fldChar w:fldCharType="separate"/>
      </w:r>
      <w:r w:rsidR="00663E0E" w:rsidRPr="00663E0E">
        <w:rPr>
          <w:rFonts w:ascii="Tw Cen MT" w:hAnsi="Tw Cen MT"/>
          <w:noProof/>
          <w:sz w:val="24"/>
          <w:szCs w:val="24"/>
          <w:lang w:val="id-ID"/>
        </w:rPr>
        <w:t>[14], [15]</w:t>
      </w:r>
      <w:r w:rsidR="00017532" w:rsidRPr="00D32B7E">
        <w:rPr>
          <w:rFonts w:ascii="Tw Cen MT" w:hAnsi="Tw Cen MT"/>
          <w:noProof/>
          <w:sz w:val="24"/>
          <w:szCs w:val="24"/>
          <w:lang w:val="id-ID"/>
        </w:rPr>
        <w:fldChar w:fldCharType="end"/>
      </w:r>
      <w:r w:rsidR="00017532" w:rsidRPr="00D32B7E">
        <w:rPr>
          <w:rFonts w:ascii="Tw Cen MT" w:hAnsi="Tw Cen MT"/>
          <w:noProof/>
          <w:sz w:val="24"/>
          <w:szCs w:val="24"/>
          <w:lang w:val="id-ID"/>
        </w:rPr>
        <w:t>.</w:t>
      </w:r>
    </w:p>
    <w:p w14:paraId="54696BB3" w14:textId="23C9A313" w:rsidR="00263CD2" w:rsidRPr="00D32B7E" w:rsidRDefault="00017532" w:rsidP="00091BF6">
      <w:pPr>
        <w:pStyle w:val="ListParagraph"/>
        <w:spacing w:after="0" w:line="240" w:lineRule="auto"/>
        <w:ind w:left="0"/>
        <w:jc w:val="both"/>
        <w:rPr>
          <w:rFonts w:ascii="Tw Cen MT" w:hAnsi="Tw Cen MT"/>
          <w:noProof/>
          <w:sz w:val="24"/>
          <w:szCs w:val="24"/>
          <w:lang w:val="id-ID"/>
        </w:rPr>
      </w:pPr>
      <w:r w:rsidRPr="00D32B7E">
        <w:rPr>
          <w:rFonts w:ascii="Tw Cen MT" w:hAnsi="Tw Cen MT"/>
          <w:noProof/>
          <w:sz w:val="24"/>
          <w:szCs w:val="24"/>
          <w:lang w:val="id-ID"/>
        </w:rPr>
        <w:t xml:space="preserve">Hasil penelitian ini mengonfirmasi bahwa pengetahuan ibu hamil memiliki hubungan yang signifikan dengan deteksi dini risiko tinggi kehamilan. Dengan </w:t>
      </w:r>
      <w:r w:rsidRPr="00695835">
        <w:rPr>
          <w:rFonts w:ascii="Tw Cen MT" w:hAnsi="Tw Cen MT"/>
          <w:i/>
          <w:iCs/>
          <w:noProof/>
          <w:sz w:val="24"/>
          <w:szCs w:val="24"/>
          <w:lang w:val="id-ID"/>
        </w:rPr>
        <w:t>p-value</w:t>
      </w:r>
      <w:r w:rsidRPr="00D32B7E">
        <w:rPr>
          <w:rFonts w:ascii="Tw Cen MT" w:hAnsi="Tw Cen MT"/>
          <w:noProof/>
          <w:sz w:val="24"/>
          <w:szCs w:val="24"/>
          <w:lang w:val="id-ID"/>
        </w:rPr>
        <w:t xml:space="preserve"> sebesar 0,001, dapat disimpulkan bahwa peningkatan pengetahuan ibu hamil melalui edukasi dan penyuluhan merupakan langkah strategis untuk meningkatkan deteksi dini dan mencegah komplikasi kehamilan. Intervensi yang dirancang untuk meningkatkan pengetahuan ibu hamil harus menjadi prioritas dalam program kesehatan ibu dan anak di berbagai layanan kesehatan.</w:t>
      </w:r>
      <w:r w:rsidR="00F67BDE">
        <w:rPr>
          <w:rFonts w:ascii="Tw Cen MT" w:hAnsi="Tw Cen MT"/>
          <w:noProof/>
          <w:sz w:val="24"/>
          <w:szCs w:val="24"/>
          <w:lang w:val="id-ID"/>
        </w:rPr>
        <w:t xml:space="preserve"> </w:t>
      </w:r>
      <w:r w:rsidR="00263CD2" w:rsidRPr="00263CD2">
        <w:rPr>
          <w:rFonts w:ascii="Tw Cen MT" w:hAnsi="Tw Cen MT"/>
          <w:noProof/>
          <w:sz w:val="24"/>
          <w:szCs w:val="24"/>
          <w:lang w:val="id-ID"/>
        </w:rPr>
        <w:t>Temuan ini menguatkan bahwa semakin tinggi tingkat pengetahuan seorang ibu tentang kehamilan, maka semakin besar kemungkinannya untuk menyadari pentingnya deteksi dini dan melakukan tindakan preventif. Hal ini sejalan dengan temuan</w:t>
      </w:r>
      <w:r w:rsidR="00263CD2">
        <w:rPr>
          <w:rFonts w:ascii="Tw Cen MT" w:hAnsi="Tw Cen MT"/>
          <w:noProof/>
          <w:sz w:val="24"/>
          <w:szCs w:val="24"/>
          <w:lang w:val="id-ID"/>
        </w:rPr>
        <w:t xml:space="preserve"> </w:t>
      </w:r>
      <w:r w:rsidR="00263CD2" w:rsidRPr="00263CD2">
        <w:rPr>
          <w:rFonts w:ascii="Tw Cen MT" w:hAnsi="Tw Cen MT"/>
          <w:noProof/>
          <w:sz w:val="24"/>
          <w:szCs w:val="24"/>
          <w:lang w:val="id-ID"/>
        </w:rPr>
        <w:t>yang menyatakan bahwa pengetahuan merupakan faktor kunci dalam pengambilan keputusan kesehatan, terutama dalam mengakses layanan antenatal</w:t>
      </w:r>
      <w:r w:rsidR="00263CD2">
        <w:rPr>
          <w:rFonts w:ascii="Tw Cen MT" w:hAnsi="Tw Cen MT"/>
          <w:noProof/>
          <w:sz w:val="24"/>
          <w:szCs w:val="24"/>
          <w:lang w:val="id-ID"/>
        </w:rPr>
        <w:fldChar w:fldCharType="begin" w:fldLock="1"/>
      </w:r>
      <w:r w:rsidR="00663E0E">
        <w:rPr>
          <w:rFonts w:ascii="Tw Cen MT" w:hAnsi="Tw Cen MT"/>
          <w:noProof/>
          <w:sz w:val="24"/>
          <w:szCs w:val="24"/>
          <w:lang w:val="id-ID"/>
        </w:rPr>
        <w:instrText>ADDIN CSL_CITATION {"citationItems":[{"id":"ITEM-1","itemData":{"author":[{"dropping-particle":"","family":"Prafitri","given":"Lia Dwi","non-dropping-particle":"","parse-names":false,"suffix":""},{"dropping-particle":"","family":"Suparni","given":"Suparni","non-dropping-particle":"","parse-names":false,"suffix":""},{"dropping-particle":"","family":"Setianto","given":"Gigih","non-dropping-particle":"","parse-names":false,"suffix":""}],"container-title":"Journal of Community Development","id":"ITEM-1","issue":"3","issued":{"date-parts":[["2025"]]},"page":"423-433","title":"Pendampingan Ibu Hamil Dalam Upaya Deteksi Dini Resiko Tinggi Kehamilan","type":"article-journal","volume":"5"},"uris":["http://www.mendeley.com/documents/?uuid=689dc9a4-b148-4a66-9333-6c0ff45b9158"]}],"mendeley":{"formattedCitation":"[9]","plainTextFormattedCitation":"[9]","previouslyFormattedCitation":"[9]"},"properties":{"noteIndex":0},"schema":"https://github.com/citation-style-language/schema/raw/master/csl-citation.json"}</w:instrText>
      </w:r>
      <w:r w:rsidR="00263CD2">
        <w:rPr>
          <w:rFonts w:ascii="Tw Cen MT" w:hAnsi="Tw Cen MT"/>
          <w:noProof/>
          <w:sz w:val="24"/>
          <w:szCs w:val="24"/>
          <w:lang w:val="id-ID"/>
        </w:rPr>
        <w:fldChar w:fldCharType="separate"/>
      </w:r>
      <w:r w:rsidR="00663E0E" w:rsidRPr="00663E0E">
        <w:rPr>
          <w:rFonts w:ascii="Tw Cen MT" w:hAnsi="Tw Cen MT"/>
          <w:noProof/>
          <w:sz w:val="24"/>
          <w:szCs w:val="24"/>
          <w:lang w:val="id-ID"/>
        </w:rPr>
        <w:t>[9]</w:t>
      </w:r>
      <w:r w:rsidR="00263CD2">
        <w:rPr>
          <w:rFonts w:ascii="Tw Cen MT" w:hAnsi="Tw Cen MT"/>
          <w:noProof/>
          <w:sz w:val="24"/>
          <w:szCs w:val="24"/>
          <w:lang w:val="id-ID"/>
        </w:rPr>
        <w:fldChar w:fldCharType="end"/>
      </w:r>
      <w:r w:rsidR="00263CD2" w:rsidRPr="00263CD2">
        <w:rPr>
          <w:rFonts w:ascii="Tw Cen MT" w:hAnsi="Tw Cen MT"/>
          <w:noProof/>
          <w:sz w:val="24"/>
          <w:szCs w:val="24"/>
          <w:lang w:val="id-ID"/>
        </w:rPr>
        <w:t>.</w:t>
      </w:r>
    </w:p>
    <w:p w14:paraId="15324801" w14:textId="77777777" w:rsidR="00017532" w:rsidRPr="00D32B7E" w:rsidRDefault="00017532" w:rsidP="00091BF6">
      <w:pPr>
        <w:spacing w:after="0" w:line="240" w:lineRule="auto"/>
        <w:jc w:val="both"/>
        <w:rPr>
          <w:rFonts w:ascii="Tw Cen MT" w:hAnsi="Tw Cen MT"/>
          <w:sz w:val="24"/>
          <w:szCs w:val="24"/>
        </w:rPr>
      </w:pPr>
    </w:p>
    <w:p w14:paraId="34C1786C" w14:textId="1FB72B1E" w:rsidR="00911160" w:rsidRPr="00911160" w:rsidRDefault="00017532" w:rsidP="00091BF6">
      <w:pPr>
        <w:pStyle w:val="ListParagraph"/>
        <w:numPr>
          <w:ilvl w:val="0"/>
          <w:numId w:val="5"/>
        </w:numPr>
        <w:spacing w:after="0" w:line="240" w:lineRule="auto"/>
        <w:ind w:left="284"/>
        <w:jc w:val="both"/>
        <w:rPr>
          <w:rFonts w:ascii="Tw Cen MT" w:hAnsi="Tw Cen MT"/>
          <w:b/>
          <w:bCs/>
          <w:sz w:val="24"/>
          <w:szCs w:val="24"/>
        </w:rPr>
      </w:pPr>
      <w:r w:rsidRPr="00500701">
        <w:rPr>
          <w:rFonts w:ascii="Tw Cen MT" w:hAnsi="Tw Cen MT"/>
          <w:b/>
          <w:bCs/>
          <w:sz w:val="24"/>
          <w:szCs w:val="24"/>
        </w:rPr>
        <w:t>Hubungan antara pendidikan dengan deteksi dini resiko tinggi kehamilan</w:t>
      </w:r>
    </w:p>
    <w:p w14:paraId="5BEFDC71" w14:textId="528E56AC" w:rsidR="00911160" w:rsidRDefault="00911160" w:rsidP="00091BF6">
      <w:pPr>
        <w:pStyle w:val="ListParagraph"/>
        <w:spacing w:after="0" w:line="240" w:lineRule="auto"/>
        <w:ind w:left="0"/>
        <w:jc w:val="both"/>
        <w:rPr>
          <w:rFonts w:ascii="Tw Cen MT" w:hAnsi="Tw Cen MT"/>
          <w:noProof/>
          <w:sz w:val="24"/>
          <w:szCs w:val="24"/>
          <w:lang w:val="id-ID"/>
        </w:rPr>
      </w:pPr>
      <w:r>
        <w:rPr>
          <w:rFonts w:ascii="Tw Cen MT" w:hAnsi="Tw Cen MT"/>
          <w:noProof/>
          <w:sz w:val="24"/>
          <w:szCs w:val="24"/>
          <w:lang w:val="id-ID"/>
        </w:rPr>
        <w:t xml:space="preserve">Hasil </w:t>
      </w:r>
      <w:r w:rsidR="00663E0E" w:rsidRPr="00663E0E">
        <w:rPr>
          <w:rFonts w:ascii="Tw Cen MT" w:hAnsi="Tw Cen MT"/>
          <w:noProof/>
          <w:sz w:val="24"/>
          <w:szCs w:val="24"/>
          <w:lang w:val="id-ID"/>
        </w:rPr>
        <w:t>analisis bivariat hubungan antara pendidikan dengan deteksi dini resiko tinggi kehamilan dapat dilihat pada tabe</w:t>
      </w:r>
      <w:r w:rsidR="00091BF6">
        <w:rPr>
          <w:rFonts w:ascii="Tw Cen MT" w:hAnsi="Tw Cen MT"/>
          <w:noProof/>
          <w:sz w:val="24"/>
          <w:szCs w:val="24"/>
          <w:lang w:val="id-ID"/>
        </w:rPr>
        <w:t>l 3.</w:t>
      </w:r>
    </w:p>
    <w:p w14:paraId="48C71DCB" w14:textId="62BA82C5" w:rsidR="00091BF6" w:rsidRPr="00091BF6" w:rsidRDefault="00091BF6" w:rsidP="00091BF6">
      <w:pPr>
        <w:spacing w:after="0" w:line="240" w:lineRule="auto"/>
        <w:jc w:val="both"/>
        <w:rPr>
          <w:rFonts w:ascii="Tw Cen MT" w:hAnsi="Tw Cen MT"/>
          <w:noProof/>
          <w:sz w:val="24"/>
          <w:szCs w:val="24"/>
          <w:lang w:val="id-ID"/>
        </w:rPr>
      </w:pPr>
      <w:r w:rsidRPr="00D32B7E">
        <w:rPr>
          <w:rFonts w:ascii="Tw Cen MT" w:hAnsi="Tw Cen MT"/>
          <w:noProof/>
          <w:sz w:val="24"/>
          <w:szCs w:val="24"/>
          <w:lang w:val="id-ID"/>
        </w:rPr>
        <w:t xml:space="preserve">Nilai p-value yang diperoleh sebesar 0,021, yang menunjukkan adanya hubungan yang signifikan secara statistik (dengan tingkat signifikansi </w:t>
      </w:r>
      <w:r w:rsidRPr="00D32B7E">
        <w:rPr>
          <w:noProof/>
          <w:sz w:val="24"/>
          <w:szCs w:val="24"/>
          <w:lang w:val="id-ID"/>
        </w:rPr>
        <w:t>α</w:t>
      </w:r>
      <w:r w:rsidRPr="00D32B7E">
        <w:rPr>
          <w:rFonts w:ascii="Tw Cen MT" w:hAnsi="Tw Cen MT"/>
          <w:noProof/>
          <w:sz w:val="24"/>
          <w:szCs w:val="24"/>
          <w:lang w:val="id-ID"/>
        </w:rPr>
        <w:t xml:space="preserve"> = 0,05). Nilai </w:t>
      </w:r>
      <w:r w:rsidRPr="00695835">
        <w:rPr>
          <w:rFonts w:ascii="Tw Cen MT" w:hAnsi="Tw Cen MT"/>
          <w:i/>
          <w:iCs/>
          <w:noProof/>
          <w:sz w:val="24"/>
          <w:szCs w:val="24"/>
          <w:lang w:val="id-ID"/>
        </w:rPr>
        <w:t>p-value</w:t>
      </w:r>
      <w:r w:rsidRPr="00D32B7E">
        <w:rPr>
          <w:rFonts w:ascii="Tw Cen MT" w:hAnsi="Tw Cen MT"/>
          <w:noProof/>
          <w:sz w:val="24"/>
          <w:szCs w:val="24"/>
          <w:lang w:val="id-ID"/>
        </w:rPr>
        <w:t xml:space="preserve"> sebesar 0,021 mengindikasikan bahwa ibu hamil dengan tingkat pendidikan yang lebih tinggi cenderung lebih mampu dalam mengenali tanda-tanda risiko kehamilan dan lebih proaktif dalam melakukan deteksi dini dibandingkan dengan ibu hamil yang memiliki tingkat pendidikan lebih rendah.</w:t>
      </w:r>
    </w:p>
    <w:p w14:paraId="7114D21F" w14:textId="15819FC9" w:rsidR="00911160" w:rsidRPr="00911160" w:rsidRDefault="00911160" w:rsidP="00091BF6">
      <w:pPr>
        <w:pStyle w:val="ListParagraph"/>
        <w:spacing w:after="0" w:line="240" w:lineRule="auto"/>
        <w:ind w:left="284"/>
        <w:jc w:val="center"/>
        <w:rPr>
          <w:rFonts w:ascii="Tw Cen MT" w:eastAsia="Twentieth Century" w:hAnsi="Tw Cen MT" w:cs="Twentieth Century"/>
          <w:sz w:val="20"/>
          <w:szCs w:val="20"/>
        </w:rPr>
      </w:pPr>
      <w:r w:rsidRPr="003E590E">
        <w:rPr>
          <w:rFonts w:ascii="Tw Cen MT" w:eastAsia="Twentieth Century" w:hAnsi="Tw Cen MT" w:cs="Twentieth Century"/>
          <w:sz w:val="20"/>
          <w:szCs w:val="20"/>
        </w:rPr>
        <w:t xml:space="preserve">Tabel </w:t>
      </w:r>
      <w:r w:rsidR="00663E0E">
        <w:rPr>
          <w:rFonts w:ascii="Tw Cen MT" w:eastAsia="Twentieth Century" w:hAnsi="Tw Cen MT" w:cs="Twentieth Century"/>
          <w:sz w:val="20"/>
          <w:szCs w:val="20"/>
        </w:rPr>
        <w:t>3</w:t>
      </w:r>
      <w:r w:rsidRPr="003E590E">
        <w:rPr>
          <w:rFonts w:ascii="Tw Cen MT" w:eastAsia="Twentieth Century" w:hAnsi="Tw Cen MT" w:cs="Twentieth Century"/>
          <w:sz w:val="20"/>
          <w:szCs w:val="20"/>
        </w:rPr>
        <w:t xml:space="preserve">. </w:t>
      </w:r>
      <w:r>
        <w:rPr>
          <w:rFonts w:ascii="Tw Cen MT" w:eastAsia="Twentieth Century" w:hAnsi="Tw Cen MT" w:cs="Twentieth Century"/>
          <w:sz w:val="20"/>
          <w:szCs w:val="20"/>
        </w:rPr>
        <w:t>Hasil analisa hubungan antara pendidikan dengan deteksi dini resiko tinggi kehamilan</w:t>
      </w:r>
    </w:p>
    <w:tbl>
      <w:tblPr>
        <w:tblW w:w="4962"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563"/>
        <w:gridCol w:w="853"/>
        <w:gridCol w:w="513"/>
        <w:gridCol w:w="761"/>
        <w:gridCol w:w="856"/>
        <w:gridCol w:w="567"/>
      </w:tblGrid>
      <w:tr w:rsidR="00911160" w:rsidRPr="00283220" w14:paraId="6275C793" w14:textId="77777777" w:rsidTr="00091BF6">
        <w:trPr>
          <w:cantSplit/>
          <w:trHeight w:val="454"/>
          <w:jc w:val="center"/>
        </w:trPr>
        <w:tc>
          <w:tcPr>
            <w:tcW w:w="849" w:type="dxa"/>
            <w:vMerge w:val="restart"/>
            <w:tcBorders>
              <w:right w:val="nil"/>
            </w:tcBorders>
            <w:vAlign w:val="center"/>
          </w:tcPr>
          <w:p w14:paraId="46CDE5B9" w14:textId="372E24DF" w:rsidR="00911160" w:rsidRPr="00283220" w:rsidRDefault="00911160" w:rsidP="00091BF6">
            <w:pPr>
              <w:spacing w:line="240" w:lineRule="auto"/>
              <w:ind w:right="-44"/>
              <w:rPr>
                <w:rFonts w:ascii="Tw Cen MT" w:hAnsi="Tw Cen MT"/>
                <w:b/>
                <w:bCs/>
                <w:sz w:val="20"/>
                <w:szCs w:val="20"/>
                <w:lang w:val="nb-NO"/>
              </w:rPr>
            </w:pPr>
            <w:r w:rsidRPr="00283220">
              <w:rPr>
                <w:rFonts w:ascii="Tw Cen MT" w:hAnsi="Tw Cen MT"/>
                <w:b/>
                <w:bCs/>
                <w:sz w:val="20"/>
                <w:szCs w:val="20"/>
                <w:lang w:val="nb-NO"/>
              </w:rPr>
              <w:t>Pen</w:t>
            </w:r>
            <w:r>
              <w:rPr>
                <w:rFonts w:ascii="Tw Cen MT" w:hAnsi="Tw Cen MT"/>
                <w:b/>
                <w:bCs/>
                <w:sz w:val="20"/>
                <w:szCs w:val="20"/>
                <w:lang w:val="nb-NO"/>
              </w:rPr>
              <w:t>didikan</w:t>
            </w:r>
            <w:r w:rsidRPr="00283220">
              <w:rPr>
                <w:rFonts w:ascii="Tw Cen MT" w:hAnsi="Tw Cen MT"/>
                <w:b/>
                <w:bCs/>
                <w:sz w:val="20"/>
                <w:szCs w:val="20"/>
                <w:lang w:val="nb-NO"/>
              </w:rPr>
              <w:t xml:space="preserve"> Ibu Hamil </w:t>
            </w:r>
          </w:p>
        </w:tc>
        <w:tc>
          <w:tcPr>
            <w:tcW w:w="2690" w:type="dxa"/>
            <w:gridSpan w:val="4"/>
            <w:tcBorders>
              <w:left w:val="nil"/>
              <w:right w:val="nil"/>
            </w:tcBorders>
            <w:vAlign w:val="center"/>
          </w:tcPr>
          <w:p w14:paraId="63F2CACA" w14:textId="77777777" w:rsidR="00911160" w:rsidRPr="00283220" w:rsidRDefault="00911160" w:rsidP="00091BF6">
            <w:pPr>
              <w:spacing w:line="240" w:lineRule="auto"/>
              <w:jc w:val="center"/>
              <w:rPr>
                <w:rFonts w:ascii="Tw Cen MT" w:hAnsi="Tw Cen MT"/>
                <w:b/>
                <w:bCs/>
                <w:sz w:val="20"/>
                <w:szCs w:val="20"/>
              </w:rPr>
            </w:pPr>
            <w:r>
              <w:rPr>
                <w:rFonts w:ascii="Tw Cen MT" w:hAnsi="Tw Cen MT"/>
                <w:b/>
                <w:bCs/>
                <w:sz w:val="20"/>
                <w:szCs w:val="20"/>
              </w:rPr>
              <w:t>Deteksi dini resiko tinggi kehamilan</w:t>
            </w:r>
          </w:p>
        </w:tc>
        <w:tc>
          <w:tcPr>
            <w:tcW w:w="856" w:type="dxa"/>
            <w:vMerge w:val="restart"/>
            <w:tcBorders>
              <w:left w:val="nil"/>
              <w:right w:val="nil"/>
            </w:tcBorders>
            <w:vAlign w:val="center"/>
          </w:tcPr>
          <w:p w14:paraId="745A8664" w14:textId="77777777" w:rsidR="00911160" w:rsidRPr="00283220" w:rsidRDefault="00911160" w:rsidP="00091BF6">
            <w:pPr>
              <w:spacing w:line="240" w:lineRule="auto"/>
              <w:jc w:val="center"/>
              <w:rPr>
                <w:rFonts w:ascii="Tw Cen MT" w:hAnsi="Tw Cen MT"/>
                <w:b/>
                <w:bCs/>
                <w:sz w:val="20"/>
                <w:szCs w:val="20"/>
              </w:rPr>
            </w:pPr>
            <w:r w:rsidRPr="00283220">
              <w:rPr>
                <w:rFonts w:ascii="Tw Cen MT" w:hAnsi="Tw Cen MT"/>
                <w:b/>
                <w:bCs/>
                <w:sz w:val="20"/>
                <w:szCs w:val="20"/>
              </w:rPr>
              <w:t>OR</w:t>
            </w:r>
            <w:r>
              <w:rPr>
                <w:rFonts w:ascii="Tw Cen MT" w:hAnsi="Tw Cen MT"/>
                <w:b/>
                <w:bCs/>
                <w:sz w:val="20"/>
                <w:szCs w:val="20"/>
              </w:rPr>
              <w:t xml:space="preserve"> </w:t>
            </w:r>
            <w:r w:rsidRPr="00283220">
              <w:rPr>
                <w:rFonts w:ascii="Tw Cen MT" w:hAnsi="Tw Cen MT"/>
                <w:b/>
                <w:bCs/>
                <w:sz w:val="20"/>
                <w:szCs w:val="20"/>
              </w:rPr>
              <w:t>95%</w:t>
            </w:r>
          </w:p>
        </w:tc>
        <w:tc>
          <w:tcPr>
            <w:tcW w:w="567" w:type="dxa"/>
            <w:vMerge w:val="restart"/>
            <w:tcBorders>
              <w:left w:val="nil"/>
            </w:tcBorders>
          </w:tcPr>
          <w:p w14:paraId="4FE29074" w14:textId="77777777" w:rsidR="00911160" w:rsidRDefault="00911160" w:rsidP="00091BF6">
            <w:pPr>
              <w:spacing w:line="240" w:lineRule="auto"/>
              <w:jc w:val="center"/>
              <w:rPr>
                <w:rFonts w:ascii="Tw Cen MT" w:hAnsi="Tw Cen MT"/>
                <w:b/>
                <w:bCs/>
                <w:sz w:val="20"/>
                <w:szCs w:val="20"/>
              </w:rPr>
            </w:pPr>
          </w:p>
          <w:p w14:paraId="41CCA229" w14:textId="77777777" w:rsidR="00911160" w:rsidRPr="00283220" w:rsidRDefault="00911160" w:rsidP="00091BF6">
            <w:pPr>
              <w:spacing w:line="240" w:lineRule="auto"/>
              <w:jc w:val="center"/>
              <w:rPr>
                <w:rFonts w:ascii="Tw Cen MT" w:hAnsi="Tw Cen MT"/>
                <w:b/>
                <w:bCs/>
                <w:sz w:val="20"/>
                <w:szCs w:val="20"/>
              </w:rPr>
            </w:pPr>
            <w:r>
              <w:rPr>
                <w:rFonts w:ascii="Tw Cen MT" w:hAnsi="Tw Cen MT"/>
                <w:b/>
                <w:bCs/>
                <w:sz w:val="20"/>
                <w:szCs w:val="20"/>
              </w:rPr>
              <w:t>P value</w:t>
            </w:r>
          </w:p>
        </w:tc>
      </w:tr>
      <w:tr w:rsidR="00911160" w:rsidRPr="00283220" w14:paraId="598A0F3C" w14:textId="77777777" w:rsidTr="00091BF6">
        <w:trPr>
          <w:cantSplit/>
          <w:trHeight w:val="578"/>
          <w:jc w:val="center"/>
        </w:trPr>
        <w:tc>
          <w:tcPr>
            <w:tcW w:w="849" w:type="dxa"/>
            <w:vMerge/>
            <w:tcBorders>
              <w:right w:val="nil"/>
            </w:tcBorders>
            <w:vAlign w:val="center"/>
          </w:tcPr>
          <w:p w14:paraId="5B763395" w14:textId="77777777" w:rsidR="00911160" w:rsidRPr="00283220" w:rsidRDefault="00911160" w:rsidP="00091BF6">
            <w:pPr>
              <w:spacing w:line="240" w:lineRule="auto"/>
              <w:jc w:val="center"/>
              <w:rPr>
                <w:rFonts w:ascii="Tw Cen MT" w:hAnsi="Tw Cen MT"/>
                <w:b/>
                <w:bCs/>
                <w:sz w:val="20"/>
                <w:szCs w:val="20"/>
              </w:rPr>
            </w:pPr>
          </w:p>
        </w:tc>
        <w:tc>
          <w:tcPr>
            <w:tcW w:w="1416" w:type="dxa"/>
            <w:gridSpan w:val="2"/>
            <w:tcBorders>
              <w:left w:val="nil"/>
              <w:right w:val="nil"/>
            </w:tcBorders>
            <w:vAlign w:val="center"/>
          </w:tcPr>
          <w:p w14:paraId="60A5CB85" w14:textId="77777777" w:rsidR="00911160" w:rsidRPr="00283220" w:rsidRDefault="00911160" w:rsidP="00091BF6">
            <w:pPr>
              <w:spacing w:line="240" w:lineRule="auto"/>
              <w:jc w:val="center"/>
              <w:rPr>
                <w:rFonts w:ascii="Tw Cen MT" w:hAnsi="Tw Cen MT"/>
                <w:b/>
                <w:bCs/>
                <w:sz w:val="20"/>
                <w:szCs w:val="20"/>
              </w:rPr>
            </w:pPr>
            <w:r>
              <w:rPr>
                <w:rFonts w:ascii="Tw Cen MT" w:hAnsi="Tw Cen MT"/>
                <w:b/>
                <w:bCs/>
                <w:sz w:val="20"/>
                <w:szCs w:val="20"/>
              </w:rPr>
              <w:t>Melakukan</w:t>
            </w:r>
          </w:p>
        </w:tc>
        <w:tc>
          <w:tcPr>
            <w:tcW w:w="1274" w:type="dxa"/>
            <w:gridSpan w:val="2"/>
            <w:tcBorders>
              <w:left w:val="nil"/>
              <w:right w:val="nil"/>
            </w:tcBorders>
            <w:vAlign w:val="center"/>
          </w:tcPr>
          <w:p w14:paraId="537D98D6" w14:textId="77777777" w:rsidR="00911160" w:rsidRPr="00283220" w:rsidRDefault="00911160" w:rsidP="00091BF6">
            <w:pPr>
              <w:spacing w:line="240" w:lineRule="auto"/>
              <w:jc w:val="center"/>
              <w:rPr>
                <w:rFonts w:ascii="Tw Cen MT" w:hAnsi="Tw Cen MT"/>
                <w:b/>
                <w:bCs/>
                <w:sz w:val="20"/>
                <w:szCs w:val="20"/>
              </w:rPr>
            </w:pPr>
            <w:r w:rsidRPr="00283220">
              <w:rPr>
                <w:rFonts w:ascii="Tw Cen MT" w:hAnsi="Tw Cen MT"/>
                <w:b/>
                <w:bCs/>
                <w:sz w:val="20"/>
                <w:szCs w:val="20"/>
              </w:rPr>
              <w:t xml:space="preserve">Kurang </w:t>
            </w:r>
            <w:r>
              <w:rPr>
                <w:rFonts w:ascii="Tw Cen MT" w:hAnsi="Tw Cen MT"/>
                <w:b/>
                <w:bCs/>
                <w:sz w:val="20"/>
                <w:szCs w:val="20"/>
              </w:rPr>
              <w:t>Melakukan</w:t>
            </w:r>
          </w:p>
        </w:tc>
        <w:tc>
          <w:tcPr>
            <w:tcW w:w="856" w:type="dxa"/>
            <w:vMerge/>
            <w:tcBorders>
              <w:left w:val="nil"/>
              <w:right w:val="nil"/>
            </w:tcBorders>
            <w:vAlign w:val="center"/>
          </w:tcPr>
          <w:p w14:paraId="145D3CAF" w14:textId="77777777" w:rsidR="00911160" w:rsidRPr="00283220" w:rsidRDefault="00911160" w:rsidP="00091BF6">
            <w:pPr>
              <w:spacing w:line="240" w:lineRule="auto"/>
              <w:jc w:val="center"/>
              <w:rPr>
                <w:rFonts w:ascii="Tw Cen MT" w:hAnsi="Tw Cen MT"/>
                <w:b/>
                <w:bCs/>
                <w:sz w:val="20"/>
                <w:szCs w:val="20"/>
              </w:rPr>
            </w:pPr>
          </w:p>
        </w:tc>
        <w:tc>
          <w:tcPr>
            <w:tcW w:w="567" w:type="dxa"/>
            <w:vMerge/>
            <w:tcBorders>
              <w:left w:val="nil"/>
            </w:tcBorders>
          </w:tcPr>
          <w:p w14:paraId="57EDD17A" w14:textId="77777777" w:rsidR="00911160" w:rsidRPr="00283220" w:rsidRDefault="00911160" w:rsidP="00091BF6">
            <w:pPr>
              <w:spacing w:line="240" w:lineRule="auto"/>
              <w:jc w:val="center"/>
              <w:rPr>
                <w:rFonts w:ascii="Tw Cen MT" w:hAnsi="Tw Cen MT"/>
                <w:b/>
                <w:bCs/>
                <w:sz w:val="20"/>
                <w:szCs w:val="20"/>
              </w:rPr>
            </w:pPr>
          </w:p>
        </w:tc>
      </w:tr>
      <w:tr w:rsidR="00911160" w:rsidRPr="00283220" w14:paraId="0F46CB03" w14:textId="77777777" w:rsidTr="00091BF6">
        <w:trPr>
          <w:cantSplit/>
          <w:jc w:val="center"/>
        </w:trPr>
        <w:tc>
          <w:tcPr>
            <w:tcW w:w="849" w:type="dxa"/>
            <w:vMerge/>
            <w:tcBorders>
              <w:right w:val="nil"/>
            </w:tcBorders>
          </w:tcPr>
          <w:p w14:paraId="20774970" w14:textId="77777777" w:rsidR="00911160" w:rsidRPr="00283220" w:rsidRDefault="00911160" w:rsidP="00091BF6">
            <w:pPr>
              <w:spacing w:line="240" w:lineRule="auto"/>
              <w:jc w:val="center"/>
              <w:rPr>
                <w:rFonts w:ascii="Tw Cen MT" w:hAnsi="Tw Cen MT"/>
                <w:b/>
                <w:bCs/>
                <w:sz w:val="20"/>
                <w:szCs w:val="20"/>
              </w:rPr>
            </w:pPr>
          </w:p>
        </w:tc>
        <w:tc>
          <w:tcPr>
            <w:tcW w:w="563" w:type="dxa"/>
            <w:tcBorders>
              <w:left w:val="nil"/>
              <w:right w:val="nil"/>
            </w:tcBorders>
          </w:tcPr>
          <w:p w14:paraId="1B4922F5" w14:textId="77777777" w:rsidR="00911160" w:rsidRPr="00283220" w:rsidRDefault="00911160" w:rsidP="00091BF6">
            <w:pPr>
              <w:spacing w:line="240" w:lineRule="auto"/>
              <w:jc w:val="center"/>
              <w:rPr>
                <w:rFonts w:ascii="Tw Cen MT" w:hAnsi="Tw Cen MT"/>
                <w:b/>
                <w:bCs/>
                <w:sz w:val="20"/>
                <w:szCs w:val="20"/>
              </w:rPr>
            </w:pPr>
            <w:r w:rsidRPr="00283220">
              <w:rPr>
                <w:rFonts w:ascii="Tw Cen MT" w:hAnsi="Tw Cen MT"/>
                <w:b/>
                <w:bCs/>
                <w:sz w:val="20"/>
                <w:szCs w:val="20"/>
              </w:rPr>
              <w:t>N</w:t>
            </w:r>
          </w:p>
        </w:tc>
        <w:tc>
          <w:tcPr>
            <w:tcW w:w="853" w:type="dxa"/>
            <w:tcBorders>
              <w:left w:val="nil"/>
              <w:right w:val="nil"/>
            </w:tcBorders>
          </w:tcPr>
          <w:p w14:paraId="5FCEDF9A" w14:textId="77777777" w:rsidR="00911160" w:rsidRPr="00283220" w:rsidRDefault="00911160" w:rsidP="00091BF6">
            <w:pPr>
              <w:spacing w:line="240" w:lineRule="auto"/>
              <w:jc w:val="center"/>
              <w:rPr>
                <w:rFonts w:ascii="Tw Cen MT" w:hAnsi="Tw Cen MT"/>
                <w:b/>
                <w:bCs/>
                <w:sz w:val="20"/>
                <w:szCs w:val="20"/>
              </w:rPr>
            </w:pPr>
            <w:r w:rsidRPr="00283220">
              <w:rPr>
                <w:rFonts w:ascii="Tw Cen MT" w:hAnsi="Tw Cen MT"/>
                <w:b/>
                <w:bCs/>
                <w:sz w:val="20"/>
                <w:szCs w:val="20"/>
              </w:rPr>
              <w:t>%</w:t>
            </w:r>
          </w:p>
        </w:tc>
        <w:tc>
          <w:tcPr>
            <w:tcW w:w="513" w:type="dxa"/>
            <w:tcBorders>
              <w:left w:val="nil"/>
              <w:right w:val="nil"/>
            </w:tcBorders>
          </w:tcPr>
          <w:p w14:paraId="1E65058B" w14:textId="77777777" w:rsidR="00911160" w:rsidRPr="00283220" w:rsidRDefault="00911160" w:rsidP="00091BF6">
            <w:pPr>
              <w:spacing w:line="240" w:lineRule="auto"/>
              <w:jc w:val="center"/>
              <w:rPr>
                <w:rFonts w:ascii="Tw Cen MT" w:hAnsi="Tw Cen MT"/>
                <w:b/>
                <w:bCs/>
                <w:sz w:val="20"/>
                <w:szCs w:val="20"/>
              </w:rPr>
            </w:pPr>
            <w:r w:rsidRPr="00283220">
              <w:rPr>
                <w:rFonts w:ascii="Tw Cen MT" w:hAnsi="Tw Cen MT"/>
                <w:b/>
                <w:bCs/>
                <w:sz w:val="20"/>
                <w:szCs w:val="20"/>
              </w:rPr>
              <w:t>N</w:t>
            </w:r>
          </w:p>
        </w:tc>
        <w:tc>
          <w:tcPr>
            <w:tcW w:w="761" w:type="dxa"/>
            <w:tcBorders>
              <w:left w:val="nil"/>
              <w:right w:val="nil"/>
            </w:tcBorders>
          </w:tcPr>
          <w:p w14:paraId="24925CDF" w14:textId="77777777" w:rsidR="00911160" w:rsidRPr="00283220" w:rsidRDefault="00911160" w:rsidP="00091BF6">
            <w:pPr>
              <w:spacing w:line="240" w:lineRule="auto"/>
              <w:jc w:val="center"/>
              <w:rPr>
                <w:rFonts w:ascii="Tw Cen MT" w:hAnsi="Tw Cen MT"/>
                <w:b/>
                <w:bCs/>
                <w:sz w:val="20"/>
                <w:szCs w:val="20"/>
              </w:rPr>
            </w:pPr>
            <w:r w:rsidRPr="00283220">
              <w:rPr>
                <w:rFonts w:ascii="Tw Cen MT" w:hAnsi="Tw Cen MT"/>
                <w:b/>
                <w:bCs/>
                <w:sz w:val="20"/>
                <w:szCs w:val="20"/>
              </w:rPr>
              <w:t>%</w:t>
            </w:r>
          </w:p>
        </w:tc>
        <w:tc>
          <w:tcPr>
            <w:tcW w:w="856" w:type="dxa"/>
            <w:vMerge/>
            <w:tcBorders>
              <w:left w:val="nil"/>
              <w:right w:val="nil"/>
            </w:tcBorders>
          </w:tcPr>
          <w:p w14:paraId="1E019368" w14:textId="77777777" w:rsidR="00911160" w:rsidRPr="00283220" w:rsidRDefault="00911160" w:rsidP="00091BF6">
            <w:pPr>
              <w:spacing w:line="240" w:lineRule="auto"/>
              <w:jc w:val="center"/>
              <w:rPr>
                <w:rFonts w:ascii="Tw Cen MT" w:hAnsi="Tw Cen MT"/>
                <w:b/>
                <w:bCs/>
                <w:sz w:val="20"/>
                <w:szCs w:val="20"/>
              </w:rPr>
            </w:pPr>
          </w:p>
        </w:tc>
        <w:tc>
          <w:tcPr>
            <w:tcW w:w="567" w:type="dxa"/>
            <w:vMerge/>
            <w:tcBorders>
              <w:left w:val="nil"/>
            </w:tcBorders>
          </w:tcPr>
          <w:p w14:paraId="3D80BFB1" w14:textId="77777777" w:rsidR="00911160" w:rsidRPr="00283220" w:rsidRDefault="00911160" w:rsidP="00091BF6">
            <w:pPr>
              <w:spacing w:line="240" w:lineRule="auto"/>
              <w:jc w:val="center"/>
              <w:rPr>
                <w:rFonts w:ascii="Tw Cen MT" w:hAnsi="Tw Cen MT"/>
                <w:b/>
                <w:bCs/>
                <w:sz w:val="20"/>
                <w:szCs w:val="20"/>
              </w:rPr>
            </w:pPr>
          </w:p>
        </w:tc>
      </w:tr>
      <w:tr w:rsidR="00911160" w:rsidRPr="00283220" w14:paraId="5260C747" w14:textId="77777777" w:rsidTr="00091BF6">
        <w:trPr>
          <w:jc w:val="center"/>
        </w:trPr>
        <w:tc>
          <w:tcPr>
            <w:tcW w:w="849" w:type="dxa"/>
            <w:tcBorders>
              <w:right w:val="nil"/>
            </w:tcBorders>
          </w:tcPr>
          <w:p w14:paraId="29E6E02C" w14:textId="284D4DA4" w:rsidR="00911160" w:rsidRPr="00283220" w:rsidRDefault="00911160" w:rsidP="00091BF6">
            <w:pPr>
              <w:pStyle w:val="Header"/>
              <w:rPr>
                <w:rFonts w:ascii="Tw Cen MT" w:hAnsi="Tw Cen MT"/>
                <w:sz w:val="20"/>
                <w:szCs w:val="20"/>
              </w:rPr>
            </w:pPr>
            <w:r>
              <w:rPr>
                <w:rFonts w:ascii="Tw Cen MT" w:hAnsi="Tw Cen MT"/>
                <w:sz w:val="20"/>
                <w:szCs w:val="20"/>
              </w:rPr>
              <w:t>PT</w:t>
            </w:r>
          </w:p>
          <w:p w14:paraId="1932C6A9" w14:textId="77777777" w:rsidR="00911160" w:rsidRPr="00283220" w:rsidRDefault="00911160" w:rsidP="00091BF6">
            <w:pPr>
              <w:pStyle w:val="Header"/>
              <w:rPr>
                <w:rFonts w:ascii="Tw Cen MT" w:hAnsi="Tw Cen MT"/>
                <w:sz w:val="20"/>
                <w:szCs w:val="20"/>
              </w:rPr>
            </w:pPr>
          </w:p>
          <w:p w14:paraId="4BFC1098" w14:textId="6DCA6CC0" w:rsidR="00911160" w:rsidRPr="00283220" w:rsidRDefault="00911160" w:rsidP="00091BF6">
            <w:pPr>
              <w:pStyle w:val="Header"/>
              <w:rPr>
                <w:rFonts w:ascii="Tw Cen MT" w:hAnsi="Tw Cen MT"/>
                <w:sz w:val="20"/>
                <w:szCs w:val="20"/>
              </w:rPr>
            </w:pPr>
            <w:r>
              <w:rPr>
                <w:rFonts w:ascii="Tw Cen MT" w:hAnsi="Tw Cen MT"/>
                <w:sz w:val="20"/>
                <w:szCs w:val="20"/>
              </w:rPr>
              <w:t>SD, SMP, SMA</w:t>
            </w:r>
          </w:p>
        </w:tc>
        <w:tc>
          <w:tcPr>
            <w:tcW w:w="563" w:type="dxa"/>
            <w:tcBorders>
              <w:left w:val="nil"/>
              <w:right w:val="nil"/>
            </w:tcBorders>
          </w:tcPr>
          <w:p w14:paraId="201570D6" w14:textId="2DE2D52C" w:rsidR="00911160" w:rsidRPr="00283220" w:rsidRDefault="00911160" w:rsidP="00091BF6">
            <w:pPr>
              <w:spacing w:line="240" w:lineRule="auto"/>
              <w:jc w:val="center"/>
              <w:rPr>
                <w:rFonts w:ascii="Tw Cen MT" w:hAnsi="Tw Cen MT"/>
                <w:sz w:val="20"/>
                <w:szCs w:val="20"/>
              </w:rPr>
            </w:pPr>
            <w:r>
              <w:rPr>
                <w:rFonts w:ascii="Tw Cen MT" w:hAnsi="Tw Cen MT"/>
                <w:sz w:val="20"/>
                <w:szCs w:val="20"/>
              </w:rPr>
              <w:t>17</w:t>
            </w:r>
          </w:p>
          <w:p w14:paraId="71967E82" w14:textId="054FCB70" w:rsidR="00911160" w:rsidRPr="00283220" w:rsidRDefault="00911160" w:rsidP="00091BF6">
            <w:pPr>
              <w:spacing w:line="240" w:lineRule="auto"/>
              <w:jc w:val="center"/>
              <w:rPr>
                <w:rFonts w:ascii="Tw Cen MT" w:hAnsi="Tw Cen MT"/>
                <w:sz w:val="20"/>
                <w:szCs w:val="20"/>
              </w:rPr>
            </w:pPr>
            <w:r>
              <w:rPr>
                <w:rFonts w:ascii="Tw Cen MT" w:hAnsi="Tw Cen MT"/>
                <w:sz w:val="20"/>
                <w:szCs w:val="20"/>
              </w:rPr>
              <w:t>71</w:t>
            </w:r>
          </w:p>
        </w:tc>
        <w:tc>
          <w:tcPr>
            <w:tcW w:w="853" w:type="dxa"/>
            <w:tcBorders>
              <w:left w:val="nil"/>
              <w:right w:val="nil"/>
            </w:tcBorders>
          </w:tcPr>
          <w:p w14:paraId="358026FB" w14:textId="7AB5D4FF" w:rsidR="00911160" w:rsidRPr="00283220" w:rsidRDefault="00911160" w:rsidP="00091BF6">
            <w:pPr>
              <w:spacing w:line="240" w:lineRule="auto"/>
              <w:jc w:val="center"/>
              <w:rPr>
                <w:rFonts w:ascii="Tw Cen MT" w:hAnsi="Tw Cen MT"/>
                <w:sz w:val="20"/>
                <w:szCs w:val="20"/>
              </w:rPr>
            </w:pPr>
            <w:r>
              <w:rPr>
                <w:rFonts w:ascii="Tw Cen MT" w:hAnsi="Tw Cen MT"/>
                <w:sz w:val="20"/>
                <w:szCs w:val="20"/>
              </w:rPr>
              <w:t>94,45</w:t>
            </w:r>
          </w:p>
          <w:p w14:paraId="10643870" w14:textId="54B8EA70" w:rsidR="00911160" w:rsidRPr="00283220" w:rsidRDefault="00911160" w:rsidP="00091BF6">
            <w:pPr>
              <w:spacing w:line="240" w:lineRule="auto"/>
              <w:jc w:val="center"/>
              <w:rPr>
                <w:rFonts w:ascii="Tw Cen MT" w:hAnsi="Tw Cen MT"/>
                <w:sz w:val="20"/>
                <w:szCs w:val="20"/>
              </w:rPr>
            </w:pPr>
            <w:r>
              <w:rPr>
                <w:rFonts w:ascii="Tw Cen MT" w:hAnsi="Tw Cen MT"/>
                <w:sz w:val="20"/>
                <w:szCs w:val="20"/>
              </w:rPr>
              <w:t>83,53</w:t>
            </w:r>
          </w:p>
        </w:tc>
        <w:tc>
          <w:tcPr>
            <w:tcW w:w="513" w:type="dxa"/>
            <w:tcBorders>
              <w:left w:val="nil"/>
              <w:right w:val="nil"/>
            </w:tcBorders>
          </w:tcPr>
          <w:p w14:paraId="6FD5DE93" w14:textId="7218C063" w:rsidR="00911160" w:rsidRPr="00283220" w:rsidRDefault="00911160" w:rsidP="00091BF6">
            <w:pPr>
              <w:spacing w:line="240" w:lineRule="auto"/>
              <w:jc w:val="center"/>
              <w:rPr>
                <w:rFonts w:ascii="Tw Cen MT" w:hAnsi="Tw Cen MT"/>
                <w:sz w:val="20"/>
                <w:szCs w:val="20"/>
              </w:rPr>
            </w:pPr>
            <w:r w:rsidRPr="00283220">
              <w:rPr>
                <w:rFonts w:ascii="Tw Cen MT" w:hAnsi="Tw Cen MT"/>
                <w:sz w:val="20"/>
                <w:szCs w:val="20"/>
              </w:rPr>
              <w:t>1</w:t>
            </w:r>
          </w:p>
          <w:p w14:paraId="7AC8AEF3" w14:textId="3A999A24" w:rsidR="00911160" w:rsidRPr="00283220" w:rsidRDefault="00911160" w:rsidP="00091BF6">
            <w:pPr>
              <w:spacing w:line="240" w:lineRule="auto"/>
              <w:jc w:val="center"/>
              <w:rPr>
                <w:rFonts w:ascii="Tw Cen MT" w:hAnsi="Tw Cen MT"/>
                <w:sz w:val="20"/>
                <w:szCs w:val="20"/>
              </w:rPr>
            </w:pPr>
            <w:r>
              <w:rPr>
                <w:rFonts w:ascii="Tw Cen MT" w:hAnsi="Tw Cen MT"/>
                <w:sz w:val="20"/>
                <w:szCs w:val="20"/>
              </w:rPr>
              <w:t>14</w:t>
            </w:r>
          </w:p>
        </w:tc>
        <w:tc>
          <w:tcPr>
            <w:tcW w:w="761" w:type="dxa"/>
            <w:tcBorders>
              <w:left w:val="nil"/>
              <w:right w:val="nil"/>
            </w:tcBorders>
          </w:tcPr>
          <w:p w14:paraId="7FECA2B9" w14:textId="23BD68D6" w:rsidR="00911160" w:rsidRPr="00283220" w:rsidRDefault="00911160" w:rsidP="00091BF6">
            <w:pPr>
              <w:spacing w:line="240" w:lineRule="auto"/>
              <w:jc w:val="center"/>
              <w:rPr>
                <w:rFonts w:ascii="Tw Cen MT" w:hAnsi="Tw Cen MT"/>
                <w:sz w:val="20"/>
                <w:szCs w:val="20"/>
              </w:rPr>
            </w:pPr>
            <w:r>
              <w:rPr>
                <w:rFonts w:ascii="Tw Cen MT" w:hAnsi="Tw Cen MT"/>
                <w:sz w:val="20"/>
                <w:szCs w:val="20"/>
              </w:rPr>
              <w:t>5,55</w:t>
            </w:r>
          </w:p>
          <w:p w14:paraId="342B9C8D" w14:textId="67C141D0" w:rsidR="00911160" w:rsidRPr="00283220" w:rsidRDefault="00911160" w:rsidP="00091BF6">
            <w:pPr>
              <w:spacing w:line="240" w:lineRule="auto"/>
              <w:jc w:val="center"/>
              <w:rPr>
                <w:rFonts w:ascii="Tw Cen MT" w:hAnsi="Tw Cen MT"/>
                <w:sz w:val="20"/>
                <w:szCs w:val="20"/>
              </w:rPr>
            </w:pPr>
            <w:r>
              <w:rPr>
                <w:rFonts w:ascii="Tw Cen MT" w:hAnsi="Tw Cen MT"/>
                <w:sz w:val="20"/>
                <w:szCs w:val="20"/>
              </w:rPr>
              <w:t>16,47</w:t>
            </w:r>
          </w:p>
        </w:tc>
        <w:tc>
          <w:tcPr>
            <w:tcW w:w="856" w:type="dxa"/>
            <w:vMerge w:val="restart"/>
            <w:tcBorders>
              <w:left w:val="nil"/>
              <w:right w:val="nil"/>
            </w:tcBorders>
          </w:tcPr>
          <w:p w14:paraId="03DC43F8" w14:textId="77777777" w:rsidR="00911160" w:rsidRDefault="00911160" w:rsidP="00091BF6">
            <w:pPr>
              <w:spacing w:line="240" w:lineRule="auto"/>
              <w:jc w:val="center"/>
              <w:rPr>
                <w:rFonts w:ascii="Tw Cen MT" w:hAnsi="Tw Cen MT"/>
                <w:noProof/>
                <w:sz w:val="20"/>
                <w:szCs w:val="20"/>
                <w:lang w:val="id-ID"/>
              </w:rPr>
            </w:pPr>
            <w:r w:rsidRPr="003E590E">
              <w:rPr>
                <w:rFonts w:ascii="Tw Cen MT" w:hAnsi="Tw Cen MT"/>
                <w:noProof/>
                <w:sz w:val="20"/>
                <w:szCs w:val="20"/>
                <w:lang w:val="id-ID"/>
              </w:rPr>
              <w:t xml:space="preserve">2,625 </w:t>
            </w:r>
          </w:p>
          <w:p w14:paraId="0821A51E" w14:textId="34283180" w:rsidR="00911160" w:rsidRPr="00283220" w:rsidRDefault="00911160" w:rsidP="00091BF6">
            <w:pPr>
              <w:spacing w:line="240" w:lineRule="auto"/>
              <w:jc w:val="center"/>
              <w:rPr>
                <w:rFonts w:ascii="Tw Cen MT" w:hAnsi="Tw Cen MT"/>
                <w:sz w:val="20"/>
                <w:szCs w:val="20"/>
              </w:rPr>
            </w:pPr>
            <w:r w:rsidRPr="003E590E">
              <w:rPr>
                <w:rFonts w:ascii="Tw Cen MT" w:hAnsi="Tw Cen MT"/>
                <w:noProof/>
                <w:sz w:val="20"/>
                <w:szCs w:val="20"/>
                <w:lang w:val="id-ID"/>
              </w:rPr>
              <w:t>(0,557-12,373)</w:t>
            </w:r>
          </w:p>
        </w:tc>
        <w:tc>
          <w:tcPr>
            <w:tcW w:w="567" w:type="dxa"/>
            <w:vMerge w:val="restart"/>
            <w:tcBorders>
              <w:left w:val="nil"/>
            </w:tcBorders>
          </w:tcPr>
          <w:p w14:paraId="61DCA7FD" w14:textId="77777777" w:rsidR="00911160" w:rsidRPr="003E590E" w:rsidRDefault="00911160" w:rsidP="00091BF6">
            <w:pPr>
              <w:spacing w:line="240" w:lineRule="auto"/>
              <w:jc w:val="center"/>
              <w:rPr>
                <w:rFonts w:ascii="Tw Cen MT" w:hAnsi="Tw Cen MT"/>
                <w:noProof/>
                <w:sz w:val="20"/>
                <w:szCs w:val="20"/>
                <w:lang w:val="id-ID"/>
              </w:rPr>
            </w:pPr>
          </w:p>
          <w:p w14:paraId="0DC825DA" w14:textId="69257A23" w:rsidR="00911160" w:rsidRDefault="00911160" w:rsidP="00091BF6">
            <w:pPr>
              <w:spacing w:line="240" w:lineRule="auto"/>
              <w:jc w:val="center"/>
              <w:rPr>
                <w:rFonts w:ascii="Tw Cen MT" w:hAnsi="Tw Cen MT"/>
                <w:sz w:val="20"/>
                <w:szCs w:val="20"/>
              </w:rPr>
            </w:pPr>
            <w:r w:rsidRPr="003E590E">
              <w:rPr>
                <w:rFonts w:ascii="Tw Cen MT" w:hAnsi="Tw Cen MT"/>
                <w:noProof/>
                <w:sz w:val="20"/>
                <w:szCs w:val="20"/>
                <w:lang w:val="id-ID"/>
              </w:rPr>
              <w:t>0,021</w:t>
            </w:r>
          </w:p>
        </w:tc>
      </w:tr>
      <w:tr w:rsidR="00911160" w:rsidRPr="00283220" w14:paraId="4A4DF63D" w14:textId="77777777" w:rsidTr="00091BF6">
        <w:trPr>
          <w:jc w:val="center"/>
        </w:trPr>
        <w:tc>
          <w:tcPr>
            <w:tcW w:w="849" w:type="dxa"/>
            <w:tcBorders>
              <w:right w:val="nil"/>
            </w:tcBorders>
          </w:tcPr>
          <w:p w14:paraId="65C9D9A4" w14:textId="77777777" w:rsidR="00911160" w:rsidRPr="00283220" w:rsidRDefault="00911160" w:rsidP="00091BF6">
            <w:pPr>
              <w:pStyle w:val="Header"/>
              <w:spacing w:before="40" w:after="40"/>
              <w:jc w:val="center"/>
              <w:rPr>
                <w:rFonts w:ascii="Tw Cen MT" w:hAnsi="Tw Cen MT"/>
                <w:b/>
                <w:bCs/>
                <w:sz w:val="20"/>
                <w:szCs w:val="20"/>
              </w:rPr>
            </w:pPr>
            <w:r w:rsidRPr="00283220">
              <w:rPr>
                <w:rFonts w:ascii="Tw Cen MT" w:hAnsi="Tw Cen MT"/>
                <w:b/>
                <w:bCs/>
                <w:sz w:val="20"/>
                <w:szCs w:val="20"/>
              </w:rPr>
              <w:t>Total</w:t>
            </w:r>
          </w:p>
        </w:tc>
        <w:tc>
          <w:tcPr>
            <w:tcW w:w="563" w:type="dxa"/>
            <w:tcBorders>
              <w:left w:val="nil"/>
              <w:right w:val="nil"/>
            </w:tcBorders>
          </w:tcPr>
          <w:p w14:paraId="0BAF432C" w14:textId="77777777" w:rsidR="00911160" w:rsidRPr="00283220" w:rsidRDefault="00911160" w:rsidP="00091BF6">
            <w:pPr>
              <w:spacing w:before="40" w:after="40" w:line="240" w:lineRule="auto"/>
              <w:jc w:val="center"/>
              <w:rPr>
                <w:rFonts w:ascii="Tw Cen MT" w:hAnsi="Tw Cen MT"/>
                <w:b/>
                <w:bCs/>
                <w:sz w:val="20"/>
                <w:szCs w:val="20"/>
              </w:rPr>
            </w:pPr>
            <w:r>
              <w:rPr>
                <w:rFonts w:ascii="Tw Cen MT" w:hAnsi="Tw Cen MT"/>
                <w:b/>
                <w:bCs/>
                <w:sz w:val="20"/>
                <w:szCs w:val="20"/>
              </w:rPr>
              <w:t>88</w:t>
            </w:r>
          </w:p>
        </w:tc>
        <w:tc>
          <w:tcPr>
            <w:tcW w:w="853" w:type="dxa"/>
            <w:tcBorders>
              <w:left w:val="nil"/>
              <w:right w:val="nil"/>
            </w:tcBorders>
          </w:tcPr>
          <w:p w14:paraId="5DB09340" w14:textId="7DA8A0C5" w:rsidR="00911160" w:rsidRPr="00283220" w:rsidRDefault="00911160" w:rsidP="00091BF6">
            <w:pPr>
              <w:spacing w:before="40" w:after="40" w:line="240" w:lineRule="auto"/>
              <w:jc w:val="center"/>
              <w:rPr>
                <w:rFonts w:ascii="Tw Cen MT" w:hAnsi="Tw Cen MT"/>
                <w:b/>
                <w:bCs/>
                <w:sz w:val="20"/>
                <w:szCs w:val="20"/>
              </w:rPr>
            </w:pPr>
            <w:r>
              <w:rPr>
                <w:rFonts w:ascii="Tw Cen MT" w:hAnsi="Tw Cen MT"/>
                <w:b/>
                <w:bCs/>
                <w:sz w:val="20"/>
                <w:szCs w:val="20"/>
              </w:rPr>
              <w:t>85,43</w:t>
            </w:r>
          </w:p>
        </w:tc>
        <w:tc>
          <w:tcPr>
            <w:tcW w:w="513" w:type="dxa"/>
            <w:tcBorders>
              <w:left w:val="nil"/>
              <w:right w:val="nil"/>
            </w:tcBorders>
          </w:tcPr>
          <w:p w14:paraId="5A0DD4CA" w14:textId="77777777" w:rsidR="00911160" w:rsidRPr="00283220" w:rsidRDefault="00911160" w:rsidP="00091BF6">
            <w:pPr>
              <w:spacing w:before="40" w:after="40" w:line="240" w:lineRule="auto"/>
              <w:jc w:val="center"/>
              <w:rPr>
                <w:rFonts w:ascii="Tw Cen MT" w:hAnsi="Tw Cen MT"/>
                <w:b/>
                <w:bCs/>
                <w:sz w:val="20"/>
                <w:szCs w:val="20"/>
              </w:rPr>
            </w:pPr>
            <w:r>
              <w:rPr>
                <w:rFonts w:ascii="Tw Cen MT" w:hAnsi="Tw Cen MT"/>
                <w:b/>
                <w:bCs/>
                <w:sz w:val="20"/>
                <w:szCs w:val="20"/>
              </w:rPr>
              <w:t>15</w:t>
            </w:r>
          </w:p>
        </w:tc>
        <w:tc>
          <w:tcPr>
            <w:tcW w:w="761" w:type="dxa"/>
            <w:tcBorders>
              <w:left w:val="nil"/>
              <w:right w:val="nil"/>
            </w:tcBorders>
          </w:tcPr>
          <w:p w14:paraId="5FA941B7" w14:textId="77777777" w:rsidR="00911160" w:rsidRPr="00283220" w:rsidRDefault="00911160" w:rsidP="00091BF6">
            <w:pPr>
              <w:spacing w:before="40" w:after="40" w:line="240" w:lineRule="auto"/>
              <w:jc w:val="center"/>
              <w:rPr>
                <w:rFonts w:ascii="Tw Cen MT" w:hAnsi="Tw Cen MT"/>
                <w:b/>
                <w:bCs/>
                <w:sz w:val="20"/>
                <w:szCs w:val="20"/>
              </w:rPr>
            </w:pPr>
            <w:r>
              <w:rPr>
                <w:rFonts w:ascii="Tw Cen MT" w:hAnsi="Tw Cen MT"/>
                <w:b/>
                <w:bCs/>
                <w:sz w:val="20"/>
                <w:szCs w:val="20"/>
              </w:rPr>
              <w:t>14,56</w:t>
            </w:r>
          </w:p>
        </w:tc>
        <w:tc>
          <w:tcPr>
            <w:tcW w:w="856" w:type="dxa"/>
            <w:vMerge/>
            <w:tcBorders>
              <w:left w:val="nil"/>
              <w:right w:val="nil"/>
            </w:tcBorders>
          </w:tcPr>
          <w:p w14:paraId="7B4AFEBD" w14:textId="77777777" w:rsidR="00911160" w:rsidRPr="00283220" w:rsidRDefault="00911160" w:rsidP="00091BF6">
            <w:pPr>
              <w:spacing w:before="40" w:after="40" w:line="240" w:lineRule="auto"/>
              <w:jc w:val="center"/>
              <w:rPr>
                <w:rFonts w:ascii="Tw Cen MT" w:hAnsi="Tw Cen MT"/>
                <w:b/>
                <w:bCs/>
                <w:sz w:val="20"/>
                <w:szCs w:val="20"/>
              </w:rPr>
            </w:pPr>
          </w:p>
        </w:tc>
        <w:tc>
          <w:tcPr>
            <w:tcW w:w="567" w:type="dxa"/>
            <w:vMerge/>
            <w:tcBorders>
              <w:left w:val="nil"/>
            </w:tcBorders>
          </w:tcPr>
          <w:p w14:paraId="071BA322" w14:textId="77777777" w:rsidR="00911160" w:rsidRPr="00283220" w:rsidRDefault="00911160" w:rsidP="00091BF6">
            <w:pPr>
              <w:spacing w:before="40" w:after="40" w:line="240" w:lineRule="auto"/>
              <w:jc w:val="center"/>
              <w:rPr>
                <w:rFonts w:ascii="Tw Cen MT" w:hAnsi="Tw Cen MT"/>
                <w:b/>
                <w:bCs/>
                <w:sz w:val="20"/>
                <w:szCs w:val="20"/>
              </w:rPr>
            </w:pPr>
          </w:p>
        </w:tc>
      </w:tr>
    </w:tbl>
    <w:p w14:paraId="2BEC666A" w14:textId="77777777" w:rsidR="00911160" w:rsidRPr="00B35791" w:rsidRDefault="00911160" w:rsidP="00091BF6">
      <w:pPr>
        <w:spacing w:after="0" w:line="240" w:lineRule="auto"/>
        <w:jc w:val="both"/>
        <w:rPr>
          <w:rFonts w:ascii="Tw Cen MT" w:hAnsi="Tw Cen MT"/>
          <w:noProof/>
          <w:sz w:val="24"/>
          <w:szCs w:val="24"/>
          <w:lang w:val="id-ID"/>
        </w:rPr>
      </w:pPr>
      <w:r w:rsidRPr="00B35791">
        <w:rPr>
          <w:rFonts w:ascii="Tw Cen MT" w:eastAsia="Twentieth Century" w:hAnsi="Tw Cen MT" w:cs="Twentieth Century"/>
          <w:i/>
          <w:iCs/>
          <w:sz w:val="20"/>
          <w:szCs w:val="20"/>
        </w:rPr>
        <w:t>Source : primery data processing</w:t>
      </w:r>
    </w:p>
    <w:p w14:paraId="7FF11673" w14:textId="77777777" w:rsidR="00911160" w:rsidRPr="00911160" w:rsidRDefault="00911160" w:rsidP="00091BF6">
      <w:pPr>
        <w:spacing w:after="0" w:line="240" w:lineRule="auto"/>
        <w:jc w:val="both"/>
        <w:rPr>
          <w:rFonts w:ascii="Tw Cen MT" w:hAnsi="Tw Cen MT"/>
          <w:noProof/>
          <w:sz w:val="24"/>
          <w:szCs w:val="24"/>
          <w:lang w:val="id-ID"/>
        </w:rPr>
      </w:pPr>
    </w:p>
    <w:p w14:paraId="3628C53B" w14:textId="77777777" w:rsidR="00017532" w:rsidRPr="00F4585D" w:rsidRDefault="00017532" w:rsidP="00091BF6">
      <w:pPr>
        <w:pStyle w:val="ListParagraph"/>
        <w:spacing w:after="0" w:line="240" w:lineRule="auto"/>
        <w:ind w:left="0"/>
        <w:jc w:val="both"/>
        <w:rPr>
          <w:rFonts w:ascii="Tw Cen MT" w:hAnsi="Tw Cen MT"/>
          <w:noProof/>
          <w:sz w:val="24"/>
          <w:szCs w:val="24"/>
          <w:lang w:val="id-ID"/>
        </w:rPr>
      </w:pPr>
      <w:r w:rsidRPr="00F4585D">
        <w:rPr>
          <w:rFonts w:ascii="Tw Cen MT" w:hAnsi="Tw Cen MT"/>
          <w:noProof/>
          <w:sz w:val="24"/>
          <w:szCs w:val="24"/>
          <w:lang w:val="id-ID"/>
        </w:rPr>
        <w:t>Nilai OR 2,625 mengindikasikan bahwa ibu hamil dengan tingkat pendidikan lebih tinggi memiliki kemungkinan 2,625 kali lebih besar untuk melakukan deteksi dini risiko tinggi kehamilan dibandingkan dengan ibu hamil yang memiliki pendidikan lebih rendah. Namun, interval kepercayaan yang sangat luas, yaitu dari 0,557 hingga 12,373, menunjukkan adanya ketidakpastian yang signifikan mengenai kekuatan hubungan ini.</w:t>
      </w:r>
    </w:p>
    <w:p w14:paraId="552327D2" w14:textId="77777777" w:rsidR="00017532" w:rsidRPr="00D32B7E" w:rsidRDefault="00017532" w:rsidP="00091BF6">
      <w:pPr>
        <w:pStyle w:val="ListParagraph"/>
        <w:spacing w:after="0" w:line="240" w:lineRule="auto"/>
        <w:ind w:left="0"/>
        <w:jc w:val="both"/>
        <w:rPr>
          <w:rFonts w:ascii="Tw Cen MT" w:hAnsi="Tw Cen MT"/>
          <w:noProof/>
          <w:sz w:val="24"/>
          <w:szCs w:val="24"/>
          <w:lang w:val="id-ID"/>
        </w:rPr>
      </w:pPr>
      <w:r w:rsidRPr="00F4585D">
        <w:rPr>
          <w:rFonts w:ascii="Tw Cen MT" w:hAnsi="Tw Cen MT"/>
          <w:noProof/>
          <w:sz w:val="24"/>
          <w:szCs w:val="24"/>
          <w:lang w:val="id-ID"/>
        </w:rPr>
        <w:t>Rentang yang lebar ini mengindikasikan bahwa hasil tersebut tidak cukup konsisten atau kuat, dan bisa dipengaruhi oleh variabilitas data atau ukuran sampel yang terbatas. Meskipun demikian, hasil ini menunjukkan bahwa tingkat pendidikan berpotensi berkontribusi pada peningkatan deteksi dini risiko kehamilan, sehingga upaya untuk meningkatkan pendidikan kesehatan ibu hamil tetap penting dan relevan.</w:t>
      </w:r>
    </w:p>
    <w:p w14:paraId="40BB96C1" w14:textId="722CB77D" w:rsidR="00017532" w:rsidRPr="00D32B7E" w:rsidRDefault="00017532" w:rsidP="00091BF6">
      <w:pPr>
        <w:pStyle w:val="ListParagraph"/>
        <w:spacing w:after="0" w:line="240" w:lineRule="auto"/>
        <w:ind w:left="0"/>
        <w:jc w:val="both"/>
        <w:rPr>
          <w:rFonts w:ascii="Tw Cen MT" w:hAnsi="Tw Cen MT"/>
          <w:noProof/>
          <w:sz w:val="24"/>
          <w:szCs w:val="24"/>
          <w:lang w:val="id-ID"/>
        </w:rPr>
      </w:pPr>
      <w:r w:rsidRPr="00D32B7E">
        <w:rPr>
          <w:rFonts w:ascii="Tw Cen MT" w:hAnsi="Tw Cen MT"/>
          <w:noProof/>
          <w:sz w:val="24"/>
          <w:szCs w:val="24"/>
          <w:lang w:val="id-ID"/>
        </w:rPr>
        <w:t xml:space="preserve">Pendidikan berperan penting dalam membentuk pola pikir dan kesadaran ibu hamil terhadap pentingnya menjaga kesehatan selama kehamilan. Ibu hamil yang memiliki pendidikan lebih tinggi cenderung memiliki akses lebih baik terhadap informasi kesehatan, serta lebih mampu memahami dan menganalisis informasi tersebut. Ibu hamil lebih mungkin untuk memahami pentingnya pemeriksaan antenatal secara teratur, mengenali tanda-tanda bahaya, dan mengetahui kapan harus mencari bantuan medis </w:t>
      </w:r>
      <w:r w:rsidRPr="00D32B7E">
        <w:rPr>
          <w:rFonts w:ascii="Tw Cen MT" w:hAnsi="Tw Cen MT"/>
          <w:noProof/>
          <w:sz w:val="24"/>
          <w:szCs w:val="24"/>
          <w:lang w:val="id-ID"/>
        </w:rPr>
        <w:fldChar w:fldCharType="begin" w:fldLock="1"/>
      </w:r>
      <w:r w:rsidR="00663E0E">
        <w:rPr>
          <w:rFonts w:ascii="Tw Cen MT" w:hAnsi="Tw Cen MT"/>
          <w:noProof/>
          <w:sz w:val="24"/>
          <w:szCs w:val="24"/>
          <w:lang w:val="id-ID"/>
        </w:rPr>
        <w:instrText>ADDIN CSL_CITATION {"citationItems":[{"id":"ITEM-1","itemData":{"DOI":"10.58860/ijsh.v2i6.64","abstract":"Pregnancy is the period in the life of an adult woman, lasting approximately nine months, during which the fetus, i.e., the baby, grows inside her body. Certain physiological changes occur in a woman's body to support the growing fetus. The fetus obtains all the necessary nutrients for its growth from the mother's body through the placenta. Therefore, pregnancy is a period characterized by morphological, anatomical, and physiological changes accompanied by high nutritional requirements. The objective of this study was to identify and analyze health awareness during pregnancy in the Chamarajanagara district. The research methodology employed in this study was purposive, and the researcher has over 10 years of experience in the Department of Social Work at Chamarajanagara University, Suvarnagangotri, Chamarajanagara. The study results indicated that pregnant women provided information on their highest educational qualifications, emphasizing the importance of food for the health of both the pregnant woman and her baby. Consequently, pregnant women consume a significant amount of non-vegetarian food, and it was found that a healthy eating pattern is crucial for facilitating easy childbirth. This research has implications in terms of providing a better understanding of health awareness during pregnancy, formulating public policies, and establishing a foundation for the development of educational programs and health promotion initiatives aimed at enhancing health awareness during pregnancy.","author":[{"dropping-particle":"","family":"P","given":"Bhavya","non-dropping-particle":"","parse-names":false,"suffix":""},{"dropping-particle":"","family":"Somashekar","given":"Somashekar","non-dropping-particle":"","parse-names":false,"suffix":""}],"container-title":"International Journal of Social Health","id":"ITEM-1","issue":"6","issued":{"date-parts":[["2023"]]},"page":"391-396","title":"A Study on Health Awareness During Pregnancy with Special Reference to Chamarajanagara District","type":"article-journal","volume":"2"},"uris":["http://www.mendeley.com/documents/?uuid=ac660dda-10ab-464e-a3c5-1304ad25410c"]}],"mendeley":{"formattedCitation":"[16]","plainTextFormattedCitation":"[16]","previouslyFormattedCitation":"[16]"},"properties":{"noteIndex":0},"schema":"https://github.com/citation-style-language/schema/raw/master/csl-citation.json"}</w:instrText>
      </w:r>
      <w:r w:rsidRPr="00D32B7E">
        <w:rPr>
          <w:rFonts w:ascii="Tw Cen MT" w:hAnsi="Tw Cen MT"/>
          <w:noProof/>
          <w:sz w:val="24"/>
          <w:szCs w:val="24"/>
          <w:lang w:val="id-ID"/>
        </w:rPr>
        <w:fldChar w:fldCharType="separate"/>
      </w:r>
      <w:r w:rsidR="00263CD2" w:rsidRPr="00263CD2">
        <w:rPr>
          <w:rFonts w:ascii="Tw Cen MT" w:hAnsi="Tw Cen MT"/>
          <w:noProof/>
          <w:sz w:val="24"/>
          <w:szCs w:val="24"/>
          <w:lang w:val="id-ID"/>
        </w:rPr>
        <w:t>[16]</w:t>
      </w:r>
      <w:r w:rsidRPr="00D32B7E">
        <w:rPr>
          <w:rFonts w:ascii="Tw Cen MT" w:hAnsi="Tw Cen MT"/>
          <w:noProof/>
          <w:sz w:val="24"/>
          <w:szCs w:val="24"/>
          <w:lang w:val="id-ID"/>
        </w:rPr>
        <w:fldChar w:fldCharType="end"/>
      </w:r>
      <w:r w:rsidRPr="00D32B7E">
        <w:rPr>
          <w:rFonts w:ascii="Tw Cen MT" w:hAnsi="Tw Cen MT"/>
          <w:noProof/>
          <w:sz w:val="24"/>
          <w:szCs w:val="24"/>
          <w:lang w:val="id-ID"/>
        </w:rPr>
        <w:t>.</w:t>
      </w:r>
    </w:p>
    <w:p w14:paraId="7793406D" w14:textId="6A1A1F3F" w:rsidR="00017532" w:rsidRPr="00D32B7E" w:rsidRDefault="00017532" w:rsidP="00091BF6">
      <w:pPr>
        <w:pStyle w:val="ListParagraph"/>
        <w:spacing w:after="0" w:line="240" w:lineRule="auto"/>
        <w:ind w:left="0"/>
        <w:jc w:val="both"/>
        <w:rPr>
          <w:rFonts w:ascii="Tw Cen MT" w:hAnsi="Tw Cen MT"/>
          <w:noProof/>
          <w:sz w:val="24"/>
          <w:szCs w:val="24"/>
          <w:lang w:val="id-ID"/>
        </w:rPr>
      </w:pPr>
      <w:r w:rsidRPr="00D32B7E">
        <w:rPr>
          <w:rFonts w:ascii="Tw Cen MT" w:hAnsi="Tw Cen MT"/>
          <w:noProof/>
          <w:sz w:val="24"/>
          <w:szCs w:val="24"/>
          <w:lang w:val="id-ID"/>
        </w:rPr>
        <w:t xml:space="preserve">Deteksi dini risiko kehamilan sangat bergantung pada kesadaran dan pengetahuan ibu hamil tentang tanda-tanda komplikasi. Ibu dengan pendidikan yang lebih tinggi cenderung lebih sadar akan berbagai risiko dan lebih termotivasi untuk melakukan pemeriksaan rutin serta konsultasi dengan tenaga kesehatan. Hal ini meningkatkan kemungkinan deteksi dini risiko, yang sangat penting untuk mencegah komplikasi yang lebih serius </w:t>
      </w:r>
      <w:r w:rsidRPr="00D32B7E">
        <w:rPr>
          <w:rFonts w:ascii="Tw Cen MT" w:hAnsi="Tw Cen MT"/>
          <w:noProof/>
          <w:sz w:val="24"/>
          <w:szCs w:val="24"/>
          <w:lang w:val="id-ID"/>
        </w:rPr>
        <w:fldChar w:fldCharType="begin" w:fldLock="1"/>
      </w:r>
      <w:r w:rsidR="00663E0E">
        <w:rPr>
          <w:rFonts w:ascii="Tw Cen MT" w:hAnsi="Tw Cen MT"/>
          <w:noProof/>
          <w:sz w:val="24"/>
          <w:szCs w:val="24"/>
          <w:lang w:val="id-ID"/>
        </w:rPr>
        <w:instrText>ADDIN CSL_CITATION {"citationItems":[{"id":"ITEM-1","itemData":{"DOI":"10.55299/ijcs.v1i2.174","abstract":"Hypertension in pregnant women occurs in about 10% of pregnancies worldwide and is one of the main causes of morbidity and mortality in mothers and their babies. The incidence of hypertension during pregnancy can be triggered by stress experienced by the mother, stress is a condition or condition of the body that is disturbed due to psychological pressure or psychological disease, the age of pregnant women if less than 20 years or more than 35 years can also increase the risk of hypertension. Various kinds of risk factors that cause preeclampsia, one of which is a history of hypertension and nutritional status of pregnant women, pregnant women with a history of hypertension will have a greater risk of experiencing preeclampsia. The counseling method was in the form of direct presentation of lecture material and measurement of blood pressure in pregnant women, amounting to 27 people . Submission of material on early detection of symptoms of hypertension in pregnant women with the effectiveness of the counseling pregnant women can gain knowledge about early detection of symptoms of hypertension in pregnant women.","author":[{"dropping-particle":"","family":"Fitriani","given":"","non-dropping-particle":"","parse-names":false,"suffix":""},{"dropping-particle":"","family":"Sukri","given":"","non-dropping-particle":"","parse-names":false,"suffix":""},{"dropping-particle":"","family":"Efendi","given":"Suradi","non-dropping-particle":"","parse-names":false,"suffix":""},{"dropping-particle":"","family":"Sriyanah","given":"Nour","non-dropping-particle":"","parse-names":false,"suffix":""}],"container-title":"International Journal of Community Service (IJCS)","id":"ITEM-1","issue":"2","issued":{"date-parts":[["2022"]]},"page":"142-147","title":"Early Detection of Hypertension Symptoms in Pregnancy","type":"article-journal","volume":"1"},"uris":["http://www.mendeley.com/documents/?uuid=a7bba266-0b32-42cb-a01b-ff1db683a826"]},{"id":"ITEM-2","itemData":{"DOI":"10.55047/comorbid.v1i4.591","abstract":"Pregnancy is a physiological condition that can become pathological if there are complications that affect the health of both the mother and the baby. Pregnant women need to be aware of potential high-risk pregnancy factors and understand the importance of early detection. Health education is an essential tool for improving pregnant women's knowledge in this area. The aim of this study is to explore the impact of health education on pregnant women's knowledge about high-risk pregnancy. To achieve this, we conducted a review of existing research sources obtained from Google and Google Scholar. The sources were taken within the last five years, from 2018 to 2022. A total of 13 articles were identified, consisting of national and international journals that focused on pregnant women who received interventions in the form of health education about high-risk pregnancy. The findings suggest that health education has a positive impact on pregnant women's knowledge and can help reduce the risks associated with high-risk pregnancies.","author":[{"dropping-particle":"","family":"Handayani","given":"Evika Putri","non-dropping-particle":"","parse-names":false,"suffix":""},{"dropping-particle":"","family":"Jannah","given":"Muliatul","non-dropping-particle":"","parse-names":false,"suffix":""},{"dropping-particle":"","family":"Rahmawati","given":"Alfiah","non-dropping-particle":"","parse-names":false,"suffix":""}],"container-title":"Pharmacology Medical Reports Orthopedic and Illness Details (Comorbid)","id":"ITEM-2","issue":"4","issued":{"date-parts":[["2023"]]},"page":"14-21","title":"Efforts To Increase Pregnant Women'S Knowledge About High-Risk Pregnancy With Health Education","type":"article-journal","volume":"1"},"uris":["http://www.mendeley.com/documents/?uuid=9393fb90-23f9-4185-a88c-e9fe324f5934"]}],"mendeley":{"formattedCitation":"[10], [17]","plainTextFormattedCitation":"[10], [17]","previouslyFormattedCitation":"[10], [17]"},"properties":{"noteIndex":0},"schema":"https://github.com/citation-style-language/schema/raw/master/csl-citation.json"}</w:instrText>
      </w:r>
      <w:r w:rsidRPr="00D32B7E">
        <w:rPr>
          <w:rFonts w:ascii="Tw Cen MT" w:hAnsi="Tw Cen MT"/>
          <w:noProof/>
          <w:sz w:val="24"/>
          <w:szCs w:val="24"/>
          <w:lang w:val="id-ID"/>
        </w:rPr>
        <w:fldChar w:fldCharType="separate"/>
      </w:r>
      <w:r w:rsidR="00663E0E" w:rsidRPr="00663E0E">
        <w:rPr>
          <w:rFonts w:ascii="Tw Cen MT" w:hAnsi="Tw Cen MT"/>
          <w:noProof/>
          <w:sz w:val="24"/>
          <w:szCs w:val="24"/>
          <w:lang w:val="id-ID"/>
        </w:rPr>
        <w:t>[10], [17]</w:t>
      </w:r>
      <w:r w:rsidRPr="00D32B7E">
        <w:rPr>
          <w:rFonts w:ascii="Tw Cen MT" w:hAnsi="Tw Cen MT"/>
          <w:noProof/>
          <w:sz w:val="24"/>
          <w:szCs w:val="24"/>
          <w:lang w:val="id-ID"/>
        </w:rPr>
        <w:fldChar w:fldCharType="end"/>
      </w:r>
      <w:r w:rsidRPr="00D32B7E">
        <w:rPr>
          <w:rFonts w:ascii="Tw Cen MT" w:hAnsi="Tw Cen MT"/>
          <w:noProof/>
          <w:sz w:val="24"/>
          <w:szCs w:val="24"/>
          <w:lang w:val="id-ID"/>
        </w:rPr>
        <w:t xml:space="preserve">. Meskipun temuan ini menunjukkan bahwa pendidikan berhubungan dengan kemampuan untuk mendeteksi dini risiko kehamilan, hal ini juga menyoroti perlunya intervensi khusus bagi ibu hamil dengan pendidikan rendah. Program edukasi yang dirancang khusus dengan pendekatan yang mudah dipahami dan relevan bagi kelompok ini dapat membantu meningkatkan kesadaran dan pengetahuan mereka tentang pentingnya deteksi dini risiko kehamilan </w:t>
      </w:r>
      <w:r w:rsidRPr="00D32B7E">
        <w:rPr>
          <w:rFonts w:ascii="Tw Cen MT" w:hAnsi="Tw Cen MT"/>
          <w:noProof/>
          <w:sz w:val="24"/>
          <w:szCs w:val="24"/>
          <w:lang w:val="id-ID"/>
        </w:rPr>
        <w:fldChar w:fldCharType="begin" w:fldLock="1"/>
      </w:r>
      <w:r w:rsidR="00663E0E">
        <w:rPr>
          <w:rFonts w:ascii="Tw Cen MT" w:hAnsi="Tw Cen MT"/>
          <w:noProof/>
          <w:sz w:val="24"/>
          <w:szCs w:val="24"/>
          <w:lang w:val="id-ID"/>
        </w:rPr>
        <w:instrText>ADDIN CSL_CITATION {"citationItems":[{"id":"ITEM-1","itemData":{"DOI":"10.7759/cureus.39285","ISSN":"2168-8184","PMID":"37223341","abstract":"INTRODUCTION Antenatal (prenatal) education is a vital role of midwives when giving antenatal care to pregnant women. Particularly in the late stages of pregnancy, antenatal education regarding the natural-labor process, the introduction of labor rooms, coping strategies, and labor-pain management may enhance maternal self-efficacy and perceptions of childbirth. However, educational programs that include birth plans, pain-relief measures, and birth preparation are not a structured part of the Saudi healthcare system. This is the first study to investigate the effect of antenatal education on maternal self-efficacy in Saudi Arabia. The aim of this study was to investigate the effect of an antenatal education program on maternal self-efficacy in primiparous pregnant women and to determine the relationship between maternal self-efficacy and their sociodemographic characteristics in Jeddah, Saudi Arabia. METHODS A randomized control trial (pretest/posttest) design was conducted with 94 primiparous pregnant women. Two groups were compared: an intervention group, which received a structured antenatal educational program (n = 46), and a control group, which received routine antenatal care (n = 48). The childbirth self-efficacy inventory (CBSEI) was used to assess maternal self-efficacy. The data were analyzed using IBM SPSS Statistics for Windows, Version 24 (Released 2016; IBM Corp., Armonk, New York, United States). RESULTS The mean score on the CBSEI pretest was 238.5 ± 237.4 compared to 242.9 ± 276.2 in the posttest mean score, with significant differences (p &lt; .05) in maternal self-efficacy between the pretest and posttest scores for both groups. CONCLUSION The findings of this study suggest that an antenatal educational program could serve as an essential tool, providing access to high-quality information and skills during the antenatal period and significantly enhancing maternal self-efficacy. It is crucial to invest resources to empower and equip pregnant women in ways that promote positive perceptions and boost their confidence regarding childbirth.","author":[{"dropping-particle":"","family":"Somali","given":"Zohour","non-dropping-particle":"Al","parse-names":false,"suffix":""},{"dropping-particle":"","family":"Bajamal","given":"Eman","non-dropping-particle":"","parse-names":false,"suffix":""},{"dropping-particle":"","family":"Esheaba","given":"Ola","non-dropping-particle":"","parse-names":false,"suffix":""}],"container-title":"Cureus Journal","id":"ITEM-1","issue":"5","issued":{"date-parts":[["2023"]]},"title":"The Effect of Structured The Effect of Structured Antenatal Education on Childbirth Self-Efficacy","type":"article-journal","volume":"15"},"uris":["http://www.mendeley.com/documents/?uuid=002441de-28f2-48ed-b2d8-24dfcf55ece1"]}],"mendeley":{"formattedCitation":"[12]","plainTextFormattedCitation":"[12]","previouslyFormattedCitation":"[12]"},"properties":{"noteIndex":0},"schema":"https://github.com/citation-style-language/schema/raw/master/csl-citation.json"}</w:instrText>
      </w:r>
      <w:r w:rsidRPr="00D32B7E">
        <w:rPr>
          <w:rFonts w:ascii="Tw Cen MT" w:hAnsi="Tw Cen MT"/>
          <w:noProof/>
          <w:sz w:val="24"/>
          <w:szCs w:val="24"/>
          <w:lang w:val="id-ID"/>
        </w:rPr>
        <w:fldChar w:fldCharType="separate"/>
      </w:r>
      <w:r w:rsidR="00663E0E" w:rsidRPr="00663E0E">
        <w:rPr>
          <w:rFonts w:ascii="Tw Cen MT" w:hAnsi="Tw Cen MT"/>
          <w:noProof/>
          <w:sz w:val="24"/>
          <w:szCs w:val="24"/>
          <w:lang w:val="id-ID"/>
        </w:rPr>
        <w:t>[12]</w:t>
      </w:r>
      <w:r w:rsidRPr="00D32B7E">
        <w:rPr>
          <w:rFonts w:ascii="Tw Cen MT" w:hAnsi="Tw Cen MT"/>
          <w:noProof/>
          <w:sz w:val="24"/>
          <w:szCs w:val="24"/>
          <w:lang w:val="id-ID"/>
        </w:rPr>
        <w:fldChar w:fldCharType="end"/>
      </w:r>
      <w:r w:rsidRPr="00D32B7E">
        <w:rPr>
          <w:rFonts w:ascii="Tw Cen MT" w:hAnsi="Tw Cen MT"/>
          <w:noProof/>
          <w:sz w:val="24"/>
          <w:szCs w:val="24"/>
          <w:lang w:val="id-ID"/>
        </w:rPr>
        <w:t>.</w:t>
      </w:r>
    </w:p>
    <w:p w14:paraId="671B9F64" w14:textId="3BE8ACA3" w:rsidR="00017532" w:rsidRDefault="00017532" w:rsidP="00091BF6">
      <w:pPr>
        <w:pStyle w:val="ListParagraph"/>
        <w:spacing w:after="0" w:line="240" w:lineRule="auto"/>
        <w:ind w:left="0"/>
        <w:jc w:val="both"/>
        <w:rPr>
          <w:rFonts w:ascii="Tw Cen MT" w:hAnsi="Tw Cen MT"/>
          <w:noProof/>
          <w:sz w:val="24"/>
          <w:szCs w:val="24"/>
          <w:lang w:val="id-ID"/>
        </w:rPr>
      </w:pPr>
      <w:r w:rsidRPr="00D32B7E">
        <w:rPr>
          <w:rFonts w:ascii="Tw Cen MT" w:hAnsi="Tw Cen MT"/>
          <w:noProof/>
          <w:sz w:val="24"/>
          <w:szCs w:val="24"/>
          <w:lang w:val="id-ID"/>
        </w:rPr>
        <w:t xml:space="preserve">Tenaga kesehatan di Puskesmas dan layanan kesehatan lainnya perlu memainkan peran aktif dalam menjangkau ibu hamil dengan tingkat pendidikan lebih rendah. Mereka harus memberikan informasi kesehatan dengan cara yang lebih komunikatif dan mudah dipahami, serta memastikan bahwa ibu hamil ini merasa didukung dan dipandu dalam proses kehamilan mereka. Penggunaan metode pendidikan yang interaktif dan berbasis komunitas juga dapat efektif dalam menjembatani kesenjangan informasi ini. </w:t>
      </w:r>
      <w:r w:rsidR="00F67BDE">
        <w:rPr>
          <w:rFonts w:ascii="Tw Cen MT" w:hAnsi="Tw Cen MT"/>
          <w:noProof/>
          <w:sz w:val="24"/>
          <w:szCs w:val="24"/>
          <w:lang w:val="id-ID"/>
        </w:rPr>
        <w:t>U</w:t>
      </w:r>
      <w:r w:rsidRPr="00D32B7E">
        <w:rPr>
          <w:rFonts w:ascii="Tw Cen MT" w:hAnsi="Tw Cen MT"/>
          <w:noProof/>
          <w:sz w:val="24"/>
          <w:szCs w:val="24"/>
          <w:lang w:val="id-ID"/>
        </w:rPr>
        <w:t>paya peningkatan pendidikan dan akses informasi kesehatan bagi ibu hamil, terutama yang memiliki pendidikan rendah, harus menjadi prioritas dalam program-program kesehatan ibu dan anak. Edukasi kesehatan yang disesuaikan dengan kebutuhan dan kemampuan pemahaman ibu hamil perlu ditingkatkan untuk mendorong deteksi dini yang lebih efektif.</w:t>
      </w:r>
    </w:p>
    <w:p w14:paraId="1E33814F" w14:textId="60E57555" w:rsidR="00263CD2" w:rsidRPr="00D32B7E" w:rsidRDefault="00F67BDE" w:rsidP="00091BF6">
      <w:pPr>
        <w:pStyle w:val="ListParagraph"/>
        <w:spacing w:after="0" w:line="240" w:lineRule="auto"/>
        <w:ind w:left="0"/>
        <w:jc w:val="both"/>
        <w:rPr>
          <w:rFonts w:ascii="Tw Cen MT" w:hAnsi="Tw Cen MT"/>
          <w:noProof/>
          <w:sz w:val="24"/>
          <w:szCs w:val="24"/>
          <w:lang w:val="id-ID"/>
        </w:rPr>
      </w:pPr>
      <w:r>
        <w:rPr>
          <w:rFonts w:ascii="Tw Cen MT" w:hAnsi="Tw Cen MT"/>
          <w:noProof/>
          <w:sz w:val="24"/>
          <w:szCs w:val="24"/>
          <w:lang w:val="id-ID"/>
        </w:rPr>
        <w:t>H</w:t>
      </w:r>
      <w:r w:rsidR="00263CD2" w:rsidRPr="00263CD2">
        <w:rPr>
          <w:rFonts w:ascii="Tw Cen MT" w:hAnsi="Tw Cen MT"/>
          <w:noProof/>
          <w:sz w:val="24"/>
          <w:szCs w:val="24"/>
          <w:lang w:val="id-ID"/>
        </w:rPr>
        <w:t>asil penelitian ini juga mendukung pandangan WHO (2022) yang menekankan pentingnya intervensi berbasis pendidikan dalam meningkatkan keterlibatan ibu hamil terhadap pelayanan kesehatan. Pendidikan formal yang lebih tinggi memengaruhi kemampuan ibu untuk memahami informasi medis dan menilai risiko kehamilan dengan lebih kritis. Hal ini menjelaskan mengapa ibu dengan tingkat pendidikan lebih tinggi dalam penelitian ini cenderung lebih proaktif melakukan deteksi dini</w:t>
      </w:r>
      <w:r w:rsidR="00263CD2">
        <w:rPr>
          <w:rFonts w:ascii="Tw Cen MT" w:hAnsi="Tw Cen MT"/>
          <w:noProof/>
          <w:sz w:val="24"/>
          <w:szCs w:val="24"/>
          <w:lang w:val="id-ID"/>
        </w:rPr>
        <w:fldChar w:fldCharType="begin" w:fldLock="1"/>
      </w:r>
      <w:r w:rsidR="00263CD2">
        <w:rPr>
          <w:rFonts w:ascii="Tw Cen MT" w:hAnsi="Tw Cen MT"/>
          <w:noProof/>
          <w:sz w:val="24"/>
          <w:szCs w:val="24"/>
          <w:lang w:val="id-ID"/>
        </w:rPr>
        <w:instrText>ADDIN CSL_CITATION {"citationItems":[{"id":"ITEM-1","itemData":{"author":[{"dropping-particle":"","family":"WHO","given":"","non-dropping-particle":"","parse-names":false,"suffix":""}],"id":"ITEM-1","issued":{"date-parts":[["2022"]]},"publisher-place":"World Health Organization","title":"World health statistics 2022: monitoring health for the SDGs, Sustainable Development Goals","type":"report"},"uris":["http://www.mendeley.com/documents/?uuid=60c763e1-c226-4a93-9d63-eaec3c54e7fd"]}],"mendeley":{"formattedCitation":"[8]","plainTextFormattedCitation":"[8]","previouslyFormattedCitation":"[8]"},"properties":{"noteIndex":0},"schema":"https://github.com/citation-style-language/schema/raw/master/csl-citation.json"}</w:instrText>
      </w:r>
      <w:r w:rsidR="00263CD2">
        <w:rPr>
          <w:rFonts w:ascii="Tw Cen MT" w:hAnsi="Tw Cen MT"/>
          <w:noProof/>
          <w:sz w:val="24"/>
          <w:szCs w:val="24"/>
          <w:lang w:val="id-ID"/>
        </w:rPr>
        <w:fldChar w:fldCharType="separate"/>
      </w:r>
      <w:r w:rsidR="00263CD2" w:rsidRPr="00263CD2">
        <w:rPr>
          <w:rFonts w:ascii="Tw Cen MT" w:hAnsi="Tw Cen MT"/>
          <w:noProof/>
          <w:sz w:val="24"/>
          <w:szCs w:val="24"/>
          <w:lang w:val="id-ID"/>
        </w:rPr>
        <w:t>[8]</w:t>
      </w:r>
      <w:r w:rsidR="00263CD2">
        <w:rPr>
          <w:rFonts w:ascii="Tw Cen MT" w:hAnsi="Tw Cen MT"/>
          <w:noProof/>
          <w:sz w:val="24"/>
          <w:szCs w:val="24"/>
          <w:lang w:val="id-ID"/>
        </w:rPr>
        <w:fldChar w:fldCharType="end"/>
      </w:r>
      <w:r w:rsidR="00263CD2" w:rsidRPr="00263CD2">
        <w:rPr>
          <w:rFonts w:ascii="Tw Cen MT" w:hAnsi="Tw Cen MT"/>
          <w:noProof/>
          <w:sz w:val="24"/>
          <w:szCs w:val="24"/>
          <w:lang w:val="id-ID"/>
        </w:rPr>
        <w:t>.</w:t>
      </w:r>
    </w:p>
    <w:p w14:paraId="29BE9AAB" w14:textId="77777777" w:rsidR="00017532" w:rsidRDefault="00017532" w:rsidP="00091BF6">
      <w:pPr>
        <w:pStyle w:val="ListParagraph"/>
        <w:spacing w:after="0" w:line="240" w:lineRule="auto"/>
        <w:ind w:left="0" w:firstLine="284"/>
        <w:jc w:val="both"/>
        <w:rPr>
          <w:rFonts w:ascii="Tw Cen MT" w:hAnsi="Tw Cen MT"/>
          <w:sz w:val="24"/>
          <w:szCs w:val="24"/>
        </w:rPr>
      </w:pPr>
    </w:p>
    <w:p w14:paraId="104055B6" w14:textId="77777777" w:rsidR="00017532" w:rsidRPr="00500701" w:rsidRDefault="00017532" w:rsidP="00091BF6">
      <w:pPr>
        <w:pStyle w:val="ListParagraph"/>
        <w:numPr>
          <w:ilvl w:val="0"/>
          <w:numId w:val="5"/>
        </w:numPr>
        <w:spacing w:after="0" w:line="240" w:lineRule="auto"/>
        <w:ind w:left="284"/>
        <w:jc w:val="both"/>
        <w:rPr>
          <w:rFonts w:ascii="Tw Cen MT" w:hAnsi="Tw Cen MT"/>
          <w:b/>
          <w:bCs/>
          <w:sz w:val="24"/>
          <w:szCs w:val="24"/>
        </w:rPr>
      </w:pPr>
      <w:r w:rsidRPr="00500701">
        <w:rPr>
          <w:rFonts w:ascii="Tw Cen MT" w:hAnsi="Tw Cen MT"/>
          <w:b/>
          <w:bCs/>
          <w:sz w:val="24"/>
          <w:szCs w:val="24"/>
        </w:rPr>
        <w:t>Hubungan antara asuransi kesehatan dengan deteksi dini resiko tinggi kehamilan</w:t>
      </w:r>
    </w:p>
    <w:p w14:paraId="31AE0D87" w14:textId="2C426BD6" w:rsidR="00911160" w:rsidRDefault="00911160" w:rsidP="00091BF6">
      <w:pPr>
        <w:pStyle w:val="ListParagraph"/>
        <w:spacing w:after="0" w:line="240" w:lineRule="auto"/>
        <w:ind w:left="0"/>
        <w:jc w:val="both"/>
        <w:rPr>
          <w:rFonts w:ascii="Tw Cen MT" w:hAnsi="Tw Cen MT"/>
          <w:noProof/>
          <w:sz w:val="24"/>
          <w:szCs w:val="24"/>
          <w:lang w:val="id-ID"/>
        </w:rPr>
      </w:pPr>
      <w:r>
        <w:rPr>
          <w:rFonts w:ascii="Tw Cen MT" w:hAnsi="Tw Cen MT"/>
          <w:noProof/>
          <w:sz w:val="24"/>
          <w:szCs w:val="24"/>
          <w:lang w:val="id-ID"/>
        </w:rPr>
        <w:t>Hasil analisa hubungan asuransi kesehatan dengan deteksi dini resiko tinggi kehamilan dapat dilihat pada tabel di bawah ini:</w:t>
      </w:r>
    </w:p>
    <w:p w14:paraId="4E357693" w14:textId="0EA930C8" w:rsidR="00911160" w:rsidRPr="00911160" w:rsidRDefault="00911160" w:rsidP="00091BF6">
      <w:pPr>
        <w:pStyle w:val="ListParagraph"/>
        <w:spacing w:after="0" w:line="240" w:lineRule="auto"/>
        <w:ind w:left="284"/>
        <w:jc w:val="center"/>
        <w:rPr>
          <w:rFonts w:ascii="Tw Cen MT" w:eastAsia="Twentieth Century" w:hAnsi="Tw Cen MT" w:cs="Twentieth Century"/>
          <w:sz w:val="20"/>
          <w:szCs w:val="20"/>
        </w:rPr>
      </w:pPr>
      <w:r w:rsidRPr="003E590E">
        <w:rPr>
          <w:rFonts w:ascii="Tw Cen MT" w:eastAsia="Twentieth Century" w:hAnsi="Tw Cen MT" w:cs="Twentieth Century"/>
          <w:sz w:val="20"/>
          <w:szCs w:val="20"/>
        </w:rPr>
        <w:t xml:space="preserve">Tabel </w:t>
      </w:r>
      <w:r w:rsidR="00663E0E">
        <w:rPr>
          <w:rFonts w:ascii="Tw Cen MT" w:eastAsia="Twentieth Century" w:hAnsi="Tw Cen MT" w:cs="Twentieth Century"/>
          <w:sz w:val="20"/>
          <w:szCs w:val="20"/>
        </w:rPr>
        <w:t>4</w:t>
      </w:r>
      <w:r w:rsidRPr="003E590E">
        <w:rPr>
          <w:rFonts w:ascii="Tw Cen MT" w:eastAsia="Twentieth Century" w:hAnsi="Tw Cen MT" w:cs="Twentieth Century"/>
          <w:sz w:val="20"/>
          <w:szCs w:val="20"/>
        </w:rPr>
        <w:t xml:space="preserve">. </w:t>
      </w:r>
      <w:r>
        <w:rPr>
          <w:rFonts w:ascii="Tw Cen MT" w:eastAsia="Twentieth Century" w:hAnsi="Tw Cen MT" w:cs="Twentieth Century"/>
          <w:sz w:val="20"/>
          <w:szCs w:val="20"/>
        </w:rPr>
        <w:t>Hasil analisa hubungan antara asuransi kesehatan dengan deteksi dini resiko tinggi kehamilan</w:t>
      </w:r>
    </w:p>
    <w:tbl>
      <w:tblPr>
        <w:tblW w:w="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3"/>
        <w:gridCol w:w="853"/>
        <w:gridCol w:w="513"/>
        <w:gridCol w:w="764"/>
        <w:gridCol w:w="570"/>
        <w:gridCol w:w="566"/>
      </w:tblGrid>
      <w:tr w:rsidR="00911160" w:rsidRPr="00283220" w14:paraId="3D69DB0D" w14:textId="77777777" w:rsidTr="00091BF6">
        <w:trPr>
          <w:cantSplit/>
          <w:trHeight w:val="454"/>
          <w:jc w:val="center"/>
        </w:trPr>
        <w:tc>
          <w:tcPr>
            <w:tcW w:w="851" w:type="dxa"/>
            <w:vMerge w:val="restart"/>
            <w:tcBorders>
              <w:left w:val="nil"/>
              <w:right w:val="nil"/>
            </w:tcBorders>
            <w:vAlign w:val="center"/>
          </w:tcPr>
          <w:p w14:paraId="7412B280" w14:textId="470BAF21" w:rsidR="00911160" w:rsidRPr="00283220" w:rsidRDefault="00911160" w:rsidP="00091BF6">
            <w:pPr>
              <w:spacing w:line="240" w:lineRule="auto"/>
              <w:ind w:right="-44"/>
              <w:rPr>
                <w:rFonts w:ascii="Tw Cen MT" w:hAnsi="Tw Cen MT"/>
                <w:b/>
                <w:bCs/>
                <w:sz w:val="20"/>
                <w:szCs w:val="20"/>
                <w:lang w:val="nb-NO"/>
              </w:rPr>
            </w:pPr>
            <w:r>
              <w:rPr>
                <w:rFonts w:ascii="Tw Cen MT" w:hAnsi="Tw Cen MT"/>
                <w:b/>
                <w:bCs/>
                <w:sz w:val="20"/>
                <w:szCs w:val="20"/>
                <w:lang w:val="nb-NO"/>
              </w:rPr>
              <w:t>Asuransi Kesehatan</w:t>
            </w:r>
            <w:r w:rsidRPr="00283220">
              <w:rPr>
                <w:rFonts w:ascii="Tw Cen MT" w:hAnsi="Tw Cen MT"/>
                <w:b/>
                <w:bCs/>
                <w:sz w:val="20"/>
                <w:szCs w:val="20"/>
                <w:lang w:val="nb-NO"/>
              </w:rPr>
              <w:t xml:space="preserve"> </w:t>
            </w:r>
          </w:p>
        </w:tc>
        <w:tc>
          <w:tcPr>
            <w:tcW w:w="2693" w:type="dxa"/>
            <w:gridSpan w:val="4"/>
            <w:tcBorders>
              <w:left w:val="nil"/>
              <w:right w:val="nil"/>
            </w:tcBorders>
            <w:vAlign w:val="center"/>
          </w:tcPr>
          <w:p w14:paraId="0C56D52F" w14:textId="77777777" w:rsidR="00911160" w:rsidRPr="00283220" w:rsidRDefault="00911160" w:rsidP="00091BF6">
            <w:pPr>
              <w:spacing w:line="240" w:lineRule="auto"/>
              <w:jc w:val="center"/>
              <w:rPr>
                <w:rFonts w:ascii="Tw Cen MT" w:hAnsi="Tw Cen MT"/>
                <w:b/>
                <w:bCs/>
                <w:sz w:val="20"/>
                <w:szCs w:val="20"/>
              </w:rPr>
            </w:pPr>
            <w:r>
              <w:rPr>
                <w:rFonts w:ascii="Tw Cen MT" w:hAnsi="Tw Cen MT"/>
                <w:b/>
                <w:bCs/>
                <w:sz w:val="20"/>
                <w:szCs w:val="20"/>
              </w:rPr>
              <w:t>Deteksi dini resiko tinggi kehamilan</w:t>
            </w:r>
          </w:p>
        </w:tc>
        <w:tc>
          <w:tcPr>
            <w:tcW w:w="570" w:type="dxa"/>
            <w:vMerge w:val="restart"/>
            <w:tcBorders>
              <w:left w:val="nil"/>
              <w:right w:val="nil"/>
            </w:tcBorders>
            <w:vAlign w:val="center"/>
          </w:tcPr>
          <w:p w14:paraId="7A3D2923" w14:textId="77777777" w:rsidR="00911160" w:rsidRPr="00283220" w:rsidRDefault="00911160" w:rsidP="00091BF6">
            <w:pPr>
              <w:spacing w:line="240" w:lineRule="auto"/>
              <w:jc w:val="center"/>
              <w:rPr>
                <w:rFonts w:ascii="Tw Cen MT" w:hAnsi="Tw Cen MT"/>
                <w:b/>
                <w:bCs/>
                <w:sz w:val="20"/>
                <w:szCs w:val="20"/>
              </w:rPr>
            </w:pPr>
            <w:r w:rsidRPr="00283220">
              <w:rPr>
                <w:rFonts w:ascii="Tw Cen MT" w:hAnsi="Tw Cen MT"/>
                <w:b/>
                <w:bCs/>
                <w:sz w:val="20"/>
                <w:szCs w:val="20"/>
              </w:rPr>
              <w:t>OR</w:t>
            </w:r>
            <w:r>
              <w:rPr>
                <w:rFonts w:ascii="Tw Cen MT" w:hAnsi="Tw Cen MT"/>
                <w:b/>
                <w:bCs/>
                <w:sz w:val="20"/>
                <w:szCs w:val="20"/>
              </w:rPr>
              <w:t xml:space="preserve"> </w:t>
            </w:r>
            <w:r w:rsidRPr="00283220">
              <w:rPr>
                <w:rFonts w:ascii="Tw Cen MT" w:hAnsi="Tw Cen MT"/>
                <w:b/>
                <w:bCs/>
                <w:sz w:val="20"/>
                <w:szCs w:val="20"/>
              </w:rPr>
              <w:t>95%</w:t>
            </w:r>
          </w:p>
        </w:tc>
        <w:tc>
          <w:tcPr>
            <w:tcW w:w="566" w:type="dxa"/>
            <w:vMerge w:val="restart"/>
            <w:tcBorders>
              <w:left w:val="nil"/>
              <w:right w:val="nil"/>
            </w:tcBorders>
          </w:tcPr>
          <w:p w14:paraId="17602558" w14:textId="77777777" w:rsidR="00911160" w:rsidRDefault="00911160" w:rsidP="00091BF6">
            <w:pPr>
              <w:spacing w:line="240" w:lineRule="auto"/>
              <w:jc w:val="center"/>
              <w:rPr>
                <w:rFonts w:ascii="Tw Cen MT" w:hAnsi="Tw Cen MT"/>
                <w:b/>
                <w:bCs/>
                <w:sz w:val="20"/>
                <w:szCs w:val="20"/>
              </w:rPr>
            </w:pPr>
          </w:p>
          <w:p w14:paraId="5E855DBC" w14:textId="77777777" w:rsidR="00911160" w:rsidRPr="00283220" w:rsidRDefault="00911160" w:rsidP="00091BF6">
            <w:pPr>
              <w:spacing w:line="240" w:lineRule="auto"/>
              <w:jc w:val="center"/>
              <w:rPr>
                <w:rFonts w:ascii="Tw Cen MT" w:hAnsi="Tw Cen MT"/>
                <w:b/>
                <w:bCs/>
                <w:sz w:val="20"/>
                <w:szCs w:val="20"/>
              </w:rPr>
            </w:pPr>
            <w:r>
              <w:rPr>
                <w:rFonts w:ascii="Tw Cen MT" w:hAnsi="Tw Cen MT"/>
                <w:b/>
                <w:bCs/>
                <w:sz w:val="20"/>
                <w:szCs w:val="20"/>
              </w:rPr>
              <w:t>P value</w:t>
            </w:r>
          </w:p>
        </w:tc>
      </w:tr>
      <w:tr w:rsidR="00911160" w:rsidRPr="00283220" w14:paraId="16870B3A" w14:textId="77777777" w:rsidTr="00091BF6">
        <w:trPr>
          <w:cantSplit/>
          <w:trHeight w:val="578"/>
          <w:jc w:val="center"/>
        </w:trPr>
        <w:tc>
          <w:tcPr>
            <w:tcW w:w="851" w:type="dxa"/>
            <w:vMerge/>
            <w:tcBorders>
              <w:left w:val="nil"/>
              <w:right w:val="nil"/>
            </w:tcBorders>
            <w:vAlign w:val="center"/>
          </w:tcPr>
          <w:p w14:paraId="21054ED3" w14:textId="77777777" w:rsidR="00911160" w:rsidRPr="00283220" w:rsidRDefault="00911160" w:rsidP="00091BF6">
            <w:pPr>
              <w:spacing w:line="240" w:lineRule="auto"/>
              <w:jc w:val="center"/>
              <w:rPr>
                <w:rFonts w:ascii="Tw Cen MT" w:hAnsi="Tw Cen MT"/>
                <w:b/>
                <w:bCs/>
                <w:sz w:val="20"/>
                <w:szCs w:val="20"/>
              </w:rPr>
            </w:pPr>
          </w:p>
        </w:tc>
        <w:tc>
          <w:tcPr>
            <w:tcW w:w="1416" w:type="dxa"/>
            <w:gridSpan w:val="2"/>
            <w:tcBorders>
              <w:left w:val="nil"/>
              <w:right w:val="nil"/>
            </w:tcBorders>
            <w:vAlign w:val="center"/>
          </w:tcPr>
          <w:p w14:paraId="63ADCAF8" w14:textId="77777777" w:rsidR="00911160" w:rsidRPr="00283220" w:rsidRDefault="00911160" w:rsidP="00091BF6">
            <w:pPr>
              <w:spacing w:line="240" w:lineRule="auto"/>
              <w:jc w:val="center"/>
              <w:rPr>
                <w:rFonts w:ascii="Tw Cen MT" w:hAnsi="Tw Cen MT"/>
                <w:b/>
                <w:bCs/>
                <w:sz w:val="20"/>
                <w:szCs w:val="20"/>
              </w:rPr>
            </w:pPr>
            <w:r>
              <w:rPr>
                <w:rFonts w:ascii="Tw Cen MT" w:hAnsi="Tw Cen MT"/>
                <w:b/>
                <w:bCs/>
                <w:sz w:val="20"/>
                <w:szCs w:val="20"/>
              </w:rPr>
              <w:t>Melakukan</w:t>
            </w:r>
          </w:p>
        </w:tc>
        <w:tc>
          <w:tcPr>
            <w:tcW w:w="1277" w:type="dxa"/>
            <w:gridSpan w:val="2"/>
            <w:tcBorders>
              <w:left w:val="nil"/>
              <w:right w:val="nil"/>
            </w:tcBorders>
            <w:vAlign w:val="center"/>
          </w:tcPr>
          <w:p w14:paraId="1D506F87" w14:textId="77777777" w:rsidR="00911160" w:rsidRPr="00283220" w:rsidRDefault="00911160" w:rsidP="00091BF6">
            <w:pPr>
              <w:spacing w:line="240" w:lineRule="auto"/>
              <w:jc w:val="center"/>
              <w:rPr>
                <w:rFonts w:ascii="Tw Cen MT" w:hAnsi="Tw Cen MT"/>
                <w:b/>
                <w:bCs/>
                <w:sz w:val="20"/>
                <w:szCs w:val="20"/>
              </w:rPr>
            </w:pPr>
            <w:r w:rsidRPr="00283220">
              <w:rPr>
                <w:rFonts w:ascii="Tw Cen MT" w:hAnsi="Tw Cen MT"/>
                <w:b/>
                <w:bCs/>
                <w:sz w:val="20"/>
                <w:szCs w:val="20"/>
              </w:rPr>
              <w:t xml:space="preserve">Kurang </w:t>
            </w:r>
            <w:r>
              <w:rPr>
                <w:rFonts w:ascii="Tw Cen MT" w:hAnsi="Tw Cen MT"/>
                <w:b/>
                <w:bCs/>
                <w:sz w:val="20"/>
                <w:szCs w:val="20"/>
              </w:rPr>
              <w:t>M</w:t>
            </w:r>
            <w:r w:rsidRPr="00F67BDE">
              <w:rPr>
                <w:rFonts w:ascii="Tw Cen MT" w:hAnsi="Tw Cen MT"/>
                <w:b/>
                <w:bCs/>
                <w:sz w:val="20"/>
                <w:szCs w:val="20"/>
              </w:rPr>
              <w:t>elakukan</w:t>
            </w:r>
          </w:p>
        </w:tc>
        <w:tc>
          <w:tcPr>
            <w:tcW w:w="570" w:type="dxa"/>
            <w:vMerge/>
            <w:tcBorders>
              <w:left w:val="nil"/>
              <w:right w:val="nil"/>
            </w:tcBorders>
            <w:vAlign w:val="center"/>
          </w:tcPr>
          <w:p w14:paraId="31D342F2" w14:textId="77777777" w:rsidR="00911160" w:rsidRPr="00283220" w:rsidRDefault="00911160" w:rsidP="00091BF6">
            <w:pPr>
              <w:spacing w:line="240" w:lineRule="auto"/>
              <w:jc w:val="center"/>
              <w:rPr>
                <w:rFonts w:ascii="Tw Cen MT" w:hAnsi="Tw Cen MT"/>
                <w:b/>
                <w:bCs/>
                <w:sz w:val="20"/>
                <w:szCs w:val="20"/>
              </w:rPr>
            </w:pPr>
          </w:p>
        </w:tc>
        <w:tc>
          <w:tcPr>
            <w:tcW w:w="566" w:type="dxa"/>
            <w:vMerge/>
            <w:tcBorders>
              <w:left w:val="nil"/>
              <w:right w:val="nil"/>
            </w:tcBorders>
          </w:tcPr>
          <w:p w14:paraId="10BBFA89" w14:textId="77777777" w:rsidR="00911160" w:rsidRPr="00283220" w:rsidRDefault="00911160" w:rsidP="00091BF6">
            <w:pPr>
              <w:spacing w:line="240" w:lineRule="auto"/>
              <w:jc w:val="center"/>
              <w:rPr>
                <w:rFonts w:ascii="Tw Cen MT" w:hAnsi="Tw Cen MT"/>
                <w:b/>
                <w:bCs/>
                <w:sz w:val="20"/>
                <w:szCs w:val="20"/>
              </w:rPr>
            </w:pPr>
          </w:p>
        </w:tc>
      </w:tr>
      <w:tr w:rsidR="00911160" w:rsidRPr="00283220" w14:paraId="36420481" w14:textId="77777777" w:rsidTr="00091BF6">
        <w:trPr>
          <w:cantSplit/>
          <w:jc w:val="center"/>
        </w:trPr>
        <w:tc>
          <w:tcPr>
            <w:tcW w:w="851" w:type="dxa"/>
            <w:vMerge/>
            <w:tcBorders>
              <w:left w:val="nil"/>
              <w:right w:val="nil"/>
            </w:tcBorders>
          </w:tcPr>
          <w:p w14:paraId="55C65F0D" w14:textId="77777777" w:rsidR="00911160" w:rsidRPr="00283220" w:rsidRDefault="00911160" w:rsidP="00091BF6">
            <w:pPr>
              <w:spacing w:line="240" w:lineRule="auto"/>
              <w:jc w:val="center"/>
              <w:rPr>
                <w:rFonts w:ascii="Tw Cen MT" w:hAnsi="Tw Cen MT"/>
                <w:b/>
                <w:bCs/>
                <w:sz w:val="20"/>
                <w:szCs w:val="20"/>
              </w:rPr>
            </w:pPr>
          </w:p>
        </w:tc>
        <w:tc>
          <w:tcPr>
            <w:tcW w:w="563" w:type="dxa"/>
            <w:tcBorders>
              <w:left w:val="nil"/>
              <w:right w:val="nil"/>
            </w:tcBorders>
          </w:tcPr>
          <w:p w14:paraId="36394B4B" w14:textId="77777777" w:rsidR="00911160" w:rsidRPr="00283220" w:rsidRDefault="00911160" w:rsidP="00091BF6">
            <w:pPr>
              <w:spacing w:line="240" w:lineRule="auto"/>
              <w:jc w:val="center"/>
              <w:rPr>
                <w:rFonts w:ascii="Tw Cen MT" w:hAnsi="Tw Cen MT"/>
                <w:b/>
                <w:bCs/>
                <w:sz w:val="20"/>
                <w:szCs w:val="20"/>
              </w:rPr>
            </w:pPr>
            <w:r w:rsidRPr="00283220">
              <w:rPr>
                <w:rFonts w:ascii="Tw Cen MT" w:hAnsi="Tw Cen MT"/>
                <w:b/>
                <w:bCs/>
                <w:sz w:val="20"/>
                <w:szCs w:val="20"/>
              </w:rPr>
              <w:t>N</w:t>
            </w:r>
          </w:p>
        </w:tc>
        <w:tc>
          <w:tcPr>
            <w:tcW w:w="853" w:type="dxa"/>
            <w:tcBorders>
              <w:left w:val="nil"/>
              <w:right w:val="nil"/>
            </w:tcBorders>
          </w:tcPr>
          <w:p w14:paraId="4F0A405B" w14:textId="77777777" w:rsidR="00911160" w:rsidRPr="00283220" w:rsidRDefault="00911160" w:rsidP="00091BF6">
            <w:pPr>
              <w:spacing w:line="240" w:lineRule="auto"/>
              <w:jc w:val="center"/>
              <w:rPr>
                <w:rFonts w:ascii="Tw Cen MT" w:hAnsi="Tw Cen MT"/>
                <w:b/>
                <w:bCs/>
                <w:sz w:val="20"/>
                <w:szCs w:val="20"/>
              </w:rPr>
            </w:pPr>
            <w:r w:rsidRPr="00283220">
              <w:rPr>
                <w:rFonts w:ascii="Tw Cen MT" w:hAnsi="Tw Cen MT"/>
                <w:b/>
                <w:bCs/>
                <w:sz w:val="20"/>
                <w:szCs w:val="20"/>
              </w:rPr>
              <w:t>%</w:t>
            </w:r>
          </w:p>
        </w:tc>
        <w:tc>
          <w:tcPr>
            <w:tcW w:w="513" w:type="dxa"/>
            <w:tcBorders>
              <w:left w:val="nil"/>
              <w:right w:val="nil"/>
            </w:tcBorders>
          </w:tcPr>
          <w:p w14:paraId="5753C12B" w14:textId="77777777" w:rsidR="00911160" w:rsidRPr="00283220" w:rsidRDefault="00911160" w:rsidP="00091BF6">
            <w:pPr>
              <w:spacing w:line="240" w:lineRule="auto"/>
              <w:jc w:val="center"/>
              <w:rPr>
                <w:rFonts w:ascii="Tw Cen MT" w:hAnsi="Tw Cen MT"/>
                <w:b/>
                <w:bCs/>
                <w:sz w:val="20"/>
                <w:szCs w:val="20"/>
              </w:rPr>
            </w:pPr>
            <w:r w:rsidRPr="00283220">
              <w:rPr>
                <w:rFonts w:ascii="Tw Cen MT" w:hAnsi="Tw Cen MT"/>
                <w:b/>
                <w:bCs/>
                <w:sz w:val="20"/>
                <w:szCs w:val="20"/>
              </w:rPr>
              <w:t>N</w:t>
            </w:r>
          </w:p>
        </w:tc>
        <w:tc>
          <w:tcPr>
            <w:tcW w:w="764" w:type="dxa"/>
            <w:tcBorders>
              <w:left w:val="nil"/>
              <w:right w:val="nil"/>
            </w:tcBorders>
          </w:tcPr>
          <w:p w14:paraId="43266DDB" w14:textId="77777777" w:rsidR="00911160" w:rsidRPr="00283220" w:rsidRDefault="00911160" w:rsidP="00091BF6">
            <w:pPr>
              <w:spacing w:line="240" w:lineRule="auto"/>
              <w:jc w:val="center"/>
              <w:rPr>
                <w:rFonts w:ascii="Tw Cen MT" w:hAnsi="Tw Cen MT"/>
                <w:b/>
                <w:bCs/>
                <w:sz w:val="20"/>
                <w:szCs w:val="20"/>
              </w:rPr>
            </w:pPr>
            <w:r w:rsidRPr="00283220">
              <w:rPr>
                <w:rFonts w:ascii="Tw Cen MT" w:hAnsi="Tw Cen MT"/>
                <w:b/>
                <w:bCs/>
                <w:sz w:val="20"/>
                <w:szCs w:val="20"/>
              </w:rPr>
              <w:t>%</w:t>
            </w:r>
          </w:p>
        </w:tc>
        <w:tc>
          <w:tcPr>
            <w:tcW w:w="570" w:type="dxa"/>
            <w:vMerge/>
            <w:tcBorders>
              <w:left w:val="nil"/>
              <w:right w:val="nil"/>
            </w:tcBorders>
          </w:tcPr>
          <w:p w14:paraId="34513F3B" w14:textId="77777777" w:rsidR="00911160" w:rsidRPr="00283220" w:rsidRDefault="00911160" w:rsidP="00091BF6">
            <w:pPr>
              <w:spacing w:line="240" w:lineRule="auto"/>
              <w:jc w:val="center"/>
              <w:rPr>
                <w:rFonts w:ascii="Tw Cen MT" w:hAnsi="Tw Cen MT"/>
                <w:b/>
                <w:bCs/>
                <w:sz w:val="20"/>
                <w:szCs w:val="20"/>
              </w:rPr>
            </w:pPr>
          </w:p>
        </w:tc>
        <w:tc>
          <w:tcPr>
            <w:tcW w:w="566" w:type="dxa"/>
            <w:vMerge/>
            <w:tcBorders>
              <w:left w:val="nil"/>
              <w:right w:val="nil"/>
            </w:tcBorders>
          </w:tcPr>
          <w:p w14:paraId="2BF377A7" w14:textId="77777777" w:rsidR="00911160" w:rsidRPr="00283220" w:rsidRDefault="00911160" w:rsidP="00091BF6">
            <w:pPr>
              <w:spacing w:line="240" w:lineRule="auto"/>
              <w:jc w:val="center"/>
              <w:rPr>
                <w:rFonts w:ascii="Tw Cen MT" w:hAnsi="Tw Cen MT"/>
                <w:b/>
                <w:bCs/>
                <w:sz w:val="20"/>
                <w:szCs w:val="20"/>
              </w:rPr>
            </w:pPr>
          </w:p>
        </w:tc>
      </w:tr>
      <w:tr w:rsidR="00911160" w:rsidRPr="00283220" w14:paraId="6C395F9F" w14:textId="77777777" w:rsidTr="00091BF6">
        <w:trPr>
          <w:jc w:val="center"/>
        </w:trPr>
        <w:tc>
          <w:tcPr>
            <w:tcW w:w="851" w:type="dxa"/>
            <w:tcBorders>
              <w:left w:val="nil"/>
              <w:right w:val="nil"/>
            </w:tcBorders>
          </w:tcPr>
          <w:p w14:paraId="1DB3A39B" w14:textId="6999106E" w:rsidR="00911160" w:rsidRPr="00283220" w:rsidRDefault="00911160" w:rsidP="00091BF6">
            <w:pPr>
              <w:pStyle w:val="Header"/>
              <w:rPr>
                <w:rFonts w:ascii="Tw Cen MT" w:hAnsi="Tw Cen MT"/>
                <w:sz w:val="20"/>
                <w:szCs w:val="20"/>
              </w:rPr>
            </w:pPr>
            <w:r>
              <w:rPr>
                <w:rFonts w:ascii="Tw Cen MT" w:hAnsi="Tw Cen MT"/>
                <w:sz w:val="20"/>
                <w:szCs w:val="20"/>
              </w:rPr>
              <w:t>Ada</w:t>
            </w:r>
          </w:p>
          <w:p w14:paraId="0F982384" w14:textId="77777777" w:rsidR="00911160" w:rsidRPr="00283220" w:rsidRDefault="00911160" w:rsidP="00091BF6">
            <w:pPr>
              <w:pStyle w:val="Header"/>
              <w:rPr>
                <w:rFonts w:ascii="Tw Cen MT" w:hAnsi="Tw Cen MT"/>
                <w:sz w:val="20"/>
                <w:szCs w:val="20"/>
              </w:rPr>
            </w:pPr>
          </w:p>
          <w:p w14:paraId="5A9726E3" w14:textId="2903912F" w:rsidR="00911160" w:rsidRPr="00283220" w:rsidRDefault="00911160" w:rsidP="00091BF6">
            <w:pPr>
              <w:pStyle w:val="Header"/>
              <w:rPr>
                <w:rFonts w:ascii="Tw Cen MT" w:hAnsi="Tw Cen MT"/>
                <w:sz w:val="20"/>
                <w:szCs w:val="20"/>
              </w:rPr>
            </w:pPr>
            <w:r>
              <w:rPr>
                <w:rFonts w:ascii="Tw Cen MT" w:hAnsi="Tw Cen MT"/>
                <w:sz w:val="20"/>
                <w:szCs w:val="20"/>
              </w:rPr>
              <w:t>Tidak ada</w:t>
            </w:r>
          </w:p>
        </w:tc>
        <w:tc>
          <w:tcPr>
            <w:tcW w:w="563" w:type="dxa"/>
            <w:tcBorders>
              <w:left w:val="nil"/>
              <w:right w:val="nil"/>
            </w:tcBorders>
          </w:tcPr>
          <w:p w14:paraId="73BBCB8C" w14:textId="05221BD3" w:rsidR="00911160" w:rsidRPr="00283220" w:rsidRDefault="00FC3A84" w:rsidP="00091BF6">
            <w:pPr>
              <w:spacing w:line="240" w:lineRule="auto"/>
              <w:jc w:val="center"/>
              <w:rPr>
                <w:rFonts w:ascii="Tw Cen MT" w:hAnsi="Tw Cen MT"/>
                <w:sz w:val="20"/>
                <w:szCs w:val="20"/>
              </w:rPr>
            </w:pPr>
            <w:r>
              <w:rPr>
                <w:rFonts w:ascii="Tw Cen MT" w:hAnsi="Tw Cen MT"/>
                <w:sz w:val="20"/>
                <w:szCs w:val="20"/>
              </w:rPr>
              <w:t>64</w:t>
            </w:r>
          </w:p>
          <w:p w14:paraId="067CA815" w14:textId="08DDF8C5" w:rsidR="00911160" w:rsidRPr="00283220" w:rsidRDefault="00FC3A84" w:rsidP="00091BF6">
            <w:pPr>
              <w:spacing w:line="240" w:lineRule="auto"/>
              <w:jc w:val="center"/>
              <w:rPr>
                <w:rFonts w:ascii="Tw Cen MT" w:hAnsi="Tw Cen MT"/>
                <w:sz w:val="20"/>
                <w:szCs w:val="20"/>
              </w:rPr>
            </w:pPr>
            <w:r>
              <w:rPr>
                <w:rFonts w:ascii="Tw Cen MT" w:hAnsi="Tw Cen MT"/>
                <w:sz w:val="20"/>
                <w:szCs w:val="20"/>
              </w:rPr>
              <w:t>24</w:t>
            </w:r>
          </w:p>
        </w:tc>
        <w:tc>
          <w:tcPr>
            <w:tcW w:w="853" w:type="dxa"/>
            <w:tcBorders>
              <w:left w:val="nil"/>
              <w:right w:val="nil"/>
            </w:tcBorders>
          </w:tcPr>
          <w:p w14:paraId="7748E898" w14:textId="32BC8B4D" w:rsidR="00911160" w:rsidRPr="00283220" w:rsidRDefault="00FC3A84" w:rsidP="00091BF6">
            <w:pPr>
              <w:spacing w:line="240" w:lineRule="auto"/>
              <w:jc w:val="center"/>
              <w:rPr>
                <w:rFonts w:ascii="Tw Cen MT" w:hAnsi="Tw Cen MT"/>
                <w:sz w:val="20"/>
                <w:szCs w:val="20"/>
              </w:rPr>
            </w:pPr>
            <w:r>
              <w:rPr>
                <w:rFonts w:ascii="Tw Cen MT" w:hAnsi="Tw Cen MT"/>
                <w:sz w:val="20"/>
                <w:szCs w:val="20"/>
              </w:rPr>
              <w:t>86,48</w:t>
            </w:r>
          </w:p>
          <w:p w14:paraId="43100D8C" w14:textId="1932F78B" w:rsidR="00911160" w:rsidRPr="00283220" w:rsidRDefault="00FC3A84" w:rsidP="00091BF6">
            <w:pPr>
              <w:spacing w:line="240" w:lineRule="auto"/>
              <w:jc w:val="center"/>
              <w:rPr>
                <w:rFonts w:ascii="Tw Cen MT" w:hAnsi="Tw Cen MT"/>
                <w:sz w:val="20"/>
                <w:szCs w:val="20"/>
              </w:rPr>
            </w:pPr>
            <w:r>
              <w:rPr>
                <w:rFonts w:ascii="Tw Cen MT" w:hAnsi="Tw Cen MT"/>
                <w:sz w:val="20"/>
                <w:szCs w:val="20"/>
              </w:rPr>
              <w:t>82,75</w:t>
            </w:r>
          </w:p>
        </w:tc>
        <w:tc>
          <w:tcPr>
            <w:tcW w:w="513" w:type="dxa"/>
            <w:tcBorders>
              <w:left w:val="nil"/>
              <w:right w:val="nil"/>
            </w:tcBorders>
          </w:tcPr>
          <w:p w14:paraId="59E4974A" w14:textId="089232AA" w:rsidR="00911160" w:rsidRPr="00283220" w:rsidRDefault="00911160" w:rsidP="00091BF6">
            <w:pPr>
              <w:spacing w:line="240" w:lineRule="auto"/>
              <w:jc w:val="center"/>
              <w:rPr>
                <w:rFonts w:ascii="Tw Cen MT" w:hAnsi="Tw Cen MT"/>
                <w:sz w:val="20"/>
                <w:szCs w:val="20"/>
              </w:rPr>
            </w:pPr>
            <w:r w:rsidRPr="00283220">
              <w:rPr>
                <w:rFonts w:ascii="Tw Cen MT" w:hAnsi="Tw Cen MT"/>
                <w:sz w:val="20"/>
                <w:szCs w:val="20"/>
              </w:rPr>
              <w:t>1</w:t>
            </w:r>
            <w:r w:rsidR="00FC3A84">
              <w:rPr>
                <w:rFonts w:ascii="Tw Cen MT" w:hAnsi="Tw Cen MT"/>
                <w:sz w:val="20"/>
                <w:szCs w:val="20"/>
              </w:rPr>
              <w:t>0</w:t>
            </w:r>
          </w:p>
          <w:p w14:paraId="318CCD26" w14:textId="436C08D0" w:rsidR="00911160" w:rsidRPr="00283220" w:rsidRDefault="00FC3A84" w:rsidP="00091BF6">
            <w:pPr>
              <w:spacing w:line="240" w:lineRule="auto"/>
              <w:jc w:val="center"/>
              <w:rPr>
                <w:rFonts w:ascii="Tw Cen MT" w:hAnsi="Tw Cen MT"/>
                <w:sz w:val="20"/>
                <w:szCs w:val="20"/>
              </w:rPr>
            </w:pPr>
            <w:r>
              <w:rPr>
                <w:rFonts w:ascii="Tw Cen MT" w:hAnsi="Tw Cen MT"/>
                <w:sz w:val="20"/>
                <w:szCs w:val="20"/>
              </w:rPr>
              <w:t>5</w:t>
            </w:r>
          </w:p>
        </w:tc>
        <w:tc>
          <w:tcPr>
            <w:tcW w:w="764" w:type="dxa"/>
            <w:tcBorders>
              <w:left w:val="nil"/>
              <w:right w:val="nil"/>
            </w:tcBorders>
          </w:tcPr>
          <w:p w14:paraId="01A6E76D" w14:textId="0C6C32C5" w:rsidR="00911160" w:rsidRPr="00283220" w:rsidRDefault="00FC3A84" w:rsidP="00091BF6">
            <w:pPr>
              <w:spacing w:line="240" w:lineRule="auto"/>
              <w:jc w:val="center"/>
              <w:rPr>
                <w:rFonts w:ascii="Tw Cen MT" w:hAnsi="Tw Cen MT"/>
                <w:sz w:val="20"/>
                <w:szCs w:val="20"/>
              </w:rPr>
            </w:pPr>
            <w:r>
              <w:rPr>
                <w:rFonts w:ascii="Tw Cen MT" w:hAnsi="Tw Cen MT"/>
                <w:sz w:val="20"/>
                <w:szCs w:val="20"/>
              </w:rPr>
              <w:t>13,52</w:t>
            </w:r>
          </w:p>
          <w:p w14:paraId="7B08F20C" w14:textId="57E0D9D6" w:rsidR="00911160" w:rsidRPr="00283220" w:rsidRDefault="00FC3A84" w:rsidP="00091BF6">
            <w:pPr>
              <w:spacing w:line="240" w:lineRule="auto"/>
              <w:jc w:val="center"/>
              <w:rPr>
                <w:rFonts w:ascii="Tw Cen MT" w:hAnsi="Tw Cen MT"/>
                <w:sz w:val="20"/>
                <w:szCs w:val="20"/>
              </w:rPr>
            </w:pPr>
            <w:r>
              <w:rPr>
                <w:rFonts w:ascii="Tw Cen MT" w:hAnsi="Tw Cen MT"/>
                <w:sz w:val="20"/>
                <w:szCs w:val="20"/>
              </w:rPr>
              <w:t>17,25</w:t>
            </w:r>
          </w:p>
        </w:tc>
        <w:tc>
          <w:tcPr>
            <w:tcW w:w="570" w:type="dxa"/>
            <w:vMerge w:val="restart"/>
            <w:tcBorders>
              <w:left w:val="nil"/>
              <w:right w:val="nil"/>
            </w:tcBorders>
          </w:tcPr>
          <w:p w14:paraId="1682629C" w14:textId="77777777" w:rsidR="00911160" w:rsidRDefault="00911160" w:rsidP="00091BF6">
            <w:pPr>
              <w:spacing w:line="240" w:lineRule="auto"/>
              <w:jc w:val="center"/>
              <w:rPr>
                <w:rFonts w:ascii="Tw Cen MT" w:hAnsi="Tw Cen MT"/>
                <w:noProof/>
                <w:sz w:val="20"/>
                <w:szCs w:val="20"/>
                <w:lang w:val="id-ID"/>
              </w:rPr>
            </w:pPr>
            <w:r>
              <w:rPr>
                <w:rFonts w:ascii="Tw Cen MT" w:hAnsi="Tw Cen MT"/>
                <w:noProof/>
                <w:sz w:val="20"/>
                <w:szCs w:val="20"/>
                <w:lang w:val="id-ID"/>
              </w:rPr>
              <w:t>3</w:t>
            </w:r>
            <w:r w:rsidRPr="003E590E">
              <w:rPr>
                <w:rFonts w:ascii="Tw Cen MT" w:hAnsi="Tw Cen MT"/>
                <w:noProof/>
                <w:sz w:val="20"/>
                <w:szCs w:val="20"/>
                <w:lang w:val="id-ID"/>
              </w:rPr>
              <w:t xml:space="preserve">,317 </w:t>
            </w:r>
          </w:p>
          <w:p w14:paraId="63CE175B" w14:textId="230DAB01" w:rsidR="00911160" w:rsidRPr="00283220" w:rsidRDefault="00911160" w:rsidP="00091BF6">
            <w:pPr>
              <w:spacing w:line="240" w:lineRule="auto"/>
              <w:jc w:val="center"/>
              <w:rPr>
                <w:rFonts w:ascii="Tw Cen MT" w:hAnsi="Tw Cen MT"/>
                <w:sz w:val="20"/>
                <w:szCs w:val="20"/>
              </w:rPr>
            </w:pPr>
            <w:r w:rsidRPr="003E590E">
              <w:rPr>
                <w:rFonts w:ascii="Tw Cen MT" w:hAnsi="Tw Cen MT"/>
                <w:noProof/>
                <w:sz w:val="20"/>
                <w:szCs w:val="20"/>
                <w:lang w:val="id-ID"/>
              </w:rPr>
              <w:t>(</w:t>
            </w:r>
            <w:r>
              <w:rPr>
                <w:rFonts w:ascii="Tw Cen MT" w:hAnsi="Tw Cen MT"/>
                <w:noProof/>
                <w:sz w:val="20"/>
                <w:szCs w:val="20"/>
                <w:lang w:val="id-ID"/>
              </w:rPr>
              <w:t>1</w:t>
            </w:r>
            <w:r w:rsidRPr="003E590E">
              <w:rPr>
                <w:rFonts w:ascii="Tw Cen MT" w:hAnsi="Tw Cen MT"/>
                <w:noProof/>
                <w:sz w:val="20"/>
                <w:szCs w:val="20"/>
                <w:lang w:val="id-ID"/>
              </w:rPr>
              <w:t>,120-</w:t>
            </w:r>
            <w:r>
              <w:rPr>
                <w:rFonts w:ascii="Tw Cen MT" w:hAnsi="Tw Cen MT"/>
                <w:noProof/>
                <w:sz w:val="20"/>
                <w:szCs w:val="20"/>
                <w:lang w:val="id-ID"/>
              </w:rPr>
              <w:t>13</w:t>
            </w:r>
            <w:r w:rsidRPr="003E590E">
              <w:rPr>
                <w:rFonts w:ascii="Tw Cen MT" w:hAnsi="Tw Cen MT"/>
                <w:noProof/>
                <w:sz w:val="20"/>
                <w:szCs w:val="20"/>
                <w:lang w:val="id-ID"/>
              </w:rPr>
              <w:t>,837)</w:t>
            </w:r>
          </w:p>
        </w:tc>
        <w:tc>
          <w:tcPr>
            <w:tcW w:w="566" w:type="dxa"/>
            <w:vMerge w:val="restart"/>
            <w:tcBorders>
              <w:left w:val="nil"/>
              <w:right w:val="nil"/>
            </w:tcBorders>
          </w:tcPr>
          <w:p w14:paraId="09F0F74E" w14:textId="77777777" w:rsidR="00911160" w:rsidRPr="003E590E" w:rsidRDefault="00911160" w:rsidP="00091BF6">
            <w:pPr>
              <w:spacing w:line="240" w:lineRule="auto"/>
              <w:jc w:val="center"/>
              <w:rPr>
                <w:rFonts w:ascii="Tw Cen MT" w:hAnsi="Tw Cen MT"/>
                <w:noProof/>
                <w:sz w:val="20"/>
                <w:szCs w:val="20"/>
                <w:lang w:val="id-ID"/>
              </w:rPr>
            </w:pPr>
          </w:p>
          <w:p w14:paraId="12629D4D" w14:textId="7C4C29D3" w:rsidR="00911160" w:rsidRDefault="00911160" w:rsidP="00091BF6">
            <w:pPr>
              <w:spacing w:line="240" w:lineRule="auto"/>
              <w:jc w:val="center"/>
              <w:rPr>
                <w:rFonts w:ascii="Tw Cen MT" w:hAnsi="Tw Cen MT"/>
                <w:sz w:val="20"/>
                <w:szCs w:val="20"/>
              </w:rPr>
            </w:pPr>
            <w:r w:rsidRPr="003E590E">
              <w:rPr>
                <w:rFonts w:ascii="Tw Cen MT" w:hAnsi="Tw Cen MT"/>
                <w:noProof/>
                <w:sz w:val="20"/>
                <w:szCs w:val="20"/>
                <w:lang w:val="id-ID"/>
              </w:rPr>
              <w:t>0,017</w:t>
            </w:r>
          </w:p>
        </w:tc>
      </w:tr>
      <w:tr w:rsidR="00911160" w:rsidRPr="00283220" w14:paraId="7B921A70" w14:textId="77777777" w:rsidTr="00091BF6">
        <w:trPr>
          <w:jc w:val="center"/>
        </w:trPr>
        <w:tc>
          <w:tcPr>
            <w:tcW w:w="851" w:type="dxa"/>
            <w:tcBorders>
              <w:left w:val="nil"/>
              <w:right w:val="nil"/>
            </w:tcBorders>
          </w:tcPr>
          <w:p w14:paraId="70164FFE" w14:textId="77777777" w:rsidR="00911160" w:rsidRPr="00283220" w:rsidRDefault="00911160" w:rsidP="00091BF6">
            <w:pPr>
              <w:pStyle w:val="Header"/>
              <w:spacing w:before="40" w:after="40"/>
              <w:jc w:val="center"/>
              <w:rPr>
                <w:rFonts w:ascii="Tw Cen MT" w:hAnsi="Tw Cen MT"/>
                <w:b/>
                <w:bCs/>
                <w:sz w:val="20"/>
                <w:szCs w:val="20"/>
              </w:rPr>
            </w:pPr>
            <w:r w:rsidRPr="00283220">
              <w:rPr>
                <w:rFonts w:ascii="Tw Cen MT" w:hAnsi="Tw Cen MT"/>
                <w:b/>
                <w:bCs/>
                <w:sz w:val="20"/>
                <w:szCs w:val="20"/>
              </w:rPr>
              <w:t>Total</w:t>
            </w:r>
          </w:p>
        </w:tc>
        <w:tc>
          <w:tcPr>
            <w:tcW w:w="563" w:type="dxa"/>
            <w:tcBorders>
              <w:left w:val="nil"/>
              <w:right w:val="nil"/>
            </w:tcBorders>
          </w:tcPr>
          <w:p w14:paraId="2307BF95" w14:textId="77777777" w:rsidR="00911160" w:rsidRPr="00283220" w:rsidRDefault="00911160" w:rsidP="00091BF6">
            <w:pPr>
              <w:spacing w:before="40" w:after="40" w:line="240" w:lineRule="auto"/>
              <w:jc w:val="center"/>
              <w:rPr>
                <w:rFonts w:ascii="Tw Cen MT" w:hAnsi="Tw Cen MT"/>
                <w:b/>
                <w:bCs/>
                <w:sz w:val="20"/>
                <w:szCs w:val="20"/>
              </w:rPr>
            </w:pPr>
            <w:r>
              <w:rPr>
                <w:rFonts w:ascii="Tw Cen MT" w:hAnsi="Tw Cen MT"/>
                <w:b/>
                <w:bCs/>
                <w:sz w:val="20"/>
                <w:szCs w:val="20"/>
              </w:rPr>
              <w:t>88</w:t>
            </w:r>
          </w:p>
        </w:tc>
        <w:tc>
          <w:tcPr>
            <w:tcW w:w="853" w:type="dxa"/>
            <w:tcBorders>
              <w:left w:val="nil"/>
              <w:right w:val="nil"/>
            </w:tcBorders>
          </w:tcPr>
          <w:p w14:paraId="7B4D77CA" w14:textId="77777777" w:rsidR="00911160" w:rsidRPr="00283220" w:rsidRDefault="00911160" w:rsidP="00091BF6">
            <w:pPr>
              <w:spacing w:before="40" w:after="40" w:line="240" w:lineRule="auto"/>
              <w:jc w:val="center"/>
              <w:rPr>
                <w:rFonts w:ascii="Tw Cen MT" w:hAnsi="Tw Cen MT"/>
                <w:b/>
                <w:bCs/>
                <w:sz w:val="20"/>
                <w:szCs w:val="20"/>
              </w:rPr>
            </w:pPr>
            <w:r>
              <w:rPr>
                <w:rFonts w:ascii="Tw Cen MT" w:hAnsi="Tw Cen MT"/>
                <w:b/>
                <w:bCs/>
                <w:sz w:val="20"/>
                <w:szCs w:val="20"/>
              </w:rPr>
              <w:t>85,43</w:t>
            </w:r>
          </w:p>
        </w:tc>
        <w:tc>
          <w:tcPr>
            <w:tcW w:w="513" w:type="dxa"/>
            <w:tcBorders>
              <w:left w:val="nil"/>
              <w:right w:val="nil"/>
            </w:tcBorders>
          </w:tcPr>
          <w:p w14:paraId="65F97738" w14:textId="77777777" w:rsidR="00911160" w:rsidRPr="00283220" w:rsidRDefault="00911160" w:rsidP="00091BF6">
            <w:pPr>
              <w:spacing w:before="40" w:after="40" w:line="240" w:lineRule="auto"/>
              <w:jc w:val="center"/>
              <w:rPr>
                <w:rFonts w:ascii="Tw Cen MT" w:hAnsi="Tw Cen MT"/>
                <w:b/>
                <w:bCs/>
                <w:sz w:val="20"/>
                <w:szCs w:val="20"/>
              </w:rPr>
            </w:pPr>
            <w:r>
              <w:rPr>
                <w:rFonts w:ascii="Tw Cen MT" w:hAnsi="Tw Cen MT"/>
                <w:b/>
                <w:bCs/>
                <w:sz w:val="20"/>
                <w:szCs w:val="20"/>
              </w:rPr>
              <w:t>15</w:t>
            </w:r>
          </w:p>
        </w:tc>
        <w:tc>
          <w:tcPr>
            <w:tcW w:w="764" w:type="dxa"/>
            <w:tcBorders>
              <w:left w:val="nil"/>
              <w:right w:val="nil"/>
            </w:tcBorders>
          </w:tcPr>
          <w:p w14:paraId="2E5F7C7B" w14:textId="77777777" w:rsidR="00911160" w:rsidRPr="00283220" w:rsidRDefault="00911160" w:rsidP="00091BF6">
            <w:pPr>
              <w:spacing w:before="40" w:after="40" w:line="240" w:lineRule="auto"/>
              <w:jc w:val="center"/>
              <w:rPr>
                <w:rFonts w:ascii="Tw Cen MT" w:hAnsi="Tw Cen MT"/>
                <w:b/>
                <w:bCs/>
                <w:sz w:val="20"/>
                <w:szCs w:val="20"/>
              </w:rPr>
            </w:pPr>
            <w:r>
              <w:rPr>
                <w:rFonts w:ascii="Tw Cen MT" w:hAnsi="Tw Cen MT"/>
                <w:b/>
                <w:bCs/>
                <w:sz w:val="20"/>
                <w:szCs w:val="20"/>
              </w:rPr>
              <w:t>14,56</w:t>
            </w:r>
          </w:p>
        </w:tc>
        <w:tc>
          <w:tcPr>
            <w:tcW w:w="570" w:type="dxa"/>
            <w:vMerge/>
            <w:tcBorders>
              <w:left w:val="nil"/>
              <w:right w:val="nil"/>
            </w:tcBorders>
          </w:tcPr>
          <w:p w14:paraId="20374C0F" w14:textId="77777777" w:rsidR="00911160" w:rsidRPr="00283220" w:rsidRDefault="00911160" w:rsidP="00091BF6">
            <w:pPr>
              <w:spacing w:before="40" w:after="40" w:line="240" w:lineRule="auto"/>
              <w:jc w:val="center"/>
              <w:rPr>
                <w:rFonts w:ascii="Tw Cen MT" w:hAnsi="Tw Cen MT"/>
                <w:b/>
                <w:bCs/>
                <w:sz w:val="20"/>
                <w:szCs w:val="20"/>
              </w:rPr>
            </w:pPr>
          </w:p>
        </w:tc>
        <w:tc>
          <w:tcPr>
            <w:tcW w:w="566" w:type="dxa"/>
            <w:vMerge/>
            <w:tcBorders>
              <w:left w:val="nil"/>
              <w:right w:val="nil"/>
            </w:tcBorders>
          </w:tcPr>
          <w:p w14:paraId="046D98F8" w14:textId="77777777" w:rsidR="00911160" w:rsidRPr="00283220" w:rsidRDefault="00911160" w:rsidP="00091BF6">
            <w:pPr>
              <w:spacing w:before="40" w:after="40" w:line="240" w:lineRule="auto"/>
              <w:jc w:val="center"/>
              <w:rPr>
                <w:rFonts w:ascii="Tw Cen MT" w:hAnsi="Tw Cen MT"/>
                <w:b/>
                <w:bCs/>
                <w:sz w:val="20"/>
                <w:szCs w:val="20"/>
              </w:rPr>
            </w:pPr>
          </w:p>
        </w:tc>
      </w:tr>
    </w:tbl>
    <w:p w14:paraId="2F0D2B4E" w14:textId="77777777" w:rsidR="00911160" w:rsidRPr="00B35791" w:rsidRDefault="00911160" w:rsidP="00091BF6">
      <w:pPr>
        <w:spacing w:after="0" w:line="240" w:lineRule="auto"/>
        <w:jc w:val="both"/>
        <w:rPr>
          <w:rFonts w:ascii="Tw Cen MT" w:hAnsi="Tw Cen MT"/>
          <w:noProof/>
          <w:sz w:val="24"/>
          <w:szCs w:val="24"/>
          <w:lang w:val="id-ID"/>
        </w:rPr>
      </w:pPr>
      <w:r w:rsidRPr="00B35791">
        <w:rPr>
          <w:rFonts w:ascii="Tw Cen MT" w:eastAsia="Twentieth Century" w:hAnsi="Tw Cen MT" w:cs="Twentieth Century"/>
          <w:i/>
          <w:iCs/>
          <w:sz w:val="20"/>
          <w:szCs w:val="20"/>
        </w:rPr>
        <w:t>Source : primery data processing</w:t>
      </w:r>
    </w:p>
    <w:p w14:paraId="423F5607" w14:textId="77777777" w:rsidR="00911160" w:rsidRPr="00911160" w:rsidRDefault="00911160" w:rsidP="00091BF6">
      <w:pPr>
        <w:spacing w:after="0" w:line="240" w:lineRule="auto"/>
        <w:jc w:val="both"/>
        <w:rPr>
          <w:rFonts w:ascii="Tw Cen MT" w:hAnsi="Tw Cen MT"/>
          <w:noProof/>
          <w:sz w:val="24"/>
          <w:szCs w:val="24"/>
          <w:lang w:val="id-ID"/>
        </w:rPr>
      </w:pPr>
    </w:p>
    <w:p w14:paraId="0F24D474" w14:textId="717BB3CF" w:rsidR="00017532" w:rsidRDefault="00017532" w:rsidP="00091BF6">
      <w:pPr>
        <w:pStyle w:val="ListParagraph"/>
        <w:spacing w:after="0" w:line="240" w:lineRule="auto"/>
        <w:ind w:left="0" w:firstLine="284"/>
        <w:jc w:val="both"/>
        <w:rPr>
          <w:rFonts w:ascii="Tw Cen MT" w:hAnsi="Tw Cen MT"/>
          <w:noProof/>
          <w:sz w:val="24"/>
          <w:szCs w:val="24"/>
          <w:lang w:val="id-ID"/>
        </w:rPr>
      </w:pPr>
      <w:r w:rsidRPr="00F4585D">
        <w:rPr>
          <w:rFonts w:ascii="Tw Cen MT" w:hAnsi="Tw Cen MT"/>
          <w:noProof/>
          <w:sz w:val="24"/>
          <w:szCs w:val="24"/>
          <w:lang w:val="id-ID"/>
        </w:rPr>
        <w:t xml:space="preserve">Nilai </w:t>
      </w:r>
      <w:r w:rsidRPr="00695835">
        <w:rPr>
          <w:rFonts w:ascii="Tw Cen MT" w:hAnsi="Tw Cen MT"/>
          <w:i/>
          <w:iCs/>
          <w:noProof/>
          <w:sz w:val="24"/>
          <w:szCs w:val="24"/>
          <w:lang w:val="id-ID"/>
        </w:rPr>
        <w:t>p-value</w:t>
      </w:r>
      <w:r w:rsidRPr="00F4585D">
        <w:rPr>
          <w:rFonts w:ascii="Tw Cen MT" w:hAnsi="Tw Cen MT"/>
          <w:noProof/>
          <w:sz w:val="24"/>
          <w:szCs w:val="24"/>
          <w:lang w:val="id-ID"/>
        </w:rPr>
        <w:t xml:space="preserve"> yang diperoleh sebesar 0,017, yang berarti hubungan ini signifikan secara statistik (dengan tingkat signifikansi </w:t>
      </w:r>
      <w:r w:rsidRPr="00F4585D">
        <w:rPr>
          <w:rFonts w:cs="Calibri"/>
          <w:noProof/>
          <w:sz w:val="24"/>
          <w:szCs w:val="24"/>
          <w:lang w:val="id-ID"/>
        </w:rPr>
        <w:t>α</w:t>
      </w:r>
      <w:r w:rsidRPr="00F4585D">
        <w:rPr>
          <w:rFonts w:ascii="Tw Cen MT" w:hAnsi="Tw Cen MT"/>
          <w:noProof/>
          <w:sz w:val="24"/>
          <w:szCs w:val="24"/>
          <w:lang w:val="id-ID"/>
        </w:rPr>
        <w:t xml:space="preserve"> = 0,05). Nilai </w:t>
      </w:r>
      <w:r w:rsidRPr="00695835">
        <w:rPr>
          <w:rFonts w:ascii="Tw Cen MT" w:hAnsi="Tw Cen MT"/>
          <w:i/>
          <w:iCs/>
          <w:noProof/>
          <w:sz w:val="24"/>
          <w:szCs w:val="24"/>
          <w:lang w:val="id-ID"/>
        </w:rPr>
        <w:t>p-value</w:t>
      </w:r>
      <w:r w:rsidRPr="00F4585D">
        <w:rPr>
          <w:rFonts w:ascii="Tw Cen MT" w:hAnsi="Tw Cen MT"/>
          <w:noProof/>
          <w:sz w:val="24"/>
          <w:szCs w:val="24"/>
          <w:lang w:val="id-ID"/>
        </w:rPr>
        <w:t xml:space="preserve"> sebesar 0,017 mengindikasikan bahwa ibu hamil yang memiliki asuransi kesehatan lebih cenderung melakukan deteksi dini terhadap risiko tinggi kehamilan dibandingkan dengan mereka yang tidak memiliki asuransi. Kepemilikan asuransi kesehatan memberikan akses yang lebih baik terhadap layanan kesehatan, termasuk pemeriksaan antenatal rutin dan layanan medis lainnya yang dapat membantu dalam mendeteksi komplikasi kehamilan lebih awal.</w:t>
      </w:r>
    </w:p>
    <w:p w14:paraId="12F71580" w14:textId="77777777" w:rsidR="00017532" w:rsidRPr="00500701" w:rsidRDefault="00017532" w:rsidP="00091BF6">
      <w:pPr>
        <w:pStyle w:val="ListParagraph"/>
        <w:spacing w:after="0" w:line="240" w:lineRule="auto"/>
        <w:ind w:left="0"/>
        <w:jc w:val="both"/>
        <w:rPr>
          <w:rFonts w:ascii="Tw Cen MT" w:hAnsi="Tw Cen MT"/>
          <w:noProof/>
          <w:sz w:val="24"/>
          <w:szCs w:val="24"/>
          <w:lang w:val="id-ID"/>
        </w:rPr>
      </w:pPr>
      <w:r w:rsidRPr="00500701">
        <w:rPr>
          <w:rFonts w:ascii="Tw Cen MT" w:hAnsi="Tw Cen MT"/>
          <w:noProof/>
          <w:sz w:val="24"/>
          <w:szCs w:val="24"/>
          <w:lang w:val="id-ID"/>
        </w:rPr>
        <w:t>Nilai OR 3,317 mengindikasikan bahwa ibu hamil yang memiliki asuransi kesehatan memiliki kemungkinan 3,317 kali lebih besar untuk melakukan deteksi dini risiko tinggi kehamilan dibandingkan dengan ibu hamil yang tidak memiliki asuransi kesehatan. Interval kepercayaan yang tidak mencakup nilai 1 (1,120-13,837) menunjukkan bahwa hubungan ini signifikan secara statistik dan memberikan keyakinan bahwa kepemilikan asuransi kesehatan berperan penting dalam meningkatkan deteksi dini.</w:t>
      </w:r>
    </w:p>
    <w:p w14:paraId="2C007B2F" w14:textId="77777777" w:rsidR="00017532" w:rsidRPr="00F4585D" w:rsidRDefault="00017532" w:rsidP="00091BF6">
      <w:pPr>
        <w:pStyle w:val="ListParagraph"/>
        <w:spacing w:after="0" w:line="240" w:lineRule="auto"/>
        <w:ind w:left="0"/>
        <w:jc w:val="both"/>
        <w:rPr>
          <w:rFonts w:ascii="Tw Cen MT" w:hAnsi="Tw Cen MT"/>
          <w:noProof/>
          <w:sz w:val="24"/>
          <w:szCs w:val="24"/>
          <w:lang w:val="id-ID"/>
        </w:rPr>
      </w:pPr>
      <w:r w:rsidRPr="00500701">
        <w:rPr>
          <w:rFonts w:ascii="Tw Cen MT" w:hAnsi="Tw Cen MT"/>
          <w:noProof/>
          <w:sz w:val="24"/>
          <w:szCs w:val="24"/>
          <w:lang w:val="id-ID"/>
        </w:rPr>
        <w:t>Temuan ini menyoroti bahwa akses yang lebih baik ke layanan kesehatan, yang seringkali dimungkinkan oleh adanya asuransi kesehatan, dapat meningkatkan kemungkinan deteksi dini risiko tinggi kehamilan. Oleh karena itu, perluasan cakupan asuransi kesehatan dan peningkatan aksesibilitas layanan medis menjadi langkah strategis dalam meningkatkan kesehatan ibu hamil dan mencegah komplikasi serius.</w:t>
      </w:r>
    </w:p>
    <w:p w14:paraId="29828FF2" w14:textId="560D32CB" w:rsidR="00017532" w:rsidRPr="00F4585D" w:rsidRDefault="00017532" w:rsidP="00091BF6">
      <w:pPr>
        <w:pStyle w:val="ListParagraph"/>
        <w:spacing w:after="0" w:line="240" w:lineRule="auto"/>
        <w:ind w:left="0"/>
        <w:jc w:val="both"/>
        <w:rPr>
          <w:rFonts w:ascii="Tw Cen MT" w:hAnsi="Tw Cen MT"/>
          <w:noProof/>
          <w:sz w:val="24"/>
          <w:szCs w:val="24"/>
          <w:lang w:val="id-ID"/>
        </w:rPr>
      </w:pPr>
      <w:r w:rsidRPr="00F4585D">
        <w:rPr>
          <w:rFonts w:ascii="Tw Cen MT" w:hAnsi="Tw Cen MT"/>
          <w:noProof/>
          <w:sz w:val="24"/>
          <w:szCs w:val="24"/>
          <w:lang w:val="id-ID"/>
        </w:rPr>
        <w:t xml:space="preserve">Asuransi kesehatan memainkan peran penting dalam aksesibilitas layanan kesehatan bagi ibu hamil. Dengan adanya asuransi, biaya pemeriksaan kehamilan dan tindakan medis lainnya dapat lebih terjangkau, sehingga ibu hamil lebih termotivasi untuk memanfaatkan layanan tersebut. Ini sangat penting dalam konteks deteksi dini, di mana pemeriksaan rutin dapat mengidentifikasi tanda-tanda risiko sebelum menjadi lebih serius </w:t>
      </w:r>
      <w:r w:rsidRPr="00F4585D">
        <w:rPr>
          <w:rFonts w:ascii="Tw Cen MT" w:hAnsi="Tw Cen MT"/>
          <w:noProof/>
          <w:sz w:val="24"/>
          <w:szCs w:val="24"/>
          <w:lang w:val="id-ID"/>
        </w:rPr>
        <w:fldChar w:fldCharType="begin" w:fldLock="1"/>
      </w:r>
      <w:r w:rsidR="00663E0E">
        <w:rPr>
          <w:rFonts w:ascii="Tw Cen MT" w:hAnsi="Tw Cen MT"/>
          <w:noProof/>
          <w:sz w:val="24"/>
          <w:szCs w:val="24"/>
          <w:lang w:val="id-ID"/>
        </w:rPr>
        <w:instrText>ADDIN CSL_CITATION {"citationItems":[{"id":"ITEM-1","itemData":{"DOI":"http://dx.doi.org/10.5772/intechopen.106431","author":[{"dropping-particle":"","family":"Feyisa","given":"Diriba","non-dropping-particle":"","parse-names":false,"suffix":""}],"container-title":"Health Insurance","id":"ITEM-1","issued":{"date-parts":[["2022"]]},"page":"1-14","publisher-place":"London: IntechOpen","title":"Toward Universal Health Coverage : The Role of Health Insurance","type":"chapter"},"uris":["http://www.mendeley.com/documents/?uuid=8be0cdb1-f6b0-4d8d-91ba-58587eb38312"]}],"mendeley":{"formattedCitation":"[18]","plainTextFormattedCitation":"[18]","previouslyFormattedCitation":"[18]"},"properties":{"noteIndex":0},"schema":"https://github.com/citation-style-language/schema/raw/master/csl-citation.json"}</w:instrText>
      </w:r>
      <w:r w:rsidRPr="00F4585D">
        <w:rPr>
          <w:rFonts w:ascii="Tw Cen MT" w:hAnsi="Tw Cen MT"/>
          <w:noProof/>
          <w:sz w:val="24"/>
          <w:szCs w:val="24"/>
          <w:lang w:val="id-ID"/>
        </w:rPr>
        <w:fldChar w:fldCharType="separate"/>
      </w:r>
      <w:r w:rsidR="00263CD2" w:rsidRPr="00263CD2">
        <w:rPr>
          <w:rFonts w:ascii="Tw Cen MT" w:hAnsi="Tw Cen MT"/>
          <w:noProof/>
          <w:sz w:val="24"/>
          <w:szCs w:val="24"/>
          <w:lang w:val="id-ID"/>
        </w:rPr>
        <w:t>[18]</w:t>
      </w:r>
      <w:r w:rsidRPr="00F4585D">
        <w:rPr>
          <w:rFonts w:ascii="Tw Cen MT" w:hAnsi="Tw Cen MT"/>
          <w:noProof/>
          <w:sz w:val="24"/>
          <w:szCs w:val="24"/>
          <w:lang w:val="id-ID"/>
        </w:rPr>
        <w:fldChar w:fldCharType="end"/>
      </w:r>
      <w:r w:rsidRPr="00F4585D">
        <w:rPr>
          <w:rFonts w:ascii="Tw Cen MT" w:hAnsi="Tw Cen MT"/>
          <w:noProof/>
          <w:sz w:val="24"/>
          <w:szCs w:val="24"/>
          <w:lang w:val="id-ID"/>
        </w:rPr>
        <w:t>. Ibu hamil yang memiliki asuransi kesehatan mungkin lebih terdorong untuk melakukan pemeriksaan antenatal secara teratur karena mereka tidak perlu khawatir tentang biaya yang harus dikeluarkan. Pemeriksaan rutin ini memungkinkan tenaga kesehatan untuk memonitor perkembangan kehamilan secara lebih ketat dan mengidentifikasi faktor risiko lebih awal. Sebaliknya, ibu yang tidak memiliki asuransi mungkin menunda atau bahkan menghindari pemeriksaan karena keterbatasan finansial, yang dapat mengurangi peluang deteksi dini risiko</w:t>
      </w:r>
      <w:r w:rsidRPr="00F4585D">
        <w:rPr>
          <w:rFonts w:ascii="Tw Cen MT" w:hAnsi="Tw Cen MT"/>
          <w:noProof/>
          <w:sz w:val="24"/>
          <w:szCs w:val="24"/>
          <w:lang w:val="id-ID"/>
        </w:rPr>
        <w:fldChar w:fldCharType="begin" w:fldLock="1"/>
      </w:r>
      <w:r w:rsidR="00663E0E">
        <w:rPr>
          <w:rFonts w:ascii="Tw Cen MT" w:hAnsi="Tw Cen MT"/>
          <w:noProof/>
          <w:sz w:val="24"/>
          <w:szCs w:val="24"/>
          <w:lang w:val="id-ID"/>
        </w:rPr>
        <w:instrText>ADDIN CSL_CITATION {"citationItems":[{"id":"ITEM-1","itemData":{"DOI":"https://doi.org/10.21203/rs.3.rs-2855451/v1 License:","URL":"https://doi.org/10.21203/rs.3.rs-2855451/v1","abstract":"Background","author":[{"dropping-particle":"","family":"Hamzah","given":"Haidar Ali","non-dropping-particle":"","parse-names":false,"suffix":""},{"dropping-particle":"","family":"Aadhanti","given":"Putri Mahirah","non-dropping-particle":"","parse-names":false,"suffix":""},{"dropping-particle":"","family":"Raka","given":"Kharin","non-dropping-particle":"","parse-names":false,"suffix":""},{"dropping-particle":"","family":"Romadhan","given":"Muhammad Despriansyah","non-dropping-particle":"","parse-names":false,"suffix":""},{"dropping-particle":"","family":"Deanasa","given":"Raehan Satya","non-dropping-particle":"","parse-names":false,"suffix":""},{"dropping-particle":"","family":"Farhan","given":"Muhammad","non-dropping-particle":"","parse-names":false,"suffix":""},{"dropping-particle":"","family":"Chang","given":"Patrick","non-dropping-particle":"","parse-names":false,"suffix":""}],"container-title":"Research Square","id":"ITEM-1","issued":{"date-parts":[["2023"]]},"page":"1-10","title":"The Impact of Health Insurance on Maternal Health Care in Indonesia: A Systematic Review","type":"webpage"},"uris":["http://www.mendeley.com/documents/?uuid=6a3dcd61-59a9-4426-851a-0389ca7711c3"]},{"id":"ITEM-2","itemData":{"DOI":"10.30604/jika.v8i2.2046","ISSN":"2502-4825","abstract":"Most of pregnancy women experience anxiety during pregnancy, both of in high-income and low-middle income countries. Financial security supported by the easiness access to the healthcare facility were important to the antenatal anxiety. Mother’s age, mother’s and husband’s working status will decrease anxiety in facing delivery. This study aimed to examine the effect of socioeconomic factors including working status, family income, health insurance, accessibility to the healthcare facility, and mother’s age to the prenatal anxiety of women in Indonesia. This study was a cross-sectional study conducted between April-May 2022 to examine the effect of socioeconomic factors to the prenatal anxiety. 155 pregnancy women in a Maternal Clinic participated in this study, chosen used consecutive sampling. Multiple linear regression has been used to explore the predictive and protective factors related to the prenatal anxiety. Majority of mother and husband’s age were 20-35 years old, with most of them graduated from Senior High School. Mother dominated mother’s working status without employment and or housewives while husband worked in non-government institutions. Only few of mother used the private insurance as their healthcare insurance and public transportation to go to the healthcare facility. Two of socioeconomic factors found significantly affected the prenatal anxiety including the distance to access the healthcare facility (.020, B: -.163) and wife’s age (.000, B: -.510). The distance between residence to the healthcare facility and mother’s age were socioeconomic factors affected the prenatal anxiety. Other factors could help mother have better preparation in pregnancy and facing delivery. Abstrak:  Mayoritas Ibu hamil mengalami kecemasan selama kehamilan, baik pada negara-negara dengan pendapatan tinggi dan menengah ke bawah. Keamanan keuangan didukung dengan kemudahan dalam mengakses fasilitas kesehatan penting bagi kecemasan sebelum persalinan. Usia ibu, status bekerja Ibu dan suami akan membantu menurunkan kecemasan menghadapi persalinan. Penelitian ini bertujuan untuk menguji pengaruh faktor sosial dan ekonomi yang terdiri dari status bekerja, pendapatan keluarga, asuransi kesehatan, akses terhadap fasilitas kesehatan, dan usia Ibu terhadap kecemasan persalinan Ibu di Indonesia. Penelitian ini merupakan penelitian cross-sectional yang dilaksanakan pada April-Mei 2022 untuk menguji faktor sosial dan ekonomi dengan kecemasan persalinan. Mayoritas usia…","author":[{"dropping-particle":"","family":"Imamah","given":"Nur Fithriyanti","non-dropping-particle":"","parse-names":false,"suffix":""},{"dropping-particle":"","family":"Ekadinata","given":"Nopryan","non-dropping-particle":"","parse-names":false,"suffix":""},{"dropping-particle":"","family":"Prayogo","given":"Galih","non-dropping-particle":"","parse-names":false,"suffix":""},{"dropping-particle":"","family":"Pramesona","given":"Bayu Anggileo","non-dropping-particle":"","parse-names":false,"suffix":""}],"container-title":"Jurnal Aisyah : Jurnal Ilmu Kesehatan","id":"ITEM-2","issue":"2","issued":{"date-parts":[["2023"]]},"page":"879-886","title":"Employment, Income, Health Insurance, Accessibility to Healthcare Facility, Age, and Prenatal Anxiety in Indonesia","type":"article-journal","volume":"8"},"uris":["http://www.mendeley.com/documents/?uuid=342aa3e2-87c6-4045-8739-dc38a09d270d"]}],"mendeley":{"formattedCitation":"[19], [20]","plainTextFormattedCitation":"[19], [20]","previouslyFormattedCitation":"[19], [20]"},"properties":{"noteIndex":0},"schema":"https://github.com/citation-style-language/schema/raw/master/csl-citation.json"}</w:instrText>
      </w:r>
      <w:r w:rsidRPr="00F4585D">
        <w:rPr>
          <w:rFonts w:ascii="Tw Cen MT" w:hAnsi="Tw Cen MT"/>
          <w:noProof/>
          <w:sz w:val="24"/>
          <w:szCs w:val="24"/>
          <w:lang w:val="id-ID"/>
        </w:rPr>
        <w:fldChar w:fldCharType="separate"/>
      </w:r>
      <w:r w:rsidR="00263CD2" w:rsidRPr="00263CD2">
        <w:rPr>
          <w:rFonts w:ascii="Tw Cen MT" w:hAnsi="Tw Cen MT"/>
          <w:noProof/>
          <w:sz w:val="24"/>
          <w:szCs w:val="24"/>
          <w:lang w:val="id-ID"/>
        </w:rPr>
        <w:t>[19], [20]</w:t>
      </w:r>
      <w:r w:rsidRPr="00F4585D">
        <w:rPr>
          <w:rFonts w:ascii="Tw Cen MT" w:hAnsi="Tw Cen MT"/>
          <w:noProof/>
          <w:sz w:val="24"/>
          <w:szCs w:val="24"/>
          <w:lang w:val="id-ID"/>
        </w:rPr>
        <w:fldChar w:fldCharType="end"/>
      </w:r>
      <w:r w:rsidRPr="00F4585D">
        <w:rPr>
          <w:rFonts w:ascii="Tw Cen MT" w:hAnsi="Tw Cen MT"/>
          <w:noProof/>
          <w:sz w:val="24"/>
          <w:szCs w:val="24"/>
          <w:lang w:val="id-ID"/>
        </w:rPr>
        <w:t>.</w:t>
      </w:r>
    </w:p>
    <w:p w14:paraId="10D8F08A" w14:textId="17363FDD" w:rsidR="00017532" w:rsidRPr="00F4585D" w:rsidRDefault="00017532" w:rsidP="00091BF6">
      <w:pPr>
        <w:pStyle w:val="ListParagraph"/>
        <w:spacing w:after="0" w:line="240" w:lineRule="auto"/>
        <w:ind w:left="0"/>
        <w:jc w:val="both"/>
        <w:rPr>
          <w:rFonts w:ascii="Tw Cen MT" w:hAnsi="Tw Cen MT"/>
          <w:noProof/>
          <w:sz w:val="24"/>
          <w:szCs w:val="24"/>
          <w:lang w:val="id-ID"/>
        </w:rPr>
      </w:pPr>
      <w:r w:rsidRPr="00F4585D">
        <w:rPr>
          <w:rFonts w:ascii="Tw Cen MT" w:hAnsi="Tw Cen MT"/>
          <w:noProof/>
          <w:sz w:val="24"/>
          <w:szCs w:val="24"/>
          <w:lang w:val="id-ID"/>
        </w:rPr>
        <w:t xml:space="preserve">Asuransi kesehatan memberikan rasa aman secara finansial, yang memungkinkan ibu hamil untuk fokus pada kesehatan mereka tanpa dibebani oleh biaya medis yang tinggi. Rasa aman ini dapat meningkatkan kemungkinan ibu hamil untuk mematuhi rekomendasi medis dan menjalani tes atau pemeriksaan yang mungkin diperlukan untuk mendeteksi risiko kehamilan sejak dini. Temuan ini juga menyoroti adanya kesenjangan akses terhadap layanan kesehatan antara ibu hamil yang memiliki asuransi dan yang tidak. Ibu yang tidak memiliki asuransi kesehatan mungkin menghadapi kendala besar dalam mengakses layanan kesehatan yang penting, yang dapat berakibat pada keterlambatan dalam deteksi risiko kehamilan. Ini menunjukkan perlunya intervensi kebijakan yang bertujuan untuk memperluas cakupan asuransi kesehatan bagi semua ibu hamil, terutama bagi mereka yang berada dalam kelompok berpenghasilan rendah </w:t>
      </w:r>
      <w:r w:rsidRPr="00F4585D">
        <w:rPr>
          <w:rFonts w:ascii="Tw Cen MT" w:hAnsi="Tw Cen MT"/>
          <w:noProof/>
          <w:sz w:val="24"/>
          <w:szCs w:val="24"/>
          <w:lang w:val="id-ID"/>
        </w:rPr>
        <w:fldChar w:fldCharType="begin" w:fldLock="1"/>
      </w:r>
      <w:r w:rsidR="00663E0E">
        <w:rPr>
          <w:rFonts w:ascii="Tw Cen MT" w:hAnsi="Tw Cen MT"/>
          <w:noProof/>
          <w:sz w:val="24"/>
          <w:szCs w:val="24"/>
          <w:lang w:val="id-ID"/>
        </w:rPr>
        <w:instrText>ADDIN CSL_CITATION {"citationItems":[{"id":"ITEM-1","itemData":{"DOI":"https://doi.org/10.21203/rs.3.rs-2598067/v1","author":[{"dropping-particle":"","family":"Tao","given":"Xiaomeng","non-dropping-particle":"","parse-names":false,"suffix":""},{"dropping-particle":"","family":"Zeng","given":"Yanbing","non-dropping-particle":"","parse-names":false,"suffix":""},{"dropping-particle":"","family":"Wang","given":"Shuojia","non-dropping-particle":"","parse-names":false,"suffix":""},{"dropping-particle":"","family":"Zheng","given":"Jianguang","non-dropping-particle":"","parse-names":false,"suffix":""},{"dropping-particle":"","family":"Ye","given":"Birong","non-dropping-particle":"","parse-names":false,"suffix":""},{"dropping-particle":"","family":"Zheng","given":"Yefeng","non-dropping-particle":"","parse-names":false,"suffix":""}],"container-title":"Research Square","id":"ITEM-1","issued":{"date-parts":[["2023"]]},"page":"1-19","title":"Research on the impact of medical and old-age security on the utilization of medical services for the disabled elderly","type":"webpage"},"uris":["http://www.mendeley.com/documents/?uuid=e57d8ce5-38f8-49d2-9e05-154b34cf193c"]}],"mendeley":{"formattedCitation":"[21]","plainTextFormattedCitation":"[21]","previouslyFormattedCitation":"[21]"},"properties":{"noteIndex":0},"schema":"https://github.com/citation-style-language/schema/raw/master/csl-citation.json"}</w:instrText>
      </w:r>
      <w:r w:rsidRPr="00F4585D">
        <w:rPr>
          <w:rFonts w:ascii="Tw Cen MT" w:hAnsi="Tw Cen MT"/>
          <w:noProof/>
          <w:sz w:val="24"/>
          <w:szCs w:val="24"/>
          <w:lang w:val="id-ID"/>
        </w:rPr>
        <w:fldChar w:fldCharType="separate"/>
      </w:r>
      <w:r w:rsidR="00263CD2" w:rsidRPr="00263CD2">
        <w:rPr>
          <w:rFonts w:ascii="Tw Cen MT" w:hAnsi="Tw Cen MT"/>
          <w:noProof/>
          <w:sz w:val="24"/>
          <w:szCs w:val="24"/>
          <w:lang w:val="id-ID"/>
        </w:rPr>
        <w:t>[21]</w:t>
      </w:r>
      <w:r w:rsidRPr="00F4585D">
        <w:rPr>
          <w:rFonts w:ascii="Tw Cen MT" w:hAnsi="Tw Cen MT"/>
          <w:noProof/>
          <w:sz w:val="24"/>
          <w:szCs w:val="24"/>
          <w:lang w:val="id-ID"/>
        </w:rPr>
        <w:fldChar w:fldCharType="end"/>
      </w:r>
      <w:r w:rsidRPr="00F4585D">
        <w:rPr>
          <w:rFonts w:ascii="Tw Cen MT" w:hAnsi="Tw Cen MT"/>
          <w:noProof/>
          <w:sz w:val="24"/>
          <w:szCs w:val="24"/>
          <w:lang w:val="id-ID"/>
        </w:rPr>
        <w:t>.</w:t>
      </w:r>
    </w:p>
    <w:p w14:paraId="6D908565" w14:textId="3590A734" w:rsidR="00017532" w:rsidRPr="00F4585D" w:rsidRDefault="00017532" w:rsidP="00091BF6">
      <w:pPr>
        <w:pStyle w:val="ListParagraph"/>
        <w:spacing w:after="0" w:line="240" w:lineRule="auto"/>
        <w:ind w:left="0"/>
        <w:jc w:val="both"/>
        <w:rPr>
          <w:rFonts w:ascii="Tw Cen MT" w:hAnsi="Tw Cen MT"/>
          <w:noProof/>
          <w:sz w:val="24"/>
          <w:szCs w:val="24"/>
          <w:lang w:val="id-ID"/>
        </w:rPr>
      </w:pPr>
      <w:r w:rsidRPr="00F4585D">
        <w:rPr>
          <w:rFonts w:ascii="Tw Cen MT" w:hAnsi="Tw Cen MT"/>
          <w:noProof/>
          <w:sz w:val="24"/>
          <w:szCs w:val="24"/>
          <w:lang w:val="id-ID"/>
        </w:rPr>
        <w:t xml:space="preserve">Tenaga kesehatan memiliki peran penting dalam mendorong ibu hamil untuk memanfaatkan asuransi kesehatan mereka dengan optimal. Edukasi mengenai manfaat asuransi, serta cara memanfaatkannya untuk pemeriksaan kehamilan dan deteksi dini risiko, perlu ditingkatkan. Tenaga kesehatan juga harus memberikan informasi yang jelas tentang prosedur dan manfaat pemeriksaan yang dicakup oleh asuransi, sehingga ibu hamil dapat mengambil keputusan yang lebih baik mengenai kesehatan mereka </w:t>
      </w:r>
      <w:r w:rsidRPr="00F4585D">
        <w:rPr>
          <w:rFonts w:ascii="Tw Cen MT" w:hAnsi="Tw Cen MT"/>
          <w:noProof/>
          <w:sz w:val="24"/>
          <w:szCs w:val="24"/>
          <w:lang w:val="id-ID"/>
        </w:rPr>
        <w:fldChar w:fldCharType="begin" w:fldLock="1"/>
      </w:r>
      <w:r w:rsidR="00663E0E">
        <w:rPr>
          <w:rFonts w:ascii="Tw Cen MT" w:hAnsi="Tw Cen MT"/>
          <w:noProof/>
          <w:sz w:val="24"/>
          <w:szCs w:val="24"/>
          <w:lang w:val="id-ID"/>
        </w:rPr>
        <w:instrText>ADDIN CSL_CITATION {"citationItems":[{"id":"ITEM-1","itemData":{"author":[{"dropping-particle":"","family":"Nainggolan","given":"Dimpu Rismawaty","non-dropping-particle":"","parse-names":false,"suffix":""},{"dropping-particle":"","family":"Ujung","given":"Riance Mardiana","non-dropping-particle":"","parse-names":false,"suffix":""}],"container-title":"Jurnal Mitra Prima (JMP)","id":"ITEM-1","issue":"2","issued":{"date-parts":[["2022"]]},"title":"Peningkatan Pengetahuan dan Deteksi Dini Tanda Bahaya Kehamilan di Wilayah Kerja Puskesmas Sipahutar Kabupaten Tapanuli Utara Tahun 2022","type":"article-journal","volume":"4"},"uris":["http://www.mendeley.com/documents/?uuid=2fc1e9e9-ac4d-4da5-98bb-4e0249b2536b"]}],"mendeley":{"formattedCitation":"[11]","plainTextFormattedCitation":"[11]","previouslyFormattedCitation":"[11]"},"properties":{"noteIndex":0},"schema":"https://github.com/citation-style-language/schema/raw/master/csl-citation.json"}</w:instrText>
      </w:r>
      <w:r w:rsidRPr="00F4585D">
        <w:rPr>
          <w:rFonts w:ascii="Tw Cen MT" w:hAnsi="Tw Cen MT"/>
          <w:noProof/>
          <w:sz w:val="24"/>
          <w:szCs w:val="24"/>
          <w:lang w:val="id-ID"/>
        </w:rPr>
        <w:fldChar w:fldCharType="separate"/>
      </w:r>
      <w:r w:rsidR="00663E0E" w:rsidRPr="00663E0E">
        <w:rPr>
          <w:rFonts w:ascii="Tw Cen MT" w:hAnsi="Tw Cen MT"/>
          <w:noProof/>
          <w:sz w:val="24"/>
          <w:szCs w:val="24"/>
          <w:lang w:val="id-ID"/>
        </w:rPr>
        <w:t>[11]</w:t>
      </w:r>
      <w:r w:rsidRPr="00F4585D">
        <w:rPr>
          <w:rFonts w:ascii="Tw Cen MT" w:hAnsi="Tw Cen MT"/>
          <w:noProof/>
          <w:sz w:val="24"/>
          <w:szCs w:val="24"/>
          <w:lang w:val="id-ID"/>
        </w:rPr>
        <w:fldChar w:fldCharType="end"/>
      </w:r>
      <w:r w:rsidRPr="00F4585D">
        <w:rPr>
          <w:rFonts w:ascii="Tw Cen MT" w:hAnsi="Tw Cen MT"/>
          <w:noProof/>
          <w:sz w:val="24"/>
          <w:szCs w:val="24"/>
          <w:lang w:val="id-ID"/>
        </w:rPr>
        <w:t>.</w:t>
      </w:r>
    </w:p>
    <w:p w14:paraId="5C5A546C" w14:textId="77777777" w:rsidR="00017532" w:rsidRDefault="00017532" w:rsidP="00091BF6">
      <w:pPr>
        <w:pStyle w:val="ListParagraph"/>
        <w:spacing w:after="0" w:line="240" w:lineRule="auto"/>
        <w:ind w:left="0"/>
        <w:jc w:val="both"/>
        <w:rPr>
          <w:rFonts w:ascii="Tw Cen MT" w:hAnsi="Tw Cen MT"/>
          <w:noProof/>
          <w:sz w:val="24"/>
          <w:szCs w:val="24"/>
          <w:lang w:val="id-ID"/>
        </w:rPr>
      </w:pPr>
      <w:r w:rsidRPr="00F4585D">
        <w:rPr>
          <w:rFonts w:ascii="Tw Cen MT" w:hAnsi="Tw Cen MT"/>
          <w:noProof/>
          <w:sz w:val="24"/>
          <w:szCs w:val="24"/>
          <w:lang w:val="id-ID"/>
        </w:rPr>
        <w:t xml:space="preserve">Hasil penelitian mengindikasikan bahwa asuransi kesehatan merupakan faktor penting dalam meningkatkan akses dan motivasi ibu hamil untuk melakukan deteksi dini terhadap risiko kehamilan. Oleh karena itu, kebijakan yang mendukung perluasan cakupan asuransi kesehatan dan edukasi tentang penggunaannya perlu ditingkatkan untuk memastikan bahwa </w:t>
      </w:r>
      <w:r>
        <w:rPr>
          <w:rFonts w:ascii="Tw Cen MT" w:hAnsi="Tw Cen MT"/>
          <w:noProof/>
          <w:sz w:val="24"/>
          <w:szCs w:val="24"/>
          <w:lang w:val="id-ID"/>
        </w:rPr>
        <w:t>setiap</w:t>
      </w:r>
      <w:r w:rsidRPr="00F4585D">
        <w:rPr>
          <w:rFonts w:ascii="Tw Cen MT" w:hAnsi="Tw Cen MT"/>
          <w:noProof/>
          <w:sz w:val="24"/>
          <w:szCs w:val="24"/>
          <w:lang w:val="id-ID"/>
        </w:rPr>
        <w:t xml:space="preserve"> ibu hamil </w:t>
      </w:r>
      <w:r>
        <w:rPr>
          <w:rFonts w:ascii="Tw Cen MT" w:hAnsi="Tw Cen MT"/>
          <w:noProof/>
          <w:sz w:val="24"/>
          <w:szCs w:val="24"/>
          <w:lang w:val="id-ID"/>
        </w:rPr>
        <w:t>mendapatkan</w:t>
      </w:r>
      <w:r w:rsidRPr="00F4585D">
        <w:rPr>
          <w:rFonts w:ascii="Tw Cen MT" w:hAnsi="Tw Cen MT"/>
          <w:noProof/>
          <w:sz w:val="24"/>
          <w:szCs w:val="24"/>
          <w:lang w:val="id-ID"/>
        </w:rPr>
        <w:t xml:space="preserve"> akses yang memadai ke layanan kesehatan yang </w:t>
      </w:r>
      <w:r>
        <w:rPr>
          <w:rFonts w:ascii="Tw Cen MT" w:hAnsi="Tw Cen MT"/>
          <w:noProof/>
          <w:sz w:val="24"/>
          <w:szCs w:val="24"/>
          <w:lang w:val="id-ID"/>
        </w:rPr>
        <w:t>diperlukan</w:t>
      </w:r>
      <w:r w:rsidRPr="00F4585D">
        <w:rPr>
          <w:rFonts w:ascii="Tw Cen MT" w:hAnsi="Tw Cen MT"/>
          <w:noProof/>
          <w:sz w:val="24"/>
          <w:szCs w:val="24"/>
          <w:lang w:val="id-ID"/>
        </w:rPr>
        <w:t xml:space="preserve"> selama kehamilan.</w:t>
      </w:r>
    </w:p>
    <w:p w14:paraId="017109CE" w14:textId="744FDF54" w:rsidR="00663E0E" w:rsidRPr="009963C9" w:rsidRDefault="00663E0E" w:rsidP="00091BF6">
      <w:pPr>
        <w:pStyle w:val="ListParagraph"/>
        <w:spacing w:after="0" w:line="240" w:lineRule="auto"/>
        <w:ind w:left="0"/>
        <w:jc w:val="both"/>
        <w:rPr>
          <w:rFonts w:ascii="Tw Cen MT" w:hAnsi="Tw Cen MT"/>
          <w:noProof/>
          <w:sz w:val="24"/>
          <w:szCs w:val="24"/>
          <w:lang w:val="id-ID"/>
        </w:rPr>
      </w:pPr>
      <w:r w:rsidRPr="00663E0E">
        <w:rPr>
          <w:rFonts w:ascii="Tw Cen MT" w:hAnsi="Tw Cen MT"/>
          <w:noProof/>
          <w:sz w:val="24"/>
          <w:szCs w:val="24"/>
          <w:lang w:val="id-ID"/>
        </w:rPr>
        <w:t>Adanya hubungan signifikan antara kepemilikan asuransi kesehatan dan deteksi dini juga menunjukkan bahwa aspek finansial masih menjadi hambatan dalam akses layanan. Temuan ini konsisten dengan laporan Kementerian Kesehatan RI (2023) yang menyebutkan bahwa kepemilikan Jaminan Kesehatan Nasional (JKN) meningkatkan aksesibilitas layanan kesehatan ibu, termasuk pemeriksaan kehamilan secara berkala. Ibu yang memiliki jaminan kesehatan cenderung tidak ragu untuk mengakses fasilitas layanan, karena beban biaya telah ditanggung sebagian atau seluruhnya oleh program asuransi</w:t>
      </w:r>
      <w:r>
        <w:rPr>
          <w:rFonts w:ascii="Tw Cen MT" w:hAnsi="Tw Cen MT"/>
          <w:noProof/>
          <w:sz w:val="24"/>
          <w:szCs w:val="24"/>
          <w:lang w:val="id-ID"/>
        </w:rPr>
        <w:fldChar w:fldCharType="begin" w:fldLock="1"/>
      </w:r>
      <w:r>
        <w:rPr>
          <w:rFonts w:ascii="Tw Cen MT" w:hAnsi="Tw Cen MT"/>
          <w:noProof/>
          <w:sz w:val="24"/>
          <w:szCs w:val="24"/>
          <w:lang w:val="id-ID"/>
        </w:rPr>
        <w:instrText>ADDIN CSL_CITATION {"citationItems":[{"id":"ITEM-1","itemData":{"ISBN":"6221527716","abstract":"Padi merupakan salah satu makanan pokok masyarakat Indonesia. Produksi padi pada tahun 2014 sebesar 70,85 ton Gabah Kering Giling (GKG) mengalami penurunan sebesar 433,24 ribu ton (0,61 persen) dibandingkan tahun 2013. Provinsi Jawa Timur merupakan provinsi penyumbang produksi padi terbesar di Indonesia. Hal ini yang menuntut Provinsi Jawa Timur untuk terus meningkatkan produksi padi demi ketercapaian swasembada pangan khususnya untuk masyarakat Jawa Timur dan umumnya untuk Indonesia. Penelitian ini akan membahas tentang faktor-faktor apa saja yang diduga mempengaruhi produksi padi Jawa Timur tahun 2014 menggunakan regresi semiparametrik spline. Hasil dari regresi semiparametrik spline menunjukkan factor-faktor yang berpengaruh signifikan terhadap produksi padi yaitu luas panen padi dan curah hujan, sedangkan faktor-faktor yang tidak berpengaruh signifikan adalah luas puso padi, realisasi pupuk bersubsidi, dan ketinggian rata-rata dari permukaan laut dengan nilai koefisien determinasi yang didapatkan adalah sebesar 99,17 persen.","author":[{"dropping-particle":"","family":"Kementrian Kesehatan","given":"","non-dropping-particle":"","parse-names":false,"suffix":""}],"id":"ITEM-1","issued":{"date-parts":[["2024"]]},"number-of-pages":"100","publisher-place":"Jakarta : Kementerian Kesehatan Republik Indonesia","title":"Profil Kesehatan Indonesia 2023","type":"book"},"uris":["http://www.mendeley.com/documents/?uuid=3e460825-fb48-4dc8-92e7-8f3da5d2606d"]}],"mendeley":{"formattedCitation":"[7]","plainTextFormattedCitation":"[7]","previouslyFormattedCitation":"[7]"},"properties":{"noteIndex":0},"schema":"https://github.com/citation-style-language/schema/raw/master/csl-citation.json"}</w:instrText>
      </w:r>
      <w:r>
        <w:rPr>
          <w:rFonts w:ascii="Tw Cen MT" w:hAnsi="Tw Cen MT"/>
          <w:noProof/>
          <w:sz w:val="24"/>
          <w:szCs w:val="24"/>
          <w:lang w:val="id-ID"/>
        </w:rPr>
        <w:fldChar w:fldCharType="separate"/>
      </w:r>
      <w:r w:rsidRPr="00663E0E">
        <w:rPr>
          <w:rFonts w:ascii="Tw Cen MT" w:hAnsi="Tw Cen MT"/>
          <w:noProof/>
          <w:sz w:val="24"/>
          <w:szCs w:val="24"/>
          <w:lang w:val="id-ID"/>
        </w:rPr>
        <w:t>[7]</w:t>
      </w:r>
      <w:r>
        <w:rPr>
          <w:rFonts w:ascii="Tw Cen MT" w:hAnsi="Tw Cen MT"/>
          <w:noProof/>
          <w:sz w:val="24"/>
          <w:szCs w:val="24"/>
          <w:lang w:val="id-ID"/>
        </w:rPr>
        <w:fldChar w:fldCharType="end"/>
      </w:r>
      <w:r w:rsidRPr="00663E0E">
        <w:rPr>
          <w:rFonts w:ascii="Tw Cen MT" w:hAnsi="Tw Cen MT"/>
          <w:noProof/>
          <w:sz w:val="24"/>
          <w:szCs w:val="24"/>
          <w:lang w:val="id-ID"/>
        </w:rPr>
        <w:t>.</w:t>
      </w:r>
    </w:p>
    <w:p w14:paraId="784D2631" w14:textId="6891D2AA" w:rsidR="00663E0E" w:rsidRDefault="00663E0E" w:rsidP="00091BF6">
      <w:pPr>
        <w:pStyle w:val="ListParagraph"/>
        <w:spacing w:after="0" w:line="240" w:lineRule="auto"/>
        <w:ind w:left="0"/>
        <w:jc w:val="both"/>
        <w:rPr>
          <w:rFonts w:ascii="Tw Cen MT" w:hAnsi="Tw Cen MT"/>
          <w:noProof/>
          <w:sz w:val="24"/>
          <w:szCs w:val="24"/>
          <w:lang w:val="id-ID"/>
        </w:rPr>
      </w:pPr>
      <w:r w:rsidRPr="00663E0E">
        <w:rPr>
          <w:rFonts w:ascii="Tw Cen MT" w:hAnsi="Tw Cen MT"/>
          <w:noProof/>
          <w:sz w:val="24"/>
          <w:szCs w:val="24"/>
          <w:lang w:val="id-ID"/>
        </w:rPr>
        <w:t>Secara keseluruhan, hasil penelitian ini sejalan dengan berbagai studi dan rekomendasi lembaga internasional maupun nasional yang menekankan pentingnya peningkatan pengetahuan, pendidikan, dan akses layanan dalam menurunkan risiko kehamilan. Namun demikian, penelitian ini juga mengindikasikan bahwa upaya edukasi belum sepenuhnya merata, khususnya bagi ibu hamil dengan latar belakang pendidikan rendah. Oleh karena itu, intervensi yang bersifat kontekstual dan berbasis komunitas perlu dikembangkan agar informasi kesehatan dapat diterima secara efektif oleh seluruh lapisan masyarakat, tidak hanya mereka yang sudah teredukasi dengan baik.</w:t>
      </w:r>
    </w:p>
    <w:p w14:paraId="1065A042" w14:textId="77777777" w:rsidR="00017532" w:rsidRPr="00F4585D" w:rsidRDefault="00017532" w:rsidP="00091BF6">
      <w:pPr>
        <w:pStyle w:val="ListParagraph"/>
        <w:spacing w:after="0" w:line="240" w:lineRule="auto"/>
        <w:ind w:left="0" w:firstLine="284"/>
        <w:jc w:val="both"/>
        <w:rPr>
          <w:rFonts w:ascii="Tw Cen MT" w:hAnsi="Tw Cen MT"/>
          <w:noProof/>
          <w:sz w:val="24"/>
          <w:szCs w:val="24"/>
          <w:lang w:val="id-ID"/>
        </w:rPr>
      </w:pPr>
    </w:p>
    <w:p w14:paraId="25C1C278" w14:textId="77777777" w:rsidR="00017532" w:rsidRPr="0096335E" w:rsidRDefault="00017532" w:rsidP="00091BF6">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154E3BCE" w14:textId="77777777" w:rsidR="00017532" w:rsidRDefault="00017532" w:rsidP="00091BF6">
      <w:pPr>
        <w:spacing w:line="240" w:lineRule="auto"/>
        <w:jc w:val="both"/>
        <w:rPr>
          <w:rFonts w:ascii="Tw Cen MT" w:eastAsia="Twentieth Century" w:hAnsi="Tw Cen MT" w:cs="Twentieth Century"/>
          <w:sz w:val="24"/>
          <w:szCs w:val="24"/>
        </w:rPr>
      </w:pPr>
      <w:r w:rsidRPr="00500701">
        <w:rPr>
          <w:rFonts w:ascii="Tw Cen MT" w:eastAsia="Twentieth Century" w:hAnsi="Tw Cen MT" w:cs="Twentieth Century"/>
          <w:sz w:val="24"/>
          <w:szCs w:val="24"/>
        </w:rPr>
        <w:t>Penelitian menunjukkan hubungan signifikan antara pengetahuan, pendidikan, dan kepemilikan asuransi kesehatan dengan deteksi dini risiko tinggi kehamilan. Pengetahuan ibu hamil berhubungan erat dengan deteksi dini (p-value 0,001; OR 1,54), sementara pendidikan yang lebih tinggi juga meningkatkan deteksi dini (p-value 0,021; OR 2,625), meski dengan ketidakpastian dalam interval kepercayaan. Kepemilikan asuransi kesehatan memiliki hubungan kuat (p-value 0,017; OR 3,317) dan meningkatkan akses ke layanan kesehatan.</w:t>
      </w:r>
      <w:r>
        <w:rPr>
          <w:rFonts w:ascii="Tw Cen MT" w:eastAsia="Twentieth Century" w:hAnsi="Tw Cen MT" w:cs="Twentieth Century"/>
          <w:sz w:val="24"/>
          <w:szCs w:val="24"/>
        </w:rPr>
        <w:t xml:space="preserve"> </w:t>
      </w:r>
      <w:r w:rsidRPr="00500701">
        <w:rPr>
          <w:rFonts w:ascii="Tw Cen MT" w:eastAsia="Twentieth Century" w:hAnsi="Tw Cen MT" w:cs="Twentieth Century"/>
          <w:sz w:val="24"/>
          <w:szCs w:val="24"/>
        </w:rPr>
        <w:t>Saran dari penelitian ini meliputi peningkatan pengetahuan melalui program edukasi kesehatan, pengembangan program pendidikan yang sesuai dengan latar belakang ibu hamil, serta perluasan cakupan asuransi kesehatan dan edukasi mengenai manfaatnya. Upaya ini penting untuk meningkatkan deteksi dini risiko kehamilan dan mengurangi komplikasi yang mungkin terjadi.</w:t>
      </w:r>
    </w:p>
    <w:p w14:paraId="755908E0" w14:textId="77777777" w:rsidR="00017532" w:rsidRPr="002E23D7" w:rsidRDefault="00017532" w:rsidP="00091BF6">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UCAPAN TERIMA KASIH </w:t>
      </w:r>
    </w:p>
    <w:p w14:paraId="3B884CDC" w14:textId="37377DB2" w:rsidR="00B80D29" w:rsidRPr="0096335E" w:rsidRDefault="00017532" w:rsidP="00091BF6">
      <w:pPr>
        <w:spacing w:line="240" w:lineRule="auto"/>
        <w:jc w:val="both"/>
        <w:rPr>
          <w:rFonts w:ascii="Tw Cen MT" w:eastAsia="Twentieth Century" w:hAnsi="Tw Cen MT" w:cs="Twentieth Century"/>
          <w:sz w:val="24"/>
          <w:szCs w:val="24"/>
        </w:rPr>
      </w:pPr>
      <w:r w:rsidRPr="00500701">
        <w:rPr>
          <w:rFonts w:ascii="Tw Cen MT" w:eastAsia="Twentieth Century" w:hAnsi="Tw Cen MT" w:cs="Twentieth Century"/>
          <w:sz w:val="24"/>
          <w:szCs w:val="24"/>
        </w:rPr>
        <w:t xml:space="preserve">Terima kasih kepada </w:t>
      </w:r>
      <w:r>
        <w:rPr>
          <w:rFonts w:ascii="Tw Cen MT" w:eastAsia="Twentieth Century" w:hAnsi="Tw Cen MT" w:cs="Twentieth Century"/>
          <w:sz w:val="24"/>
          <w:szCs w:val="24"/>
        </w:rPr>
        <w:t xml:space="preserve">LPPM UMPP, Puskesmas Tirto I, </w:t>
      </w:r>
      <w:r w:rsidRPr="00500701">
        <w:rPr>
          <w:rFonts w:ascii="Tw Cen MT" w:eastAsia="Twentieth Century" w:hAnsi="Tw Cen MT" w:cs="Twentieth Century"/>
          <w:sz w:val="24"/>
          <w:szCs w:val="24"/>
        </w:rPr>
        <w:t xml:space="preserve">peserta yang telah meluangkan waktu untuk berpartisipasi, serta kepada tim peneliti dan pihak </w:t>
      </w:r>
      <w:r>
        <w:rPr>
          <w:rFonts w:ascii="Tw Cen MT" w:eastAsia="Twentieth Century" w:hAnsi="Tw Cen MT" w:cs="Twentieth Century"/>
          <w:sz w:val="24"/>
          <w:szCs w:val="24"/>
        </w:rPr>
        <w:t>lain</w:t>
      </w:r>
      <w:r w:rsidRPr="00500701">
        <w:rPr>
          <w:rFonts w:ascii="Tw Cen MT" w:eastAsia="Twentieth Century" w:hAnsi="Tw Cen MT" w:cs="Twentieth Century"/>
          <w:sz w:val="24"/>
          <w:szCs w:val="24"/>
        </w:rPr>
        <w:t xml:space="preserve"> yang </w:t>
      </w:r>
      <w:r>
        <w:rPr>
          <w:rFonts w:ascii="Tw Cen MT" w:eastAsia="Twentieth Century" w:hAnsi="Tw Cen MT" w:cs="Twentieth Century"/>
          <w:sz w:val="24"/>
          <w:szCs w:val="24"/>
        </w:rPr>
        <w:t>sudah</w:t>
      </w:r>
      <w:r w:rsidRPr="00500701">
        <w:rPr>
          <w:rFonts w:ascii="Tw Cen MT" w:eastAsia="Twentieth Century" w:hAnsi="Tw Cen MT" w:cs="Twentieth Century"/>
          <w:sz w:val="24"/>
          <w:szCs w:val="24"/>
        </w:rPr>
        <w:t xml:space="preserve"> </w:t>
      </w:r>
      <w:r>
        <w:rPr>
          <w:rFonts w:ascii="Tw Cen MT" w:eastAsia="Twentieth Century" w:hAnsi="Tw Cen MT" w:cs="Twentieth Century"/>
          <w:sz w:val="24"/>
          <w:szCs w:val="24"/>
        </w:rPr>
        <w:t>berkontribusi dalam membantu</w:t>
      </w:r>
      <w:r w:rsidRPr="00500701">
        <w:rPr>
          <w:rFonts w:ascii="Tw Cen MT" w:eastAsia="Twentieth Century" w:hAnsi="Tw Cen MT" w:cs="Twentieth Century"/>
          <w:sz w:val="24"/>
          <w:szCs w:val="24"/>
        </w:rPr>
        <w:t xml:space="preserve"> dan </w:t>
      </w:r>
      <w:r>
        <w:rPr>
          <w:rFonts w:ascii="Tw Cen MT" w:eastAsia="Twentieth Century" w:hAnsi="Tw Cen MT" w:cs="Twentieth Century"/>
          <w:sz w:val="24"/>
          <w:szCs w:val="24"/>
        </w:rPr>
        <w:t xml:space="preserve">memberikan </w:t>
      </w:r>
      <w:r w:rsidRPr="00500701">
        <w:rPr>
          <w:rFonts w:ascii="Tw Cen MT" w:eastAsia="Twentieth Century" w:hAnsi="Tw Cen MT" w:cs="Twentieth Century"/>
          <w:sz w:val="24"/>
          <w:szCs w:val="24"/>
        </w:rPr>
        <w:t>dukungan berharga. Keberhasilan ini tidak lepas dari dukungan dan kerja sama yang telah diberikan.</w:t>
      </w:r>
    </w:p>
    <w:p w14:paraId="7786582A" w14:textId="66DDE9F5" w:rsidR="004721E3" w:rsidRPr="009963C9" w:rsidRDefault="004721E3" w:rsidP="00091BF6">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p w14:paraId="025469CE" w14:textId="32EA8785" w:rsidR="00663E0E" w:rsidRPr="00663E0E" w:rsidRDefault="00500701" w:rsidP="00091BF6">
      <w:pPr>
        <w:widowControl w:val="0"/>
        <w:autoSpaceDE w:val="0"/>
        <w:autoSpaceDN w:val="0"/>
        <w:adjustRightInd w:val="0"/>
        <w:spacing w:after="0" w:line="240" w:lineRule="auto"/>
        <w:ind w:left="640" w:hanging="640"/>
        <w:jc w:val="both"/>
        <w:rPr>
          <w:rFonts w:ascii="Tw Cen MT" w:hAnsi="Tw Cen MT" w:cs="Times New Roman"/>
          <w:noProof/>
          <w:sz w:val="24"/>
        </w:rPr>
      </w:pPr>
      <w:r>
        <w:rPr>
          <w:rFonts w:ascii="Tw Cen MT" w:eastAsia="Twentieth Century" w:hAnsi="Tw Cen MT" w:cs="Twentieth Century"/>
          <w:color w:val="0D0D0D"/>
          <w:sz w:val="24"/>
          <w:szCs w:val="24"/>
        </w:rPr>
        <w:fldChar w:fldCharType="begin" w:fldLock="1"/>
      </w:r>
      <w:r>
        <w:rPr>
          <w:rFonts w:ascii="Tw Cen MT" w:eastAsia="Twentieth Century" w:hAnsi="Tw Cen MT" w:cs="Twentieth Century"/>
          <w:color w:val="0D0D0D"/>
          <w:sz w:val="24"/>
          <w:szCs w:val="24"/>
        </w:rPr>
        <w:instrText xml:space="preserve">ADDIN Mendeley Bibliography CSL_BIBLIOGRAPHY </w:instrText>
      </w:r>
      <w:r>
        <w:rPr>
          <w:rFonts w:ascii="Tw Cen MT" w:eastAsia="Twentieth Century" w:hAnsi="Tw Cen MT" w:cs="Twentieth Century"/>
          <w:color w:val="0D0D0D"/>
          <w:sz w:val="24"/>
          <w:szCs w:val="24"/>
        </w:rPr>
        <w:fldChar w:fldCharType="separate"/>
      </w:r>
      <w:r w:rsidR="00663E0E" w:rsidRPr="00663E0E">
        <w:rPr>
          <w:rFonts w:ascii="Tw Cen MT" w:hAnsi="Tw Cen MT" w:cs="Times New Roman"/>
          <w:noProof/>
          <w:sz w:val="24"/>
        </w:rPr>
        <w:t>[1]</w:t>
      </w:r>
      <w:r w:rsidR="00663E0E" w:rsidRPr="00663E0E">
        <w:rPr>
          <w:rFonts w:ascii="Tw Cen MT" w:hAnsi="Tw Cen MT" w:cs="Times New Roman"/>
          <w:noProof/>
          <w:sz w:val="24"/>
        </w:rPr>
        <w:tab/>
      </w:r>
      <w:r w:rsidR="009963C9">
        <w:rPr>
          <w:rFonts w:ascii="Tw Cen MT" w:hAnsi="Tw Cen MT" w:cs="Times New Roman"/>
          <w:noProof/>
          <w:sz w:val="24"/>
        </w:rPr>
        <w:t>K</w:t>
      </w:r>
      <w:r w:rsidR="00663E0E" w:rsidRPr="00663E0E">
        <w:rPr>
          <w:rFonts w:ascii="Tw Cen MT" w:hAnsi="Tw Cen MT" w:cs="Times New Roman"/>
          <w:noProof/>
          <w:sz w:val="24"/>
        </w:rPr>
        <w:t>ement</w:t>
      </w:r>
      <w:r w:rsidR="009963C9">
        <w:rPr>
          <w:rFonts w:ascii="Tw Cen MT" w:hAnsi="Tw Cen MT" w:cs="Times New Roman"/>
          <w:noProof/>
          <w:sz w:val="24"/>
        </w:rPr>
        <w:t>e</w:t>
      </w:r>
      <w:r w:rsidR="00663E0E" w:rsidRPr="00663E0E">
        <w:rPr>
          <w:rFonts w:ascii="Tw Cen MT" w:hAnsi="Tw Cen MT" w:cs="Times New Roman"/>
          <w:noProof/>
          <w:sz w:val="24"/>
        </w:rPr>
        <w:t xml:space="preserve">rian </w:t>
      </w:r>
      <w:r w:rsidR="009963C9">
        <w:rPr>
          <w:rFonts w:ascii="Tw Cen MT" w:hAnsi="Tw Cen MT" w:cs="Times New Roman"/>
          <w:noProof/>
          <w:sz w:val="24"/>
        </w:rPr>
        <w:t>K</w:t>
      </w:r>
      <w:r w:rsidR="00663E0E" w:rsidRPr="00663E0E">
        <w:rPr>
          <w:rFonts w:ascii="Tw Cen MT" w:hAnsi="Tw Cen MT" w:cs="Times New Roman"/>
          <w:noProof/>
          <w:sz w:val="24"/>
        </w:rPr>
        <w:t xml:space="preserve">esehatan </w:t>
      </w:r>
      <w:r w:rsidR="009963C9">
        <w:rPr>
          <w:rFonts w:ascii="Tw Cen MT" w:hAnsi="Tw Cen MT" w:cs="Times New Roman"/>
          <w:noProof/>
          <w:sz w:val="24"/>
        </w:rPr>
        <w:t>R</w:t>
      </w:r>
      <w:r w:rsidR="00663E0E" w:rsidRPr="00663E0E">
        <w:rPr>
          <w:rFonts w:ascii="Tw Cen MT" w:hAnsi="Tw Cen MT" w:cs="Times New Roman"/>
          <w:noProof/>
          <w:sz w:val="24"/>
        </w:rPr>
        <w:t xml:space="preserve">epublik </w:t>
      </w:r>
      <w:r w:rsidR="009963C9">
        <w:rPr>
          <w:rFonts w:ascii="Tw Cen MT" w:hAnsi="Tw Cen MT" w:cs="Times New Roman"/>
          <w:noProof/>
          <w:sz w:val="24"/>
        </w:rPr>
        <w:t>I</w:t>
      </w:r>
      <w:r w:rsidR="00663E0E" w:rsidRPr="00663E0E">
        <w:rPr>
          <w:rFonts w:ascii="Tw Cen MT" w:hAnsi="Tw Cen MT" w:cs="Times New Roman"/>
          <w:noProof/>
          <w:sz w:val="24"/>
        </w:rPr>
        <w:t>ndonesia Direktorat Gizi dan Kesehatan Ibu dan Anak, “Laporan Akuntabilitas Kinerja Instansi Pemerintah (Lakip) Direktorat Gizi Dan Kesehatan Ibu Dan Anak Tahun Anggaran 2022,” Jakarta: Kementerian Kesehatan RI, 2023.</w:t>
      </w:r>
    </w:p>
    <w:p w14:paraId="7B6BB4D6" w14:textId="77777777" w:rsidR="00663E0E" w:rsidRPr="00663E0E" w:rsidRDefault="00663E0E" w:rsidP="00091BF6">
      <w:pPr>
        <w:widowControl w:val="0"/>
        <w:autoSpaceDE w:val="0"/>
        <w:autoSpaceDN w:val="0"/>
        <w:adjustRightInd w:val="0"/>
        <w:spacing w:after="0" w:line="240" w:lineRule="auto"/>
        <w:ind w:left="640" w:hanging="640"/>
        <w:jc w:val="both"/>
        <w:rPr>
          <w:rFonts w:ascii="Tw Cen MT" w:hAnsi="Tw Cen MT" w:cs="Times New Roman"/>
          <w:noProof/>
          <w:sz w:val="24"/>
        </w:rPr>
      </w:pPr>
      <w:r w:rsidRPr="00663E0E">
        <w:rPr>
          <w:rFonts w:ascii="Tw Cen MT" w:hAnsi="Tw Cen MT" w:cs="Times New Roman"/>
          <w:noProof/>
          <w:sz w:val="24"/>
        </w:rPr>
        <w:t>[2]</w:t>
      </w:r>
      <w:r w:rsidRPr="00663E0E">
        <w:rPr>
          <w:rFonts w:ascii="Tw Cen MT" w:hAnsi="Tw Cen MT" w:cs="Times New Roman"/>
          <w:noProof/>
          <w:sz w:val="24"/>
        </w:rPr>
        <w:tab/>
        <w:t xml:space="preserve">S. Suparni, A. Fatkhudin, and N. Zuhana, “Efektivitas Sibumil (Aplikasi Deteksi Risiko Kehamilan Mandiri) Berbasis Android Di Kota Pekalongan,” </w:t>
      </w:r>
      <w:r w:rsidRPr="00663E0E">
        <w:rPr>
          <w:rFonts w:ascii="Tw Cen MT" w:hAnsi="Tw Cen MT" w:cs="Times New Roman"/>
          <w:i/>
          <w:iCs/>
          <w:noProof/>
          <w:sz w:val="24"/>
        </w:rPr>
        <w:t>J. Litbang Kota Pekalongan</w:t>
      </w:r>
      <w:r w:rsidRPr="00663E0E">
        <w:rPr>
          <w:rFonts w:ascii="Tw Cen MT" w:hAnsi="Tw Cen MT" w:cs="Times New Roman"/>
          <w:noProof/>
          <w:sz w:val="24"/>
        </w:rPr>
        <w:t>, vol. 21, no. 2, p. 7, 2021, doi: 10.54911/litbang.v21i1.163.</w:t>
      </w:r>
    </w:p>
    <w:p w14:paraId="6E056E00" w14:textId="77777777" w:rsidR="00663E0E" w:rsidRPr="00663E0E" w:rsidRDefault="00663E0E" w:rsidP="00091BF6">
      <w:pPr>
        <w:widowControl w:val="0"/>
        <w:autoSpaceDE w:val="0"/>
        <w:autoSpaceDN w:val="0"/>
        <w:adjustRightInd w:val="0"/>
        <w:spacing w:after="0" w:line="240" w:lineRule="auto"/>
        <w:ind w:left="640" w:hanging="640"/>
        <w:jc w:val="both"/>
        <w:rPr>
          <w:rFonts w:ascii="Tw Cen MT" w:hAnsi="Tw Cen MT" w:cs="Times New Roman"/>
          <w:noProof/>
          <w:sz w:val="24"/>
        </w:rPr>
      </w:pPr>
      <w:r w:rsidRPr="00663E0E">
        <w:rPr>
          <w:rFonts w:ascii="Tw Cen MT" w:hAnsi="Tw Cen MT" w:cs="Times New Roman"/>
          <w:noProof/>
          <w:sz w:val="24"/>
        </w:rPr>
        <w:t>[3]</w:t>
      </w:r>
      <w:r w:rsidRPr="00663E0E">
        <w:rPr>
          <w:rFonts w:ascii="Tw Cen MT" w:hAnsi="Tw Cen MT" w:cs="Times New Roman"/>
          <w:noProof/>
          <w:sz w:val="24"/>
        </w:rPr>
        <w:tab/>
        <w:t>DinKes Kabupaten Pekalongan, “Profil Kesehatan Kabupaten Pekalongan Tahun 2022.” Pekalongan:DinKes Kabupaten Pekalongan, p. 74, 2022, [Online]. Available: https://drive.google.com/file/d/17ggp2vYJSWrpwima5-s5xNC_wcRNLt5Q/view.</w:t>
      </w:r>
    </w:p>
    <w:p w14:paraId="6159FB4C" w14:textId="77777777" w:rsidR="00663E0E" w:rsidRPr="00663E0E" w:rsidRDefault="00663E0E" w:rsidP="00091BF6">
      <w:pPr>
        <w:widowControl w:val="0"/>
        <w:autoSpaceDE w:val="0"/>
        <w:autoSpaceDN w:val="0"/>
        <w:adjustRightInd w:val="0"/>
        <w:spacing w:after="0" w:line="240" w:lineRule="auto"/>
        <w:ind w:left="640" w:hanging="640"/>
        <w:jc w:val="both"/>
        <w:rPr>
          <w:rFonts w:ascii="Tw Cen MT" w:hAnsi="Tw Cen MT" w:cs="Times New Roman"/>
          <w:noProof/>
          <w:sz w:val="24"/>
        </w:rPr>
      </w:pPr>
      <w:r w:rsidRPr="00663E0E">
        <w:rPr>
          <w:rFonts w:ascii="Tw Cen MT" w:hAnsi="Tw Cen MT" w:cs="Times New Roman"/>
          <w:noProof/>
          <w:sz w:val="24"/>
        </w:rPr>
        <w:t>[4]</w:t>
      </w:r>
      <w:r w:rsidRPr="00663E0E">
        <w:rPr>
          <w:rFonts w:ascii="Tw Cen MT" w:hAnsi="Tw Cen MT" w:cs="Times New Roman"/>
          <w:noProof/>
          <w:sz w:val="24"/>
        </w:rPr>
        <w:tab/>
        <w:t xml:space="preserve">S. Khadijah and Arneti, “Upaya Deteksi Dini Resiko Tinggi Kehamilan Ditentukan oleh Pengetahuan dan Dukungan Tenaga Kesehatan,” </w:t>
      </w:r>
      <w:r w:rsidRPr="00663E0E">
        <w:rPr>
          <w:rFonts w:ascii="Tw Cen MT" w:hAnsi="Tw Cen MT" w:cs="Times New Roman"/>
          <w:i/>
          <w:iCs/>
          <w:noProof/>
          <w:sz w:val="24"/>
        </w:rPr>
        <w:t>J. Sehat Mandiri</w:t>
      </w:r>
      <w:r w:rsidRPr="00663E0E">
        <w:rPr>
          <w:rFonts w:ascii="Tw Cen MT" w:hAnsi="Tw Cen MT" w:cs="Times New Roman"/>
          <w:noProof/>
          <w:sz w:val="24"/>
        </w:rPr>
        <w:t>, vol. 13, no. 1, pp. 27–34, 2018, [Online]. Available: https://jurnal.poltekkespadang.ac.id/ojs/index.php/jsm/article/view/2/4.</w:t>
      </w:r>
    </w:p>
    <w:p w14:paraId="540A71D8" w14:textId="77777777" w:rsidR="00663E0E" w:rsidRPr="00663E0E" w:rsidRDefault="00663E0E" w:rsidP="00091BF6">
      <w:pPr>
        <w:widowControl w:val="0"/>
        <w:autoSpaceDE w:val="0"/>
        <w:autoSpaceDN w:val="0"/>
        <w:adjustRightInd w:val="0"/>
        <w:spacing w:after="0" w:line="240" w:lineRule="auto"/>
        <w:ind w:left="640" w:hanging="640"/>
        <w:jc w:val="both"/>
        <w:rPr>
          <w:rFonts w:ascii="Tw Cen MT" w:hAnsi="Tw Cen MT" w:cs="Times New Roman"/>
          <w:noProof/>
          <w:sz w:val="24"/>
        </w:rPr>
      </w:pPr>
      <w:r w:rsidRPr="00663E0E">
        <w:rPr>
          <w:rFonts w:ascii="Tw Cen MT" w:hAnsi="Tw Cen MT" w:cs="Times New Roman"/>
          <w:noProof/>
          <w:sz w:val="24"/>
        </w:rPr>
        <w:t>[5]</w:t>
      </w:r>
      <w:r w:rsidRPr="00663E0E">
        <w:rPr>
          <w:rFonts w:ascii="Tw Cen MT" w:hAnsi="Tw Cen MT" w:cs="Times New Roman"/>
          <w:noProof/>
          <w:sz w:val="24"/>
        </w:rPr>
        <w:tab/>
        <w:t xml:space="preserve">Kementerian Kesehatan RI, </w:t>
      </w:r>
      <w:r w:rsidRPr="00663E0E">
        <w:rPr>
          <w:rFonts w:ascii="Tw Cen MT" w:hAnsi="Tw Cen MT" w:cs="Times New Roman"/>
          <w:i/>
          <w:iCs/>
          <w:noProof/>
          <w:sz w:val="24"/>
        </w:rPr>
        <w:t>Buku Kesehatan Ibu dan Anak</w:t>
      </w:r>
      <w:r w:rsidRPr="00663E0E">
        <w:rPr>
          <w:rFonts w:ascii="Tw Cen MT" w:hAnsi="Tw Cen MT" w:cs="Times New Roman"/>
          <w:noProof/>
          <w:sz w:val="24"/>
        </w:rPr>
        <w:t>. Jakarta: Kementerian Kesehatan RI, 2019.</w:t>
      </w:r>
    </w:p>
    <w:p w14:paraId="2FBE4024" w14:textId="77777777" w:rsidR="00663E0E" w:rsidRPr="00663E0E" w:rsidRDefault="00663E0E" w:rsidP="00091BF6">
      <w:pPr>
        <w:widowControl w:val="0"/>
        <w:autoSpaceDE w:val="0"/>
        <w:autoSpaceDN w:val="0"/>
        <w:adjustRightInd w:val="0"/>
        <w:spacing w:after="0" w:line="240" w:lineRule="auto"/>
        <w:ind w:left="640" w:hanging="640"/>
        <w:jc w:val="both"/>
        <w:rPr>
          <w:rFonts w:ascii="Tw Cen MT" w:hAnsi="Tw Cen MT" w:cs="Times New Roman"/>
          <w:noProof/>
          <w:sz w:val="24"/>
        </w:rPr>
      </w:pPr>
      <w:r w:rsidRPr="00663E0E">
        <w:rPr>
          <w:rFonts w:ascii="Tw Cen MT" w:hAnsi="Tw Cen MT" w:cs="Times New Roman"/>
          <w:noProof/>
          <w:sz w:val="24"/>
        </w:rPr>
        <w:t>[6]</w:t>
      </w:r>
      <w:r w:rsidRPr="00663E0E">
        <w:rPr>
          <w:rFonts w:ascii="Tw Cen MT" w:hAnsi="Tw Cen MT" w:cs="Times New Roman"/>
          <w:noProof/>
          <w:sz w:val="24"/>
        </w:rPr>
        <w:tab/>
        <w:t xml:space="preserve">L. D. Prafitri, W. Ersila, and D. Nurseptiani, “Risk Factors for Carpal Tunnel Syndrome in Pregnant Women,” </w:t>
      </w:r>
      <w:r w:rsidRPr="00663E0E">
        <w:rPr>
          <w:rFonts w:ascii="Tw Cen MT" w:hAnsi="Tw Cen MT" w:cs="Times New Roman"/>
          <w:i/>
          <w:iCs/>
          <w:noProof/>
          <w:sz w:val="24"/>
        </w:rPr>
        <w:t>J. Kedokt. dan Kesehat. Indones.</w:t>
      </w:r>
      <w:r w:rsidRPr="00663E0E">
        <w:rPr>
          <w:rFonts w:ascii="Tw Cen MT" w:hAnsi="Tw Cen MT" w:cs="Times New Roman"/>
          <w:noProof/>
          <w:sz w:val="24"/>
        </w:rPr>
        <w:t>, vol. 13, no. 1, pp. 52–59, 2022, doi: 10.20885/JKKI.Vol13.Iss1.art9.</w:t>
      </w:r>
    </w:p>
    <w:p w14:paraId="30AF624C" w14:textId="77777777" w:rsidR="00663E0E" w:rsidRPr="00663E0E" w:rsidRDefault="00663E0E" w:rsidP="00091BF6">
      <w:pPr>
        <w:widowControl w:val="0"/>
        <w:autoSpaceDE w:val="0"/>
        <w:autoSpaceDN w:val="0"/>
        <w:adjustRightInd w:val="0"/>
        <w:spacing w:after="0" w:line="240" w:lineRule="auto"/>
        <w:ind w:left="640" w:hanging="640"/>
        <w:jc w:val="both"/>
        <w:rPr>
          <w:rFonts w:ascii="Tw Cen MT" w:hAnsi="Tw Cen MT" w:cs="Times New Roman"/>
          <w:noProof/>
          <w:sz w:val="24"/>
        </w:rPr>
      </w:pPr>
      <w:r w:rsidRPr="00663E0E">
        <w:rPr>
          <w:rFonts w:ascii="Tw Cen MT" w:hAnsi="Tw Cen MT" w:cs="Times New Roman"/>
          <w:noProof/>
          <w:sz w:val="24"/>
        </w:rPr>
        <w:t>[7]</w:t>
      </w:r>
      <w:r w:rsidRPr="00663E0E">
        <w:rPr>
          <w:rFonts w:ascii="Tw Cen MT" w:hAnsi="Tw Cen MT" w:cs="Times New Roman"/>
          <w:noProof/>
          <w:sz w:val="24"/>
        </w:rPr>
        <w:tab/>
        <w:t xml:space="preserve">Kementrian Kesehatan, </w:t>
      </w:r>
      <w:r w:rsidRPr="00663E0E">
        <w:rPr>
          <w:rFonts w:ascii="Tw Cen MT" w:hAnsi="Tw Cen MT" w:cs="Times New Roman"/>
          <w:i/>
          <w:iCs/>
          <w:noProof/>
          <w:sz w:val="24"/>
        </w:rPr>
        <w:t>Profil Kesehatan Indonesia 2023</w:t>
      </w:r>
      <w:r w:rsidRPr="00663E0E">
        <w:rPr>
          <w:rFonts w:ascii="Tw Cen MT" w:hAnsi="Tw Cen MT" w:cs="Times New Roman"/>
          <w:noProof/>
          <w:sz w:val="24"/>
        </w:rPr>
        <w:t>. Jakarta</w:t>
      </w:r>
      <w:r w:rsidRPr="00663E0E">
        <w:rPr>
          <w:rFonts w:ascii="Arial" w:hAnsi="Arial" w:cs="Arial"/>
          <w:noProof/>
          <w:sz w:val="24"/>
        </w:rPr>
        <w:t> </w:t>
      </w:r>
      <w:r w:rsidRPr="00663E0E">
        <w:rPr>
          <w:rFonts w:ascii="Tw Cen MT" w:hAnsi="Tw Cen MT" w:cs="Times New Roman"/>
          <w:noProof/>
          <w:sz w:val="24"/>
        </w:rPr>
        <w:t>: Kementerian Kesehatan Republik Indonesia, 2024.</w:t>
      </w:r>
    </w:p>
    <w:p w14:paraId="535AC072" w14:textId="77777777" w:rsidR="00663E0E" w:rsidRPr="00663E0E" w:rsidRDefault="00663E0E" w:rsidP="00091BF6">
      <w:pPr>
        <w:widowControl w:val="0"/>
        <w:autoSpaceDE w:val="0"/>
        <w:autoSpaceDN w:val="0"/>
        <w:adjustRightInd w:val="0"/>
        <w:spacing w:after="0" w:line="240" w:lineRule="auto"/>
        <w:ind w:left="640" w:hanging="640"/>
        <w:jc w:val="both"/>
        <w:rPr>
          <w:rFonts w:ascii="Tw Cen MT" w:hAnsi="Tw Cen MT" w:cs="Times New Roman"/>
          <w:noProof/>
          <w:sz w:val="24"/>
        </w:rPr>
      </w:pPr>
      <w:r w:rsidRPr="00663E0E">
        <w:rPr>
          <w:rFonts w:ascii="Tw Cen MT" w:hAnsi="Tw Cen MT" w:cs="Times New Roman"/>
          <w:noProof/>
          <w:sz w:val="24"/>
        </w:rPr>
        <w:t>[8]</w:t>
      </w:r>
      <w:r w:rsidRPr="00663E0E">
        <w:rPr>
          <w:rFonts w:ascii="Tw Cen MT" w:hAnsi="Tw Cen MT" w:cs="Times New Roman"/>
          <w:noProof/>
          <w:sz w:val="24"/>
        </w:rPr>
        <w:tab/>
        <w:t>WHO, “World health statistics 2022: monitoring health for the SDGs, Sustainable Development Goals,” World Health Organization, 2022. [Online]. Available: https://iris.who.int/handle/10665/356584.</w:t>
      </w:r>
    </w:p>
    <w:p w14:paraId="5B95B027" w14:textId="77777777" w:rsidR="00663E0E" w:rsidRPr="00663E0E" w:rsidRDefault="00663E0E" w:rsidP="00091BF6">
      <w:pPr>
        <w:widowControl w:val="0"/>
        <w:autoSpaceDE w:val="0"/>
        <w:autoSpaceDN w:val="0"/>
        <w:adjustRightInd w:val="0"/>
        <w:spacing w:after="0" w:line="240" w:lineRule="auto"/>
        <w:ind w:left="640" w:hanging="640"/>
        <w:jc w:val="both"/>
        <w:rPr>
          <w:rFonts w:ascii="Tw Cen MT" w:hAnsi="Tw Cen MT" w:cs="Times New Roman"/>
          <w:noProof/>
          <w:sz w:val="24"/>
        </w:rPr>
      </w:pPr>
      <w:r w:rsidRPr="00663E0E">
        <w:rPr>
          <w:rFonts w:ascii="Tw Cen MT" w:hAnsi="Tw Cen MT" w:cs="Times New Roman"/>
          <w:noProof/>
          <w:sz w:val="24"/>
        </w:rPr>
        <w:t>[9]</w:t>
      </w:r>
      <w:r w:rsidRPr="00663E0E">
        <w:rPr>
          <w:rFonts w:ascii="Tw Cen MT" w:hAnsi="Tw Cen MT" w:cs="Times New Roman"/>
          <w:noProof/>
          <w:sz w:val="24"/>
        </w:rPr>
        <w:tab/>
        <w:t xml:space="preserve">L. D. Prafitri, S. Suparni, and G. Setianto, “Pendampingan Ibu Hamil Dalam Upaya Deteksi Dini Resiko Tinggi Kehamilan,” </w:t>
      </w:r>
      <w:r w:rsidRPr="00663E0E">
        <w:rPr>
          <w:rFonts w:ascii="Tw Cen MT" w:hAnsi="Tw Cen MT" w:cs="Times New Roman"/>
          <w:i/>
          <w:iCs/>
          <w:noProof/>
          <w:sz w:val="24"/>
        </w:rPr>
        <w:t>J. Community Dev.</w:t>
      </w:r>
      <w:r w:rsidRPr="00663E0E">
        <w:rPr>
          <w:rFonts w:ascii="Tw Cen MT" w:hAnsi="Tw Cen MT" w:cs="Times New Roman"/>
          <w:noProof/>
          <w:sz w:val="24"/>
        </w:rPr>
        <w:t>, vol. 5, no. 3, pp. 423–433, 2025, [Online]. Available: https://comdev.pubmedia.id/index.php/comdev/article/view/287.</w:t>
      </w:r>
    </w:p>
    <w:p w14:paraId="1893A0BC" w14:textId="77777777" w:rsidR="00663E0E" w:rsidRPr="00663E0E" w:rsidRDefault="00663E0E" w:rsidP="00091BF6">
      <w:pPr>
        <w:widowControl w:val="0"/>
        <w:autoSpaceDE w:val="0"/>
        <w:autoSpaceDN w:val="0"/>
        <w:adjustRightInd w:val="0"/>
        <w:spacing w:after="0" w:line="240" w:lineRule="auto"/>
        <w:ind w:left="640" w:hanging="640"/>
        <w:jc w:val="both"/>
        <w:rPr>
          <w:rFonts w:ascii="Tw Cen MT" w:hAnsi="Tw Cen MT" w:cs="Times New Roman"/>
          <w:noProof/>
          <w:sz w:val="24"/>
        </w:rPr>
      </w:pPr>
      <w:r w:rsidRPr="00663E0E">
        <w:rPr>
          <w:rFonts w:ascii="Tw Cen MT" w:hAnsi="Tw Cen MT" w:cs="Times New Roman"/>
          <w:noProof/>
          <w:sz w:val="24"/>
        </w:rPr>
        <w:t>[10]</w:t>
      </w:r>
      <w:r w:rsidRPr="00663E0E">
        <w:rPr>
          <w:rFonts w:ascii="Tw Cen MT" w:hAnsi="Tw Cen MT" w:cs="Times New Roman"/>
          <w:noProof/>
          <w:sz w:val="24"/>
        </w:rPr>
        <w:tab/>
        <w:t xml:space="preserve">E. P. Handayani, M. Jannah, and A. Rahmawati, “Efforts To Increase Pregnant Women’S Knowledge About High-Risk Pregnancy With Health Education,” </w:t>
      </w:r>
      <w:r w:rsidRPr="00663E0E">
        <w:rPr>
          <w:rFonts w:ascii="Tw Cen MT" w:hAnsi="Tw Cen MT" w:cs="Times New Roman"/>
          <w:i/>
          <w:iCs/>
          <w:noProof/>
          <w:sz w:val="24"/>
        </w:rPr>
        <w:t>Pharmacol. Med. Reports Orthop. Illn. Details</w:t>
      </w:r>
      <w:r w:rsidRPr="00663E0E">
        <w:rPr>
          <w:rFonts w:ascii="Tw Cen MT" w:hAnsi="Tw Cen MT" w:cs="Times New Roman"/>
          <w:noProof/>
          <w:sz w:val="24"/>
        </w:rPr>
        <w:t>, vol. 1, no. 4, pp. 14–21, 2023, doi: 10.55047/comorbid.v1i4.591.</w:t>
      </w:r>
    </w:p>
    <w:p w14:paraId="728A1A98" w14:textId="77777777" w:rsidR="00663E0E" w:rsidRPr="00663E0E" w:rsidRDefault="00663E0E" w:rsidP="00091BF6">
      <w:pPr>
        <w:widowControl w:val="0"/>
        <w:autoSpaceDE w:val="0"/>
        <w:autoSpaceDN w:val="0"/>
        <w:adjustRightInd w:val="0"/>
        <w:spacing w:after="0" w:line="240" w:lineRule="auto"/>
        <w:ind w:left="640" w:hanging="640"/>
        <w:jc w:val="both"/>
        <w:rPr>
          <w:rFonts w:ascii="Tw Cen MT" w:hAnsi="Tw Cen MT" w:cs="Times New Roman"/>
          <w:noProof/>
          <w:sz w:val="24"/>
        </w:rPr>
      </w:pPr>
      <w:r w:rsidRPr="00663E0E">
        <w:rPr>
          <w:rFonts w:ascii="Tw Cen MT" w:hAnsi="Tw Cen MT" w:cs="Times New Roman"/>
          <w:noProof/>
          <w:sz w:val="24"/>
        </w:rPr>
        <w:t>[11]</w:t>
      </w:r>
      <w:r w:rsidRPr="00663E0E">
        <w:rPr>
          <w:rFonts w:ascii="Tw Cen MT" w:hAnsi="Tw Cen MT" w:cs="Times New Roman"/>
          <w:noProof/>
          <w:sz w:val="24"/>
        </w:rPr>
        <w:tab/>
        <w:t xml:space="preserve">D. R. Nainggolan and R. M. Ujung, “Peningkatan Pengetahuan dan Deteksi Dini Tanda Bahaya Kehamilan di Wilayah Kerja Puskesmas Sipahutar Kabupaten Tapanuli Utara Tahun 2022,” </w:t>
      </w:r>
      <w:r w:rsidRPr="00663E0E">
        <w:rPr>
          <w:rFonts w:ascii="Tw Cen MT" w:hAnsi="Tw Cen MT" w:cs="Times New Roman"/>
          <w:i/>
          <w:iCs/>
          <w:noProof/>
          <w:sz w:val="24"/>
        </w:rPr>
        <w:t>J. Mitra Prima</w:t>
      </w:r>
      <w:r w:rsidRPr="00663E0E">
        <w:rPr>
          <w:rFonts w:ascii="Tw Cen MT" w:hAnsi="Tw Cen MT" w:cs="Times New Roman"/>
          <w:noProof/>
          <w:sz w:val="24"/>
        </w:rPr>
        <w:t>, vol. 4, no. 2, 2022.</w:t>
      </w:r>
    </w:p>
    <w:p w14:paraId="372B324E" w14:textId="77777777" w:rsidR="00663E0E" w:rsidRPr="00663E0E" w:rsidRDefault="00663E0E" w:rsidP="00091BF6">
      <w:pPr>
        <w:widowControl w:val="0"/>
        <w:autoSpaceDE w:val="0"/>
        <w:autoSpaceDN w:val="0"/>
        <w:adjustRightInd w:val="0"/>
        <w:spacing w:after="0" w:line="240" w:lineRule="auto"/>
        <w:ind w:left="640" w:hanging="640"/>
        <w:jc w:val="both"/>
        <w:rPr>
          <w:rFonts w:ascii="Tw Cen MT" w:hAnsi="Tw Cen MT" w:cs="Times New Roman"/>
          <w:noProof/>
          <w:sz w:val="24"/>
        </w:rPr>
      </w:pPr>
      <w:r w:rsidRPr="00663E0E">
        <w:rPr>
          <w:rFonts w:ascii="Tw Cen MT" w:hAnsi="Tw Cen MT" w:cs="Times New Roman"/>
          <w:noProof/>
          <w:sz w:val="24"/>
        </w:rPr>
        <w:t>[12]</w:t>
      </w:r>
      <w:r w:rsidRPr="00663E0E">
        <w:rPr>
          <w:rFonts w:ascii="Tw Cen MT" w:hAnsi="Tw Cen MT" w:cs="Times New Roman"/>
          <w:noProof/>
          <w:sz w:val="24"/>
        </w:rPr>
        <w:tab/>
        <w:t xml:space="preserve">Z. Al Somali, E. Bajamal, and O. Esheaba, “The Effect of Structured The Effect of Structured Antenatal Education on Childbirth Self-Efficacy,” </w:t>
      </w:r>
      <w:r w:rsidRPr="00663E0E">
        <w:rPr>
          <w:rFonts w:ascii="Tw Cen MT" w:hAnsi="Tw Cen MT" w:cs="Times New Roman"/>
          <w:i/>
          <w:iCs/>
          <w:noProof/>
          <w:sz w:val="24"/>
        </w:rPr>
        <w:t>Cureus J.</w:t>
      </w:r>
      <w:r w:rsidRPr="00663E0E">
        <w:rPr>
          <w:rFonts w:ascii="Tw Cen MT" w:hAnsi="Tw Cen MT" w:cs="Times New Roman"/>
          <w:noProof/>
          <w:sz w:val="24"/>
        </w:rPr>
        <w:t>, vol. 15, no. 5, 2023, doi: 10.7759/cureus.39285.</w:t>
      </w:r>
    </w:p>
    <w:p w14:paraId="0F35A232" w14:textId="77777777" w:rsidR="00663E0E" w:rsidRPr="00663E0E" w:rsidRDefault="00663E0E" w:rsidP="00091BF6">
      <w:pPr>
        <w:widowControl w:val="0"/>
        <w:autoSpaceDE w:val="0"/>
        <w:autoSpaceDN w:val="0"/>
        <w:adjustRightInd w:val="0"/>
        <w:spacing w:after="0" w:line="240" w:lineRule="auto"/>
        <w:ind w:left="640" w:hanging="640"/>
        <w:jc w:val="both"/>
        <w:rPr>
          <w:rFonts w:ascii="Tw Cen MT" w:hAnsi="Tw Cen MT" w:cs="Times New Roman"/>
          <w:noProof/>
          <w:sz w:val="24"/>
        </w:rPr>
      </w:pPr>
      <w:r w:rsidRPr="00663E0E">
        <w:rPr>
          <w:rFonts w:ascii="Tw Cen MT" w:hAnsi="Tw Cen MT" w:cs="Times New Roman"/>
          <w:noProof/>
          <w:sz w:val="24"/>
        </w:rPr>
        <w:t>[13]</w:t>
      </w:r>
      <w:r w:rsidRPr="00663E0E">
        <w:rPr>
          <w:rFonts w:ascii="Tw Cen MT" w:hAnsi="Tw Cen MT" w:cs="Times New Roman"/>
          <w:noProof/>
          <w:sz w:val="24"/>
        </w:rPr>
        <w:tab/>
        <w:t xml:space="preserve">E. C. De Araujo, N. Pereira, E. J. S. Tilman, A. C. Da C, A. N. Corte, and R. Araujo, “Effect of Reproductive Health Education on Pregnant Women ’ s Knowledge about Normal Delivery,” </w:t>
      </w:r>
      <w:r w:rsidRPr="00663E0E">
        <w:rPr>
          <w:rFonts w:ascii="Tw Cen MT" w:hAnsi="Tw Cen MT" w:cs="Times New Roman"/>
          <w:i/>
          <w:iCs/>
          <w:noProof/>
          <w:sz w:val="24"/>
        </w:rPr>
        <w:t>J. Int. Multidiscriplinary Res.</w:t>
      </w:r>
      <w:r w:rsidRPr="00663E0E">
        <w:rPr>
          <w:rFonts w:ascii="Tw Cen MT" w:hAnsi="Tw Cen MT" w:cs="Times New Roman"/>
          <w:noProof/>
          <w:sz w:val="24"/>
        </w:rPr>
        <w:t>, vol. 2, no. 5, pp. 450–462, 2024.</w:t>
      </w:r>
    </w:p>
    <w:p w14:paraId="179C130F" w14:textId="77777777" w:rsidR="00663E0E" w:rsidRPr="00663E0E" w:rsidRDefault="00663E0E" w:rsidP="00091BF6">
      <w:pPr>
        <w:widowControl w:val="0"/>
        <w:autoSpaceDE w:val="0"/>
        <w:autoSpaceDN w:val="0"/>
        <w:adjustRightInd w:val="0"/>
        <w:spacing w:after="0" w:line="240" w:lineRule="auto"/>
        <w:ind w:left="640" w:hanging="640"/>
        <w:jc w:val="both"/>
        <w:rPr>
          <w:rFonts w:ascii="Tw Cen MT" w:hAnsi="Tw Cen MT" w:cs="Times New Roman"/>
          <w:noProof/>
          <w:sz w:val="24"/>
        </w:rPr>
      </w:pPr>
      <w:r w:rsidRPr="00663E0E">
        <w:rPr>
          <w:rFonts w:ascii="Tw Cen MT" w:hAnsi="Tw Cen MT" w:cs="Times New Roman"/>
          <w:noProof/>
          <w:sz w:val="24"/>
        </w:rPr>
        <w:t>[14]</w:t>
      </w:r>
      <w:r w:rsidRPr="00663E0E">
        <w:rPr>
          <w:rFonts w:ascii="Tw Cen MT" w:hAnsi="Tw Cen MT" w:cs="Times New Roman"/>
          <w:noProof/>
          <w:sz w:val="24"/>
        </w:rPr>
        <w:tab/>
        <w:t xml:space="preserve">S. Kamble </w:t>
      </w:r>
      <w:r w:rsidRPr="00663E0E">
        <w:rPr>
          <w:rFonts w:ascii="Tw Cen MT" w:hAnsi="Tw Cen MT" w:cs="Times New Roman"/>
          <w:i/>
          <w:iCs/>
          <w:noProof/>
          <w:sz w:val="24"/>
        </w:rPr>
        <w:t>et al.</w:t>
      </w:r>
      <w:r w:rsidRPr="00663E0E">
        <w:rPr>
          <w:rFonts w:ascii="Tw Cen MT" w:hAnsi="Tw Cen MT" w:cs="Times New Roman"/>
          <w:noProof/>
          <w:sz w:val="24"/>
        </w:rPr>
        <w:t xml:space="preserve">, “Access, timeliness and retention for HIV testing under early infant diagnosis (EID) program, India,” </w:t>
      </w:r>
      <w:r w:rsidRPr="00663E0E">
        <w:rPr>
          <w:rFonts w:ascii="Tw Cen MT" w:hAnsi="Tw Cen MT" w:cs="Times New Roman"/>
          <w:i/>
          <w:iCs/>
          <w:noProof/>
          <w:sz w:val="24"/>
        </w:rPr>
        <w:t>Sci. Rep.</w:t>
      </w:r>
      <w:r w:rsidRPr="00663E0E">
        <w:rPr>
          <w:rFonts w:ascii="Tw Cen MT" w:hAnsi="Tw Cen MT" w:cs="Times New Roman"/>
          <w:noProof/>
          <w:sz w:val="24"/>
        </w:rPr>
        <w:t>, vol. 13, no. 1, pp. 1–11, 2023, doi: 10.1038/s41598-023-32056-y.</w:t>
      </w:r>
    </w:p>
    <w:p w14:paraId="5993F772" w14:textId="77777777" w:rsidR="00663E0E" w:rsidRPr="00663E0E" w:rsidRDefault="00663E0E" w:rsidP="00091BF6">
      <w:pPr>
        <w:widowControl w:val="0"/>
        <w:autoSpaceDE w:val="0"/>
        <w:autoSpaceDN w:val="0"/>
        <w:adjustRightInd w:val="0"/>
        <w:spacing w:after="0" w:line="240" w:lineRule="auto"/>
        <w:ind w:left="640" w:hanging="640"/>
        <w:jc w:val="both"/>
        <w:rPr>
          <w:rFonts w:ascii="Tw Cen MT" w:hAnsi="Tw Cen MT" w:cs="Times New Roman"/>
          <w:noProof/>
          <w:sz w:val="24"/>
        </w:rPr>
      </w:pPr>
      <w:r w:rsidRPr="00663E0E">
        <w:rPr>
          <w:rFonts w:ascii="Tw Cen MT" w:hAnsi="Tw Cen MT" w:cs="Times New Roman"/>
          <w:noProof/>
          <w:sz w:val="24"/>
        </w:rPr>
        <w:t>[15]</w:t>
      </w:r>
      <w:r w:rsidRPr="00663E0E">
        <w:rPr>
          <w:rFonts w:ascii="Tw Cen MT" w:hAnsi="Tw Cen MT" w:cs="Times New Roman"/>
          <w:noProof/>
          <w:sz w:val="24"/>
        </w:rPr>
        <w:tab/>
        <w:t xml:space="preserve">S. M. Alharbi </w:t>
      </w:r>
      <w:r w:rsidRPr="00663E0E">
        <w:rPr>
          <w:rFonts w:ascii="Tw Cen MT" w:hAnsi="Tw Cen MT" w:cs="Times New Roman"/>
          <w:i/>
          <w:iCs/>
          <w:noProof/>
          <w:sz w:val="24"/>
        </w:rPr>
        <w:t>et al.</w:t>
      </w:r>
      <w:r w:rsidRPr="00663E0E">
        <w:rPr>
          <w:rFonts w:ascii="Tw Cen MT" w:hAnsi="Tw Cen MT" w:cs="Times New Roman"/>
          <w:noProof/>
          <w:sz w:val="24"/>
        </w:rPr>
        <w:t xml:space="preserve">, “Strategies to improve the early detection and management of ectopic pregnancies in primary care,” </w:t>
      </w:r>
      <w:r w:rsidRPr="00663E0E">
        <w:rPr>
          <w:rFonts w:ascii="Tw Cen MT" w:hAnsi="Tw Cen MT" w:cs="Times New Roman"/>
          <w:i/>
          <w:iCs/>
          <w:noProof/>
          <w:sz w:val="24"/>
        </w:rPr>
        <w:t>Int. J. Community Med. Public Heal.</w:t>
      </w:r>
      <w:r w:rsidRPr="00663E0E">
        <w:rPr>
          <w:rFonts w:ascii="Tw Cen MT" w:hAnsi="Tw Cen MT" w:cs="Times New Roman"/>
          <w:noProof/>
          <w:sz w:val="24"/>
        </w:rPr>
        <w:t>, vol. 10, no. 7, pp. 2599–2603, 2023, doi: 10.18203/2394-6040.ijcmph20231772.</w:t>
      </w:r>
    </w:p>
    <w:p w14:paraId="1C88B7D1" w14:textId="77777777" w:rsidR="00663E0E" w:rsidRPr="00663E0E" w:rsidRDefault="00663E0E" w:rsidP="00091BF6">
      <w:pPr>
        <w:widowControl w:val="0"/>
        <w:autoSpaceDE w:val="0"/>
        <w:autoSpaceDN w:val="0"/>
        <w:adjustRightInd w:val="0"/>
        <w:spacing w:after="0" w:line="240" w:lineRule="auto"/>
        <w:ind w:left="640" w:hanging="640"/>
        <w:jc w:val="both"/>
        <w:rPr>
          <w:rFonts w:ascii="Tw Cen MT" w:hAnsi="Tw Cen MT" w:cs="Times New Roman"/>
          <w:noProof/>
          <w:sz w:val="24"/>
        </w:rPr>
      </w:pPr>
      <w:r w:rsidRPr="00663E0E">
        <w:rPr>
          <w:rFonts w:ascii="Tw Cen MT" w:hAnsi="Tw Cen MT" w:cs="Times New Roman"/>
          <w:noProof/>
          <w:sz w:val="24"/>
        </w:rPr>
        <w:t>[16]</w:t>
      </w:r>
      <w:r w:rsidRPr="00663E0E">
        <w:rPr>
          <w:rFonts w:ascii="Tw Cen MT" w:hAnsi="Tw Cen MT" w:cs="Times New Roman"/>
          <w:noProof/>
          <w:sz w:val="24"/>
        </w:rPr>
        <w:tab/>
        <w:t xml:space="preserve">B. P and S. Somashekar, “A Study on Health Awareness During Pregnancy with Special Reference to Chamarajanagara District,” </w:t>
      </w:r>
      <w:r w:rsidRPr="00663E0E">
        <w:rPr>
          <w:rFonts w:ascii="Tw Cen MT" w:hAnsi="Tw Cen MT" w:cs="Times New Roman"/>
          <w:i/>
          <w:iCs/>
          <w:noProof/>
          <w:sz w:val="24"/>
        </w:rPr>
        <w:t>Int. J. Soc. Heal.</w:t>
      </w:r>
      <w:r w:rsidRPr="00663E0E">
        <w:rPr>
          <w:rFonts w:ascii="Tw Cen MT" w:hAnsi="Tw Cen MT" w:cs="Times New Roman"/>
          <w:noProof/>
          <w:sz w:val="24"/>
        </w:rPr>
        <w:t>, vol. 2, no. 6, pp. 391–396, 2023, doi: 10.58860/ijsh.v2i6.64.</w:t>
      </w:r>
    </w:p>
    <w:p w14:paraId="440099E1" w14:textId="77777777" w:rsidR="00663E0E" w:rsidRPr="00663E0E" w:rsidRDefault="00663E0E" w:rsidP="00091BF6">
      <w:pPr>
        <w:widowControl w:val="0"/>
        <w:autoSpaceDE w:val="0"/>
        <w:autoSpaceDN w:val="0"/>
        <w:adjustRightInd w:val="0"/>
        <w:spacing w:after="0" w:line="240" w:lineRule="auto"/>
        <w:ind w:left="640" w:hanging="640"/>
        <w:jc w:val="both"/>
        <w:rPr>
          <w:rFonts w:ascii="Tw Cen MT" w:hAnsi="Tw Cen MT" w:cs="Times New Roman"/>
          <w:noProof/>
          <w:sz w:val="24"/>
        </w:rPr>
      </w:pPr>
      <w:r w:rsidRPr="00663E0E">
        <w:rPr>
          <w:rFonts w:ascii="Tw Cen MT" w:hAnsi="Tw Cen MT" w:cs="Times New Roman"/>
          <w:noProof/>
          <w:sz w:val="24"/>
        </w:rPr>
        <w:t>[17]</w:t>
      </w:r>
      <w:r w:rsidRPr="00663E0E">
        <w:rPr>
          <w:rFonts w:ascii="Tw Cen MT" w:hAnsi="Tw Cen MT" w:cs="Times New Roman"/>
          <w:noProof/>
          <w:sz w:val="24"/>
        </w:rPr>
        <w:tab/>
        <w:t xml:space="preserve">Fitriani, Sukri, S. Efendi, and N. Sriyanah, “Early Detection of Hypertension Symptoms in Pregnancy,” </w:t>
      </w:r>
      <w:r w:rsidRPr="00663E0E">
        <w:rPr>
          <w:rFonts w:ascii="Tw Cen MT" w:hAnsi="Tw Cen MT" w:cs="Times New Roman"/>
          <w:i/>
          <w:iCs/>
          <w:noProof/>
          <w:sz w:val="24"/>
        </w:rPr>
        <w:t>Int. J. Community Serv.</w:t>
      </w:r>
      <w:r w:rsidRPr="00663E0E">
        <w:rPr>
          <w:rFonts w:ascii="Tw Cen MT" w:hAnsi="Tw Cen MT" w:cs="Times New Roman"/>
          <w:noProof/>
          <w:sz w:val="24"/>
        </w:rPr>
        <w:t>, vol. 1, no. 2, pp. 142–147, 2022, doi: 10.55299/ijcs.v1i2.174.</w:t>
      </w:r>
    </w:p>
    <w:p w14:paraId="661C151E" w14:textId="77777777" w:rsidR="00663E0E" w:rsidRPr="00663E0E" w:rsidRDefault="00663E0E" w:rsidP="00091BF6">
      <w:pPr>
        <w:widowControl w:val="0"/>
        <w:autoSpaceDE w:val="0"/>
        <w:autoSpaceDN w:val="0"/>
        <w:adjustRightInd w:val="0"/>
        <w:spacing w:after="0" w:line="240" w:lineRule="auto"/>
        <w:ind w:left="640" w:hanging="640"/>
        <w:jc w:val="both"/>
        <w:rPr>
          <w:rFonts w:ascii="Tw Cen MT" w:hAnsi="Tw Cen MT" w:cs="Times New Roman"/>
          <w:noProof/>
          <w:sz w:val="24"/>
        </w:rPr>
      </w:pPr>
      <w:r w:rsidRPr="00663E0E">
        <w:rPr>
          <w:rFonts w:ascii="Tw Cen MT" w:hAnsi="Tw Cen MT" w:cs="Times New Roman"/>
          <w:noProof/>
          <w:sz w:val="24"/>
        </w:rPr>
        <w:t>[18]</w:t>
      </w:r>
      <w:r w:rsidRPr="00663E0E">
        <w:rPr>
          <w:rFonts w:ascii="Tw Cen MT" w:hAnsi="Tw Cen MT" w:cs="Times New Roman"/>
          <w:noProof/>
          <w:sz w:val="24"/>
        </w:rPr>
        <w:tab/>
        <w:t>D. Feyisa, “Toward Universal Health Coverage</w:t>
      </w:r>
      <w:r w:rsidRPr="00663E0E">
        <w:rPr>
          <w:rFonts w:ascii="Arial" w:hAnsi="Arial" w:cs="Arial"/>
          <w:noProof/>
          <w:sz w:val="24"/>
        </w:rPr>
        <w:t> </w:t>
      </w:r>
      <w:r w:rsidRPr="00663E0E">
        <w:rPr>
          <w:rFonts w:ascii="Tw Cen MT" w:hAnsi="Tw Cen MT" w:cs="Times New Roman"/>
          <w:noProof/>
          <w:sz w:val="24"/>
        </w:rPr>
        <w:t xml:space="preserve">: The Role of Health Insurance,” in </w:t>
      </w:r>
      <w:r w:rsidRPr="00663E0E">
        <w:rPr>
          <w:rFonts w:ascii="Tw Cen MT" w:hAnsi="Tw Cen MT" w:cs="Times New Roman"/>
          <w:i/>
          <w:iCs/>
          <w:noProof/>
          <w:sz w:val="24"/>
        </w:rPr>
        <w:t>Health Insurance</w:t>
      </w:r>
      <w:r w:rsidRPr="00663E0E">
        <w:rPr>
          <w:rFonts w:ascii="Tw Cen MT" w:hAnsi="Tw Cen MT" w:cs="Times New Roman"/>
          <w:noProof/>
          <w:sz w:val="24"/>
        </w:rPr>
        <w:t>, London: IntechOpen, 2022, pp. 1–14.</w:t>
      </w:r>
    </w:p>
    <w:p w14:paraId="5E630B92" w14:textId="77777777" w:rsidR="00663E0E" w:rsidRPr="00663E0E" w:rsidRDefault="00663E0E" w:rsidP="00091BF6">
      <w:pPr>
        <w:widowControl w:val="0"/>
        <w:autoSpaceDE w:val="0"/>
        <w:autoSpaceDN w:val="0"/>
        <w:adjustRightInd w:val="0"/>
        <w:spacing w:after="0" w:line="240" w:lineRule="auto"/>
        <w:ind w:left="640" w:hanging="640"/>
        <w:jc w:val="both"/>
        <w:rPr>
          <w:rFonts w:ascii="Tw Cen MT" w:hAnsi="Tw Cen MT" w:cs="Times New Roman"/>
          <w:noProof/>
          <w:sz w:val="24"/>
        </w:rPr>
      </w:pPr>
      <w:r w:rsidRPr="00663E0E">
        <w:rPr>
          <w:rFonts w:ascii="Tw Cen MT" w:hAnsi="Tw Cen MT" w:cs="Times New Roman"/>
          <w:noProof/>
          <w:sz w:val="24"/>
        </w:rPr>
        <w:t>[19]</w:t>
      </w:r>
      <w:r w:rsidRPr="00663E0E">
        <w:rPr>
          <w:rFonts w:ascii="Tw Cen MT" w:hAnsi="Tw Cen MT" w:cs="Times New Roman"/>
          <w:noProof/>
          <w:sz w:val="24"/>
        </w:rPr>
        <w:tab/>
        <w:t xml:space="preserve">H. A. Hamzah </w:t>
      </w:r>
      <w:r w:rsidRPr="00663E0E">
        <w:rPr>
          <w:rFonts w:ascii="Tw Cen MT" w:hAnsi="Tw Cen MT" w:cs="Times New Roman"/>
          <w:i/>
          <w:iCs/>
          <w:noProof/>
          <w:sz w:val="24"/>
        </w:rPr>
        <w:t>et al.</w:t>
      </w:r>
      <w:r w:rsidRPr="00663E0E">
        <w:rPr>
          <w:rFonts w:ascii="Tw Cen MT" w:hAnsi="Tw Cen MT" w:cs="Times New Roman"/>
          <w:noProof/>
          <w:sz w:val="24"/>
        </w:rPr>
        <w:t xml:space="preserve">, “The Impact of Health Insurance on Maternal Health Care in Indonesia: A Systematic Review,” </w:t>
      </w:r>
      <w:r w:rsidRPr="00663E0E">
        <w:rPr>
          <w:rFonts w:ascii="Tw Cen MT" w:hAnsi="Tw Cen MT" w:cs="Times New Roman"/>
          <w:i/>
          <w:iCs/>
          <w:noProof/>
          <w:sz w:val="24"/>
        </w:rPr>
        <w:t>Research Square</w:t>
      </w:r>
      <w:r w:rsidRPr="00663E0E">
        <w:rPr>
          <w:rFonts w:ascii="Tw Cen MT" w:hAnsi="Tw Cen MT" w:cs="Times New Roman"/>
          <w:noProof/>
          <w:sz w:val="24"/>
        </w:rPr>
        <w:t>, 2023. https://doi.org/10.21203/rs.3.rs-2855451/v1.</w:t>
      </w:r>
    </w:p>
    <w:p w14:paraId="18BFBA8E" w14:textId="77777777" w:rsidR="00663E0E" w:rsidRPr="00663E0E" w:rsidRDefault="00663E0E" w:rsidP="00091BF6">
      <w:pPr>
        <w:widowControl w:val="0"/>
        <w:autoSpaceDE w:val="0"/>
        <w:autoSpaceDN w:val="0"/>
        <w:adjustRightInd w:val="0"/>
        <w:spacing w:after="0" w:line="240" w:lineRule="auto"/>
        <w:ind w:left="640" w:hanging="640"/>
        <w:jc w:val="both"/>
        <w:rPr>
          <w:rFonts w:ascii="Tw Cen MT" w:hAnsi="Tw Cen MT" w:cs="Times New Roman"/>
          <w:noProof/>
          <w:sz w:val="24"/>
        </w:rPr>
      </w:pPr>
      <w:r w:rsidRPr="00663E0E">
        <w:rPr>
          <w:rFonts w:ascii="Tw Cen MT" w:hAnsi="Tw Cen MT" w:cs="Times New Roman"/>
          <w:noProof/>
          <w:sz w:val="24"/>
        </w:rPr>
        <w:t>[20]</w:t>
      </w:r>
      <w:r w:rsidRPr="00663E0E">
        <w:rPr>
          <w:rFonts w:ascii="Tw Cen MT" w:hAnsi="Tw Cen MT" w:cs="Times New Roman"/>
          <w:noProof/>
          <w:sz w:val="24"/>
        </w:rPr>
        <w:tab/>
        <w:t xml:space="preserve">N. F. Imamah, N. Ekadinata, G. Prayogo, and B. A. Pramesona, “Employment, Income, Health Insurance, Accessibility to Healthcare Facility, Age, and Prenatal Anxiety in Indonesia,” </w:t>
      </w:r>
      <w:r w:rsidRPr="00663E0E">
        <w:rPr>
          <w:rFonts w:ascii="Tw Cen MT" w:hAnsi="Tw Cen MT" w:cs="Times New Roman"/>
          <w:i/>
          <w:iCs/>
          <w:noProof/>
          <w:sz w:val="24"/>
        </w:rPr>
        <w:t>J. Aisyah  J. Ilmu Kesehat.</w:t>
      </w:r>
      <w:r w:rsidRPr="00663E0E">
        <w:rPr>
          <w:rFonts w:ascii="Tw Cen MT" w:hAnsi="Tw Cen MT" w:cs="Times New Roman"/>
          <w:noProof/>
          <w:sz w:val="24"/>
        </w:rPr>
        <w:t>, vol. 8, no. 2, pp. 879–886, 2023, doi: 10.30604/jika.v8i2.2046.</w:t>
      </w:r>
    </w:p>
    <w:p w14:paraId="0E649D40" w14:textId="77777777" w:rsidR="00663E0E" w:rsidRPr="00663E0E" w:rsidRDefault="00663E0E" w:rsidP="00091BF6">
      <w:pPr>
        <w:widowControl w:val="0"/>
        <w:autoSpaceDE w:val="0"/>
        <w:autoSpaceDN w:val="0"/>
        <w:adjustRightInd w:val="0"/>
        <w:spacing w:after="0" w:line="240" w:lineRule="auto"/>
        <w:ind w:left="640" w:hanging="640"/>
        <w:jc w:val="both"/>
        <w:rPr>
          <w:rFonts w:ascii="Tw Cen MT" w:hAnsi="Tw Cen MT"/>
          <w:noProof/>
          <w:sz w:val="24"/>
        </w:rPr>
      </w:pPr>
      <w:r w:rsidRPr="00663E0E">
        <w:rPr>
          <w:rFonts w:ascii="Tw Cen MT" w:hAnsi="Tw Cen MT" w:cs="Times New Roman"/>
          <w:noProof/>
          <w:sz w:val="24"/>
        </w:rPr>
        <w:t>[21]</w:t>
      </w:r>
      <w:r w:rsidRPr="00663E0E">
        <w:rPr>
          <w:rFonts w:ascii="Tw Cen MT" w:hAnsi="Tw Cen MT" w:cs="Times New Roman"/>
          <w:noProof/>
          <w:sz w:val="24"/>
        </w:rPr>
        <w:tab/>
        <w:t xml:space="preserve">X. Tao, Y. Zeng, S. Wang, J. Zheng, B. Ye, and Y. Zheng, “Research on the impact of medical and old-age security on the utilization of medical services for the disabled elderly,” </w:t>
      </w:r>
      <w:r w:rsidRPr="00663E0E">
        <w:rPr>
          <w:rFonts w:ascii="Tw Cen MT" w:hAnsi="Tw Cen MT" w:cs="Times New Roman"/>
          <w:i/>
          <w:iCs/>
          <w:noProof/>
          <w:sz w:val="24"/>
        </w:rPr>
        <w:t>Research Square</w:t>
      </w:r>
      <w:r w:rsidRPr="00663E0E">
        <w:rPr>
          <w:rFonts w:ascii="Tw Cen MT" w:hAnsi="Tw Cen MT" w:cs="Times New Roman"/>
          <w:noProof/>
          <w:sz w:val="24"/>
        </w:rPr>
        <w:t>, 2023. .</w:t>
      </w:r>
    </w:p>
    <w:p w14:paraId="2DC7BB5D" w14:textId="6D5BE3B3" w:rsidR="00500701" w:rsidRPr="002E23D7" w:rsidRDefault="00500701" w:rsidP="00091BF6">
      <w:pPr>
        <w:spacing w:after="0" w:line="240" w:lineRule="auto"/>
        <w:ind w:left="426" w:hanging="426"/>
        <w:jc w:val="both"/>
        <w:rPr>
          <w:rFonts w:ascii="Tw Cen MT" w:eastAsia="Twentieth Century" w:hAnsi="Tw Cen MT" w:cs="Twentieth Century"/>
          <w:color w:val="0D0D0D"/>
          <w:sz w:val="24"/>
          <w:szCs w:val="24"/>
        </w:rPr>
        <w:sectPr w:rsidR="00500701" w:rsidRPr="002E23D7" w:rsidSect="006A0128">
          <w:type w:val="continuous"/>
          <w:pgSz w:w="12240" w:h="15840"/>
          <w:pgMar w:top="1440" w:right="1440" w:bottom="1440" w:left="1440" w:header="720" w:footer="720" w:gutter="0"/>
          <w:cols w:num="2" w:space="369" w:equalWidth="0">
            <w:col w:w="4320" w:space="369"/>
            <w:col w:w="4671" w:space="0"/>
          </w:cols>
        </w:sectPr>
      </w:pPr>
      <w:r>
        <w:rPr>
          <w:rFonts w:ascii="Tw Cen MT" w:eastAsia="Twentieth Century" w:hAnsi="Tw Cen MT" w:cs="Twentieth Century"/>
          <w:color w:val="0D0D0D"/>
          <w:sz w:val="24"/>
          <w:szCs w:val="24"/>
        </w:rPr>
        <w:fldChar w:fldCharType="end"/>
      </w:r>
    </w:p>
    <w:p w14:paraId="1145E53C" w14:textId="3B7122A9" w:rsidR="007F4948" w:rsidRPr="004721E3" w:rsidRDefault="007F4948" w:rsidP="00091BF6">
      <w:pPr>
        <w:spacing w:after="0" w:line="240" w:lineRule="auto"/>
        <w:ind w:right="-1"/>
        <w:jc w:val="both"/>
        <w:rPr>
          <w:rFonts w:ascii="Tw Cen MT" w:eastAsia="Twentieth Century" w:hAnsi="Tw Cen MT" w:cs="Twentieth Century"/>
          <w:sz w:val="24"/>
          <w:szCs w:val="24"/>
        </w:rPr>
      </w:pP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0CD4A" w14:textId="77777777" w:rsidR="00062C1E" w:rsidRDefault="00062C1E">
      <w:pPr>
        <w:spacing w:after="0" w:line="240" w:lineRule="auto"/>
      </w:pPr>
      <w:r>
        <w:separator/>
      </w:r>
    </w:p>
  </w:endnote>
  <w:endnote w:type="continuationSeparator" w:id="0">
    <w:p w14:paraId="7AC1221D" w14:textId="77777777" w:rsidR="00062C1E" w:rsidRDefault="00062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w Cen MT">
    <w:altName w:val="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oto Sans">
    <w:altName w:val="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941062"/>
      <w:docPartObj>
        <w:docPartGallery w:val="Page Numbers (Bottom of Page)"/>
        <w:docPartUnique/>
      </w:docPartObj>
    </w:sdtPr>
    <w:sdtEndPr>
      <w:rPr>
        <w:noProof/>
      </w:rPr>
    </w:sdtEndPr>
    <w:sdtContent>
      <w:p w14:paraId="27529A77" w14:textId="12913239" w:rsidR="00A36329" w:rsidRPr="00FC0FFB" w:rsidRDefault="00A36329" w:rsidP="00091BF6">
        <w:pPr>
          <w:pStyle w:val="Footer"/>
          <w:tabs>
            <w:tab w:val="clear" w:pos="9360"/>
            <w:tab w:val="right" w:pos="9356"/>
          </w:tabs>
          <w:rPr>
            <w:rFonts w:ascii="Tw Cen MT" w:hAnsi="Tw Cen MT"/>
            <w:color w:val="000000" w:themeColor="text1"/>
            <w:sz w:val="20"/>
            <w:szCs w:val="24"/>
          </w:rPr>
        </w:pPr>
        <w:r w:rsidRPr="00091BF6">
          <w:rPr>
            <w:rFonts w:ascii="Tw Cen MT" w:hAnsi="Tw Cen MT"/>
            <w:noProof/>
            <w:color w:val="000000" w:themeColor="text1"/>
            <w:sz w:val="20"/>
            <w:szCs w:val="20"/>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r w:rsidR="00500701" w:rsidRPr="00091BF6">
          <w:rPr>
            <w:rFonts w:ascii="Tw Cen MT" w:hAnsi="Tw Cen MT"/>
            <w:sz w:val="20"/>
            <w:szCs w:val="20"/>
          </w:rPr>
          <w:t xml:space="preserve">Lia Dwi Prafitri and </w:t>
        </w:r>
        <w:sdt>
          <w:sdtPr>
            <w:rPr>
              <w:rFonts w:ascii="Tw Cen MT" w:hAnsi="Tw Cen MT"/>
              <w:color w:val="000000" w:themeColor="text1"/>
              <w:sz w:val="20"/>
              <w:szCs w:val="20"/>
            </w:rPr>
            <w:alias w:val="Author"/>
            <w:id w:val="-730455477"/>
            <w:dataBinding w:prefixMappings="xmlns:ns0='http://schemas.openxmlformats.org/package/2006/metadata/core-properties' xmlns:ns1='http://purl.org/dc/elements/1.1/'" w:xpath="/ns0:coreProperties[1]/ns1:creator[1]" w:storeItemID="{6C3C8BC8-F283-45AE-878A-BAB7291924A1}"/>
            <w:text/>
          </w:sdtPr>
          <w:sdtContent>
            <w:r w:rsidR="00091BF6" w:rsidRPr="00091BF6">
              <w:rPr>
                <w:rFonts w:ascii="Tw Cen MT" w:hAnsi="Tw Cen MT"/>
                <w:color w:val="000000" w:themeColor="text1"/>
                <w:sz w:val="20"/>
                <w:szCs w:val="20"/>
                <w:lang w:val="en-ID"/>
              </w:rPr>
              <w:t>L02Prafitri@gmail.com</w:t>
            </w:r>
          </w:sdtContent>
        </w:sdt>
        <w:r w:rsidR="00091BF6">
          <w:rPr>
            <w:rFonts w:ascii="Tw Cen MT" w:hAnsi="Tw Cen MT"/>
            <w:color w:val="000000" w:themeColor="text1"/>
            <w:sz w:val="20"/>
            <w:szCs w:val="20"/>
          </w:rPr>
          <w:tab/>
        </w:r>
        <w:r w:rsidR="00091BF6">
          <w:rPr>
            <w:rFonts w:ascii="Tw Cen MT" w:hAnsi="Tw Cen MT"/>
            <w:color w:val="000000" w:themeColor="text1"/>
            <w:sz w:val="20"/>
            <w:szCs w:val="20"/>
          </w:rPr>
          <w:tab/>
        </w:r>
        <w:r w:rsidR="00091BF6" w:rsidRPr="00091BF6">
          <w:rPr>
            <w:rFonts w:ascii="Tw Cen MT" w:hAnsi="Tw Cen MT"/>
            <w:color w:val="000000" w:themeColor="text1"/>
            <w:sz w:val="20"/>
            <w:szCs w:val="20"/>
          </w:rPr>
          <w:fldChar w:fldCharType="begin"/>
        </w:r>
        <w:r w:rsidR="00091BF6" w:rsidRPr="00091BF6">
          <w:rPr>
            <w:rFonts w:ascii="Tw Cen MT" w:hAnsi="Tw Cen MT"/>
            <w:color w:val="000000" w:themeColor="text1"/>
            <w:sz w:val="20"/>
            <w:szCs w:val="20"/>
          </w:rPr>
          <w:instrText xml:space="preserve"> PAGE   \* MERGEFORMAT </w:instrText>
        </w:r>
        <w:r w:rsidR="00091BF6" w:rsidRPr="00091BF6">
          <w:rPr>
            <w:rFonts w:ascii="Tw Cen MT" w:hAnsi="Tw Cen MT"/>
            <w:color w:val="000000" w:themeColor="text1"/>
            <w:sz w:val="20"/>
            <w:szCs w:val="20"/>
          </w:rPr>
          <w:fldChar w:fldCharType="separate"/>
        </w:r>
        <w:r w:rsidR="00091BF6" w:rsidRPr="00091BF6">
          <w:rPr>
            <w:rFonts w:ascii="Tw Cen MT" w:hAnsi="Tw Cen MT"/>
            <w:noProof/>
            <w:color w:val="000000" w:themeColor="text1"/>
            <w:sz w:val="20"/>
            <w:szCs w:val="20"/>
          </w:rPr>
          <w:t>1</w:t>
        </w:r>
        <w:r w:rsidR="00091BF6" w:rsidRPr="00091BF6">
          <w:rPr>
            <w:rFonts w:ascii="Tw Cen MT" w:hAnsi="Tw Cen MT"/>
            <w:noProof/>
            <w:color w:val="000000" w:themeColor="text1"/>
            <w:sz w:val="20"/>
            <w:szCs w:val="20"/>
          </w:rPr>
          <w:fldChar w:fldCharType="end"/>
        </w:r>
      </w:p>
      <w:p w14:paraId="07382446" w14:textId="6E1E33CA" w:rsidR="00A36329" w:rsidRDefault="00000000" w:rsidP="006D261F">
        <w:pPr>
          <w:pStyle w:val="Footer"/>
          <w:jc w:val="right"/>
        </w:pP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A60A6" w14:textId="77777777" w:rsidR="00062C1E" w:rsidRDefault="00062C1E">
      <w:pPr>
        <w:spacing w:after="0" w:line="240" w:lineRule="auto"/>
      </w:pPr>
      <w:r>
        <w:separator/>
      </w:r>
    </w:p>
  </w:footnote>
  <w:footnote w:type="continuationSeparator" w:id="0">
    <w:p w14:paraId="788A0AB7" w14:textId="77777777" w:rsidR="00062C1E" w:rsidRDefault="00062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348F" w14:textId="50985D5D" w:rsidR="006A0128" w:rsidRDefault="00000000" w:rsidP="006A0128">
    <w:pPr>
      <w:pStyle w:val="Header"/>
      <w:tabs>
        <w:tab w:val="clear" w:pos="4680"/>
        <w:tab w:val="clear" w:pos="9360"/>
      </w:tabs>
      <w:spacing w:after="120" w:line="276" w:lineRule="auto"/>
      <w:rPr>
        <w:rFonts w:ascii="Tw Cen MT" w:hAnsi="Tw Cen MT" w:cstheme="minorBidi"/>
        <w:sz w:val="20"/>
        <w:szCs w:val="20"/>
      </w:rPr>
    </w:pPr>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r w:rsidR="00A36329" w:rsidRPr="007A770B">
          <w:rPr>
            <w:rFonts w:ascii="Tw Cen MT" w:hAnsi="Tw Cen MT" w:cstheme="minorBidi"/>
            <w:sz w:val="20"/>
            <w:szCs w:val="20"/>
          </w:rPr>
          <w:t>Jurnal Proteksi Kesehatan                                                                                                                                   Vo</w:t>
        </w:r>
        <w:r w:rsidR="00A36329">
          <w:rPr>
            <w:rFonts w:ascii="Tw Cen MT" w:hAnsi="Tw Cen MT" w:cstheme="minorBidi"/>
            <w:sz w:val="20"/>
            <w:szCs w:val="20"/>
          </w:rPr>
          <w:t>l.1</w:t>
        </w:r>
        <w:r w:rsidR="006A0128">
          <w:rPr>
            <w:rFonts w:ascii="Tw Cen MT" w:hAnsi="Tw Cen MT" w:cstheme="minorBidi"/>
            <w:sz w:val="20"/>
            <w:szCs w:val="20"/>
          </w:rPr>
          <w:t>4</w:t>
        </w:r>
        <w:r w:rsidR="00A36329">
          <w:rPr>
            <w:rFonts w:ascii="Tw Cen MT" w:hAnsi="Tw Cen MT" w:cstheme="minorBidi"/>
            <w:sz w:val="20"/>
            <w:szCs w:val="20"/>
          </w:rPr>
          <w:t>, N</w:t>
        </w:r>
        <w:r w:rsidR="00372502">
          <w:rPr>
            <w:rFonts w:ascii="Tw Cen MT" w:hAnsi="Tw Cen MT" w:cstheme="minorBidi"/>
            <w:sz w:val="20"/>
            <w:szCs w:val="20"/>
          </w:rPr>
          <w:t>o.</w:t>
        </w:r>
        <w:r w:rsidR="006A0128">
          <w:rPr>
            <w:rFonts w:ascii="Tw Cen MT" w:hAnsi="Tw Cen MT" w:cstheme="minorBidi"/>
            <w:sz w:val="20"/>
            <w:szCs w:val="20"/>
          </w:rPr>
          <w:t>2</w:t>
        </w:r>
        <w:r w:rsidR="00372502">
          <w:rPr>
            <w:rFonts w:ascii="Tw Cen MT" w:hAnsi="Tw Cen MT" w:cstheme="minorBidi"/>
            <w:sz w:val="20"/>
            <w:szCs w:val="20"/>
          </w:rPr>
          <w:t xml:space="preserve">, </w:t>
        </w:r>
        <w:r w:rsidR="006A0128">
          <w:rPr>
            <w:rFonts w:ascii="Tw Cen MT" w:hAnsi="Tw Cen MT" w:cstheme="minorBidi"/>
            <w:sz w:val="20"/>
            <w:szCs w:val="20"/>
          </w:rPr>
          <w:t>November 2025</w:t>
        </w:r>
        <w:r w:rsidR="00372502">
          <w:rPr>
            <w:rFonts w:ascii="Tw Cen MT" w:hAnsi="Tw Cen MT" w:cstheme="minorBidi"/>
            <w:sz w:val="20"/>
            <w:szCs w:val="20"/>
          </w:rPr>
          <w:t xml:space="preserve">, pp. </w:t>
        </w:r>
        <w:r w:rsidR="006A0128">
          <w:rPr>
            <w:rFonts w:ascii="Tw Cen MT" w:hAnsi="Tw Cen MT" w:cstheme="minorBidi"/>
            <w:sz w:val="20"/>
            <w:szCs w:val="20"/>
          </w:rPr>
          <w:t>64</w:t>
        </w:r>
        <w:r w:rsidR="00D0123F">
          <w:rPr>
            <w:rFonts w:ascii="Tw Cen MT" w:hAnsi="Tw Cen MT" w:cstheme="minorBidi"/>
            <w:sz w:val="20"/>
            <w:szCs w:val="20"/>
          </w:rPr>
          <w:t>-</w:t>
        </w:r>
        <w:r w:rsidR="006A0128">
          <w:rPr>
            <w:rFonts w:ascii="Tw Cen MT" w:hAnsi="Tw Cen MT" w:cstheme="minorBidi"/>
            <w:sz w:val="20"/>
            <w:szCs w:val="20"/>
          </w:rPr>
          <w:t>7</w:t>
        </w:r>
        <w:r w:rsidR="00091BF6">
          <w:rPr>
            <w:rFonts w:ascii="Tw Cen MT" w:hAnsi="Tw Cen MT" w:cstheme="minorBidi"/>
            <w:sz w:val="20"/>
            <w:szCs w:val="20"/>
          </w:rPr>
          <w:t>3</w:t>
        </w:r>
        <w:r w:rsidR="00A36329" w:rsidRPr="007A770B">
          <w:rPr>
            <w:rFonts w:ascii="Tw Cen MT" w:hAnsi="Tw Cen MT" w:cstheme="minorBidi"/>
            <w:sz w:val="20"/>
            <w:szCs w:val="20"/>
          </w:rPr>
          <w:tab/>
        </w:r>
        <w:r w:rsidR="00A36329" w:rsidRPr="007A770B">
          <w:rPr>
            <w:rFonts w:ascii="Tw Cen MT" w:hAnsi="Tw Cen MT" w:cstheme="minorBidi"/>
            <w:sz w:val="20"/>
            <w:szCs w:val="20"/>
          </w:rPr>
          <w:tab/>
          <w:t xml:space="preserve">                                                                                                        ISSN 2715-1115 (Online), ISSN 2302 – 8610 (Print)</w:t>
        </w:r>
      </w:sdtContent>
    </w:sdt>
  </w:p>
  <w:p w14:paraId="32D1A82D" w14:textId="0D729572" w:rsidR="006A0128" w:rsidRPr="006A0128" w:rsidRDefault="006A0128" w:rsidP="006A0128">
    <w:pPr>
      <w:pStyle w:val="Header"/>
      <w:tabs>
        <w:tab w:val="clear" w:pos="4680"/>
        <w:tab w:val="clear" w:pos="9360"/>
      </w:tabs>
      <w:spacing w:after="120" w:line="276" w:lineRule="auto"/>
      <w:rPr>
        <w:rFonts w:ascii="Tw Cen MT" w:hAnsi="Tw Cen MT" w:cstheme="minorBidi"/>
        <w:sz w:val="20"/>
        <w:szCs w:val="20"/>
      </w:rPr>
    </w:pPr>
    <w:r>
      <w:rPr>
        <w:noProof/>
      </w:rPr>
      <mc:AlternateContent>
        <mc:Choice Requires="wps">
          <w:drawing>
            <wp:anchor distT="0" distB="0" distL="114300" distR="114300" simplePos="0" relativeHeight="251657216" behindDoc="0" locked="0" layoutInCell="1" hidden="0" allowOverlap="1" wp14:anchorId="2C701770" wp14:editId="763066FF">
              <wp:simplePos x="0" y="0"/>
              <wp:positionH relativeFrom="column">
                <wp:posOffset>6985</wp:posOffset>
              </wp:positionH>
              <wp:positionV relativeFrom="paragraph">
                <wp:posOffset>6350</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558574BD" id="_x0000_t32" coordsize="21600,21600" o:spt="32" o:oned="t" path="m,l21600,21600e" filled="f">
              <v:path arrowok="t" fillok="f" o:connecttype="none"/>
              <o:lock v:ext="edit" shapetype="t"/>
            </v:shapetype>
            <v:shape id="Straight Arrow Connector 65" o:spid="_x0000_s1026" type="#_x0000_t32" style="position:absolute;margin-left:.55pt;margin-top:.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" strokecolor="black [3200]" strokeweight="1.5pt">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0923BFE"/>
    <w:multiLevelType w:val="hybridMultilevel"/>
    <w:tmpl w:val="6FBE40CA"/>
    <w:lvl w:ilvl="0" w:tplc="9E8E2136">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FA751A"/>
    <w:multiLevelType w:val="hybridMultilevel"/>
    <w:tmpl w:val="F00EFF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296304038">
    <w:abstractNumId w:val="3"/>
  </w:num>
  <w:num w:numId="2" w16cid:durableId="949356608">
    <w:abstractNumId w:val="5"/>
  </w:num>
  <w:num w:numId="3" w16cid:durableId="1651202949">
    <w:abstractNumId w:val="1"/>
  </w:num>
  <w:num w:numId="4" w16cid:durableId="449783476">
    <w:abstractNumId w:val="0"/>
  </w:num>
  <w:num w:numId="5" w16cid:durableId="1927498309">
    <w:abstractNumId w:val="4"/>
  </w:num>
  <w:num w:numId="6" w16cid:durableId="141773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17532"/>
    <w:rsid w:val="00035A37"/>
    <w:rsid w:val="00046906"/>
    <w:rsid w:val="0005516F"/>
    <w:rsid w:val="00060928"/>
    <w:rsid w:val="00062BAC"/>
    <w:rsid w:val="00062C1E"/>
    <w:rsid w:val="00082EFF"/>
    <w:rsid w:val="00091BF6"/>
    <w:rsid w:val="00096D8F"/>
    <w:rsid w:val="000A46F4"/>
    <w:rsid w:val="000B1F81"/>
    <w:rsid w:val="000B75DE"/>
    <w:rsid w:val="000C4719"/>
    <w:rsid w:val="000D0DFF"/>
    <w:rsid w:val="000D1F27"/>
    <w:rsid w:val="000E02F6"/>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F1073"/>
    <w:rsid w:val="002113FB"/>
    <w:rsid w:val="00222E32"/>
    <w:rsid w:val="00223B20"/>
    <w:rsid w:val="00261BB2"/>
    <w:rsid w:val="00263CD2"/>
    <w:rsid w:val="0027621D"/>
    <w:rsid w:val="00283220"/>
    <w:rsid w:val="00292E42"/>
    <w:rsid w:val="00293DB9"/>
    <w:rsid w:val="002B20BA"/>
    <w:rsid w:val="002B44F1"/>
    <w:rsid w:val="002B7ED3"/>
    <w:rsid w:val="002C693D"/>
    <w:rsid w:val="002C73F4"/>
    <w:rsid w:val="002D30A7"/>
    <w:rsid w:val="002E7BE2"/>
    <w:rsid w:val="00301611"/>
    <w:rsid w:val="003069B5"/>
    <w:rsid w:val="00306DA7"/>
    <w:rsid w:val="00307CDB"/>
    <w:rsid w:val="00314849"/>
    <w:rsid w:val="00360085"/>
    <w:rsid w:val="00361BBD"/>
    <w:rsid w:val="00372502"/>
    <w:rsid w:val="00380121"/>
    <w:rsid w:val="003C6F58"/>
    <w:rsid w:val="003E590E"/>
    <w:rsid w:val="003F6489"/>
    <w:rsid w:val="003F6B0D"/>
    <w:rsid w:val="00413D75"/>
    <w:rsid w:val="00420F93"/>
    <w:rsid w:val="00431AAB"/>
    <w:rsid w:val="00463B9A"/>
    <w:rsid w:val="0046541C"/>
    <w:rsid w:val="004721E3"/>
    <w:rsid w:val="004A3EFA"/>
    <w:rsid w:val="004B34C5"/>
    <w:rsid w:val="004B41B7"/>
    <w:rsid w:val="004C01E6"/>
    <w:rsid w:val="004E128A"/>
    <w:rsid w:val="004F0C66"/>
    <w:rsid w:val="00500701"/>
    <w:rsid w:val="005424FD"/>
    <w:rsid w:val="005458B9"/>
    <w:rsid w:val="005471FC"/>
    <w:rsid w:val="00550644"/>
    <w:rsid w:val="005642A1"/>
    <w:rsid w:val="00565328"/>
    <w:rsid w:val="00596094"/>
    <w:rsid w:val="005C1635"/>
    <w:rsid w:val="005C30BC"/>
    <w:rsid w:val="005C5210"/>
    <w:rsid w:val="005E0707"/>
    <w:rsid w:val="005E2DCC"/>
    <w:rsid w:val="005F01EE"/>
    <w:rsid w:val="00624B47"/>
    <w:rsid w:val="006334E1"/>
    <w:rsid w:val="006431BA"/>
    <w:rsid w:val="00655189"/>
    <w:rsid w:val="00663E0E"/>
    <w:rsid w:val="00665737"/>
    <w:rsid w:val="00670815"/>
    <w:rsid w:val="00695835"/>
    <w:rsid w:val="006A0128"/>
    <w:rsid w:val="006B1D84"/>
    <w:rsid w:val="006D261F"/>
    <w:rsid w:val="006D6395"/>
    <w:rsid w:val="007006B9"/>
    <w:rsid w:val="007106F6"/>
    <w:rsid w:val="007368A2"/>
    <w:rsid w:val="00762C0B"/>
    <w:rsid w:val="00765F40"/>
    <w:rsid w:val="007A1AEF"/>
    <w:rsid w:val="007A770B"/>
    <w:rsid w:val="007D6D9D"/>
    <w:rsid w:val="007E655E"/>
    <w:rsid w:val="007E6A66"/>
    <w:rsid w:val="007F4948"/>
    <w:rsid w:val="00812425"/>
    <w:rsid w:val="0081569B"/>
    <w:rsid w:val="00825567"/>
    <w:rsid w:val="0086728C"/>
    <w:rsid w:val="008A326F"/>
    <w:rsid w:val="008E261A"/>
    <w:rsid w:val="00911160"/>
    <w:rsid w:val="00942731"/>
    <w:rsid w:val="00943EB9"/>
    <w:rsid w:val="0096335E"/>
    <w:rsid w:val="009963C9"/>
    <w:rsid w:val="00997349"/>
    <w:rsid w:val="009A70E3"/>
    <w:rsid w:val="009D73CD"/>
    <w:rsid w:val="009F5E84"/>
    <w:rsid w:val="009F6554"/>
    <w:rsid w:val="00A343E3"/>
    <w:rsid w:val="00A36329"/>
    <w:rsid w:val="00A4478C"/>
    <w:rsid w:val="00A71279"/>
    <w:rsid w:val="00AA0403"/>
    <w:rsid w:val="00AB2BCC"/>
    <w:rsid w:val="00AE2862"/>
    <w:rsid w:val="00B057E2"/>
    <w:rsid w:val="00B241B6"/>
    <w:rsid w:val="00B25240"/>
    <w:rsid w:val="00B35791"/>
    <w:rsid w:val="00B41001"/>
    <w:rsid w:val="00B50648"/>
    <w:rsid w:val="00B63555"/>
    <w:rsid w:val="00B674AF"/>
    <w:rsid w:val="00B80D29"/>
    <w:rsid w:val="00BC34CC"/>
    <w:rsid w:val="00BE7B4C"/>
    <w:rsid w:val="00C133E7"/>
    <w:rsid w:val="00C20FA8"/>
    <w:rsid w:val="00C812B9"/>
    <w:rsid w:val="00C96B4B"/>
    <w:rsid w:val="00CB0A6C"/>
    <w:rsid w:val="00CB3237"/>
    <w:rsid w:val="00CD6253"/>
    <w:rsid w:val="00CF5715"/>
    <w:rsid w:val="00D0123F"/>
    <w:rsid w:val="00D06530"/>
    <w:rsid w:val="00D2571D"/>
    <w:rsid w:val="00D31D13"/>
    <w:rsid w:val="00D32B7E"/>
    <w:rsid w:val="00D37FC1"/>
    <w:rsid w:val="00D428B5"/>
    <w:rsid w:val="00D44301"/>
    <w:rsid w:val="00D466FC"/>
    <w:rsid w:val="00D56013"/>
    <w:rsid w:val="00D70D6D"/>
    <w:rsid w:val="00D9262D"/>
    <w:rsid w:val="00D9785A"/>
    <w:rsid w:val="00D97C8B"/>
    <w:rsid w:val="00DA4258"/>
    <w:rsid w:val="00DB156A"/>
    <w:rsid w:val="00DB7592"/>
    <w:rsid w:val="00DC2BB5"/>
    <w:rsid w:val="00DE3780"/>
    <w:rsid w:val="00DF0B65"/>
    <w:rsid w:val="00DF2B72"/>
    <w:rsid w:val="00DF564D"/>
    <w:rsid w:val="00DF6E07"/>
    <w:rsid w:val="00E00E3E"/>
    <w:rsid w:val="00E03962"/>
    <w:rsid w:val="00E067A8"/>
    <w:rsid w:val="00E37E90"/>
    <w:rsid w:val="00E61A59"/>
    <w:rsid w:val="00E81BE2"/>
    <w:rsid w:val="00E81E13"/>
    <w:rsid w:val="00EA57B9"/>
    <w:rsid w:val="00EB2A5F"/>
    <w:rsid w:val="00ED0E10"/>
    <w:rsid w:val="00ED6F9F"/>
    <w:rsid w:val="00F1133F"/>
    <w:rsid w:val="00F37AE0"/>
    <w:rsid w:val="00F4585D"/>
    <w:rsid w:val="00F5431A"/>
    <w:rsid w:val="00F6187B"/>
    <w:rsid w:val="00F64252"/>
    <w:rsid w:val="00F67BDE"/>
    <w:rsid w:val="00F817F4"/>
    <w:rsid w:val="00F841D1"/>
    <w:rsid w:val="00F9233C"/>
    <w:rsid w:val="00FC3A84"/>
    <w:rsid w:val="00FD5C0A"/>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aliases w:val="Body of text,Body of text+1,Body of text+2,Body of text+3,List Paragraph11"/>
    <w:basedOn w:val="Normal"/>
    <w:link w:val="ListParagraphChar"/>
    <w:uiPriority w:val="1"/>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character" w:customStyle="1" w:styleId="ListParagraphChar">
    <w:name w:val="List Paragraph Char"/>
    <w:aliases w:val="Body of text Char,Body of text+1 Char,Body of text+2 Char,Body of text+3 Char,List Paragraph11 Char"/>
    <w:link w:val="ListParagraph"/>
    <w:uiPriority w:val="1"/>
    <w:locked/>
    <w:rsid w:val="00D32B7E"/>
    <w:rPr>
      <w:rFonts w:eastAsia="Times New Roman" w:cs="Times New Roman"/>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w Cen MT">
    <w:altName w:val="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oto Sans">
    <w:altName w:val="Noto Sans"/>
    <w:panose1 w:val="020B0502040504020204"/>
    <w:charset w:val="00"/>
    <w:family w:val="swiss"/>
    <w:pitch w:val="variable"/>
    <w:sig w:usb0="E00082FF" w:usb1="400078FF" w:usb2="0000002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5516F"/>
    <w:rsid w:val="00062BAC"/>
    <w:rsid w:val="000E02F6"/>
    <w:rsid w:val="00122296"/>
    <w:rsid w:val="00287697"/>
    <w:rsid w:val="00342DE1"/>
    <w:rsid w:val="003D7BD9"/>
    <w:rsid w:val="004221D9"/>
    <w:rsid w:val="00474971"/>
    <w:rsid w:val="00637CD0"/>
    <w:rsid w:val="0098738B"/>
    <w:rsid w:val="00A85543"/>
    <w:rsid w:val="00B50648"/>
    <w:rsid w:val="00C03CE5"/>
    <w:rsid w:val="00D67E47"/>
    <w:rsid w:val="00DF2BBE"/>
    <w:rsid w:val="00DF5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13631</Words>
  <Characters>77701</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91150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Vol.14, No.2, November 2025, pp. 64-73		                                                                                                        ISSN 2715-1115 (Online), ISSN 2302 – 8610 (Print)</dc:title>
  <dc:creator>L02Prafitri@gmail.com</dc:creator>
  <cp:lastModifiedBy>Fathul Jannah</cp:lastModifiedBy>
  <cp:revision>4</cp:revision>
  <cp:lastPrinted>2023-05-02T07:00:00Z</cp:lastPrinted>
  <dcterms:created xsi:type="dcterms:W3CDTF">2025-12-29T12:13:00Z</dcterms:created>
  <dcterms:modified xsi:type="dcterms:W3CDTF">2025-12-29T12:45:00Z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http://www.zotero.org/styles/chicago-note-bibliography</vt:lpwstr>
  </property>
  <property fmtid="{D5CDD505-2E9C-101B-9397-08002B2CF9AE}" pid="15" name="Mendeley Recent Style Name 6_1">
    <vt:lpwstr>Chicago Manual of Style 17th edition (note)</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0395618f-fab6-32a3-851f-24889ca46d6e</vt:lpwstr>
  </property>
  <property fmtid="{D5CDD505-2E9C-101B-9397-08002B2CF9AE}" pid="24" name="Mendeley Citation Style_1">
    <vt:lpwstr>http://www.zotero.org/styles/ieee</vt:lpwstr>
  </property>
  <property fmtid="{D5CDD505-2E9C-101B-9397-08002B2CF9AE}" pid="25" name="GrammarlyDocumentId">
    <vt:lpwstr>b734ef0a9654a2089ad4872c9d120088267b0f2f5f01a3f41d568147c6fc6064</vt:lpwstr>
  </property>
</Properties>
</file>