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customXml/itemProps8.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customXml/itemProps7.xml" ContentType="application/vnd.openxmlformats-officedocument.customXml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w Cen MT" w:cs="Times New Roman" w:eastAsia="Times New Roman" w:hAnsi="Tw Cen MT"/>
          <w:b/>
          <w:sz w:val="32"/>
          <w:szCs w:val="24"/>
        </w:rPr>
      </w:pPr>
      <w:r>
        <w:rPr>
          <w:rFonts w:ascii="Tw Cen MT" w:cs="Times New Roman" w:eastAsia="Times New Roman" w:hAnsi="Tw Cen MT"/>
          <w:b/>
          <w:sz w:val="32"/>
          <w:szCs w:val="24"/>
        </w:rPr>
        <w:t>Preparation</w:t>
      </w:r>
      <w:r>
        <w:rPr>
          <w:rFonts w:ascii="Tw Cen MT" w:cs="Times New Roman" w:eastAsia="Times New Roman" w:hAnsi="Tw Cen MT"/>
          <w:b/>
          <w:sz w:val="32"/>
          <w:szCs w:val="24"/>
        </w:rPr>
        <w:t xml:space="preserve"> And Evaluation </w:t>
      </w:r>
      <w:r>
        <w:rPr>
          <w:rFonts w:ascii="Tw Cen MT" w:cs="Times New Roman" w:eastAsia="Times New Roman" w:hAnsi="Tw Cen MT"/>
          <w:b/>
          <w:sz w:val="32"/>
          <w:szCs w:val="24"/>
        </w:rPr>
        <w:t>Of</w:t>
      </w:r>
      <w:r>
        <w:rPr>
          <w:rFonts w:ascii="Tw Cen MT" w:cs="Times New Roman" w:eastAsia="Times New Roman" w:hAnsi="Tw Cen MT"/>
          <w:b/>
          <w:sz w:val="32"/>
          <w:szCs w:val="24"/>
        </w:rPr>
        <w:t xml:space="preserve"> Hydrogel From Super Red Dragon Fruit Skin Extract (</w:t>
      </w:r>
      <w:r>
        <w:rPr>
          <w:rFonts w:ascii="Tw Cen MT" w:cs="Times New Roman" w:eastAsia="Times New Roman" w:hAnsi="Tw Cen MT"/>
          <w:b/>
          <w:i/>
          <w:sz w:val="32"/>
          <w:szCs w:val="24"/>
        </w:rPr>
        <w:t>Selenicereus</w:t>
      </w:r>
      <w:r>
        <w:rPr>
          <w:rFonts w:ascii="Tw Cen MT" w:cs="Times New Roman" w:eastAsia="Times New Roman" w:hAnsi="Tw Cen MT"/>
          <w:b/>
          <w:sz w:val="32"/>
          <w:szCs w:val="24"/>
        </w:rPr>
        <w:t xml:space="preserve"> costaricensis)</w:t>
      </w:r>
    </w:p>
    <w:bookmarkStart w:id="0" w:name="_heading=h.ku3htxpixa9v" w:colFirst="0" w:colLast="0"/>
    <w:bookmarkEnd w:id="0"/>
    <w:p>
      <w:pPr>
        <w:pStyle w:val="style0"/>
        <w:spacing w:after="0" w:lineRule="auto" w:line="240"/>
        <w:jc w:val="center"/>
        <w:rPr>
          <w:rFonts w:ascii="Tw Cen MT" w:cs="Times New Roman" w:hAnsi="Tw Cen MT"/>
          <w:b/>
          <w:bCs/>
          <w:iCs/>
          <w:sz w:val="32"/>
          <w:szCs w:val="32"/>
        </w:rPr>
      </w:pPr>
      <w:r>
        <w:rPr>
          <w:rFonts w:ascii="Tw Cen MT" w:cs="Twentieth Century" w:eastAsia="Twentieth Century" w:hAnsi="Tw Cen MT"/>
          <w:b/>
          <w:sz w:val="32"/>
          <w:szCs w:val="32"/>
        </w:rPr>
        <w:t>Pembuatan Dan Evaluasi Hidrogel</w:t>
      </w:r>
      <w:r>
        <w:rPr>
          <w:rFonts w:ascii="Tw Cen MT" w:cs="Twentieth Century" w:eastAsia="Twentieth Century" w:hAnsi="Tw Cen MT"/>
          <w:b/>
          <w:sz w:val="32"/>
          <w:szCs w:val="32"/>
        </w:rPr>
        <w:t xml:space="preserve"> Dari</w:t>
      </w:r>
      <w:r>
        <w:rPr>
          <w:rFonts w:ascii="Tw Cen MT" w:cs="Twentieth Century" w:eastAsia="Twentieth Century" w:hAnsi="Tw Cen MT"/>
          <w:b/>
          <w:sz w:val="32"/>
          <w:szCs w:val="32"/>
        </w:rPr>
        <w:t xml:space="preserve"> Ekstrak kulit Buah Naga Super Merah </w:t>
      </w:r>
      <w:r>
        <w:rPr>
          <w:rFonts w:ascii="Tw Cen MT" w:cs="Times New Roman" w:hAnsi="Tw Cen MT"/>
          <w:b/>
          <w:spacing w:val="10"/>
          <w:sz w:val="32"/>
        </w:rPr>
        <w:t>(</w:t>
      </w:r>
      <w:r>
        <w:rPr>
          <w:rFonts w:ascii="Tw Cen MT" w:cs="Times New Roman" w:hAnsi="Tw Cen MT"/>
          <w:b/>
          <w:i/>
          <w:spacing w:val="10"/>
          <w:sz w:val="32"/>
        </w:rPr>
        <w:t>Selenicereus costaricensis</w:t>
      </w:r>
      <w:r>
        <w:rPr>
          <w:rFonts w:ascii="Tw Cen MT" w:cs="Times New Roman" w:hAnsi="Tw Cen MT"/>
          <w:b/>
          <w:spacing w:val="10"/>
          <w:sz w:val="32"/>
        </w:rPr>
        <w:t>)</w:t>
      </w:r>
      <w:r>
        <w:rPr>
          <w:rFonts w:ascii="Tw Cen MT" w:cs="Times New Roman" w:hAnsi="Tw Cen MT"/>
          <w:b/>
          <w:spacing w:val="10"/>
          <w:sz w:val="32"/>
        </w:rPr>
        <w:t xml:space="preserve"> </w:t>
      </w:r>
    </w:p>
    <w:p>
      <w:pPr>
        <w:pStyle w:val="style0"/>
        <w:spacing w:after="0" w:lineRule="auto" w:line="240"/>
        <w:jc w:val="center"/>
        <w:rPr>
          <w:rFonts w:ascii="Tw Cen MT" w:cs="Times New Roman" w:hAnsi="Tw Cen MT"/>
          <w:b/>
          <w:bCs/>
          <w:iCs/>
          <w:sz w:val="32"/>
          <w:szCs w:val="32"/>
        </w:rPr>
      </w:pPr>
    </w:p>
    <w:p>
      <w:pPr>
        <w:pStyle w:val="style0"/>
        <w:widowControl w:val="false"/>
        <w:spacing w:after="0" w:lineRule="auto" w:line="218"/>
        <w:ind w:left="7" w:right="-20"/>
        <w:jc w:val="center"/>
        <w:rPr>
          <w:rFonts w:ascii="Tw Cen MT" w:cs="Twentieth Century" w:eastAsia="Twentieth Century" w:hAnsi="Tw Cen MT"/>
          <w:sz w:val="24"/>
          <w:szCs w:val="24"/>
          <w:vertAlign w:val="superscript"/>
        </w:rPr>
      </w:pPr>
      <w:r>
        <w:rPr>
          <w:rFonts w:ascii="Tw Cen MT" w:cs="Twentieth Century" w:eastAsia="Twentieth Century" w:hAnsi="Tw Cen MT"/>
          <w:sz w:val="24"/>
          <w:szCs w:val="24"/>
        </w:rPr>
        <w:t>Dwi Setiawan</w:t>
      </w:r>
      <w:r>
        <w:rPr>
          <w:rFonts w:ascii="Tw Cen MT" w:cs="Twentieth Century" w:eastAsia="Twentieth Century" w:hAnsi="Tw Cen MT"/>
          <w:sz w:val="24"/>
          <w:szCs w:val="24"/>
          <w:vertAlign w:val="superscript"/>
        </w:rPr>
        <w:t>1</w:t>
      </w:r>
      <w:r>
        <w:rPr>
          <w:rFonts w:ascii="Tw Cen MT" w:cs="Twentieth Century" w:eastAsia="Twentieth Century" w:hAnsi="Tw Cen MT"/>
          <w:sz w:val="24"/>
          <w:szCs w:val="24"/>
        </w:rPr>
        <w:t>,</w:t>
      </w:r>
      <w:r>
        <w:rPr>
          <w:rFonts w:ascii="Tw Cen MT" w:cs="Twentieth Century" w:eastAsia="Twentieth Century" w:hAnsi="Tw Cen MT"/>
          <w:sz w:val="24"/>
          <w:szCs w:val="24"/>
        </w:rPr>
        <w:t>Yulia</w:t>
      </w:r>
      <w:r>
        <w:rPr>
          <w:rFonts w:ascii="Tw Cen MT" w:cs="Twentieth Century" w:eastAsia="Twentieth Century" w:hAnsi="Tw Cen MT"/>
          <w:sz w:val="24"/>
          <w:szCs w:val="24"/>
        </w:rPr>
        <w:t xml:space="preserve"> </w:t>
      </w:r>
      <w:r>
        <w:rPr>
          <w:rFonts w:ascii="Tw Cen MT" w:cs="Twentieth Century" w:eastAsia="Twentieth Century" w:hAnsi="Tw Cen MT"/>
          <w:sz w:val="24"/>
          <w:szCs w:val="24"/>
        </w:rPr>
        <w:t>Yesti</w:t>
      </w:r>
      <w:r>
        <w:rPr>
          <w:rFonts w:ascii="Tw Cen MT" w:cs="Twentieth Century" w:eastAsia="Twentieth Century" w:hAnsi="Tw Cen MT"/>
          <w:sz w:val="24"/>
          <w:szCs w:val="24"/>
          <w:vertAlign w:val="superscript"/>
        </w:rPr>
        <w:t>1</w:t>
      </w:r>
      <w:r>
        <w:rPr>
          <w:rFonts w:ascii="Tw Cen MT" w:cs="Twentieth Century" w:eastAsia="Twentieth Century" w:hAnsi="Tw Cen MT"/>
          <w:sz w:val="24"/>
          <w:szCs w:val="24"/>
        </w:rPr>
        <w:t>,</w:t>
      </w:r>
      <w:r>
        <w:rPr>
          <w:rFonts w:ascii="Tw Cen MT" w:cs="Twentieth Century" w:eastAsia="Twentieth Century" w:hAnsi="Tw Cen MT"/>
          <w:sz w:val="24"/>
          <w:szCs w:val="24"/>
        </w:rPr>
        <w:t xml:space="preserve"> </w:t>
      </w:r>
      <w:r>
        <w:rPr>
          <w:rFonts w:ascii="Tw Cen MT" w:cs="Twentieth Century" w:eastAsia="Twentieth Century" w:hAnsi="Tw Cen MT"/>
          <w:sz w:val="24"/>
          <w:szCs w:val="24"/>
        </w:rPr>
        <w:t>Nola</w:t>
      </w:r>
      <w:r>
        <w:rPr>
          <w:rFonts w:ascii="Tw Cen MT" w:cs="Twentieth Century" w:eastAsia="Twentieth Century" w:hAnsi="Tw Cen MT"/>
          <w:sz w:val="24"/>
          <w:szCs w:val="24"/>
        </w:rPr>
        <w:t xml:space="preserve"> Rahmadasmi</w:t>
      </w:r>
      <w:r>
        <w:rPr>
          <w:rFonts w:ascii="Tw Cen MT" w:cs="Twentieth Century" w:eastAsia="Twentieth Century" w:hAnsi="Tw Cen MT"/>
          <w:sz w:val="24"/>
          <w:szCs w:val="24"/>
          <w:vertAlign w:val="superscript"/>
        </w:rPr>
        <w:t>1</w:t>
      </w:r>
      <w:r>
        <w:rPr>
          <w:rFonts w:ascii="Tw Cen MT" w:cs="Twentieth Century" w:eastAsia="Twentieth Century" w:hAnsi="Tw Cen MT"/>
          <w:sz w:val="24"/>
          <w:szCs w:val="24"/>
          <w:vertAlign w:val="superscript"/>
        </w:rPr>
        <w:t>*</w:t>
      </w:r>
      <w:r>
        <w:rPr>
          <w:rFonts w:ascii="Tw Cen MT" w:cs="Twentieth Century" w:eastAsia="Twentieth Century" w:hAnsi="Tw Cen MT"/>
          <w:sz w:val="24"/>
          <w:szCs w:val="24"/>
        </w:rPr>
        <w:t>, Oryza Sativa Fitriani</w:t>
      </w:r>
      <w:r>
        <w:rPr>
          <w:rFonts w:ascii="Tw Cen MT" w:cs="Twentieth Century" w:eastAsia="Twentieth Century" w:hAnsi="Tw Cen MT"/>
          <w:sz w:val="24"/>
          <w:szCs w:val="24"/>
          <w:vertAlign w:val="superscript"/>
        </w:rPr>
        <w:t>1</w:t>
      </w:r>
      <w:r>
        <w:rPr>
          <w:rFonts w:ascii="Tw Cen MT" w:cs="Twentieth Century" w:eastAsia="Twentieth Century" w:hAnsi="Tw Cen MT"/>
          <w:sz w:val="24"/>
          <w:szCs w:val="24"/>
        </w:rPr>
        <w:t>, Miming Andika</w:t>
      </w:r>
      <w:r>
        <w:rPr>
          <w:rFonts w:ascii="Tw Cen MT" w:cs="Twentieth Century" w:eastAsia="Twentieth Century" w:hAnsi="Tw Cen MT"/>
          <w:sz w:val="24"/>
          <w:szCs w:val="24"/>
          <w:vertAlign w:val="superscript"/>
        </w:rPr>
        <w:t>1</w:t>
      </w:r>
      <w:r>
        <w:rPr>
          <w:rFonts w:ascii="Tw Cen MT" w:cs="Twentieth Century" w:eastAsia="Twentieth Century" w:hAnsi="Tw Cen MT"/>
          <w:sz w:val="24"/>
          <w:szCs w:val="24"/>
        </w:rPr>
        <w:t>,</w:t>
      </w:r>
      <w:r>
        <w:t xml:space="preserve"> </w:t>
      </w:r>
      <w:r>
        <w:rPr>
          <w:rFonts w:ascii="Tw Cen MT" w:cs="Twentieth Century" w:eastAsia="Twentieth Century" w:hAnsi="Tw Cen MT"/>
          <w:sz w:val="24"/>
          <w:szCs w:val="24"/>
        </w:rPr>
        <w:t>Ahdi Dinil Haq. AH</w:t>
      </w:r>
      <w:r>
        <w:rPr>
          <w:rFonts w:ascii="Tw Cen MT" w:cs="Twentieth Century" w:eastAsia="Twentieth Century" w:hAnsi="Tw Cen MT"/>
          <w:sz w:val="24"/>
          <w:szCs w:val="24"/>
          <w:vertAlign w:val="superscript"/>
        </w:rPr>
        <w:t>2</w:t>
      </w:r>
      <w:r>
        <w:rPr>
          <w:rFonts w:ascii="Tw Cen MT" w:cs="Twentieth Century" w:eastAsia="Twentieth Century" w:hAnsi="Tw Cen MT"/>
          <w:sz w:val="24"/>
          <w:szCs w:val="24"/>
        </w:rPr>
        <w:t>, Desti Wulandari</w:t>
      </w:r>
      <w:r>
        <w:rPr>
          <w:rFonts w:ascii="Tw Cen MT" w:cs="Twentieth Century" w:eastAsia="Twentieth Century" w:hAnsi="Tw Cen MT"/>
          <w:sz w:val="24"/>
          <w:szCs w:val="24"/>
          <w:vertAlign w:val="superscript"/>
        </w:rPr>
        <w:t>3</w:t>
      </w:r>
      <w:r>
        <w:rPr>
          <w:rFonts w:ascii="Tw Cen MT" w:cs="Twentieth Century" w:eastAsia="Twentieth Century" w:hAnsi="Tw Cen MT"/>
          <w:sz w:val="24"/>
          <w:szCs w:val="24"/>
        </w:rPr>
        <w:t xml:space="preserve">, </w:t>
      </w:r>
      <w:r>
        <w:rPr>
          <w:rFonts w:ascii="Tw Cen MT" w:cs="Twentieth Century" w:eastAsia="Twentieth Century" w:hAnsi="Tw Cen MT"/>
          <w:sz w:val="24"/>
          <w:szCs w:val="24"/>
        </w:rPr>
        <w:t>Nurdina Putri</w:t>
      </w:r>
      <w:r>
        <w:rPr>
          <w:rFonts w:ascii="Tw Cen MT" w:cs="Twentieth Century" w:eastAsia="Twentieth Century" w:hAnsi="Tw Cen MT"/>
          <w:sz w:val="24"/>
          <w:szCs w:val="24"/>
          <w:vertAlign w:val="superscript"/>
        </w:rPr>
        <w:t>4</w:t>
      </w:r>
    </w:p>
    <w:p>
      <w:pPr>
        <w:pStyle w:val="style0"/>
        <w:widowControl w:val="false"/>
        <w:spacing w:after="0" w:lineRule="auto" w:line="218"/>
        <w:ind w:left="7" w:right="-20"/>
        <w:jc w:val="center"/>
        <w:rPr>
          <w:rFonts w:ascii="Tw Cen MT" w:cs="Twentieth Century" w:eastAsia="Twentieth Century" w:hAnsi="Tw Cen MT"/>
          <w:sz w:val="20"/>
          <w:szCs w:val="20"/>
        </w:rPr>
      </w:pPr>
      <w:r>
        <w:rPr>
          <w:rFonts w:ascii="Tw Cen MT" w:cs="Twentieth Century" w:eastAsia="Twentieth Century" w:hAnsi="Tw Cen MT"/>
          <w:sz w:val="20"/>
          <w:szCs w:val="20"/>
          <w:vertAlign w:val="superscript"/>
        </w:rPr>
        <w:t>1</w:t>
      </w:r>
      <w:r>
        <w:rPr>
          <w:rFonts w:ascii="Tw Cen MT" w:cs="Twentieth Century" w:eastAsia="Twentieth Century" w:hAnsi="Tw Cen MT"/>
          <w:sz w:val="20"/>
          <w:szCs w:val="20"/>
        </w:rPr>
        <w:t xml:space="preserve">Program Studi Farmasi, </w:t>
      </w:r>
      <w:r>
        <w:rPr>
          <w:rFonts w:ascii="Tw Cen MT" w:cs="Twentieth Century" w:eastAsia="Twentieth Century" w:hAnsi="Tw Cen MT"/>
          <w:sz w:val="20"/>
          <w:szCs w:val="20"/>
        </w:rPr>
        <w:t>Universitas Fort De Kock, Bukittinggi, Indonesia</w:t>
      </w:r>
    </w:p>
    <w:p>
      <w:pPr>
        <w:pStyle w:val="style0"/>
        <w:widowControl w:val="false"/>
        <w:spacing w:after="0" w:lineRule="auto" w:line="218"/>
        <w:ind w:left="7" w:right="-20"/>
        <w:jc w:val="center"/>
        <w:rPr>
          <w:rFonts w:ascii="Tw Cen MT" w:cs="Twentieth Century" w:eastAsia="Twentieth Century" w:hAnsi="Tw Cen MT"/>
          <w:sz w:val="20"/>
          <w:szCs w:val="20"/>
        </w:rPr>
      </w:pPr>
      <w:r>
        <w:rPr>
          <w:rFonts w:ascii="Tw Cen MT" w:cs="Twentieth Century" w:eastAsia="Twentieth Century" w:hAnsi="Tw Cen MT"/>
          <w:sz w:val="20"/>
          <w:szCs w:val="20"/>
          <w:vertAlign w:val="superscript"/>
        </w:rPr>
        <w:t>2</w:t>
      </w:r>
      <w:r>
        <w:rPr>
          <w:rFonts w:ascii="Tw Cen MT" w:cs="Twentieth Century" w:eastAsia="Twentieth Century" w:hAnsi="Tw Cen MT"/>
          <w:sz w:val="20"/>
          <w:szCs w:val="20"/>
        </w:rPr>
        <w:t>Program Studi D3 Farmasi, Akademi Farmasi Dwi Farma, Bukittingi, Indonesia</w:t>
      </w:r>
    </w:p>
    <w:p>
      <w:pPr>
        <w:pStyle w:val="style0"/>
        <w:widowControl w:val="false"/>
        <w:spacing w:after="0" w:lineRule="auto" w:line="218"/>
        <w:ind w:left="7" w:right="-20"/>
        <w:jc w:val="center"/>
        <w:rPr>
          <w:rFonts w:ascii="Tw Cen MT" w:cs="Twentieth Century" w:eastAsia="Twentieth Century" w:hAnsi="Tw Cen MT"/>
          <w:sz w:val="20"/>
          <w:szCs w:val="20"/>
        </w:rPr>
      </w:pPr>
      <w:r>
        <w:rPr>
          <w:rFonts w:ascii="Tw Cen MT" w:cs="Twentieth Century" w:eastAsia="Twentieth Century" w:hAnsi="Tw Cen MT"/>
          <w:sz w:val="20"/>
          <w:szCs w:val="20"/>
          <w:vertAlign w:val="superscript"/>
        </w:rPr>
        <w:t xml:space="preserve">3 </w:t>
      </w:r>
      <w:r>
        <w:rPr>
          <w:rFonts w:ascii="Tw Cen MT" w:cs="Twentieth Century" w:eastAsia="Twentieth Century" w:hAnsi="Tw Cen MT"/>
          <w:sz w:val="20"/>
          <w:szCs w:val="20"/>
        </w:rPr>
        <w:t>Program Studi Sarjana Farmasi, Stikes Har-Kausyar, Rengat Riau, Indonesia</w:t>
      </w:r>
    </w:p>
    <w:p>
      <w:pPr>
        <w:pStyle w:val="style0"/>
        <w:widowControl w:val="false"/>
        <w:spacing w:after="0" w:lineRule="auto" w:line="218"/>
        <w:ind w:left="7" w:right="-20"/>
        <w:jc w:val="center"/>
        <w:rPr>
          <w:rFonts w:ascii="Tw Cen MT" w:cs="Twentieth Century" w:eastAsia="Twentieth Century" w:hAnsi="Tw Cen MT"/>
          <w:sz w:val="20"/>
          <w:szCs w:val="20"/>
        </w:rPr>
      </w:pPr>
      <w:r>
        <w:rPr>
          <w:rFonts w:ascii="Tw Cen MT" w:cs="Twentieth Century" w:eastAsia="Twentieth Century" w:hAnsi="Tw Cen MT"/>
          <w:sz w:val="20"/>
          <w:szCs w:val="20"/>
          <w:vertAlign w:val="superscript"/>
        </w:rPr>
        <w:t xml:space="preserve">4 </w:t>
      </w:r>
      <w:r>
        <w:rPr>
          <w:rFonts w:ascii="Tw Cen MT" w:cs="Twentieth Century" w:eastAsia="Twentieth Century" w:hAnsi="Tw Cen MT"/>
          <w:sz w:val="20"/>
          <w:szCs w:val="20"/>
        </w:rPr>
        <w:t>Fakultas MIPA dan Kesehatan, Universitas Muhammadiyah</w:t>
      </w:r>
      <w:r>
        <w:rPr>
          <w:rFonts w:ascii="Tw Cen MT" w:cs="Twentieth Century" w:eastAsia="Twentieth Century" w:hAnsi="Tw Cen MT"/>
          <w:sz w:val="20"/>
          <w:szCs w:val="20"/>
        </w:rPr>
        <w:t>,</w:t>
      </w:r>
      <w:r>
        <w:rPr>
          <w:rFonts w:ascii="Tw Cen MT" w:cs="Twentieth Century" w:eastAsia="Twentieth Century" w:hAnsi="Tw Cen MT"/>
          <w:sz w:val="20"/>
          <w:szCs w:val="20"/>
        </w:rPr>
        <w:t> Riau</w:t>
      </w:r>
      <w:r>
        <w:rPr>
          <w:rFonts w:ascii="Tw Cen MT" w:cs="Twentieth Century" w:eastAsia="Twentieth Century" w:hAnsi="Tw Cen MT"/>
          <w:sz w:val="20"/>
          <w:szCs w:val="20"/>
        </w:rPr>
        <w:t>, Indonesia</w:t>
      </w:r>
    </w:p>
    <w:p>
      <w:pPr>
        <w:pStyle w:val="style0"/>
        <w:widowControl w:val="false"/>
        <w:spacing w:after="0" w:lineRule="auto" w:line="218"/>
        <w:ind w:right="-20"/>
        <w:jc w:val="center"/>
        <w:rPr>
          <w:rFonts w:ascii="Tw Cen MT" w:cs="Twentieth Century" w:eastAsia="Twentieth Century" w:hAnsi="Tw Cen MT"/>
          <w:sz w:val="20"/>
          <w:szCs w:val="20"/>
        </w:rPr>
      </w:pPr>
      <w:r>
        <w:rPr>
          <w:rFonts w:ascii="Tw Cen MT" w:cs="Twentieth Century" w:eastAsia="Twentieth Century" w:hAnsi="Tw Cen MT"/>
          <w:sz w:val="20"/>
          <w:szCs w:val="20"/>
        </w:rPr>
        <w:t>nolarahmadasmi@fdk.ac.id</w:t>
      </w:r>
    </w:p>
    <w:p>
      <w:pPr>
        <w:pStyle w:val="style0"/>
        <w:spacing w:after="0"/>
        <w:rPr>
          <w:rFonts w:ascii="Tw Cen MT" w:cs="Twentieth Century" w:eastAsia="Twentieth Century" w:hAnsi="Tw Cen MT"/>
        </w:rPr>
      </w:pPr>
      <w:r>
        <w:rPr>
          <w:rFonts w:ascii="Tw Cen MT" w:hAnsi="Tw Cen MT"/>
          <w:b/>
          <w:i/>
          <w:iCs/>
          <w:noProof/>
          <w:sz w:val="24"/>
          <w:szCs w:val="24"/>
        </w:rPr>
        <mc:AlternateContent>
          <mc:Choice Requires="wps">
            <w:drawing>
              <wp:anchor distT="0" distB="0" distL="0" distR="0" simplePos="false" relativeHeight="3" behindDoc="false" locked="false" layoutInCell="true" allowOverlap="true">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1176655"/>
                        </a:xfrm>
                        <a:prstGeom prst="rect"/>
                        <a:solidFill>
                          <a:srgbClr val="ffffff"/>
                        </a:solidFill>
                        <a:ln>
                          <a:noFill/>
                        </a:ln>
                      </wps:spPr>
                      <wps:txbx id="1026">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1.4pt;margin-top:12.0pt;width:153.0pt;height:92.65pt;z-index:3;mso-position-horizontal-relative:text;mso-position-vertical-relative:text;mso-width-percent:0;mso-height-percent:0;mso-width-relative:margin;mso-height-relative:margin;mso-wrap-distance-left:0.0pt;mso-wrap-distance-right:0.0pt;visibility:visible;v-text-anchor:middle;">
                <v:stroke on="f" weight="2.0pt"/>
                <v:fill/>
                <v:textbox inset="7.2pt,3.6pt,7.2pt,3.6pt">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false" relativeHeight="2" behindDoc="false" locked="false" layoutInCell="true" allowOverlap="true">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66257"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0.77pt;margin-top:9.83pt;width:469.78pt;height:0.0pt;z-index:2;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weight="1.5pt"/>
                <v:fill/>
              </v:shape>
            </w:pict>
          </mc:Fallback>
        </mc:AlternateContent>
      </w:r>
    </w:p>
    <w:p>
      <w:pPr>
        <w:pStyle w:val="style0"/>
        <w:spacing w:after="0"/>
        <w:ind w:left="2399" w:firstLine="719"/>
        <w:rPr>
          <w:rFonts w:ascii="Tw Cen MT" w:cs="Twentieth Century" w:eastAsia="Twentieth Century" w:hAnsi="Tw Cen MT"/>
        </w:rPr>
      </w:pPr>
      <w:r>
        <w:rPr>
          <w:rFonts w:ascii="Tw Cen MT" w:cs="Twentieth Century" w:eastAsia="Twentieth Century" w:hAnsi="Tw Cen MT"/>
          <w:b/>
          <w:i/>
          <w:sz w:val="20"/>
          <w:szCs w:val="20"/>
        </w:rPr>
        <w:t xml:space="preserve"> </w:t>
      </w:r>
      <w:r>
        <w:rPr>
          <w:rFonts w:ascii="Tw Cen MT" w:cs="Twentieth Century" w:eastAsia="Twentieth Century" w:hAnsi="Tw Cen MT"/>
          <w:b/>
          <w:i/>
          <w:sz w:val="20"/>
          <w:szCs w:val="20"/>
        </w:rPr>
        <w:t>Abstract</w:t>
      </w:r>
    </w:p>
    <w:p>
      <w:pPr>
        <w:pStyle w:val="style0"/>
        <w:widowControl w:val="false"/>
        <w:spacing w:after="0" w:lineRule="auto" w:line="228"/>
        <w:ind w:left="3150" w:right="-19"/>
        <w:jc w:val="both"/>
        <w:rPr>
          <w:rFonts w:ascii="Tw Cen MT" w:cs="Twentieth Century" w:eastAsia="Twentieth Century" w:hAnsi="Tw Cen MT"/>
          <w:i/>
          <w:sz w:val="20"/>
          <w:szCs w:val="20"/>
        </w:rPr>
      </w:pPr>
      <w:r>
        <w:rPr>
          <w:rFonts w:ascii="Tw Cen MT" w:cs="Twentieth Century" w:eastAsia="Twentieth Century" w:hAnsi="Tw Cen MT"/>
          <w:i/>
          <w:noProof/>
          <w:color w:val="000000"/>
          <w:sz w:val="20"/>
          <w:szCs w:val="20"/>
        </w:rPr>
        <w:drawing>
          <wp:anchor distT="0" distB="0" distL="114300" distR="114300" simplePos="false" relativeHeight="4" behindDoc="true" locked="false" layoutInCell="true" allowOverlap="true">
            <wp:simplePos x="0" y="0"/>
            <wp:positionH relativeFrom="column">
              <wp:posOffset>45085</wp:posOffset>
            </wp:positionH>
            <wp:positionV relativeFrom="paragraph">
              <wp:posOffset>996950</wp:posOffset>
            </wp:positionV>
            <wp:extent cx="1016000" cy="358139"/>
            <wp:effectExtent l="0" t="0" r="0" b="3810"/>
            <wp:wrapThrough wrapText="bothSides">
              <wp:wrapPolygon edited="false">
                <wp:start x="0" y="0"/>
                <wp:lineTo x="0" y="20681"/>
                <wp:lineTo x="21060" y="20681"/>
                <wp:lineTo x="21060" y="0"/>
                <wp:lineTo x="0" y="0"/>
              </wp:wrapPolygon>
            </wp:wrapThrough>
            <wp:docPr id="1028" name="Picture 3" descr="D:\IRA\JURNAL PROTEKSI OJS\ccbysa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srcRect l="0" t="0" r="0" b="0"/>
                    <a:stretch/>
                  </pic:blipFill>
                  <pic:spPr>
                    <a:xfrm rot="0">
                      <a:off x="0" y="0"/>
                      <a:ext cx="1016000" cy="358139"/>
                    </a:xfrm>
                    <a:prstGeom prst="rect"/>
                    <a:ln>
                      <a:noFill/>
                    </a:ln>
                  </pic:spPr>
                </pic:pic>
              </a:graphicData>
            </a:graphic>
            <wp14:sizeRelH relativeFrom="page">
              <wp14:pctWidth>0</wp14:pctWidth>
            </wp14:sizeRelH>
            <wp14:sizeRelV relativeFrom="page">
              <wp14:pctHeight>0</wp14:pctHeight>
            </wp14:sizeRelV>
          </wp:anchor>
        </w:drawing>
      </w:r>
      <w:r>
        <w:rPr>
          <w:rFonts w:ascii="Tw Cen MT" w:cs="Twentieth Century" w:eastAsia="Twentieth Century" w:hAnsi="Tw Cen MT"/>
          <w:i/>
          <w:noProof/>
          <w:color w:val="000000"/>
          <w:sz w:val="20"/>
          <w:szCs w:val="20"/>
        </w:rPr>
        <w:t xml:space="preserve">Dragon skin is a waste that is rarely used and often discarded.  The dragonfruit skin has antioxidant activity related to the anthocyanin content that </w:t>
      </w:r>
      <w:r>
        <w:rPr>
          <w:rFonts w:ascii="Tw Cen MT" w:cs="Twentieth Century" w:eastAsia="Twentieth Century" w:hAnsi="Tw Cen MT"/>
          <w:i/>
          <w:noProof/>
          <w:color w:val="000000"/>
          <w:sz w:val="20"/>
          <w:szCs w:val="20"/>
        </w:rPr>
        <w:t>protects the skin from oxidation damage to</w:t>
      </w:r>
      <w:r>
        <w:rPr>
          <w:rFonts w:ascii="Tw Cen MT" w:cs="Twentieth Century" w:eastAsia="Twentieth Century" w:hAnsi="Tw Cen MT"/>
          <w:i/>
          <w:noProof/>
          <w:color w:val="000000"/>
          <w:sz w:val="20"/>
          <w:szCs w:val="20"/>
        </w:rPr>
        <w:t xml:space="preserve"> prevent premature aging, </w:t>
      </w:r>
      <w:r>
        <w:rPr>
          <w:rFonts w:ascii="Tw Cen MT" w:cs="Twentieth Century" w:eastAsia="Twentieth Century" w:hAnsi="Tw Cen MT"/>
          <w:i/>
          <w:noProof/>
          <w:color w:val="000000"/>
          <w:sz w:val="20"/>
          <w:szCs w:val="20"/>
        </w:rPr>
        <w:t xml:space="preserve">an </w:t>
      </w:r>
      <w:r>
        <w:rPr>
          <w:rFonts w:ascii="Tw Cen MT" w:cs="Twentieth Century" w:eastAsia="Twentieth Century" w:hAnsi="Tw Cen MT"/>
          <w:i/>
          <w:noProof/>
          <w:color w:val="000000"/>
          <w:sz w:val="20"/>
          <w:szCs w:val="20"/>
        </w:rPr>
        <w:t xml:space="preserve">experimentally used method with </w:t>
      </w:r>
      <w:r>
        <w:rPr>
          <w:rFonts w:ascii="Tw Cen MT" w:cs="Twentieth Century" w:eastAsia="Twentieth Century" w:hAnsi="Tw Cen MT"/>
          <w:i/>
          <w:noProof/>
          <w:color w:val="000000"/>
          <w:sz w:val="20"/>
          <w:szCs w:val="20"/>
        </w:rPr>
        <w:t xml:space="preserve">a </w:t>
      </w:r>
      <w:r>
        <w:rPr>
          <w:rFonts w:ascii="Tw Cen MT" w:cs="Twentieth Century" w:eastAsia="Twentieth Century" w:hAnsi="Tw Cen MT"/>
          <w:i/>
          <w:noProof/>
          <w:color w:val="000000"/>
          <w:sz w:val="20"/>
          <w:szCs w:val="20"/>
        </w:rPr>
        <w:t xml:space="preserve">true-experimental </w:t>
      </w:r>
      <w:r>
        <w:rPr>
          <w:rFonts w:ascii="Tw Cen MT" w:cs="Twentieth Century" w:eastAsia="Twentieth Century" w:hAnsi="Tw Cen MT"/>
          <w:i/>
          <w:noProof/>
          <w:color w:val="000000"/>
          <w:sz w:val="20"/>
          <w:szCs w:val="20"/>
        </w:rPr>
        <w:t>design. There are 7 formulas, F1</w:t>
      </w:r>
      <w:r>
        <w:rPr>
          <w:rFonts w:ascii="Tw Cen MT" w:cs="Twentieth Century" w:eastAsia="Twentieth Century" w:hAnsi="Tw Cen MT"/>
          <w:i/>
          <w:noProof/>
          <w:color w:val="000000"/>
          <w:sz w:val="20"/>
          <w:szCs w:val="20"/>
        </w:rPr>
        <w:t xml:space="preserve"> (ba</w:t>
      </w:r>
      <w:r>
        <w:rPr>
          <w:rFonts w:ascii="Tw Cen MT" w:cs="Twentieth Century" w:eastAsia="Twentieth Century" w:hAnsi="Tw Cen MT"/>
          <w:i/>
          <w:noProof/>
          <w:color w:val="000000"/>
          <w:sz w:val="20"/>
          <w:szCs w:val="20"/>
        </w:rPr>
        <w:t xml:space="preserve">se), F2, F3, </w:t>
      </w:r>
      <w:r>
        <w:rPr>
          <w:rFonts w:ascii="Tw Cen MT" w:cs="Twentieth Century" w:eastAsia="Twentieth Century" w:hAnsi="Tw Cen MT"/>
          <w:i/>
          <w:noProof/>
          <w:color w:val="000000"/>
          <w:sz w:val="20"/>
          <w:szCs w:val="20"/>
        </w:rPr>
        <w:t xml:space="preserve">and </w:t>
      </w:r>
      <w:r>
        <w:rPr>
          <w:rFonts w:ascii="Tw Cen MT" w:cs="Twentieth Century" w:eastAsia="Twentieth Century" w:hAnsi="Tw Cen MT"/>
          <w:i/>
          <w:noProof/>
          <w:color w:val="000000"/>
          <w:sz w:val="20"/>
          <w:szCs w:val="20"/>
        </w:rPr>
        <w:t>F4 (with ultrasonic</w:t>
      </w:r>
      <w:r>
        <w:rPr>
          <w:rFonts w:ascii="Tw Cen MT" w:cs="Twentieth Century" w:eastAsia="Twentieth Century" w:hAnsi="Tw Cen MT"/>
          <w:i/>
          <w:noProof/>
          <w:color w:val="000000"/>
          <w:sz w:val="20"/>
          <w:szCs w:val="20"/>
        </w:rPr>
        <w:t xml:space="preserve"> extract 1%, 2%, 3.</w:t>
      </w:r>
      <w:r>
        <w:rPr>
          <w:rFonts w:ascii="Tw Cen MT" w:cs="Twentieth Century" w:eastAsia="Twentieth Century" w:hAnsi="Tw Cen MT"/>
          <w:i/>
          <w:noProof/>
          <w:color w:val="000000"/>
          <w:sz w:val="20"/>
          <w:szCs w:val="20"/>
        </w:rPr>
        <w:t xml:space="preserve">). </w:t>
      </w:r>
      <w:r>
        <w:rPr>
          <w:rFonts w:ascii="Tw Cen MT" w:cs="Twentieth Century" w:eastAsia="Twentieth Century" w:hAnsi="Tw Cen MT"/>
          <w:i/>
          <w:noProof/>
          <w:color w:val="000000"/>
          <w:sz w:val="20"/>
          <w:szCs w:val="20"/>
        </w:rPr>
        <w:t>The evaluations included organoleptic tests, homogeneity tests, viscosity testing, pH tests, swelling ratio, freeze and thaw.</w:t>
      </w:r>
      <w:r>
        <w:rPr>
          <w:rFonts w:ascii="Tw Cen MT" w:cs="Twentieth Century" w:eastAsia="Twentieth Century" w:hAnsi="Tw Cen MT"/>
          <w:i/>
          <w:noProof/>
          <w:color w:val="000000"/>
          <w:sz w:val="20"/>
          <w:szCs w:val="20"/>
        </w:rPr>
        <w:t xml:space="preserve"> </w:t>
      </w:r>
      <w:r>
        <w:rPr>
          <w:rFonts w:ascii="Tw Cen MT" w:cs="Twentieth Century" w:eastAsia="Twentieth Century" w:hAnsi="Tw Cen MT"/>
          <w:i/>
          <w:noProof/>
          <w:color w:val="000000"/>
          <w:sz w:val="20"/>
          <w:szCs w:val="20"/>
        </w:rPr>
        <w:t xml:space="preserve">The results of this study </w:t>
      </w:r>
      <w:r>
        <w:rPr>
          <w:rFonts w:ascii="Tw Cen MT" w:cs="Twentieth Century" w:eastAsia="Twentieth Century" w:hAnsi="Tw Cen MT"/>
          <w:i/>
          <w:noProof/>
          <w:color w:val="000000"/>
          <w:sz w:val="20"/>
          <w:szCs w:val="20"/>
        </w:rPr>
        <w:t>show that super</w:t>
      </w:r>
      <w:r>
        <w:rPr>
          <w:rFonts w:ascii="Tw Cen MT" w:cs="Twentieth Century" w:eastAsia="Twentieth Century" w:hAnsi="Tw Cen MT"/>
          <w:i/>
          <w:noProof/>
          <w:color w:val="000000"/>
          <w:sz w:val="20"/>
          <w:szCs w:val="20"/>
        </w:rPr>
        <w:t xml:space="preserve"> red dragonfruit leather extracts can be formed in hydrogel preparations and have good physical quality properties</w:t>
      </w:r>
      <w:r>
        <w:rPr>
          <w:rFonts w:ascii="Tw Cen MT" w:cs="Twentieth Century" w:eastAsia="Twentieth Century" w:hAnsi="Tw Cen MT"/>
          <w:i/>
          <w:noProof/>
          <w:color w:val="000000"/>
          <w:sz w:val="20"/>
          <w:szCs w:val="20"/>
        </w:rPr>
        <w:t xml:space="preserve">. </w:t>
      </w:r>
    </w:p>
    <w:p>
      <w:pPr>
        <w:pStyle w:val="style0"/>
        <w:widowControl w:val="false"/>
        <w:spacing w:after="0" w:lineRule="auto" w:line="228"/>
        <w:ind w:left="3150" w:right="-19"/>
        <w:jc w:val="both"/>
        <w:rPr>
          <w:rFonts w:ascii="Tw Cen MT" w:cs="Twentieth Century" w:eastAsia="Twentieth Century" w:hAnsi="Tw Cen MT"/>
          <w:b/>
          <w:i/>
          <w:sz w:val="20"/>
          <w:szCs w:val="20"/>
        </w:rPr>
      </w:pPr>
      <w:r>
        <w:rPr>
          <w:rFonts w:ascii="Tw Cen MT" w:cs="Twentieth Century" w:eastAsia="Twentieth Century" w:hAnsi="Tw Cen MT"/>
          <w:b/>
          <w:i/>
          <w:sz w:val="20"/>
          <w:szCs w:val="20"/>
        </w:rPr>
        <w:t>Keywords:</w:t>
      </w:r>
    </w:p>
    <w:p>
      <w:pPr>
        <w:pStyle w:val="style0"/>
        <w:tabs>
          <w:tab w:val="left" w:leader="none" w:pos="426"/>
        </w:tabs>
        <w:spacing w:after="0"/>
        <w:ind w:left="3150"/>
        <w:jc w:val="both"/>
        <w:rPr>
          <w:rFonts w:ascii="Tw Cen MT" w:cs="Twentieth Century" w:eastAsia="Twentieth Century" w:hAnsi="Tw Cen MT"/>
          <w:i/>
          <w:sz w:val="20"/>
          <w:szCs w:val="20"/>
        </w:rPr>
      </w:pPr>
      <w:r>
        <w:rPr>
          <w:rFonts w:ascii="Tw Cen MT" w:cs="Twentieth Century" w:eastAsia="Twentieth Century" w:hAnsi="Tw Cen MT"/>
          <w:i/>
          <w:sz w:val="20"/>
          <w:szCs w:val="20"/>
        </w:rPr>
        <w:t>Formulation, hydrogel, phys</w:t>
      </w:r>
      <w:r>
        <w:rPr>
          <w:rFonts w:ascii="Tw Cen MT" w:cs="Twentieth Century" w:eastAsia="Twentieth Century" w:hAnsi="Tw Cen MT"/>
          <w:i/>
          <w:sz w:val="20"/>
          <w:szCs w:val="20"/>
        </w:rPr>
        <w:t xml:space="preserve">ical quality, stability, extract </w:t>
      </w:r>
      <w:r>
        <w:rPr>
          <w:rFonts w:ascii="Tw Cen MT" w:cs="Twentieth Century" w:eastAsia="Twentieth Century" w:hAnsi="Tw Cen MT"/>
          <w:i/>
          <w:sz w:val="20"/>
          <w:szCs w:val="20"/>
        </w:rPr>
        <w:t>skin of super red dragon fruit</w:t>
      </w:r>
    </w:p>
    <w:p>
      <w:pPr>
        <w:pStyle w:val="style0"/>
        <w:tabs>
          <w:tab w:val="left" w:leader="none" w:pos="426"/>
        </w:tabs>
        <w:spacing w:after="0"/>
        <w:ind w:left="3150"/>
        <w:jc w:val="both"/>
        <w:rPr>
          <w:rFonts w:ascii="Tw Cen MT" w:cs="Twentieth Century" w:eastAsia="Twentieth Century" w:hAnsi="Tw Cen MT"/>
          <w:b/>
          <w:sz w:val="20"/>
          <w:szCs w:val="20"/>
        </w:rPr>
      </w:pPr>
    </w:p>
    <w:p>
      <w:pPr>
        <w:pStyle w:val="style0"/>
        <w:tabs>
          <w:tab w:val="left" w:leader="none" w:pos="426"/>
        </w:tabs>
        <w:spacing w:after="0"/>
        <w:ind w:left="3150"/>
        <w:jc w:val="both"/>
        <w:rPr>
          <w:rFonts w:ascii="Tw Cen MT" w:cs="Twentieth Century" w:eastAsia="Twentieth Century" w:hAnsi="Tw Cen MT"/>
          <w:b/>
          <w:sz w:val="20"/>
          <w:szCs w:val="20"/>
        </w:rPr>
      </w:pPr>
      <w:r>
        <w:rPr>
          <w:rFonts w:ascii="Tw Cen MT" w:cs="Twentieth Century" w:eastAsia="Twentieth Century" w:hAnsi="Tw Cen MT"/>
          <w:b/>
          <w:sz w:val="20"/>
          <w:szCs w:val="20"/>
        </w:rPr>
        <w:t>Abstrak</w:t>
      </w:r>
    </w:p>
    <w:p>
      <w:pPr>
        <w:pStyle w:val="style0"/>
        <w:tabs>
          <w:tab w:val="left" w:leader="none" w:pos="426"/>
        </w:tabs>
        <w:spacing w:after="0" w:lineRule="auto" w:line="240"/>
        <w:ind w:left="3150"/>
        <w:jc w:val="both"/>
        <w:rPr>
          <w:rFonts w:ascii="Tw Cen MT" w:cs="Twentieth Century" w:eastAsia="Twentieth Century" w:hAnsi="Tw Cen MT"/>
          <w:iCs/>
          <w:sz w:val="20"/>
          <w:szCs w:val="20"/>
        </w:rPr>
      </w:pPr>
      <w:r>
        <w:rPr>
          <w:rFonts w:ascii="Tw Cen MT" w:cs="Twentieth Century" w:eastAsia="Twentieth Century" w:hAnsi="Tw Cen MT"/>
          <w:iCs/>
          <w:color w:val="000000"/>
          <w:sz w:val="20"/>
          <w:szCs w:val="20"/>
          <w:highlight w:val="yellow"/>
        </w:rPr>
        <w:t>Abstrak</w:t>
      </w:r>
      <w:r>
        <w:rPr>
          <w:rFonts w:ascii="Tw Cen MT" w:cs="Twentieth Century" w:eastAsia="Twentieth Century" w:hAnsi="Tw Cen MT"/>
          <w:iCs/>
          <w:color w:val="000000"/>
          <w:sz w:val="20"/>
          <w:szCs w:val="20"/>
        </w:rPr>
        <w:t xml:space="preserve"> </w:t>
      </w:r>
      <w:r>
        <w:rPr>
          <w:rFonts w:cs="Twentieth Century" w:eastAsia="Twentieth Century" w:hAnsi="Tw Cen MT"/>
          <w:iCs/>
          <w:color w:val="000000"/>
          <w:sz w:val="20"/>
          <w:szCs w:val="20"/>
          <w:lang w:val="en-US"/>
        </w:rPr>
        <w:t>Kulit</w:t>
      </w:r>
      <w:r>
        <w:rPr>
          <w:rFonts w:ascii="Tw Cen MT" w:cs="Times New Roman" w:hAnsi="Tw Cen MT"/>
          <w:sz w:val="20"/>
          <w:szCs w:val="20"/>
        </w:rPr>
        <w:t xml:space="preserve"> buah naga merupakan </w:t>
      </w:r>
      <w:r>
        <w:rPr>
          <w:rFonts w:ascii="Tw Cen MT" w:cs="Times New Roman" w:hAnsi="Tw Cen MT"/>
          <w:sz w:val="20"/>
          <w:szCs w:val="20"/>
        </w:rPr>
        <w:t>limbah  yang</w:t>
      </w:r>
      <w:r>
        <w:rPr>
          <w:rFonts w:ascii="Tw Cen MT" w:cs="Times New Roman" w:hAnsi="Tw Cen MT"/>
          <w:sz w:val="20"/>
          <w:szCs w:val="20"/>
        </w:rPr>
        <w:t xml:space="preserve"> jarang dimanfaatkan dan sering dibuang</w:t>
      </w:r>
      <w:r>
        <w:rPr>
          <w:rFonts w:ascii="Tw Cen MT" w:cs="Twentieth Century" w:eastAsia="Twentieth Century" w:hAnsi="Tw Cen MT"/>
          <w:iCs/>
          <w:sz w:val="20"/>
          <w:szCs w:val="20"/>
        </w:rPr>
        <w:t>.</w:t>
      </w:r>
      <w:r>
        <w:rPr>
          <w:rFonts w:ascii="Tw Cen MT" w:cs="Twentieth Century" w:eastAsia="Twentieth Century" w:hAnsi="Tw Cen MT"/>
          <w:iCs/>
          <w:sz w:val="20"/>
          <w:szCs w:val="20"/>
        </w:rPr>
        <w:t xml:space="preserve"> </w:t>
      </w:r>
      <w:r>
        <w:rPr>
          <w:rFonts w:ascii="Tw Cen MT" w:cs="Times New Roman" w:hAnsi="Tw Cen MT"/>
          <w:sz w:val="20"/>
        </w:rPr>
        <w:t>Kulit buah naga memiliki aktivitas antioksidan terkait dengan kandungan antosianin didalamnnya yang digunakan untuk melindungi kulit dari kerusakan akibat oksidasi sehingga dapat mencegah penuaan dini</w:t>
      </w:r>
      <w:r>
        <w:rPr>
          <w:rFonts w:ascii="Tw Cen MT" w:cs="Times New Roman" w:hAnsi="Tw Cen MT"/>
          <w:sz w:val="20"/>
          <w:highlight w:val="yellow"/>
        </w:rPr>
        <w:t>,</w:t>
      </w:r>
      <w:r>
        <w:rPr>
          <w:rFonts w:ascii="Tw Cen MT" w:cs="Times New Roman" w:hAnsi="Tw Cen MT"/>
          <w:sz w:val="20"/>
        </w:rPr>
        <w:t xml:space="preserve"> </w:t>
      </w:r>
      <w:r>
        <w:rPr>
          <w:rFonts w:ascii="Tw Cen MT" w:cs="Times New Roman" w:hAnsi="Tw Cen MT"/>
          <w:sz w:val="20"/>
        </w:rPr>
        <w:t xml:space="preserve">Metode yang digunakan eksperimental dengan rancangan </w:t>
      </w:r>
      <w:r>
        <w:rPr>
          <w:rFonts w:ascii="Tw Cen MT" w:cs="Times New Roman" w:hAnsi="Tw Cen MT"/>
          <w:i/>
          <w:sz w:val="20"/>
        </w:rPr>
        <w:t>true-eksperimental</w:t>
      </w:r>
      <w:r>
        <w:rPr>
          <w:rFonts w:ascii="Times New Roman" w:cs="Times New Roman" w:hAnsi="Times New Roman"/>
          <w:sz w:val="24"/>
        </w:rPr>
        <w:t xml:space="preserve">. </w:t>
      </w:r>
      <w:r>
        <w:rPr>
          <w:rFonts w:ascii="Times New Roman" w:cs="Times New Roman" w:hAnsi="Times New Roman"/>
          <w:sz w:val="24"/>
        </w:rPr>
        <w:t>.</w:t>
      </w:r>
      <w:r>
        <w:rPr>
          <w:rFonts w:ascii="Tw Cen MT" w:cs="Times New Roman" w:hAnsi="Tw Cen MT"/>
          <w:sz w:val="20"/>
          <w:highlight w:val="yellow"/>
        </w:rPr>
        <w:t>t</w:t>
      </w:r>
      <w:r>
        <w:rPr>
          <w:rFonts w:ascii="Tw Cen MT" w:cs="Times New Roman" w:hAnsi="Tw Cen MT"/>
          <w:sz w:val="20"/>
        </w:rPr>
        <w:t>erdapat</w:t>
      </w:r>
      <w:r>
        <w:rPr>
          <w:rFonts w:ascii="Tw Cen MT" w:cs="Times New Roman" w:hAnsi="Tw Cen MT"/>
          <w:sz w:val="20"/>
        </w:rPr>
        <w:t xml:space="preserve"> 4</w:t>
      </w:r>
      <w:r>
        <w:rPr>
          <w:rFonts w:ascii="Tw Cen MT" w:cs="Times New Roman" w:hAnsi="Tw Cen MT"/>
          <w:sz w:val="20"/>
        </w:rPr>
        <w:t xml:space="preserve"> formula, F1 (basis), F2</w:t>
      </w:r>
      <w:r>
        <w:rPr>
          <w:rFonts w:ascii="Tw Cen MT" w:cs="Times New Roman" w:hAnsi="Tw Cen MT"/>
          <w:sz w:val="20"/>
        </w:rPr>
        <w:t>, F3, F4 (dengan ekstrakultrasoniki 1%, 2%, 3%)</w:t>
      </w:r>
      <w:r>
        <w:rPr>
          <w:rFonts w:ascii="Tw Cen MT" w:cs="Times New Roman" w:hAnsi="Tw Cen MT"/>
          <w:sz w:val="20"/>
        </w:rPr>
        <w:t xml:space="preserve">. Evaluasi yang dilakukan meliputi uji organoleptis, uji homogenitas, uji viskositas, uji pH, </w:t>
      </w:r>
      <w:r>
        <w:rPr>
          <w:rFonts w:ascii="Tw Cen MT" w:cs="Times New Roman" w:hAnsi="Tw Cen MT"/>
          <w:i/>
          <w:sz w:val="20"/>
        </w:rPr>
        <w:t>rasio swelling, freeze and thaw</w:t>
      </w:r>
      <w:r>
        <w:rPr>
          <w:rFonts w:ascii="Tw Cen MT" w:cs="Times New Roman" w:hAnsi="Tw Cen MT"/>
          <w:i/>
          <w:sz w:val="20"/>
        </w:rPr>
        <w:t>.</w:t>
      </w:r>
      <w:r>
        <w:rPr>
          <w:rFonts w:ascii="Tw Cen MT" w:cs="Times New Roman" w:hAnsi="Tw Cen MT"/>
          <w:i/>
          <w:sz w:val="20"/>
        </w:rPr>
        <w:t xml:space="preserve"> </w:t>
      </w:r>
      <w:commentRangeStart w:id="1"/>
      <w:r>
        <w:rPr>
          <w:rFonts w:ascii="Tw Cen MT" w:cs="Times New Roman" w:hAnsi="Tw Cen MT"/>
          <w:i/>
          <w:sz w:val="20"/>
        </w:rPr>
        <w:t>Hasil</w:t>
      </w:r>
      <w:commentRangeEnd w:id="1"/>
      <w:r>
        <w:rPr/>
        <w:commentReference w:id="1"/>
      </w:r>
      <w:r>
        <w:rPr>
          <w:rFonts w:ascii="Tw Cen MT" w:cs="Times New Roman" w:hAnsi="Tw Cen MT"/>
          <w:i/>
          <w:sz w:val="20"/>
        </w:rPr>
        <w:t xml:space="preserve"> dari penelitian ini</w:t>
      </w:r>
      <w:r>
        <w:rPr>
          <w:rFonts w:ascii="Tw Cen MT" w:cs="Times New Roman" w:hAnsi="Tw Cen MT"/>
          <w:i/>
          <w:sz w:val="20"/>
        </w:rPr>
        <w:t xml:space="preserve"> </w:t>
      </w:r>
      <w:r>
        <w:rPr>
          <w:rFonts w:ascii="Tw Cen MT" w:cs="Times New Roman" w:hAnsi="Tw Cen MT"/>
          <w:sz w:val="20"/>
        </w:rPr>
        <w:t>eksrak kulit buah naga super merah dapat dibentuk dalam sediaan hidrogel dan mempunyai sifat mutu fisik yang baik</w:t>
      </w:r>
      <w:r>
        <w:rPr>
          <w:rFonts w:ascii="Tw Cen MT" w:cs="Times New Roman" w:hAnsi="Tw Cen MT"/>
          <w:sz w:val="20"/>
          <w:szCs w:val="20"/>
        </w:rPr>
        <w:t>.</w:t>
      </w:r>
      <w:r>
        <w:rPr>
          <w:rFonts w:ascii="Tw Cen MT" w:cs="Times New Roman" w:hAnsi="Tw Cen MT"/>
          <w:sz w:val="20"/>
          <w:szCs w:val="20"/>
        </w:rPr>
        <w:t xml:space="preserve"> </w:t>
      </w:r>
    </w:p>
    <w:p>
      <w:pPr>
        <w:pStyle w:val="style0"/>
        <w:tabs>
          <w:tab w:val="left" w:leader="none" w:pos="426"/>
        </w:tabs>
        <w:spacing w:after="0" w:lineRule="auto" w:line="240"/>
        <w:ind w:left="3150"/>
        <w:jc w:val="both"/>
        <w:rPr>
          <w:rFonts w:ascii="Tw Cen MT" w:cs="Twentieth Century" w:eastAsia="Twentieth Century" w:hAnsi="Tw Cen MT"/>
          <w:b/>
          <w:sz w:val="20"/>
          <w:szCs w:val="20"/>
        </w:rPr>
      </w:pPr>
      <w:r>
        <w:rPr>
          <w:rFonts w:ascii="Tw Cen MT" w:cs="Twentieth Century" w:eastAsia="Twentieth Century" w:hAnsi="Tw Cen MT"/>
          <w:b/>
          <w:sz w:val="20"/>
          <w:szCs w:val="20"/>
        </w:rPr>
        <w:t>Kata Kunci</w:t>
      </w:r>
      <w:r>
        <w:rPr>
          <w:rFonts w:ascii="Tw Cen MT" w:cs="Twentieth Century" w:eastAsia="Twentieth Century" w:hAnsi="Tw Cen MT"/>
          <w:b/>
          <w:sz w:val="20"/>
          <w:szCs w:val="20"/>
        </w:rPr>
        <w:t>:</w:t>
      </w:r>
    </w:p>
    <w:p>
      <w:pPr>
        <w:pStyle w:val="style0"/>
        <w:ind w:left="3150"/>
        <w:rPr>
          <w:rFonts w:ascii="Tw Cen MT" w:cs="Twentieth Century" w:eastAsia="Twentieth Century" w:hAnsi="Tw Cen MT"/>
          <w:sz w:val="20"/>
          <w:szCs w:val="20"/>
        </w:rPr>
      </w:pPr>
      <w:r>
        <w:rPr>
          <w:rFonts w:ascii="Tw Cen MT" w:hAnsi="Tw Cen MT"/>
          <w:noProof/>
        </w:rPr>
        <mc:AlternateContent>
          <mc:Choice Requires="wps">
            <w:drawing>
              <wp:anchor distT="0" distB="0" distL="0" distR="0" simplePos="false" relativeHeight="5" behindDoc="false" locked="false" layoutInCell="true" allowOverlap="true">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V relativeFrom="margin">
                  <wp14:pctHeight>0</wp14:pctHeight>
                </wp14:sizeRelV>
              </wp:anchor>
            </w:drawing>
          </mc:Choice>
          <mc:Fallback>
            <w:pict>
              <v:shape id="1029" type="#_x0000_t32" filled="f" style="position:absolute;margin-left:-3.0pt;margin-top:16.05pt;width:470.55pt;height:0.0pt;z-index:5;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r>
        <w:rPr>
          <w:rFonts w:ascii="Tw Cen MT" w:cs="Twentieth Century" w:eastAsia="Twentieth Century" w:hAnsi="Tw Cen MT"/>
          <w:sz w:val="20"/>
          <w:szCs w:val="20"/>
        </w:rPr>
        <w:t>Formulasi, hidrogel, Mutu fisik, stabilitas, eksrak kulit buah naga super merah</w:t>
      </w:r>
    </w:p>
    <w:p>
      <w:pPr>
        <w:pStyle w:val="style0"/>
        <w:rPr>
          <w:rFonts w:ascii="Tw Cen MT" w:cs="Twentieth Century" w:eastAsia="Twentieth Century" w:hAnsi="Tw Cen MT"/>
          <w:sz w:val="20"/>
          <w:szCs w:val="20"/>
        </w:rPr>
        <w:sectPr>
          <w:headerReference w:type="default" r:id="rId5"/>
          <w:footerReference w:type="default" r:id="rId6"/>
          <w:pgSz w:w="12240" w:h="15840" w:orient="portrait"/>
          <w:pgMar w:top="1440" w:right="1440" w:bottom="1440" w:left="1440" w:header="720" w:footer="720" w:gutter="0"/>
          <w:pgNumType w:start="1"/>
          <w:cols w:space="720"/>
        </w:sectPr>
      </w:pP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PENDAHULUAN</w:t>
      </w:r>
    </w:p>
    <w:commentRangeStart w:id="2"/>
    <w:p>
      <w:pPr>
        <w:pStyle w:val="style0"/>
        <w:spacing w:after="0" w:lineRule="auto" w:line="240"/>
        <w:jc w:val="both"/>
        <w:rPr>
          <w:rFonts w:ascii="Tw Cen MT" w:hAnsi="Tw Cen MT"/>
          <w:sz w:val="24"/>
        </w:rPr>
      </w:pPr>
      <w:r>
        <w:rPr>
          <w:rFonts w:ascii="Tw Cen MT" w:cs="Times New Roman" w:hAnsi="Tw Cen MT"/>
          <w:sz w:val="24"/>
        </w:rPr>
        <w:t>Kulit</w:t>
      </w:r>
      <w:commentRangeEnd w:id="2"/>
      <w:r>
        <w:rPr/>
        <w:commentReference w:id="2"/>
      </w:r>
      <w:r>
        <w:rPr>
          <w:rFonts w:ascii="Tw Cen MT" w:cs="Times New Roman" w:hAnsi="Tw Cen MT"/>
          <w:sz w:val="24"/>
        </w:rPr>
        <w:t xml:space="preserve"> merupakan organ tubuh yang terletak paling luar dari tubuh manusia. Kulit merupakan organ tubuh yang paling kompleks untuk melindungi manusia dari pengaruh lingkungan. Kulit dikatakan sehat dan normal apabila lapisan luar kulit </w:t>
      </w:r>
      <w:r>
        <w:rPr>
          <w:rFonts w:ascii="Tw Cen MT" w:cs="Times New Roman" w:hAnsi="Tw Cen MT"/>
          <w:sz w:val="24"/>
        </w:rPr>
        <w:t xml:space="preserve">mengandung lebih dari 10% air </w:t>
      </w:r>
      <w:r>
        <w:rPr>
          <w:rFonts w:ascii="Tw Cen MT" w:cs="Times New Roman" w:hAnsi="Tw Cen MT"/>
          <w:sz w:val="24"/>
        </w:rPr>
        <w:fldChar w:fldCharType="begin"/>
      </w:r>
      <w:r>
        <w:rPr>
          <w:rFonts w:ascii="Tw Cen MT" w:cs="Times New Roman" w:hAnsi="Tw Cen MT"/>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cs="Times New Roman" w:hAnsi="Tw Cen MT"/>
          <w:sz w:val="24"/>
        </w:rPr>
        <w:fldChar w:fldCharType="separate"/>
      </w:r>
      <w:r>
        <w:rPr>
          <w:rFonts w:ascii="Tw Cen MT" w:cs="Times New Roman" w:hAnsi="Tw Cen MT"/>
          <w:noProof/>
          <w:sz w:val="24"/>
        </w:rPr>
        <w:t>[1]</w:t>
      </w:r>
      <w:r>
        <w:rPr>
          <w:rFonts w:ascii="Tw Cen MT" w:cs="Times New Roman" w:hAnsi="Tw Cen MT"/>
          <w:sz w:val="24"/>
        </w:rPr>
        <w:fldChar w:fldCharType="end"/>
      </w:r>
      <w:r>
        <w:rPr>
          <w:rFonts w:ascii="Tw Cen MT" w:cs="Times New Roman" w:hAnsi="Tw Cen MT"/>
          <w:sz w:val="24"/>
        </w:rPr>
        <w:t xml:space="preserve">. Masalah kulit wajah merupakan salah satu yang paling sering ditemui. Meskipun rata-rata tidak menyakitkan atau berbahaya, namun masalah kulit wajah seringkali membuat stress karena mudah terlihat, </w:t>
      </w:r>
      <w:r>
        <w:rPr>
          <w:rFonts w:ascii="Tw Cen MT" w:cs="Times New Roman" w:hAnsi="Tw Cen MT"/>
          <w:sz w:val="24"/>
        </w:rPr>
        <w:t xml:space="preserve">dapat mempengaruhi kepercayaan diri seseorang </w:t>
      </w:r>
      <w:r>
        <w:rPr>
          <w:rFonts w:ascii="Tw Cen MT" w:cs="Times New Roman" w:hAnsi="Tw Cen MT"/>
          <w:sz w:val="24"/>
        </w:rPr>
        <w:fldChar w:fldCharType="begin"/>
      </w:r>
      <w:r>
        <w:rPr>
          <w:rFonts w:ascii="Tw Cen MT" w:cs="Times New Roman" w:hAnsi="Tw Cen MT"/>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cs="Arial" w:hAnsi="Arial"/>
          <w:sz w:val="24"/>
        </w:rPr>
        <w:instrText>−</w:instrText>
      </w:r>
      <w:r>
        <w:rPr>
          <w:rFonts w:ascii="Tw Cen MT" w:cs="Times New Roman" w:hAnsi="Tw Cen MT"/>
          <w:sz w:val="24"/>
        </w:rPr>
        <w:instrText>protein docking tools. Here, we test the small molecule flexible ligand docking program Glide on a set of 19 non-</w:instrText>
      </w:r>
      <w:r>
        <w:rPr>
          <w:rFonts w:ascii="Tw Cen MT" w:cs="Times New Roman" w:hAnsi="Tw Cen MT" w:hint="eastAsia"/>
          <w:sz w:val="24"/>
        </w:rPr>
        <w:instrText>α</w:instrText>
      </w:r>
      <w:r>
        <w:rPr>
          <w:rFonts w:ascii="Tw Cen MT" w:cs="Times New Roman"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cs="Times New Roman" w:hAnsi="Tw Cen MT"/>
          <w:sz w:val="24"/>
        </w:rPr>
        <w:fldChar w:fldCharType="separate"/>
      </w:r>
      <w:r>
        <w:rPr>
          <w:rFonts w:ascii="Tw Cen MT" w:cs="Times New Roman" w:hAnsi="Tw Cen MT"/>
          <w:noProof/>
          <w:sz w:val="24"/>
        </w:rPr>
        <w:t>[2]</w:t>
      </w:r>
      <w:r>
        <w:rPr>
          <w:rFonts w:ascii="Tw Cen MT" w:cs="Times New Roman" w:hAnsi="Tw Cen MT"/>
          <w:sz w:val="24"/>
        </w:rPr>
        <w:fldChar w:fldCharType="end"/>
      </w:r>
      <w:r>
        <w:rPr>
          <w:rFonts w:ascii="Tw Cen MT" w:cs="Times New Roman" w:hAnsi="Tw Cen MT"/>
          <w:sz w:val="24"/>
        </w:rPr>
        <w:t>.</w:t>
      </w:r>
    </w:p>
    <w:p>
      <w:pPr>
        <w:pStyle w:val="style179"/>
        <w:spacing w:lineRule="auto" w:line="240"/>
        <w:ind w:left="0"/>
        <w:jc w:val="both"/>
        <w:rPr>
          <w:rFonts w:ascii="Times New Roman" w:hAnsi="Times New Roman"/>
          <w:sz w:val="24"/>
        </w:rPr>
      </w:pPr>
      <w:r>
        <w:rPr>
          <w:rFonts w:ascii="Tw Cen MT" w:hAnsi="Tw Cen MT"/>
          <w:sz w:val="24"/>
        </w:rPr>
        <w:t>Tanaman buah naga (</w:t>
      </w:r>
      <w:r>
        <w:rPr>
          <w:rFonts w:ascii="Tw Cen MT" w:hAnsi="Tw Cen MT"/>
          <w:i/>
          <w:iCs/>
          <w:sz w:val="24"/>
        </w:rPr>
        <w:t>Hylocereus costaricencis</w:t>
      </w:r>
      <w:r>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Pr>
          <w:rFonts w:ascii="Tw Cen MT" w:hAnsi="Tw Cen MT"/>
          <w:sz w:val="24"/>
        </w:rPr>
        <w:t>. .</w:t>
      </w:r>
      <w:r>
        <w:rPr>
          <w:rFonts w:ascii="Tw Cen MT" w:hAnsi="Tw Cen MT"/>
          <w:sz w:val="24"/>
        </w:rPr>
        <w:t xml:space="preserve"> Kulit buah naga memiliki aktivitas antioksidan terkait dengan kandungan antosianin didalamnnya</w:t>
      </w:r>
      <w:r>
        <w:rPr>
          <w:rFonts w:ascii="Tw Cen MT" w:hAnsi="Tw Cen MT"/>
          <w:color w:val="000000"/>
          <w:sz w:val="24"/>
        </w:rPr>
        <w:t xml:space="preserve">. </w:t>
      </w:r>
      <w:r>
        <w:rPr>
          <w:rFonts w:ascii="Tw Cen MT" w:hAnsi="Tw Cen MT"/>
          <w:sz w:val="24"/>
        </w:rPr>
        <w:t xml:space="preserve">Antosianin dari kulit buah naga digunakan untuk melindungi kulit dari kerusakan akibat oksidasi sehingga dapat mencegah penuaan dini atau yang biasa dikenal dengan antiaging </w:t>
      </w:r>
      <w:r>
        <w:rPr>
          <w:rFonts w:ascii="Tw Cen MT" w:hAnsi="Tw Cen MT"/>
          <w:sz w:val="24"/>
        </w:rPr>
        <w:fldChar w:fldCharType="begin"/>
      </w:r>
      <w:r>
        <w:rPr>
          <w:rFonts w:ascii="Tw Cen MT" w:hAnsi="Tw Cen MT"/>
          <w:sz w:val="24"/>
        </w:rPr>
        <w:instrText>ADDIN CSL_CITATION {"citationItems":[{"id":"ITEM-1","itemData":{"DOI":"10.15294/jbat.v1i2.2545","ISSN":"2407-2370","abstract":"nelitian antara lain varietas buah naga, konsentrasi asam sitrat dalam pelarut, suhu ekstraksi, dan waktu ekstraksi. Potongan kulit buah naga diekstraksi dengan pelarut aquades dan asam sitrat dengan perbandingan tertentu, pada suhu ekstraksi 25-800C dan waktu ekstraksi 0,5-3 jam. Analisis kadar antosianin dilakukan dengan analisa antosianin metode Glusti dan Wrol-stad. Hasil percobaan diperoleh bahwa varietas buah naga daging merah menghasilkan kadar antosianin terbesar 22,59335 ppm. Selain itu kadar antosianin terbesar diperoleh pada vari-asi pelarut aquades:asam sitrat (5:1) 26,4587 ppm, variasi pada suhu kamar menghasilkan 21,5028 ppm dan waktu pengadukan 3 jam menghasilkan 23,3027 ppm. Pewarna alami ini telah diaplikasikan pada makanan dan diujikan pada tikus putih, hasil uji coba menunjukkan pewarna buah naga dapat dipakai sebagai pewarna alami makanan. Kata kunci: kulit buah naga, pewarna makanan, ekstraksi, antosianin ABSTRACT Dragon fruit peel is agricultural waste which contains quite high natural pigments of antho-cyanins. Anthocyanin is a dye that potentially provides a red natural colorant for food and alternatively used as synthetic dye which is safe for health. In this study, the process of taking anthocyanin was conducted using extraction method. The solvent used was distilled water. The variables observed in the research include dragon fruit varieties, the concentration of citric acid in the solvent, extraction temperature, and extraction time. The dragon fruit peel was extracted using solvents of distilled water and citric acid at a certain ratio, at extraction temperature varies from 25-80oC with the extraction time varies from 0.5 to 3 hours. The analysis of anthocyanin concentration was conducted by using Glusti and Wrolstad method. The experimental result shows the red dragon fruit varieties produced the greatest concentration of anthocyanin (22.59335 ppm). Moreover, the result shows the greatest concentration of anthocyanin obtained from the following variations, i.e. the 5:1 solvent ratio of distilled water : citric acid produces 26.4587ppm, the extraction at room temperature produced 21.5028","author":[{"dropping-particle":"","family":"Fruit","given":"Dragon","non-dropping-particle":"","parse-names":false,"suffix":""}],"container-title":"Jurnal Bahan Alam Terbarukan","id":"ITEM-1","issue":"2","issued":{"date-parts":[["2013"]]},"page":"75017","title":"PEMANFAATAN KULIT BUAH NAGA (Dragon Fruit) SEBAGAI PEWARNA ALAMI MAKANAN PENGGANTI PEWARNA SINTETIS","type":"article-journal","volume":"1"},"uris":["http://www.mendeley.com/documents/?uuid=11f148bb-0a64-4ad8-a99a-ea0525591547"]}],"mendeley":{"formattedCitation":"[3]","manualFormatting":"(Handayani, 2013)","plainTextFormattedCitation":"[3]","previouslyFormattedCitation":"[3]"},"properties":{"noteIndex":0},"schema":"https://github.com/citation-style-language/schema/raw/master/csl-citation.json"}</w:instrText>
      </w:r>
      <w:r>
        <w:rPr>
          <w:rFonts w:ascii="Tw Cen MT" w:hAnsi="Tw Cen MT"/>
          <w:sz w:val="24"/>
        </w:rPr>
        <w:fldChar w:fldCharType="separate"/>
      </w:r>
      <w:r>
        <w:rPr>
          <w:rFonts w:ascii="Tw Cen MT" w:hAnsi="Tw Cen MT"/>
          <w:noProof/>
          <w:sz w:val="24"/>
        </w:rPr>
        <w:t>(Handayani, 2013)</w:t>
      </w:r>
      <w:r>
        <w:rPr>
          <w:rFonts w:ascii="Tw Cen MT" w:hAnsi="Tw Cen MT"/>
          <w:sz w:val="24"/>
        </w:rPr>
        <w:fldChar w:fldCharType="end"/>
      </w:r>
      <w:r>
        <w:rPr>
          <w:rFonts w:ascii="Tw Cen MT" w:hAnsi="Tw Cen MT"/>
          <w:sz w:val="24"/>
        </w:rPr>
        <w:t>.</w:t>
      </w:r>
    </w:p>
    <w:p>
      <w:pPr>
        <w:pStyle w:val="style179"/>
        <w:spacing w:lineRule="auto" w:line="240"/>
        <w:ind w:left="0"/>
        <w:jc w:val="both"/>
        <w:rPr>
          <w:rFonts w:ascii="Times New Roman" w:hAnsi="Times New Roman"/>
          <w:sz w:val="24"/>
        </w:rPr>
      </w:pPr>
      <w:r>
        <w:rPr>
          <w:rFonts w:ascii="Times New Roman" w:hAnsi="Times New Roman"/>
          <w:sz w:val="24"/>
        </w:rPr>
        <w:t>Ekstraksi merupakan</w:t>
      </w:r>
      <w:r>
        <w:rPr>
          <w:rFonts w:ascii="Times New Roman" w:hAnsi="Times New Roman"/>
          <w:sz w:val="24"/>
        </w:rPr>
        <w:t xml:space="preserve"> sebuah</w:t>
      </w:r>
      <w:r>
        <w:rPr>
          <w:rFonts w:ascii="Times New Roman" w:hAnsi="Times New Roman"/>
          <w:sz w:val="24"/>
        </w:rPr>
        <w:t xml:space="preserve"> proses </w:t>
      </w:r>
      <w:r>
        <w:rPr>
          <w:rFonts w:ascii="Tw Cen MT" w:hAnsi="Tw Cen MT"/>
          <w:sz w:val="24"/>
        </w:rPr>
        <w:t>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Pr>
          <w:rFonts w:ascii="Tw Cen MT" w:hAnsi="Tw Cen MT"/>
          <w:sz w:val="28"/>
        </w:rPr>
        <w:t xml:space="preserve"> </w:t>
      </w:r>
      <w:r>
        <w:rPr>
          <w:rFonts w:ascii="Tw Cen MT" w:hAnsi="Tw Cen MT"/>
          <w:sz w:val="24"/>
        </w:rPr>
        <w:fldChar w:fldCharType="begin"/>
      </w:r>
      <w:r>
        <w:rPr>
          <w:rFonts w:ascii="Tw Cen MT" w:hAnsi="Tw Cen MT"/>
          <w:sz w:val="24"/>
        </w:rPr>
        <w:instrText>ADDIN CSL_CITATION {"citationItems":[{"id":"ITEM-1","itemData":{"DOI":"10.35316/tinctura.v2i1.1546","ISSN":"2715-8012","abstract":"Betel is a medicinal plant that has the main chemical content which gives the betel leaf the characteristic characteristic of being essential oil. The extraction process using maceration technique is carried out by shaking several times or stirring at room temperature. The advantage of this method is easy and does not need heating so that natural materials are less likely to be damaged or decomposed. The purpose of this study was to determine the effect of maceration time (immersion) on the viscosity of betel leaf extract (Piper betle). The design of this research is quantitative descriptive, which describes the comparison of maceration extracts at different times. The results then calculate the yield. The sample used in this study is betel plant grown in the Green House Pharmacy at Ibrahimy University. Based on the results of the extraction of betel leaf maceration, the highest yield value was seen in the treatment with a soaking time of 72 hours, namely 8.15%. The average yield value of maceration extraction was 7.83%.\r ABSTRAK\r  \r Sirih merupakan salah satu jenis tanaman obat yang memiliki kandungan kimia khas sebagai ciri utama daun sirih ialah minyak atsiri. Proses ekstraksi secara maserasi dilakukan dalam beberapa kali pengocokan atau pengadukan pada suhu ruang. Maserasi dipilih karena mudah dan tidak perlu pemanasan sehingga kecil kemungkinan bahan alam menjadi rusak atau terurai. Tujuan penelitian ini ialah mengetahui pengaruh lama waktu maserasi (perendaman) terhadap kekentalan ekstrak daun sirih (Piper betle). Desain penelitian adalah deskriptif kuantitatif yaitu menggambarkan hasil perbandingan ekstrak maserasi pada waktu yang berbeda. Hasil selanjutnya dilakukan perhitungan persentase rendemen. Sampel yang digunakan merupakan tanaman sirih yang ditanam di Green House Farmasi Universitas Ibrahimy. Berdasarkan hasil ektraksi maserasi daun sirih didapatkan nilai rendemen tertinggi nampak pada waktu perendaman 72 jam yaitu 8.15%. Adapun nilai rendemen rata-rata hasil ekstraksi maserasi sebesar 7,83 %.","author":[{"dropping-particle":"","family":"Handoyo","given":"Diana Lady Yunita","non-dropping-particle":"","parse-names":false,"suffix":""}],"container-title":"Jurnal Farmasi Tinctura","id":"ITEM-1","issue":"1","issued":{"date-parts":[["2020"]]},"page":"34-41","title":"The Influence Of Maseration Time (Immeration) On The Vocity Of Birthleaf Extract (Piper Betle)","type":"article-journal","volume":"2"},"uris":["http://www.mendeley.com/documents/?uuid=22b37c40-37d9-48f3-8016-8b47e330f266"]}],"mendeley":{"formattedCitation":"[4]","plainTextFormattedCitation":"[4]","previouslyFormattedCitation":"[4]"},"properties":{"noteIndex":0},"schema":"https://github.com/citation-style-language/schema/raw/master/csl-citation.json"}</w:instrText>
      </w:r>
      <w:r>
        <w:rPr>
          <w:rFonts w:ascii="Tw Cen MT" w:hAnsi="Tw Cen MT"/>
          <w:sz w:val="24"/>
        </w:rPr>
        <w:fldChar w:fldCharType="separate"/>
      </w:r>
      <w:r>
        <w:rPr>
          <w:rFonts w:ascii="Tw Cen MT" w:hAnsi="Tw Cen MT"/>
          <w:noProof/>
          <w:sz w:val="24"/>
        </w:rPr>
        <w:t>[4]</w:t>
      </w:r>
      <w:r>
        <w:rPr>
          <w:rFonts w:ascii="Tw Cen MT" w:hAnsi="Tw Cen MT"/>
          <w:sz w:val="24"/>
        </w:rPr>
        <w:fldChar w:fldCharType="end"/>
      </w:r>
    </w:p>
    <w:p>
      <w:pPr>
        <w:pStyle w:val="style179"/>
        <w:spacing w:lineRule="auto" w:line="240"/>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 xml:space="preserve">Hidrogel merupakan sediaan farmasi semi padat, dengan basis bersifat hidrofilik. Hidrogel memiliki keunggulan mudah digunakan, mudah di bersihkan, </w:t>
      </w:r>
      <w:r>
        <w:rPr>
          <w:rFonts w:ascii="Tw Cen MT" w:hAnsi="Tw Cen MT"/>
          <w:sz w:val="24"/>
          <w:szCs w:val="24"/>
        </w:rPr>
        <w:fldChar w:fldCharType="begin"/>
      </w:r>
      <w:r>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[5]","plainTextFormattedCitation":"[5]","previouslyFormattedCitation":"[5]"},"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[5]</w:t>
      </w:r>
      <w:r>
        <w:rPr>
          <w:rFonts w:ascii="Tw Cen MT" w:hAnsi="Tw Cen MT"/>
          <w:sz w:val="24"/>
          <w:szCs w:val="24"/>
        </w:rPr>
        <w:fldChar w:fldCharType="end"/>
      </w:r>
      <w:r>
        <w:rPr>
          <w:rFonts w:ascii="Tw Cen MT" w:hAnsi="Tw Cen MT"/>
          <w:sz w:val="24"/>
          <w:szCs w:val="24"/>
        </w:rPr>
        <w:t>.</w:t>
      </w:r>
      <w:r>
        <w:rPr>
          <w:rFonts w:ascii="Tw Cen MT" w:hAnsi="Tw Cen MT"/>
          <w:sz w:val="24"/>
          <w:szCs w:val="24"/>
        </w:rPr>
        <w:t xml:space="preserve"> Hidrogel </w:t>
      </w:r>
      <w:r>
        <w:rPr>
          <w:rFonts w:ascii="Tw Cen MT" w:hAnsi="Tw Cen MT"/>
          <w:sz w:val="24"/>
          <w:szCs w:val="24"/>
        </w:rPr>
        <w:t>mempunyai kandungan air terbanyak dibandngkan sediaan hidroalkoholik gel dan emugel sehingga dapat membantu penetrasi perkutan dengan cara menghidrasi kulit</w:t>
      </w:r>
      <w:commentRangeStart w:id="3"/>
      <w:r>
        <w:rPr>
          <w:rFonts w:ascii="Tw Cen MT" w:hAnsi="Tw Cen MT"/>
          <w:sz w:val="24"/>
          <w:szCs w:val="24"/>
        </w:rPr>
        <w:fldChar w:fldCharType="begin"/>
      </w:r>
      <w:r>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given":"","non-dropping-particle":"","parse-names":false,"suffix":""},{"dropping-particle":"","family":"","given":"","non-dropping-particle":"","parse-names":false,"suffix":""},{"dropping-particle":"","family":"","given":"","non-dropping-particle":"","parse-names":false,"suffix":""},{"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[6]","plainText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[6]</w:t>
      </w:r>
      <w:r>
        <w:rPr>
          <w:rFonts w:ascii="Tw Cen MT" w:hAnsi="Tw Cen MT"/>
          <w:sz w:val="24"/>
          <w:szCs w:val="24"/>
        </w:rPr>
        <w:fldChar w:fldCharType="end"/>
      </w:r>
      <w:commentRangeEnd w:id="3"/>
      <w:r>
        <w:rPr/>
        <w:commentReference w:id="3"/>
      </w: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METODE </w:t>
      </w:r>
      <w:r>
        <w:rPr>
          <w:rFonts w:ascii="Tw Cen MT" w:cs="Twentieth Century" w:eastAsia="Twentieth Century" w:hAnsi="Tw Cen MT"/>
          <w:b/>
          <w:sz w:val="24"/>
          <w:szCs w:val="24"/>
        </w:rPr>
        <w:t>PENELITIAN</w:t>
      </w: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Alat </w:t>
      </w:r>
      <w:r>
        <w:rPr>
          <w:rFonts w:ascii="Tw Cen MT" w:cs="Twentieth Century" w:eastAsia="Twentieth Century" w:hAnsi="Tw Cen MT"/>
          <w:b/>
          <w:sz w:val="24"/>
          <w:szCs w:val="24"/>
        </w:rPr>
        <w:t>d</w:t>
      </w:r>
      <w:r>
        <w:rPr>
          <w:rFonts w:ascii="Tw Cen MT" w:cs="Twentieth Century" w:eastAsia="Twentieth Century" w:hAnsi="Tw Cen MT"/>
          <w:b/>
          <w:sz w:val="24"/>
          <w:szCs w:val="24"/>
        </w:rPr>
        <w:t>an Bahan</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r>
        <w:rPr>
          <w:rFonts w:ascii="Tw Cen MT" w:hAnsi="Tw Cen MT"/>
          <w:sz w:val="24"/>
          <w:szCs w:val="24"/>
        </w:rPr>
        <w:t xml:space="preserve"> ),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digunakan adalah</w:t>
      </w:r>
      <w:r>
        <w:rPr>
          <w:rFonts w:ascii="Tw Cen MT" w:hAnsi="Tw Cen MT"/>
          <w:sz w:val="24"/>
          <w:szCs w:val="24"/>
        </w:rPr>
        <w:t xml:space="preserve"> </w:t>
      </w:r>
      <w:r>
        <w:rPr>
          <w:rFonts w:ascii="Tw Cen MT" w:cs="Times New Roman" w:hAnsi="Tw Cen MT"/>
          <w:sz w:val="24"/>
          <w:szCs w:val="24"/>
        </w:rPr>
        <w:t>adalah aqua destilasi, karbopol 940, ekstrak kulit buah naga, propilen glikol, metil paraben, propil paraben dan TEA (tritanolamin).</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p>
    <w:p>
      <w:pPr>
        <w:pStyle w:val="style0"/>
        <w:tabs>
          <w:tab w:val="left" w:leader="none" w:pos="709"/>
          <w:tab w:val="left" w:leader="none" w:pos="851"/>
          <w:tab w:val="left" w:leader="none" w:pos="1134"/>
        </w:tabs>
        <w:spacing w:after="0" w:lineRule="auto" w:line="240"/>
        <w:jc w:val="both"/>
        <w:rPr>
          <w:rFonts w:ascii="Tw Cen MT" w:cs="Times New Roman" w:hAnsi="Tw Cen MT"/>
          <w:b/>
          <w:sz w:val="24"/>
          <w:szCs w:val="24"/>
        </w:rPr>
      </w:pPr>
      <w:r>
        <w:rPr>
          <w:rFonts w:ascii="Tw Cen MT" w:cs="Times New Roman" w:hAnsi="Tw Cen MT"/>
          <w:b/>
          <w:sz w:val="24"/>
          <w:szCs w:val="24"/>
        </w:rPr>
        <w:t>Pengambilan Sampel</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r>
        <w:rPr>
          <w:rFonts w:ascii="Tw Cen MT" w:cs="Times New Roman" w:hAnsi="Tw Cen MT"/>
          <w:sz w:val="24"/>
          <w:szCs w:val="24"/>
        </w:rPr>
        <w:t>Sampel yang digunakan pada penelitian ini adalah buah naga super merah (</w:t>
      </w:r>
      <w:r>
        <w:rPr>
          <w:rFonts w:ascii="Tw Cen MT" w:cs="Times New Roman" w:hAnsi="Tw Cen MT"/>
          <w:i/>
          <w:sz w:val="24"/>
          <w:szCs w:val="24"/>
        </w:rPr>
        <w:t>Selenicereus costaricensis</w:t>
      </w:r>
      <w:r>
        <w:rPr>
          <w:rFonts w:ascii="Tw Cen MT" w:cs="Times New Roman" w:hAnsi="Tw Cen MT"/>
          <w:sz w:val="24"/>
          <w:szCs w:val="24"/>
        </w:rPr>
        <w:t>) segar yang diambl sebanyak 4 kg yang diperoleh dari Gaduik, Kabupaten Agam, Sumatera Barat.</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p>
    <w:p>
      <w:pPr>
        <w:pStyle w:val="style0"/>
        <w:tabs>
          <w:tab w:val="left" w:leader="none" w:pos="709"/>
          <w:tab w:val="left" w:leader="none" w:pos="851"/>
          <w:tab w:val="left" w:leader="none" w:pos="1134"/>
        </w:tabs>
        <w:spacing w:after="0" w:lineRule="auto" w:line="240"/>
        <w:jc w:val="both"/>
        <w:rPr>
          <w:rFonts w:ascii="Tw Cen MT" w:cs="Times New Roman" w:hAnsi="Tw Cen MT"/>
          <w:b/>
          <w:sz w:val="24"/>
          <w:szCs w:val="24"/>
        </w:rPr>
      </w:pPr>
      <w:r>
        <w:rPr>
          <w:rFonts w:ascii="Tw Cen MT" w:cs="Times New Roman" w:hAnsi="Tw Cen MT"/>
          <w:b/>
          <w:sz w:val="24"/>
          <w:szCs w:val="24"/>
        </w:rPr>
        <w:t>Determinacy</w:t>
      </w:r>
      <w:r>
        <w:rPr>
          <w:rFonts w:ascii="Tw Cen MT" w:cs="Times New Roman" w:hAnsi="Tw Cen MT"/>
          <w:b/>
          <w:sz w:val="24"/>
          <w:szCs w:val="24"/>
        </w:rPr>
        <w:t xml:space="preserve"> tanaman</w:t>
      </w:r>
      <w:r>
        <w:rPr>
          <w:rFonts w:ascii="Tw Cen MT" w:cs="Times New Roman" w:hAnsi="Tw Cen MT"/>
          <w:b/>
          <w:sz w:val="24"/>
          <w:szCs w:val="24"/>
        </w:rPr>
        <w:tab/>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r>
        <w:rPr>
          <w:rFonts w:ascii="Tw Cen MT" w:cs="Times New Roman" w:hAnsi="Tw Cen MT"/>
          <w:sz w:val="24"/>
          <w:szCs w:val="24"/>
        </w:rPr>
        <w:t>Determinasi tanaman dilakukan di Hebarium FMIPA Universitas Andalas (ANDA) Padang.</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p>
    <w:p>
      <w:pPr>
        <w:pStyle w:val="style0"/>
        <w:tabs>
          <w:tab w:val="left" w:leader="none" w:pos="709"/>
          <w:tab w:val="left" w:leader="none" w:pos="851"/>
          <w:tab w:val="left" w:leader="none" w:pos="1134"/>
        </w:tabs>
        <w:spacing w:after="0" w:lineRule="auto" w:line="240"/>
        <w:jc w:val="both"/>
        <w:rPr>
          <w:rFonts w:ascii="Tw Cen MT" w:cs="Times New Roman" w:hAnsi="Tw Cen MT"/>
          <w:b/>
          <w:sz w:val="24"/>
          <w:szCs w:val="24"/>
        </w:rPr>
      </w:pPr>
      <w:r>
        <w:rPr>
          <w:rFonts w:ascii="Tw Cen MT" w:cs="Times New Roman" w:hAnsi="Tw Cen MT"/>
          <w:b/>
          <w:sz w:val="24"/>
          <w:szCs w:val="24"/>
        </w:rPr>
        <w:t>Penyiapan Sampel</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r>
        <w:rPr>
          <w:rFonts w:ascii="Tw Cen MT" w:cs="Times New Roman" w:hAnsi="Tw Cen MT"/>
          <w:sz w:val="24"/>
          <w:szCs w:val="24"/>
        </w:rPr>
        <w:t>Buah naga dicuci bersih dan dikupas untuk memisahkan</w:t>
      </w:r>
      <w:r>
        <w:rPr>
          <w:rFonts w:ascii="Tw Cen MT" w:cs="Times New Roman" w:hAnsi="Tw Cen MT"/>
          <w:sz w:val="24"/>
          <w:szCs w:val="24"/>
        </w:rPr>
        <w:t xml:space="preserve"> </w:t>
      </w:r>
    </w:p>
    <w:p>
      <w:pPr>
        <w:pStyle w:val="style0"/>
        <w:tabs>
          <w:tab w:val="left" w:leader="none" w:pos="709"/>
          <w:tab w:val="left" w:leader="none" w:pos="851"/>
          <w:tab w:val="left" w:leader="none" w:pos="1134"/>
        </w:tabs>
        <w:spacing w:after="0" w:lineRule="auto" w:line="240"/>
        <w:jc w:val="both"/>
        <w:rPr>
          <w:rFonts w:ascii="Tw Cen MT" w:cs="Times New Roman" w:hAnsi="Tw Cen MT"/>
          <w:sz w:val="24"/>
          <w:szCs w:val="24"/>
        </w:rPr>
      </w:pPr>
      <w:r>
        <w:rPr>
          <w:rFonts w:ascii="Tw Cen MT" w:cs="Times New Roman" w:hAnsi="Tw Cen MT"/>
          <w:sz w:val="24"/>
          <w:szCs w:val="24"/>
        </w:rPr>
        <w:t xml:space="preserve">daging bua denga kulitnya, kemudian dipotong dadu dan diblender halus sampai menjadi </w:t>
      </w:r>
      <w:commentRangeStart w:id="4"/>
      <w:r>
        <w:rPr>
          <w:rFonts w:ascii="Tw Cen MT" w:cs="Times New Roman" w:hAnsi="Tw Cen MT"/>
          <w:sz w:val="24"/>
          <w:szCs w:val="24"/>
        </w:rPr>
        <w:t>bubur</w:t>
      </w:r>
      <w:commentRangeEnd w:id="4"/>
      <w:r>
        <w:rPr/>
        <w:commentReference w:id="4"/>
      </w:r>
    </w:p>
    <w:p>
      <w:pPr>
        <w:pStyle w:val="style0"/>
        <w:spacing w:after="0" w:lineRule="auto" w:line="240"/>
        <w:jc w:val="both"/>
        <w:rPr>
          <w:rFonts w:ascii="Tw Cen MT" w:cs="Twentieth Century" w:eastAsia="Twentieth Century" w:hAnsi="Tw Cen MT"/>
          <w:b/>
          <w:sz w:val="24"/>
          <w:szCs w:val="24"/>
        </w:rPr>
      </w:pP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Proses Ekstraksi </w:t>
      </w:r>
    </w:p>
    <w:p>
      <w:pPr>
        <w:pStyle w:val="style0"/>
        <w:spacing w:after="0" w:lineRule="auto" w:line="240"/>
        <w:jc w:val="both"/>
        <w:rPr>
          <w:rFonts w:ascii="Tw Cen MT" w:cs="Twentieth Century" w:eastAsia="Twentieth Century" w:hAnsi="Tw Cen MT"/>
          <w:sz w:val="24"/>
          <w:szCs w:val="24"/>
        </w:rPr>
      </w:pPr>
      <w:r>
        <w:rPr>
          <w:rFonts w:ascii="Tw Cen MT" w:cs="Twentieth Century" w:eastAsia="Twentieth Century" w:hAnsi="Tw Cen MT"/>
          <w:sz w:val="24"/>
          <w:szCs w:val="24"/>
        </w:rPr>
        <w:t>Proses ekstraksi dilakukan menggunakan teknik esktraksi ultrasonik (</w:t>
      </w:r>
      <w:r>
        <w:rPr>
          <w:rFonts w:ascii="Tw Cen MT" w:cs="Twentieth Century" w:eastAsia="Twentieth Century" w:hAnsi="Tw Cen MT"/>
          <w:i/>
          <w:sz w:val="24"/>
          <w:szCs w:val="24"/>
        </w:rPr>
        <w:t>Ultrasonic Assisted</w:t>
      </w:r>
      <w:r>
        <w:rPr>
          <w:rFonts w:ascii="Tw Cen MT" w:cs="Twentieth Century" w:eastAsia="Twentieth Century" w:hAnsi="Tw Cen MT"/>
          <w:sz w:val="24"/>
          <w:szCs w:val="24"/>
        </w:rPr>
        <w:t>)</w:t>
      </w:r>
      <w:r>
        <w:rPr>
          <w:rFonts w:ascii="Tw Cen MT" w:cs="Twentieth Century" w:eastAsia="Twentieth Century" w:hAnsi="Tw Cen MT"/>
          <w:sz w:val="24"/>
          <w:szCs w:val="24"/>
        </w:rPr>
        <w:t>, sebanyak 600 g kulit buah naga super merah</w:t>
      </w:r>
      <w:r>
        <w:rPr>
          <w:rFonts w:ascii="Tw Cen MT" w:cs="Twentieth Century" w:eastAsia="Twentieth Century" w:hAnsi="Tw Cen MT"/>
          <w:sz w:val="24"/>
          <w:szCs w:val="24"/>
        </w:rPr>
        <w:t xml:space="preserve"> dihomogenkan den</w:t>
      </w:r>
      <w:r>
        <w:rPr>
          <w:rFonts w:ascii="Tw Cen MT" w:cs="Twentieth Century" w:eastAsia="Twentieth Century" w:hAnsi="Tw Cen MT"/>
          <w:sz w:val="24"/>
          <w:szCs w:val="24"/>
          <w:highlight w:val="yellow"/>
        </w:rPr>
        <w:t>ag</w:t>
      </w:r>
      <w:r>
        <w:rPr>
          <w:rFonts w:ascii="Tw Cen MT" w:cs="Twentieth Century" w:eastAsia="Twentieth Century" w:hAnsi="Tw Cen MT"/>
          <w:sz w:val="24"/>
          <w:szCs w:val="24"/>
        </w:rPr>
        <w:t xml:space="preserve">n 300 ml air suling 2:1 (b/v). Campuran kemudian ditempatkan dalam </w:t>
      </w:r>
      <w:r>
        <w:rPr>
          <w:rFonts w:ascii="Tw Cen MT" w:cs="Twentieth Century" w:eastAsia="Twentieth Century" w:hAnsi="Tw Cen MT"/>
          <w:i/>
          <w:sz w:val="24"/>
          <w:szCs w:val="24"/>
        </w:rPr>
        <w:t xml:space="preserve">ultrasonic bath </w:t>
      </w:r>
      <w:r>
        <w:rPr>
          <w:rFonts w:ascii="Tw Cen MT" w:cs="Twentieth Century" w:eastAsia="Twentieth Century" w:hAnsi="Tw Cen MT"/>
          <w:sz w:val="24"/>
          <w:szCs w:val="24"/>
        </w:rPr>
        <w:t xml:space="preserve">dan </w:t>
      </w:r>
      <w:r>
        <w:rPr>
          <w:rFonts w:ascii="Tw Cen MT" w:cs="Twentieth Century" w:eastAsia="Twentieth Century" w:hAnsi="Tw Cen MT"/>
          <w:sz w:val="24"/>
          <w:szCs w:val="24"/>
        </w:rPr>
        <w:t xml:space="preserve">disonikasi pada 50KHz selama 30 menit dan di tambahkan es batu agar suhu konstan 25°C. Ampasnya dipisahkan dari ekstrak menggunakan corong </w:t>
      </w:r>
      <w:r>
        <w:rPr>
          <w:rFonts w:ascii="Tw Cen MT" w:cs="Twentieth Century" w:eastAsia="Twentieth Century" w:hAnsi="Tw Cen MT"/>
          <w:i/>
          <w:sz w:val="24"/>
          <w:szCs w:val="24"/>
        </w:rPr>
        <w:t xml:space="preserve">Buchner funnel </w:t>
      </w:r>
      <w:r>
        <w:rPr>
          <w:rFonts w:ascii="Tw Cen MT" w:cs="Twentieth Century" w:eastAsia="Twentieth Century" w:hAnsi="Tw Cen MT"/>
          <w:sz w:val="24"/>
          <w:szCs w:val="24"/>
        </w:rPr>
        <w:t xml:space="preserve">melalui kertas saring </w:t>
      </w:r>
      <w:r>
        <w:rPr>
          <w:rFonts w:ascii="Tw Cen MT" w:cs="Twentieth Century" w:eastAsia="Twentieth Century" w:hAnsi="Tw Cen MT"/>
          <w:i/>
          <w:sz w:val="24"/>
          <w:szCs w:val="24"/>
        </w:rPr>
        <w:t xml:space="preserve">Whatman </w:t>
      </w:r>
      <w:r>
        <w:rPr>
          <w:rFonts w:ascii="Tw Cen MT" w:cs="Twentieth Century" w:eastAsia="Twentieth Century" w:hAnsi="Tw Cen MT"/>
          <w:sz w:val="24"/>
          <w:szCs w:val="24"/>
        </w:rPr>
        <w:t>No. 1 sehingga</w:t>
      </w:r>
      <w:r>
        <w:rPr>
          <w:rFonts w:ascii="Tw Cen MT" w:cs="Twentieth Century" w:eastAsia="Twentieth Century" w:hAnsi="Tw Cen MT"/>
          <w:sz w:val="24"/>
          <w:szCs w:val="24"/>
        </w:rPr>
        <w:t xml:space="preserve"> diperoleh larutan berwarna. Residu eks</w:t>
      </w:r>
      <w:r>
        <w:rPr>
          <w:rFonts w:ascii="Tw Cen MT" w:cs="Twentieth Century" w:eastAsia="Twentieth Century" w:hAnsi="Tw Cen MT"/>
          <w:sz w:val="24"/>
          <w:szCs w:val="24"/>
          <w:highlight w:val="yellow"/>
        </w:rPr>
        <w:t>r</w:t>
      </w:r>
      <w:r>
        <w:rPr>
          <w:rFonts w:ascii="Tw Cen MT" w:cs="Twentieth Century" w:eastAsia="Twentieth Century" w:hAnsi="Tw Cen MT"/>
          <w:sz w:val="24"/>
          <w:szCs w:val="24"/>
        </w:rPr>
        <w:t>aksi kembali dengan aquadest sebanyak 3 kali. Ekstrak kemudian disentrifugasi pada 6000 rpm selama 15 menit pada suhu kamar dan superntannya disimpan pada suhu 4°C untuk menjaga kestabilan warna ekstrak sebelum digunakan.</w:t>
      </w:r>
    </w:p>
    <w:p>
      <w:pPr>
        <w:pStyle w:val="style0"/>
        <w:spacing w:after="0" w:lineRule="auto" w:line="240"/>
        <w:jc w:val="both"/>
        <w:rPr>
          <w:rFonts w:ascii="Tw Cen MT" w:cs="Twentieth Century" w:eastAsia="Twentieth Century" w:hAnsi="Tw Cen MT"/>
          <w:sz w:val="24"/>
          <w:szCs w:val="24"/>
        </w:rPr>
      </w:pP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Rancangan Formula</w:t>
      </w:r>
    </w:p>
    <w:p>
      <w:pPr>
        <w:pStyle w:val="style0"/>
        <w:spacing w:after="0" w:lineRule="auto" w:line="240"/>
        <w:jc w:val="center"/>
        <w:rPr>
          <w:rFonts w:ascii="Tw Cen MT" w:cs="Twentieth Century" w:eastAsia="Twentieth Century" w:hAnsi="Tw Cen MT"/>
          <w:b/>
          <w:sz w:val="24"/>
          <w:szCs w:val="24"/>
        </w:rPr>
      </w:pPr>
      <w:r>
        <w:rPr>
          <w:rFonts w:ascii="Tw Cen MT" w:cs="Twentieth Century" w:eastAsia="Twentieth Century" w:hAnsi="Tw Cen MT"/>
          <w:sz w:val="20"/>
          <w:szCs w:val="20"/>
        </w:rPr>
        <w:t>Tabel 1. Formula Hidrogel</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66"/>
        <w:gridCol w:w="794"/>
        <w:gridCol w:w="794"/>
        <w:gridCol w:w="794"/>
        <w:gridCol w:w="944"/>
      </w:tblGrid>
      <w:tr>
        <w:trPr>
          <w:jc w:val="center"/>
        </w:trPr>
        <w:tc>
          <w:tcPr>
            <w:tcW w:w="1025" w:type="dxa"/>
            <w:vMerge w:val="restart"/>
            <w:tcBorders/>
            <w:vAlign w:val="center"/>
          </w:tcPr>
          <w:p>
            <w:pPr>
              <w:pStyle w:val="style0"/>
              <w:jc w:val="center"/>
              <w:rPr>
                <w:rFonts w:ascii="Tw Cen MT" w:cs="Twentieth Century" w:eastAsia="Twentieth Century" w:hAnsi="Tw Cen MT"/>
                <w:b/>
                <w:sz w:val="20"/>
                <w:szCs w:val="20"/>
              </w:rPr>
            </w:pPr>
            <w:r>
              <w:rPr>
                <w:rFonts w:ascii="Tw Cen MT" w:cs="Twentieth Century" w:eastAsia="Twentieth Century" w:hAnsi="Tw Cen MT"/>
                <w:b/>
                <w:sz w:val="20"/>
                <w:szCs w:val="20"/>
              </w:rPr>
              <w:t>Nama Bahan</w:t>
            </w:r>
          </w:p>
        </w:tc>
        <w:tc>
          <w:tcPr>
            <w:tcW w:w="3281" w:type="dxa"/>
            <w:gridSpan w:val="4"/>
            <w:tcBorders/>
            <w:vAlign w:val="center"/>
          </w:tcPr>
          <w:p>
            <w:pPr>
              <w:pStyle w:val="style0"/>
              <w:jc w:val="center"/>
              <w:rPr>
                <w:rFonts w:ascii="Tw Cen MT" w:cs="Twentieth Century" w:eastAsia="Twentieth Century" w:hAnsi="Tw Cen MT"/>
                <w:b/>
                <w:sz w:val="20"/>
                <w:szCs w:val="20"/>
              </w:rPr>
            </w:pPr>
            <w:r>
              <w:rPr>
                <w:rFonts w:ascii="Tw Cen MT" w:cs="Twentieth Century" w:eastAsia="Twentieth Century" w:hAnsi="Tw Cen MT"/>
                <w:b/>
                <w:sz w:val="20"/>
                <w:szCs w:val="20"/>
              </w:rPr>
              <w:t>Konsentrasi</w:t>
            </w:r>
          </w:p>
        </w:tc>
      </w:tr>
      <w:tr>
        <w:tblPrEx/>
        <w:trPr>
          <w:jc w:val="center"/>
        </w:trPr>
        <w:tc>
          <w:tcPr>
            <w:tcW w:w="1025" w:type="dxa"/>
            <w:vMerge w:val="continue"/>
            <w:tcBorders/>
            <w:vAlign w:val="center"/>
          </w:tcPr>
          <w:p>
            <w:pPr>
              <w:pStyle w:val="style0"/>
              <w:jc w:val="center"/>
              <w:rPr>
                <w:rFonts w:ascii="Tw Cen MT" w:cs="Twentieth Century" w:eastAsia="Twentieth Century" w:hAnsi="Tw Cen MT"/>
                <w:sz w:val="20"/>
                <w:szCs w:val="20"/>
              </w:rPr>
            </w:pP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F1</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F2</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F3</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F4</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Ekstrak</w:t>
            </w:r>
          </w:p>
        </w:tc>
        <w:tc>
          <w:tcPr>
            <w:tcW w:w="779" w:type="dxa"/>
            <w:tcBorders/>
            <w:vAlign w:val="center"/>
          </w:tcPr>
          <w:p>
            <w:pPr>
              <w:pStyle w:val="style0"/>
              <w:jc w:val="center"/>
              <w:rPr>
                <w:rFonts w:ascii="Tw Cen MT" w:cs="Twentieth Century" w:eastAsia="Twentieth Century" w:hAnsi="Tw Cen MT"/>
                <w:b/>
                <w:sz w:val="20"/>
                <w:szCs w:val="20"/>
              </w:rPr>
            </w:pPr>
            <w:r>
              <w:rPr>
                <w:rFonts w:ascii="Tw Cen MT" w:cs="Twentieth Century" w:eastAsia="Twentieth Century" w:hAnsi="Tw Cen MT"/>
                <w:b/>
                <w:sz w:val="20"/>
                <w:szCs w:val="20"/>
              </w:rPr>
              <w:t>-</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2%</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3%</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Carbo</w:t>
            </w:r>
            <w:r>
              <w:rPr>
                <w:rFonts w:ascii="Tw Cen MT" w:cs="Twentieth Century" w:eastAsia="Twentieth Century" w:hAnsi="Tw Cen MT"/>
                <w:sz w:val="20"/>
                <w:szCs w:val="20"/>
              </w:rPr>
              <w:t>pol 940</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0,5</w:t>
            </w:r>
            <w:r>
              <w:rPr>
                <w:rFonts w:ascii="Tw Cen MT" w:cs="Twentieth Century" w:eastAsia="Twentieth Century" w:hAnsi="Tw Cen MT"/>
                <w:sz w:val="20"/>
                <w:szCs w:val="20"/>
              </w:rPr>
              <w:t xml:space="preserve"> g</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0,5</w:t>
            </w:r>
            <w:r>
              <w:rPr>
                <w:rFonts w:ascii="Tw Cen MT" w:cs="Twentieth Century" w:eastAsia="Twentieth Century" w:hAnsi="Tw Cen MT"/>
                <w:sz w:val="20"/>
                <w:szCs w:val="20"/>
              </w:rPr>
              <w:t xml:space="preserve"> g</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0,5</w:t>
            </w:r>
            <w:r>
              <w:rPr>
                <w:rFonts w:ascii="Tw Cen MT" w:cs="Twentieth Century" w:eastAsia="Twentieth Century" w:hAnsi="Tw Cen MT"/>
                <w:sz w:val="20"/>
                <w:szCs w:val="20"/>
              </w:rPr>
              <w:t xml:space="preserve"> g</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0,5</w:t>
            </w:r>
            <w:r>
              <w:rPr>
                <w:rFonts w:ascii="Tw Cen MT" w:cs="Twentieth Century" w:eastAsia="Twentieth Century" w:hAnsi="Tw Cen MT"/>
                <w:sz w:val="20"/>
                <w:szCs w:val="20"/>
              </w:rPr>
              <w:t xml:space="preserve"> g</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Nipa</w:t>
            </w:r>
            <w:r>
              <w:rPr>
                <w:rFonts w:ascii="Tw Cen MT" w:cs="Twentieth Century" w:eastAsia="Twentieth Century" w:hAnsi="Tw Cen MT"/>
                <w:sz w:val="20"/>
                <w:szCs w:val="20"/>
              </w:rPr>
              <w:t>s</w:t>
            </w:r>
            <w:r>
              <w:rPr>
                <w:rFonts w:ascii="Tw Cen MT" w:cs="Twentieth Century" w:eastAsia="Twentieth Century" w:hAnsi="Tw Cen MT"/>
                <w:sz w:val="20"/>
                <w:szCs w:val="20"/>
                <w:highlight w:val="yellow"/>
              </w:rPr>
              <w:t>o</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0,18</w:t>
            </w:r>
            <w:r>
              <w:rPr>
                <w:rFonts w:ascii="Tw Cen MT" w:cs="Twentieth Century" w:eastAsia="Twentieth Century" w:hAnsi="Tw Cen MT"/>
                <w:sz w:val="20"/>
                <w:szCs w:val="20"/>
              </w:rPr>
              <w:t xml:space="preserve"> g</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0,18</w:t>
            </w:r>
            <w:r>
              <w:rPr>
                <w:rFonts w:ascii="Tw Cen MT" w:cs="Twentieth Century" w:eastAsia="Twentieth Century" w:hAnsi="Tw Cen MT"/>
                <w:sz w:val="20"/>
                <w:szCs w:val="20"/>
              </w:rPr>
              <w:t xml:space="preserve"> g</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0,18</w:t>
            </w:r>
            <w:r>
              <w:rPr>
                <w:rFonts w:ascii="Tw Cen MT" w:cs="Twentieth Century" w:eastAsia="Twentieth Century" w:hAnsi="Tw Cen MT"/>
                <w:sz w:val="20"/>
                <w:szCs w:val="20"/>
              </w:rPr>
              <w:t xml:space="preserve"> g</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0,18</w:t>
            </w:r>
            <w:r>
              <w:rPr>
                <w:rFonts w:ascii="Tw Cen MT" w:cs="Twentieth Century" w:eastAsia="Twentieth Century" w:hAnsi="Tw Cen MT"/>
                <w:sz w:val="20"/>
                <w:szCs w:val="20"/>
              </w:rPr>
              <w:t xml:space="preserve"> g</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Nipagin</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0,02</w:t>
            </w:r>
            <w:r>
              <w:rPr>
                <w:rFonts w:ascii="Tw Cen MT" w:cs="Twentieth Century" w:eastAsia="Twentieth Century" w:hAnsi="Tw Cen MT"/>
                <w:sz w:val="20"/>
                <w:szCs w:val="20"/>
              </w:rPr>
              <w:t xml:space="preserve"> g</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0,02</w:t>
            </w:r>
            <w:r>
              <w:rPr>
                <w:rFonts w:ascii="Tw Cen MT" w:cs="Twentieth Century" w:eastAsia="Twentieth Century" w:hAnsi="Tw Cen MT"/>
                <w:sz w:val="20"/>
                <w:szCs w:val="20"/>
              </w:rPr>
              <w:t xml:space="preserve"> g</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0,02</w:t>
            </w:r>
            <w:r>
              <w:rPr>
                <w:rFonts w:ascii="Tw Cen MT" w:cs="Twentieth Century" w:eastAsia="Twentieth Century" w:hAnsi="Tw Cen MT"/>
                <w:sz w:val="20"/>
                <w:szCs w:val="20"/>
              </w:rPr>
              <w:t xml:space="preserve"> g</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0,02</w:t>
            </w:r>
            <w:r>
              <w:rPr>
                <w:rFonts w:ascii="Tw Cen MT" w:cs="Twentieth Century" w:eastAsia="Twentieth Century" w:hAnsi="Tw Cen MT"/>
                <w:sz w:val="20"/>
                <w:szCs w:val="20"/>
              </w:rPr>
              <w:t xml:space="preserve"> g</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Propilen Glikol</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10</w:t>
            </w:r>
            <w:r>
              <w:rPr>
                <w:rFonts w:ascii="Tw Cen MT" w:cs="Twentieth Century" w:eastAsia="Twentieth Century" w:hAnsi="Tw Cen MT"/>
                <w:sz w:val="20"/>
                <w:szCs w:val="20"/>
              </w:rPr>
              <w:t xml:space="preserve"> ml</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10</w:t>
            </w:r>
            <w:r>
              <w:rPr>
                <w:rFonts w:ascii="Tw Cen MT" w:cs="Twentieth Century" w:eastAsia="Twentieth Century" w:hAnsi="Tw Cen MT"/>
                <w:sz w:val="20"/>
                <w:szCs w:val="20"/>
              </w:rPr>
              <w:t xml:space="preserve"> ml</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10</w:t>
            </w:r>
            <w:r>
              <w:rPr>
                <w:rFonts w:ascii="Tw Cen MT" w:cs="Twentieth Century" w:eastAsia="Twentieth Century" w:hAnsi="Tw Cen MT"/>
                <w:sz w:val="20"/>
                <w:szCs w:val="20"/>
              </w:rPr>
              <w:t xml:space="preserve"> ml</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10</w:t>
            </w:r>
            <w:r>
              <w:rPr>
                <w:rFonts w:ascii="Tw Cen MT" w:cs="Twentieth Century" w:eastAsia="Twentieth Century" w:hAnsi="Tw Cen MT"/>
                <w:sz w:val="20"/>
                <w:szCs w:val="20"/>
              </w:rPr>
              <w:t xml:space="preserve"> ml</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TEA</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1</w:t>
            </w:r>
          </w:p>
        </w:tc>
      </w:tr>
      <w:tr>
        <w:tblPrEx/>
        <w:trPr>
          <w:jc w:val="center"/>
        </w:trPr>
        <w:tc>
          <w:tcPr>
            <w:tcW w:w="1025"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Aquadest</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Ad100</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Ad100</w:t>
            </w:r>
          </w:p>
        </w:tc>
        <w:tc>
          <w:tcPr>
            <w:tcW w:w="779"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Ad100</w:t>
            </w:r>
          </w:p>
        </w:tc>
        <w:tc>
          <w:tcPr>
            <w:tcW w:w="944" w:type="dxa"/>
            <w:tcBorders/>
            <w:vAlign w:val="center"/>
          </w:tcPr>
          <w:p>
            <w:pPr>
              <w:pStyle w:val="style0"/>
              <w:jc w:val="center"/>
              <w:rPr>
                <w:rFonts w:ascii="Tw Cen MT" w:cs="Twentieth Century" w:eastAsia="Twentieth Century" w:hAnsi="Tw Cen MT"/>
                <w:sz w:val="20"/>
                <w:szCs w:val="20"/>
              </w:rPr>
            </w:pPr>
            <w:r>
              <w:rPr>
                <w:rFonts w:ascii="Tw Cen MT" w:cs="Twentieth Century" w:eastAsia="Twentieth Century" w:hAnsi="Tw Cen MT"/>
                <w:sz w:val="20"/>
                <w:szCs w:val="20"/>
              </w:rPr>
              <w:t>Ad100</w:t>
            </w:r>
          </w:p>
        </w:tc>
      </w:tr>
    </w:tbl>
    <w:p>
      <w:pPr>
        <w:pStyle w:val="style0"/>
        <w:spacing w:after="0" w:lineRule="auto" w:line="240"/>
        <w:jc w:val="both"/>
        <w:rPr>
          <w:rFonts w:ascii="Tw Cen MT" w:cs="Twentieth Century" w:eastAsia="Twentieth Century" w:hAnsi="Tw Cen MT"/>
          <w:b/>
          <w:sz w:val="24"/>
          <w:szCs w:val="24"/>
        </w:rPr>
      </w:pP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Pembuatan Sediaan Hidrogel</w:t>
      </w:r>
    </w:p>
    <w:p>
      <w:pPr>
        <w:pStyle w:val="style0"/>
        <w:spacing w:lineRule="auto" w:line="240"/>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lang w:val="en-US"/>
        </w:rPr>
        <w:t xml:space="preserve"> </w:t>
      </w:r>
      <w:r>
        <w:rPr>
          <w:rFonts w:ascii="Tw Cen MT" w:hAnsi="Tw Cen MT"/>
          <w:sz w:val="24"/>
          <w:szCs w:val="24"/>
        </w:rPr>
        <w:t xml:space="preserve">ml aquadest selama 24 jam. Kemudian carbomer 940 yang telah dikembangkan </w:t>
      </w:r>
      <w:commentRangeStart w:id="5"/>
      <w:r>
        <w:rPr>
          <w:rFonts w:ascii="Tw Cen MT" w:hAnsi="Tw Cen MT"/>
          <w:sz w:val="24"/>
          <w:szCs w:val="24"/>
          <w:highlight w:val="yellow"/>
        </w:rPr>
        <w:t xml:space="preserve">di </w:t>
      </w:r>
      <w:commentRangeEnd w:id="5"/>
      <w:r>
        <w:rPr/>
        <w:commentReference w:id="5"/>
      </w:r>
      <w:r>
        <w:rPr>
          <w:rFonts w:ascii="Tw Cen MT" w:hAnsi="Tw Cen MT"/>
          <w:sz w:val="24"/>
          <w:szCs w:val="24"/>
        </w:rPr>
        <w:t>tambahkan dengan TEA sebagai alkalizing agent (massa 1).</w:t>
      </w:r>
    </w:p>
    <w:p>
      <w:pPr>
        <w:pStyle w:val="style0"/>
        <w:spacing w:after="0" w:lineRule="auto" w:line="240"/>
        <w:jc w:val="both"/>
        <w:rPr>
          <w:rFonts w:ascii="Tw Cen MT" w:cs="Times New Roman" w:hAnsi="Tw Cen MT"/>
          <w:sz w:val="24"/>
          <w:szCs w:val="24"/>
        </w:rPr>
      </w:pPr>
      <w:r>
        <w:rPr>
          <w:rFonts w:ascii="Tw Cen MT" w:cs="Times New Roman" w:hAnsi="Tw Cen MT"/>
          <w:sz w:val="24"/>
          <w:szCs w:val="24"/>
        </w:rPr>
        <w:t xml:space="preserve">Kemudian nipasol dan nipagin di larutkan dalam 10ml propilen glikol dan diaduk dengan </w:t>
      </w:r>
      <w:r>
        <w:rPr>
          <w:rFonts w:ascii="Tw Cen MT" w:cs="Times New Roman" w:hAnsi="Tw Cen MT"/>
          <w:i/>
          <w:sz w:val="24"/>
          <w:szCs w:val="24"/>
        </w:rPr>
        <w:t>magnetic stirrer</w:t>
      </w:r>
      <w:r>
        <w:rPr>
          <w:rFonts w:ascii="Tw Cen MT" w:cs="Times New Roman" w:hAnsi="Tw Cen MT"/>
          <w:sz w:val="24"/>
          <w:szCs w:val="24"/>
        </w:rPr>
        <w:t xml:space="preserve"> sampai homogen. Propil paraben dan methyil paraben digunakan sebagai pengawet dan propilen glikol digunakan sebagai humektan (massa 2) setelah itu campurkan massa 2 kedalam massa 1 dan tambahkan ekstrak kulit buah naga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[7]","plainTextFormattedCitation":"[7]","previouslyFormattedCitation":"[6]"},"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[7]</w:t>
      </w:r>
      <w:r>
        <w:rPr>
          <w:rFonts w:ascii="Tw Cen MT" w:cs="Times New Roman" w:hAnsi="Tw Cen MT"/>
          <w:sz w:val="24"/>
          <w:szCs w:val="24"/>
        </w:rPr>
        <w:fldChar w:fldCharType="end"/>
      </w:r>
      <w:r>
        <w:rPr>
          <w:rFonts w:ascii="Tw Cen MT" w:cs="Times New Roman" w:hAnsi="Tw Cen MT"/>
          <w:sz w:val="24"/>
          <w:szCs w:val="24"/>
        </w:rPr>
        <w:t>.</w:t>
      </w:r>
    </w:p>
    <w:p>
      <w:pPr>
        <w:pStyle w:val="style0"/>
        <w:spacing w:after="0" w:lineRule="auto" w:line="240"/>
        <w:jc w:val="both"/>
        <w:rPr>
          <w:rFonts w:ascii="Tw Cen MT" w:cs="Times New Roman" w:hAnsi="Tw Cen MT"/>
          <w:sz w:val="24"/>
          <w:szCs w:val="24"/>
        </w:rPr>
      </w:pPr>
    </w:p>
    <w:p>
      <w:pPr>
        <w:pStyle w:val="style0"/>
        <w:spacing w:after="0" w:lineRule="auto" w:line="240"/>
        <w:jc w:val="both"/>
        <w:rPr>
          <w:rFonts w:ascii="Tw Cen MT" w:cs="Times New Roman" w:hAnsi="Tw Cen MT"/>
          <w:b/>
          <w:sz w:val="24"/>
          <w:szCs w:val="24"/>
        </w:rPr>
      </w:pPr>
      <w:r>
        <w:rPr>
          <w:rFonts w:ascii="Tw Cen MT" w:cs="Times New Roman" w:hAnsi="Tw Cen MT"/>
          <w:b/>
          <w:sz w:val="24"/>
          <w:szCs w:val="24"/>
        </w:rPr>
        <w:t>EVALUASI MUTU SEDIAAN</w:t>
      </w:r>
    </w:p>
    <w:p>
      <w:pPr>
        <w:pStyle w:val="style0"/>
        <w:spacing w:after="0" w:lineRule="auto" w:line="240"/>
        <w:jc w:val="both"/>
        <w:rPr>
          <w:rFonts w:ascii="Tw Cen MT" w:cs="Times New Roman" w:hAnsi="Tw Cen MT"/>
          <w:b/>
          <w:sz w:val="24"/>
          <w:szCs w:val="24"/>
        </w:rPr>
      </w:pPr>
      <w:r>
        <w:rPr>
          <w:rFonts w:ascii="Tw Cen MT" w:cs="Times New Roman" w:hAnsi="Tw Cen MT"/>
          <w:b/>
          <w:sz w:val="24"/>
          <w:szCs w:val="24"/>
        </w:rPr>
        <w:t>Uji Organoleptis</w:t>
      </w:r>
    </w:p>
    <w:p>
      <w:pPr>
        <w:pStyle w:val="style0"/>
        <w:spacing w:after="0" w:lineRule="auto" w:line="240"/>
        <w:jc w:val="both"/>
        <w:rPr>
          <w:rFonts w:ascii="Tw Cen MT" w:cs="Twentieth Century" w:eastAsia="Twentieth Century" w:hAnsi="Tw Cen MT"/>
          <w:sz w:val="24"/>
          <w:szCs w:val="24"/>
        </w:rPr>
      </w:pPr>
      <w:r>
        <w:rPr>
          <w:rFonts w:ascii="Tw Cen MT" w:cs="Twentieth Century" w:eastAsia="Twentieth Century" w:hAnsi="Tw Cen MT"/>
          <w:sz w:val="24"/>
          <w:szCs w:val="24"/>
        </w:rPr>
        <w:t>Uji organoleptis dilakukan dengan melakukan pengamatan menggunakan panca indera untuk mengetahui bentuk, warna, dan bau dari sediaan</w:t>
      </w:r>
      <w:r>
        <w:rPr>
          <w:rFonts w:ascii="Tw Cen MT" w:cs="Twentieth Century" w:eastAsia="Twentieth Century" w:hAnsi="Tw Cen MT"/>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[8]</w:t>
      </w:r>
      <w:r>
        <w:rPr>
          <w:rFonts w:ascii="Times New Roman" w:cs="Times New Roman" w:hAnsi="Times New Roman"/>
          <w:sz w:val="24"/>
          <w:szCs w:val="24"/>
        </w:rPr>
        <w:fldChar w:fldCharType="end"/>
      </w:r>
      <w:r>
        <w:rPr>
          <w:rFonts w:ascii="Tw Cen MT" w:cs="Twentieth Century" w:eastAsia="Twentieth Century" w:hAnsi="Tw Cen MT"/>
          <w:sz w:val="24"/>
          <w:szCs w:val="24"/>
        </w:rPr>
        <w:t>.</w:t>
      </w:r>
    </w:p>
    <w:p>
      <w:pPr>
        <w:pStyle w:val="style0"/>
        <w:spacing w:after="0" w:lineRule="auto" w:line="240"/>
        <w:jc w:val="both"/>
        <w:rPr>
          <w:rFonts w:ascii="Tw Cen MT" w:cs="Twentieth Century" w:eastAsia="Twentieth Century" w:hAnsi="Tw Cen MT"/>
          <w:sz w:val="24"/>
          <w:szCs w:val="24"/>
        </w:rPr>
      </w:pP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Uji Homogenitas</w:t>
      </w:r>
    </w:p>
    <w:p>
      <w:pPr>
        <w:pStyle w:val="style0"/>
        <w:spacing w:after="0" w:lineRule="auto" w:line="240"/>
        <w:jc w:val="both"/>
        <w:rPr>
          <w:rFonts w:ascii="Tw Cen MT" w:cs="Twentieth Century" w:eastAsia="Twentieth Century" w:hAnsi="Tw Cen MT"/>
          <w:sz w:val="24"/>
          <w:szCs w:val="24"/>
        </w:rPr>
      </w:pPr>
      <w:r>
        <w:rPr>
          <w:rFonts w:ascii="Tw Cen MT" w:cs="Twentieth Century" w:eastAsia="Twentieth Century" w:hAnsi="Tw Cen MT"/>
          <w:sz w:val="24"/>
          <w:szCs w:val="24"/>
        </w:rPr>
        <w:t>Uji homogenitas dilakukan dengan cara mengoleskan sediaan hidrogel</w:t>
      </w:r>
      <w:r>
        <w:rPr>
          <w:rFonts w:ascii="Tw Cen MT" w:cs="Twentieth Century" w:eastAsia="Twentieth Century" w:hAnsi="Tw Cen MT"/>
          <w:sz w:val="24"/>
          <w:szCs w:val="24"/>
        </w:rPr>
        <w:t xml:space="preserve"> pada 2 kaca objek kemudian dilihat ada atau tidaknya butiran kasar</w:t>
      </w:r>
      <w:r>
        <w:rPr>
          <w:rFonts w:ascii="Tw Cen MT" w:cs="Twentieth Century" w:eastAsia="Twentieth Century" w:hAnsi="Tw Cen MT"/>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[8]</w:t>
      </w:r>
      <w:r>
        <w:rPr>
          <w:rFonts w:ascii="Times New Roman" w:cs="Times New Roman" w:hAnsi="Times New Roman"/>
          <w:sz w:val="24"/>
          <w:szCs w:val="24"/>
        </w:rPr>
        <w:fldChar w:fldCharType="end"/>
      </w:r>
      <w:r>
        <w:rPr>
          <w:rFonts w:ascii="Tw Cen MT" w:cs="Twentieth Century" w:eastAsia="Twentieth Century" w:hAnsi="Tw Cen MT"/>
          <w:sz w:val="24"/>
          <w:szCs w:val="24"/>
        </w:rPr>
        <w:t>.</w:t>
      </w:r>
    </w:p>
    <w:p>
      <w:pPr>
        <w:pStyle w:val="style0"/>
        <w:spacing w:after="0" w:lineRule="auto" w:line="240"/>
        <w:jc w:val="both"/>
        <w:rPr>
          <w:rFonts w:ascii="Tw Cen MT" w:cs="Twentieth Century" w:eastAsia="Twentieth Century" w:hAnsi="Tw Cen MT"/>
          <w:sz w:val="24"/>
          <w:szCs w:val="24"/>
        </w:rPr>
      </w:pP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Uji Viskositas</w:t>
      </w:r>
    </w:p>
    <w:p>
      <w:pPr>
        <w:pStyle w:val="style0"/>
        <w:spacing w:after="0" w:lineRule="auto" w:line="240"/>
        <w:jc w:val="both"/>
        <w:rPr>
          <w:rFonts w:ascii="Tw Cen MT" w:cs="Times New Roman" w:hAnsi="Tw Cen MT"/>
          <w:sz w:val="24"/>
          <w:szCs w:val="24"/>
        </w:rPr>
      </w:pPr>
      <w:r>
        <w:rPr>
          <w:rFonts w:ascii="Tw Cen MT" w:cs="Twentieth Century" w:eastAsia="Twentieth Century" w:hAnsi="Tw Cen MT"/>
          <w:sz w:val="24"/>
          <w:szCs w:val="24"/>
        </w:rPr>
        <w:t xml:space="preserve">Uji viskositas dilakukan dengan menggunakan </w:t>
      </w:r>
      <w:r>
        <w:rPr>
          <w:rFonts w:ascii="Tw Cen MT" w:cs="Twentieth Century" w:eastAsia="Twentieth Century" w:hAnsi="Tw Cen MT"/>
          <w:i/>
          <w:sz w:val="24"/>
          <w:szCs w:val="24"/>
        </w:rPr>
        <w:t xml:space="preserve">Spindle </w:t>
      </w:r>
      <w:r>
        <w:rPr>
          <w:rFonts w:ascii="Tw Cen MT" w:cs="Twentieth Century" w:eastAsia="Twentieth Century" w:hAnsi="Tw Cen MT"/>
          <w:sz w:val="24"/>
          <w:szCs w:val="24"/>
        </w:rPr>
        <w:t xml:space="preserve">no.4 dengan kecepatan 60 rpm. </w:t>
      </w:r>
      <w:r>
        <w:rPr>
          <w:rFonts w:ascii="Tw Cen MT" w:cs="Times New Roman" w:hAnsi="Tw Cen MT"/>
          <w:bCs/>
          <w:sz w:val="24"/>
          <w:szCs w:val="24"/>
        </w:rPr>
        <w:t xml:space="preserve">Biarkan jarum berputar sebanyak 7 kali lalu di stop dan dilihat hasil kemudian catat. Syarat </w:t>
      </w:r>
      <w:r>
        <w:rPr>
          <w:rFonts w:ascii="Tw Cen MT" w:cs="Times New Roman" w:hAnsi="Tw Cen MT"/>
          <w:sz w:val="24"/>
          <w:szCs w:val="24"/>
        </w:rPr>
        <w:t>Menurut SNI, nilai viskositas sediaan gel adalah 3.000-50.000 cPs</w:t>
      </w:r>
      <w:r>
        <w:rPr>
          <w:rFonts w:ascii="Tw Cen MT" w:cs="Times New Roman" w:hAnsi="Tw Cen MT"/>
          <w:sz w:val="24"/>
          <w:szCs w:val="24"/>
        </w:rPr>
        <w:t>.</w:t>
      </w:r>
    </w:p>
    <w:p>
      <w:pPr>
        <w:pStyle w:val="style0"/>
        <w:spacing w:after="0" w:lineRule="auto" w:line="240"/>
        <w:jc w:val="both"/>
        <w:rPr>
          <w:rFonts w:ascii="Tw Cen MT" w:cs="Times New Roman" w:hAnsi="Tw Cen MT"/>
          <w:sz w:val="24"/>
          <w:szCs w:val="24"/>
        </w:rPr>
      </w:pPr>
    </w:p>
    <w:p>
      <w:pPr>
        <w:pStyle w:val="style0"/>
        <w:spacing w:after="0" w:lineRule="auto" w:line="240"/>
        <w:jc w:val="both"/>
        <w:rPr>
          <w:rFonts w:ascii="Tw Cen MT" w:cs="Times New Roman" w:hAnsi="Tw Cen MT"/>
          <w:b/>
          <w:sz w:val="24"/>
          <w:szCs w:val="24"/>
        </w:rPr>
      </w:pPr>
      <w:r>
        <w:rPr>
          <w:rFonts w:ascii="Tw Cen MT" w:cs="Times New Roman" w:hAnsi="Tw Cen MT"/>
          <w:b/>
          <w:sz w:val="24"/>
          <w:szCs w:val="24"/>
        </w:rPr>
        <w:t>Uji pH</w:t>
      </w:r>
    </w:p>
    <w:p>
      <w:pPr>
        <w:pStyle w:val="style0"/>
        <w:spacing w:after="0" w:lineRule="auto" w:line="240"/>
        <w:jc w:val="both"/>
        <w:rPr>
          <w:rFonts w:ascii="Tw Cen MT" w:cs="Times New Roman" w:hAnsi="Tw Cen MT"/>
          <w:sz w:val="24"/>
          <w:szCs w:val="24"/>
        </w:rPr>
      </w:pPr>
      <w:r>
        <w:rPr>
          <w:rFonts w:ascii="Tw Cen MT" w:cs="Times New Roman" w:hAnsi="Tw Cen MT"/>
          <w:sz w:val="24"/>
          <w:szCs w:val="24"/>
        </w:rPr>
        <w:t xml:space="preserve">Uji pH dilakukan dengan menggunakan pH meter </w:t>
      </w:r>
      <w:r>
        <w:rPr>
          <w:rFonts w:ascii="Tw Cen MT" w:cs="Times New Roman" w:hAnsi="Tw Cen MT"/>
          <w:i/>
          <w:sz w:val="24"/>
          <w:szCs w:val="24"/>
        </w:rPr>
        <w:t>Universal</w:t>
      </w:r>
      <w:r>
        <w:rPr>
          <w:rFonts w:ascii="Tw Cen MT" w:cs="Times New Roman" w:hAnsi="Tw Cen MT"/>
          <w:sz w:val="24"/>
          <w:szCs w:val="24"/>
        </w:rPr>
        <w:t xml:space="preserve">. Sampel diambil </w:t>
      </w:r>
      <w:r>
        <w:rPr>
          <w:rFonts w:ascii="Tw Cen MT" w:cs="Times New Roman" w:hAnsi="Tw Cen MT"/>
          <w:sz w:val="24"/>
          <w:szCs w:val="24"/>
        </w:rPr>
        <w:t>0,5 gram</w:t>
      </w:r>
      <w:r>
        <w:rPr>
          <w:rFonts w:ascii="Tw Cen MT" w:cs="Times New Roman" w:hAnsi="Tw Cen MT"/>
          <w:sz w:val="24"/>
          <w:szCs w:val="24"/>
        </w:rPr>
        <w:t xml:space="preserve"> kemudian dilarutkan dengan 10 ml air dan diukur menggunakan pH meter. Nilai pH yang baik adalah 4,5-6,5</w:t>
      </w:r>
      <w:r>
        <w:rPr>
          <w:rFonts w:ascii="Tw Cen MT" w:cs="Times New Roman" w:hAnsi="Tw Cen MT"/>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[8]</w:t>
      </w:r>
      <w:r>
        <w:rPr>
          <w:rFonts w:ascii="Times New Roman" w:cs="Times New Roman" w:hAnsi="Times New Roman"/>
          <w:sz w:val="24"/>
          <w:szCs w:val="24"/>
        </w:rPr>
        <w:fldChar w:fldCharType="end"/>
      </w:r>
      <w:r>
        <w:rPr>
          <w:rFonts w:ascii="Tw Cen MT" w:cs="Times New Roman" w:hAnsi="Tw Cen MT"/>
          <w:sz w:val="24"/>
          <w:szCs w:val="24"/>
        </w:rPr>
        <w:t>.</w:t>
      </w:r>
    </w:p>
    <w:p>
      <w:pPr>
        <w:pStyle w:val="style0"/>
        <w:spacing w:after="0" w:lineRule="auto" w:line="240"/>
        <w:jc w:val="both"/>
        <w:rPr>
          <w:rFonts w:ascii="Tw Cen MT" w:cs="Times New Roman" w:hAnsi="Tw Cen MT"/>
          <w:sz w:val="24"/>
          <w:szCs w:val="24"/>
        </w:rPr>
      </w:pPr>
    </w:p>
    <w:p>
      <w:pPr>
        <w:pStyle w:val="style0"/>
        <w:spacing w:after="0" w:lineRule="auto" w:line="240"/>
        <w:jc w:val="both"/>
        <w:rPr>
          <w:rFonts w:ascii="Tw Cen MT" w:cs="Times New Roman" w:hAnsi="Tw Cen MT"/>
          <w:b/>
          <w:i/>
          <w:sz w:val="24"/>
          <w:szCs w:val="24"/>
        </w:rPr>
      </w:pPr>
      <w:r>
        <w:rPr>
          <w:rFonts w:ascii="Tw Cen MT" w:cs="Times New Roman" w:hAnsi="Tw Cen MT"/>
          <w:b/>
          <w:sz w:val="24"/>
          <w:szCs w:val="24"/>
        </w:rPr>
        <w:t xml:space="preserve">Uji </w:t>
      </w:r>
      <w:r>
        <w:rPr>
          <w:rFonts w:ascii="Tw Cen MT" w:cs="Times New Roman" w:hAnsi="Tw Cen MT"/>
          <w:b/>
          <w:i/>
          <w:sz w:val="24"/>
          <w:szCs w:val="24"/>
        </w:rPr>
        <w:t>Freeze and Thaw</w:t>
      </w:r>
    </w:p>
    <w:p>
      <w:pPr>
        <w:pStyle w:val="style0"/>
        <w:spacing w:after="0" w:lineRule="auto" w:line="240"/>
        <w:jc w:val="both"/>
        <w:rPr>
          <w:rFonts w:ascii="Tw Cen MT" w:cs="Times New Roman" w:hAnsi="Tw Cen MT"/>
          <w:sz w:val="24"/>
          <w:szCs w:val="24"/>
        </w:rPr>
      </w:pPr>
      <w:r>
        <w:rPr>
          <w:rFonts w:ascii="Tw Cen MT" w:cs="Times New Roman" w:hAnsi="Tw Cen MT"/>
          <w:sz w:val="24"/>
          <w:szCs w:val="24"/>
        </w:rPr>
        <w:t>Penyimpanan krim pada dua suhu yang berbeda atau siklus freeze thaw untuk melihat pengaruh suhu terhadap stabilitas sediaan, gel ditempatkan pada suhu 4</w:t>
      </w:r>
      <w:r>
        <w:rPr>
          <w:rFonts w:ascii="Tw Cen MT" w:cs="Times New Roman" w:hAnsi="Tw Cen MT"/>
          <w:sz w:val="24"/>
          <w:szCs w:val="24"/>
          <w:vertAlign w:val="superscript"/>
        </w:rPr>
        <w:t>o</w:t>
      </w:r>
      <w:r>
        <w:rPr>
          <w:rFonts w:ascii="Tw Cen MT" w:cs="Times New Roman" w:hAnsi="Tw Cen MT"/>
          <w:sz w:val="24"/>
          <w:szCs w:val="24"/>
        </w:rPr>
        <w:t>C selama minimal 48 jam kemudian dipindahkan suhu 40</w:t>
      </w:r>
      <w:r>
        <w:rPr>
          <w:rFonts w:ascii="Tw Cen MT" w:cs="Times New Roman" w:hAnsi="Tw Cen MT"/>
          <w:sz w:val="24"/>
          <w:szCs w:val="24"/>
          <w:vertAlign w:val="superscript"/>
        </w:rPr>
        <w:t>o</w:t>
      </w:r>
      <w:r>
        <w:rPr>
          <w:rFonts w:ascii="Tw Cen MT" w:cs="Times New Roman" w:hAnsi="Tw Cen MT"/>
          <w:sz w:val="24"/>
          <w:szCs w:val="24"/>
        </w:rPr>
        <w:t>C selama minimal 48 jam (1</w:t>
      </w:r>
      <w:r>
        <w:rPr>
          <w:rFonts w:ascii="Tw Cen MT" w:cs="Times New Roman" w:hAnsi="Tw Cen MT"/>
          <w:sz w:val="24"/>
          <w:szCs w:val="24"/>
        </w:rPr>
        <w:t xml:space="preserve"> siklus). Uji dilakukan selama 3</w:t>
      </w:r>
      <w:r>
        <w:rPr>
          <w:rFonts w:ascii="Tw Cen MT" w:cs="Times New Roman" w:hAnsi="Tw Cen MT"/>
          <w:sz w:val="24"/>
          <w:szCs w:val="24"/>
        </w:rPr>
        <w:t xml:space="preserve"> siklus</w:t>
      </w:r>
      <w:r>
        <w:rPr>
          <w:rFonts w:ascii="Tw Cen MT" w:cs="Times New Roman" w:hAnsi="Tw Cen MT"/>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[8]</w:t>
      </w:r>
      <w:r>
        <w:rPr>
          <w:rFonts w:ascii="Times New Roman" w:cs="Times New Roman" w:hAnsi="Times New Roman"/>
          <w:sz w:val="24"/>
          <w:szCs w:val="24"/>
        </w:rPr>
        <w:fldChar w:fldCharType="end"/>
      </w:r>
      <w:r>
        <w:rPr>
          <w:rFonts w:ascii="Tw Cen MT" w:cs="Times New Roman" w:hAnsi="Tw Cen MT"/>
          <w:sz w:val="24"/>
          <w:szCs w:val="24"/>
        </w:rPr>
        <w:t>.</w:t>
      </w:r>
    </w:p>
    <w:p>
      <w:pPr>
        <w:pStyle w:val="style0"/>
        <w:spacing w:after="0" w:lineRule="auto" w:line="240"/>
        <w:jc w:val="both"/>
        <w:rPr>
          <w:rFonts w:ascii="Tw Cen MT" w:cs="Times New Roman" w:hAnsi="Tw Cen MT"/>
          <w:sz w:val="24"/>
          <w:szCs w:val="24"/>
        </w:rPr>
      </w:pPr>
    </w:p>
    <w:p>
      <w:pPr>
        <w:pStyle w:val="style0"/>
        <w:spacing w:after="0" w:lineRule="auto" w:line="240"/>
        <w:jc w:val="both"/>
        <w:rPr>
          <w:rFonts w:ascii="Tw Cen MT" w:cs="Times New Roman" w:hAnsi="Tw Cen MT"/>
          <w:b/>
          <w:i/>
          <w:sz w:val="24"/>
          <w:szCs w:val="24"/>
        </w:rPr>
      </w:pPr>
      <w:r>
        <w:rPr>
          <w:rFonts w:ascii="Tw Cen MT" w:cs="Times New Roman" w:hAnsi="Tw Cen MT"/>
          <w:b/>
          <w:sz w:val="24"/>
          <w:szCs w:val="24"/>
        </w:rPr>
        <w:t xml:space="preserve">Uji </w:t>
      </w:r>
      <w:r>
        <w:rPr>
          <w:rFonts w:ascii="Tw Cen MT" w:cs="Times New Roman" w:hAnsi="Tw Cen MT"/>
          <w:b/>
          <w:i/>
          <w:sz w:val="24"/>
          <w:szCs w:val="24"/>
        </w:rPr>
        <w:t>Presentase Swelling</w:t>
      </w:r>
    </w:p>
    <w:p>
      <w:pPr>
        <w:pStyle w:val="style0"/>
        <w:spacing w:after="0" w:lineRule="auto" w:line="240"/>
        <w:jc w:val="both"/>
        <w:rPr>
          <w:rFonts w:ascii="Tw Cen MT" w:cs="Times New Roman" w:hAnsi="Tw Cen MT"/>
          <w:sz w:val="24"/>
        </w:rPr>
      </w:pPr>
      <w:r>
        <w:rPr>
          <w:rFonts w:ascii="Tw Cen MT" w:cs="Times New Roman" w:hAnsi="Tw Cen MT"/>
          <w:sz w:val="24"/>
        </w:rPr>
        <w:t xml:space="preserve">Pengukuran rasio pengembangan (swelling) dengan cara 10gram hidrogel di </w:t>
      </w:r>
      <w:r>
        <w:rPr>
          <w:rFonts w:ascii="Tw Cen MT" w:cs="Times New Roman" w:hAnsi="Tw Cen MT"/>
          <w:sz w:val="24"/>
        </w:rPr>
        <w:t>rendam  ke</w:t>
      </w:r>
      <w:r>
        <w:rPr>
          <w:rFonts w:ascii="Tw Cen MT" w:cs="Times New Roman" w:hAnsi="Tw Cen MT"/>
          <w:sz w:val="24"/>
        </w:rPr>
        <w:t xml:space="preserve"> dalam  aquabides selama 30 menit pada temperatur ruang. Berat hidrogel kering dan mengembang ditentukan dengan metode </w:t>
      </w:r>
      <w:r>
        <w:rPr>
          <w:rFonts w:ascii="Tw Cen MT" w:cs="Times New Roman" w:hAnsi="Tw Cen MT"/>
          <w:sz w:val="24"/>
        </w:rPr>
        <w:t xml:space="preserve">gravimetri. Sebelum menimbang hidrogel yang mengembang, dilakukan penghilangan sisa-sisa air pada permukaan hidrogel dengan menggunakan kertas saring yang ditempelkan pada permukaan hidrogel (proses </w:t>
      </w:r>
      <w:r>
        <w:rPr>
          <w:rFonts w:ascii="Tw Cen MT" w:cs="Times New Roman" w:hAnsi="Tw Cen MT"/>
          <w:i/>
          <w:sz w:val="24"/>
        </w:rPr>
        <w:t>blotting</w:t>
      </w:r>
      <w:r>
        <w:rPr>
          <w:rFonts w:ascii="Tw Cen MT" w:cs="Times New Roman" w:hAnsi="Tw Cen MT"/>
          <w:sz w:val="24"/>
        </w:rPr>
        <w:t xml:space="preserve">) </w:t>
      </w:r>
      <w:r>
        <w:rPr>
          <w:rFonts w:ascii="Tw Cen MT" w:cs="Times New Roman" w:hAnsi="Tw Cen MT"/>
          <w:sz w:val="24"/>
        </w:rPr>
        <w:fldChar w:fldCharType="begin"/>
      </w:r>
      <w:r>
        <w:rPr>
          <w:rFonts w:ascii="Tw Cen MT" w:cs="Times New Roman" w:hAnsi="Tw Cen MT"/>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[9]","plainTextFormattedCitation":"[9]","previouslyFormattedCitation":"[8]"},"properties":{"noteIndex":0},"schema":"https://github.com/citation-style-language/schema/raw/master/csl-citation.json"}</w:instrText>
      </w:r>
      <w:r>
        <w:rPr>
          <w:rFonts w:ascii="Tw Cen MT" w:cs="Times New Roman" w:hAnsi="Tw Cen MT"/>
          <w:sz w:val="24"/>
        </w:rPr>
        <w:fldChar w:fldCharType="separate"/>
      </w:r>
      <w:r>
        <w:rPr>
          <w:rFonts w:ascii="Tw Cen MT" w:cs="Times New Roman" w:hAnsi="Tw Cen MT"/>
          <w:noProof/>
          <w:sz w:val="24"/>
        </w:rPr>
        <w:t>[9]</w:t>
      </w:r>
      <w:r>
        <w:rPr>
          <w:rFonts w:ascii="Tw Cen MT" w:cs="Times New Roman" w:hAnsi="Tw Cen MT"/>
          <w:sz w:val="24"/>
        </w:rPr>
        <w:fldChar w:fldCharType="end"/>
      </w:r>
      <w:r>
        <w:rPr>
          <w:rFonts w:ascii="Tw Cen MT" w:cs="Times New Roman" w:hAnsi="Tw Cen MT"/>
          <w:sz w:val="24"/>
        </w:rPr>
        <w:t>. Persen swelling ditentukan dengan:</w:t>
      </w:r>
    </w:p>
    <w:p>
      <w:pPr>
        <w:pStyle w:val="style0"/>
        <w:tabs>
          <w:tab w:val="left" w:leader="none" w:pos="2552"/>
          <w:tab w:val="left" w:leader="none" w:pos="2835"/>
        </w:tabs>
        <w:spacing w:lineRule="auto" w:line="240"/>
        <w:jc w:val="both"/>
        <w:rPr>
          <w:rFonts w:ascii="Tw Cen MT" w:hAnsi="Tw Cen MT"/>
          <w:sz w:val="24"/>
          <w:szCs w:val="24"/>
        </w:rPr>
      </w:pPr>
    </w:p>
    <w:p>
      <w:pPr>
        <w:pStyle w:val="style0"/>
        <w:tabs>
          <w:tab w:val="left" w:leader="none" w:pos="2552"/>
          <w:tab w:val="left" w:leader="none" w:pos="2835"/>
        </w:tabs>
        <w:spacing w:lineRule="auto" w:line="240"/>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pPr>
        <w:pStyle w:val="style0"/>
        <w:spacing w:lineRule="auto" w:line="240"/>
        <w:jc w:val="both"/>
        <w:rPr>
          <w:rFonts w:ascii="Tw Cen MT" w:hAnsi="Tw Cen MT"/>
          <w:sz w:val="24"/>
          <w:szCs w:val="24"/>
        </w:rPr>
      </w:pPr>
      <w:r>
        <w:rPr>
          <w:rFonts w:ascii="Tw Cen MT" w:cs="Times New Roman" w:hAnsi="Tw Cen MT"/>
          <w:sz w:val="24"/>
          <w:szCs w:val="24"/>
        </w:rPr>
        <w:t xml:space="preserve">Ws = </w:t>
      </w:r>
      <w:r>
        <w:rPr>
          <w:rFonts w:ascii="Tw Cen MT" w:hAnsi="Tw Cen MT"/>
          <w:sz w:val="24"/>
          <w:szCs w:val="24"/>
        </w:rPr>
        <w:t xml:space="preserve">Berat hidrogel saat mengembang </w:t>
      </w:r>
    </w:p>
    <w:p>
      <w:pPr>
        <w:pStyle w:val="style0"/>
        <w:tabs>
          <w:tab w:val="left" w:leader="none" w:pos="2552"/>
          <w:tab w:val="left" w:leader="none" w:pos="2835"/>
        </w:tabs>
        <w:spacing w:lineRule="auto" w:line="240"/>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pPr>
        <w:pStyle w:val="style0"/>
        <w:spacing w:after="0" w:lineRule="auto" w:line="240"/>
        <w:jc w:val="both"/>
        <w:rPr>
          <w:rFonts w:ascii="Tw Cen MT" w:cs="Twentieth Century" w:eastAsia="Twentieth Century" w:hAnsi="Tw Cen MT"/>
          <w:sz w:val="24"/>
          <w:szCs w:val="24"/>
        </w:rPr>
      </w:pPr>
    </w:p>
    <w:p>
      <w:pPr>
        <w:pStyle w:val="style0"/>
        <w:tabs>
          <w:tab w:val="left" w:leader="none" w:pos="426"/>
        </w:tabs>
        <w:spacing w:after="0"/>
        <w:jc w:val="both"/>
        <w:rPr>
          <w:rFonts w:ascii="Tw Cen MT" w:cs="Twentieth Century" w:eastAsia="Twentieth Century" w:hAnsi="Tw Cen MT"/>
          <w:b/>
          <w:sz w:val="24"/>
          <w:szCs w:val="24"/>
        </w:rPr>
      </w:pPr>
      <w:r>
        <w:rPr>
          <w:rFonts w:ascii="Tw Cen MT" w:cs="Twentieth Century" w:eastAsia="Twentieth Century" w:hAnsi="Tw Cen MT"/>
          <w:b/>
          <w:sz w:val="24"/>
          <w:szCs w:val="24"/>
        </w:rPr>
        <w:t>HASIL DAN PEMBAHASAN</w:t>
      </w:r>
    </w:p>
    <w:p>
      <w:pPr>
        <w:pStyle w:val="style0"/>
        <w:tabs>
          <w:tab w:val="left" w:leader="none" w:pos="426"/>
        </w:tabs>
        <w:spacing w:after="0"/>
        <w:jc w:val="both"/>
        <w:rPr>
          <w:rFonts w:ascii="Tw Cen MT" w:cs="Twentieth Century" w:eastAsia="Twentieth Century" w:hAnsi="Tw Cen MT"/>
          <w:b/>
          <w:sz w:val="24"/>
          <w:szCs w:val="24"/>
        </w:rPr>
      </w:pPr>
      <w:r>
        <w:rPr>
          <w:rFonts w:ascii="Tw Cen MT" w:cs="Twentieth Century" w:eastAsia="Twentieth Century" w:hAnsi="Tw Cen MT"/>
          <w:b/>
          <w:sz w:val="24"/>
          <w:szCs w:val="24"/>
        </w:rPr>
        <w:t>Uji Organoleptis</w:t>
      </w:r>
    </w:p>
    <w:p>
      <w:pPr>
        <w:pStyle w:val="style0"/>
        <w:tabs>
          <w:tab w:val="left" w:leader="none" w:pos="426"/>
        </w:tabs>
        <w:spacing w:after="0"/>
        <w:jc w:val="both"/>
        <w:rPr>
          <w:rFonts w:ascii="Tw Cen MT" w:cs="Twentieth Century" w:eastAsia="Twentieth Century" w:hAnsi="Tw Cen MT"/>
          <w:sz w:val="24"/>
          <w:szCs w:val="24"/>
        </w:rPr>
      </w:pPr>
      <w:r>
        <w:rPr>
          <w:rFonts w:ascii="Tw Cen MT" w:cs="Twentieth Century" w:eastAsia="Twentieth Century" w:hAnsi="Tw Cen MT"/>
          <w:sz w:val="24"/>
          <w:szCs w:val="24"/>
        </w:rPr>
        <w:t xml:space="preserve">Pemeriksaan organoleptis sediaan hidrogel dari ekstrak kulit buah naga super </w:t>
      </w:r>
      <w:r>
        <w:rPr>
          <w:rFonts w:ascii="Tw Cen MT" w:cs="Twentieth Century" w:eastAsia="Twentieth Century" w:hAnsi="Tw Cen MT"/>
          <w:sz w:val="24"/>
          <w:szCs w:val="24"/>
        </w:rPr>
        <w:t xml:space="preserve">merah </w:t>
      </w:r>
      <w:r>
        <w:rPr>
          <w:rFonts w:ascii="Tw Cen MT" w:cs="Twentieth Century" w:eastAsia="Twentieth Century" w:hAnsi="Tw Cen MT"/>
          <w:sz w:val="24"/>
          <w:szCs w:val="24"/>
        </w:rPr>
        <w:t xml:space="preserve"> memiliki</w:t>
      </w:r>
      <w:r>
        <w:rPr>
          <w:rFonts w:ascii="Tw Cen MT" w:cs="Twentieth Century" w:eastAsia="Twentieth Century" w:hAnsi="Tw Cen MT"/>
          <w:sz w:val="24"/>
          <w:szCs w:val="24"/>
        </w:rPr>
        <w:t xml:space="preserve"> aroma khas dari basis, memiliki bentuk yang kental dan sediaan yang dihasilkan </w:t>
      </w:r>
      <w:r>
        <w:rPr>
          <w:rFonts w:ascii="Tw Cen MT" w:cs="Twentieth Century" w:eastAsia="Twentieth Century" w:hAnsi="Tw Cen MT"/>
          <w:sz w:val="24"/>
          <w:szCs w:val="24"/>
        </w:rPr>
        <w:t xml:space="preserve">berwarna </w:t>
      </w:r>
      <w:r>
        <w:rPr>
          <w:rFonts w:ascii="Tw Cen MT" w:cs="Twentieth Century" w:eastAsia="Twentieth Century" w:hAnsi="Tw Cen MT"/>
          <w:sz w:val="24"/>
          <w:szCs w:val="24"/>
        </w:rPr>
        <w:t xml:space="preserve">putih, </w:t>
      </w:r>
      <w:r>
        <w:rPr>
          <w:rFonts w:ascii="Tw Cen MT" w:cs="Twentieth Century" w:eastAsia="Twentieth Century" w:hAnsi="Tw Cen MT"/>
          <w:sz w:val="24"/>
          <w:szCs w:val="24"/>
        </w:rPr>
        <w:t>pink</w:t>
      </w:r>
      <w:r>
        <w:rPr>
          <w:rFonts w:ascii="Tw Cen MT" w:cs="Twentieth Century" w:eastAsia="Twentieth Century" w:hAnsi="Tw Cen MT"/>
          <w:sz w:val="24"/>
          <w:szCs w:val="24"/>
        </w:rPr>
        <w:t xml:space="preserve"> pucat</w:t>
      </w:r>
      <w:r>
        <w:rPr>
          <w:rFonts w:ascii="Tw Cen MT" w:cs="Twentieth Century" w:eastAsia="Twentieth Century" w:hAnsi="Tw Cen MT"/>
          <w:sz w:val="24"/>
          <w:szCs w:val="24"/>
        </w:rPr>
        <w:t xml:space="preserve">, </w:t>
      </w:r>
      <w:r>
        <w:rPr>
          <w:rFonts w:ascii="Tw Cen MT" w:cs="Twentieth Century" w:eastAsia="Twentieth Century" w:hAnsi="Tw Cen MT"/>
          <w:sz w:val="24"/>
          <w:szCs w:val="24"/>
        </w:rPr>
        <w:t>magenta</w:t>
      </w:r>
      <w:r>
        <w:rPr>
          <w:rFonts w:ascii="Tw Cen MT" w:cs="Twentieth Century" w:eastAsia="Twentieth Century" w:hAnsi="Tw Cen MT"/>
          <w:sz w:val="24"/>
          <w:szCs w:val="24"/>
        </w:rPr>
        <w:t xml:space="preserve">, dan </w:t>
      </w:r>
      <w:r>
        <w:rPr>
          <w:rFonts w:ascii="Tw Cen MT" w:cs="Twentieth Century" w:eastAsia="Twentieth Century" w:hAnsi="Tw Cen MT"/>
          <w:i/>
          <w:sz w:val="24"/>
          <w:szCs w:val="24"/>
        </w:rPr>
        <w:t xml:space="preserve">dark </w:t>
      </w:r>
      <w:r>
        <w:rPr>
          <w:rFonts w:ascii="Tw Cen MT" w:cs="Twentieth Century" w:eastAsia="Twentieth Century" w:hAnsi="Tw Cen MT"/>
          <w:sz w:val="24"/>
          <w:szCs w:val="24"/>
        </w:rPr>
        <w:t>magenta. Perbedaan warna ini disebabkan karena semakin banyak ekstrak yang digunakan maka semakin pekat warna sediaan yang dihasilkan, berikut gambar sediaan hidrogel dari ekstrak kulit buah naga super merah</w:t>
      </w:r>
    </w:p>
    <w:p>
      <w:pPr>
        <w:pStyle w:val="style0"/>
        <w:tabs>
          <w:tab w:val="left" w:leader="none" w:pos="426"/>
        </w:tabs>
        <w:spacing w:after="0"/>
        <w:jc w:val="center"/>
        <w:rPr>
          <w:rFonts w:ascii="Tw Cen MT" w:cs="Twentieth Century" w:eastAsia="Twentieth Century" w:hAnsi="Tw Cen MT"/>
          <w:sz w:val="24"/>
          <w:szCs w:val="24"/>
        </w:rPr>
      </w:pPr>
      <w:r>
        <w:rPr>
          <w:rFonts w:ascii="Tw Cen MT" w:cs="Twentieth Century" w:eastAsia="Twentieth Century" w:hAnsi="Tw Cen MT"/>
          <w:noProof/>
          <w:sz w:val="24"/>
          <w:szCs w:val="24"/>
        </w:rPr>
        <w:drawing>
          <wp:inline distL="0" distT="0" distB="0" distR="0">
            <wp:extent cx="2738104" cy="890650"/>
            <wp:effectExtent l="0" t="0" r="5715" b="508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srcRect l="0" t="42645" r="0" b="42724"/>
                    <a:stretch/>
                  </pic:blipFill>
                  <pic:spPr>
                    <a:xfrm rot="0">
                      <a:off x="0" y="0"/>
                      <a:ext cx="2738104" cy="890650"/>
                    </a:xfrm>
                    <a:prstGeom prst="rect"/>
                    <a:ln>
                      <a:noFill/>
                    </a:ln>
                  </pic:spPr>
                </pic:pic>
              </a:graphicData>
            </a:graphic>
          </wp:inline>
        </w:drawing>
      </w:r>
    </w:p>
    <w:p>
      <w:pPr>
        <w:pStyle w:val="style0"/>
        <w:tabs>
          <w:tab w:val="left" w:leader="none" w:pos="426"/>
        </w:tabs>
        <w:spacing w:after="0"/>
        <w:jc w:val="center"/>
        <w:rPr>
          <w:rFonts w:ascii="Tw Cen MT" w:cs="Twentieth Century" w:eastAsia="Twentieth Century" w:hAnsi="Tw Cen MT"/>
          <w:sz w:val="20"/>
          <w:szCs w:val="24"/>
        </w:rPr>
      </w:pPr>
      <w:r>
        <w:rPr>
          <w:rFonts w:ascii="Tw Cen MT" w:cs="Twentieth Century" w:eastAsia="Twentieth Century" w:hAnsi="Tw Cen MT"/>
          <w:sz w:val="20"/>
          <w:szCs w:val="24"/>
        </w:rPr>
        <w:t>Gambar 1. Sediaan hidrogel dari ekstrak kulit buah naga super merah</w:t>
      </w:r>
    </w:p>
    <w:p>
      <w:pPr>
        <w:pStyle w:val="style0"/>
        <w:tabs>
          <w:tab w:val="left" w:leader="none" w:pos="426"/>
        </w:tabs>
        <w:spacing w:after="0"/>
        <w:jc w:val="both"/>
        <w:rPr>
          <w:rFonts w:ascii="Tw Cen MT" w:cs="Twentieth Century" w:eastAsia="Twentieth Century" w:hAnsi="Tw Cen MT"/>
          <w:sz w:val="20"/>
          <w:szCs w:val="24"/>
        </w:rPr>
      </w:pPr>
    </w:p>
    <w:p>
      <w:pPr>
        <w:pStyle w:val="style0"/>
        <w:tabs>
          <w:tab w:val="left" w:leader="none" w:pos="426"/>
        </w:tabs>
        <w:spacing w:after="0"/>
        <w:jc w:val="both"/>
        <w:rPr>
          <w:rFonts w:ascii="Tw Cen MT" w:cs="Twentieth Century" w:eastAsia="Twentieth Century" w:hAnsi="Tw Cen MT"/>
          <w:b/>
          <w:sz w:val="24"/>
          <w:szCs w:val="24"/>
        </w:rPr>
      </w:pPr>
      <w:r>
        <w:rPr>
          <w:rFonts w:ascii="Tw Cen MT" w:cs="Twentieth Century" w:eastAsia="Twentieth Century" w:hAnsi="Tw Cen MT"/>
          <w:b/>
          <w:sz w:val="24"/>
          <w:szCs w:val="24"/>
        </w:rPr>
        <w:t>Uji Homogenitas</w:t>
      </w:r>
    </w:p>
    <w:p>
      <w:pPr>
        <w:pStyle w:val="style0"/>
        <w:tabs>
          <w:tab w:val="left" w:leader="none" w:pos="426"/>
        </w:tabs>
        <w:spacing w:after="0"/>
        <w:jc w:val="both"/>
        <w:rPr>
          <w:rFonts w:ascii="Tw Cen MT" w:cs="Twentieth Century" w:eastAsia="Twentieth Century" w:hAnsi="Tw Cen MT"/>
          <w:sz w:val="24"/>
          <w:szCs w:val="24"/>
        </w:rPr>
      </w:pPr>
      <w:r>
        <w:rPr>
          <w:rFonts w:ascii="Tw Cen MT" w:cs="Twentieth Century" w:eastAsia="Twentieth Century" w:hAnsi="Tw Cen MT"/>
          <w:sz w:val="24"/>
          <w:szCs w:val="24"/>
        </w:rPr>
        <w:t xml:space="preserve">Uji homogenitas pada semua sediaan hidrogel menunjukan hasil yang homogen yang mana ditandai dengan tidak </w:t>
      </w:r>
      <w:r>
        <w:rPr>
          <w:rFonts w:ascii="Tw Cen MT" w:cs="Twentieth Century" w:eastAsia="Twentieth Century" w:hAnsi="Tw Cen MT"/>
          <w:sz w:val="24"/>
          <w:szCs w:val="24"/>
        </w:rPr>
        <w:t>ditemukannya partikel kasar maupun gumpalan pada semua kaca objek.</w:t>
      </w:r>
    </w:p>
    <w:p>
      <w:pPr>
        <w:pStyle w:val="style0"/>
        <w:spacing w:after="0" w:lineRule="auto" w:line="240"/>
        <w:jc w:val="center"/>
        <w:rPr>
          <w:rFonts w:ascii="Tw Cen MT" w:cs="Twentieth Century" w:eastAsia="Twentieth Century" w:hAnsi="Tw Cen MT"/>
          <w:b/>
          <w:sz w:val="24"/>
          <w:szCs w:val="24"/>
        </w:rPr>
      </w:pPr>
      <w:r>
        <w:rPr>
          <w:rFonts w:ascii="Tw Cen MT" w:cs="Twentieth Century" w:eastAsia="Twentieth Century" w:hAnsi="Tw Cen MT"/>
          <w:sz w:val="20"/>
          <w:szCs w:val="20"/>
        </w:rPr>
        <w:t>Tabel 2. Hasil Uji Homogenitas Hidrogel</w:t>
      </w:r>
    </w:p>
    <w:tbl>
      <w:tblPr>
        <w:tblStyle w:val="style4104"/>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Formula</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Keterangan</w:t>
            </w:r>
          </w:p>
        </w:tc>
      </w:tr>
      <w:tr>
        <w:tblPrEx/>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F1</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Homogen</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F2</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Homogen</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F3</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Homogen</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F4</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Homogen</w:t>
            </w:r>
          </w:p>
        </w:tc>
      </w:tr>
    </w:tbl>
    <w:p>
      <w:pPr>
        <w:pStyle w:val="style0"/>
        <w:tabs>
          <w:tab w:val="left" w:leader="none" w:pos="426"/>
        </w:tabs>
        <w:spacing w:after="0" w:lineRule="auto" w:line="240"/>
        <w:jc w:val="both"/>
        <w:rPr>
          <w:rFonts w:ascii="Tw Cen MT" w:hAnsi="Tw Cen MT"/>
          <w:sz w:val="24"/>
        </w:rPr>
      </w:pPr>
      <w:r>
        <w:rPr>
          <w:rFonts w:ascii="Tw Cen MT" w:hAnsi="Tw Cen MT"/>
          <w:sz w:val="24"/>
        </w:rPr>
        <w:t>Berdasarkan hasil e</w:t>
      </w:r>
      <w:r>
        <w:rPr>
          <w:rFonts w:ascii="Tw Cen MT" w:hAnsi="Tw Cen MT"/>
          <w:sz w:val="24"/>
        </w:rPr>
        <w:t>valuasi homogenitas pada tabel 2</w:t>
      </w:r>
      <w:r>
        <w:rPr>
          <w:rFonts w:ascii="Tw Cen MT" w:hAnsi="Tw Cen MT"/>
          <w:sz w:val="24"/>
        </w:rPr>
        <w:t xml:space="preserve"> menunjukkan bahwa tidak adanya perbedaan antara ketiga formula, 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Pr>
          <w:rFonts w:ascii="Tw Cen MT" w:hAnsi="Tw Cen MT"/>
          <w:sz w:val="24"/>
        </w:rPr>
        <w:t>.</w:t>
      </w:r>
    </w:p>
    <w:p>
      <w:pPr>
        <w:pStyle w:val="style0"/>
        <w:tabs>
          <w:tab w:val="left" w:leader="none" w:pos="426"/>
        </w:tabs>
        <w:spacing w:after="0" w:lineRule="auto" w:line="240"/>
        <w:jc w:val="both"/>
        <w:rPr>
          <w:rFonts w:ascii="Tw Cen MT" w:hAnsi="Tw Cen MT"/>
          <w:sz w:val="24"/>
        </w:rPr>
      </w:pPr>
    </w:p>
    <w:p>
      <w:pPr>
        <w:pStyle w:val="style0"/>
        <w:spacing w:lineRule="auto" w:line="240"/>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r>
      <w:r>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[5]","plainTextFormattedCitation":"[5]","previouslyFormattedCitation":"[5]"},"properties":{"noteIndex":0},"schema":"https://github.com/citation-style-language/schema/raw/master/csl-citation.json"}</w:instrText>
      </w:r>
      <w:r>
        <w:rPr>
          <w:rFonts w:ascii="Tw Cen MT" w:hAnsi="Tw Cen MT"/>
          <w:sz w:val="24"/>
        </w:rPr>
        <w:fldChar w:fldCharType="separate"/>
      </w:r>
      <w:r>
        <w:rPr>
          <w:rFonts w:ascii="Tw Cen MT" w:hAnsi="Tw Cen MT"/>
          <w:noProof/>
          <w:sz w:val="24"/>
        </w:rPr>
        <w:t>[5]</w:t>
      </w:r>
      <w:r>
        <w:rPr>
          <w:rFonts w:ascii="Tw Cen MT" w:hAnsi="Tw Cen MT"/>
          <w:sz w:val="24"/>
        </w:rPr>
        <w:fldChar w:fldCharType="end"/>
      </w:r>
      <w:r>
        <w:rPr>
          <w:rFonts w:ascii="Tw Cen MT" w:hAnsi="Tw Cen MT"/>
          <w:sz w:val="24"/>
        </w:rPr>
        <w:t xml:space="preserve">, </w:t>
      </w:r>
      <w:r>
        <w:rPr>
          <w:rFonts w:ascii="Tw Cen MT" w:cs="Times New Roman" w:hAnsi="Tw Cen MT"/>
          <w:sz w:val="24"/>
        </w:rPr>
        <w:t>980 yang mana pada sediaan  formula 1,2,3, dan  4 homogen tidak ditemukan adanya butiran-butiran kasar atau gumpalan saat diuji homogenitas menggunakan kaca objek.</w:t>
      </w:r>
    </w:p>
    <w:p>
      <w:pPr>
        <w:pStyle w:val="style0"/>
        <w:tabs>
          <w:tab w:val="left" w:leader="none" w:pos="426"/>
        </w:tabs>
        <w:spacing w:after="0" w:lineRule="auto" w:line="240"/>
        <w:jc w:val="both"/>
        <w:rPr>
          <w:rFonts w:ascii="Tw Cen MT" w:hAnsi="Tw Cen MT"/>
          <w:sz w:val="24"/>
        </w:rPr>
      </w:pPr>
    </w:p>
    <w:p>
      <w:pPr>
        <w:pStyle w:val="style0"/>
        <w:tabs>
          <w:tab w:val="left" w:leader="none" w:pos="426"/>
        </w:tabs>
        <w:spacing w:after="0" w:lineRule="auto" w:line="240"/>
        <w:jc w:val="both"/>
        <w:rPr>
          <w:rFonts w:ascii="Tw Cen MT" w:hAnsi="Tw Cen MT"/>
          <w:b/>
          <w:sz w:val="24"/>
        </w:rPr>
      </w:pPr>
      <w:r>
        <w:rPr>
          <w:rFonts w:ascii="Tw Cen MT" w:hAnsi="Tw Cen MT"/>
          <w:b/>
          <w:sz w:val="24"/>
        </w:rPr>
        <w:t>Uji Viskositas</w:t>
      </w:r>
    </w:p>
    <w:p>
      <w:pPr>
        <w:pStyle w:val="style0"/>
        <w:tabs>
          <w:tab w:val="left" w:leader="none" w:pos="426"/>
        </w:tabs>
        <w:spacing w:after="0" w:lineRule="auto" w:line="240"/>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w:t>
      </w:r>
      <w:r>
        <w:rPr>
          <w:rFonts w:ascii="Tw Cen MT" w:hAnsi="Tw Cen MT"/>
          <w:sz w:val="24"/>
          <w:szCs w:val="20"/>
        </w:rPr>
        <w:t xml:space="preserve">dengan kecepatan 60 rpm. Sebanyak </w:t>
      </w:r>
      <w:r>
        <w:rPr>
          <w:rFonts w:ascii="Tw Cen MT" w:hAnsi="Tw Cen MT"/>
          <w:sz w:val="24"/>
          <w:szCs w:val="20"/>
        </w:rPr>
        <w:t>0,5 gram</w:t>
      </w:r>
      <w:r>
        <w:rPr>
          <w:rFonts w:ascii="Tw Cen MT" w:hAnsi="Tw Cen MT"/>
          <w:sz w:val="24"/>
          <w:szCs w:val="20"/>
        </w:rPr>
        <w:t xml:space="preserve"> sediaan </w:t>
      </w:r>
      <w:r>
        <w:rPr>
          <w:rFonts w:ascii="Tw Cen MT" w:hAnsi="Tw Cen MT"/>
          <w:sz w:val="24"/>
          <w:szCs w:val="20"/>
        </w:rPr>
        <w:t>dim</w:t>
      </w:r>
      <w:r>
        <w:rPr>
          <w:rFonts w:ascii="Tw Cen MT" w:hAnsi="Tw Cen MT"/>
          <w:sz w:val="24"/>
          <w:szCs w:val="20"/>
        </w:rPr>
        <w:t xml:space="preserve">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pPr>
        <w:pStyle w:val="style0"/>
        <w:spacing w:after="0" w:lineRule="auto" w:line="240"/>
        <w:jc w:val="center"/>
        <w:rPr>
          <w:rFonts w:ascii="Tw Cen MT" w:cs="Twentieth Century" w:eastAsia="Twentieth Century" w:hAnsi="Tw Cen MT"/>
          <w:b/>
          <w:sz w:val="24"/>
          <w:szCs w:val="24"/>
        </w:rPr>
      </w:pPr>
      <w:r>
        <w:rPr>
          <w:rFonts w:ascii="Tw Cen MT" w:cs="Twentieth Century" w:eastAsia="Twentieth Century" w:hAnsi="Tw Cen MT"/>
          <w:sz w:val="20"/>
          <w:szCs w:val="20"/>
        </w:rPr>
        <w:t>Tabel 3. Hasil Uji Viskositas Hidrogel</w:t>
      </w:r>
    </w:p>
    <w:tbl>
      <w:tblPr>
        <w:tblStyle w:val="style4104"/>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Formula</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Viskositas</w:t>
            </w:r>
          </w:p>
        </w:tc>
      </w:tr>
      <w:tr>
        <w:tblPrEx/>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F1</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9,950</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F2</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9,950</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F3</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9,950</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F4</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9,950</w:t>
            </w:r>
          </w:p>
        </w:tc>
      </w:tr>
    </w:tbl>
    <w:p>
      <w:pPr>
        <w:pStyle w:val="style0"/>
        <w:tabs>
          <w:tab w:val="left" w:leader="none" w:pos="426"/>
        </w:tabs>
        <w:spacing w:after="0" w:lineRule="auto" w:line="240"/>
        <w:jc w:val="both"/>
        <w:rPr>
          <w:rFonts w:ascii="Times New Roman" w:cs="Times New Roman" w:hAnsi="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w:t>
      </w:r>
      <w:r>
        <w:rPr>
          <w:rFonts w:ascii="Tw Cen MT" w:hAnsi="Tw Cen MT"/>
          <w:sz w:val="24"/>
          <w:szCs w:val="20"/>
        </w:rPr>
        <w:t xml:space="preserve">semua sediaan memenuhi syarat hidrogel dengan rentang 3.000-50.000 cPs </w:t>
      </w:r>
      <w:r>
        <w:rPr>
          <w:rFonts w:ascii="Times New Roman" w:cs="Times New Roman" w:hAnsi="Times New Roman"/>
          <w:sz w:val="24"/>
          <w:szCs w:val="24"/>
        </w:rPr>
        <w:t>(SNI 16-4380-1996)</w:t>
      </w:r>
    </w:p>
    <w:p>
      <w:pPr>
        <w:pStyle w:val="style0"/>
        <w:tabs>
          <w:tab w:val="left" w:leader="none" w:pos="426"/>
        </w:tabs>
        <w:spacing w:after="0" w:lineRule="auto" w:line="240"/>
        <w:jc w:val="both"/>
        <w:rPr>
          <w:rFonts w:ascii="Times New Roman" w:cs="Times New Roman" w:hAnsi="Times New Roman"/>
          <w:sz w:val="24"/>
          <w:szCs w:val="24"/>
        </w:rPr>
      </w:pPr>
    </w:p>
    <w:p>
      <w:pPr>
        <w:pStyle w:val="style0"/>
        <w:tabs>
          <w:tab w:val="left" w:leader="none" w:pos="426"/>
        </w:tabs>
        <w:spacing w:after="0" w:lineRule="auto" w:line="240"/>
        <w:jc w:val="both"/>
        <w:rPr>
          <w:rFonts w:ascii="Tw Cen MT" w:cs="Times New Roman" w:hAnsi="Tw Cen MT"/>
          <w:b/>
          <w:sz w:val="24"/>
          <w:szCs w:val="24"/>
        </w:rPr>
      </w:pPr>
      <w:r>
        <w:rPr>
          <w:rFonts w:ascii="Tw Cen MT" w:cs="Times New Roman" w:hAnsi="Tw Cen MT"/>
          <w:b/>
          <w:sz w:val="24"/>
          <w:szCs w:val="24"/>
        </w:rPr>
        <w:t>Uji pH</w:t>
      </w:r>
    </w:p>
    <w:p>
      <w:pPr>
        <w:pStyle w:val="style0"/>
        <w:tabs>
          <w:tab w:val="left" w:leader="none" w:pos="426"/>
        </w:tabs>
        <w:spacing w:after="0" w:lineRule="auto" w:line="240"/>
        <w:jc w:val="both"/>
        <w:rPr>
          <w:rFonts w:ascii="Tw Cen MT" w:cs="Times New Roman" w:hAnsi="Tw Cen MT"/>
          <w:b/>
          <w:sz w:val="24"/>
          <w:szCs w:val="24"/>
        </w:rPr>
      </w:pPr>
      <w:r>
        <w:rPr>
          <w:rFonts w:ascii="Tw Cen MT" w:cs="Times New Roman" w:hAnsi="Tw Cen MT"/>
          <w:sz w:val="24"/>
          <w:szCs w:val="24"/>
        </w:rPr>
        <w:t xml:space="preserve">Pengujian </w:t>
      </w:r>
      <w:r>
        <w:rPr>
          <w:rFonts w:ascii="Tw Cen MT" w:cs="Times New Roman" w:hAnsi="Tw Cen MT"/>
          <w:sz w:val="24"/>
          <w:szCs w:val="24"/>
        </w:rPr>
        <w:t>pH pada sediaan hidrogel dari ekstrak kulit bua</w:t>
      </w:r>
      <w:r>
        <w:rPr>
          <w:rFonts w:ascii="Tw Cen MT" w:cs="Times New Roman" w:hAnsi="Tw Cen MT"/>
          <w:sz w:val="24"/>
          <w:szCs w:val="24"/>
        </w:rPr>
        <w:t>h</w:t>
      </w:r>
      <w:r>
        <w:rPr>
          <w:rFonts w:ascii="Tw Cen MT" w:cs="Times New Roman" w:hAnsi="Tw Cen MT"/>
          <w:sz w:val="24"/>
          <w:szCs w:val="24"/>
        </w:rPr>
        <w:t xml:space="preserve"> naga super merah</w:t>
      </w:r>
      <w:r>
        <w:rPr>
          <w:rFonts w:ascii="Tw Cen MT" w:cs="Times New Roman" w:hAnsi="Tw Cen MT"/>
          <w:sz w:val="24"/>
          <w:szCs w:val="24"/>
        </w:rPr>
        <w:t xml:space="preserve"> dilakukan untuk melihat apakah pH sediaan memenuhi standar ph kulit pada rentang 4,5-6,5.</w:t>
      </w:r>
    </w:p>
    <w:p>
      <w:pPr>
        <w:pStyle w:val="style0"/>
        <w:spacing w:after="0" w:lineRule="auto" w:line="240"/>
        <w:jc w:val="center"/>
        <w:rPr>
          <w:rFonts w:ascii="Tw Cen MT" w:cs="Twentieth Century" w:eastAsia="Twentieth Century" w:hAnsi="Tw Cen MT"/>
          <w:b/>
          <w:sz w:val="24"/>
          <w:szCs w:val="24"/>
        </w:rPr>
      </w:pPr>
      <w:r>
        <w:rPr>
          <w:rFonts w:ascii="Tw Cen MT" w:cs="Twentieth Century" w:eastAsia="Twentieth Century" w:hAnsi="Tw Cen MT"/>
          <w:sz w:val="20"/>
          <w:szCs w:val="20"/>
        </w:rPr>
        <w:t>Tabel 4. Hasil Uji ph Hidrogel</w:t>
      </w:r>
    </w:p>
    <w:tbl>
      <w:tblPr>
        <w:tblStyle w:val="style4104"/>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Formula</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Viskositas</w:t>
            </w:r>
          </w:p>
        </w:tc>
      </w:tr>
      <w:tr>
        <w:tblPrEx/>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F1</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6,09</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F2</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5,97</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F3</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5,78</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F4</w:t>
            </w:r>
          </w:p>
        </w:tc>
        <w:tc>
          <w:tcPr>
            <w:tcW w:w="1625"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sz w:val="20"/>
                <w:szCs w:val="24"/>
              </w:rPr>
              <w:t>5,68</w:t>
            </w:r>
          </w:p>
        </w:tc>
      </w:tr>
    </w:tbl>
    <w:p>
      <w:pPr>
        <w:pStyle w:val="style0"/>
        <w:tabs>
          <w:tab w:val="left" w:leader="none" w:pos="426"/>
        </w:tabs>
        <w:spacing w:after="0" w:lineRule="auto" w:line="240"/>
        <w:jc w:val="both"/>
        <w:rPr>
          <w:rFonts w:ascii="Tw Cen MT" w:cs="Times New Roman" w:hAnsi="Tw Cen MT"/>
          <w:sz w:val="24"/>
          <w:szCs w:val="24"/>
        </w:rPr>
      </w:pPr>
      <w:r>
        <w:rPr>
          <w:rFonts w:ascii="Tw Cen MT" w:hAnsi="Tw Cen MT"/>
          <w:sz w:val="24"/>
          <w:szCs w:val="20"/>
        </w:rPr>
        <w:t xml:space="preserve">Berdasarkan hasil evaluasi pH pada tabel 4 menunjukan bahwa semakin tingggi konsentrasi ekstrak kulit buah naga yang digunakan maka semakin asam pula pH sediaan yang dihasilkan, hal ini disebabkan karena pada umumnya kadar pH pada kulit buah naga adalah </w:t>
      </w:r>
      <w:r>
        <w:rPr>
          <w:rFonts w:ascii="Tw Cen MT" w:hAnsi="Tw Cen MT"/>
          <w:sz w:val="24"/>
          <w:szCs w:val="20"/>
        </w:rPr>
        <w:t>a</w:t>
      </w:r>
      <w:r>
        <w:rPr>
          <w:rFonts w:ascii="Tw Cen MT" w:hAnsi="Tw Cen MT"/>
          <w:sz w:val="24"/>
          <w:szCs w:val="20"/>
        </w:rPr>
        <w:t>sam dan senyawa antosianin pada kulit buah naga mempunyai rata-rata ph 0,85-1,05</w:t>
      </w:r>
      <w:r>
        <w:rPr>
          <w:rFonts w:ascii="Tw Cen MT" w:hAnsi="Tw Cen MT"/>
          <w:sz w:val="24"/>
          <w:szCs w:val="20"/>
        </w:rPr>
        <w:t xml:space="preserve">, maka dari itu semakin tinggi konsentrasi ekstrak yang digunakan maka semakin </w:t>
      </w:r>
      <w:r>
        <w:rPr>
          <w:rFonts w:ascii="Tw Cen MT" w:hAnsi="Tw Cen MT"/>
          <w:sz w:val="24"/>
          <w:szCs w:val="20"/>
        </w:rPr>
        <w:t>menurun pH</w:t>
      </w:r>
      <w:r>
        <w:rPr>
          <w:rFonts w:ascii="Tw Cen MT" w:hAnsi="Tw Cen MT"/>
          <w:sz w:val="24"/>
          <w:szCs w:val="20"/>
        </w:rPr>
        <w:t xml:space="preserve"> sediaan yang dihasilkan</w:t>
      </w:r>
      <w:r>
        <w:rPr>
          <w:rFonts w:ascii="Tw Cen MT" w:cs="Times New Roman" w:hAnsi="Tw Cen MT"/>
          <w:sz w:val="24"/>
          <w:szCs w:val="24"/>
        </w:rPr>
        <w:t xml:space="preserve">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[10]","plainTextFormattedCitation":"[10]","previouslyFormattedCitation":"[9]"},"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[10]</w:t>
      </w:r>
      <w:r>
        <w:rPr>
          <w:rFonts w:ascii="Tw Cen MT" w:cs="Times New Roman" w:hAnsi="Tw Cen MT"/>
          <w:sz w:val="24"/>
          <w:szCs w:val="24"/>
        </w:rPr>
        <w:fldChar w:fldCharType="end"/>
      </w:r>
    </w:p>
    <w:p>
      <w:pPr>
        <w:pStyle w:val="style0"/>
        <w:tabs>
          <w:tab w:val="left" w:leader="none" w:pos="426"/>
        </w:tabs>
        <w:spacing w:after="0" w:lineRule="auto" w:line="240"/>
        <w:jc w:val="both"/>
        <w:rPr>
          <w:rFonts w:ascii="Tw Cen MT" w:cs="Times New Roman" w:hAnsi="Tw Cen MT"/>
          <w:sz w:val="24"/>
          <w:szCs w:val="24"/>
        </w:rPr>
      </w:pPr>
    </w:p>
    <w:p>
      <w:pPr>
        <w:pStyle w:val="style0"/>
        <w:tabs>
          <w:tab w:val="left" w:leader="none" w:pos="426"/>
        </w:tabs>
        <w:spacing w:after="0" w:lineRule="auto" w:line="240"/>
        <w:jc w:val="both"/>
        <w:rPr>
          <w:rFonts w:ascii="Tw Cen MT" w:cs="Times New Roman" w:hAnsi="Tw Cen MT"/>
          <w:b/>
          <w:i/>
          <w:sz w:val="24"/>
          <w:szCs w:val="24"/>
        </w:rPr>
      </w:pPr>
      <w:r>
        <w:rPr>
          <w:rFonts w:ascii="Tw Cen MT" w:cs="Times New Roman" w:hAnsi="Tw Cen MT"/>
          <w:b/>
          <w:sz w:val="24"/>
          <w:szCs w:val="24"/>
        </w:rPr>
        <w:t xml:space="preserve">Uji </w:t>
      </w:r>
      <w:r>
        <w:rPr>
          <w:rFonts w:ascii="Tw Cen MT" w:cs="Times New Roman" w:hAnsi="Tw Cen MT"/>
          <w:b/>
          <w:i/>
          <w:sz w:val="24"/>
          <w:szCs w:val="24"/>
        </w:rPr>
        <w:t>Presentase Sweliing</w:t>
      </w:r>
    </w:p>
    <w:p>
      <w:pPr>
        <w:pStyle w:val="style0"/>
        <w:tabs>
          <w:tab w:val="left" w:leader="none" w:pos="426"/>
        </w:tabs>
        <w:spacing w:after="0" w:lineRule="auto" w:line="240"/>
        <w:jc w:val="both"/>
        <w:rPr>
          <w:rFonts w:ascii="Tw Cen MT" w:cs="Times New Roman" w:hAnsi="Tw Cen MT"/>
          <w:sz w:val="24"/>
          <w:szCs w:val="24"/>
        </w:rPr>
      </w:pPr>
      <w:r>
        <w:rPr>
          <w:rFonts w:ascii="Tw Cen MT" w:cs="Times New Roman" w:hAnsi="Tw Cen MT"/>
          <w:sz w:val="24"/>
          <w:szCs w:val="24"/>
        </w:rPr>
        <w:t xml:space="preserve">Pengujian Persentase </w:t>
      </w:r>
      <w:r>
        <w:rPr>
          <w:rFonts w:ascii="Tw Cen MT" w:cs="Times New Roman" w:hAnsi="Tw Cen MT"/>
          <w:i/>
          <w:sz w:val="24"/>
          <w:szCs w:val="24"/>
        </w:rPr>
        <w:t xml:space="preserve">swelling </w:t>
      </w:r>
      <w:r>
        <w:rPr>
          <w:rFonts w:ascii="Tw Cen MT" w:cs="Times New Roman" w:hAnsi="Tw Cen MT"/>
          <w:sz w:val="24"/>
          <w:szCs w:val="24"/>
        </w:rPr>
        <w:t>bertujuan untuk melihat perkembangan sediaan yang paling baik</w:t>
      </w:r>
    </w:p>
    <w:p>
      <w:pPr>
        <w:pStyle w:val="style0"/>
        <w:spacing w:after="0" w:lineRule="auto" w:line="240"/>
        <w:jc w:val="center"/>
        <w:rPr>
          <w:rFonts w:ascii="Tw Cen MT" w:cs="Twentieth Century" w:eastAsia="Twentieth Century" w:hAnsi="Tw Cen MT"/>
          <w:b/>
          <w:sz w:val="24"/>
          <w:szCs w:val="24"/>
        </w:rPr>
      </w:pPr>
      <w:r>
        <w:rPr>
          <w:rFonts w:ascii="Tw Cen MT" w:cs="Twentieth Century" w:eastAsia="Twentieth Century" w:hAnsi="Tw Cen MT"/>
          <w:sz w:val="20"/>
          <w:szCs w:val="20"/>
        </w:rPr>
        <w:t xml:space="preserve">Tabel 5. Hasil Uji </w:t>
      </w:r>
      <w:r>
        <w:rPr>
          <w:rFonts w:ascii="Tw Cen MT" w:cs="Twentieth Century" w:eastAsia="Twentieth Century" w:hAnsi="Tw Cen MT"/>
          <w:i/>
          <w:sz w:val="20"/>
          <w:szCs w:val="20"/>
        </w:rPr>
        <w:t>Swelling</w:t>
      </w:r>
      <w:r>
        <w:rPr>
          <w:rFonts w:ascii="Tw Cen MT" w:cs="Twentieth Century" w:eastAsia="Twentieth Century" w:hAnsi="Tw Cen MT"/>
          <w:sz w:val="20"/>
          <w:szCs w:val="20"/>
        </w:rPr>
        <w:t xml:space="preserve"> Hidrogel</w:t>
      </w:r>
    </w:p>
    <w:tbl>
      <w:tblPr>
        <w:tblStyle w:val="style4104"/>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Formula</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Sebelum (gram)</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Sesudah (gram)</w:t>
            </w:r>
          </w:p>
        </w:tc>
      </w:tr>
      <w:tr>
        <w:tblPrEx/>
        <w:trPr>
          <w:trHeight w:val="269" w:hRule="atLeast"/>
          <w:jc w:val="center"/>
        </w:trPr>
        <w:tc>
          <w:tcPr>
            <w:tcW w:w="1590"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F1</w:t>
            </w:r>
          </w:p>
        </w:tc>
        <w:tc>
          <w:tcPr>
            <w:tcW w:w="1625" w:type="dxa"/>
            <w:tcBorders>
              <w:top w:val="single" w:sz="4" w:space="0" w:color="000000"/>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color w:val="000000"/>
                <w:sz w:val="20"/>
                <w:szCs w:val="24"/>
              </w:rPr>
              <w:t xml:space="preserve">10 </w:t>
            </w:r>
          </w:p>
        </w:tc>
        <w:tc>
          <w:tcPr>
            <w:tcW w:w="1625" w:type="dxa"/>
            <w:tcBorders>
              <w:top w:val="single" w:sz="4" w:space="0" w:color="000000"/>
            </w:tcBorders>
            <w:vAlign w:val="center"/>
          </w:tcPr>
          <w:p>
            <w:pPr>
              <w:pStyle w:val="style0"/>
              <w:spacing w:after="0" w:lineRule="auto" w:line="240"/>
              <w:jc w:val="center"/>
              <w:rPr>
                <w:rFonts w:ascii="Tw Cen MT" w:cs="Times New Roman" w:hAnsi="Tw Cen MT"/>
                <w:color w:val="000000"/>
                <w:sz w:val="20"/>
                <w:szCs w:val="24"/>
              </w:rPr>
            </w:pPr>
            <w:r>
              <w:rPr>
                <w:rFonts w:ascii="Tw Cen MT" w:cs="Times New Roman" w:hAnsi="Tw Cen MT"/>
                <w:color w:val="000000"/>
                <w:sz w:val="20"/>
                <w:szCs w:val="24"/>
              </w:rPr>
              <w:t>11.2301</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F2</w:t>
            </w:r>
          </w:p>
        </w:tc>
        <w:tc>
          <w:tcPr>
            <w:tcW w:w="1625" w:type="dxa"/>
            <w:tcBorders/>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color w:val="000000"/>
                <w:sz w:val="20"/>
                <w:szCs w:val="24"/>
              </w:rPr>
              <w:t>10</w:t>
            </w:r>
          </w:p>
        </w:tc>
        <w:tc>
          <w:tcPr>
            <w:tcW w:w="1625" w:type="dxa"/>
            <w:tcBorders/>
          </w:tcPr>
          <w:p>
            <w:pPr>
              <w:pStyle w:val="style0"/>
              <w:spacing w:after="0" w:lineRule="auto" w:line="240"/>
              <w:jc w:val="center"/>
              <w:rPr>
                <w:rFonts w:ascii="Tw Cen MT" w:cs="Times New Roman" w:hAnsi="Tw Cen MT"/>
                <w:color w:val="000000"/>
                <w:sz w:val="20"/>
                <w:szCs w:val="24"/>
              </w:rPr>
            </w:pPr>
            <w:r>
              <w:rPr>
                <w:rFonts w:ascii="Tw Cen MT" w:cs="Times New Roman" w:hAnsi="Tw Cen MT"/>
                <w:color w:val="000000"/>
                <w:sz w:val="20"/>
                <w:szCs w:val="24"/>
              </w:rPr>
              <w:t>11.2430</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F3</w:t>
            </w:r>
          </w:p>
        </w:tc>
        <w:tc>
          <w:tcPr>
            <w:tcW w:w="1625" w:type="dxa"/>
            <w:tcBorders/>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color w:val="000000"/>
                <w:sz w:val="20"/>
                <w:szCs w:val="24"/>
              </w:rPr>
              <w:t>10</w:t>
            </w:r>
          </w:p>
        </w:tc>
        <w:tc>
          <w:tcPr>
            <w:tcW w:w="1625" w:type="dxa"/>
            <w:tcBorders/>
          </w:tcPr>
          <w:p>
            <w:pPr>
              <w:pStyle w:val="style0"/>
              <w:spacing w:after="0" w:lineRule="auto" w:line="240"/>
              <w:jc w:val="center"/>
              <w:rPr>
                <w:rFonts w:ascii="Tw Cen MT" w:cs="Times New Roman" w:hAnsi="Tw Cen MT"/>
                <w:color w:val="000000"/>
                <w:sz w:val="20"/>
                <w:szCs w:val="24"/>
              </w:rPr>
            </w:pPr>
            <w:r>
              <w:rPr>
                <w:rFonts w:ascii="Tw Cen MT" w:cs="Times New Roman" w:hAnsi="Tw Cen MT"/>
                <w:color w:val="000000"/>
                <w:sz w:val="20"/>
                <w:szCs w:val="24"/>
              </w:rPr>
              <w:t>11.9491</w:t>
            </w:r>
          </w:p>
        </w:tc>
      </w:tr>
      <w:tr>
        <w:tblPrEx/>
        <w:trPr>
          <w:trHeight w:val="284" w:hRule="atLeast"/>
          <w:jc w:val="center"/>
        </w:trPr>
        <w:tc>
          <w:tcPr>
            <w:tcW w:w="1590" w:type="dxa"/>
            <w:tcBorders/>
            <w:vAlign w:val="center"/>
          </w:tcPr>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F4</w:t>
            </w:r>
          </w:p>
        </w:tc>
        <w:tc>
          <w:tcPr>
            <w:tcW w:w="1625" w:type="dxa"/>
            <w:tcBorders/>
          </w:tcPr>
          <w:p>
            <w:pPr>
              <w:pStyle w:val="style0"/>
              <w:spacing w:after="0" w:lineRule="auto" w:line="240"/>
              <w:jc w:val="center"/>
              <w:rPr>
                <w:rFonts w:ascii="Tw Cen MT" w:cs="Twentieth Century" w:eastAsia="Twentieth Century" w:hAnsi="Tw Cen MT"/>
                <w:sz w:val="20"/>
                <w:szCs w:val="20"/>
              </w:rPr>
            </w:pPr>
            <w:r>
              <w:rPr>
                <w:rFonts w:ascii="Tw Cen MT" w:cs="Times New Roman" w:hAnsi="Tw Cen MT"/>
                <w:color w:val="000000"/>
                <w:sz w:val="20"/>
                <w:szCs w:val="24"/>
              </w:rPr>
              <w:t>10</w:t>
            </w:r>
          </w:p>
        </w:tc>
        <w:tc>
          <w:tcPr>
            <w:tcW w:w="1625" w:type="dxa"/>
            <w:tcBorders/>
          </w:tcPr>
          <w:p>
            <w:pPr>
              <w:pStyle w:val="style0"/>
              <w:spacing w:after="0" w:lineRule="auto" w:line="240"/>
              <w:jc w:val="center"/>
              <w:rPr>
                <w:rFonts w:ascii="Tw Cen MT" w:cs="Times New Roman" w:hAnsi="Tw Cen MT"/>
                <w:color w:val="000000"/>
                <w:sz w:val="20"/>
                <w:szCs w:val="24"/>
              </w:rPr>
            </w:pPr>
            <w:r>
              <w:rPr>
                <w:rFonts w:ascii="Tw Cen MT" w:cs="Times New Roman" w:hAnsi="Tw Cen MT"/>
                <w:color w:val="000000"/>
                <w:sz w:val="20"/>
                <w:szCs w:val="24"/>
              </w:rPr>
              <w:t>12.0959</w:t>
            </w:r>
          </w:p>
        </w:tc>
      </w:tr>
    </w:tbl>
    <w:p>
      <w:pPr>
        <w:pStyle w:val="style0"/>
        <w:spacing w:lineRule="auto" w:line="240"/>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w:t>
      </w:r>
      <w:r>
        <w:rPr>
          <w:rFonts w:ascii="Tw Cen MT" w:hAnsi="Tw Cen MT"/>
          <w:sz w:val="24"/>
          <w:szCs w:val="24"/>
        </w:rPr>
        <w:t xml:space="preserve">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r>
      <w:r>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[11]","plainTextFormattedCitation":"[11]","previouslyFormattedCitation":"[10]"},"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[11]</w:t>
      </w:r>
      <w:r>
        <w:rPr>
          <w:rFonts w:ascii="Tw Cen MT" w:hAnsi="Tw Cen MT"/>
          <w:sz w:val="24"/>
          <w:szCs w:val="24"/>
        </w:rPr>
        <w:fldChar w:fldCharType="end"/>
      </w:r>
      <w:r>
        <w:rPr>
          <w:rFonts w:ascii="Tw Cen MT" w:hAnsi="Tw Cen MT"/>
          <w:sz w:val="24"/>
          <w:szCs w:val="24"/>
        </w:rPr>
        <w:t xml:space="preserve">. </w:t>
      </w:r>
    </w:p>
    <w:p>
      <w:pPr>
        <w:pStyle w:val="style0"/>
        <w:spacing w:lineRule="auto" w:line="240"/>
        <w:jc w:val="both"/>
        <w:rPr>
          <w:rFonts w:ascii="Tw Cen MT" w:cs="Times New Roman" w:hAnsi="Tw Cen MT"/>
          <w:sz w:val="24"/>
          <w:szCs w:val="24"/>
        </w:rPr>
      </w:pPr>
      <w:r>
        <w:rPr>
          <w:rFonts w:ascii="Tw Cen MT" w:cs="Times New Roman" w:hAnsi="Tw Cen MT"/>
          <w:sz w:val="24"/>
          <w:szCs w:val="24"/>
        </w:rPr>
        <w:t xml:space="preserve">Dari tabel </w:t>
      </w:r>
      <w:r>
        <w:rPr>
          <w:rFonts w:ascii="Tw Cen MT" w:cs="Times New Roman" w:hAnsi="Tw Cen MT"/>
          <w:sz w:val="24"/>
          <w:szCs w:val="24"/>
        </w:rPr>
        <w:t>5</w:t>
      </w:r>
      <w:r>
        <w:rPr>
          <w:rFonts w:ascii="Tw Cen MT" w:cs="Times New Roman" w:hAnsi="Tw Cen MT"/>
          <w:sz w:val="24"/>
          <w:szCs w:val="24"/>
        </w:rPr>
        <w:t xml:space="preserve"> menunjukan bahwa sediaan hidogel dari ekstrak kulit buah naga super merah semuanya mengalami kenaikan bobot. Hasil dari data </w:t>
      </w:r>
      <w:r>
        <w:rPr>
          <w:rFonts w:ascii="Tw Cen MT" w:cs="Times New Roman" w:hAnsi="Tw Cen MT"/>
          <w:i/>
          <w:sz w:val="24"/>
          <w:szCs w:val="24"/>
        </w:rPr>
        <w:t xml:space="preserve">swelling </w:t>
      </w:r>
      <w:r>
        <w:rPr>
          <w:rFonts w:ascii="Tw Cen MT" w:cs="Times New Roman" w:hAnsi="Tw Cen MT"/>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[12]","plainTextFormattedCitation":"[12]","previouslyFormattedCitation":"[11]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[12]</w:t>
      </w:r>
      <w:r>
        <w:rPr>
          <w:rFonts w:ascii="Tw Cen MT" w:cs="Times New Roman" w:hAnsi="Tw Cen MT"/>
          <w:sz w:val="24"/>
          <w:szCs w:val="24"/>
        </w:rPr>
        <w:fldChar w:fldCharType="end"/>
      </w:r>
      <w:r>
        <w:rPr>
          <w:rFonts w:ascii="Tw Cen MT" w:cs="Times New Roman" w:hAnsi="Tw Cen MT"/>
          <w:sz w:val="24"/>
          <w:szCs w:val="24"/>
        </w:rPr>
        <w:t>.</w:t>
      </w:r>
    </w:p>
    <w:p>
      <w:pPr>
        <w:pStyle w:val="style0"/>
        <w:spacing w:lineRule="auto" w:line="240"/>
        <w:jc w:val="both"/>
        <w:rPr>
          <w:rFonts w:ascii="Tw Cen MT" w:cs="Times New Roman" w:hAnsi="Tw Cen MT"/>
          <w:sz w:val="24"/>
          <w:szCs w:val="24"/>
        </w:rPr>
      </w:pPr>
      <w:r>
        <w:rPr>
          <w:rFonts w:ascii="Tw Cen MT" w:cs="Times New Roman" w:hAnsi="Tw Cen MT"/>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w:t>
      </w:r>
      <w:r>
        <w:rPr>
          <w:rFonts w:ascii="Tw Cen MT" w:cs="Times New Roman" w:hAnsi="Tw Cen MT"/>
          <w:sz w:val="24"/>
          <w:szCs w:val="24"/>
        </w:rPr>
        <w:t>ase</w:t>
      </w:r>
      <w:r>
        <w:rPr>
          <w:rFonts w:ascii="Tw Cen MT" w:cs="Times New Roman" w:hAnsi="Tw Cen MT"/>
          <w:sz w:val="24"/>
          <w:szCs w:val="24"/>
        </w:rPr>
        <w:t>rasi. Kekurangan peneliti, peneliti tidak melakukan penimbangan kembali hidrogel pada saaat hidrogel dalam kondisi kering saat pengujian</w:t>
      </w:r>
    </w:p>
    <w:p>
      <w:pPr>
        <w:pStyle w:val="style0"/>
        <w:spacing w:after="0" w:lineRule="auto" w:line="240"/>
        <w:jc w:val="both"/>
        <w:rPr>
          <w:rFonts w:ascii="Tw Cen MT" w:cs="Times New Roman" w:hAnsi="Tw Cen MT"/>
          <w:b/>
          <w:i/>
          <w:sz w:val="24"/>
          <w:szCs w:val="24"/>
        </w:rPr>
      </w:pPr>
      <w:r>
        <w:rPr>
          <w:rFonts w:ascii="Tw Cen MT" w:cs="Times New Roman" w:hAnsi="Tw Cen MT"/>
          <w:b/>
          <w:sz w:val="24"/>
          <w:szCs w:val="24"/>
        </w:rPr>
        <w:t xml:space="preserve">Uji </w:t>
      </w:r>
      <w:r>
        <w:rPr>
          <w:rFonts w:ascii="Tw Cen MT" w:cs="Times New Roman" w:hAnsi="Tw Cen MT"/>
          <w:b/>
          <w:i/>
          <w:sz w:val="24"/>
          <w:szCs w:val="24"/>
        </w:rPr>
        <w:t>Freeze and Thaw</w:t>
      </w:r>
    </w:p>
    <w:p>
      <w:pPr>
        <w:pStyle w:val="style0"/>
        <w:spacing w:after="0" w:lineRule="auto" w:line="240"/>
        <w:jc w:val="both"/>
        <w:rPr>
          <w:rFonts w:ascii="Tw Cen MT" w:cs="Times New Roman" w:hAnsi="Tw Cen MT"/>
          <w:bCs/>
          <w:i/>
          <w:iCs/>
          <w:color w:val="000000"/>
          <w:sz w:val="24"/>
          <w:szCs w:val="24"/>
        </w:rPr>
      </w:pPr>
      <w:r>
        <w:rPr>
          <w:rFonts w:ascii="Tw Cen MT" w:cs="Times New Roman" w:hAnsi="Tw Cen MT"/>
          <w:sz w:val="24"/>
          <w:szCs w:val="24"/>
        </w:rPr>
        <w:t xml:space="preserve">Pengujian </w:t>
      </w:r>
      <w:r>
        <w:rPr>
          <w:rFonts w:ascii="Tw Cen MT" w:cs="Times New Roman" w:hAnsi="Tw Cen MT"/>
          <w:bCs/>
          <w:i/>
          <w:iCs/>
          <w:color w:val="000000"/>
          <w:sz w:val="24"/>
          <w:szCs w:val="24"/>
        </w:rPr>
        <w:t>Freeze and Thaw</w:t>
      </w:r>
      <w:r>
        <w:rPr>
          <w:rFonts w:ascii="Tw Cen MT" w:cs="Times New Roman" w:hAnsi="Tw Cen MT"/>
          <w:bCs/>
          <w:iCs/>
          <w:color w:val="000000"/>
          <w:sz w:val="24"/>
          <w:szCs w:val="24"/>
        </w:rPr>
        <w:t xml:space="preserve"> dilakukan untuk melihat kestabila</w:t>
      </w:r>
      <w:r>
        <w:rPr>
          <w:rFonts w:ascii="Tw Cen MT" w:cs="Times New Roman" w:hAnsi="Tw Cen MT"/>
          <w:bCs/>
          <w:iCs/>
          <w:color w:val="000000"/>
          <w:sz w:val="24"/>
          <w:szCs w:val="24"/>
        </w:rPr>
        <w:t>n dari sediaan hidrogel dengan 4</w:t>
      </w:r>
      <w:r>
        <w:rPr>
          <w:rFonts w:ascii="Tw Cen MT" w:cs="Times New Roman" w:hAnsi="Tw Cen MT"/>
          <w:bCs/>
          <w:iCs/>
          <w:color w:val="000000"/>
          <w:sz w:val="24"/>
          <w:szCs w:val="24"/>
        </w:rPr>
        <w:t xml:space="preserve"> formulasi berbeda. Kestabilan dilihat dari variasi penyimpanan yaitu pada suhu </w:t>
      </w:r>
      <w:r>
        <w:rPr>
          <w:rFonts w:ascii="Tw Cen MT" w:cs="Times New Roman" w:hAnsi="Tw Cen MT"/>
          <w:color w:val="000000"/>
          <w:sz w:val="24"/>
          <w:szCs w:val="24"/>
        </w:rPr>
        <w:t>4</w:t>
      </w:r>
      <w:r>
        <w:rPr>
          <w:rFonts w:ascii="Tw Cen MT" w:cs="Times New Roman" w:hAnsi="Tw Cen MT"/>
          <w:color w:val="000000"/>
          <w:sz w:val="24"/>
          <w:szCs w:val="24"/>
        </w:rPr>
        <w:sym w:font="Symbol" w:char="f0b0"/>
      </w:r>
      <w:r>
        <w:rPr>
          <w:rFonts w:ascii="Tw Cen MT" w:cs="Times New Roman" w:hAnsi="Tw Cen MT"/>
          <w:color w:val="000000"/>
          <w:sz w:val="24"/>
          <w:szCs w:val="24"/>
        </w:rPr>
        <w:t>C dan 40</w:t>
      </w:r>
      <w:r>
        <w:rPr>
          <w:rFonts w:ascii="Tw Cen MT" w:cs="Times New Roman" w:hAnsi="Tw Cen MT"/>
          <w:color w:val="000000"/>
          <w:sz w:val="24"/>
          <w:szCs w:val="24"/>
        </w:rPr>
        <w:sym w:font="Symbol" w:char="f0b0"/>
      </w:r>
      <w:r>
        <w:rPr>
          <w:rFonts w:ascii="Tw Cen MT" w:cs="Times New Roman" w:hAnsi="Tw Cen MT"/>
          <w:color w:val="000000"/>
          <w:sz w:val="24"/>
          <w:szCs w:val="24"/>
        </w:rPr>
        <w:t>C, lalu dilakukan pengukuran pH, viskositas dan organoaleptis.</w:t>
      </w:r>
    </w:p>
    <w:p>
      <w:pPr>
        <w:pStyle w:val="style0"/>
        <w:spacing w:after="0" w:lineRule="auto" w:line="240"/>
        <w:jc w:val="both"/>
        <w:rPr>
          <w:rFonts w:ascii="Tw Cen MT" w:cs="Times New Roman" w:hAnsi="Tw Cen MT"/>
          <w:bCs/>
          <w:i/>
          <w:iCs/>
          <w:color w:val="000000"/>
          <w:sz w:val="24"/>
          <w:szCs w:val="24"/>
        </w:rPr>
      </w:pPr>
    </w:p>
    <w:p>
      <w:pPr>
        <w:pStyle w:val="style0"/>
        <w:spacing w:lineRule="auto" w:line="240"/>
        <w:jc w:val="both"/>
        <w:rPr>
          <w:rFonts w:ascii="Tw Cen MT" w:cs="Times New Roman" w:hAnsi="Tw Cen MT"/>
          <w:color w:val="000000"/>
          <w:sz w:val="24"/>
          <w:szCs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w:t>
      </w:r>
      <w:r>
        <w:rPr>
          <w:rFonts w:ascii="Tw Cen MT" w:hAnsi="Tw Cen MT"/>
          <w:sz w:val="24"/>
          <w:szCs w:val="24"/>
        </w:rPr>
        <w:t xml:space="preserve"> sediaan mengalami perubahan warna pada suhu 40</w:t>
      </w:r>
      <w:r>
        <w:rPr>
          <w:rFonts w:ascii="Tw Cen MT" w:cs="Times New Roman" w:hAnsi="Tw Cen MT"/>
          <w:color w:val="000000"/>
          <w:sz w:val="24"/>
          <w:szCs w:val="24"/>
        </w:rPr>
        <w:sym w:font="Symbol" w:char="f0b0"/>
      </w:r>
      <w:r>
        <w:rPr>
          <w:rFonts w:ascii="Tw Cen MT" w:cs="Times New Roman" w:hAnsi="Tw Cen MT"/>
          <w:color w:val="000000"/>
          <w:sz w:val="24"/>
          <w:szCs w:val="24"/>
        </w:rPr>
        <w:t>C</w:t>
      </w:r>
      <w:r>
        <w:rPr>
          <w:rFonts w:ascii="Tw Cen MT" w:cs="Times New Roman" w:hAnsi="Tw Cen MT"/>
          <w:color w:val="000000"/>
          <w:sz w:val="24"/>
          <w:szCs w:val="24"/>
        </w:rPr>
        <w:t xml:space="preserve"> pudar siklus pertama dan pada siklus seterusnya warna sediaan makin pudar, dapat disimpulkan bahwa sediaan hidrogel dari ekstrak kulit buah naga super merah tidak stabil pada penyimpanan suhu tinggi hal telah di uji oleh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[13]","plainTextFormattedCitation":"[13]","previouslyFormattedCitation":"[12]"},"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[13]</w:t>
      </w:r>
      <w:r>
        <w:rPr>
          <w:rFonts w:ascii="Tw Cen MT" w:cs="Times New Roman" w:hAnsi="Tw Cen MT"/>
          <w:sz w:val="24"/>
          <w:szCs w:val="24"/>
        </w:rPr>
        <w:fldChar w:fldCharType="end"/>
      </w:r>
      <w:r>
        <w:rPr>
          <w:rFonts w:ascii="Tw Cen MT" w:cs="Times New Roman" w:hAnsi="Tw Cen MT"/>
          <w:sz w:val="24"/>
          <w:szCs w:val="24"/>
        </w:rPr>
        <w:t xml:space="preserve"> yang menyebutkan zat antosianin pada kulit buah naga super merah sebagai pigmen warna stabil pada rentang suhu 10-30</w:t>
      </w:r>
      <w:r>
        <w:rPr>
          <w:rFonts w:ascii="Tw Cen MT" w:cs="Times New Roman" w:hAnsi="Tw Cen MT"/>
          <w:color w:val="000000"/>
          <w:sz w:val="24"/>
          <w:szCs w:val="24"/>
        </w:rPr>
        <w:sym w:font="Symbol" w:char="f0b0"/>
      </w:r>
      <w:r>
        <w:rPr>
          <w:rFonts w:ascii="Tw Cen MT" w:cs="Times New Roman" w:hAnsi="Tw Cen MT"/>
          <w:color w:val="000000"/>
          <w:sz w:val="24"/>
          <w:szCs w:val="24"/>
        </w:rPr>
        <w:t>C</w:t>
      </w:r>
      <w:r>
        <w:rPr>
          <w:rFonts w:ascii="Tw Cen MT" w:cs="Times New Roman" w:hAnsi="Tw Cen MT"/>
          <w:color w:val="000000"/>
          <w:sz w:val="24"/>
          <w:szCs w:val="24"/>
        </w:rPr>
        <w:t>.</w:t>
      </w:r>
    </w:p>
    <w:p>
      <w:pPr>
        <w:pStyle w:val="style0"/>
        <w:tabs>
          <w:tab w:val="left" w:leader="none" w:pos="426"/>
        </w:tabs>
        <w:spacing w:after="0" w:lineRule="auto" w:line="240"/>
        <w:jc w:val="both"/>
        <w:rPr>
          <w:rFonts w:ascii="Tw Cen MT" w:hAnsi="Tw Cen MT"/>
          <w:sz w:val="24"/>
          <w:szCs w:val="20"/>
        </w:rPr>
      </w:pPr>
      <w:r>
        <w:rPr>
          <w:rFonts w:ascii="Tw Cen MT" w:hAnsi="Tw Cen MT"/>
          <w:sz w:val="24"/>
          <w:szCs w:val="20"/>
        </w:rPr>
        <w:t xml:space="preserve">Hasil uji Viskositas </w:t>
      </w:r>
      <w:r>
        <w:rPr>
          <w:rFonts w:ascii="Tw Cen MT" w:hAnsi="Tw Cen MT"/>
          <w:sz w:val="24"/>
          <w:szCs w:val="20"/>
        </w:rPr>
        <w:t xml:space="preserve">pada uji </w:t>
      </w:r>
      <w:r>
        <w:rPr>
          <w:rFonts w:ascii="Tw Cen MT" w:hAnsi="Tw Cen MT"/>
          <w:i/>
          <w:sz w:val="24"/>
          <w:szCs w:val="20"/>
        </w:rPr>
        <w:t xml:space="preserve">Freeze and thaw </w:t>
      </w:r>
      <w:r>
        <w:rPr>
          <w:rFonts w:ascii="Tw Cen MT" w:hAnsi="Tw Cen MT"/>
          <w:sz w:val="24"/>
          <w:szCs w:val="20"/>
        </w:rPr>
        <w:t>didapatkan hasil yang sangat stabil dimana sediaan menunjukan rentang</w:t>
      </w:r>
      <w:r>
        <w:rPr>
          <w:rFonts w:ascii="Tw Cen MT" w:hAnsi="Tw Cen MT"/>
          <w:sz w:val="24"/>
          <w:szCs w:val="20"/>
        </w:rPr>
        <w:t xml:space="preserve"> viskositas selama uji stabilitas pada</w:t>
      </w:r>
      <w:r>
        <w:rPr>
          <w:rFonts w:ascii="Tw Cen MT" w:hAnsi="Tw Cen MT"/>
          <w:sz w:val="24"/>
          <w:szCs w:val="20"/>
        </w:rPr>
        <w:t xml:space="preserve"> </w:t>
      </w:r>
      <w:r>
        <w:rPr>
          <w:rFonts w:ascii="Tw Cen MT" w:hAnsi="Tw Cen MT"/>
          <w:sz w:val="24"/>
          <w:szCs w:val="20"/>
        </w:rPr>
        <w:t>range</w:t>
      </w:r>
      <w:r>
        <w:rPr>
          <w:rFonts w:ascii="Tw Cen MT" w:hAnsi="Tw Cen MT"/>
          <w:sz w:val="24"/>
          <w:szCs w:val="20"/>
        </w:rPr>
        <w:t xml:space="preserve"> 9.900-9.950</w:t>
      </w:r>
      <w:r>
        <w:rPr>
          <w:rFonts w:ascii="Tw Cen MT" w:hAnsi="Tw Cen MT"/>
          <w:sz w:val="24"/>
          <w:szCs w:val="20"/>
        </w:rPr>
        <w:t xml:space="preserve"> hal ini dapat disimpulan bahwa viskositas sediaan hidrogel stabil selama proses penyimpanan pada suhu ekstrim </w:t>
      </w:r>
    </w:p>
    <w:p>
      <w:pPr>
        <w:pStyle w:val="style0"/>
        <w:tabs>
          <w:tab w:val="left" w:leader="none" w:pos="426"/>
        </w:tabs>
        <w:spacing w:after="0" w:lineRule="auto" w:line="240"/>
        <w:jc w:val="both"/>
        <w:rPr>
          <w:rFonts w:ascii="Tw Cen MT" w:hAnsi="Tw Cen MT"/>
          <w:sz w:val="24"/>
          <w:szCs w:val="20"/>
        </w:rPr>
      </w:pPr>
    </w:p>
    <w:p>
      <w:pPr>
        <w:pStyle w:val="style0"/>
        <w:tabs>
          <w:tab w:val="left" w:leader="none" w:pos="426"/>
        </w:tabs>
        <w:spacing w:after="0" w:lineRule="auto" w:line="240"/>
        <w:jc w:val="both"/>
        <w:rPr>
          <w:rFonts w:ascii="Tw Cen MT" w:hAnsi="Tw Cen MT"/>
          <w:sz w:val="24"/>
          <w:szCs w:val="20"/>
        </w:rPr>
      </w:pPr>
      <w:r>
        <w:rPr>
          <w:rFonts w:ascii="Tw Cen MT" w:hAnsi="Tw Cen MT"/>
          <w:sz w:val="24"/>
          <w:szCs w:val="20"/>
        </w:rPr>
        <w:t>Hasil uji pH pada uji Freeze and thaw didapatkan hasil yang stabil dimana sediaan menunjukan rentang pH selama uji stabilitas pada range 5,33-6,2 yang mana angka ini masih masuk dalam syarat range pH diantara 4,5-6,5, dan sediaan hidrogel dapat dikatakan stabil selama proses penyimpanan pada suhu ekstrim</w:t>
      </w:r>
    </w:p>
    <w:p>
      <w:pPr>
        <w:pStyle w:val="style0"/>
        <w:tabs>
          <w:tab w:val="left" w:leader="none" w:pos="426"/>
        </w:tabs>
        <w:spacing w:after="0" w:lineRule="auto" w:line="240"/>
        <w:jc w:val="both"/>
        <w:rPr>
          <w:rFonts w:ascii="Tw Cen MT" w:hAnsi="Tw Cen MT"/>
          <w:sz w:val="24"/>
          <w:szCs w:val="20"/>
        </w:rPr>
      </w:pPr>
    </w:p>
    <w:p>
      <w:pPr>
        <w:pStyle w:val="style0"/>
        <w:spacing w:after="0" w:lineRule="auto" w:line="240"/>
        <w:jc w:val="both"/>
        <w:rPr>
          <w:rFonts w:ascii="Tw Cen MT" w:cs="Twentieth Century" w:eastAsia="Twentieth Century" w:hAnsi="Tw Cen MT"/>
        </w:rPr>
      </w:pPr>
      <w:r>
        <w:rPr>
          <w:rFonts w:ascii="Tw Cen MT" w:cs="Twentieth Century" w:eastAsia="Twentieth Century" w:hAnsi="Tw Cen MT"/>
          <w:b/>
          <w:sz w:val="24"/>
          <w:szCs w:val="24"/>
        </w:rPr>
        <w:t>SIMPULAN</w:t>
      </w:r>
    </w:p>
    <w:p>
      <w:pPr>
        <w:pStyle w:val="style0"/>
        <w:tabs>
          <w:tab w:val="left" w:leader="none" w:pos="426"/>
        </w:tabs>
        <w:spacing w:after="0" w:lineRule="auto" w:line="240"/>
        <w:jc w:val="both"/>
        <w:rPr>
          <w:rFonts w:ascii="Times New Roman" w:cs="Times New Roman" w:hAnsi="Times New Roman"/>
          <w:sz w:val="24"/>
        </w:rPr>
      </w:pPr>
      <w:r>
        <w:rPr>
          <w:rFonts w:ascii="Tw Cen MT" w:cs="Times New Roman" w:hAnsi="Tw Cen MT"/>
          <w:sz w:val="24"/>
        </w:rPr>
        <w:t xml:space="preserve">Berdasarkan hasil penelitian yang sudah dilakukan terhadap sediaan hidrogel yang mengandung zat aktif dari ekstrak kulit buah naga super </w:t>
      </w:r>
      <w:r>
        <w:rPr>
          <w:rFonts w:ascii="Tw Cen MT" w:cs="Times New Roman" w:hAnsi="Tw Cen MT"/>
          <w:sz w:val="24"/>
          <w:szCs w:val="24"/>
        </w:rPr>
        <w:t>(</w:t>
      </w:r>
      <w:r>
        <w:rPr>
          <w:rFonts w:ascii="Tw Cen MT" w:cs="Times New Roman" w:hAnsi="Tw Cen MT"/>
          <w:i/>
          <w:sz w:val="24"/>
          <w:szCs w:val="24"/>
        </w:rPr>
        <w:t>Selenicereus costaricensis</w:t>
      </w:r>
      <w:r>
        <w:rPr>
          <w:rFonts w:ascii="Tw Cen MT" w:cs="Times New Roman" w:hAnsi="Tw Cen MT"/>
          <w:sz w:val="24"/>
          <w:szCs w:val="24"/>
        </w:rPr>
        <w:t>)</w:t>
      </w:r>
      <w:r>
        <w:rPr>
          <w:rFonts w:ascii="Tw Cen MT" w:cs="Times New Roman" w:hAnsi="Tw Cen MT"/>
          <w:iCs/>
          <w:sz w:val="24"/>
          <w:szCs w:val="24"/>
        </w:rPr>
        <w:t xml:space="preserve"> </w:t>
      </w:r>
      <w:r>
        <w:rPr>
          <w:rFonts w:ascii="Tw Cen MT" w:cs="Times New Roman" w:hAnsi="Tw Cen MT"/>
          <w:sz w:val="24"/>
        </w:rPr>
        <w:t>yang dibuat menggunakan metode ultrasonik, maka dapat disimpulkan bahwa sediaan hidogel dari ekst</w:t>
      </w:r>
      <w:r>
        <w:rPr>
          <w:rFonts w:ascii="Tw Cen MT" w:cs="Times New Roman" w:hAnsi="Tw Cen MT"/>
          <w:sz w:val="24"/>
        </w:rPr>
        <w:t xml:space="preserve">rak kulit buah naga super merah </w:t>
      </w:r>
      <w:r>
        <w:rPr>
          <w:rFonts w:ascii="Tw Cen MT" w:cs="Times New Roman" w:hAnsi="Tw Cen MT"/>
          <w:sz w:val="24"/>
          <w:szCs w:val="24"/>
        </w:rPr>
        <w:t>(</w:t>
      </w:r>
      <w:r>
        <w:rPr>
          <w:rFonts w:ascii="Tw Cen MT" w:cs="Times New Roman" w:hAnsi="Tw Cen MT"/>
          <w:i/>
          <w:sz w:val="24"/>
          <w:szCs w:val="24"/>
        </w:rPr>
        <w:t>Selenicereus costaricensis</w:t>
      </w:r>
      <w:r>
        <w:rPr>
          <w:rFonts w:ascii="Tw Cen MT" w:cs="Times New Roman" w:hAnsi="Tw Cen MT"/>
          <w:sz w:val="24"/>
          <w:szCs w:val="24"/>
        </w:rPr>
        <w:t>)</w:t>
      </w:r>
      <w:r>
        <w:rPr>
          <w:rFonts w:ascii="Tw Cen MT" w:cs="Times New Roman" w:hAnsi="Tw Cen MT"/>
          <w:iCs/>
          <w:sz w:val="24"/>
          <w:szCs w:val="24"/>
        </w:rPr>
        <w:t xml:space="preserve"> </w:t>
      </w:r>
      <w:r>
        <w:rPr>
          <w:rFonts w:ascii="Tw Cen MT" w:cs="Times New Roman" w:hAnsi="Tw Cen MT"/>
          <w:sz w:val="24"/>
        </w:rPr>
        <w:t>menggunakan ultrasonik</w:t>
      </w:r>
      <w:r>
        <w:rPr>
          <w:rFonts w:ascii="Tw Cen MT" w:cs="Times New Roman" w:hAnsi="Tw Cen MT"/>
          <w:sz w:val="24"/>
        </w:rPr>
        <w:t xml:space="preserve"> dapat dibentuk dalam sediaan hidrogel </w:t>
      </w:r>
      <w:r>
        <w:rPr>
          <w:rFonts w:ascii="Tw Cen MT" w:cs="Times New Roman" w:hAnsi="Tw Cen MT"/>
          <w:sz w:val="24"/>
        </w:rPr>
        <w:t>yang memenuhi evaluasi</w:t>
      </w:r>
      <w:r>
        <w:rPr>
          <w:rFonts w:ascii="Tw Cen MT" w:cs="Times New Roman" w:hAnsi="Tw Cen MT"/>
          <w:sz w:val="24"/>
        </w:rPr>
        <w:t xml:space="preserve"> mutu fisik</w:t>
      </w:r>
      <w:r>
        <w:rPr>
          <w:rFonts w:ascii="Tw Cen MT" w:cs="Times New Roman" w:hAnsi="Tw Cen MT"/>
          <w:sz w:val="24"/>
        </w:rPr>
        <w:t xml:space="preserve"> sediaan hidrogel</w:t>
      </w:r>
      <w:r>
        <w:rPr>
          <w:rFonts w:ascii="Tw Cen MT" w:cs="Times New Roman" w:hAnsi="Tw Cen MT"/>
          <w:sz w:val="24"/>
        </w:rPr>
        <w:t xml:space="preserve"> yang baik.</w:t>
      </w:r>
    </w:p>
    <w:p>
      <w:pPr>
        <w:pStyle w:val="style0"/>
        <w:tabs>
          <w:tab w:val="left" w:leader="none" w:pos="426"/>
        </w:tabs>
        <w:spacing w:after="0" w:lineRule="auto" w:line="240"/>
        <w:jc w:val="both"/>
        <w:rPr>
          <w:rFonts w:ascii="Times New Roman" w:cs="Times New Roman" w:hAnsi="Times New Roman"/>
          <w:sz w:val="24"/>
        </w:rPr>
      </w:pP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UCAPAN TERIMA KASIH </w:t>
      </w:r>
    </w:p>
    <w:p>
      <w:pPr>
        <w:pStyle w:val="style0"/>
        <w:tabs>
          <w:tab w:val="left" w:leader="none" w:pos="426"/>
        </w:tabs>
        <w:spacing w:after="0" w:lineRule="auto" w:line="240"/>
        <w:jc w:val="both"/>
        <w:rPr/>
      </w:pPr>
      <w:r>
        <w:t xml:space="preserve">Terima kasih kepada Tim Peneliti atas kerja samanya dan Universitas Fort De Kock Bukittinggi </w:t>
      </w:r>
      <w:r>
        <w:t>yang telah memfasilitasi, sehingga penelitian ini dapat terlaksana</w:t>
      </w:r>
    </w:p>
    <w:p>
      <w:pPr>
        <w:pStyle w:val="style0"/>
        <w:tabs>
          <w:tab w:val="left" w:leader="none" w:pos="426"/>
        </w:tabs>
        <w:spacing w:after="0" w:lineRule="auto" w:line="240"/>
        <w:jc w:val="both"/>
        <w:rPr/>
      </w:pP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DAFTAR </w:t>
      </w:r>
      <w:commentRangeStart w:id="7"/>
      <w:commentRangeStart w:id="6"/>
      <w:r>
        <w:rPr>
          <w:rFonts w:ascii="Tw Cen MT" w:cs="Twentieth Century" w:eastAsia="Twentieth Century" w:hAnsi="Tw Cen MT"/>
          <w:b/>
          <w:sz w:val="24"/>
          <w:szCs w:val="24"/>
        </w:rPr>
        <w:t>PUSTAKA</w:t>
      </w:r>
      <w:commentRangeEnd w:id="6"/>
      <w:r>
        <w:rPr/>
        <w:commentReference w:id="6"/>
      </w:r>
      <w:commentRangeEnd w:id="7"/>
      <w:r>
        <w:rPr/>
        <w:commentReference w:id="7"/>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wentieth Century" w:eastAsia="Twentieth Century" w:hAnsi="Tw Cen MT"/>
          <w:color w:val="0d0d0d"/>
          <w:sz w:val="24"/>
          <w:szCs w:val="24"/>
        </w:rPr>
        <w:fldChar w:fldCharType="begin"/>
      </w:r>
      <w:r>
        <w:rPr>
          <w:rFonts w:ascii="Tw Cen MT" w:cs="Twentieth Century" w:eastAsia="Twentieth Century" w:hAnsi="Tw Cen MT"/>
          <w:color w:val="0d0d0d"/>
          <w:sz w:val="24"/>
          <w:szCs w:val="24"/>
        </w:rPr>
        <w:instrText xml:space="preserve">ADDIN Mendeley Bibliography CSL_BIBLIOGRAPHY </w:instrText>
      </w:r>
      <w:r>
        <w:rPr>
          <w:rFonts w:ascii="Tw Cen MT" w:cs="Twentieth Century" w:eastAsia="Twentieth Century" w:hAnsi="Tw Cen MT"/>
          <w:color w:val="0d0d0d"/>
          <w:sz w:val="24"/>
          <w:szCs w:val="24"/>
        </w:rPr>
        <w:fldChar w:fldCharType="separate"/>
      </w:r>
      <w:r>
        <w:rPr>
          <w:rFonts w:ascii="Tw Cen MT" w:cs="Times New Roman" w:hAnsi="Tw Cen MT"/>
          <w:noProof/>
          <w:sz w:val="24"/>
          <w:szCs w:val="24"/>
        </w:rPr>
        <w:t>[1]</w:t>
      </w:r>
      <w:r>
        <w:rPr>
          <w:rFonts w:ascii="Tw Cen MT" w:cs="Times New Roman" w:hAnsi="Tw Cen MT"/>
          <w:noProof/>
          <w:sz w:val="24"/>
          <w:szCs w:val="24"/>
        </w:rPr>
        <w:tab/>
      </w:r>
      <w:r>
        <w:rPr>
          <w:rFonts w:ascii="Tw Cen MT" w:cs="Times New Roman" w:hAnsi="Tw Cen MT"/>
          <w:noProof/>
          <w:sz w:val="24"/>
          <w:szCs w:val="24"/>
        </w:rPr>
        <w:t xml:space="preserve">I. H. Santi and A. I. Septiawan, “Metode Forward Chaining Pada Sistem Pakar Dalam Mendiagnosis Penyakit Kulit,” </w:t>
      </w:r>
      <w:r>
        <w:rPr>
          <w:rFonts w:ascii="Tw Cen MT" w:cs="Times New Roman" w:hAnsi="Tw Cen MT"/>
          <w:i/>
          <w:iCs/>
          <w:noProof/>
          <w:sz w:val="24"/>
          <w:szCs w:val="24"/>
        </w:rPr>
        <w:t>Antivirus  J. Ilm. Tek. Inform.</w:t>
      </w:r>
      <w:r>
        <w:rPr>
          <w:rFonts w:ascii="Tw Cen MT" w:cs="Times New Roman" w:hAnsi="Tw Cen MT"/>
          <w:noProof/>
          <w:sz w:val="24"/>
          <w:szCs w:val="24"/>
        </w:rPr>
        <w:t>, vol. 12, no. 1, pp. 1–12, 2018, doi: 10.35457/antivirus.v12i1.438.</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[2]</w:t>
      </w:r>
      <w:r>
        <w:rPr>
          <w:rFonts w:ascii="Tw Cen MT" w:cs="Times New Roman" w:hAnsi="Tw Cen MT"/>
          <w:noProof/>
          <w:sz w:val="24"/>
          <w:szCs w:val="24"/>
        </w:rPr>
        <w:tab/>
      </w:r>
      <w:r>
        <w:rPr>
          <w:rFonts w:ascii="Tw Cen MT" w:cs="Times New Roman" w:hAnsi="Tw Cen MT"/>
          <w:noProof/>
          <w:sz w:val="24"/>
          <w:szCs w:val="24"/>
        </w:rPr>
        <w:t xml:space="preserve">H. Kusantati, P. T. Prihatin, and W. Wiana, </w:t>
      </w:r>
      <w:r>
        <w:rPr>
          <w:rFonts w:ascii="Tw Cen MT" w:cs="Times New Roman" w:hAnsi="Tw Cen MT"/>
          <w:i/>
          <w:iCs/>
          <w:noProof/>
          <w:sz w:val="24"/>
          <w:szCs w:val="24"/>
        </w:rPr>
        <w:t>Tata Kecantikan Kulit untuk Sekolah Menengah Kejuruan Jilid 1</w:t>
      </w:r>
      <w:r>
        <w:rPr>
          <w:rFonts w:ascii="Tw Cen MT" w:cs="Times New Roman" w:hAnsi="Tw Cen MT"/>
          <w:noProof/>
          <w:sz w:val="24"/>
          <w:szCs w:val="24"/>
        </w:rPr>
        <w:t>, vol. 53, no. 9. 2008.</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[3]</w:t>
      </w:r>
      <w:r>
        <w:rPr>
          <w:rFonts w:ascii="Tw Cen MT" w:cs="Times New Roman" w:hAnsi="Tw Cen MT"/>
          <w:noProof/>
          <w:sz w:val="24"/>
          <w:szCs w:val="24"/>
        </w:rPr>
        <w:tab/>
      </w:r>
      <w:r>
        <w:rPr>
          <w:rFonts w:ascii="Tw Cen MT" w:cs="Times New Roman" w:hAnsi="Tw Cen MT"/>
          <w:noProof/>
          <w:sz w:val="24"/>
          <w:szCs w:val="24"/>
        </w:rPr>
        <w:t xml:space="preserve">D. Fruit, “PEMANFAATAN KULIT BUAH NAGA (Dragon Fruit) SEBAGAI PEWARNA ALAMI MAKANAN PENGGANTI PEWARNA SINTETIS,” </w:t>
      </w:r>
      <w:r>
        <w:rPr>
          <w:rFonts w:ascii="Tw Cen MT" w:cs="Times New Roman" w:hAnsi="Tw Cen MT"/>
          <w:i/>
          <w:iCs/>
          <w:noProof/>
          <w:sz w:val="24"/>
          <w:szCs w:val="24"/>
        </w:rPr>
        <w:t>J. Bahan Alam Terbarukan</w:t>
      </w:r>
      <w:r>
        <w:rPr>
          <w:rFonts w:ascii="Tw Cen MT" w:cs="Times New Roman" w:hAnsi="Tw Cen MT"/>
          <w:noProof/>
          <w:sz w:val="24"/>
          <w:szCs w:val="24"/>
        </w:rPr>
        <w:t>, vol. 1, no. 2, p. 75017, 2013, doi: 10.15294/jbat.v1i2.2545.</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[4]</w:t>
      </w:r>
      <w:r>
        <w:rPr>
          <w:rFonts w:ascii="Tw Cen MT" w:cs="Times New Roman" w:hAnsi="Tw Cen MT"/>
          <w:noProof/>
          <w:sz w:val="24"/>
          <w:szCs w:val="24"/>
        </w:rPr>
        <w:tab/>
      </w:r>
      <w:r>
        <w:rPr>
          <w:rFonts w:ascii="Tw Cen MT" w:cs="Times New Roman" w:hAnsi="Tw Cen MT"/>
          <w:noProof/>
          <w:sz w:val="24"/>
          <w:szCs w:val="24"/>
        </w:rPr>
        <w:t xml:space="preserve">D. L. Y. Handoyo, “The Influence Of Maseration Time (Immeration) On The Vocity Of Birthleaf Extract (Piper Betle),” </w:t>
      </w:r>
      <w:r>
        <w:rPr>
          <w:rFonts w:ascii="Tw Cen MT" w:cs="Times New Roman" w:hAnsi="Tw Cen MT"/>
          <w:i/>
          <w:iCs/>
          <w:noProof/>
          <w:sz w:val="24"/>
          <w:szCs w:val="24"/>
        </w:rPr>
        <w:t>J. Farm. Tinctura</w:t>
      </w:r>
      <w:r>
        <w:rPr>
          <w:rFonts w:ascii="Tw Cen MT" w:cs="Times New Roman" w:hAnsi="Tw Cen MT"/>
          <w:noProof/>
          <w:sz w:val="24"/>
          <w:szCs w:val="24"/>
        </w:rPr>
        <w:t>, vol. 2, no. 1, pp. 34–41, 2020, doi: 10.35316/tinctura.v2i1.1546.</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[5]</w:t>
      </w:r>
      <w:r>
        <w:rPr>
          <w:rFonts w:ascii="Tw Cen MT" w:cs="Times New Roman" w:hAnsi="Tw Cen MT"/>
          <w:noProof/>
          <w:sz w:val="24"/>
          <w:szCs w:val="24"/>
        </w:rPr>
        <w:tab/>
      </w:r>
      <w:r>
        <w:rPr>
          <w:rFonts w:ascii="Tw Cen MT" w:cs="Times New Roman" w:hAnsi="Tw Cen MT"/>
          <w:noProof/>
          <w:sz w:val="24"/>
          <w:szCs w:val="24"/>
        </w:rPr>
        <w:t xml:space="preserve">S. Nabillah, N. Noval, and N. Hidayah, “FORMULASI DAN EVALUASI NANO HIDROGEL EKSTRAK DAUN SERUNAI (Chromolaena odorata L.) DENGAN VARIASI KONSENTRASI POLIMER CARBOPOL 980,” </w:t>
      </w:r>
      <w:r>
        <w:rPr>
          <w:rFonts w:ascii="Tw Cen MT" w:cs="Times New Roman" w:hAnsi="Tw Cen MT"/>
          <w:i/>
          <w:iCs/>
          <w:noProof/>
          <w:sz w:val="24"/>
          <w:szCs w:val="24"/>
        </w:rPr>
        <w:t>J. Ilm. Ibnu Sina Ilmu Farm. dan Kesehat.</w:t>
      </w:r>
      <w:r>
        <w:rPr>
          <w:rFonts w:ascii="Tw Cen MT" w:cs="Times New Roman" w:hAnsi="Tw Cen MT"/>
          <w:noProof/>
          <w:sz w:val="24"/>
          <w:szCs w:val="24"/>
        </w:rPr>
        <w:t>, vol. 7, no. 2, pp. 340–349, 2022, doi: 10.36387/jiis.v7i2.995.</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[6]</w:t>
      </w:r>
      <w:r>
        <w:rPr>
          <w:rFonts w:ascii="Tw Cen MT" w:cs="Times New Roman" w:hAnsi="Tw Cen MT"/>
          <w:noProof/>
          <w:sz w:val="24"/>
          <w:szCs w:val="24"/>
        </w:rPr>
        <w:tab/>
      </w:r>
      <w:r>
        <w:rPr>
          <w:rFonts w:ascii="Tw Cen MT" w:cs="Times New Roman" w:hAnsi="Tw Cen MT"/>
          <w:noProof/>
          <w:sz w:val="24"/>
          <w:szCs w:val="24"/>
        </w:rPr>
        <w:t xml:space="preserve">J. Djajadisastra, Z. S. Dzuhro, and S. Sutriyo, “Pengaruh Natrium Hialuronat terhadap Penetrasi Kofein Sebagai Antiselulit dalam Sediaan Hidrogel, Hidroalkoholik Gel, dan Emulsi Gel,” </w:t>
      </w:r>
      <w:r>
        <w:rPr>
          <w:rFonts w:ascii="Tw Cen MT" w:cs="Times New Roman" w:hAnsi="Tw Cen MT"/>
          <w:i/>
          <w:iCs/>
          <w:noProof/>
          <w:sz w:val="24"/>
          <w:szCs w:val="24"/>
        </w:rPr>
        <w:t>Pharm. Sci. Res.</w:t>
      </w:r>
      <w:r>
        <w:rPr>
          <w:rFonts w:ascii="Tw Cen MT" w:cs="Times New Roman" w:hAnsi="Tw Cen MT"/>
          <w:noProof/>
          <w:sz w:val="24"/>
          <w:szCs w:val="24"/>
        </w:rPr>
        <w:t>, vol. 1, no. 1, pp. 46–63, 2014, doi: 10.7454/psr.v1i1.3298.</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[7]</w:t>
      </w:r>
      <w:r>
        <w:rPr>
          <w:rFonts w:ascii="Tw Cen MT" w:cs="Times New Roman" w:hAnsi="Tw Cen MT"/>
          <w:noProof/>
          <w:sz w:val="24"/>
          <w:szCs w:val="24"/>
        </w:rPr>
        <w:tab/>
      </w:r>
      <w:r>
        <w:rPr>
          <w:rFonts w:ascii="Tw Cen MT" w:cs="Times New Roman" w:hAnsi="Tw Cen MT"/>
          <w:noProof/>
          <w:sz w:val="24"/>
          <w:szCs w:val="24"/>
        </w:rPr>
        <w:t xml:space="preserve">R. Asra, R. D. Yetti, R. Rusdi, S. Audina, and N. Nessa, “Studi Fisikokimia Betasianin Dalam Kulit Buah Naga dan Aplikasinya Sebagai Pewarna Merah Alami Sediaan Farmasi,” </w:t>
      </w:r>
      <w:r>
        <w:rPr>
          <w:rFonts w:ascii="Tw Cen MT" w:cs="Times New Roman" w:hAnsi="Tw Cen MT"/>
          <w:i/>
          <w:iCs/>
          <w:noProof/>
          <w:sz w:val="24"/>
          <w:szCs w:val="24"/>
        </w:rPr>
        <w:t>J. Farm. Galen. (Galenika J. Pharmacy)</w:t>
      </w:r>
      <w:r>
        <w:rPr>
          <w:rFonts w:ascii="Tw Cen MT" w:cs="Times New Roman" w:hAnsi="Tw Cen MT"/>
          <w:noProof/>
          <w:sz w:val="24"/>
          <w:szCs w:val="24"/>
        </w:rPr>
        <w:t>, vol. 5, no. 2, pp. 140–146, 2019, doi: 10.22487/j24428744.2019.v5.i2.13498.</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[8]</w:t>
      </w:r>
      <w:r>
        <w:rPr>
          <w:rFonts w:ascii="Tw Cen MT" w:cs="Times New Roman" w:hAnsi="Tw Cen MT"/>
          <w:noProof/>
          <w:sz w:val="24"/>
          <w:szCs w:val="24"/>
        </w:rPr>
        <w:tab/>
      </w:r>
      <w:r>
        <w:rPr>
          <w:rFonts w:ascii="Tw Cen MT" w:cs="Times New Roman" w:hAnsi="Tw Cen MT"/>
          <w:noProof/>
          <w:sz w:val="24"/>
          <w:szCs w:val="24"/>
        </w:rPr>
        <w:t xml:space="preserve">I. Setiawan, N. Y. Lindawati, and B. Amalia, “Formulasi dan Uji Antiinflamasi Sediaan Hidrogel Ekstrak Jahe Merah,” </w:t>
      </w:r>
      <w:r>
        <w:rPr>
          <w:rFonts w:ascii="Tw Cen MT" w:cs="Times New Roman" w:hAnsi="Tw Cen MT"/>
          <w:i/>
          <w:iCs/>
          <w:noProof/>
          <w:sz w:val="24"/>
          <w:szCs w:val="24"/>
        </w:rPr>
        <w:t>Media Farm. Indones.</w:t>
      </w:r>
      <w:r>
        <w:rPr>
          <w:rFonts w:ascii="Tw Cen MT" w:cs="Times New Roman" w:hAnsi="Tw Cen MT"/>
          <w:noProof/>
          <w:sz w:val="24"/>
          <w:szCs w:val="24"/>
        </w:rPr>
        <w:t>, vol. 13, no. 1, pp. 1330–1334, 2016.</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[9]</w:t>
      </w:r>
      <w:r>
        <w:rPr>
          <w:rFonts w:ascii="Tw Cen MT" w:cs="Times New Roman" w:hAnsi="Tw Cen MT"/>
          <w:noProof/>
          <w:sz w:val="24"/>
          <w:szCs w:val="24"/>
        </w:rPr>
        <w:tab/>
      </w:r>
      <w:r>
        <w:rPr>
          <w:rFonts w:ascii="Tw Cen MT" w:cs="Times New Roman" w:hAnsi="Tw Cen MT"/>
          <w:noProof/>
          <w:sz w:val="24"/>
          <w:szCs w:val="24"/>
        </w:rPr>
        <w:t xml:space="preserve">D. R. Barleany </w:t>
      </w:r>
      <w:r>
        <w:rPr>
          <w:rFonts w:ascii="Tw Cen MT" w:cs="Times New Roman" w:hAnsi="Tw Cen MT"/>
          <w:i/>
          <w:iCs/>
          <w:noProof/>
          <w:sz w:val="24"/>
          <w:szCs w:val="24"/>
        </w:rPr>
        <w:t>et al.</w:t>
      </w:r>
      <w:r>
        <w:rPr>
          <w:rFonts w:ascii="Tw Cen MT" w:cs="Times New Roman" w:hAnsi="Tw Cen MT"/>
          <w:noProof/>
          <w:sz w:val="24"/>
          <w:szCs w:val="24"/>
        </w:rPr>
        <w:t xml:space="preserve">, “Hydrogel Preparation from Shrimp Shell-Based Chitosan: The Degree of Crosslinking and Swelling Study,” </w:t>
      </w:r>
      <w:r>
        <w:rPr>
          <w:rFonts w:ascii="Tw Cen MT" w:cs="Times New Roman" w:hAnsi="Tw Cen MT"/>
          <w:i/>
          <w:iCs/>
          <w:noProof/>
          <w:sz w:val="24"/>
          <w:szCs w:val="24"/>
        </w:rPr>
        <w:t>ASEAN J. Chem. Eng.</w:t>
      </w:r>
      <w:r>
        <w:rPr>
          <w:rFonts w:ascii="Tw Cen MT" w:cs="Times New Roman" w:hAnsi="Tw Cen MT"/>
          <w:noProof/>
          <w:sz w:val="24"/>
          <w:szCs w:val="24"/>
        </w:rPr>
        <w:t>, vol. 23, no. 1, pp. 28–39, 2023, doi: 10.22146/ajche.73716.</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[10]</w:t>
      </w:r>
      <w:r>
        <w:rPr>
          <w:rFonts w:ascii="Tw Cen MT" w:cs="Times New Roman" w:hAnsi="Tw Cen MT"/>
          <w:noProof/>
          <w:sz w:val="24"/>
          <w:szCs w:val="24"/>
        </w:rPr>
        <w:tab/>
      </w:r>
      <w:r>
        <w:rPr>
          <w:rFonts w:ascii="Tw Cen MT" w:cs="Times New Roman" w:hAnsi="Tw Cen MT"/>
          <w:noProof/>
          <w:sz w:val="24"/>
          <w:szCs w:val="24"/>
        </w:rPr>
        <w:t xml:space="preserve">A. Widyasanti, M. Z. Arsyad, and D. E. Wulandari, “EKSTRAKSI ANTOSIANIN KULIT BUAH NAGA MERAH (Hylocereus polyrhizus) MENGGUNAKAN METODE MASERASI ANTHOCYANIN EXTRACTION OF RED DRAGON FRUIT PEELS (Hylocereus polyrhizus) USING MACERATION </w:t>
      </w:r>
      <w:r>
        <w:rPr>
          <w:rFonts w:ascii="Tw Cen MT" w:cs="Times New Roman" w:hAnsi="Tw Cen MT"/>
          <w:noProof/>
          <w:sz w:val="24"/>
          <w:szCs w:val="24"/>
        </w:rPr>
        <w:t xml:space="preserve">METHOD,” </w:t>
      </w:r>
      <w:r>
        <w:rPr>
          <w:rFonts w:ascii="Tw Cen MT" w:cs="Times New Roman" w:hAnsi="Tw Cen MT"/>
          <w:i/>
          <w:iCs/>
          <w:noProof/>
          <w:sz w:val="24"/>
          <w:szCs w:val="24"/>
        </w:rPr>
        <w:t>| J. Agroindustri</w:t>
      </w:r>
      <w:r>
        <w:rPr>
          <w:rFonts w:ascii="Tw Cen MT" w:cs="Times New Roman" w:hAnsi="Tw Cen MT"/>
          <w:noProof/>
          <w:sz w:val="24"/>
          <w:szCs w:val="24"/>
        </w:rPr>
        <w:t>, vol. 11, no. 2, pp. 72–81, 2021, [Online]. Available: https://ejournal.unib.ac.id/index.php/agroindustri</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[11]</w:t>
      </w:r>
      <w:r>
        <w:rPr>
          <w:rFonts w:ascii="Tw Cen MT" w:cs="Times New Roman" w:hAnsi="Tw Cen MT"/>
          <w:noProof/>
          <w:sz w:val="24"/>
          <w:szCs w:val="24"/>
        </w:rPr>
        <w:tab/>
      </w:r>
      <w:r>
        <w:rPr>
          <w:rFonts w:ascii="Tw Cen MT" w:cs="Times New Roman" w:hAnsi="Tw Cen MT"/>
          <w:noProof/>
          <w:sz w:val="24"/>
          <w:szCs w:val="24"/>
        </w:rPr>
        <w:t xml:space="preserve">R. Kartika, A. Gadri, and G. C. E. Darma, “Formulasi Basis Sediaan Pembalut Luka Hidrogel dengan Teknik Beku Leleh Menggunakan Polimer Kappa Karagenan,” </w:t>
      </w:r>
      <w:r>
        <w:rPr>
          <w:rFonts w:ascii="Tw Cen MT" w:cs="Times New Roman" w:hAnsi="Tw Cen MT"/>
          <w:i/>
          <w:iCs/>
          <w:noProof/>
          <w:sz w:val="24"/>
          <w:szCs w:val="24"/>
        </w:rPr>
        <w:t>Pros. Penelit. Spes. Unisba</w:t>
      </w:r>
      <w:r>
        <w:rPr>
          <w:rFonts w:ascii="Tw Cen MT" w:cs="Times New Roman" w:hAnsi="Tw Cen MT"/>
          <w:noProof/>
          <w:sz w:val="24"/>
          <w:szCs w:val="24"/>
        </w:rPr>
        <w:t>, vol. 0, no. 0, pp. 643–648, 2015.</w:t>
      </w:r>
    </w:p>
    <w:p>
      <w:pPr>
        <w:pStyle w:val="style0"/>
        <w:widowControl w:val="false"/>
        <w:autoSpaceDE w:val="false"/>
        <w:autoSpaceDN w:val="false"/>
        <w:adjustRightInd w:val="false"/>
        <w:spacing w:after="0" w:lineRule="auto" w:line="240"/>
        <w:ind w:left="640" w:hanging="640"/>
        <w:rPr>
          <w:rFonts w:ascii="Tw Cen MT" w:cs="Times New Roman" w:hAnsi="Tw Cen MT"/>
          <w:noProof/>
          <w:sz w:val="24"/>
          <w:szCs w:val="24"/>
        </w:rPr>
      </w:pPr>
      <w:r>
        <w:rPr>
          <w:rFonts w:ascii="Tw Cen MT" w:cs="Times New Roman" w:hAnsi="Tw Cen MT"/>
          <w:noProof/>
          <w:sz w:val="24"/>
          <w:szCs w:val="24"/>
        </w:rPr>
        <w:t>[12]</w:t>
      </w:r>
      <w:r>
        <w:rPr>
          <w:rFonts w:ascii="Tw Cen MT" w:cs="Times New Roman" w:hAnsi="Tw Cen MT"/>
          <w:noProof/>
          <w:sz w:val="24"/>
          <w:szCs w:val="24"/>
        </w:rPr>
        <w:tab/>
      </w:r>
      <w:r>
        <w:rPr>
          <w:rFonts w:ascii="Tw Cen MT" w:cs="Times New Roman" w:hAnsi="Tw Cen MT"/>
          <w:noProof/>
          <w:sz w:val="24"/>
          <w:szCs w:val="24"/>
        </w:rPr>
        <w:t xml:space="preserve">P. Agis Wahyuni, L. Nurdianti, and F. Gustaman, “Formulasi dan Evaluasi Sediaan Hydrogel eye patch Kombinasi Aciaticoside Tanaman Pegagan (Centella asiatica L.) dan Astaxanthin Sebagai Antiaging,” </w:t>
      </w:r>
      <w:r>
        <w:rPr>
          <w:rFonts w:ascii="Tw Cen MT" w:cs="Times New Roman" w:hAnsi="Tw Cen MT"/>
          <w:i/>
          <w:iCs/>
          <w:noProof/>
          <w:sz w:val="24"/>
          <w:szCs w:val="24"/>
        </w:rPr>
        <w:t>Pros. Semin. Nas. Disem. Penelit.</w:t>
      </w:r>
      <w:r>
        <w:rPr>
          <w:rFonts w:ascii="Tw Cen MT" w:cs="Times New Roman" w:hAnsi="Tw Cen MT"/>
          <w:noProof/>
          <w:sz w:val="24"/>
          <w:szCs w:val="24"/>
        </w:rPr>
        <w:t>, vol. 3, no. September, pp. 2964–6154, 2023.</w:t>
      </w:r>
    </w:p>
    <w:p>
      <w:pPr>
        <w:pStyle w:val="style0"/>
        <w:widowControl w:val="false"/>
        <w:autoSpaceDE w:val="false"/>
        <w:autoSpaceDN w:val="false"/>
        <w:adjustRightInd w:val="false"/>
        <w:spacing w:after="0" w:lineRule="auto" w:line="240"/>
        <w:ind w:left="640" w:hanging="640"/>
        <w:rPr>
          <w:rFonts w:ascii="Tw Cen MT" w:hAnsi="Tw Cen MT"/>
          <w:noProof/>
          <w:sz w:val="24"/>
        </w:rPr>
      </w:pPr>
      <w:r>
        <w:rPr>
          <w:rFonts w:ascii="Tw Cen MT" w:cs="Times New Roman" w:hAnsi="Tw Cen MT"/>
          <w:noProof/>
          <w:sz w:val="24"/>
          <w:szCs w:val="24"/>
        </w:rPr>
        <w:t>[13]</w:t>
      </w:r>
      <w:r>
        <w:rPr>
          <w:rFonts w:ascii="Tw Cen MT" w:cs="Times New Roman" w:hAnsi="Tw Cen MT"/>
          <w:noProof/>
          <w:sz w:val="24"/>
          <w:szCs w:val="24"/>
        </w:rPr>
        <w:tab/>
      </w:r>
      <w:r>
        <w:rPr>
          <w:rFonts w:ascii="Tw Cen MT" w:cs="Times New Roman" w:hAnsi="Tw Cen MT"/>
          <w:noProof/>
          <w:sz w:val="24"/>
          <w:szCs w:val="24"/>
        </w:rPr>
        <w:t xml:space="preserve">G. A. A. Almajid, R. Rusli, and M. Priastomo, “Pengaruh Pelarut, Suhu, dan pH Terhadap Pigmen Antosianin dari Ekstrak Kulit Buah Naga Merah (Hylocereus Polyrhizus),” </w:t>
      </w:r>
      <w:r>
        <w:rPr>
          <w:rFonts w:ascii="Tw Cen MT" w:cs="Times New Roman" w:hAnsi="Tw Cen MT"/>
          <w:i/>
          <w:iCs/>
          <w:noProof/>
          <w:sz w:val="24"/>
          <w:szCs w:val="24"/>
        </w:rPr>
        <w:t>Proceeding Mulawarman Pharm. Conf.</w:t>
      </w:r>
      <w:r>
        <w:rPr>
          <w:rFonts w:ascii="Tw Cen MT" w:cs="Times New Roman" w:hAnsi="Tw Cen MT"/>
          <w:noProof/>
          <w:sz w:val="24"/>
          <w:szCs w:val="24"/>
        </w:rPr>
        <w:t>, vol. 14, pp. 179–185, 2021, doi: 10.25026/mpc.v14i1.557.</w:t>
      </w:r>
    </w:p>
    <w:p>
      <w:pPr>
        <w:pStyle w:val="style0"/>
        <w:widowControl w:val="false"/>
        <w:autoSpaceDE w:val="false"/>
        <w:autoSpaceDN w:val="false"/>
        <w:adjustRightInd w:val="false"/>
        <w:spacing w:after="0" w:lineRule="auto" w:line="240"/>
        <w:ind w:left="640" w:hanging="640"/>
        <w:jc w:val="both"/>
        <w:rPr>
          <w:rFonts w:ascii="Tw Cen MT" w:cs="Twentieth Century" w:eastAsia="Twentieth Century" w:hAnsi="Tw Cen MT"/>
          <w:color w:val="0d0d0d"/>
          <w:sz w:val="24"/>
          <w:szCs w:val="24"/>
        </w:rPr>
        <w:sectPr>
          <w:type w:val="continuous"/>
          <w:pgSz w:w="12240" w:h="15840" w:orient="portrait"/>
          <w:pgMar w:top="1440" w:right="1440" w:bottom="1440" w:left="1440" w:header="720" w:footer="720" w:gutter="0"/>
          <w:cols w:equalWidth="0" w:space="720" w:num="2">
            <w:col w:w="4320" w:space="720"/>
            <w:col w:w="4320"/>
          </w:cols>
        </w:sectPr>
      </w:pPr>
      <w:r>
        <w:rPr>
          <w:rFonts w:ascii="Tw Cen MT" w:cs="Twentieth Century" w:eastAsia="Twentieth Century" w:hAnsi="Tw Cen MT"/>
          <w:color w:val="0d0d0d"/>
          <w:sz w:val="24"/>
          <w:szCs w:val="24"/>
        </w:rPr>
        <w:fldChar w:fldCharType="end"/>
      </w:r>
    </w:p>
    <w:p>
      <w:pPr>
        <w:pStyle w:val="style0"/>
        <w:spacing w:after="0" w:lineRule="auto" w:line="240"/>
        <w:ind w:right="-1"/>
        <w:jc w:val="both"/>
        <w:rPr>
          <w:rFonts w:ascii="Tw Cen MT" w:cs="Twentieth Century" w:eastAsia="Twentieth Century" w:hAnsi="Tw Cen MT"/>
          <w:sz w:val="24"/>
          <w:szCs w:val="24"/>
        </w:rPr>
      </w:pPr>
    </w:p>
    <w:sectPr>
      <w:type w:val="continuous"/>
      <w:pgSz w:w="12240" w:h="15840" w:orient="portrait"/>
      <w:pgMar w:top="1440" w:right="1440" w:bottom="1440" w:left="1440" w:header="720" w:footer="720" w:gutter="0"/>
      <w:cols w:equalWidth="0" w:space="369" w:num="2">
        <w:col w:w="4496" w:space="369"/>
        <w:col w:w="4495"/>
      </w:cols>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SM-X516B" w:date="2024-10-16T19:17:00Z" w:initials="SM-X516B">
    <w:p w14:paraId="1">
      <w:r>
        <w:rPr/>
        <w:annotationRef/>
      </w:r>
      <w:r>
        <w:t>kalimat ini tidak perlu dimiringkan</w:t>
      </w:r>
    </w:p>
  </w:comment>
  <w:comment w:id="2" w:author="SM-X516B" w:date="2024-10-16T19:20:00Z" w:initials="SM-X516B">
    <w:p w14:paraId="2">
      <w:r>
        <w:rPr/>
        <w:annotationRef/>
      </w:r>
      <w:r>
        <w:t>hubungan kulit buah naga dg kulit manusia apa? adakah urgensiny dimasukkan penjelasan ttg kulit manusia? kemudian dari paragraf satu ke paragraf berikutnya blm terlihat benang merah bahwa mereka merupakan paragraf yg saling berhubungan satu sma lainnya. mohon diperbaiki.</w:t>
      </w:r>
    </w:p>
  </w:comment>
  <w:comment w:id="3" w:author="SM-X516B" w:date="2024-10-16T19:22:00Z" w:initials="SM-X516B">
    <w:p w14:paraId="3">
      <w:r>
        <w:rPr/>
        <w:annotationRef/>
      </w:r>
      <w:r>
        <w:t>tambahkan tujuan dari pembuatan hidrogel kulit buah naga merah ini. apa urgensi nya dia dibuat, utk apa dia akan digunakan? apa bedanya dg hidrogel2 yg lainnya?</w:t>
      </w:r>
    </w:p>
  </w:comment>
  <w:comment w:id="4" w:author="SM-X516B" w:date="2024-10-16T19:23:00Z" w:initials="SM-X516B">
    <w:p w14:paraId="4">
      <w:r>
        <w:rPr/>
        <w:annotationRef/>
      </w:r>
      <w:r>
        <w:t>kulitnya apa daging buahnya?</w:t>
      </w:r>
    </w:p>
  </w:comment>
  <w:comment w:id="5" w:author="SM-X516B" w:date="2024-10-16T19:27:00Z" w:initials="SM-X516B">
    <w:p w14:paraId="5">
      <w:r>
        <w:rPr/>
        <w:annotationRef/>
      </w:r>
      <w:r>
        <w:t>awalan di- bila tdk menunjukkan tempat tidak dipisah, perhatikan semua kalimat yg ada</w:t>
      </w:r>
    </w:p>
  </w:comment>
  <w:comment w:id="6" w:author="SM-X516B" w:date="2024-10-16T19:29:00Z" w:initials="SM-X516B">
    <w:p w14:paraId="6">
      <w:r>
        <w:rPr/>
        <w:annotationRef/>
      </w:r>
      <w:r>
        <w:t>pustaka minimal 20 buah, tambahkan lagi di pendahuluan dan pembahasan</w:t>
      </w:r>
    </w:p>
  </w:comment>
  <w:comment w:id="7" w:author="SM-X516B" w:date="2024-10-16T19:29:00Z" w:initials="SM-X516B">
    <w:p w14:paraId="7">
      <w:r>
        <w:rPr/>
        <w:annotationRef/>
      </w:r>
      <w:r>
        <w:t>tambahkan artikel2 terbarukan dari artikel2 yg ada pada jurnal ini yg berkaitan dg artikel anda</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altName w:val="Tw Cen MT"/>
    <w:panose1 w:val="020b0602020001020603"/>
    <w:charset w:val="00"/>
    <w:family w:val="swiss"/>
    <w:pitch w:val="variable"/>
    <w:sig w:usb0="00000007" w:usb1="00000000" w:usb2="00000000" w:usb3="00000000" w:csb0="00000003"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Angsana New">
    <w:altName w:val="Angsana New"/>
    <w:panose1 w:val="02020603050004020304"/>
    <w:charset w:val="de"/>
    <w:family w:val="roman"/>
    <w:pitch w:val="variable"/>
    <w:sig w:usb0="81000003" w:usb1="00000000" w:usb2="00000000" w:usb3="00000000" w:csb0="00010001" w:csb1="00000000"/>
  </w:font>
  <w:font w:name="Arial">
    <w:altName w:val="Arial"/>
    <w:panose1 w:val="020b0604020002020204"/>
    <w:charset w:val="00"/>
    <w:family w:val="swiss"/>
    <w:pitch w:val="variable"/>
    <w:sig w:usb0="E0002EFF" w:usb1="C000785B" w:usb2="00000009" w:usb3="00000000" w:csb0="000001FF" w:csb1="00000000"/>
  </w:font>
  <w:font w:name="Noto Sans">
    <w:altName w:val="Noto Sans"/>
    <w:panose1 w:val="00000000000000000000"/>
    <w:charset w:val="00"/>
    <w:family w:val="swiss"/>
    <w:pitch w:val="variable"/>
    <w:sig w:usb0="E00082FF" w:usb1="400078FF" w:usb2="0000002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false" relativeHeight="2" behindDoc="false" locked="false" layoutInCell="true" allowOverlap="true">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6935"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4098" filled="f" stroked="t" from="-0.70000005pt,-1.1659843pt" to="468.34998pt,-1.1659843pt" style="position:absolute;z-index:2;mso-position-horizontal-relative:text;mso-position-vertical-relative:text;mso-width-percent:0;mso-width-relative:margin;mso-height-relative:page;mso-wrap-distance-left:0.0pt;mso-wrap-distance-right:0.0pt;visibility:visible;">
              <v:stroke weight="2.25pt"/>
              <v:fill/>
            </v:line>
          </w:pict>
        </mc:Fallback>
      </mc:AlternateContent>
    </w:r>
    <w:r>
      <w:rPr>
        <w:rFonts w:ascii="Tw Cen MT" w:hAnsi="Tw Cen MT"/>
        <w:color w:val="000000"/>
        <w:sz w:val="20"/>
        <w:szCs w:val="24"/>
        <w:lang w:val="en-ID"/>
      </w:rPr>
      <w:t>Coresponden Name and email</w:t>
    </w:r>
  </w:p>
  <w:p>
    <w:pPr>
      <w:pStyle w:val="style32"/>
      <w:jc w:val="right"/>
      <w:rPr/>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2</w:t>
    </w:r>
    <w:r>
      <w:rPr>
        <w:rFonts w:ascii="Tw Cen MT" w:hAnsi="Tw Cen MT"/>
        <w:noProof/>
        <w:sz w:val="24"/>
        <w:szCs w:val="24"/>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rFonts w:ascii="Twentieth Century" w:cs="Twentieth Century" w:eastAsia="Twentieth Century" w:hAnsi="Twentieth Century"/>
        <w:color w:val="000000"/>
        <w:sz w:val="18"/>
        <w:szCs w:val="18"/>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spacing w:after="120" w:lineRule="auto" w:line="276"/>
      <w:rPr>
        <w:b/>
        <w:bCs/>
        <w:color w:val="1f497d"/>
        <w:sz w:val="28"/>
        <w:szCs w:val="28"/>
      </w:rPr>
    </w:pPr>
    <w:r>
      <w:rPr>
        <w:rFonts w:ascii="Tw Cen MT" w:cs="宋体" w:hAnsi="Tw Cen MT"/>
        <w:sz w:val="20"/>
        <w:szCs w:val="20"/>
      </w:rPr>
      <w:t xml:space="preserve">Jurnal Proteksi Kesehatan                                                                                                                                   </w:t>
    </w:r>
    <w:r>
      <w:rPr>
        <w:rFonts w:ascii="Tw Cen MT" w:cs="宋体" w:hAnsi="Tw Cen MT"/>
        <w:sz w:val="20"/>
        <w:szCs w:val="20"/>
      </w:rPr>
      <w:t>Vo</w:t>
    </w:r>
    <w:r>
      <w:rPr>
        <w:rFonts w:ascii="Tw Cen MT" w:cs="宋体" w:hAnsi="Tw Cen MT"/>
        <w:sz w:val="20"/>
        <w:szCs w:val="20"/>
      </w:rPr>
      <w:t>l.</w:t>
    </w:r>
    <w:r>
      <w:rPr>
        <w:rFonts w:ascii="Tw Cen MT" w:cs="宋体" w:hAnsi="Tw Cen MT"/>
        <w:sz w:val="20"/>
        <w:szCs w:val="20"/>
      </w:rPr>
      <w:t xml:space="preserve"> </w:t>
    </w:r>
    <w:r>
      <w:rPr>
        <w:rFonts w:ascii="Tw Cen MT" w:cs="宋体" w:hAnsi="Tw Cen MT"/>
        <w:sz w:val="20"/>
        <w:szCs w:val="20"/>
      </w:rPr>
      <w:t>,</w:t>
    </w:r>
    <w:r>
      <w:rPr>
        <w:rFonts w:ascii="Tw Cen MT" w:cs="宋体" w:hAnsi="Tw Cen MT"/>
        <w:sz w:val="20"/>
        <w:szCs w:val="20"/>
      </w:rPr>
      <w:t xml:space="preserve"> No.</w:t>
    </w:r>
    <w:r>
      <w:rPr>
        <w:rFonts w:ascii="Tw Cen MT" w:cs="宋体" w:hAnsi="Tw Cen MT"/>
        <w:sz w:val="20"/>
        <w:szCs w:val="20"/>
      </w:rPr>
      <w:t xml:space="preserve"> </w:t>
    </w:r>
    <w:r>
      <w:rPr>
        <w:rFonts w:ascii="Tw Cen MT" w:cs="宋体" w:hAnsi="Tw Cen MT"/>
        <w:sz w:val="20"/>
        <w:szCs w:val="20"/>
      </w:rPr>
      <w:t xml:space="preserve">, </w:t>
    </w:r>
    <w:r>
      <w:rPr>
        <w:rFonts w:ascii="Tw Cen MT" w:cs="宋体" w:hAnsi="Tw Cen MT"/>
        <w:sz w:val="20"/>
        <w:szCs w:val="20"/>
      </w:rPr>
      <w:t>September 2024</w:t>
    </w:r>
    <w:r>
      <w:rPr>
        <w:rFonts w:ascii="Tw Cen MT" w:cs="宋体" w:hAnsi="Tw Cen MT"/>
        <w:sz w:val="20"/>
        <w:szCs w:val="20"/>
      </w:rPr>
      <w:t>, pp. 1-</w:t>
    </w:r>
    <w:r>
      <w:rPr>
        <w:rFonts w:ascii="Tw Cen MT" w:cs="宋体" w:hAnsi="Tw Cen MT"/>
        <w:sz w:val="20"/>
        <w:szCs w:val="20"/>
      </w:rPr>
      <w:t>7</w:t>
    </w:r>
    <w:r>
      <w:rPr>
        <w:rFonts w:ascii="Tw Cen MT" w:cs="宋体" w:hAnsi="Tw Cen MT"/>
        <w:sz w:val="20"/>
        <w:szCs w:val="20"/>
      </w:rPr>
      <w:tab/>
    </w:r>
    <w:r>
      <w:rPr>
        <w:rFonts w:ascii="Tw Cen MT" w:cs="宋体" w:hAnsi="Tw Cen MT"/>
        <w:sz w:val="20"/>
        <w:szCs w:val="20"/>
      </w:rPr>
      <w:tab/>
    </w:r>
    <w:r>
      <w:rPr>
        <w:rFonts w:ascii="Tw Cen MT" w:cs="宋体" w:hAnsi="Tw Cen MT"/>
        <w:sz w:val="20"/>
        <w:szCs w:val="20"/>
      </w:rPr>
      <w:t xml:space="preserve">                                                                                                        ISSN 2715-1115 (Online), ISSN 2302 – 8610 (Print)</w:t>
    </w:r>
  </w:p>
  <w:p>
    <w:pPr>
      <w:pStyle w:val="style0"/>
      <w:pBdr>
        <w:left w:val="nil"/>
        <w:right w:val="nil"/>
        <w:top w:val="nil"/>
        <w:bottom w:val="single" w:sz="4" w:space="1" w:color="a5a5a5"/>
        <w:between w:val="nil"/>
      </w:pBdr>
      <w:tabs>
        <w:tab w:val="left" w:leader="none" w:pos="2580"/>
        <w:tab w:val="left" w:leader="none" w:pos="2985"/>
        <w:tab w:val="center" w:leader="none" w:pos="4680"/>
        <w:tab w:val="right" w:leader="none" w:pos="9360"/>
      </w:tabs>
      <w:spacing w:after="120" w:lineRule="auto" w:line="276"/>
      <w:rPr>
        <w:color w:val="7f7f7f"/>
      </w:rPr>
    </w:pPr>
    <w:r>
      <w:rPr>
        <w:noProof/>
      </w:rPr>
      <mc:AlternateContent>
        <mc:Choice Requires="wps">
          <w:drawing>
            <wp:anchor distT="0" distB="0" distL="0" distR="0" simplePos="false" relativeHeight="3" behindDoc="false" locked="false" layoutInCell="true" allowOverlap="true">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V relativeFrom="margin">
                <wp14:pctHeight>0</wp14:pctHeight>
              </wp14:sizeRelV>
            </wp:anchor>
          </w:drawing>
        </mc:Choice>
        <mc:Fallback>
          <w:pict>
            <v:shape id="4097" type="#_x0000_t32" filled="f" style="position:absolute;margin-left:0.0pt;margin-top:16.85pt;width:470.55pt;height:0.0pt;z-index:3;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39ACB02"/>
    <w:lvl w:ilvl="0" w:tplc="4C5E4AEA">
      <w:start w:val="1"/>
      <w:numFmt w:val="lowerLetter"/>
      <w:lvlText w:val="%1."/>
      <w:lvlJc w:val="left"/>
      <w:pPr>
        <w:ind w:left="786" w:hanging="360"/>
      </w:pPr>
      <w:rPr>
        <w:rFonts w:hint="default"/>
        <w:b w:val="fals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0000002"/>
    <w:multiLevelType w:val="hybridMultilevel"/>
    <w:tmpl w:val="7DEE8B1C"/>
    <w:lvl w:ilvl="0" w:tplc="4CAE0A36">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0803088"/>
    <w:lvl w:ilvl="0" w:tplc="DBA29166">
      <w:start w:val="1"/>
      <w:numFmt w:val="bullet"/>
      <w:lvlText w:val="-"/>
      <w:lvlJc w:val="left"/>
      <w:pPr>
        <w:ind w:left="786" w:hanging="360"/>
      </w:pPr>
      <w:rPr>
        <w:rFonts w:ascii="Tw Cen MT" w:cs="Times New Roman" w:eastAsia="Times New Roman" w:hAnsi="Tw Cen MT" w:hint="default"/>
      </w:rPr>
    </w:lvl>
    <w:lvl w:ilvl="1" w:tplc="04090003" w:tentative="1">
      <w:start w:val="1"/>
      <w:numFmt w:val="bullet"/>
      <w:lvlText w:val="o"/>
      <w:lvlJc w:val="left"/>
      <w:pPr>
        <w:ind w:left="1506" w:hanging="360"/>
      </w:pPr>
      <w:rPr>
        <w:rFonts w:ascii="Courier New" w:cs="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cs="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cs="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1"/>
        <w:szCs w:val="21"/>
        <w:lang w:val="en-US" w:bidi="ar-SA" w:eastAsia="en-US"/>
      </w:rPr>
    </w:rPrDefault>
    <w:pPrDefault>
      <w:pPr>
        <w:spacing w:after="200" w:lineRule="auto" w:line="288"/>
      </w:pPr>
    </w:pPrDefault>
  </w:docDefaults>
  <w:style w:type="paragraph" w:default="1" w:styleId="style0">
    <w:name w:val="Normal"/>
    <w:next w:val="style0"/>
    <w:qFormat/>
    <w:pPr/>
    <w:rPr>
      <w:rFonts w:eastAsia="ＭＳ 明朝"/>
    </w:rPr>
  </w:style>
  <w:style w:type="paragraph" w:styleId="style1">
    <w:name w:val="heading 1"/>
    <w:basedOn w:val="style0"/>
    <w:next w:val="style0"/>
    <w:link w:val="style411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6e1f964-7523-4c47-9410-9274908d71c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14f1030-0747-420c-b0d0-5fc7e32769d0"/>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next w:val="style85"/>
    <w:rPr>
      <w:color w:val="0000ff"/>
      <w:u w:val="single"/>
    </w:rPr>
  </w:style>
  <w:style w:type="paragraph" w:customStyle="1" w:styleId="style4100">
    <w:name w:val="3CBD5A742C28424DA5172AD252E32316"/>
    <w:next w:val="style4100"/>
    <w:pPr/>
    <w:rPr>
      <w:rFonts w:eastAsia="ＭＳ 明朝"/>
      <w:lang w:eastAsia="ja-JP"/>
    </w:rPr>
  </w:style>
  <w:style w:type="paragraph" w:styleId="style74">
    <w:name w:val="Subtitle"/>
    <w:basedOn w:val="style0"/>
    <w:next w:val="style0"/>
    <w:link w:val="style4101"/>
    <w:qFormat/>
    <w:pPr>
      <w:spacing w:lineRule="auto" w:line="240"/>
    </w:pPr>
    <w:rPr>
      <w:rFonts w:ascii="Cambria" w:cs="Cambria" w:eastAsia="Cambria" w:hAnsi="Cambria"/>
      <w:sz w:val="30"/>
      <w:szCs w:val="30"/>
    </w:rPr>
  </w:style>
  <w:style w:type="character" w:customStyle="1" w:styleId="style4101">
    <w:name w:val="Subtitle Char"/>
    <w:basedOn w:val="style65"/>
    <w:next w:val="style4101"/>
    <w:link w:val="style74"/>
    <w:rPr>
      <w:rFonts w:ascii="Cambria" w:cs="宋体" w:eastAsia="ＭＳ ゴシック" w:hAnsi="Cambria"/>
      <w:sz w:val="30"/>
      <w:szCs w:val="30"/>
    </w:rPr>
  </w:style>
  <w:style w:type="character" w:styleId="style40">
    <w:name w:val="line number"/>
    <w:basedOn w:val="style65"/>
    <w:next w:val="style40"/>
    <w:uiPriority w:val="99"/>
  </w:style>
  <w:style w:type="paragraph" w:styleId="style179">
    <w:name w:val="List Paragraph"/>
    <w:basedOn w:val="style0"/>
    <w:next w:val="style179"/>
    <w:qFormat/>
    <w:uiPriority w:val="34"/>
    <w:pPr>
      <w:spacing w:lineRule="auto" w:line="276"/>
      <w:ind w:left="720"/>
      <w:contextualSpacing/>
    </w:pPr>
    <w:rPr>
      <w:rFonts w:cs="Times New Roman" w:eastAsia="Times New Roman"/>
      <w:sz w:val="22"/>
      <w:szCs w:val="22"/>
      <w:lang w:val="en-GB" w:eastAsia="en-GB"/>
    </w:rPr>
  </w:style>
  <w:style w:type="paragraph" w:customStyle="1" w:styleId="style4102">
    <w:name w:val="Default"/>
    <w:next w:val="style4102"/>
    <w:pPr>
      <w:widowControl w:val="false"/>
      <w:autoSpaceDE w:val="false"/>
      <w:autoSpaceDN w:val="false"/>
      <w:adjustRightInd w:val="false"/>
      <w:spacing w:after="0" w:lineRule="auto" w:line="240"/>
    </w:pPr>
    <w:rPr>
      <w:rFonts w:ascii="Times New Roman" w:cs="Angsana New" w:eastAsia="Times New Roman" w:hAnsi="Times New Roman"/>
      <w:color w:val="000000"/>
      <w:sz w:val="24"/>
      <w:szCs w:val="24"/>
    </w:rPr>
  </w:style>
  <w:style w:type="table" w:customStyle="1" w:styleId="style4103">
    <w:basedOn w:val="style105"/>
    <w:next w:val="style4103"/>
    <w:pPr/>
    <w:rPr/>
    <w:tblPr>
      <w:tblStyleRowBandSize w:val="1"/>
      <w:tblStyleColBandSize w:val="1"/>
      <w:tblCellMar>
        <w:left w:w="115" w:type="dxa"/>
        <w:right w:w="115" w:type="dxa"/>
      </w:tblCellMar>
    </w:tblPr>
    <w:tcPr>
      <w:tcBorders/>
    </w:tcPr>
  </w:style>
  <w:style w:type="table" w:customStyle="1" w:styleId="style4104">
    <w:basedOn w:val="style105"/>
    <w:next w:val="style4104"/>
    <w:pPr/>
    <w:rPr/>
    <w:tblPr>
      <w:tblStyleRowBandSize w:val="1"/>
      <w:tblStyleColBandSize w:val="1"/>
      <w:tblCellMar>
        <w:left w:w="115" w:type="dxa"/>
        <w:right w:w="115" w:type="dxa"/>
      </w:tblCellMar>
    </w:tblPr>
    <w:tcPr>
      <w:tcBorders/>
    </w:tcPr>
  </w:style>
  <w:style w:type="character" w:customStyle="1" w:styleId="style4105">
    <w:name w:val="Unresolved Mention1"/>
    <w:basedOn w:val="style65"/>
    <w:next w:val="style4105"/>
    <w:uiPriority w:val="99"/>
    <w:rPr>
      <w:color w:val="605e5c"/>
      <w:shd w:val="clear" w:color="auto" w:fill="e1dfdd"/>
    </w:rPr>
  </w:style>
  <w:style w:type="table" w:styleId="style154">
    <w:name w:val="Table Grid"/>
    <w:basedOn w:val="style105"/>
    <w:next w:val="style154"/>
    <w:uiPriority w:val="59"/>
    <w:pPr>
      <w:spacing w:after="0" w:lineRule="auto" w:line="24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lineRule="auto" w:line="240"/>
    </w:pPr>
    <w:rPr>
      <w:sz w:val="20"/>
      <w:szCs w:val="20"/>
    </w:rPr>
  </w:style>
  <w:style w:type="character" w:customStyle="1" w:styleId="style4106">
    <w:name w:val="Comment Text Char"/>
    <w:basedOn w:val="style65"/>
    <w:next w:val="style4106"/>
    <w:link w:val="style30"/>
    <w:uiPriority w:val="99"/>
    <w:rPr>
      <w:rFonts w:eastAsia="ＭＳ 明朝"/>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rFonts w:eastAsia="ＭＳ 明朝"/>
      <w:b/>
      <w:bCs/>
      <w:sz w:val="20"/>
      <w:szCs w:val="20"/>
    </w:rPr>
  </w:style>
  <w:style w:type="character" w:customStyle="1" w:styleId="style4108">
    <w:name w:val="y2iqfc"/>
    <w:basedOn w:val="style65"/>
    <w:next w:val="style4108"/>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table" w:customStyle="1" w:styleId="style4109">
    <w:name w:val="Plain Table 21"/>
    <w:basedOn w:val="style105"/>
    <w:next w:val="style4109"/>
    <w:uiPriority w:val="42"/>
    <w:pPr>
      <w:spacing w:after="0" w:lineRule="auto" w:line="240"/>
    </w:pPr>
    <w:rPr>
      <w:lang w:eastAsia="en-ID"/>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0">
    <w:name w:val="Heading 1 Char_a46a10a5-422c-4f10-9ca2-17fc39777f7e"/>
    <w:basedOn w:val="style65"/>
    <w:next w:val="style4110"/>
    <w:link w:val="style1"/>
    <w:uiPriority w:val="9"/>
    <w:rPr>
      <w:rFonts w:eastAsia="ＭＳ 明朝"/>
      <w:b/>
      <w:sz w:val="48"/>
      <w:szCs w:val="48"/>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7" Type="http://schemas.openxmlformats.org/officeDocument/2006/relationships/customXml" Target="../customXml/item6.xml"/><Relationship Id="rId16" Type="http://schemas.openxmlformats.org/officeDocument/2006/relationships/customXml" Target="../customXml/item5.xml"/><Relationship Id="rId5" Type="http://schemas.openxmlformats.org/officeDocument/2006/relationships/header" Target="header1.xml"/><Relationship Id="rId19" Type="http://schemas.openxmlformats.org/officeDocument/2006/relationships/customXml" Target="../customXml/item8.xml"/><Relationship Id="rId6" Type="http://schemas.openxmlformats.org/officeDocument/2006/relationships/footer" Target="footer2.xml"/><Relationship Id="rId18" Type="http://schemas.openxmlformats.org/officeDocument/2006/relationships/customXml" Target="../customXml/item7.xml"/><Relationship Id="rId7" Type="http://schemas.openxmlformats.org/officeDocument/2006/relationships/image" Target="media/image2.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CD5FC9-9632-4B6B-890C-666607234E6C}">
  <ds:schemaRefs>
    <ds:schemaRef ds:uri="http://schemas.openxmlformats.org/officeDocument/2006/bibliography"/>
  </ds:schemaRefs>
</ds:datastoreItem>
</file>

<file path=customXml/itemProps3.xml><?xml version="1.0" encoding="utf-8"?>
<ds:datastoreItem xmlns:ds="http://schemas.openxmlformats.org/officeDocument/2006/customXml" ds:itemID="{40db7eed-80d8-4c88-aa8c-71858cfe1851}">
  <ds:schemaRefs>
    <ds:schemaRef ds:uri="http://www.wps.cn/android/officeDocument/2013/mofficeCustomData"/>
  </ds:schemaRefs>
</ds:datastoreItem>
</file>

<file path=customXml/itemProps4.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5.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6.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7.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8.xml><?xml version="1.0" encoding="utf-8"?>
<ds:datastoreItem xmlns:ds="http://schemas.openxmlformats.org/officeDocument/2006/customXml" ds:itemID="{b01f8b3e-da9b-49d3-adb7-4d9795e753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2761</Words>
  <Pages>7</Pages>
  <Characters>16593</Characters>
  <Application>WPS Office</Application>
  <DocSecurity>0</DocSecurity>
  <Paragraphs>271</Paragraphs>
  <ScaleCrop>false</ScaleCrop>
  <Company>HP</Company>
  <LinksUpToDate>false</LinksUpToDate>
  <CharactersWithSpaces>19401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2024-10-16T12:30:06Z</dcterms:created>
  <dc:creator>Coresponden Name and email</dc:creator>
  <lastModifiedBy>SM-X516B</lastModifiedBy>
  <lastPrinted>2023-05-02T07:00:00Z</lastPrinted>
  <dcterms:modified xsi:type="dcterms:W3CDTF">2024-10-16T12:30:07Z</dcterms:modified>
  <revision>24</revision>
  <dc:title>Jurnal Proteksi Kesehatan Vol. , No. , September 2024, pp. 1-7 ISSN 2715-1115 (Online), ISSN 2302 – 8610 (Print)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085c8502-10d4-3bbc-890e-2bd6f1dbecff</vt:lpwstr>
  </property>
  <property fmtid="{D5CDD505-2E9C-101B-9397-08002B2CF9AE}" pid="24" name="Mendeley Citation Style_1">
    <vt:lpwstr>http://www.zotero.org/styles/ieee</vt:lpwstr>
  </property>
  <property fmtid="{D5CDD505-2E9C-101B-9397-08002B2CF9AE}" pid="25" name="GrammarlyDocumentId">
    <vt:lpwstr>9e57cfb1bb9412f36de0a09e188c514aae88f6f070af40d1ddb4eceb709a42b2</vt:lpwstr>
  </property>
  <property fmtid="{D5CDD505-2E9C-101B-9397-08002B2CF9AE}" pid="26" name="ICV">
    <vt:lpwstr>68d231d3714340459109b28afc153429</vt:lpwstr>
  </property>
</Properties>
</file>