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10B2D" w14:textId="77777777" w:rsidR="002C1B6E" w:rsidRDefault="00AB5BE7">
      <w:pPr>
        <w:jc w:val="center"/>
        <w:rPr>
          <w:rFonts w:ascii="Tw Cen MT" w:eastAsia="Times New Roman" w:hAnsi="Tw Cen MT" w:cs="Times New Roman"/>
          <w:b/>
          <w:sz w:val="32"/>
          <w:szCs w:val="24"/>
        </w:rPr>
      </w:pPr>
      <w:r>
        <w:rPr>
          <w:rFonts w:ascii="Tw Cen MT" w:eastAsia="Times New Roman" w:hAnsi="Tw Cen MT" w:cs="Times New Roman"/>
          <w:b/>
          <w:sz w:val="32"/>
          <w:szCs w:val="24"/>
        </w:rPr>
        <w:t xml:space="preserve">Preparation And Evaluation </w:t>
      </w:r>
      <w:proofErr w:type="gramStart"/>
      <w:r>
        <w:rPr>
          <w:rFonts w:ascii="Tw Cen MT" w:eastAsia="Times New Roman" w:hAnsi="Tw Cen MT" w:cs="Times New Roman"/>
          <w:b/>
          <w:sz w:val="32"/>
          <w:szCs w:val="24"/>
        </w:rPr>
        <w:t>Of</w:t>
      </w:r>
      <w:proofErr w:type="gramEnd"/>
      <w:r>
        <w:rPr>
          <w:rFonts w:ascii="Tw Cen MT" w:eastAsia="Times New Roman" w:hAnsi="Tw Cen MT" w:cs="Times New Roman"/>
          <w:b/>
          <w:sz w:val="32"/>
          <w:szCs w:val="24"/>
        </w:rPr>
        <w:t xml:space="preserve"> Hydrogel From Super Red Dragon Fruit Skin Extract (</w:t>
      </w:r>
      <w:r>
        <w:rPr>
          <w:rFonts w:ascii="Tw Cen MT" w:eastAsia="Times New Roman" w:hAnsi="Tw Cen MT" w:cs="Times New Roman"/>
          <w:b/>
          <w:i/>
          <w:sz w:val="32"/>
          <w:szCs w:val="24"/>
        </w:rPr>
        <w:t>Selenicereus</w:t>
      </w:r>
      <w:r>
        <w:rPr>
          <w:rFonts w:ascii="Tw Cen MT" w:eastAsia="Times New Roman" w:hAnsi="Tw Cen MT" w:cs="Times New Roman"/>
          <w:b/>
          <w:sz w:val="32"/>
          <w:szCs w:val="24"/>
        </w:rPr>
        <w:t xml:space="preserve"> costaricensis)</w:t>
      </w:r>
    </w:p>
    <w:p w14:paraId="089665E3" w14:textId="77777777" w:rsidR="002C1B6E" w:rsidRDefault="00AB5BE7">
      <w:pPr>
        <w:spacing w:after="0" w:line="240" w:lineRule="auto"/>
        <w:jc w:val="center"/>
        <w:rPr>
          <w:rFonts w:ascii="Tw Cen MT" w:hAnsi="Tw Cen MT" w:cs="Times New Roman"/>
          <w:b/>
          <w:bCs/>
          <w:iCs/>
          <w:sz w:val="32"/>
          <w:szCs w:val="32"/>
        </w:rPr>
      </w:pPr>
      <w:bookmarkStart w:id="0" w:name="_heading=h.ku3htxpixa9v" w:colFirst="0" w:colLast="0"/>
      <w:bookmarkEnd w:id="0"/>
      <w:r>
        <w:rPr>
          <w:rFonts w:ascii="Tw Cen MT" w:eastAsia="Twentieth Century" w:hAnsi="Tw Cen MT" w:cs="Twentieth Century"/>
          <w:b/>
          <w:sz w:val="32"/>
          <w:szCs w:val="32"/>
        </w:rPr>
        <w:t xml:space="preserve">Pembuatan Dan Evaluasi Hidrogel Dari Ekstrak kulit Buah Naga Super Merah </w:t>
      </w:r>
      <w:r>
        <w:rPr>
          <w:rFonts w:ascii="Tw Cen MT" w:hAnsi="Tw Cen MT" w:cs="Times New Roman"/>
          <w:b/>
          <w:spacing w:val="10"/>
          <w:sz w:val="32"/>
        </w:rPr>
        <w:t>(</w:t>
      </w:r>
      <w:r>
        <w:rPr>
          <w:rFonts w:ascii="Tw Cen MT" w:hAnsi="Tw Cen MT" w:cs="Times New Roman"/>
          <w:b/>
          <w:i/>
          <w:spacing w:val="10"/>
          <w:sz w:val="32"/>
        </w:rPr>
        <w:t>Selenicereus costaricensis</w:t>
      </w:r>
      <w:r>
        <w:rPr>
          <w:rFonts w:ascii="Tw Cen MT" w:hAnsi="Tw Cen MT" w:cs="Times New Roman"/>
          <w:b/>
          <w:spacing w:val="10"/>
          <w:sz w:val="32"/>
        </w:rPr>
        <w:t xml:space="preserve">) </w:t>
      </w:r>
    </w:p>
    <w:p w14:paraId="0CCF7336" w14:textId="77777777" w:rsidR="002C1B6E" w:rsidRDefault="002C1B6E">
      <w:pPr>
        <w:spacing w:after="0" w:line="240" w:lineRule="auto"/>
        <w:jc w:val="center"/>
        <w:rPr>
          <w:rFonts w:ascii="Tw Cen MT" w:hAnsi="Tw Cen MT" w:cs="Times New Roman"/>
          <w:b/>
          <w:bCs/>
          <w:iCs/>
          <w:sz w:val="32"/>
          <w:szCs w:val="32"/>
        </w:rPr>
      </w:pPr>
    </w:p>
    <w:p w14:paraId="3A180018" w14:textId="26DDD4D3" w:rsidR="00FC06B8" w:rsidRPr="00FC06B8" w:rsidRDefault="00AB5BE7" w:rsidP="00FC06B8">
      <w:pPr>
        <w:widowControl w:val="0"/>
        <w:spacing w:after="0" w:line="218" w:lineRule="auto"/>
        <w:ind w:left="7" w:right="-20"/>
        <w:jc w:val="center"/>
        <w:rPr>
          <w:rFonts w:ascii="Tw Cen MT" w:eastAsia="Twentieth Century" w:hAnsi="Tw Cen MT" w:cs="Twentieth Century"/>
          <w:sz w:val="24"/>
          <w:szCs w:val="24"/>
          <w:vertAlign w:val="superscript"/>
        </w:rPr>
      </w:pPr>
      <w:r>
        <w:rPr>
          <w:rFonts w:ascii="Tw Cen MT" w:eastAsia="Twentieth Century" w:hAnsi="Tw Cen MT" w:cs="Twentieth Century"/>
          <w:sz w:val="24"/>
          <w:szCs w:val="24"/>
        </w:rPr>
        <w:t>Dwi Setiawan</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,Yulia Yesti</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Nola Rahmadasmi</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xml:space="preserve">, </w:t>
      </w:r>
      <w:r w:rsidR="00FC06B8" w:rsidRPr="00FC06B8">
        <w:rPr>
          <w:rFonts w:ascii="Tw Cen MT" w:eastAsia="Twentieth Century" w:hAnsi="Tw Cen MT" w:cs="Twentieth Century"/>
          <w:sz w:val="24"/>
          <w:szCs w:val="24"/>
        </w:rPr>
        <w:t>Oryza Sativa Fitriani</w:t>
      </w:r>
      <w:r w:rsidR="00FC06B8" w:rsidRPr="00FC06B8">
        <w:rPr>
          <w:rFonts w:ascii="Tw Cen MT" w:eastAsia="Twentieth Century" w:hAnsi="Tw Cen MT" w:cs="Twentieth Century"/>
          <w:sz w:val="24"/>
          <w:szCs w:val="24"/>
          <w:vertAlign w:val="superscript"/>
        </w:rPr>
        <w:t>1</w:t>
      </w:r>
      <w:r w:rsidR="00FC06B8" w:rsidRPr="00FC06B8">
        <w:rPr>
          <w:rFonts w:ascii="Tw Cen MT" w:eastAsia="Twentieth Century" w:hAnsi="Tw Cen MT" w:cs="Twentieth Century"/>
          <w:sz w:val="24"/>
          <w:szCs w:val="24"/>
        </w:rPr>
        <w:t>, Miming Andika</w:t>
      </w:r>
      <w:r w:rsidR="00FC06B8" w:rsidRPr="00FC06B8">
        <w:rPr>
          <w:rFonts w:ascii="Tw Cen MT" w:eastAsia="Twentieth Century" w:hAnsi="Tw Cen MT" w:cs="Twentieth Century"/>
          <w:sz w:val="24"/>
          <w:szCs w:val="24"/>
          <w:vertAlign w:val="superscript"/>
        </w:rPr>
        <w:t>1</w:t>
      </w:r>
      <w:r w:rsidR="00FC06B8" w:rsidRPr="00FC06B8">
        <w:rPr>
          <w:rFonts w:ascii="Tw Cen MT" w:eastAsia="Twentieth Century" w:hAnsi="Tw Cen MT" w:cs="Twentieth Century"/>
          <w:sz w:val="24"/>
          <w:szCs w:val="24"/>
        </w:rPr>
        <w:t xml:space="preserve">, </w:t>
      </w:r>
      <w:r w:rsidR="00FC06B8">
        <w:rPr>
          <w:rFonts w:ascii="Tw Cen MT" w:eastAsia="Twentieth Century" w:hAnsi="Tw Cen MT" w:cs="Twentieth Century"/>
          <w:sz w:val="24"/>
          <w:szCs w:val="24"/>
        </w:rPr>
        <w:t>Rizqa Hasanah</w:t>
      </w:r>
      <w:r w:rsidR="00FC06B8">
        <w:rPr>
          <w:rFonts w:ascii="Tw Cen MT" w:eastAsia="Twentieth Century" w:hAnsi="Tw Cen MT" w:cs="Twentieth Century"/>
          <w:sz w:val="24"/>
          <w:szCs w:val="24"/>
          <w:vertAlign w:val="superscript"/>
        </w:rPr>
        <w:t>1</w:t>
      </w:r>
      <w:r w:rsidR="00FC06B8">
        <w:rPr>
          <w:rFonts w:ascii="Tw Cen MT" w:eastAsia="Twentieth Century" w:hAnsi="Tw Cen MT" w:cs="Twentieth Century"/>
          <w:sz w:val="24"/>
          <w:szCs w:val="24"/>
        </w:rPr>
        <w:t xml:space="preserve">, </w:t>
      </w:r>
      <w:r w:rsidR="00FC06B8" w:rsidRPr="00FC06B8">
        <w:rPr>
          <w:rFonts w:ascii="Tw Cen MT" w:eastAsia="Twentieth Century" w:hAnsi="Tw Cen MT" w:cs="Twentieth Century"/>
          <w:sz w:val="24"/>
          <w:szCs w:val="24"/>
        </w:rPr>
        <w:t>Ahdi Dinil Haq. AH</w:t>
      </w:r>
      <w:r w:rsidR="00FC06B8" w:rsidRPr="00FC06B8">
        <w:rPr>
          <w:rFonts w:ascii="Tw Cen MT" w:eastAsia="Twentieth Century" w:hAnsi="Tw Cen MT" w:cs="Twentieth Century"/>
          <w:sz w:val="24"/>
          <w:szCs w:val="24"/>
          <w:vertAlign w:val="superscript"/>
        </w:rPr>
        <w:t>2</w:t>
      </w:r>
      <w:r w:rsidR="00FC06B8" w:rsidRPr="00FC06B8">
        <w:rPr>
          <w:rFonts w:ascii="Tw Cen MT" w:eastAsia="Twentieth Century" w:hAnsi="Tw Cen MT" w:cs="Twentieth Century"/>
          <w:sz w:val="24"/>
          <w:szCs w:val="24"/>
        </w:rPr>
        <w:t>, Desti Wulandari</w:t>
      </w:r>
      <w:r w:rsidR="00FC06B8" w:rsidRPr="00FC06B8">
        <w:rPr>
          <w:rFonts w:ascii="Tw Cen MT" w:eastAsia="Twentieth Century" w:hAnsi="Tw Cen MT" w:cs="Twentieth Century"/>
          <w:sz w:val="24"/>
          <w:szCs w:val="24"/>
          <w:vertAlign w:val="superscript"/>
        </w:rPr>
        <w:t>3</w:t>
      </w:r>
      <w:r w:rsidR="00FC06B8" w:rsidRPr="00FC06B8">
        <w:rPr>
          <w:rFonts w:ascii="Tw Cen MT" w:eastAsia="Twentieth Century" w:hAnsi="Tw Cen MT" w:cs="Twentieth Century"/>
          <w:sz w:val="24"/>
          <w:szCs w:val="24"/>
        </w:rPr>
        <w:t>, Nurdina Putri</w:t>
      </w:r>
      <w:r w:rsidR="00FC06B8" w:rsidRPr="00FC06B8">
        <w:rPr>
          <w:rFonts w:ascii="Tw Cen MT" w:eastAsia="Twentieth Century" w:hAnsi="Tw Cen MT" w:cs="Twentieth Century"/>
          <w:sz w:val="24"/>
          <w:szCs w:val="24"/>
          <w:vertAlign w:val="superscript"/>
        </w:rPr>
        <w:t>4</w:t>
      </w:r>
    </w:p>
    <w:p w14:paraId="0D838582" w14:textId="45C878C7" w:rsidR="002C1B6E" w:rsidRDefault="002C1B6E">
      <w:pPr>
        <w:widowControl w:val="0"/>
        <w:spacing w:after="0" w:line="218" w:lineRule="auto"/>
        <w:ind w:left="7" w:right="-20"/>
        <w:jc w:val="center"/>
        <w:rPr>
          <w:rFonts w:ascii="Tw Cen MT" w:eastAsia="Twentieth Century" w:hAnsi="Tw Cen MT" w:cs="Twentieth Century"/>
          <w:sz w:val="24"/>
          <w:szCs w:val="24"/>
          <w:vertAlign w:val="superscript"/>
        </w:rPr>
      </w:pPr>
    </w:p>
    <w:p w14:paraId="09A58A1F" w14:textId="4A014681" w:rsidR="002C1B6E" w:rsidRDefault="00AB5BE7">
      <w:pPr>
        <w:widowControl w:val="0"/>
        <w:spacing w:after="0" w:line="218" w:lineRule="auto"/>
        <w:ind w:left="7" w:right="-20"/>
        <w:jc w:val="center"/>
        <w:rPr>
          <w:rFonts w:ascii="Tw Cen MT" w:eastAsia="Twentieth Century" w:hAnsi="Tw Cen MT" w:cs="Twentieth Century"/>
          <w:sz w:val="20"/>
          <w:szCs w:val="20"/>
        </w:rPr>
      </w:pPr>
      <w:commentRangeStart w:id="1"/>
      <w:r>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rPr>
        <w:t>Universitas Fort De Kock, Bukittinggi, Indonesia</w:t>
      </w:r>
    </w:p>
    <w:p w14:paraId="2EB07C16" w14:textId="5B4BFBA3" w:rsidR="002C1B6E" w:rsidRDefault="00AB5BE7">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2</w:t>
      </w:r>
      <w:r>
        <w:rPr>
          <w:rFonts w:ascii="Tw Cen MT" w:eastAsia="Twentieth Century" w:hAnsi="Tw Cen MT" w:cs="Twentieth Century"/>
          <w:sz w:val="20"/>
          <w:szCs w:val="20"/>
        </w:rPr>
        <w:t>Akademi Farmasi Dwi Farma, Bukitting</w:t>
      </w:r>
      <w:r w:rsidR="008D53A2">
        <w:rPr>
          <w:rFonts w:ascii="Tw Cen MT" w:eastAsia="Twentieth Century" w:hAnsi="Tw Cen MT" w:cs="Twentieth Century"/>
          <w:sz w:val="20"/>
          <w:szCs w:val="20"/>
        </w:rPr>
        <w:t>g</w:t>
      </w:r>
      <w:r>
        <w:rPr>
          <w:rFonts w:ascii="Tw Cen MT" w:eastAsia="Twentieth Century" w:hAnsi="Tw Cen MT" w:cs="Twentieth Century"/>
          <w:sz w:val="20"/>
          <w:szCs w:val="20"/>
        </w:rPr>
        <w:t>i, Indonesia</w:t>
      </w:r>
    </w:p>
    <w:p w14:paraId="43953401" w14:textId="61D3DCD6" w:rsidR="002C1B6E" w:rsidRDefault="00AB5BE7">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 xml:space="preserve">3 </w:t>
      </w:r>
      <w:r>
        <w:rPr>
          <w:rFonts w:ascii="Tw Cen MT" w:eastAsia="Twentieth Century" w:hAnsi="Tw Cen MT" w:cs="Twentieth Century"/>
          <w:sz w:val="20"/>
          <w:szCs w:val="20"/>
        </w:rPr>
        <w:t>Stikes Har-Kausyar, Rengat Riau, Indonesia</w:t>
      </w:r>
    </w:p>
    <w:p w14:paraId="4DF8E64D" w14:textId="0EDC4112" w:rsidR="002C1B6E" w:rsidRDefault="00AB5BE7">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 xml:space="preserve">4 </w:t>
      </w:r>
      <w:r>
        <w:rPr>
          <w:rFonts w:ascii="Tw Cen MT" w:eastAsia="Twentieth Century" w:hAnsi="Tw Cen MT" w:cs="Twentieth Century"/>
          <w:sz w:val="20"/>
          <w:szCs w:val="20"/>
        </w:rPr>
        <w:t>Universitas Muhammadiyah, Riau, Indonesia</w:t>
      </w:r>
      <w:commentRangeEnd w:id="1"/>
      <w:r w:rsidR="00C71172">
        <w:rPr>
          <w:rStyle w:val="CommentReference"/>
        </w:rPr>
        <w:commentReference w:id="1"/>
      </w:r>
    </w:p>
    <w:p w14:paraId="60A7ECF1" w14:textId="77777777" w:rsidR="002C1B6E" w:rsidRDefault="00AB5BE7">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nolarahmadasmi@fdk.ac.id</w:t>
      </w:r>
    </w:p>
    <w:p w14:paraId="2539B2A4" w14:textId="77777777" w:rsidR="002C1B6E" w:rsidRDefault="00AB5BE7">
      <w:pPr>
        <w:spacing w:after="0"/>
        <w:rPr>
          <w:rFonts w:ascii="Tw Cen MT" w:eastAsia="Twentieth Century" w:hAnsi="Tw Cen MT" w:cs="Twentieth Century"/>
        </w:rPr>
      </w:pPr>
      <w:r>
        <w:rPr>
          <w:rFonts w:ascii="Tw Cen MT" w:hAnsi="Tw Cen MT"/>
          <w:b/>
          <w:i/>
          <w:iCs/>
          <w:noProof/>
          <w:sz w:val="24"/>
          <w:szCs w:val="24"/>
        </w:rPr>
        <mc:AlternateContent>
          <mc:Choice Requires="wps">
            <w:drawing>
              <wp:anchor distT="0" distB="0" distL="0" distR="0" simplePos="0" relativeHeight="3" behindDoc="0" locked="0" layoutInCell="1" allowOverlap="1" wp14:anchorId="7F05B150" wp14:editId="187036DC">
                <wp:simplePos x="0" y="0"/>
                <wp:positionH relativeFrom="column">
                  <wp:posOffset>17780</wp:posOffset>
                </wp:positionH>
                <wp:positionV relativeFrom="paragraph">
                  <wp:posOffset>152400</wp:posOffset>
                </wp:positionV>
                <wp:extent cx="1943100" cy="1176655"/>
                <wp:effectExtent l="0" t="0" r="0" b="4445"/>
                <wp:wrapNone/>
                <wp:docPr id="10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176655"/>
                        </a:xfrm>
                        <a:prstGeom prst="rect">
                          <a:avLst/>
                        </a:prstGeom>
                        <a:solidFill>
                          <a:srgbClr val="FFFFFF"/>
                        </a:solidFill>
                        <a:ln>
                          <a:noFill/>
                        </a:ln>
                      </wps:spPr>
                      <wps:txbx>
                        <w:txbxContent>
                          <w:p w14:paraId="77D495A5" w14:textId="77777777" w:rsidR="002C1B6E" w:rsidRDefault="00AB5BE7">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317DDB85" w14:textId="77777777" w:rsidR="002C1B6E" w:rsidRDefault="002C1B6E">
                            <w:pPr>
                              <w:tabs>
                                <w:tab w:val="left" w:pos="567"/>
                              </w:tabs>
                              <w:spacing w:after="0"/>
                              <w:ind w:left="-85"/>
                              <w:rPr>
                                <w:rFonts w:ascii="Arial" w:hAnsi="Arial" w:cs="Arial"/>
                                <w:b/>
                                <w:bCs/>
                                <w:caps/>
                                <w:sz w:val="20"/>
                                <w:szCs w:val="20"/>
                                <w:lang w:val="id-ID"/>
                              </w:rPr>
                            </w:pPr>
                          </w:p>
                          <w:p w14:paraId="445B4B77" w14:textId="77777777" w:rsidR="002C1B6E" w:rsidRDefault="00AB5BE7">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7D6AFF60" w14:textId="77777777" w:rsidR="002C1B6E" w:rsidRDefault="00AB5BE7">
                            <w:pPr>
                              <w:pStyle w:val="Subtitle"/>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0CD3FC57" w14:textId="77777777" w:rsidR="002C1B6E" w:rsidRDefault="00AB5BE7">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3B844FD3" w14:textId="77777777" w:rsidR="002C1B6E" w:rsidRDefault="00AB5BE7">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5DF730A9" w14:textId="77777777" w:rsidR="002C1B6E" w:rsidRDefault="002C1B6E">
                            <w:pPr>
                              <w:pBdr>
                                <w:top w:val="single" w:sz="4" w:space="0" w:color="auto"/>
                              </w:pBdr>
                              <w:tabs>
                                <w:tab w:val="left" w:pos="567"/>
                              </w:tabs>
                              <w:spacing w:after="0"/>
                              <w:ind w:left="-85" w:right="-57"/>
                              <w:rPr>
                                <w:rFonts w:ascii="Tw Cen MT" w:hAnsi="Tw Cen MT" w:cs="Arial"/>
                                <w:b/>
                                <w:bCs/>
                                <w:i/>
                                <w:caps/>
                                <w:sz w:val="20"/>
                                <w:szCs w:val="20"/>
                              </w:rPr>
                            </w:pPr>
                          </w:p>
                          <w:p w14:paraId="6F12A985" w14:textId="77777777" w:rsidR="002C1B6E" w:rsidRDefault="002C1B6E">
                            <w:pPr>
                              <w:rPr>
                                <w:rFonts w:ascii="Tw Cen MT" w:hAnsi="Tw Cen MT"/>
                                <w:sz w:val="20"/>
                                <w:szCs w:val="20"/>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5B150" id="Rectangle 7" o:spid="_x0000_s1026" style="position:absolute;margin-left:1.4pt;margin-top:12pt;width:153pt;height:92.6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" stroked="f">
                <v:textbox>
                  <w:txbxContent>
                    <w:p w14:paraId="77D495A5" w14:textId="77777777" w:rsidR="002C1B6E" w:rsidRDefault="00AB5BE7">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317DDB85" w14:textId="77777777" w:rsidR="002C1B6E" w:rsidRDefault="002C1B6E">
                      <w:pPr>
                        <w:tabs>
                          <w:tab w:val="left" w:pos="567"/>
                        </w:tabs>
                        <w:spacing w:after="0"/>
                        <w:ind w:left="-85"/>
                        <w:rPr>
                          <w:rFonts w:ascii="Arial" w:hAnsi="Arial" w:cs="Arial"/>
                          <w:b/>
                          <w:bCs/>
                          <w:caps/>
                          <w:sz w:val="20"/>
                          <w:szCs w:val="20"/>
                          <w:lang w:val="id-ID"/>
                        </w:rPr>
                      </w:pPr>
                    </w:p>
                    <w:p w14:paraId="445B4B77" w14:textId="77777777" w:rsidR="002C1B6E" w:rsidRDefault="00AB5BE7">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7D6AFF60" w14:textId="77777777" w:rsidR="002C1B6E" w:rsidRDefault="00AB5BE7">
                      <w:pPr>
                        <w:pStyle w:val="Subtitle"/>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0CD3FC57" w14:textId="77777777" w:rsidR="002C1B6E" w:rsidRDefault="00AB5BE7">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3B844FD3" w14:textId="77777777" w:rsidR="002C1B6E" w:rsidRDefault="00AB5BE7">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5DF730A9" w14:textId="77777777" w:rsidR="002C1B6E" w:rsidRDefault="002C1B6E">
                      <w:pPr>
                        <w:pBdr>
                          <w:top w:val="single" w:sz="4" w:space="0" w:color="auto"/>
                        </w:pBdr>
                        <w:tabs>
                          <w:tab w:val="left" w:pos="567"/>
                        </w:tabs>
                        <w:spacing w:after="0"/>
                        <w:ind w:left="-85" w:right="-57"/>
                        <w:rPr>
                          <w:rFonts w:ascii="Tw Cen MT" w:hAnsi="Tw Cen MT" w:cs="Arial"/>
                          <w:b/>
                          <w:bCs/>
                          <w:i/>
                          <w:caps/>
                          <w:sz w:val="20"/>
                          <w:szCs w:val="20"/>
                        </w:rPr>
                      </w:pPr>
                    </w:p>
                    <w:p w14:paraId="6F12A985" w14:textId="77777777" w:rsidR="002C1B6E" w:rsidRDefault="002C1B6E">
                      <w:pPr>
                        <w:rPr>
                          <w:rFonts w:ascii="Tw Cen MT" w:hAnsi="Tw Cen MT"/>
                          <w:sz w:val="20"/>
                          <w:szCs w:val="20"/>
                        </w:rPr>
                      </w:pPr>
                    </w:p>
                  </w:txbxContent>
                </v:textbox>
              </v:rect>
            </w:pict>
          </mc:Fallback>
        </mc:AlternateContent>
      </w:r>
      <w:r>
        <w:rPr>
          <w:rFonts w:ascii="Tw Cen MT" w:hAnsi="Tw Cen MT"/>
          <w:noProof/>
        </w:rPr>
        <mc:AlternateContent>
          <mc:Choice Requires="wps">
            <w:drawing>
              <wp:anchor distT="0" distB="0" distL="0" distR="0" simplePos="0" relativeHeight="2" behindDoc="0" locked="0" layoutInCell="1" allowOverlap="1" wp14:anchorId="23F565DF" wp14:editId="1851EE96">
                <wp:simplePos x="0" y="0"/>
                <wp:positionH relativeFrom="column">
                  <wp:posOffset>9728</wp:posOffset>
                </wp:positionH>
                <wp:positionV relativeFrom="paragraph">
                  <wp:posOffset>124838</wp:posOffset>
                </wp:positionV>
                <wp:extent cx="5966257" cy="0"/>
                <wp:effectExtent l="0" t="0" r="15875" b="19050"/>
                <wp:wrapNone/>
                <wp:docPr id="1027"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6257" cy="0"/>
                        </a:xfrm>
                        <a:prstGeom prst="straightConnector1">
                          <a:avLst/>
                        </a:prstGeom>
                        <a:ln w="19050"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53B3A102"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" strokeweight="1.5pt">
                <v:stroke startarrowwidth="narrow" startarrowlength="short" endarrowwidth="narrow" endarrowlength="short"/>
                <o:lock v:ext="edit" shapetype="f"/>
              </v:shape>
            </w:pict>
          </mc:Fallback>
        </mc:AlternateContent>
      </w:r>
    </w:p>
    <w:p w14:paraId="39FE4343" w14:textId="77777777" w:rsidR="002C1B6E" w:rsidRDefault="00AB5BE7">
      <w:pPr>
        <w:spacing w:after="0"/>
        <w:ind w:left="2399" w:firstLine="719"/>
        <w:rPr>
          <w:rFonts w:ascii="Tw Cen MT" w:eastAsia="Twentieth Century" w:hAnsi="Tw Cen MT" w:cs="Twentieth Century"/>
        </w:rPr>
      </w:pPr>
      <w:r>
        <w:rPr>
          <w:rFonts w:ascii="Tw Cen MT" w:eastAsia="Twentieth Century" w:hAnsi="Tw Cen MT" w:cs="Twentieth Century"/>
          <w:b/>
          <w:i/>
          <w:sz w:val="20"/>
          <w:szCs w:val="20"/>
        </w:rPr>
        <w:t xml:space="preserve"> Abstract</w:t>
      </w:r>
    </w:p>
    <w:p w14:paraId="6A672333" w14:textId="77777777" w:rsidR="002C1B6E" w:rsidRDefault="00AB5BE7">
      <w:pPr>
        <w:widowControl w:val="0"/>
        <w:spacing w:after="0" w:line="228" w:lineRule="auto"/>
        <w:ind w:left="3150" w:right="-19"/>
        <w:jc w:val="both"/>
        <w:rPr>
          <w:rFonts w:ascii="Tw Cen MT" w:eastAsia="Twentieth Century" w:hAnsi="Tw Cen MT" w:cs="Twentieth Century"/>
          <w:i/>
          <w:sz w:val="20"/>
          <w:szCs w:val="20"/>
        </w:rPr>
      </w:pPr>
      <w:r>
        <w:rPr>
          <w:rFonts w:ascii="Tw Cen MT" w:eastAsia="Twentieth Century" w:hAnsi="Tw Cen MT" w:cs="Twentieth Century"/>
          <w:i/>
          <w:noProof/>
          <w:color w:val="000000"/>
          <w:sz w:val="20"/>
          <w:szCs w:val="20"/>
        </w:rPr>
        <w:drawing>
          <wp:anchor distT="0" distB="0" distL="114300" distR="114300" simplePos="0" relativeHeight="4" behindDoc="1" locked="0" layoutInCell="1" allowOverlap="1" wp14:anchorId="1A3AAA6A" wp14:editId="57A867A4">
            <wp:simplePos x="0" y="0"/>
            <wp:positionH relativeFrom="column">
              <wp:posOffset>45085</wp:posOffset>
            </wp:positionH>
            <wp:positionV relativeFrom="paragraph">
              <wp:posOffset>996950</wp:posOffset>
            </wp:positionV>
            <wp:extent cx="1016000" cy="358139"/>
            <wp:effectExtent l="0" t="0" r="0" b="3810"/>
            <wp:wrapThrough wrapText="bothSides">
              <wp:wrapPolygon edited="0">
                <wp:start x="0" y="0"/>
                <wp:lineTo x="0" y="20681"/>
                <wp:lineTo x="21060" y="20681"/>
                <wp:lineTo x="21060" y="0"/>
                <wp:lineTo x="0" y="0"/>
              </wp:wrapPolygon>
            </wp:wrapThrough>
            <wp:docPr id="1028" name="Picture 3" descr="D:\IRA\JURNAL PROTEKSI OJS\ccbysa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cstate="print"/>
                    <a:srcRect/>
                    <a:stretch/>
                  </pic:blipFill>
                  <pic:spPr>
                    <a:xfrm>
                      <a:off x="0" y="0"/>
                      <a:ext cx="1016000" cy="358139"/>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w Cen MT" w:eastAsia="Twentieth Century" w:hAnsi="Tw Cen MT" w:cs="Twentieth Century"/>
          <w:i/>
          <w:noProof/>
          <w:color w:val="000000"/>
          <w:sz w:val="20"/>
          <w:szCs w:val="20"/>
        </w:rPr>
        <w:t xml:space="preserve">Dragon skin is a waste that is rarely used and often discarded.  The dragonfruit skin has antioxidant activity related to the anthocyanin content that protects the skin from oxidation damage to prevent premature aging, an experimentally used method with a true-experimental design. There are 7 formulas, F1 (base), F2, F3, and F4 (with ultrasonic extract 1%, 2%, 3.). The evaluations included organoleptic tests, homogeneity tests, viscosity testing, pH tests, swelling ratio, freeze and thaw. The results of this study show that super red dragonfruit leather extracts can be formed in hydrogel preparations and have good physical quality properties. </w:t>
      </w:r>
    </w:p>
    <w:p w14:paraId="11BE4EC5" w14:textId="77777777" w:rsidR="002C1B6E" w:rsidRDefault="00AB5BE7">
      <w:pPr>
        <w:widowControl w:val="0"/>
        <w:spacing w:after="0" w:line="228" w:lineRule="auto"/>
        <w:ind w:left="3150" w:right="-19"/>
        <w:jc w:val="both"/>
        <w:rPr>
          <w:rFonts w:ascii="Tw Cen MT" w:eastAsia="Twentieth Century" w:hAnsi="Tw Cen MT" w:cs="Twentieth Century"/>
          <w:b/>
          <w:i/>
          <w:sz w:val="20"/>
          <w:szCs w:val="20"/>
        </w:rPr>
      </w:pPr>
      <w:r>
        <w:rPr>
          <w:rFonts w:ascii="Tw Cen MT" w:eastAsia="Twentieth Century" w:hAnsi="Tw Cen MT" w:cs="Twentieth Century"/>
          <w:b/>
          <w:i/>
          <w:sz w:val="20"/>
          <w:szCs w:val="20"/>
        </w:rPr>
        <w:t>Keywords:</w:t>
      </w:r>
    </w:p>
    <w:p w14:paraId="4CE09CFA" w14:textId="77777777" w:rsidR="002C1B6E" w:rsidRDefault="00AB5BE7">
      <w:pPr>
        <w:tabs>
          <w:tab w:val="left" w:pos="426"/>
        </w:tabs>
        <w:spacing w:after="0"/>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Formulation, hydrogel, physical quality, stability, extract skin of super red dragon fruit</w:t>
      </w:r>
    </w:p>
    <w:p w14:paraId="5FF3129D" w14:textId="77777777" w:rsidR="002C1B6E" w:rsidRDefault="002C1B6E">
      <w:pPr>
        <w:tabs>
          <w:tab w:val="left" w:pos="426"/>
        </w:tabs>
        <w:spacing w:after="0"/>
        <w:ind w:left="3150"/>
        <w:jc w:val="both"/>
        <w:rPr>
          <w:rFonts w:ascii="Tw Cen MT" w:eastAsia="Twentieth Century" w:hAnsi="Tw Cen MT" w:cs="Twentieth Century"/>
          <w:b/>
          <w:sz w:val="20"/>
          <w:szCs w:val="20"/>
        </w:rPr>
      </w:pPr>
    </w:p>
    <w:p w14:paraId="0B1DEB2D" w14:textId="77777777" w:rsidR="002C1B6E" w:rsidRDefault="00AB5BE7">
      <w:pPr>
        <w:tabs>
          <w:tab w:val="left" w:pos="426"/>
        </w:tabs>
        <w:spacing w:after="0"/>
        <w:ind w:left="3150"/>
        <w:jc w:val="both"/>
        <w:rPr>
          <w:rFonts w:ascii="Tw Cen MT" w:eastAsia="Twentieth Century" w:hAnsi="Tw Cen MT" w:cs="Twentieth Century"/>
          <w:b/>
          <w:sz w:val="20"/>
          <w:szCs w:val="20"/>
        </w:rPr>
      </w:pPr>
      <w:r>
        <w:rPr>
          <w:rFonts w:ascii="Tw Cen MT" w:eastAsia="Twentieth Century" w:hAnsi="Tw Cen MT" w:cs="Twentieth Century"/>
          <w:b/>
          <w:sz w:val="20"/>
          <w:szCs w:val="20"/>
        </w:rPr>
        <w:t>Abstrak</w:t>
      </w:r>
    </w:p>
    <w:p w14:paraId="15D3E488" w14:textId="2B962EDC" w:rsidR="002C1B6E" w:rsidRPr="00916542" w:rsidRDefault="00AB5BE7">
      <w:pPr>
        <w:tabs>
          <w:tab w:val="left" w:pos="426"/>
        </w:tabs>
        <w:spacing w:after="0" w:line="240" w:lineRule="auto"/>
        <w:ind w:left="3150"/>
        <w:jc w:val="both"/>
        <w:rPr>
          <w:rFonts w:ascii="Tw Cen MT" w:eastAsia="Twentieth Century" w:hAnsi="Tw Cen MT" w:cs="Twentieth Century"/>
          <w:iCs/>
          <w:sz w:val="20"/>
          <w:szCs w:val="20"/>
        </w:rPr>
      </w:pPr>
      <w:r>
        <w:rPr>
          <w:rFonts w:eastAsia="Twentieth Century" w:hAnsi="Tw Cen MT" w:cs="Twentieth Century"/>
          <w:iCs/>
          <w:color w:val="000000"/>
          <w:sz w:val="20"/>
          <w:szCs w:val="20"/>
        </w:rPr>
        <w:t>Kulit</w:t>
      </w:r>
      <w:r>
        <w:rPr>
          <w:rFonts w:ascii="Tw Cen MT" w:hAnsi="Tw Cen MT" w:cs="Times New Roman"/>
          <w:sz w:val="20"/>
          <w:szCs w:val="20"/>
        </w:rPr>
        <w:t xml:space="preserve"> buah naga merupakan limbah</w:t>
      </w:r>
      <w:r w:rsidR="00B45D82">
        <w:rPr>
          <w:rFonts w:ascii="Tw Cen MT" w:hAnsi="Tw Cen MT" w:cs="Times New Roman"/>
          <w:sz w:val="20"/>
          <w:szCs w:val="20"/>
        </w:rPr>
        <w:t xml:space="preserve"> </w:t>
      </w:r>
      <w:r>
        <w:rPr>
          <w:rFonts w:ascii="Tw Cen MT" w:hAnsi="Tw Cen MT" w:cs="Times New Roman"/>
          <w:sz w:val="20"/>
          <w:szCs w:val="20"/>
        </w:rPr>
        <w:t>yang jarang dimanfaatkan dan sering dibuang</w:t>
      </w:r>
      <w:r>
        <w:rPr>
          <w:rFonts w:ascii="Tw Cen MT" w:eastAsia="Twentieth Century" w:hAnsi="Tw Cen MT" w:cs="Twentieth Century"/>
          <w:iCs/>
          <w:sz w:val="20"/>
          <w:szCs w:val="20"/>
        </w:rPr>
        <w:t xml:space="preserve">. </w:t>
      </w:r>
      <w:r>
        <w:rPr>
          <w:rFonts w:ascii="Tw Cen MT" w:hAnsi="Tw Cen MT" w:cs="Times New Roman"/>
          <w:sz w:val="20"/>
        </w:rPr>
        <w:t>Kulit buah naga memiliki aktivitas antioksidan terkait dengan kandungan antosianin didalamnnya yang digunakan untuk melindungi kulit dari kerusakan akibat oksidasi sehingga dapat mencegah penuaan dini</w:t>
      </w:r>
      <w:r w:rsidR="00B45D82">
        <w:rPr>
          <w:rFonts w:ascii="Tw Cen MT" w:hAnsi="Tw Cen MT" w:cs="Times New Roman"/>
          <w:sz w:val="20"/>
        </w:rPr>
        <w:t xml:space="preserve">. </w:t>
      </w:r>
      <w:r w:rsidRPr="00E31888">
        <w:rPr>
          <w:rFonts w:ascii="Tw Cen MT" w:hAnsi="Tw Cen MT" w:cs="Times New Roman"/>
          <w:sz w:val="20"/>
          <w:szCs w:val="20"/>
        </w:rPr>
        <w:t xml:space="preserve">Metode yang digunakan eksperimental dengan rancangan </w:t>
      </w:r>
      <w:r w:rsidRPr="00E31888">
        <w:rPr>
          <w:rFonts w:ascii="Tw Cen MT" w:hAnsi="Tw Cen MT" w:cs="Times New Roman"/>
          <w:i/>
          <w:sz w:val="20"/>
          <w:szCs w:val="20"/>
        </w:rPr>
        <w:t>true-eksperimental</w:t>
      </w:r>
      <w:r w:rsidRPr="00E31888">
        <w:rPr>
          <w:rFonts w:ascii="Tw Cen MT" w:hAnsi="Tw Cen MT" w:cs="Times New Roman"/>
          <w:sz w:val="20"/>
          <w:szCs w:val="20"/>
        </w:rPr>
        <w:t>.</w:t>
      </w:r>
      <w:r w:rsidR="00B45D82" w:rsidRPr="00E31888">
        <w:rPr>
          <w:rFonts w:ascii="Tw Cen MT" w:hAnsi="Tw Cen MT" w:cs="Times New Roman"/>
          <w:sz w:val="20"/>
          <w:szCs w:val="20"/>
        </w:rPr>
        <w:t xml:space="preserve"> T</w:t>
      </w:r>
      <w:r w:rsidRPr="00E31888">
        <w:rPr>
          <w:rFonts w:ascii="Tw Cen MT" w:hAnsi="Tw Cen MT" w:cs="Times New Roman"/>
          <w:sz w:val="20"/>
          <w:szCs w:val="20"/>
        </w:rPr>
        <w:t>erdapat 4 formula, F1 (basis), F2, F3, F4 (dengan</w:t>
      </w:r>
      <w:r w:rsidR="00B45D82">
        <w:rPr>
          <w:rFonts w:ascii="Tw Cen MT" w:hAnsi="Tw Cen MT" w:cs="Times New Roman"/>
          <w:sz w:val="20"/>
        </w:rPr>
        <w:t xml:space="preserve"> ultrasonifika</w:t>
      </w:r>
      <w:r>
        <w:rPr>
          <w:rFonts w:ascii="Tw Cen MT" w:hAnsi="Tw Cen MT" w:cs="Times New Roman"/>
          <w:sz w:val="20"/>
        </w:rPr>
        <w:t xml:space="preserve">i 1%, 2%, 3%). Evaluasi yang dilakukan meliputi uji organoleptis, uji homogenitas, uji viskositas, uji pH, </w:t>
      </w:r>
      <w:r>
        <w:rPr>
          <w:rFonts w:ascii="Tw Cen MT" w:hAnsi="Tw Cen MT" w:cs="Times New Roman"/>
          <w:i/>
          <w:sz w:val="20"/>
        </w:rPr>
        <w:t xml:space="preserve">rasio swelling, freeze and thaw. </w:t>
      </w:r>
      <w:r w:rsidRPr="00916542">
        <w:rPr>
          <w:rFonts w:ascii="Tw Cen MT" w:hAnsi="Tw Cen MT" w:cs="Times New Roman"/>
          <w:iCs/>
          <w:sz w:val="20"/>
        </w:rPr>
        <w:t>Hasil dari penelitian ini eksrak kulit buah naga super merah dapat dibentuk dalam sediaan hidrogel dan mempunyai sifat mutu fisik yang baik</w:t>
      </w:r>
      <w:r w:rsidRPr="00916542">
        <w:rPr>
          <w:rFonts w:ascii="Tw Cen MT" w:hAnsi="Tw Cen MT" w:cs="Times New Roman"/>
          <w:iCs/>
          <w:sz w:val="20"/>
          <w:szCs w:val="20"/>
        </w:rPr>
        <w:t xml:space="preserve">. </w:t>
      </w:r>
    </w:p>
    <w:p w14:paraId="23C48D0D" w14:textId="77777777" w:rsidR="002C1B6E" w:rsidRDefault="00AB5BE7">
      <w:pPr>
        <w:tabs>
          <w:tab w:val="left" w:pos="426"/>
        </w:tabs>
        <w:spacing w:after="0" w:line="240" w:lineRule="auto"/>
        <w:ind w:left="3150"/>
        <w:jc w:val="both"/>
        <w:rPr>
          <w:rFonts w:ascii="Tw Cen MT" w:eastAsia="Twentieth Century" w:hAnsi="Tw Cen MT" w:cs="Twentieth Century"/>
          <w:b/>
          <w:sz w:val="20"/>
          <w:szCs w:val="20"/>
        </w:rPr>
      </w:pPr>
      <w:r>
        <w:rPr>
          <w:rFonts w:ascii="Tw Cen MT" w:eastAsia="Twentieth Century" w:hAnsi="Tw Cen MT" w:cs="Twentieth Century"/>
          <w:b/>
          <w:sz w:val="20"/>
          <w:szCs w:val="20"/>
        </w:rPr>
        <w:t>Kata Kunci:</w:t>
      </w:r>
    </w:p>
    <w:p w14:paraId="4663F201" w14:textId="77777777" w:rsidR="002C1B6E" w:rsidRDefault="00AB5BE7">
      <w:pPr>
        <w:ind w:left="3150"/>
        <w:rPr>
          <w:rFonts w:ascii="Tw Cen MT" w:eastAsia="Twentieth Century" w:hAnsi="Tw Cen MT" w:cs="Twentieth Century"/>
          <w:sz w:val="20"/>
          <w:szCs w:val="20"/>
        </w:rPr>
      </w:pPr>
      <w:r>
        <w:rPr>
          <w:rFonts w:ascii="Tw Cen MT" w:hAnsi="Tw Cen MT"/>
          <w:noProof/>
        </w:rPr>
        <mc:AlternateContent>
          <mc:Choice Requires="wps">
            <w:drawing>
              <wp:anchor distT="0" distB="0" distL="0" distR="0" simplePos="0" relativeHeight="5" behindDoc="0" locked="0" layoutInCell="1" allowOverlap="1" wp14:anchorId="729CF530" wp14:editId="0A7720E3">
                <wp:simplePos x="0" y="0"/>
                <wp:positionH relativeFrom="column">
                  <wp:posOffset>-38100</wp:posOffset>
                </wp:positionH>
                <wp:positionV relativeFrom="paragraph">
                  <wp:posOffset>203835</wp:posOffset>
                </wp:positionV>
                <wp:extent cx="5975985" cy="0"/>
                <wp:effectExtent l="0" t="12700" r="18415" b="12700"/>
                <wp:wrapNone/>
                <wp:docPr id="1029"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3420B457" id="Straight Arrow Connector 65" o:spid="_x0000_s1026" type="#_x0000_t32" style="position:absolute;margin-left:-3pt;margin-top:16.05pt;width:470.55pt;height:0;z-index:5;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" strokeweight="1.5pt">
                <v:stroke startarrowwidth="narrow" startarrowlength="short" endarrowwidth="narrow" endarrowlength="short"/>
                <o:lock v:ext="edit" shapetype="f"/>
              </v:shape>
            </w:pict>
          </mc:Fallback>
        </mc:AlternateContent>
      </w:r>
      <w:r>
        <w:rPr>
          <w:rFonts w:ascii="Tw Cen MT" w:eastAsia="Twentieth Century" w:hAnsi="Tw Cen MT" w:cs="Twentieth Century"/>
          <w:sz w:val="20"/>
          <w:szCs w:val="20"/>
        </w:rPr>
        <w:t>Formulasi, hidrogel, Mutu fisik, stabilitas, eksrak kulit buah naga super merah</w:t>
      </w:r>
    </w:p>
    <w:p w14:paraId="71ECF130" w14:textId="77777777" w:rsidR="002C1B6E" w:rsidRDefault="002C1B6E">
      <w:pPr>
        <w:rPr>
          <w:rFonts w:ascii="Tw Cen MT" w:eastAsia="Twentieth Century" w:hAnsi="Tw Cen MT" w:cs="Twentieth Century"/>
          <w:sz w:val="20"/>
          <w:szCs w:val="20"/>
        </w:rPr>
        <w:sectPr w:rsidR="002C1B6E">
          <w:headerReference w:type="default" r:id="rId19"/>
          <w:footerReference w:type="default" r:id="rId20"/>
          <w:pgSz w:w="12240" w:h="15840"/>
          <w:pgMar w:top="1440" w:right="1440" w:bottom="1440" w:left="1440" w:header="720" w:footer="720" w:gutter="0"/>
          <w:pgNumType w:start="1"/>
          <w:cols w:space="720"/>
        </w:sectPr>
      </w:pPr>
    </w:p>
    <w:p w14:paraId="29EDBA72" w14:textId="77777777" w:rsidR="002C1B6E" w:rsidRDefault="00AB5BE7">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PENDAHULUAN</w:t>
      </w:r>
    </w:p>
    <w:p w14:paraId="36A0157F" w14:textId="2D2760FF" w:rsidR="00916542" w:rsidRDefault="00AB5BE7">
      <w:pPr>
        <w:spacing w:after="0" w:line="240" w:lineRule="auto"/>
        <w:jc w:val="both"/>
        <w:rPr>
          <w:rFonts w:ascii="Tw Cen MT" w:hAnsi="Tw Cen MT" w:cs="Times New Roman"/>
          <w:sz w:val="24"/>
        </w:rPr>
      </w:pPr>
      <w:r>
        <w:rPr>
          <w:rFonts w:ascii="Tw Cen MT" w:hAnsi="Tw Cen MT" w:cs="Times New Roman"/>
          <w:sz w:val="24"/>
        </w:rPr>
        <w:t xml:space="preserve">Kulit merupakan organ tubuh yang terletak paling luar dari tubuh manusia. Kulit merupakan organ tubuh yang paling kompleks untuk melindungi manusia dari pengaruh lingkungan. Kulit dikatakan sehat </w:t>
      </w:r>
      <w:r>
        <w:rPr>
          <w:rFonts w:ascii="Tw Cen MT" w:hAnsi="Tw Cen MT" w:cs="Times New Roman"/>
          <w:sz w:val="24"/>
        </w:rPr>
        <w:t xml:space="preserve">dan normal apabila lapisan luar kulit mengandung lebih dari 10% air </w:t>
      </w:r>
      <w:r>
        <w:rPr>
          <w:rFonts w:ascii="Tw Cen MT" w:hAnsi="Tw Cen MT" w:cs="Times New Roman"/>
          <w:sz w:val="24"/>
        </w:rPr>
        <w:fldChar w:fldCharType="begin" w:fldLock="1"/>
      </w:r>
      <w:r>
        <w:rPr>
          <w:rFonts w:ascii="Tw Cen MT" w:hAnsi="Tw Cen MT" w:cs="Times New Roman"/>
          <w:sz w:val="24"/>
        </w:rPr>
        <w:instrText>ADDIN CSL_CITATION {"citationItems":[{"id":"ITEM-1","itemData":{"DOI":"10.35457/antivirus.v12i1.438","ISSN":"1978-5232","abstract":"Kesehatan merupakan hal yang berharga bagi manusia karena siapa saja dapat mengalami gangguan kesehatan. Orang dewasa juga rentan terhadap berbagai macam penyakit. Penyakit kulit sering menyerang orang dewasa. Kulit merupakan organ terluar dan merupakan organ perlindungan pertama pada manusia sehingga jika terjadi sesuatu pada manusia maka organ yang lebih dahulu terkena adalah kulit. Ketersediaan seorang pakar masih terbatas dibandingkan dengan penderita yang mengalamai gangguan kulit. Sistem ini dirancang untuk dapat menirukan keahlian seorang pakar dalam menjawab pertanyaan dan menyelesaikan suatu permasalahan, khususnya di bidang kesehatan. Pemanfaatan teknologi dalam bidang kesehatan sangatlah perlu terutama dalam membantu tugas seorang pakar kulit. Penelitian sistem pakar ini bertujuan untuk mendiagnosis penyakit kulit dengan menggunakan metode fordward chaining berbasis web yang disertai dengan cara pencegahan dan pengobatannya.","author":[{"dropping-particle":"","family":"Santi","given":"Indyah Hartami","non-dropping-particle":"","parse-names":false,"suffix":""},{"dropping-particle":"","family":"Septiawan","given":"Ardita Irvan","non-dropping-particle":"","parse-names":false,"suffix":""}],"container-title":"Antivirus : Jurnal Ilmiah Teknik Informatika","id":"ITEM-1","issue":"1","issued":{"date-parts":[["2018"]]},"page":"1-12","title":"Metode Forward Chaining Pada Sistem Pakar Dalam Mendiagnosis Penyakit Kulit","type":"article-journal","volume":"12"},"uris":["http://www.mendeley.com/documents/?uuid=736b302c-f437-4721-8862-692f5699c287"]}],"mendeley":{"formattedCitation":"[1]","plainTextFormattedCitation":"[1]","previouslyFormattedCitation":"[1]"},"properties":{"noteIndex":0},"schema":"https://github.com/citation-style-language/schema/raw/master/csl-citation.json"}</w:instrText>
      </w:r>
      <w:r>
        <w:rPr>
          <w:rFonts w:ascii="Tw Cen MT" w:hAnsi="Tw Cen MT" w:cs="Times New Roman"/>
          <w:sz w:val="24"/>
        </w:rPr>
        <w:fldChar w:fldCharType="separate"/>
      </w:r>
      <w:r>
        <w:rPr>
          <w:rFonts w:ascii="Tw Cen MT" w:hAnsi="Tw Cen MT" w:cs="Times New Roman"/>
          <w:noProof/>
          <w:sz w:val="24"/>
        </w:rPr>
        <w:t>[1]</w:t>
      </w:r>
      <w:r>
        <w:rPr>
          <w:rFonts w:ascii="Tw Cen MT" w:hAnsi="Tw Cen MT" w:cs="Times New Roman"/>
          <w:sz w:val="24"/>
        </w:rPr>
        <w:fldChar w:fldCharType="end"/>
      </w:r>
      <w:r>
        <w:rPr>
          <w:rFonts w:ascii="Tw Cen MT" w:hAnsi="Tw Cen MT" w:cs="Times New Roman"/>
          <w:sz w:val="24"/>
        </w:rPr>
        <w:t>.</w:t>
      </w:r>
      <w:r w:rsidR="002A128D">
        <w:rPr>
          <w:rFonts w:ascii="Tw Cen MT" w:hAnsi="Tw Cen MT" w:cs="Times New Roman"/>
          <w:sz w:val="24"/>
        </w:rPr>
        <w:t xml:space="preserve"> </w:t>
      </w:r>
      <w:r>
        <w:rPr>
          <w:rFonts w:ascii="Tw Cen MT" w:hAnsi="Tw Cen MT" w:cs="Times New Roman"/>
          <w:sz w:val="24"/>
        </w:rPr>
        <w:t xml:space="preserve">Masalah kulit wajah merupakan salah satu yang paling sering ditemui. Meskipun rata-rata tidak menyakitkan atau berbahaya, namun masalah kulit wajah seringkali </w:t>
      </w:r>
      <w:r>
        <w:rPr>
          <w:rFonts w:ascii="Tw Cen MT" w:hAnsi="Tw Cen MT" w:cs="Times New Roman"/>
          <w:sz w:val="24"/>
        </w:rPr>
        <w:lastRenderedPageBreak/>
        <w:t xml:space="preserve">membuat stress karena mudah terlihat, dapat mempengaruhi kepercayaan diri seseorang </w:t>
      </w:r>
      <w:r>
        <w:rPr>
          <w:rFonts w:ascii="Tw Cen MT" w:hAnsi="Tw Cen MT" w:cs="Times New Roman"/>
          <w:sz w:val="24"/>
        </w:rPr>
        <w:fldChar w:fldCharType="begin" w:fldLock="1"/>
      </w:r>
      <w:r>
        <w:rPr>
          <w:rFonts w:ascii="Tw Cen MT" w:hAnsi="Tw Cen MT" w:cs="Times New Roman"/>
          <w:sz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Pr>
          <w:rFonts w:ascii="Arial" w:hAnsi="Arial" w:cs="Arial"/>
          <w:sz w:val="24"/>
        </w:rPr>
        <w:instrText>−</w:instrText>
      </w:r>
      <w:r>
        <w:rPr>
          <w:rFonts w:ascii="Tw Cen MT" w:hAnsi="Tw Cen MT" w:cs="Times New Roman"/>
          <w:sz w:val="24"/>
        </w:rPr>
        <w:instrText>protein docking tools. Here, we test the small molecule flexible ligand docking program Glide on a set of 19 non-</w:instrText>
      </w:r>
      <w:r>
        <w:rPr>
          <w:rFonts w:ascii="Tw Cen MT" w:hAnsi="Tw Cen MT" w:cs="Times New Roman" w:hint="eastAsia"/>
          <w:sz w:val="24"/>
        </w:rPr>
        <w:instrText>α</w:instrText>
      </w:r>
      <w:r>
        <w:rPr>
          <w:rFonts w:ascii="Tw Cen MT" w:hAnsi="Tw Cen MT" w:cs="Times New Roman"/>
          <w:sz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approach.","author":[{"dropping-particle":"","family":"Kusantati","given":"Herni","non-dropping-particle":"","parse-names":false,"suffix":""},{"dropping-particle":"","family":"Prihatin","given":"Pipin Tresna","non-dropping-particle":"","parse-names":false,"suffix":""},{"dropping-particle":"","family":"Wiana","given":"Winwin","non-dropping-particle":"","parse-names":false,"suffix":""}],"container-title":"Journal of Chemical Information and Modeling","id":"ITEM-1","issue":"9","issued":{"date-parts":[["2008"]]},"number-of-pages":"59. 60, 61, 62, 63, 64, 65, 66","title":"Tata Kecantikan Kulit untuk Sekolah Menengah Kejuruan Jilid 1","type":"book","volume":"53"},"uris":["http://www.mendeley.com/documents/?uuid=1378ffe6-fb05-460d-9674-5b4b20bea8b7"]}],"mendeley":{"formattedCitation":"[2]","plainTextFormattedCitation":"[2]","previouslyFormattedCitation":"[2]"},"properties":{"noteIndex":0},"schema":"https://github.com/citation-style-language/schema/raw/master/csl-citation.json"}</w:instrText>
      </w:r>
      <w:r>
        <w:rPr>
          <w:rFonts w:ascii="Tw Cen MT" w:hAnsi="Tw Cen MT" w:cs="Times New Roman"/>
          <w:sz w:val="24"/>
        </w:rPr>
        <w:fldChar w:fldCharType="separate"/>
      </w:r>
      <w:r>
        <w:rPr>
          <w:rFonts w:ascii="Tw Cen MT" w:hAnsi="Tw Cen MT" w:cs="Times New Roman"/>
          <w:noProof/>
          <w:sz w:val="24"/>
        </w:rPr>
        <w:t>[2]</w:t>
      </w:r>
      <w:r>
        <w:rPr>
          <w:rFonts w:ascii="Tw Cen MT" w:hAnsi="Tw Cen MT" w:cs="Times New Roman"/>
          <w:sz w:val="24"/>
        </w:rPr>
        <w:fldChar w:fldCharType="end"/>
      </w:r>
      <w:r>
        <w:rPr>
          <w:rFonts w:ascii="Tw Cen MT" w:hAnsi="Tw Cen MT" w:cs="Times New Roman"/>
          <w:sz w:val="24"/>
        </w:rPr>
        <w:t>.</w:t>
      </w:r>
    </w:p>
    <w:p w14:paraId="28D1CCE5" w14:textId="1E9AC4BE" w:rsidR="00E31888" w:rsidRPr="0023299C" w:rsidRDefault="001D3736" w:rsidP="001D3736">
      <w:pPr>
        <w:spacing w:after="0" w:line="240" w:lineRule="auto"/>
        <w:jc w:val="both"/>
        <w:rPr>
          <w:rFonts w:ascii="Tw Cen MT" w:hAnsi="Tw Cen MT" w:cs="Times New Roman"/>
          <w:sz w:val="24"/>
        </w:rPr>
      </w:pPr>
      <w:r w:rsidRPr="0023299C">
        <w:rPr>
          <w:rFonts w:ascii="Tw Cen MT" w:hAnsi="Tw Cen MT" w:cs="Times New Roman"/>
          <w:sz w:val="24"/>
        </w:rPr>
        <w:t>Penuaan dini merupakan salah satu permasalahan kulit yang disebabkan oleh paparan polusi udara dan sinar UV sehingga memicu produksi radikal bebas dalam tubuh. Untuk melindungi kulit dari bahaya radikal bebas diperlukan antioksidan dari luar tubuh</w:t>
      </w:r>
      <w:r w:rsidR="00E55BA3" w:rsidRPr="0023299C">
        <w:rPr>
          <w:rFonts w:ascii="Tw Cen MT" w:hAnsi="Tw Cen MT" w:cs="Times New Roman"/>
          <w:sz w:val="24"/>
        </w:rPr>
        <w:t xml:space="preserve"> </w:t>
      </w:r>
      <w:r w:rsidR="00E55BA3" w:rsidRPr="0023299C">
        <w:rPr>
          <w:rFonts w:ascii="Tw Cen MT" w:hAnsi="Tw Cen MT" w:cs="Times New Roman"/>
          <w:sz w:val="24"/>
        </w:rPr>
        <w:fldChar w:fldCharType="begin" w:fldLock="1"/>
      </w:r>
      <w:r w:rsidR="00E55BA3" w:rsidRPr="0023299C">
        <w:rPr>
          <w:rFonts w:ascii="Tw Cen MT" w:hAnsi="Tw Cen MT" w:cs="Times New Roman"/>
          <w:sz w:val="24"/>
        </w:rPr>
        <w:instrText>ADDIN CSL_CITATION {"citationItems":[{"id":"ITEM-1","itemData":{"DOI":"10.3390/antiox11101868","ISSN":"20763921","author":[{"dropping-particle":"","family":"Rusu","given":"Marius Emil","non-dropping-particle":"","parse-names":false,"suffix":""},{"dropping-particle":"","family":"Fize</w:instrText>
      </w:r>
      <w:r w:rsidR="00E55BA3" w:rsidRPr="0023299C">
        <w:rPr>
          <w:rFonts w:ascii="Arial" w:hAnsi="Arial" w:cs="Arial"/>
          <w:sz w:val="24"/>
        </w:rPr>
        <w:instrText>ș</w:instrText>
      </w:r>
      <w:r w:rsidR="00E55BA3" w:rsidRPr="0023299C">
        <w:rPr>
          <w:rFonts w:ascii="Tw Cen MT" w:hAnsi="Tw Cen MT" w:cs="Times New Roman"/>
          <w:sz w:val="24"/>
        </w:rPr>
        <w:instrText>an","given":"Ionel","non-dropping-particle":"","parse-names":false,"suffix":""},{"dropping-particle":"","family":"Vlase","given":"Laurian","non-dropping-particle":"","parse-names":false,"suffix":""},{"dropping-particle":"","family":"Popa","given":"Daniela Saveta","non-dropping-particle":"","parse-names":false,"suffix":""}],"container-title":"Antioxidants","id":"ITEM-1","issue":"10","issued":{"date-parts":[["2022"]]},"page":"1-5","title":"Antioxidants in Age-Related Diseases and Anti-Aging Strategies","type":"article-journal","volume":"11"},"uris":["http://www.mendeley.com/documents/?uuid=56693cfb-438c-42c6-9c67-5be8939960a1"]}],"mendeley":{"formattedCitation":"[3]","plainTextFormattedCitation":"[3]","previouslyFormattedCitation":"[3]"},"properties":{"noteIndex":0},"schema":"https://github.com/citation-style-language/schema/raw/master/csl-citation.json"}</w:instrText>
      </w:r>
      <w:r w:rsidR="00E55BA3" w:rsidRPr="0023299C">
        <w:rPr>
          <w:rFonts w:ascii="Tw Cen MT" w:hAnsi="Tw Cen MT" w:cs="Times New Roman"/>
          <w:sz w:val="24"/>
        </w:rPr>
        <w:fldChar w:fldCharType="separate"/>
      </w:r>
      <w:r w:rsidR="00E55BA3" w:rsidRPr="0023299C">
        <w:rPr>
          <w:rFonts w:ascii="Tw Cen MT" w:hAnsi="Tw Cen MT" w:cs="Times New Roman"/>
          <w:noProof/>
          <w:sz w:val="24"/>
        </w:rPr>
        <w:t>[3]</w:t>
      </w:r>
      <w:r w:rsidR="00E55BA3" w:rsidRPr="0023299C">
        <w:rPr>
          <w:rFonts w:ascii="Tw Cen MT" w:hAnsi="Tw Cen MT" w:cs="Times New Roman"/>
          <w:sz w:val="24"/>
        </w:rPr>
        <w:fldChar w:fldCharType="end"/>
      </w:r>
    </w:p>
    <w:p w14:paraId="13BA0E45" w14:textId="0ADA64EE" w:rsidR="00E31888" w:rsidRPr="00E31888" w:rsidRDefault="00E31888" w:rsidP="00E31888">
      <w:pPr>
        <w:spacing w:after="0" w:line="240" w:lineRule="auto"/>
        <w:ind w:firstLine="567"/>
        <w:jc w:val="both"/>
        <w:rPr>
          <w:rFonts w:ascii="Tw Cen MT" w:hAnsi="Tw Cen MT"/>
          <w:sz w:val="24"/>
        </w:rPr>
      </w:pPr>
      <w:r w:rsidRPr="0023299C">
        <w:rPr>
          <w:rFonts w:ascii="Tw Cen MT" w:hAnsi="Tw Cen MT" w:cs="Times New Roman"/>
          <w:sz w:val="24"/>
        </w:rPr>
        <w:t>S</w:t>
      </w:r>
      <w:r w:rsidR="001D3736" w:rsidRPr="0023299C">
        <w:rPr>
          <w:rFonts w:ascii="Tw Cen MT" w:hAnsi="Tw Cen MT" w:cs="Times New Roman"/>
          <w:sz w:val="24"/>
        </w:rPr>
        <w:t>alah satunya dapat diperoleh dari tanaman buah naga.</w:t>
      </w:r>
      <w:r w:rsidR="001D3736" w:rsidRPr="001D3736">
        <w:rPr>
          <w:rFonts w:ascii="Tw Cen MT" w:hAnsi="Tw Cen MT" w:cs="Times New Roman"/>
          <w:color w:val="FF0000"/>
          <w:sz w:val="24"/>
        </w:rPr>
        <w:t xml:space="preserve"> </w:t>
      </w:r>
      <w:r w:rsidR="00AB5BE7">
        <w:rPr>
          <w:rFonts w:ascii="Tw Cen MT" w:hAnsi="Tw Cen MT"/>
          <w:sz w:val="24"/>
        </w:rPr>
        <w:t>Tanaman buah naga (</w:t>
      </w:r>
      <w:r w:rsidR="00AB5BE7">
        <w:rPr>
          <w:rFonts w:ascii="Tw Cen MT" w:hAnsi="Tw Cen MT"/>
          <w:i/>
          <w:iCs/>
          <w:sz w:val="24"/>
        </w:rPr>
        <w:t>Hylocereus costaricencis</w:t>
      </w:r>
      <w:r w:rsidR="00AB5BE7">
        <w:rPr>
          <w:rFonts w:ascii="Tw Cen MT" w:hAnsi="Tw Cen MT"/>
          <w:sz w:val="24"/>
        </w:rPr>
        <w:t>) berasal dari daerah yang beriklim tropis kering. Habitat aslinya berada di Meksiko, Amerika Tengah dan Amerika Selatan bagian Utara. Bagian tumbuhan buah naga yang sering digunakan untuk dijadikan produk yaitu bagian kulitnya.</w:t>
      </w:r>
      <w:r w:rsidR="002A128D">
        <w:rPr>
          <w:rFonts w:ascii="Tw Cen MT" w:hAnsi="Tw Cen MT"/>
          <w:sz w:val="24"/>
        </w:rPr>
        <w:t xml:space="preserve"> </w:t>
      </w:r>
      <w:r w:rsidR="00AB5BE7">
        <w:rPr>
          <w:rFonts w:ascii="Tw Cen MT" w:hAnsi="Tw Cen MT"/>
          <w:sz w:val="24"/>
        </w:rPr>
        <w:t>Kulit buah naga memiliki aktivitas antioksidan terkait dengan kandungan antosianin didalamnnya</w:t>
      </w:r>
      <w:r w:rsidR="00AB5BE7">
        <w:rPr>
          <w:rFonts w:ascii="Tw Cen MT" w:hAnsi="Tw Cen MT"/>
          <w:color w:val="000000"/>
          <w:sz w:val="24"/>
        </w:rPr>
        <w:t xml:space="preserve">. </w:t>
      </w:r>
      <w:r w:rsidR="00AB5BE7">
        <w:rPr>
          <w:rFonts w:ascii="Tw Cen MT" w:hAnsi="Tw Cen MT"/>
          <w:sz w:val="24"/>
        </w:rPr>
        <w:t>Antosianin dari kulit buah naga digunakan untuk melindungi kulit dari kerusakan akibat oksidasi sehingga dapat mencegah penuaan dini atau yang biasa dikenal dengan antiaging</w:t>
      </w:r>
      <w:r w:rsidR="00B01D8D">
        <w:rPr>
          <w:rFonts w:ascii="Tw Cen MT" w:hAnsi="Tw Cen MT"/>
          <w:sz w:val="24"/>
        </w:rPr>
        <w:t xml:space="preserve"> [4]</w:t>
      </w:r>
      <w:r w:rsidR="00F54439">
        <w:rPr>
          <w:rFonts w:ascii="Tw Cen MT" w:hAnsi="Tw Cen MT"/>
          <w:sz w:val="24"/>
        </w:rPr>
        <w:t xml:space="preserve">. </w:t>
      </w:r>
    </w:p>
    <w:p w14:paraId="19BE2221" w14:textId="3C6B8015" w:rsidR="002C1B6E" w:rsidRPr="00F359CD" w:rsidRDefault="00AB5BE7" w:rsidP="00E31888">
      <w:pPr>
        <w:pStyle w:val="ListParagraph"/>
        <w:spacing w:line="240" w:lineRule="auto"/>
        <w:ind w:left="0" w:firstLine="567"/>
        <w:jc w:val="both"/>
        <w:rPr>
          <w:rFonts w:ascii="Tw Cen MT" w:hAnsi="Tw Cen MT"/>
          <w:sz w:val="24"/>
        </w:rPr>
      </w:pPr>
      <w:r w:rsidRPr="002A128D">
        <w:rPr>
          <w:rFonts w:ascii="Tw Cen MT" w:hAnsi="Tw Cen MT"/>
          <w:sz w:val="24"/>
        </w:rPr>
        <w:t>Ekstraksi merupakan sebuah proses penarikan komponen senyawa yang diinginkan dari suatu sampel dengan cara pemisahan. Metode ekstraksi yang digunakan untuk esktraksi kulit buah naga yaitu metode maserasi dan ultrasonik. Maserasi merupakan salah satu metode ekstraksi yang dilakukan secara dingin atau dalam suhu ruang tanpa ada peningkatan suhu atau pemanasan</w:t>
      </w:r>
      <w:r w:rsidR="00F54439">
        <w:rPr>
          <w:rFonts w:ascii="Tw Cen MT" w:hAnsi="Tw Cen MT"/>
          <w:sz w:val="28"/>
        </w:rPr>
        <w:t xml:space="preserve">, </w:t>
      </w:r>
      <w:r w:rsidR="00F54439">
        <w:rPr>
          <w:rFonts w:ascii="Tw Cen MT" w:hAnsi="Tw Cen MT"/>
          <w:sz w:val="24"/>
        </w:rPr>
        <w:t>u</w:t>
      </w:r>
      <w:r w:rsidR="00E55BA3" w:rsidRPr="0023299C">
        <w:rPr>
          <w:rFonts w:ascii="Tw Cen MT" w:hAnsi="Tw Cen MT"/>
          <w:sz w:val="24"/>
        </w:rPr>
        <w:t xml:space="preserve">ltrasonik merupakan </w:t>
      </w:r>
      <w:r w:rsidR="0023299C" w:rsidRPr="0023299C">
        <w:rPr>
          <w:rFonts w:ascii="Tw Cen MT" w:hAnsi="Tw Cen MT"/>
          <w:sz w:val="24"/>
        </w:rPr>
        <w:t>metode ekstraksi dengan memanfaatkan gelombang ultrasonik yaitu gelombang akustik dengan frekuensi lebih dari 20kHz. Keuntungan ekstraksi ultrasonik dibanding dengan ekstraksi konvensional adalah waktu dan energinya lebih diminimalisir</w:t>
      </w:r>
      <w:r w:rsidR="0023299C">
        <w:rPr>
          <w:rFonts w:ascii="Tw Cen MT" w:hAnsi="Tw Cen MT"/>
          <w:sz w:val="24"/>
        </w:rPr>
        <w:t xml:space="preserve"> </w:t>
      </w:r>
      <w:r w:rsidR="0023299C">
        <w:rPr>
          <w:rFonts w:ascii="Tw Cen MT" w:hAnsi="Tw Cen MT"/>
          <w:sz w:val="24"/>
        </w:rPr>
        <w:fldChar w:fldCharType="begin" w:fldLock="1"/>
      </w:r>
      <w:r w:rsidR="00E97529">
        <w:rPr>
          <w:rFonts w:ascii="Tw Cen MT" w:hAnsi="Tw Cen MT"/>
          <w:sz w:val="24"/>
        </w:rPr>
        <w:instrText>ADDIN CSL_CITATION {"citationItems":[{"id":"ITEM-1","itemData":{"abstract":"Bawang dayak atau bawang hantu (Eleutherine palmifolia (L.) merupakan tanaman khas Kalimantan Tengah. Senyawa bioaktif dan antioksidan seperti fenol, flavonoid, tanin, steroid, alkaloid banyak terdapat pada bawang dayak. Senyawa – senyawa tersebut memiliki kemampuan antioksidan yang dapat menghambat dan mereduksi radikal bebas. Komponen bioaktif dapat dipisahkan dari tanaman dengan menggunakan metode ekstraksi. Ekstraksi konvensional umumnya memakan waktu yang lama dan energi yang besar, sehingga diperlukan metode yang lebih efisien salah satunya menggunakan metode ultrasonik. Penelitian ini bertujuan untuk mengetahui pengaruh jenis pelarut : dan lama ekstraksi menggunakan metode ultrasonic bath sehingga didapatkan ekstrak bawang dayak terbaik. Penelitian ini disusun menggunakan metode Rancangan Tersarang (Nested design) dengan 2 faktor yaitu jenis pelarut (etanol 96%, heksan) dan lama ekstraksi (10, 20, dan 30 menit) dengan rasio masing-masing (1:7). Perlakuan terbaik didapatkan dari pelarut etanol 96% dan lama ekstraksi (30 menit) dengan rendemen 7.84%, total fenol 240.62 mgGAE/g, flavonoid 106.03 mgQE/g dan aktivitas antioksidan IC50 52.38 ppm.","author":[{"dropping-particle":"","family":"Yuswi","given":"Riane Nusa Claudea","non-dropping-particle":"","parse-names":false,"suffix":""}],"container-title":"Jurnal Pangan dan Agroindustri","id":"ITEM-1","issue":"1","issued":{"date-parts":[["2017"]]},"page":"71-78","title":"Ekstrasi Antioksidan Bawang Dayak (Eleutherine palmifolia) dengan Metode Ultrasonic Bath (Kajian Jenis Pelarut dan Lama Ekstraksi)","type":"article-journal","volume":"5"},"uris":["http://www.mendeley.com/documents/?uuid=3c5d5b32-879f-4f76-aab0-aeb80b50261d"]}],"mendeley":{"formattedCitation":"[4]","plainTextFormattedCitation":"[4]","previouslyFormattedCitation":"[4]"},"properties":{"noteIndex":0},"schema":"https://github.com/citation-style-language/schema/raw/master/csl-citation.json"}</w:instrText>
      </w:r>
      <w:r w:rsidR="0023299C">
        <w:rPr>
          <w:rFonts w:ascii="Tw Cen MT" w:hAnsi="Tw Cen MT"/>
          <w:sz w:val="24"/>
        </w:rPr>
        <w:fldChar w:fldCharType="separate"/>
      </w:r>
      <w:r w:rsidR="0045676F" w:rsidRPr="0045676F">
        <w:rPr>
          <w:rFonts w:ascii="Tw Cen MT" w:hAnsi="Tw Cen MT"/>
          <w:noProof/>
          <w:sz w:val="24"/>
        </w:rPr>
        <w:t>[4]</w:t>
      </w:r>
      <w:r w:rsidR="0023299C">
        <w:rPr>
          <w:rFonts w:ascii="Tw Cen MT" w:hAnsi="Tw Cen MT"/>
          <w:sz w:val="24"/>
        </w:rPr>
        <w:fldChar w:fldCharType="end"/>
      </w:r>
      <w:r w:rsidR="00F359CD">
        <w:rPr>
          <w:rFonts w:ascii="Tw Cen MT" w:hAnsi="Tw Cen MT"/>
          <w:sz w:val="24"/>
        </w:rPr>
        <w:t xml:space="preserve">. Kelebihan dari eksraksi metode ultrasonik </w:t>
      </w:r>
      <w:r w:rsidR="00F359CD" w:rsidRPr="00F359CD">
        <w:rPr>
          <w:rFonts w:ascii="Tw Cen MT" w:hAnsi="Tw Cen MT"/>
          <w:sz w:val="24"/>
        </w:rPr>
        <w:t xml:space="preserve">dapat meningkatkan penetrasi dari cairan menuju dinding sel, laju perpindahan massa lebih cepat, meningkatkan hasil ekstraksi, penggunaan suhu yang rendah, volume </w:t>
      </w:r>
      <w:r w:rsidR="00F359CD" w:rsidRPr="00F359CD">
        <w:rPr>
          <w:rFonts w:ascii="Tw Cen MT" w:hAnsi="Tw Cen MT"/>
          <w:sz w:val="24"/>
        </w:rPr>
        <w:t>pelarut yang sedikit, dan waktu yang singkat</w:t>
      </w:r>
      <w:r w:rsidR="00F359CD">
        <w:rPr>
          <w:rFonts w:ascii="Tw Cen MT" w:hAnsi="Tw Cen MT"/>
          <w:sz w:val="24"/>
        </w:rPr>
        <w:t xml:space="preserve"> </w:t>
      </w:r>
      <w:r w:rsidR="00F359CD">
        <w:rPr>
          <w:rFonts w:ascii="Tw Cen MT" w:hAnsi="Tw Cen MT"/>
          <w:sz w:val="24"/>
        </w:rPr>
        <w:fldChar w:fldCharType="begin" w:fldLock="1"/>
      </w:r>
      <w:r w:rsidR="00E97529">
        <w:rPr>
          <w:rFonts w:ascii="Tw Cen MT" w:hAnsi="Tw Cen MT"/>
          <w:sz w:val="24"/>
        </w:rPr>
        <w:instrText>ADDIN CSL_CITATION {"citationItems":[{"id":"ITEM-1","itemData":{"DOI":"10.24843/itepa.2022.v11.i01.p02","abstract":"This research aims to determine the effect of extraction time on the antioxidant activity of duwet leaf extract and which can produce the highest antioxidant activity in duwet leaf extract. The design used in this study was a Completely Randomized Design (CRD) with treatment consisting 6 levels; 5 minutes, 10 minutes, 15 minutes, 20 minutes, 25 minutes, and 30 minutes which was repeated 3 times so that it is obtained 18 experimental units. The parameters observed were yield, total phenol, total flavonoids, and antioxidant activity. The data obtained were analizye using variance and if there was a significant effect on the treatment of the observed variables, it was continued with the Duncan Multiple Range Test (DMRT). The results showed that the extraction time of duwet leaf extraction using the Ultrasonic Assisted Extraction method had a significant effect on total phenol, total flavonoids, and antioxidant activity of duwet leaves. The best results were obtained at the extraction time of 25 minutes which has strong antioxidant activity based on the IC50 value of 99.74 ppm, yield 30.24%, total phenol 445.78 mg GAE/g, and total flavonoids 48.90 mg QE/g.","author":[{"dropping-particle":"","family":"Marlina Kristina","given":"Clara Vita","non-dropping-particle":"","parse-names":false,"suffix":""},{"dropping-particle":"","family":"Ari Yusasrini","given":"Ni Luh","non-dropping-particle":"","parse-names":false,"suffix":""},{"dropping-particle":"","family":"Yusa","given":"Ni Made","non-dropping-particle":"","parse-names":false,"suffix":""}],"container-title":"Jurnal Ilmu dan Teknologi Pangan (ITEPA)","id":"ITEM-1","issue":"1","issued":{"date-parts":[["2022"]]},"page":"13","title":"Pengaruh Waktu Ekstraksi Dengan Menggunakan Metode Ultrasonic Assisted Extraction (UAE) Terhadap Aktivitas Antioksidan Ekstrak Daun Duwet (Syzygium cumini)","type":"article-journal","volume":"11"},"uris":["http://www.mendeley.com/documents/?uuid=f2aa57ef-0e60-420f-903e-294f940d6819"]}],"mendeley":{"formattedCitation":"[5]","plainTextFormattedCitation":"[5]","previouslyFormattedCitation":"[5]"},"properties":{"noteIndex":0},"schema":"https://github.com/citation-style-language/schema/raw/master/csl-citation.json"}</w:instrText>
      </w:r>
      <w:r w:rsidR="00F359CD">
        <w:rPr>
          <w:rFonts w:ascii="Tw Cen MT" w:hAnsi="Tw Cen MT"/>
          <w:sz w:val="24"/>
        </w:rPr>
        <w:fldChar w:fldCharType="separate"/>
      </w:r>
      <w:r w:rsidR="0045676F" w:rsidRPr="0045676F">
        <w:rPr>
          <w:rFonts w:ascii="Tw Cen MT" w:hAnsi="Tw Cen MT"/>
          <w:noProof/>
          <w:sz w:val="24"/>
        </w:rPr>
        <w:t>[5]</w:t>
      </w:r>
      <w:r w:rsidR="00F359CD">
        <w:rPr>
          <w:rFonts w:ascii="Tw Cen MT" w:hAnsi="Tw Cen MT"/>
          <w:sz w:val="24"/>
        </w:rPr>
        <w:fldChar w:fldCharType="end"/>
      </w:r>
    </w:p>
    <w:p w14:paraId="0FF82915" w14:textId="78A6F9A7" w:rsidR="0023299C" w:rsidRDefault="00AB5BE7" w:rsidP="00574A70">
      <w:pPr>
        <w:pStyle w:val="ListParagraph"/>
        <w:spacing w:line="240" w:lineRule="auto"/>
        <w:ind w:left="0" w:firstLine="567"/>
        <w:jc w:val="both"/>
        <w:rPr>
          <w:rFonts w:ascii="Tw Cen MT" w:hAnsi="Tw Cen MT"/>
          <w:sz w:val="24"/>
          <w:szCs w:val="24"/>
        </w:rPr>
      </w:pPr>
      <w:r>
        <w:rPr>
          <w:rFonts w:ascii="Tw Cen MT" w:hAnsi="Tw Cen MT"/>
          <w:sz w:val="24"/>
        </w:rPr>
        <w:t xml:space="preserve">Hidrogel merupakan material polimer hidrofilik dengan jaringan tiga dimensi yang mampu menyerap dan melepaskan sejumlah air. Proses mendapatkan jaringan polimer yang saling bertautan dalam hidrogel dapat dilakukan dengan menggunakan agen pengikat silang, dimana jumlah dari zat tersebut akan menentukan sifat mekanik dan daya serapnya terhadap air. Hidrogel telah banyak dimanfaatkan dalam berbagai industri, seperti kosmetik, industri makanan dan </w:t>
      </w:r>
      <w:r>
        <w:rPr>
          <w:rFonts w:ascii="Tw Cen MT" w:hAnsi="Tw Cen MT"/>
          <w:i/>
          <w:sz w:val="24"/>
        </w:rPr>
        <w:t>Drug delivery system</w:t>
      </w:r>
      <w:r>
        <w:rPr>
          <w:rFonts w:ascii="Tw Cen MT" w:hAnsi="Tw Cen MT"/>
          <w:sz w:val="24"/>
        </w:rPr>
        <w:t xml:space="preserve">. </w:t>
      </w:r>
      <w:r>
        <w:rPr>
          <w:rFonts w:ascii="Tw Cen MT" w:hAnsi="Tw Cen MT"/>
          <w:sz w:val="24"/>
          <w:szCs w:val="24"/>
        </w:rPr>
        <w:t>Hidrogel merupakan sediaan farmasi semi padat, dengan basis bersifat hidrofilik. Hidrogel memiliki keunggulan mudah digunakan</w:t>
      </w:r>
      <w:r w:rsidR="00574A70">
        <w:rPr>
          <w:rFonts w:ascii="Tw Cen MT" w:hAnsi="Tw Cen MT"/>
          <w:sz w:val="24"/>
          <w:szCs w:val="24"/>
        </w:rPr>
        <w:t xml:space="preserve"> dan </w:t>
      </w:r>
      <w:r>
        <w:rPr>
          <w:rFonts w:ascii="Tw Cen MT" w:hAnsi="Tw Cen MT"/>
          <w:sz w:val="24"/>
          <w:szCs w:val="24"/>
        </w:rPr>
        <w:t xml:space="preserve">mudah di bersihkan, </w:t>
      </w:r>
      <w:r>
        <w:rPr>
          <w:rFonts w:ascii="Tw Cen MT" w:hAnsi="Tw Cen MT"/>
          <w:sz w:val="24"/>
          <w:szCs w:val="24"/>
        </w:rPr>
        <w:fldChar w:fldCharType="begin" w:fldLock="1"/>
      </w:r>
      <w:r w:rsidR="00E97529">
        <w:rPr>
          <w:rFonts w:ascii="Tw Cen MT" w:hAnsi="Tw Cen MT"/>
          <w:sz w:val="24"/>
          <w:szCs w:val="24"/>
        </w:rPr>
        <w:instrText>ADDIN CSL_CITATION {"citationItems":[{"id":"ITEM-1","itemData":{"DOI":"10.36387/jiis.v7i2.995","ISSN":"2502647X","abstract":"Hydrogel is an ideal preparation as a wound dressing because it can provide a cold sensation that can reduce swelling in the wound area. Nanoparticles are particles that have a size of 1-1000 nm. Nanoparticles have the advantage of reducing the particle size and delivering the active substance to the target site. In the manufacture of nanohydrogels it is necessary to have a gelling agent in order to obtain a preparation that meets the requirements. In this study, nanohydrogels were made using Chrysanthemum leaf extract (Chromolaena odorata L.) as the active substance and made with various concentrations of carbopol 980 as a gelling agent. The purpose of this study was to determine the effect of variations in the concentration of carbopol 980 on nanohydrogel preparations of chrysanthemum leaf extract. The method used is Quasi Experimental Design. Simplicia was made into extracts and then made into nano preparations and evaluated. Data were analyzed using One Way Anova and Kruskal-Wallis. The particle size of Formula I nanohydrogel preparation was obtained at 412.9 nm. The results of the evaluation of the preparation showed that the nanohydrogel of chrysanthemum leaf extract with variations in the concentration of carbopol 980 had no effect on homogeneity, but it did affect the pH, viscosity, dispersibility, and adhesion test as shown in the One Way Anova statistical test (p&lt;0.05). From the evaluation results, the ideal formula for nano hydrogel preparations was found in formula I with a carbopol 980 concentration of 0.5%.","author":[{"dropping-particle":"","family":"Nabillah","given":"Syafira","non-dropping-particle":"","parse-names":false,"suffix":""},{"dropping-particle":"","family":"Noval","given":"Noval","non-dropping-particle":"","parse-names":false,"suffix":""},{"dropping-particle":"","family":"Hidayah","given":"Nur","non-dropping-particle":"","parse-names":false,"suffix":""}],"container-title":"Jurnal Ilmiah Ibnu Sina (JIIS): Ilmu Farmasi dan Kesehatan","id":"ITEM-1","issue":"2","issued":{"date-parts":[["2022"]]},"page":"340-349","title":"FORMULASI DAN EVALUASI NANO HIDROGEL EKSTRAK DAUN SERUNAI (Chromolaena odorata L.) DENGAN VARIASI KONSENTRASI POLIMER CARBOPOL 980","type":"article-journal","volume":"7"},"uris":["http://www.mendeley.com/documents/?uuid=6bd2fdc7-228d-4ddd-9fc1-735fe97e5109"]}],"mendeley":{"formattedCitation":"[6]","manualFormatting":"[6]","plainTextFormattedCitation":"[6]","previouslyFormattedCitation":"[6]"},"properties":{"noteIndex":0},"schema":"https://github.com/citation-style-language/schema/raw/master/csl-citation.json"}</w:instrText>
      </w:r>
      <w:r>
        <w:rPr>
          <w:rFonts w:ascii="Tw Cen MT" w:hAnsi="Tw Cen MT"/>
          <w:sz w:val="24"/>
          <w:szCs w:val="24"/>
        </w:rPr>
        <w:fldChar w:fldCharType="separate"/>
      </w:r>
      <w:r>
        <w:rPr>
          <w:rFonts w:ascii="Tw Cen MT" w:hAnsi="Tw Cen MT"/>
          <w:noProof/>
          <w:sz w:val="24"/>
          <w:szCs w:val="24"/>
        </w:rPr>
        <w:t>[</w:t>
      </w:r>
      <w:r w:rsidR="00B01D8D">
        <w:rPr>
          <w:rFonts w:ascii="Tw Cen MT" w:hAnsi="Tw Cen MT"/>
          <w:noProof/>
          <w:sz w:val="24"/>
          <w:szCs w:val="24"/>
        </w:rPr>
        <w:t>6</w:t>
      </w:r>
      <w:r>
        <w:rPr>
          <w:rFonts w:ascii="Tw Cen MT" w:hAnsi="Tw Cen MT"/>
          <w:noProof/>
          <w:sz w:val="24"/>
          <w:szCs w:val="24"/>
        </w:rPr>
        <w:t>]</w:t>
      </w:r>
      <w:r>
        <w:rPr>
          <w:rFonts w:ascii="Tw Cen MT" w:hAnsi="Tw Cen MT"/>
          <w:sz w:val="24"/>
          <w:szCs w:val="24"/>
        </w:rPr>
        <w:fldChar w:fldCharType="end"/>
      </w:r>
      <w:r>
        <w:rPr>
          <w:rFonts w:ascii="Tw Cen MT" w:hAnsi="Tw Cen MT"/>
          <w:sz w:val="24"/>
          <w:szCs w:val="24"/>
        </w:rPr>
        <w:t>. Hidrogel mempunyai kandungan air terbanyak dibandngkan sediaan hidroalkoholik gel dan emugel sehingga dapat membantu penetrasi perkutan dengan cara menghidrasi kulit</w:t>
      </w:r>
      <w:r w:rsidR="00B01D8D">
        <w:rPr>
          <w:rFonts w:ascii="Tw Cen MT" w:hAnsi="Tw Cen MT"/>
          <w:sz w:val="24"/>
          <w:szCs w:val="24"/>
        </w:rPr>
        <w:t xml:space="preserve"> </w:t>
      </w:r>
      <w:r>
        <w:rPr>
          <w:rFonts w:ascii="Tw Cen MT" w:hAnsi="Tw Cen MT"/>
          <w:sz w:val="24"/>
          <w:szCs w:val="24"/>
        </w:rPr>
        <w:fldChar w:fldCharType="begin" w:fldLock="1"/>
      </w:r>
      <w:r w:rsidR="00E97529">
        <w:rPr>
          <w:rFonts w:ascii="Tw Cen MT" w:hAnsi="Tw Cen MT"/>
          <w:sz w:val="24"/>
          <w:szCs w:val="24"/>
        </w:rPr>
        <w:instrText>ADDIN CSL_CITATION {"citationItems":[{"id":"ITEM-1","itemData":{"DOI":"10.7454/psr.v1i1.3298","ISSN":"24072354","abstract":"Abstrak Sediaan gel antiselulit topikal dengan zat aktif kofein memerlukan agen untuk meningkatkan penetrasi mencapai lapisan subkutan. Natrium hialuronat (NaHA), EHQWXNN JDUDPP DVDPP KLDOXURQDWWW PHUXSDNDQQ SROLPHUU KLGUR¿OLNN GHULYDWW SROLVDNDULGDDD NaHA memiliki kemampuan meningkatkan penetrasi perkutan dengan mengubah susunan sel-sel stratum korneum yang tersusun rapat menjadi lebih renggang. Penelitian ini bertujuan untuk mengetahui pengaruh NaHA terhadap penetrasi kofein sebagai zat aktif antiselulit dalam sediaan hidrogel, hidroalkoholik gel, dan emulsi gel. Masing-masing sediaan mengandung kofein 1,5% dan terbagi atas 3 formula. Formula 1 mengandung basis gel HPMC 2%; formula 2 mengandung basis gel HPMC 2% dan NaHA 0,5%; formula 3 mengandung NaHA 2% sebagai basis gel. Uji penetrasi dilakukan secara in vitro menggunakan sel difusi Franz dengan kulit tikus sebagai membran selama 8 jam. Persentase kofein terpenetrasi sediaan hidrogel formula 1, 2, 3 secara berturut-turut adalah 9,41 ± 0,01%; 11,74 ± 0,13%; 16,32 ± 0,03%. Persentase kofein terpenetrasi sediaan hidroalkoholik gel formula 1, 2, 3 secara berturut-turut adalah 19,54 ± 0,02%; 22,99 ± 0,23%; 7,42 ± 0,08%. Persentase kofein terpenetrasi sediaan emulgel formula 1, 2, 3 secara berturut-turut adalah 10,47 ± 0,19%; 13,41 ± 0,12%; 18,42 ± 0,06%. Hasil menunjukkan NaHA meningkatkan penetrasi kofein perkutan berbagai sediaan gel, kecuali hidroalkoholik gel. Abstract Anticellulite topical gel preparation with caffeine as active ingredient needs a penetration enhancer to reach subcutaneous layer. Sodium hyaluronate (NaHA), the sodium salt of hyaluronic acid, is a hydrophilic polysaccharide derivative polymer. It has ability to enhance percutaneous penetration by loosening the dense of the compact substance stratum corneum. The aim of this research was to observe the effects of NaHA on caffeine penetration as anticellulite active agent in three types of gel preparation: hydrogel, hydroalcoholic gel, and gel emulsion. Each gel type contained caffeine 1,5% and was varied into three formulas. Formula 1 contained HPMC 2% as gel basis; formula 2 contained HPMC 2% and NaHA 0,5%; formula 3 contained NaHA 2% as gel basis. Caffeine penetration properties were analyzed by Franz diffusion cell in vitro test using rat skin as membrane. Percent caffeine penetration of hydrogel formula 1, 2, 3 were 9,41 ± 0,01%; 11,74 ± 0,13%; 16,32 ± 0,03%, respectively. Percent caffeine penetration of hydroalcoholic gel formula…","author":[{"dropping-particle":"","family":"Djajadisastra","given":"Joshita","non-dropping-particle":"","parse-names":false,"suffix":""},{"dropping-particle":"","family":"Dzuhro","given":"Zuraida Syafara","non-dropping-particle":"","parse-names":false,"suffix":""},{"dropping-particle":"","family":"Sutriyo","given":"Sutriyo","non-dropping-particle":"","parse-names":false,"suffix":""}],"container-title":"Pharmaceutical Sciences and Research","id":"ITEM-1","issue":"1","issued":{"date-parts":[["2014"]]},"page":"46-63","title":"Pengaruh Natrium Hialuronat terhadap Penetrasi Kofein Sebagai Antiselulit dalam Sediaan Hidrogel, Hidroalkoholik Gel, dan Emulsi Gel","type":"article-journal","volume":"1"},"uris":["http://www.mendeley.com/documents/?uuid=b5c0c6dc-f5dd-4b11-b2d6-ba0a058f6793"]}],"mendeley":{"formattedCitation":"[7]","manualFormatting":"[7]","plainTextFormattedCitation":"[7]","previouslyFormattedCitation":"[7]"},"properties":{"noteIndex":0},"schema":"https://github.com/citation-style-language/schema/raw/master/csl-citation.json"}</w:instrText>
      </w:r>
      <w:r>
        <w:rPr>
          <w:rFonts w:ascii="Tw Cen MT" w:hAnsi="Tw Cen MT"/>
          <w:sz w:val="24"/>
          <w:szCs w:val="24"/>
        </w:rPr>
        <w:fldChar w:fldCharType="separate"/>
      </w:r>
      <w:r>
        <w:rPr>
          <w:rFonts w:ascii="Tw Cen MT" w:hAnsi="Tw Cen MT"/>
          <w:noProof/>
          <w:sz w:val="24"/>
          <w:szCs w:val="24"/>
        </w:rPr>
        <w:t>[</w:t>
      </w:r>
      <w:r w:rsidR="00B01D8D">
        <w:rPr>
          <w:rFonts w:ascii="Tw Cen MT" w:hAnsi="Tw Cen MT"/>
          <w:noProof/>
          <w:sz w:val="24"/>
          <w:szCs w:val="24"/>
        </w:rPr>
        <w:t>7</w:t>
      </w:r>
      <w:r>
        <w:rPr>
          <w:rFonts w:ascii="Tw Cen MT" w:hAnsi="Tw Cen MT"/>
          <w:noProof/>
          <w:sz w:val="24"/>
          <w:szCs w:val="24"/>
        </w:rPr>
        <w:t>]</w:t>
      </w:r>
      <w:r>
        <w:rPr>
          <w:rFonts w:ascii="Tw Cen MT" w:hAnsi="Tw Cen MT"/>
          <w:sz w:val="24"/>
          <w:szCs w:val="24"/>
        </w:rPr>
        <w:fldChar w:fldCharType="end"/>
      </w:r>
      <w:r w:rsidR="00574A70">
        <w:rPr>
          <w:rFonts w:ascii="Tw Cen MT" w:hAnsi="Tw Cen MT"/>
          <w:sz w:val="24"/>
          <w:szCs w:val="24"/>
        </w:rPr>
        <w:t>.</w:t>
      </w:r>
    </w:p>
    <w:p w14:paraId="50BF5677" w14:textId="3E4CD615" w:rsidR="00574A70" w:rsidRPr="00CE3A9B" w:rsidRDefault="00574A70" w:rsidP="00574A70">
      <w:pPr>
        <w:pStyle w:val="ListParagraph"/>
        <w:spacing w:line="240" w:lineRule="auto"/>
        <w:ind w:left="0" w:firstLine="567"/>
        <w:jc w:val="both"/>
        <w:rPr>
          <w:rFonts w:ascii="Tw Cen MT" w:hAnsi="Tw Cen MT"/>
          <w:color w:val="FF0000"/>
          <w:sz w:val="24"/>
          <w:szCs w:val="24"/>
        </w:rPr>
      </w:pPr>
      <w:r>
        <w:rPr>
          <w:rFonts w:ascii="Tw Cen MT" w:hAnsi="Tw Cen MT"/>
          <w:sz w:val="24"/>
          <w:szCs w:val="24"/>
        </w:rPr>
        <w:t xml:space="preserve"> </w:t>
      </w:r>
      <w:r w:rsidR="00BA573A" w:rsidRPr="0023299C">
        <w:rPr>
          <w:rFonts w:ascii="Tw Cen MT" w:hAnsi="Tw Cen MT"/>
          <w:sz w:val="24"/>
          <w:szCs w:val="24"/>
        </w:rPr>
        <w:t xml:space="preserve">Hidrogel </w:t>
      </w:r>
      <w:r w:rsidR="00536FD2" w:rsidRPr="0023299C">
        <w:rPr>
          <w:rFonts w:ascii="Tw Cen MT" w:hAnsi="Tw Cen MT"/>
          <w:sz w:val="24"/>
          <w:szCs w:val="24"/>
        </w:rPr>
        <w:t>membentuk</w:t>
      </w:r>
      <w:r w:rsidR="00BA573A" w:rsidRPr="0023299C">
        <w:rPr>
          <w:rFonts w:ascii="Tw Cen MT" w:hAnsi="Tw Cen MT"/>
          <w:sz w:val="24"/>
          <w:szCs w:val="24"/>
        </w:rPr>
        <w:t xml:space="preserve"> lapisan pada kulit wajah yang berfungsi sebagai pengunci untuk mencegah penguapan, </w:t>
      </w:r>
      <w:r w:rsidR="00A972EA" w:rsidRPr="0023299C">
        <w:rPr>
          <w:rFonts w:ascii="Tw Cen MT" w:hAnsi="Tw Cen MT"/>
          <w:sz w:val="24"/>
          <w:szCs w:val="24"/>
        </w:rPr>
        <w:t xml:space="preserve">sehingga </w:t>
      </w:r>
      <w:r w:rsidR="00BA573A" w:rsidRPr="0023299C">
        <w:rPr>
          <w:rFonts w:ascii="Tw Cen MT" w:hAnsi="Tw Cen MT"/>
          <w:sz w:val="24"/>
          <w:szCs w:val="24"/>
        </w:rPr>
        <w:t xml:space="preserve">kulit dapat menyerap lebih banyak nutrisi dengan lebih efektif. </w:t>
      </w:r>
      <w:r w:rsidRPr="0023299C">
        <w:rPr>
          <w:rFonts w:ascii="Tw Cen MT" w:hAnsi="Tw Cen MT"/>
          <w:sz w:val="24"/>
          <w:szCs w:val="24"/>
        </w:rPr>
        <w:t>Oleh karena itu, pada penelitian ini h</w:t>
      </w:r>
      <w:r w:rsidR="00536FD2" w:rsidRPr="0023299C">
        <w:rPr>
          <w:rFonts w:ascii="Tw Cen MT" w:hAnsi="Tw Cen MT"/>
          <w:sz w:val="24"/>
          <w:szCs w:val="24"/>
        </w:rPr>
        <w:t>i</w:t>
      </w:r>
      <w:r w:rsidRPr="0023299C">
        <w:rPr>
          <w:rFonts w:ascii="Tw Cen MT" w:hAnsi="Tw Cen MT"/>
          <w:sz w:val="24"/>
          <w:szCs w:val="24"/>
        </w:rPr>
        <w:t xml:space="preserve">drogel diformulasikan dengan mengandung bahan antiaging seperti antioksidan yang </w:t>
      </w:r>
      <w:r w:rsidR="00BA573A" w:rsidRPr="0023299C">
        <w:rPr>
          <w:rFonts w:ascii="Tw Cen MT" w:hAnsi="Tw Cen MT"/>
          <w:sz w:val="24"/>
          <w:szCs w:val="24"/>
        </w:rPr>
        <w:t xml:space="preserve">berasal dari kulit tanaman buah naga, </w:t>
      </w:r>
      <w:r w:rsidRPr="0023299C">
        <w:rPr>
          <w:rFonts w:ascii="Tw Cen MT" w:hAnsi="Tw Cen MT"/>
          <w:sz w:val="24"/>
          <w:szCs w:val="24"/>
        </w:rPr>
        <w:t>diharapkan dapat membantu mengurangi garis-garis halus kerutan, sehingga menghasilkan penampilan yang lebih muda</w:t>
      </w:r>
      <w:r w:rsidR="00935A7E" w:rsidRPr="0023299C">
        <w:rPr>
          <w:rFonts w:ascii="Tw Cen MT" w:hAnsi="Tw Cen MT"/>
          <w:sz w:val="24"/>
          <w:szCs w:val="24"/>
        </w:rPr>
        <w:t xml:space="preserve"> </w:t>
      </w:r>
      <w:r w:rsidR="00B01D8D" w:rsidRPr="0023299C">
        <w:rPr>
          <w:rFonts w:ascii="Tw Cen MT" w:hAnsi="Tw Cen MT"/>
          <w:sz w:val="24"/>
          <w:szCs w:val="24"/>
        </w:rPr>
        <w:t>[8]</w:t>
      </w:r>
      <w:r w:rsidRPr="0023299C">
        <w:rPr>
          <w:rFonts w:ascii="Tw Cen MT" w:hAnsi="Tw Cen MT"/>
          <w:sz w:val="24"/>
          <w:szCs w:val="24"/>
        </w:rPr>
        <w:t xml:space="preserve"> </w:t>
      </w:r>
    </w:p>
    <w:p w14:paraId="4DEC5952"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METODE PENELITIAN</w:t>
      </w:r>
    </w:p>
    <w:p w14:paraId="7F2B71CE"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Alat dan Bahan</w:t>
      </w:r>
    </w:p>
    <w:p w14:paraId="40B9F5EE" w14:textId="77777777" w:rsidR="002C1B6E" w:rsidRDefault="00AB5BE7">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sz w:val="24"/>
          <w:szCs w:val="24"/>
        </w:rPr>
        <w:t>Alat yang digunakan adalah timbangan analitik (</w:t>
      </w:r>
      <w:r>
        <w:rPr>
          <w:rFonts w:ascii="Tw Cen MT" w:hAnsi="Tw Cen MT"/>
          <w:i/>
          <w:sz w:val="24"/>
          <w:szCs w:val="24"/>
        </w:rPr>
        <w:t>Denver Top Balance SI-6002</w:t>
      </w:r>
      <w:r>
        <w:rPr>
          <w:rFonts w:ascii="Tw Cen MT" w:hAnsi="Tw Cen MT"/>
          <w:sz w:val="24"/>
          <w:szCs w:val="24"/>
        </w:rPr>
        <w:t>), gelas kimia (Pyrex®), gelas ukur (Pyrex®), mortir dan stamper, cawan penguap, oven (</w:t>
      </w:r>
      <w:r>
        <w:rPr>
          <w:rFonts w:ascii="Tw Cen MT" w:hAnsi="Tw Cen MT"/>
          <w:i/>
          <w:iCs/>
          <w:sz w:val="24"/>
          <w:szCs w:val="24"/>
        </w:rPr>
        <w:t>Memmert UN 55 53L</w:t>
      </w:r>
      <w:proofErr w:type="gramStart"/>
      <w:r>
        <w:rPr>
          <w:rFonts w:ascii="Tw Cen MT" w:hAnsi="Tw Cen MT"/>
          <w:i/>
          <w:iCs/>
          <w:sz w:val="24"/>
          <w:szCs w:val="24"/>
        </w:rPr>
        <w:t>®</w:t>
      </w:r>
      <w:r>
        <w:rPr>
          <w:rFonts w:ascii="Tw Cen MT" w:hAnsi="Tw Cen MT"/>
          <w:sz w:val="24"/>
          <w:szCs w:val="24"/>
        </w:rPr>
        <w:t xml:space="preserve"> )</w:t>
      </w:r>
      <w:proofErr w:type="gramEnd"/>
      <w:r>
        <w:rPr>
          <w:rFonts w:ascii="Tw Cen MT" w:hAnsi="Tw Cen MT"/>
          <w:sz w:val="24"/>
          <w:szCs w:val="24"/>
        </w:rPr>
        <w:t>, rotary evaporator (IKA RV10® ), viskometer Brookfield (</w:t>
      </w:r>
      <w:r>
        <w:rPr>
          <w:rFonts w:ascii="Tw Cen MT" w:hAnsi="Tw Cen MT"/>
          <w:i/>
          <w:iCs/>
          <w:sz w:val="24"/>
          <w:szCs w:val="24"/>
        </w:rPr>
        <w:t xml:space="preserve">Brookfield Viscometer DV-E Series® </w:t>
      </w:r>
      <w:r>
        <w:rPr>
          <w:rFonts w:ascii="Tw Cen MT" w:hAnsi="Tw Cen MT"/>
          <w:sz w:val="24"/>
          <w:szCs w:val="24"/>
        </w:rPr>
        <w:t>), pH meter (</w:t>
      </w:r>
      <w:r>
        <w:rPr>
          <w:rFonts w:ascii="Tw Cen MT" w:hAnsi="Tw Cen MT"/>
          <w:i/>
          <w:iCs/>
          <w:sz w:val="24"/>
          <w:szCs w:val="24"/>
        </w:rPr>
        <w:t>Power of hydrogen®</w:t>
      </w:r>
      <w:r>
        <w:rPr>
          <w:rFonts w:ascii="Tw Cen MT" w:hAnsi="Tw Cen MT"/>
          <w:sz w:val="24"/>
          <w:szCs w:val="24"/>
        </w:rPr>
        <w:t xml:space="preserve"> ), corong Buchner, dan Sentrifuge. Bahan yang </w:t>
      </w:r>
      <w:r>
        <w:rPr>
          <w:rFonts w:ascii="Tw Cen MT" w:hAnsi="Tw Cen MT"/>
          <w:sz w:val="24"/>
          <w:szCs w:val="24"/>
        </w:rPr>
        <w:lastRenderedPageBreak/>
        <w:t xml:space="preserve">digunakan adalah </w:t>
      </w:r>
      <w:r>
        <w:rPr>
          <w:rFonts w:ascii="Tw Cen MT" w:hAnsi="Tw Cen MT" w:cs="Times New Roman"/>
          <w:sz w:val="24"/>
          <w:szCs w:val="24"/>
        </w:rPr>
        <w:t>adalah aqua destilasi, karbopol 940, ekstrak kulit buah naga, propilen glikol, metil paraben, propil paraben dan TEA (tritanolamin).</w:t>
      </w:r>
    </w:p>
    <w:p w14:paraId="391C7C4F" w14:textId="77777777" w:rsidR="002C1B6E" w:rsidRDefault="002C1B6E">
      <w:pPr>
        <w:tabs>
          <w:tab w:val="left" w:pos="709"/>
          <w:tab w:val="left" w:pos="851"/>
          <w:tab w:val="left" w:pos="1134"/>
        </w:tabs>
        <w:spacing w:after="0" w:line="240" w:lineRule="auto"/>
        <w:jc w:val="both"/>
        <w:rPr>
          <w:rFonts w:ascii="Tw Cen MT" w:hAnsi="Tw Cen MT" w:cs="Times New Roman"/>
          <w:sz w:val="24"/>
          <w:szCs w:val="24"/>
        </w:rPr>
      </w:pPr>
    </w:p>
    <w:p w14:paraId="14D9BC2B" w14:textId="77777777" w:rsidR="002C1B6E" w:rsidRDefault="00AB5BE7">
      <w:pPr>
        <w:tabs>
          <w:tab w:val="left" w:pos="709"/>
          <w:tab w:val="left" w:pos="851"/>
          <w:tab w:val="left" w:pos="1134"/>
        </w:tabs>
        <w:spacing w:after="0" w:line="240" w:lineRule="auto"/>
        <w:jc w:val="both"/>
        <w:rPr>
          <w:rFonts w:ascii="Tw Cen MT" w:hAnsi="Tw Cen MT" w:cs="Times New Roman"/>
          <w:b/>
          <w:sz w:val="24"/>
          <w:szCs w:val="24"/>
        </w:rPr>
      </w:pPr>
      <w:r>
        <w:rPr>
          <w:rFonts w:ascii="Tw Cen MT" w:hAnsi="Tw Cen MT" w:cs="Times New Roman"/>
          <w:b/>
          <w:sz w:val="24"/>
          <w:szCs w:val="24"/>
        </w:rPr>
        <w:t>Pengambilan Sampel</w:t>
      </w:r>
    </w:p>
    <w:p w14:paraId="00146C75" w14:textId="77777777" w:rsidR="002C1B6E" w:rsidRDefault="00AB5BE7">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Sampel yang digunakan pada penelitian ini adalah buah naga super merah (</w:t>
      </w:r>
      <w:r>
        <w:rPr>
          <w:rFonts w:ascii="Tw Cen MT" w:hAnsi="Tw Cen MT" w:cs="Times New Roman"/>
          <w:i/>
          <w:sz w:val="24"/>
          <w:szCs w:val="24"/>
        </w:rPr>
        <w:t>Selenicereus costaricensis</w:t>
      </w:r>
      <w:r>
        <w:rPr>
          <w:rFonts w:ascii="Tw Cen MT" w:hAnsi="Tw Cen MT" w:cs="Times New Roman"/>
          <w:sz w:val="24"/>
          <w:szCs w:val="24"/>
        </w:rPr>
        <w:t>) segar yang diambl sebanyak 4 kg yang diperoleh dari Gaduik, Kabupaten Agam, Sumatera Barat.</w:t>
      </w:r>
    </w:p>
    <w:p w14:paraId="2A9165C6" w14:textId="77777777" w:rsidR="002C1B6E" w:rsidRDefault="002C1B6E">
      <w:pPr>
        <w:tabs>
          <w:tab w:val="left" w:pos="709"/>
          <w:tab w:val="left" w:pos="851"/>
          <w:tab w:val="left" w:pos="1134"/>
        </w:tabs>
        <w:spacing w:after="0" w:line="240" w:lineRule="auto"/>
        <w:jc w:val="both"/>
        <w:rPr>
          <w:rFonts w:ascii="Tw Cen MT" w:hAnsi="Tw Cen MT" w:cs="Times New Roman"/>
          <w:sz w:val="24"/>
          <w:szCs w:val="24"/>
        </w:rPr>
      </w:pPr>
    </w:p>
    <w:p w14:paraId="26FA2949" w14:textId="77777777" w:rsidR="002C1B6E" w:rsidRDefault="00AB5BE7">
      <w:pPr>
        <w:tabs>
          <w:tab w:val="left" w:pos="709"/>
          <w:tab w:val="left" w:pos="851"/>
          <w:tab w:val="left" w:pos="1134"/>
        </w:tabs>
        <w:spacing w:after="0" w:line="240" w:lineRule="auto"/>
        <w:jc w:val="both"/>
        <w:rPr>
          <w:rFonts w:ascii="Tw Cen MT" w:hAnsi="Tw Cen MT" w:cs="Times New Roman"/>
          <w:b/>
          <w:sz w:val="24"/>
          <w:szCs w:val="24"/>
        </w:rPr>
      </w:pPr>
      <w:r>
        <w:rPr>
          <w:rFonts w:ascii="Tw Cen MT" w:hAnsi="Tw Cen MT" w:cs="Times New Roman"/>
          <w:b/>
          <w:sz w:val="24"/>
          <w:szCs w:val="24"/>
        </w:rPr>
        <w:t>Determinacy tanaman</w:t>
      </w:r>
      <w:r>
        <w:rPr>
          <w:rFonts w:ascii="Tw Cen MT" w:hAnsi="Tw Cen MT" w:cs="Times New Roman"/>
          <w:b/>
          <w:sz w:val="24"/>
          <w:szCs w:val="24"/>
        </w:rPr>
        <w:tab/>
      </w:r>
    </w:p>
    <w:p w14:paraId="660E9A27" w14:textId="77777777" w:rsidR="002C1B6E" w:rsidRDefault="00AB5BE7">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Determinasi tanaman dilakukan di Hebarium FMIPA Universitas Andalas (ANDA) Padang.</w:t>
      </w:r>
    </w:p>
    <w:p w14:paraId="593CB2B1" w14:textId="77777777" w:rsidR="002C1B6E" w:rsidRDefault="002C1B6E">
      <w:pPr>
        <w:tabs>
          <w:tab w:val="left" w:pos="709"/>
          <w:tab w:val="left" w:pos="851"/>
          <w:tab w:val="left" w:pos="1134"/>
        </w:tabs>
        <w:spacing w:after="0" w:line="240" w:lineRule="auto"/>
        <w:jc w:val="both"/>
        <w:rPr>
          <w:rFonts w:ascii="Tw Cen MT" w:hAnsi="Tw Cen MT" w:cs="Times New Roman"/>
          <w:sz w:val="24"/>
          <w:szCs w:val="24"/>
        </w:rPr>
      </w:pPr>
    </w:p>
    <w:p w14:paraId="08A0190E" w14:textId="77777777" w:rsidR="002C1B6E" w:rsidRDefault="00AB5BE7">
      <w:pPr>
        <w:tabs>
          <w:tab w:val="left" w:pos="709"/>
          <w:tab w:val="left" w:pos="851"/>
          <w:tab w:val="left" w:pos="1134"/>
        </w:tabs>
        <w:spacing w:after="0" w:line="240" w:lineRule="auto"/>
        <w:jc w:val="both"/>
        <w:rPr>
          <w:rFonts w:ascii="Tw Cen MT" w:hAnsi="Tw Cen MT" w:cs="Times New Roman"/>
          <w:b/>
          <w:sz w:val="24"/>
          <w:szCs w:val="24"/>
        </w:rPr>
      </w:pPr>
      <w:r>
        <w:rPr>
          <w:rFonts w:ascii="Tw Cen MT" w:hAnsi="Tw Cen MT" w:cs="Times New Roman"/>
          <w:b/>
          <w:sz w:val="24"/>
          <w:szCs w:val="24"/>
        </w:rPr>
        <w:t>Penyiapan Sampel</w:t>
      </w:r>
    </w:p>
    <w:p w14:paraId="40916762" w14:textId="04F842D7" w:rsidR="002C1B6E" w:rsidRDefault="00AB5BE7">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Buah naga dicuci bersih dan dikupas untuk memisahkan</w:t>
      </w:r>
      <w:r w:rsidR="00A972EA">
        <w:rPr>
          <w:rFonts w:ascii="Tw Cen MT" w:hAnsi="Tw Cen MT" w:cs="Times New Roman"/>
          <w:sz w:val="24"/>
          <w:szCs w:val="24"/>
        </w:rPr>
        <w:t xml:space="preserve"> </w:t>
      </w:r>
      <w:r>
        <w:rPr>
          <w:rFonts w:ascii="Tw Cen MT" w:hAnsi="Tw Cen MT" w:cs="Times New Roman"/>
          <w:sz w:val="24"/>
          <w:szCs w:val="24"/>
        </w:rPr>
        <w:t>daging bua</w:t>
      </w:r>
      <w:r w:rsidR="00E31888">
        <w:rPr>
          <w:rFonts w:ascii="Tw Cen MT" w:hAnsi="Tw Cen MT" w:cs="Times New Roman"/>
          <w:sz w:val="24"/>
          <w:szCs w:val="24"/>
        </w:rPr>
        <w:t>h</w:t>
      </w:r>
      <w:r>
        <w:rPr>
          <w:rFonts w:ascii="Tw Cen MT" w:hAnsi="Tw Cen MT" w:cs="Times New Roman"/>
          <w:sz w:val="24"/>
          <w:szCs w:val="24"/>
        </w:rPr>
        <w:t xml:space="preserve"> d</w:t>
      </w:r>
      <w:r w:rsidR="00935A7E">
        <w:rPr>
          <w:rFonts w:ascii="Tw Cen MT" w:hAnsi="Tw Cen MT" w:cs="Times New Roman"/>
          <w:sz w:val="24"/>
          <w:szCs w:val="24"/>
        </w:rPr>
        <w:t>ari</w:t>
      </w:r>
      <w:r>
        <w:rPr>
          <w:rFonts w:ascii="Tw Cen MT" w:hAnsi="Tw Cen MT" w:cs="Times New Roman"/>
          <w:sz w:val="24"/>
          <w:szCs w:val="24"/>
        </w:rPr>
        <w:t xml:space="preserve"> kulitnya</w:t>
      </w:r>
      <w:r w:rsidR="00935A7E">
        <w:rPr>
          <w:rFonts w:ascii="Tw Cen MT" w:hAnsi="Tw Cen MT" w:cs="Times New Roman"/>
          <w:sz w:val="24"/>
          <w:szCs w:val="24"/>
        </w:rPr>
        <w:t>. K</w:t>
      </w:r>
      <w:r>
        <w:rPr>
          <w:rFonts w:ascii="Tw Cen MT" w:hAnsi="Tw Cen MT" w:cs="Times New Roman"/>
          <w:sz w:val="24"/>
          <w:szCs w:val="24"/>
        </w:rPr>
        <w:t>emudian</w:t>
      </w:r>
      <w:r w:rsidR="00935A7E">
        <w:rPr>
          <w:rFonts w:ascii="Tw Cen MT" w:hAnsi="Tw Cen MT" w:cs="Times New Roman"/>
          <w:sz w:val="24"/>
          <w:szCs w:val="24"/>
        </w:rPr>
        <w:t xml:space="preserve"> kulit buah</w:t>
      </w:r>
      <w:r>
        <w:rPr>
          <w:rFonts w:ascii="Tw Cen MT" w:hAnsi="Tw Cen MT" w:cs="Times New Roman"/>
          <w:sz w:val="24"/>
          <w:szCs w:val="24"/>
        </w:rPr>
        <w:t xml:space="preserve"> dipotong dadu dan diblender halus sampai menjadi bubur</w:t>
      </w:r>
    </w:p>
    <w:p w14:paraId="6C9887FB" w14:textId="77777777" w:rsidR="002C1B6E" w:rsidRDefault="002C1B6E">
      <w:pPr>
        <w:spacing w:after="0" w:line="240" w:lineRule="auto"/>
        <w:jc w:val="both"/>
        <w:rPr>
          <w:rFonts w:ascii="Tw Cen MT" w:eastAsia="Twentieth Century" w:hAnsi="Tw Cen MT" w:cs="Twentieth Century"/>
          <w:b/>
          <w:sz w:val="24"/>
          <w:szCs w:val="24"/>
        </w:rPr>
      </w:pPr>
    </w:p>
    <w:p w14:paraId="32A596EE"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Proses Ekstraksi </w:t>
      </w:r>
    </w:p>
    <w:p w14:paraId="159BEDEC" w14:textId="3D611A0F" w:rsidR="002C1B6E" w:rsidRDefault="00AB5BE7">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Proses ekstraksi dilakukan menggunakan teknik esktraksi ultrasonik (</w:t>
      </w:r>
      <w:r>
        <w:rPr>
          <w:rFonts w:ascii="Tw Cen MT" w:eastAsia="Twentieth Century" w:hAnsi="Tw Cen MT" w:cs="Twentieth Century"/>
          <w:i/>
          <w:sz w:val="24"/>
          <w:szCs w:val="24"/>
        </w:rPr>
        <w:t>Ultrasonic Assisted</w:t>
      </w:r>
      <w:r>
        <w:rPr>
          <w:rFonts w:ascii="Tw Cen MT" w:eastAsia="Twentieth Century" w:hAnsi="Tw Cen MT" w:cs="Twentieth Century"/>
          <w:sz w:val="24"/>
          <w:szCs w:val="24"/>
        </w:rPr>
        <w:t>), sebanyak 600 g kulit buah naga super merah dihomogenkan de</w:t>
      </w:r>
      <w:r w:rsidR="00646EED">
        <w:rPr>
          <w:rFonts w:ascii="Tw Cen MT" w:eastAsia="Twentieth Century" w:hAnsi="Tw Cen MT" w:cs="Twentieth Century"/>
          <w:sz w:val="24"/>
          <w:szCs w:val="24"/>
        </w:rPr>
        <w:t>ngan</w:t>
      </w:r>
      <w:r>
        <w:rPr>
          <w:rFonts w:ascii="Tw Cen MT" w:eastAsia="Twentieth Century" w:hAnsi="Tw Cen MT" w:cs="Twentieth Century"/>
          <w:sz w:val="24"/>
          <w:szCs w:val="24"/>
        </w:rPr>
        <w:t xml:space="preserve"> 300 ml air suling 2:1 (b/v). Campuran kemudian ditempatkan dalam </w:t>
      </w:r>
      <w:r>
        <w:rPr>
          <w:rFonts w:ascii="Tw Cen MT" w:eastAsia="Twentieth Century" w:hAnsi="Tw Cen MT" w:cs="Twentieth Century"/>
          <w:i/>
          <w:sz w:val="24"/>
          <w:szCs w:val="24"/>
        </w:rPr>
        <w:t xml:space="preserve">ultrasonic bath </w:t>
      </w:r>
      <w:r>
        <w:rPr>
          <w:rFonts w:ascii="Tw Cen MT" w:eastAsia="Twentieth Century" w:hAnsi="Tw Cen MT" w:cs="Twentieth Century"/>
          <w:sz w:val="24"/>
          <w:szCs w:val="24"/>
        </w:rPr>
        <w:t xml:space="preserve">dan disonikasi pada 50KHz selama 30 menit dan di tambahkan es batu agar suhu konstan 25°C. Ampasnya dipisahkan dari ekstrak menggunakan corong </w:t>
      </w:r>
      <w:r>
        <w:rPr>
          <w:rFonts w:ascii="Tw Cen MT" w:eastAsia="Twentieth Century" w:hAnsi="Tw Cen MT" w:cs="Twentieth Century"/>
          <w:i/>
          <w:sz w:val="24"/>
          <w:szCs w:val="24"/>
        </w:rPr>
        <w:t xml:space="preserve">Buchner funnel </w:t>
      </w:r>
      <w:r>
        <w:rPr>
          <w:rFonts w:ascii="Tw Cen MT" w:eastAsia="Twentieth Century" w:hAnsi="Tw Cen MT" w:cs="Twentieth Century"/>
          <w:sz w:val="24"/>
          <w:szCs w:val="24"/>
        </w:rPr>
        <w:t xml:space="preserve">melalui kertas saring </w:t>
      </w:r>
      <w:r>
        <w:rPr>
          <w:rFonts w:ascii="Tw Cen MT" w:eastAsia="Twentieth Century" w:hAnsi="Tw Cen MT" w:cs="Twentieth Century"/>
          <w:i/>
          <w:sz w:val="24"/>
          <w:szCs w:val="24"/>
        </w:rPr>
        <w:t xml:space="preserve">Whatman </w:t>
      </w:r>
      <w:r>
        <w:rPr>
          <w:rFonts w:ascii="Tw Cen MT" w:eastAsia="Twentieth Century" w:hAnsi="Tw Cen MT" w:cs="Twentieth Century"/>
          <w:sz w:val="24"/>
          <w:szCs w:val="24"/>
        </w:rPr>
        <w:t>No. 1 sehingga di</w:t>
      </w:r>
      <w:r w:rsidR="0023299C">
        <w:rPr>
          <w:rFonts w:ascii="Tw Cen MT" w:eastAsia="Twentieth Century" w:hAnsi="Tw Cen MT" w:cs="Twentieth Century"/>
          <w:sz w:val="24"/>
          <w:szCs w:val="24"/>
        </w:rPr>
        <w:t>peroleh larutan berwarna. Ampas kulit di</w:t>
      </w:r>
      <w:r>
        <w:rPr>
          <w:rFonts w:ascii="Tw Cen MT" w:eastAsia="Twentieth Century" w:hAnsi="Tw Cen MT" w:cs="Twentieth Century"/>
          <w:sz w:val="24"/>
          <w:szCs w:val="24"/>
        </w:rPr>
        <w:t>eks</w:t>
      </w:r>
      <w:r w:rsidR="00646EED">
        <w:rPr>
          <w:rFonts w:ascii="Tw Cen MT" w:eastAsia="Twentieth Century" w:hAnsi="Tw Cen MT" w:cs="Twentieth Century"/>
          <w:sz w:val="24"/>
          <w:szCs w:val="24"/>
        </w:rPr>
        <w:t>tr</w:t>
      </w:r>
      <w:r>
        <w:rPr>
          <w:rFonts w:ascii="Tw Cen MT" w:eastAsia="Twentieth Century" w:hAnsi="Tw Cen MT" w:cs="Twentieth Century"/>
          <w:sz w:val="24"/>
          <w:szCs w:val="24"/>
        </w:rPr>
        <w:t xml:space="preserve">aksi kembali dengan aquadest sebanyak 3 kali. Ekstrak kemudian disentrifugasi pada 6000 rpm selama 15 menit pada suhu kamar dan superntannya disimpan pada suhu 4°C untuk menjaga kestabilan </w:t>
      </w:r>
      <w:r w:rsidR="0023299C">
        <w:rPr>
          <w:rFonts w:ascii="Tw Cen MT" w:eastAsia="Twentieth Century" w:hAnsi="Tw Cen MT" w:cs="Twentieth Century"/>
          <w:sz w:val="24"/>
          <w:szCs w:val="24"/>
        </w:rPr>
        <w:t xml:space="preserve">warna ekstrak sebelum digunakan </w:t>
      </w:r>
      <w:r w:rsidR="0023299C">
        <w:rPr>
          <w:rFonts w:ascii="Tw Cen MT" w:eastAsia="Twentieth Century" w:hAnsi="Tw Cen MT" w:cs="Twentieth Century"/>
          <w:sz w:val="24"/>
          <w:szCs w:val="24"/>
        </w:rPr>
        <w:fldChar w:fldCharType="begin" w:fldLock="1"/>
      </w:r>
      <w:r w:rsidR="00E97529">
        <w:rPr>
          <w:rFonts w:ascii="Tw Cen MT" w:eastAsia="Twentieth Century" w:hAnsi="Tw Cen MT" w:cs="Twentieth Century"/>
          <w:sz w:val="24"/>
          <w:szCs w:val="24"/>
        </w:rPr>
        <w:instrText>ADDIN CSL_CITATION {"citationItems":[{"id":"ITEM-1","itemData":{"DOI":"10.22487/j24428744.2019.v5.i2.13498","ISSN":"2442-7284","abstract":"The rind of dragon fruit (Hylocereus lemairel (Hook.) Britton &amp; Rose) is a waste material that has not been optimally utilized. The rind contains betacyanin pigment that has many benefits in pharmaceutical products. The study aimed to characterize the physicochemical properties, to evaluate the stability and to apply betacyanin in dragon fruit rind as a natural dye. The extraction process was done by using water as solvent which was sonicated at 50 kHz for 30 minutes at 25 °C. Extract was freeze dried for 48 hours. The dried extract was purified by using preparative TLC and physicochemically analyzed by using UV-Vis and FTIR spectrophotometer. The stability of betacyanin extract against pH and temperature was examined and applied as a dye in tablet imprinting. The result of this study indicated that betacyanin was found at Rf value of 0.6 same as the betacyanin standard. The maximum wavelength of betacyanin was obtained at 534 nm and the IR spectra showed similarity with betacyanin standard with the same functional groups between 4000-600 cm-1 although there was a slight shift in the wavenumber but it still in the range. The stability study were stable at temperature below 40 °C and at range pH 4-6. Betacyanin applications as natural dye of tablet have been successfully carried out with good color stability during 3 months of storage at room temperature.","author":[{"dropping-particle":"","family":"Asra","given":"Ridho","non-dropping-particle":"","parse-names":false,"suffix":""},{"dropping-particle":"","family":"Yetti","given":"Rina Desni","non-dropping-particle":"","parse-names":false,"suffix":""},{"dropping-particle":"","family":"Rusdi","given":"Rusdi","non-dropping-particle":"","parse-names":false,"suffix":""},{"dropping-particle":"","family":"Audina","given":"Selly","non-dropping-particle":"","parse-names":false,"suffix":""},{"dropping-particle":"","family":"Nessa","given":"Nessa","non-dropping-particle":"","parse-names":false,"suffix":""}],"container-title":"Jurnal Farmasi Galenika (Galenika Journal of Pharmacy) (e-Journal)","id":"ITEM-1","issue":"2","issued":{"date-parts":[["2019"]]},"page":"140-146","title":"Studi Fisikokimia Betasianin Dalam Kulit Buah Naga dan Aplikasinya Sebagai Pewarna Merah Alami Sediaan Farmasi","type":"article-journal","volume":"5"},"uris":["http://www.mendeley.com/documents/?uuid=6834eb64-cb4b-4486-aea9-1c628d61db1f"]}],"mendeley":{"formattedCitation":"[8]","plainTextFormattedCitation":"[8]","previouslyFormattedCitation":"[8]"},"properties":{"noteIndex":0},"schema":"https://github.com/citation-style-language/schema/raw/master/csl-citation.json"}</w:instrText>
      </w:r>
      <w:r w:rsidR="0023299C">
        <w:rPr>
          <w:rFonts w:ascii="Tw Cen MT" w:eastAsia="Twentieth Century" w:hAnsi="Tw Cen MT" w:cs="Twentieth Century"/>
          <w:sz w:val="24"/>
          <w:szCs w:val="24"/>
        </w:rPr>
        <w:fldChar w:fldCharType="separate"/>
      </w:r>
      <w:r w:rsidR="0045676F" w:rsidRPr="0045676F">
        <w:rPr>
          <w:rFonts w:ascii="Tw Cen MT" w:eastAsia="Twentieth Century" w:hAnsi="Tw Cen MT" w:cs="Twentieth Century"/>
          <w:noProof/>
          <w:sz w:val="24"/>
          <w:szCs w:val="24"/>
        </w:rPr>
        <w:t>[8]</w:t>
      </w:r>
      <w:r w:rsidR="0023299C">
        <w:rPr>
          <w:rFonts w:ascii="Tw Cen MT" w:eastAsia="Twentieth Century" w:hAnsi="Tw Cen MT" w:cs="Twentieth Century"/>
          <w:sz w:val="24"/>
          <w:szCs w:val="24"/>
        </w:rPr>
        <w:fldChar w:fldCharType="end"/>
      </w:r>
    </w:p>
    <w:p w14:paraId="1A0338D3" w14:textId="77777777" w:rsidR="002C1B6E" w:rsidRDefault="002C1B6E">
      <w:pPr>
        <w:spacing w:after="0" w:line="240" w:lineRule="auto"/>
        <w:jc w:val="both"/>
        <w:rPr>
          <w:rFonts w:ascii="Tw Cen MT" w:eastAsia="Twentieth Century" w:hAnsi="Tw Cen MT" w:cs="Twentieth Century"/>
          <w:sz w:val="24"/>
          <w:szCs w:val="24"/>
        </w:rPr>
      </w:pPr>
    </w:p>
    <w:p w14:paraId="08A7B213"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Rancangan Formula</w:t>
      </w:r>
    </w:p>
    <w:p w14:paraId="246737F4"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1. Formula Hidrogel</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025"/>
        <w:gridCol w:w="779"/>
        <w:gridCol w:w="779"/>
        <w:gridCol w:w="779"/>
        <w:gridCol w:w="944"/>
      </w:tblGrid>
      <w:tr w:rsidR="002C1B6E" w14:paraId="51E2A7C1" w14:textId="77777777">
        <w:trPr>
          <w:jc w:val="center"/>
        </w:trPr>
        <w:tc>
          <w:tcPr>
            <w:tcW w:w="1025" w:type="dxa"/>
            <w:vMerge w:val="restart"/>
            <w:vAlign w:val="center"/>
          </w:tcPr>
          <w:p w14:paraId="26DA5632" w14:textId="77777777" w:rsidR="002C1B6E" w:rsidRDefault="00AB5BE7">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 xml:space="preserve">Nama </w:t>
            </w:r>
            <w:r>
              <w:rPr>
                <w:rFonts w:ascii="Tw Cen MT" w:eastAsia="Twentieth Century" w:hAnsi="Tw Cen MT" w:cs="Twentieth Century"/>
                <w:b/>
                <w:sz w:val="20"/>
                <w:szCs w:val="20"/>
              </w:rPr>
              <w:t>Bahan</w:t>
            </w:r>
          </w:p>
        </w:tc>
        <w:tc>
          <w:tcPr>
            <w:tcW w:w="3281" w:type="dxa"/>
            <w:gridSpan w:val="4"/>
            <w:vAlign w:val="center"/>
          </w:tcPr>
          <w:p w14:paraId="21298BBD" w14:textId="77777777" w:rsidR="002C1B6E" w:rsidRDefault="00AB5BE7">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Konsentrasi</w:t>
            </w:r>
          </w:p>
        </w:tc>
      </w:tr>
      <w:tr w:rsidR="002C1B6E" w14:paraId="690C9039" w14:textId="77777777">
        <w:trPr>
          <w:jc w:val="center"/>
        </w:trPr>
        <w:tc>
          <w:tcPr>
            <w:tcW w:w="1025" w:type="dxa"/>
            <w:vMerge/>
            <w:vAlign w:val="center"/>
          </w:tcPr>
          <w:p w14:paraId="7F4A65A2" w14:textId="77777777" w:rsidR="002C1B6E" w:rsidRDefault="002C1B6E">
            <w:pPr>
              <w:jc w:val="center"/>
              <w:rPr>
                <w:rFonts w:ascii="Tw Cen MT" w:eastAsia="Twentieth Century" w:hAnsi="Tw Cen MT" w:cs="Twentieth Century"/>
                <w:sz w:val="20"/>
                <w:szCs w:val="20"/>
              </w:rPr>
            </w:pPr>
          </w:p>
        </w:tc>
        <w:tc>
          <w:tcPr>
            <w:tcW w:w="779" w:type="dxa"/>
            <w:vAlign w:val="center"/>
          </w:tcPr>
          <w:p w14:paraId="642A05D7"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779" w:type="dxa"/>
            <w:vAlign w:val="center"/>
          </w:tcPr>
          <w:p w14:paraId="3B2EEB0A"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779" w:type="dxa"/>
            <w:vAlign w:val="center"/>
          </w:tcPr>
          <w:p w14:paraId="11FBA19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944" w:type="dxa"/>
            <w:vAlign w:val="center"/>
          </w:tcPr>
          <w:p w14:paraId="7D741312"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r>
      <w:tr w:rsidR="002C1B6E" w14:paraId="6363182F" w14:textId="77777777">
        <w:trPr>
          <w:jc w:val="center"/>
        </w:trPr>
        <w:tc>
          <w:tcPr>
            <w:tcW w:w="1025" w:type="dxa"/>
            <w:vAlign w:val="center"/>
          </w:tcPr>
          <w:p w14:paraId="2205D01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Ekstrak</w:t>
            </w:r>
          </w:p>
        </w:tc>
        <w:tc>
          <w:tcPr>
            <w:tcW w:w="779" w:type="dxa"/>
            <w:vAlign w:val="center"/>
          </w:tcPr>
          <w:p w14:paraId="540E00F0" w14:textId="77777777" w:rsidR="002C1B6E" w:rsidRDefault="00AB5BE7">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w:t>
            </w:r>
          </w:p>
        </w:tc>
        <w:tc>
          <w:tcPr>
            <w:tcW w:w="779" w:type="dxa"/>
            <w:vAlign w:val="center"/>
          </w:tcPr>
          <w:p w14:paraId="3846E28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779" w:type="dxa"/>
            <w:vAlign w:val="center"/>
          </w:tcPr>
          <w:p w14:paraId="126E6CF5"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2%</w:t>
            </w:r>
          </w:p>
        </w:tc>
        <w:tc>
          <w:tcPr>
            <w:tcW w:w="944" w:type="dxa"/>
            <w:vAlign w:val="center"/>
          </w:tcPr>
          <w:p w14:paraId="3156A0C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3%</w:t>
            </w:r>
          </w:p>
        </w:tc>
      </w:tr>
      <w:tr w:rsidR="002C1B6E" w14:paraId="398ADE3B" w14:textId="77777777">
        <w:trPr>
          <w:jc w:val="center"/>
        </w:trPr>
        <w:tc>
          <w:tcPr>
            <w:tcW w:w="1025" w:type="dxa"/>
            <w:vAlign w:val="center"/>
          </w:tcPr>
          <w:p w14:paraId="6BA3A2C1"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Carbopol 940</w:t>
            </w:r>
          </w:p>
        </w:tc>
        <w:tc>
          <w:tcPr>
            <w:tcW w:w="779" w:type="dxa"/>
            <w:vAlign w:val="center"/>
          </w:tcPr>
          <w:p w14:paraId="7FA7C497"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c>
          <w:tcPr>
            <w:tcW w:w="779" w:type="dxa"/>
            <w:vAlign w:val="center"/>
          </w:tcPr>
          <w:p w14:paraId="622DC612"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c>
          <w:tcPr>
            <w:tcW w:w="779" w:type="dxa"/>
            <w:vAlign w:val="center"/>
          </w:tcPr>
          <w:p w14:paraId="11148C10"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c>
          <w:tcPr>
            <w:tcW w:w="944" w:type="dxa"/>
            <w:vAlign w:val="center"/>
          </w:tcPr>
          <w:p w14:paraId="5C4E0E63"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r>
      <w:tr w:rsidR="002C1B6E" w14:paraId="35B252E3" w14:textId="77777777">
        <w:trPr>
          <w:jc w:val="center"/>
        </w:trPr>
        <w:tc>
          <w:tcPr>
            <w:tcW w:w="1025" w:type="dxa"/>
            <w:vAlign w:val="center"/>
          </w:tcPr>
          <w:p w14:paraId="1F7C575A" w14:textId="0534A8B0"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Nipa</w:t>
            </w:r>
            <w:r w:rsidR="00646EED">
              <w:rPr>
                <w:rFonts w:ascii="Tw Cen MT" w:eastAsia="Twentieth Century" w:hAnsi="Tw Cen MT" w:cs="Twentieth Century"/>
                <w:sz w:val="20"/>
                <w:szCs w:val="20"/>
              </w:rPr>
              <w:t>sol</w:t>
            </w:r>
          </w:p>
        </w:tc>
        <w:tc>
          <w:tcPr>
            <w:tcW w:w="779" w:type="dxa"/>
            <w:vAlign w:val="center"/>
          </w:tcPr>
          <w:p w14:paraId="002FC9FA"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c>
          <w:tcPr>
            <w:tcW w:w="779" w:type="dxa"/>
            <w:vAlign w:val="center"/>
          </w:tcPr>
          <w:p w14:paraId="44642ABA"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c>
          <w:tcPr>
            <w:tcW w:w="779" w:type="dxa"/>
            <w:vAlign w:val="center"/>
          </w:tcPr>
          <w:p w14:paraId="51C7F02C"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c>
          <w:tcPr>
            <w:tcW w:w="944" w:type="dxa"/>
            <w:vAlign w:val="center"/>
          </w:tcPr>
          <w:p w14:paraId="7E559E9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r>
      <w:tr w:rsidR="002C1B6E" w14:paraId="737411B0" w14:textId="77777777">
        <w:trPr>
          <w:jc w:val="center"/>
        </w:trPr>
        <w:tc>
          <w:tcPr>
            <w:tcW w:w="1025" w:type="dxa"/>
            <w:vAlign w:val="center"/>
          </w:tcPr>
          <w:p w14:paraId="15229952"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Nipagin</w:t>
            </w:r>
          </w:p>
        </w:tc>
        <w:tc>
          <w:tcPr>
            <w:tcW w:w="779" w:type="dxa"/>
            <w:vAlign w:val="center"/>
          </w:tcPr>
          <w:p w14:paraId="6B60A3D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c>
          <w:tcPr>
            <w:tcW w:w="779" w:type="dxa"/>
            <w:vAlign w:val="center"/>
          </w:tcPr>
          <w:p w14:paraId="757B8DFB"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c>
          <w:tcPr>
            <w:tcW w:w="779" w:type="dxa"/>
            <w:vAlign w:val="center"/>
          </w:tcPr>
          <w:p w14:paraId="2002CCA6"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c>
          <w:tcPr>
            <w:tcW w:w="944" w:type="dxa"/>
            <w:vAlign w:val="center"/>
          </w:tcPr>
          <w:p w14:paraId="2671B687"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r>
      <w:tr w:rsidR="002C1B6E" w14:paraId="6CA5F342" w14:textId="77777777">
        <w:trPr>
          <w:jc w:val="center"/>
        </w:trPr>
        <w:tc>
          <w:tcPr>
            <w:tcW w:w="1025" w:type="dxa"/>
            <w:vAlign w:val="center"/>
          </w:tcPr>
          <w:p w14:paraId="46D77311"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Propilen Glikol</w:t>
            </w:r>
          </w:p>
        </w:tc>
        <w:tc>
          <w:tcPr>
            <w:tcW w:w="779" w:type="dxa"/>
            <w:vAlign w:val="center"/>
          </w:tcPr>
          <w:p w14:paraId="52661CD4"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c>
          <w:tcPr>
            <w:tcW w:w="779" w:type="dxa"/>
            <w:vAlign w:val="center"/>
          </w:tcPr>
          <w:p w14:paraId="326CE00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c>
          <w:tcPr>
            <w:tcW w:w="779" w:type="dxa"/>
            <w:vAlign w:val="center"/>
          </w:tcPr>
          <w:p w14:paraId="15DC80A2"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c>
          <w:tcPr>
            <w:tcW w:w="944" w:type="dxa"/>
            <w:vAlign w:val="center"/>
          </w:tcPr>
          <w:p w14:paraId="473F90E1"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r>
      <w:tr w:rsidR="002C1B6E" w14:paraId="1224D68B" w14:textId="77777777">
        <w:trPr>
          <w:jc w:val="center"/>
        </w:trPr>
        <w:tc>
          <w:tcPr>
            <w:tcW w:w="1025" w:type="dxa"/>
            <w:vAlign w:val="center"/>
          </w:tcPr>
          <w:p w14:paraId="35721DEB"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TEA</w:t>
            </w:r>
          </w:p>
        </w:tc>
        <w:tc>
          <w:tcPr>
            <w:tcW w:w="779" w:type="dxa"/>
            <w:vAlign w:val="center"/>
          </w:tcPr>
          <w:p w14:paraId="75F28C6C"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779" w:type="dxa"/>
            <w:vAlign w:val="center"/>
          </w:tcPr>
          <w:p w14:paraId="7501F315"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779" w:type="dxa"/>
            <w:vAlign w:val="center"/>
          </w:tcPr>
          <w:p w14:paraId="66D7638A"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944" w:type="dxa"/>
            <w:vAlign w:val="center"/>
          </w:tcPr>
          <w:p w14:paraId="7012892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r>
      <w:tr w:rsidR="002C1B6E" w14:paraId="0F43D231" w14:textId="77777777">
        <w:trPr>
          <w:jc w:val="center"/>
        </w:trPr>
        <w:tc>
          <w:tcPr>
            <w:tcW w:w="1025" w:type="dxa"/>
            <w:vAlign w:val="center"/>
          </w:tcPr>
          <w:p w14:paraId="2A4754A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Aquadest</w:t>
            </w:r>
          </w:p>
        </w:tc>
        <w:tc>
          <w:tcPr>
            <w:tcW w:w="779" w:type="dxa"/>
            <w:vAlign w:val="center"/>
          </w:tcPr>
          <w:p w14:paraId="0D8799C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c>
          <w:tcPr>
            <w:tcW w:w="779" w:type="dxa"/>
            <w:vAlign w:val="center"/>
          </w:tcPr>
          <w:p w14:paraId="262364F3"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c>
          <w:tcPr>
            <w:tcW w:w="779" w:type="dxa"/>
            <w:vAlign w:val="center"/>
          </w:tcPr>
          <w:p w14:paraId="36E48935"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c>
          <w:tcPr>
            <w:tcW w:w="944" w:type="dxa"/>
            <w:vAlign w:val="center"/>
          </w:tcPr>
          <w:p w14:paraId="7870824E"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r>
    </w:tbl>
    <w:p w14:paraId="37E34BFC" w14:textId="77777777" w:rsidR="002C1B6E" w:rsidRDefault="002C1B6E">
      <w:pPr>
        <w:spacing w:after="0" w:line="240" w:lineRule="auto"/>
        <w:jc w:val="both"/>
        <w:rPr>
          <w:rFonts w:ascii="Tw Cen MT" w:eastAsia="Twentieth Century" w:hAnsi="Tw Cen MT" w:cs="Twentieth Century"/>
          <w:b/>
          <w:sz w:val="24"/>
          <w:szCs w:val="24"/>
        </w:rPr>
      </w:pPr>
    </w:p>
    <w:p w14:paraId="25E6E681"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Pembuatan Sediaan Hidrogel</w:t>
      </w:r>
    </w:p>
    <w:p w14:paraId="2625A22E" w14:textId="5360298D" w:rsidR="002C1B6E" w:rsidRDefault="00AB5BE7">
      <w:pPr>
        <w:spacing w:line="240" w:lineRule="auto"/>
        <w:jc w:val="both"/>
        <w:rPr>
          <w:rFonts w:ascii="Tw Cen MT" w:hAnsi="Tw Cen MT"/>
          <w:sz w:val="24"/>
          <w:szCs w:val="24"/>
        </w:rPr>
      </w:pPr>
      <w:r>
        <w:rPr>
          <w:rFonts w:ascii="Tw Cen MT" w:hAnsi="Tw Cen MT"/>
          <w:sz w:val="24"/>
          <w:szCs w:val="24"/>
        </w:rPr>
        <w:t>Zat aktif yang digunakan dalam pembuatan sedian hidrogel berasal dari 2 metode ekstraksi. Pembuatan sedian hidrogel dimulai dengan mengembangkan carbomer 940 dengan cara didiamkan dengan 20</w:t>
      </w:r>
      <w:r>
        <w:rPr>
          <w:rFonts w:hAnsi="Tw Cen MT"/>
          <w:sz w:val="24"/>
          <w:szCs w:val="24"/>
        </w:rPr>
        <w:t xml:space="preserve"> </w:t>
      </w:r>
      <w:r>
        <w:rPr>
          <w:rFonts w:ascii="Tw Cen MT" w:hAnsi="Tw Cen MT"/>
          <w:sz w:val="24"/>
          <w:szCs w:val="24"/>
        </w:rPr>
        <w:t xml:space="preserve">ml aquadest selama 24 </w:t>
      </w:r>
      <w:proofErr w:type="gramStart"/>
      <w:r>
        <w:rPr>
          <w:rFonts w:ascii="Tw Cen MT" w:hAnsi="Tw Cen MT"/>
          <w:sz w:val="24"/>
          <w:szCs w:val="24"/>
        </w:rPr>
        <w:t>jam</w:t>
      </w:r>
      <w:proofErr w:type="gramEnd"/>
      <w:r>
        <w:rPr>
          <w:rFonts w:ascii="Tw Cen MT" w:hAnsi="Tw Cen MT"/>
          <w:sz w:val="24"/>
          <w:szCs w:val="24"/>
        </w:rPr>
        <w:t>. Kemudian carbomer 940 yang telah dikembangkan</w:t>
      </w:r>
      <w:r w:rsidR="00646EED">
        <w:rPr>
          <w:rFonts w:ascii="Tw Cen MT" w:hAnsi="Tw Cen MT"/>
          <w:sz w:val="24"/>
          <w:szCs w:val="24"/>
        </w:rPr>
        <w:t xml:space="preserve"> dit</w:t>
      </w:r>
      <w:r>
        <w:rPr>
          <w:rFonts w:ascii="Tw Cen MT" w:hAnsi="Tw Cen MT"/>
          <w:sz w:val="24"/>
          <w:szCs w:val="24"/>
        </w:rPr>
        <w:t>ambahkan dengan TEA sebagai alkalizing agent (massa 1).</w:t>
      </w:r>
    </w:p>
    <w:p w14:paraId="76B42CE7" w14:textId="1AD326BE" w:rsidR="002C1B6E" w:rsidRDefault="00AB5BE7">
      <w:pPr>
        <w:spacing w:after="0" w:line="240" w:lineRule="auto"/>
        <w:jc w:val="both"/>
        <w:rPr>
          <w:rFonts w:ascii="Tw Cen MT" w:hAnsi="Tw Cen MT" w:cs="Times New Roman"/>
          <w:sz w:val="24"/>
          <w:szCs w:val="24"/>
        </w:rPr>
      </w:pPr>
      <w:r>
        <w:rPr>
          <w:rFonts w:ascii="Tw Cen MT" w:hAnsi="Tw Cen MT" w:cs="Times New Roman"/>
          <w:sz w:val="24"/>
          <w:szCs w:val="24"/>
        </w:rPr>
        <w:t xml:space="preserve">Kemudian nipasol dan nipagin di larutkan dalam 10ml propilen glikol dan diaduk dengan </w:t>
      </w:r>
      <w:r>
        <w:rPr>
          <w:rFonts w:ascii="Tw Cen MT" w:hAnsi="Tw Cen MT" w:cs="Times New Roman"/>
          <w:i/>
          <w:sz w:val="24"/>
          <w:szCs w:val="24"/>
        </w:rPr>
        <w:t>magnetic stirrer</w:t>
      </w:r>
      <w:r>
        <w:rPr>
          <w:rFonts w:ascii="Tw Cen MT" w:hAnsi="Tw Cen MT" w:cs="Times New Roman"/>
          <w:sz w:val="24"/>
          <w:szCs w:val="24"/>
        </w:rPr>
        <w:t xml:space="preserve"> sampai homogen. Propil paraben dan methyil paraben digunakan sebagai pengawet dan propilen glikol digunakan sebagai humektan (massa 2) setelah itu campurkan massa 2 kedalam massa 1 dan tambahkan ekstrak kulit buah naga</w:t>
      </w:r>
      <w:r w:rsidR="0023299C">
        <w:rPr>
          <w:rFonts w:ascii="Tw Cen MT" w:hAnsi="Tw Cen MT" w:cs="Times New Roman"/>
          <w:sz w:val="24"/>
          <w:szCs w:val="24"/>
        </w:rPr>
        <w:t xml:space="preserve"> </w:t>
      </w:r>
      <w:r w:rsidR="0023299C">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{"citationItems":[{"id":"ITEM-1","itemData":{"DOI":"10.36419/avicenna.v4i2.535","ISSN":"2615-6458","abstract":"This research aims to make the formulation of green tea Leaves extract (Camelia sinensis L) and determine the value of Sun Protection Factor (SPF) using UV-Vis spectrophotometry. The gel formulation was made in 5 formulas namely : F1 (without green teh extraxt), FII, FIII, FIV and FV with concentration 8 %,10%,12 % and 14 %. Based on phusical stability Test at three temperatur are 5o C, room temperatur dan 35o showed that the gel with green tea leaves extract concentration 8%,10%,12 % and 14 % met the requirement for the physical quality of the gel preparation. Determination of the SPF value obtained gel with concentration of green tea leaves extraxt 8%,10%,12 % having an SPF value of 9,6; 11,62 and 14,50 belong to maximum category while the concentration of 14 % gives an SPF value of 15,52 including the ultra category. The higher concentration of green tea leaves extraxt, the higher the SPF value obtained. Abstrak Penelitian ini bertujuan untuk membuat formula gel tabir surya ekstrak daun teh hijau (Camelia sinensis L) dan menentukan nilai Sun Protection Factor (SPF) dengan metode spektrofotometri UV. Formulasi gel dibuat dalam 5 formula yaitu :F1 (tanpa eksktrak daun teh hijau, FII,FIII,FIV dan FV masing-masing dengan konsentrasi 8%,10%,12% dan !$%. Uji kestabilan fisik dilakukan dengan penyimpanan sediaan pada tiga suhu yang berbeda yaitu suhu ruang, suhu 5 o C dan 35 o C. Hasil uji stabilitas fisik menunjukkan gel dengan kosentrasi ekstrak dauh teh hijau 8%,10%,12% dan 14% memenuhi syarat mutu fisik sediaan gel. Penentuan nilai SPF didapatkan sediaan","author":[{"dropping-particle":"","family":"Novitasari","given":"Meliana","non-dropping-particle":"","parse-names":false,"suffix":""},{"dropping-particle":"","family":"Amboro","given":"Wisnu","non-dropping-particle":"","parse-names":false,"suffix":""}],"container-title":"Avicenna : Journal of Health Research","id":"ITEM-1","issue":"2","issued":{"date-parts":[["2021"]]},"page":"77-86","title":"Formulasi Gel Tabir Surya Ekstrak Daun Teh Hijau (Camelia Sinensis) Dan Penentuan Nilai Sun Protection Factor (Spf)","type":"article-journal","volume":"4"},"uris":["http://www.mendeley.com/documents/?uuid=98a745ef-f3ec-4220-9c69-eb2909ef6195"]}],"mendeley":{"formattedCitation":"[9]","plainTextFormattedCitation":"[9]","previouslyFormattedCitation":"[9]"},"properties":{"noteIndex":0},"schema":"https://github.com/citation-style-language/schema/raw/master/csl-citation.json"}</w:instrText>
      </w:r>
      <w:r w:rsidR="0023299C">
        <w:rPr>
          <w:rFonts w:ascii="Tw Cen MT" w:hAnsi="Tw Cen MT" w:cs="Times New Roman"/>
          <w:sz w:val="24"/>
          <w:szCs w:val="24"/>
        </w:rPr>
        <w:fldChar w:fldCharType="separate"/>
      </w:r>
      <w:r w:rsidR="0045676F" w:rsidRPr="0045676F">
        <w:rPr>
          <w:rFonts w:ascii="Tw Cen MT" w:hAnsi="Tw Cen MT" w:cs="Times New Roman"/>
          <w:noProof/>
          <w:sz w:val="24"/>
          <w:szCs w:val="24"/>
        </w:rPr>
        <w:t>[9]</w:t>
      </w:r>
      <w:r w:rsidR="0023299C">
        <w:rPr>
          <w:rFonts w:ascii="Tw Cen MT" w:hAnsi="Tw Cen MT" w:cs="Times New Roman"/>
          <w:sz w:val="24"/>
          <w:szCs w:val="24"/>
        </w:rPr>
        <w:fldChar w:fldCharType="end"/>
      </w:r>
      <w:r>
        <w:rPr>
          <w:rFonts w:ascii="Tw Cen MT" w:hAnsi="Tw Cen MT" w:cs="Times New Roman"/>
          <w:sz w:val="24"/>
          <w:szCs w:val="24"/>
        </w:rPr>
        <w:t>.</w:t>
      </w:r>
    </w:p>
    <w:p w14:paraId="792BA355" w14:textId="77777777" w:rsidR="002C1B6E" w:rsidRDefault="002C1B6E">
      <w:pPr>
        <w:spacing w:after="0" w:line="240" w:lineRule="auto"/>
        <w:jc w:val="both"/>
        <w:rPr>
          <w:rFonts w:ascii="Tw Cen MT" w:hAnsi="Tw Cen MT" w:cs="Times New Roman"/>
          <w:sz w:val="24"/>
          <w:szCs w:val="24"/>
        </w:rPr>
      </w:pPr>
    </w:p>
    <w:p w14:paraId="1A25F92E" w14:textId="77777777" w:rsidR="002C1B6E" w:rsidRDefault="00AB5BE7">
      <w:pPr>
        <w:spacing w:after="0" w:line="240" w:lineRule="auto"/>
        <w:jc w:val="both"/>
        <w:rPr>
          <w:rFonts w:ascii="Tw Cen MT" w:hAnsi="Tw Cen MT" w:cs="Times New Roman"/>
          <w:b/>
          <w:sz w:val="24"/>
          <w:szCs w:val="24"/>
        </w:rPr>
      </w:pPr>
      <w:r>
        <w:rPr>
          <w:rFonts w:ascii="Tw Cen MT" w:hAnsi="Tw Cen MT" w:cs="Times New Roman"/>
          <w:b/>
          <w:sz w:val="24"/>
          <w:szCs w:val="24"/>
        </w:rPr>
        <w:t>EVALUASI MUTU SEDIAAN</w:t>
      </w:r>
    </w:p>
    <w:p w14:paraId="3DD51295" w14:textId="77777777" w:rsidR="002C1B6E" w:rsidRDefault="00AB5BE7">
      <w:pPr>
        <w:spacing w:after="0" w:line="240" w:lineRule="auto"/>
        <w:jc w:val="both"/>
        <w:rPr>
          <w:rFonts w:ascii="Tw Cen MT" w:hAnsi="Tw Cen MT" w:cs="Times New Roman"/>
          <w:b/>
          <w:sz w:val="24"/>
          <w:szCs w:val="24"/>
        </w:rPr>
      </w:pPr>
      <w:r>
        <w:rPr>
          <w:rFonts w:ascii="Tw Cen MT" w:hAnsi="Tw Cen MT" w:cs="Times New Roman"/>
          <w:b/>
          <w:sz w:val="24"/>
          <w:szCs w:val="24"/>
        </w:rPr>
        <w:t>Uji Organoleptis</w:t>
      </w:r>
    </w:p>
    <w:p w14:paraId="3236B2CD" w14:textId="1845F945" w:rsidR="002C1B6E" w:rsidRDefault="00AB5BE7">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Uji organoleptis dilakukan dengan melakukan pengamatan menggunakan panca indera untuk mengetahui bentuk, warna, dan bau dari sediaan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eastAsia="Twentieth Century" w:hAnsi="Tw Cen MT" w:cs="Twentieth Century"/>
          <w:sz w:val="24"/>
          <w:szCs w:val="24"/>
        </w:rPr>
        <w:t>.</w:t>
      </w:r>
    </w:p>
    <w:p w14:paraId="77761FB0" w14:textId="77777777" w:rsidR="002C1B6E" w:rsidRDefault="002C1B6E">
      <w:pPr>
        <w:spacing w:after="0" w:line="240" w:lineRule="auto"/>
        <w:jc w:val="both"/>
        <w:rPr>
          <w:rFonts w:ascii="Tw Cen MT" w:eastAsia="Twentieth Century" w:hAnsi="Tw Cen MT" w:cs="Twentieth Century"/>
          <w:sz w:val="24"/>
          <w:szCs w:val="24"/>
        </w:rPr>
      </w:pPr>
    </w:p>
    <w:p w14:paraId="09AA8C24"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Uji Homogenitas</w:t>
      </w:r>
    </w:p>
    <w:p w14:paraId="6ECEF573" w14:textId="2D0474DB" w:rsidR="002C1B6E" w:rsidRDefault="00AB5BE7">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Uji homogenitas dilakukan dengan cara mengoleskan sediaan hidrogel pada 2 kaca objek kemudian dilihat ada atau tidaknya butiran kasar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eastAsia="Twentieth Century" w:hAnsi="Tw Cen MT" w:cs="Twentieth Century"/>
          <w:sz w:val="24"/>
          <w:szCs w:val="24"/>
        </w:rPr>
        <w:t>.</w:t>
      </w:r>
    </w:p>
    <w:p w14:paraId="14AB3BB5" w14:textId="77777777" w:rsidR="002C1B6E" w:rsidRDefault="002C1B6E">
      <w:pPr>
        <w:spacing w:after="0" w:line="240" w:lineRule="auto"/>
        <w:jc w:val="both"/>
        <w:rPr>
          <w:rFonts w:ascii="Tw Cen MT" w:eastAsia="Twentieth Century" w:hAnsi="Tw Cen MT" w:cs="Twentieth Century"/>
          <w:sz w:val="24"/>
          <w:szCs w:val="24"/>
        </w:rPr>
      </w:pPr>
    </w:p>
    <w:p w14:paraId="081E5D35"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Uji Viskositas</w:t>
      </w:r>
    </w:p>
    <w:p w14:paraId="0FEA748D" w14:textId="03C054C1" w:rsidR="002C1B6E" w:rsidRDefault="00AB5BE7">
      <w:pPr>
        <w:spacing w:after="0" w:line="240" w:lineRule="auto"/>
        <w:jc w:val="both"/>
        <w:rPr>
          <w:rFonts w:ascii="Tw Cen MT" w:hAnsi="Tw Cen MT" w:cs="Times New Roman"/>
          <w:sz w:val="24"/>
          <w:szCs w:val="24"/>
        </w:rPr>
      </w:pPr>
      <w:r>
        <w:rPr>
          <w:rFonts w:ascii="Tw Cen MT" w:eastAsia="Twentieth Century" w:hAnsi="Tw Cen MT" w:cs="Twentieth Century"/>
          <w:sz w:val="24"/>
          <w:szCs w:val="24"/>
        </w:rPr>
        <w:lastRenderedPageBreak/>
        <w:t xml:space="preserve">Uji viskositas dilakukan dengan menggunakan </w:t>
      </w:r>
      <w:r>
        <w:rPr>
          <w:rFonts w:ascii="Tw Cen MT" w:eastAsia="Twentieth Century" w:hAnsi="Tw Cen MT" w:cs="Twentieth Century"/>
          <w:i/>
          <w:sz w:val="24"/>
          <w:szCs w:val="24"/>
        </w:rPr>
        <w:t xml:space="preserve">Spindle </w:t>
      </w:r>
      <w:r>
        <w:rPr>
          <w:rFonts w:ascii="Tw Cen MT" w:eastAsia="Twentieth Century" w:hAnsi="Tw Cen MT" w:cs="Twentieth Century"/>
          <w:sz w:val="24"/>
          <w:szCs w:val="24"/>
        </w:rPr>
        <w:t xml:space="preserve">no.4 dengan kecepatan 60 rpm. </w:t>
      </w:r>
      <w:r>
        <w:rPr>
          <w:rFonts w:ascii="Tw Cen MT" w:hAnsi="Tw Cen MT" w:cs="Times New Roman"/>
          <w:bCs/>
          <w:sz w:val="24"/>
          <w:szCs w:val="24"/>
        </w:rPr>
        <w:t xml:space="preserve">Biarkan jarum berputar sebanyak 7 kali lalu di stop dan dilihat hasil kemudian catat. Syarat </w:t>
      </w:r>
      <w:r>
        <w:rPr>
          <w:rFonts w:ascii="Tw Cen MT" w:hAnsi="Tw Cen MT" w:cs="Times New Roman"/>
          <w:sz w:val="24"/>
          <w:szCs w:val="24"/>
        </w:rPr>
        <w:t>Menurut SNI, nilai viskositas sedi</w:t>
      </w:r>
      <w:r w:rsidR="00E55BA3">
        <w:rPr>
          <w:rFonts w:ascii="Tw Cen MT" w:hAnsi="Tw Cen MT" w:cs="Times New Roman"/>
          <w:sz w:val="24"/>
          <w:szCs w:val="24"/>
        </w:rPr>
        <w:t xml:space="preserve">aan gel adalah 3.000-50.000 cPs </w:t>
      </w:r>
      <w:r w:rsidR="00E55BA3">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{"citationItems":[{"id":"ITEM-1","itemData":{"DOI":"10.33369/pendipa.7.2.259-264","ISSN":"2086-9363","abstract":"Gotu kola (Centella asiatica L. Urban) contains the active ingredient saponin, an asiaticoside compound that acts as an antibiotic and spurs the production of collagen I, a protein that accelerates the wound healing process. The purpose of this study was to formulate a gel material from ethanol extract of gotu kola herb that meets the requirements of a good gel. In this study, gotu kola saponins were obtained from the extraction process carried out using a stirred extractor at 65°C, 350 rpm and 30, 60, 90, 120, and 150 minutes. Identification of saponins was done using FTIR (Fourier Transform InfraRed). The gel formulation was made with concentrations of 5%, 10%, and 15%. A mass transfer coefficient of 0.01240 min-1 was obtained. The IR spectrum results showed the presence of O-H groups, C-H alkane groups (CH2, CH3), C=O carbonyl groups and C-O ester groups. The results of the evaluation carried out with the three gel concentrations in the organoleptic test, pH test, viscosity test, stability test, adhesion test and spread ability test met the requirements of a good gel.","author":[{"dropping-particle":"","family":"Pratiwi Dyah Indriyani","given":"","non-dropping-particle":"","parse-names":false,"suffix":""},{"dropping-particle":"","family":"Tyas Prasetyaningrum","given":"","non-dropping-particle":"","parse-names":false,"suffix":""},{"dropping-particle":"","family":"Lisa Adhani","given":"","non-dropping-particle":"","parse-names":false,"suffix":""}],"container-title":"PENDIPA Journal of Science Education","id":"ITEM-1","issue":"2","issued":{"date-parts":[["2023"]]},"page":"259-264","title":"Pembuatan Sediaan Gel Dari Ekstrak Herba Pegagan (Centella Asiatica L. Urban) Sebagai Obat Luka Sayat","type":"article-journal","volume":"7"},"uris":["http://www.mendeley.com/documents/?uuid=236902c6-476b-491f-9872-ba20dca49942"]}],"mendeley":{"formattedCitation":"[11]","plainTextFormattedCitation":"[11]","previouslyFormattedCitation":"[11]"},"properties":{"noteIndex":0},"schema":"https://github.com/citation-style-language/schema/raw/master/csl-citation.json"}</w:instrText>
      </w:r>
      <w:r w:rsidR="00E55BA3">
        <w:rPr>
          <w:rFonts w:ascii="Tw Cen MT" w:hAnsi="Tw Cen MT" w:cs="Times New Roman"/>
          <w:sz w:val="24"/>
          <w:szCs w:val="24"/>
        </w:rPr>
        <w:fldChar w:fldCharType="separate"/>
      </w:r>
      <w:r w:rsidR="0045676F" w:rsidRPr="0045676F">
        <w:rPr>
          <w:rFonts w:ascii="Tw Cen MT" w:hAnsi="Tw Cen MT" w:cs="Times New Roman"/>
          <w:noProof/>
          <w:sz w:val="24"/>
          <w:szCs w:val="24"/>
        </w:rPr>
        <w:t>[11]</w:t>
      </w:r>
      <w:r w:rsidR="00E55BA3">
        <w:rPr>
          <w:rFonts w:ascii="Tw Cen MT" w:hAnsi="Tw Cen MT" w:cs="Times New Roman"/>
          <w:sz w:val="24"/>
          <w:szCs w:val="24"/>
        </w:rPr>
        <w:fldChar w:fldCharType="end"/>
      </w:r>
    </w:p>
    <w:p w14:paraId="308604D7" w14:textId="77777777" w:rsidR="002C1B6E" w:rsidRDefault="002C1B6E">
      <w:pPr>
        <w:spacing w:after="0" w:line="240" w:lineRule="auto"/>
        <w:jc w:val="both"/>
        <w:rPr>
          <w:rFonts w:ascii="Tw Cen MT" w:hAnsi="Tw Cen MT" w:cs="Times New Roman"/>
          <w:sz w:val="24"/>
          <w:szCs w:val="24"/>
        </w:rPr>
      </w:pPr>
    </w:p>
    <w:p w14:paraId="207467C0" w14:textId="77777777" w:rsidR="002C1B6E" w:rsidRDefault="00AB5BE7">
      <w:pPr>
        <w:spacing w:after="0" w:line="240" w:lineRule="auto"/>
        <w:jc w:val="both"/>
        <w:rPr>
          <w:rFonts w:ascii="Tw Cen MT" w:hAnsi="Tw Cen MT" w:cs="Times New Roman"/>
          <w:b/>
          <w:sz w:val="24"/>
          <w:szCs w:val="24"/>
        </w:rPr>
      </w:pPr>
      <w:r>
        <w:rPr>
          <w:rFonts w:ascii="Tw Cen MT" w:hAnsi="Tw Cen MT" w:cs="Times New Roman"/>
          <w:b/>
          <w:sz w:val="24"/>
          <w:szCs w:val="24"/>
        </w:rPr>
        <w:t>Uji pH</w:t>
      </w:r>
    </w:p>
    <w:p w14:paraId="2CBCFAB5" w14:textId="0C2B97A0" w:rsidR="002C1B6E" w:rsidRDefault="00AB5BE7">
      <w:pPr>
        <w:spacing w:after="0" w:line="240" w:lineRule="auto"/>
        <w:jc w:val="both"/>
        <w:rPr>
          <w:rFonts w:ascii="Tw Cen MT" w:hAnsi="Tw Cen MT" w:cs="Times New Roman"/>
          <w:sz w:val="24"/>
          <w:szCs w:val="24"/>
        </w:rPr>
      </w:pPr>
      <w:r>
        <w:rPr>
          <w:rFonts w:ascii="Tw Cen MT" w:hAnsi="Tw Cen MT" w:cs="Times New Roman"/>
          <w:sz w:val="24"/>
          <w:szCs w:val="24"/>
        </w:rPr>
        <w:t xml:space="preserve">Uji pH dilakukan dengan menggunakan pH meter </w:t>
      </w:r>
      <w:r>
        <w:rPr>
          <w:rFonts w:ascii="Tw Cen MT" w:hAnsi="Tw Cen MT" w:cs="Times New Roman"/>
          <w:i/>
          <w:sz w:val="24"/>
          <w:szCs w:val="24"/>
        </w:rPr>
        <w:t>Universal</w:t>
      </w:r>
      <w:r>
        <w:rPr>
          <w:rFonts w:ascii="Tw Cen MT" w:hAnsi="Tw Cen MT" w:cs="Times New Roman"/>
          <w:sz w:val="24"/>
          <w:szCs w:val="24"/>
        </w:rPr>
        <w:t xml:space="preserve">. Sampel diambil </w:t>
      </w:r>
      <w:proofErr w:type="gramStart"/>
      <w:r>
        <w:rPr>
          <w:rFonts w:ascii="Tw Cen MT" w:hAnsi="Tw Cen MT" w:cs="Times New Roman"/>
          <w:sz w:val="24"/>
          <w:szCs w:val="24"/>
        </w:rPr>
        <w:t>0,5 gram</w:t>
      </w:r>
      <w:proofErr w:type="gramEnd"/>
      <w:r>
        <w:rPr>
          <w:rFonts w:ascii="Tw Cen MT" w:hAnsi="Tw Cen MT" w:cs="Times New Roman"/>
          <w:sz w:val="24"/>
          <w:szCs w:val="24"/>
        </w:rPr>
        <w:t xml:space="preserve"> kemudian dilarutkan dengan 10 ml air dan diukur menggunakan pH meter. Nilai pH yang baik adalah 4,5-6,5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hAnsi="Tw Cen MT" w:cs="Times New Roman"/>
          <w:sz w:val="24"/>
          <w:szCs w:val="24"/>
        </w:rPr>
        <w:t>.</w:t>
      </w:r>
    </w:p>
    <w:p w14:paraId="68EAAFF1" w14:textId="77777777" w:rsidR="002C1B6E" w:rsidRDefault="002C1B6E">
      <w:pPr>
        <w:spacing w:after="0" w:line="240" w:lineRule="auto"/>
        <w:jc w:val="both"/>
        <w:rPr>
          <w:rFonts w:ascii="Tw Cen MT" w:hAnsi="Tw Cen MT" w:cs="Times New Roman"/>
          <w:sz w:val="24"/>
          <w:szCs w:val="24"/>
        </w:rPr>
      </w:pPr>
    </w:p>
    <w:p w14:paraId="0E6CA79D" w14:textId="77777777" w:rsidR="002C1B6E" w:rsidRDefault="00AB5BE7">
      <w:pPr>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Freeze and Thaw</w:t>
      </w:r>
    </w:p>
    <w:p w14:paraId="7966FD8F" w14:textId="7D2A0FEB" w:rsidR="002C1B6E" w:rsidRDefault="00AB5BE7">
      <w:pPr>
        <w:spacing w:after="0" w:line="240" w:lineRule="auto"/>
        <w:jc w:val="both"/>
        <w:rPr>
          <w:rFonts w:ascii="Tw Cen MT" w:hAnsi="Tw Cen MT" w:cs="Times New Roman"/>
          <w:sz w:val="24"/>
          <w:szCs w:val="24"/>
        </w:rPr>
      </w:pPr>
      <w:r>
        <w:rPr>
          <w:rFonts w:ascii="Tw Cen MT" w:hAnsi="Tw Cen MT" w:cs="Times New Roman"/>
          <w:sz w:val="24"/>
          <w:szCs w:val="24"/>
        </w:rPr>
        <w:t>Penyimpanan krim pada dua suhu yang berbeda atau siklus freeze thaw untuk melihat pengaruh suhu terhadap stabilitas sediaan, gel ditempatkan pada suhu 4</w:t>
      </w:r>
      <w:r>
        <w:rPr>
          <w:rFonts w:ascii="Tw Cen MT" w:hAnsi="Tw Cen MT" w:cs="Times New Roman"/>
          <w:sz w:val="24"/>
          <w:szCs w:val="24"/>
          <w:vertAlign w:val="superscript"/>
        </w:rPr>
        <w:t>o</w:t>
      </w:r>
      <w:r>
        <w:rPr>
          <w:rFonts w:ascii="Tw Cen MT" w:hAnsi="Tw Cen MT" w:cs="Times New Roman"/>
          <w:sz w:val="24"/>
          <w:szCs w:val="24"/>
        </w:rPr>
        <w:t>C selama minimal 48 jam kemudian dipindahkan suhu 40</w:t>
      </w:r>
      <w:r>
        <w:rPr>
          <w:rFonts w:ascii="Tw Cen MT" w:hAnsi="Tw Cen MT" w:cs="Times New Roman"/>
          <w:sz w:val="24"/>
          <w:szCs w:val="24"/>
          <w:vertAlign w:val="superscript"/>
        </w:rPr>
        <w:t>o</w:t>
      </w:r>
      <w:r>
        <w:rPr>
          <w:rFonts w:ascii="Tw Cen MT" w:hAnsi="Tw Cen MT" w:cs="Times New Roman"/>
          <w:sz w:val="24"/>
          <w:szCs w:val="24"/>
        </w:rPr>
        <w:t xml:space="preserve">C selama minimal 48 jam (1 siklus). Uji dilakukan selama 3 siklus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hAnsi="Tw Cen MT" w:cs="Times New Roman"/>
          <w:sz w:val="24"/>
          <w:szCs w:val="24"/>
        </w:rPr>
        <w:t>.</w:t>
      </w:r>
    </w:p>
    <w:p w14:paraId="7F1A5ABF" w14:textId="77777777" w:rsidR="002C1B6E" w:rsidRDefault="002C1B6E">
      <w:pPr>
        <w:spacing w:after="0" w:line="240" w:lineRule="auto"/>
        <w:jc w:val="both"/>
        <w:rPr>
          <w:rFonts w:ascii="Tw Cen MT" w:hAnsi="Tw Cen MT" w:cs="Times New Roman"/>
          <w:sz w:val="24"/>
          <w:szCs w:val="24"/>
        </w:rPr>
      </w:pPr>
    </w:p>
    <w:p w14:paraId="31183EB5" w14:textId="77777777" w:rsidR="002C1B6E" w:rsidRDefault="00AB5BE7">
      <w:pPr>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Presentase Swelling</w:t>
      </w:r>
    </w:p>
    <w:p w14:paraId="1B84BADC" w14:textId="7BC8ED18" w:rsidR="002C1B6E" w:rsidRPr="0023299C" w:rsidRDefault="00AB5BE7" w:rsidP="0023299C">
      <w:pPr>
        <w:spacing w:after="0" w:line="240" w:lineRule="auto"/>
        <w:jc w:val="both"/>
        <w:rPr>
          <w:rFonts w:ascii="Tw Cen MT" w:hAnsi="Tw Cen MT" w:cs="Times New Roman"/>
          <w:sz w:val="24"/>
        </w:rPr>
      </w:pPr>
      <w:r>
        <w:rPr>
          <w:rFonts w:ascii="Tw Cen MT" w:hAnsi="Tw Cen MT" w:cs="Times New Roman"/>
          <w:sz w:val="24"/>
        </w:rPr>
        <w:t xml:space="preserve">Pengukuran rasio pengembangan (swelling) dengan cara 10gram hidrogel di </w:t>
      </w:r>
      <w:proofErr w:type="gramStart"/>
      <w:r>
        <w:rPr>
          <w:rFonts w:ascii="Tw Cen MT" w:hAnsi="Tw Cen MT" w:cs="Times New Roman"/>
          <w:sz w:val="24"/>
        </w:rPr>
        <w:t>rendam  ke</w:t>
      </w:r>
      <w:proofErr w:type="gramEnd"/>
      <w:r>
        <w:rPr>
          <w:rFonts w:ascii="Tw Cen MT" w:hAnsi="Tw Cen MT" w:cs="Times New Roman"/>
          <w:sz w:val="24"/>
        </w:rPr>
        <w:t xml:space="preserve"> dalam  aquabides selama 30 menit pada temperatur ruang. Berat hidrogel kering dan mengembang ditentukan dengan metode gravimetri. Sebelum menimbang hidrogel yang mengembang, dilakukan penghilangan sisa-sisa air pada permukaan hidrogel dengan menggunakan kertas saring yang ditempelkan pada permukaan hidrogel (proses </w:t>
      </w:r>
      <w:r>
        <w:rPr>
          <w:rFonts w:ascii="Tw Cen MT" w:hAnsi="Tw Cen MT" w:cs="Times New Roman"/>
          <w:i/>
          <w:sz w:val="24"/>
        </w:rPr>
        <w:t>blotting</w:t>
      </w:r>
      <w:r>
        <w:rPr>
          <w:rFonts w:ascii="Tw Cen MT" w:hAnsi="Tw Cen MT" w:cs="Times New Roman"/>
          <w:sz w:val="24"/>
        </w:rPr>
        <w:t xml:space="preserve">) </w:t>
      </w:r>
      <w:r>
        <w:rPr>
          <w:rFonts w:ascii="Tw Cen MT" w:hAnsi="Tw Cen MT" w:cs="Times New Roman"/>
          <w:sz w:val="24"/>
        </w:rPr>
        <w:fldChar w:fldCharType="begin" w:fldLock="1"/>
      </w:r>
      <w:r w:rsidR="00E97529">
        <w:rPr>
          <w:rFonts w:ascii="Tw Cen MT" w:hAnsi="Tw Cen MT" w:cs="Times New Roman"/>
          <w:sz w:val="24"/>
        </w:rPr>
        <w:instrText>ADDIN CSL_CITATION {"citationItems":[{"id":"ITEM-1","itemData":{"DOI":"10.22146/ajche.73716","ISSN":"26555409","abstract":"Chitosan is a natural polymer derived from different starting materials such as fish scales, crab and shrimp shells. Due to the advantages like biocompatibility and biodegradability, chitosan has been widely used in hydrogel development. This current study aims to make chitosan from shrimp shells, synthesize hydrogel from chitosan, and observe the effect of various chitosan preparation treatments on the properties of the hydrogel. The preparation of chitosan was carried out through demineralization, deproteinization, and deacetylation process. HCl concentration during demineralization and NaOH concentration during deproteinization were varied (1; 1,5; 2) M and (1; 1,5; 2) M, respectively. Chitin deacetylation was conducted using 60% (w/v) of NaOH at the temperature of 90o C for 120 min, and chitosan was resulted. Chitosan based hydrogel was then synthesized with the addition of alginate and glutaraldehyde. The effect of HCl and NaOH concentrations during demineralization and deproteinization on the deacetylation degree of chitosan was observed. The effect of deacetylation degree of chitosan on the degree of crosslinking and swelling property of the hydrogel were also evaluated. Chitosan resulted from this study has the optimum degree of deacetylation at 57.28 %, resulting from demineralization by using HCl 2M and deproteinization with NaOH 2 M. Higher deacetilation degree of chitosan causing the increase of the degree of cross-linking and decrease of the swelling capacity of the hydrogel. The highest degree of cross-linking is 78.85 %, and the swelling capacity is 47 %.","author":[{"dropping-particle":"","family":"Barleany","given":"Dhena Ria","non-dropping-particle":"","parse-names":false,"suffix":""},{"dropping-particle":"","family":"Jayanudin","given":"","non-dropping-particle":"","parse-names":false,"suffix":""},{"dropping-particle":"","family":"Nasihin","given":"","non-dropping-particle":"","parse-names":false,"suffix":""},{"dropping-particle":"","family":"Widiawati","given":"Mela","non-dropping-particle":"","parse-names":false,"suffix":""},{"dropping-particle":"","family":"Yulvianti","given":"Meri","non-dropping-particle":"","parse-names":false,"suffix":""},{"dropping-particle":"","family":"Sari","given":"Denni Kartika","non-dropping-particle":"","parse-names":false,"suffix":""},{"dropping-particle":"","family":"Gunawan","given":"Akbar","non-dropping-particle":"","parse-names":false,"suffix":""}],"container-title":"ASEAN Journal of Chemical Engineering","id":"ITEM-1","issue":"1","issued":{"date-parts":[["2023"]]},"page":"28-39","title":"Hydrogel Preparation from Shrimp Shell-Based Chitosan: The Degree of Crosslinking and Swelling Study","type":"article-journal","volume":"23"},"uris":["http://www.mendeley.com/documents/?uuid=19e5c96b-7c4c-440f-a494-c819aa51e952"]}],"mendeley":{"formattedCitation":"[12]","plainTextFormattedCitation":"[12]","previouslyFormattedCitation":"[12]"},"properties":{"noteIndex":0},"schema":"https://github.com/citation-style-language/schema/raw/master/csl-citation.json"}</w:instrText>
      </w:r>
      <w:r>
        <w:rPr>
          <w:rFonts w:ascii="Tw Cen MT" w:hAnsi="Tw Cen MT" w:cs="Times New Roman"/>
          <w:sz w:val="24"/>
        </w:rPr>
        <w:fldChar w:fldCharType="separate"/>
      </w:r>
      <w:r w:rsidR="0045676F" w:rsidRPr="0045676F">
        <w:rPr>
          <w:rFonts w:ascii="Tw Cen MT" w:hAnsi="Tw Cen MT" w:cs="Times New Roman"/>
          <w:noProof/>
          <w:sz w:val="24"/>
        </w:rPr>
        <w:t>[12]</w:t>
      </w:r>
      <w:r>
        <w:rPr>
          <w:rFonts w:ascii="Tw Cen MT" w:hAnsi="Tw Cen MT" w:cs="Times New Roman"/>
          <w:sz w:val="24"/>
        </w:rPr>
        <w:fldChar w:fldCharType="end"/>
      </w:r>
      <w:r>
        <w:rPr>
          <w:rFonts w:ascii="Tw Cen MT" w:hAnsi="Tw Cen MT" w:cs="Times New Roman"/>
          <w:sz w:val="24"/>
        </w:rPr>
        <w:t>. Persen swelling ditentukan dengan:</w:t>
      </w:r>
    </w:p>
    <w:p w14:paraId="4E014258" w14:textId="77777777" w:rsidR="002C1B6E" w:rsidRDefault="00AB5BE7">
      <w:pPr>
        <w:tabs>
          <w:tab w:val="left" w:pos="2552"/>
          <w:tab w:val="left" w:pos="2835"/>
        </w:tabs>
        <w:spacing w:line="240" w:lineRule="auto"/>
        <w:jc w:val="both"/>
        <w:rPr>
          <w:rFonts w:ascii="Tw Cen MT" w:hAnsi="Tw Cen MT"/>
          <w:sz w:val="24"/>
          <w:szCs w:val="24"/>
        </w:rPr>
      </w:pPr>
      <w:r>
        <w:rPr>
          <w:rFonts w:ascii="Tw Cen MT" w:hAnsi="Tw Cen MT"/>
          <w:sz w:val="24"/>
          <w:szCs w:val="24"/>
        </w:rPr>
        <w:t xml:space="preserve">Rasio </w:t>
      </w:r>
      <w:r>
        <w:rPr>
          <w:rFonts w:ascii="Tw Cen MT" w:hAnsi="Tw Cen MT"/>
          <w:i/>
          <w:sz w:val="24"/>
          <w:szCs w:val="24"/>
        </w:rPr>
        <w:t xml:space="preserve">swelling </w:t>
      </w:r>
      <w:r>
        <w:rPr>
          <w:rFonts w:ascii="Tw Cen MT" w:hAnsi="Tw Cen MT"/>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 xml:space="preserve">Ws-Wd </m:t>
            </m:r>
          </m:num>
          <m:den>
            <m:r>
              <m:rPr>
                <m:sty m:val="p"/>
              </m:rPr>
              <w:rPr>
                <w:rFonts w:ascii="Cambria Math" w:hAnsi="Cambria Math"/>
                <w:sz w:val="24"/>
                <w:szCs w:val="24"/>
              </w:rPr>
              <m:t>Wd</m:t>
            </m:r>
          </m:den>
        </m:f>
      </m:oMath>
      <w:r>
        <w:rPr>
          <w:rFonts w:ascii="Tw Cen MT" w:hAnsi="Tw Cen MT"/>
          <w:sz w:val="24"/>
          <w:szCs w:val="24"/>
        </w:rPr>
        <w:t xml:space="preserve"> x 100%</w:t>
      </w:r>
    </w:p>
    <w:p w14:paraId="050745B4" w14:textId="77777777" w:rsidR="002C1B6E" w:rsidRDefault="00AB5BE7">
      <w:pPr>
        <w:spacing w:line="240" w:lineRule="auto"/>
        <w:jc w:val="both"/>
        <w:rPr>
          <w:rFonts w:ascii="Tw Cen MT" w:hAnsi="Tw Cen MT"/>
          <w:sz w:val="24"/>
          <w:szCs w:val="24"/>
        </w:rPr>
      </w:pPr>
      <w:r>
        <w:rPr>
          <w:rFonts w:ascii="Tw Cen MT" w:hAnsi="Tw Cen MT" w:cs="Times New Roman"/>
          <w:sz w:val="24"/>
          <w:szCs w:val="24"/>
        </w:rPr>
        <w:t xml:space="preserve">Ws = </w:t>
      </w:r>
      <w:r>
        <w:rPr>
          <w:rFonts w:ascii="Tw Cen MT" w:hAnsi="Tw Cen MT"/>
          <w:sz w:val="24"/>
          <w:szCs w:val="24"/>
        </w:rPr>
        <w:t xml:space="preserve">Berat hidrogel saat mengembang </w:t>
      </w:r>
    </w:p>
    <w:p w14:paraId="0309B03C" w14:textId="77777777" w:rsidR="002C1B6E" w:rsidRDefault="00AB5BE7">
      <w:pPr>
        <w:tabs>
          <w:tab w:val="left" w:pos="2552"/>
          <w:tab w:val="left" w:pos="2835"/>
        </w:tabs>
        <w:spacing w:line="240" w:lineRule="auto"/>
        <w:jc w:val="both"/>
        <w:rPr>
          <w:rFonts w:ascii="Tw Cen MT" w:hAnsi="Tw Cen MT"/>
          <w:sz w:val="24"/>
          <w:szCs w:val="24"/>
        </w:rPr>
      </w:pPr>
      <w:r>
        <w:rPr>
          <w:rFonts w:ascii="Tw Cen MT" w:hAnsi="Tw Cen MT"/>
          <w:sz w:val="24"/>
          <w:szCs w:val="24"/>
        </w:rPr>
        <w:t>Wd = Berat hidrogel kering (</w:t>
      </w:r>
      <w:r>
        <w:rPr>
          <w:rFonts w:ascii="Tw Cen MT" w:hAnsi="Tw Cen MT"/>
          <w:i/>
          <w:sz w:val="24"/>
          <w:szCs w:val="24"/>
        </w:rPr>
        <w:t>dry</w:t>
      </w:r>
      <w:r>
        <w:rPr>
          <w:rFonts w:ascii="Tw Cen MT" w:hAnsi="Tw Cen MT"/>
          <w:sz w:val="24"/>
          <w:szCs w:val="24"/>
        </w:rPr>
        <w:t xml:space="preserve">) </w:t>
      </w:r>
    </w:p>
    <w:p w14:paraId="25BA96DC" w14:textId="77777777" w:rsidR="002C1B6E" w:rsidRDefault="002C1B6E">
      <w:pPr>
        <w:spacing w:after="0" w:line="240" w:lineRule="auto"/>
        <w:jc w:val="both"/>
        <w:rPr>
          <w:rFonts w:ascii="Tw Cen MT" w:eastAsia="Twentieth Century" w:hAnsi="Tw Cen MT" w:cs="Twentieth Century"/>
          <w:sz w:val="24"/>
          <w:szCs w:val="24"/>
        </w:rPr>
      </w:pPr>
    </w:p>
    <w:p w14:paraId="023A3E16" w14:textId="77777777" w:rsidR="002C1B6E" w:rsidRDefault="00AB5BE7">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HASIL DAN PEMBAHASAN</w:t>
      </w:r>
    </w:p>
    <w:p w14:paraId="0F6C730A" w14:textId="77777777" w:rsidR="002C1B6E" w:rsidRDefault="00AB5BE7">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Uji Organoleptis</w:t>
      </w:r>
    </w:p>
    <w:p w14:paraId="4E85FE15" w14:textId="35F8AE3C" w:rsidR="002C1B6E" w:rsidRDefault="00AB5BE7">
      <w:pPr>
        <w:tabs>
          <w:tab w:val="left" w:pos="426"/>
        </w:tabs>
        <w:spacing w:after="0"/>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Pemeriksaan organoleptis sediaan hidrogel dari ekstrak kulit buah naga super </w:t>
      </w:r>
      <w:proofErr w:type="gramStart"/>
      <w:r>
        <w:rPr>
          <w:rFonts w:ascii="Tw Cen MT" w:eastAsia="Twentieth Century" w:hAnsi="Tw Cen MT" w:cs="Twentieth Century"/>
          <w:sz w:val="24"/>
          <w:szCs w:val="24"/>
        </w:rPr>
        <w:t>merah  memiliki</w:t>
      </w:r>
      <w:proofErr w:type="gramEnd"/>
      <w:r>
        <w:rPr>
          <w:rFonts w:ascii="Tw Cen MT" w:eastAsia="Twentieth Century" w:hAnsi="Tw Cen MT" w:cs="Twentieth Century"/>
          <w:sz w:val="24"/>
          <w:szCs w:val="24"/>
        </w:rPr>
        <w:t xml:space="preserve"> aroma khas dari basis, memiliki bentuk yang kental dan sediaan yang dihasilkan berwarna putih, pink pucat, magenta, dan </w:t>
      </w:r>
      <w:r>
        <w:rPr>
          <w:rFonts w:ascii="Tw Cen MT" w:eastAsia="Twentieth Century" w:hAnsi="Tw Cen MT" w:cs="Twentieth Century"/>
          <w:i/>
          <w:sz w:val="24"/>
          <w:szCs w:val="24"/>
        </w:rPr>
        <w:t xml:space="preserve">dark </w:t>
      </w:r>
      <w:r>
        <w:rPr>
          <w:rFonts w:ascii="Tw Cen MT" w:eastAsia="Twentieth Century" w:hAnsi="Tw Cen MT" w:cs="Twentieth Century"/>
          <w:sz w:val="24"/>
          <w:szCs w:val="24"/>
        </w:rPr>
        <w:t>magenta. Perbedaan warna ini disebabkan karena semakin banyak ekstrak yang digunakan maka semakin pekat warna sediaan yang dihasilkan, berikut gambar sediaan hidrogel dari ekstrak kulit buah naga super merah</w:t>
      </w:r>
      <w:r w:rsidR="00F359CD">
        <w:rPr>
          <w:rFonts w:ascii="Tw Cen MT" w:eastAsia="Twentieth Century" w:hAnsi="Tw Cen MT" w:cs="Twentieth Century"/>
          <w:sz w:val="24"/>
          <w:szCs w:val="24"/>
        </w:rPr>
        <w:t xml:space="preserve">. Hal serupa juga terjadi pada </w:t>
      </w:r>
      <w:r w:rsidR="00F359CD">
        <w:rPr>
          <w:rFonts w:ascii="Tw Cen MT" w:eastAsia="Twentieth Century" w:hAnsi="Tw Cen MT" w:cs="Twentieth Century"/>
          <w:sz w:val="24"/>
          <w:szCs w:val="24"/>
        </w:rPr>
        <w:fldChar w:fldCharType="begin" w:fldLock="1"/>
      </w:r>
      <w:r w:rsidR="00E97529">
        <w:rPr>
          <w:rFonts w:ascii="Tw Cen MT" w:eastAsia="Twentieth Century" w:hAnsi="Tw Cen MT" w:cs="Twentieth Century"/>
          <w:sz w:val="24"/>
          <w:szCs w:val="24"/>
        </w:rPr>
        <w:instrText>ADDIN CSL_CITATION {"citationItems":[{"id":"ITEM-1","itemData":{"DOI":"10.35473/ijpnp.v3i1.501","ISSN":"2656-3215","abstract":"Kulit buah naga memiliki beragam manfaat walaupun sering dianggap sebagai limbah. Kulit buah naga mengandung banyak pigmen warna, salah satunya antosianin yang berfungsi sebagai antioksidan. Kandungan ini mampu mencegah radikal bebas yang menyebabkan penuaan dini maupun penyakit lainnya. Antioksidan yang terdapat didalam kulit buah naga dapat dimanfaatkan sebagai zat aktif sediaan kosmetika tubuh salah satunya body butter. Salah satu faktor yang mempengaruhi stabilitas sediaan body butter adalah emulgator. Penelitian ini bertujuan untuk mengetahui pengaruh formulasi, yaitu adanya variasi konsentrasi kadar emulgator (tween 60 : span 60) terhadap stabilitas fisik body butter. Sediaan dibuat dengan 3 macam konsentrasi emulgator tween 60 : span 60 yaitu 1%, 2%, dan 3%. Ketiga formula diuji stabilitas fisiknya dengan uji organoleptis, homogenitas, pH, daya lekat, daya sebar, dan daya proteksi. Uji stabilitas fisik dilakukan pada minggu I, II, III, dan IV di suhu ruang. Data pengamatan dianalisis statistik dengan taraf kepercayaan 95%. Hasil evaluasi sediaan body butter menunjukkan bahwa variasi emulgator tidak memberikan pengaruh tehadap sifat fisik body butter meliputi organoleptis, homogenitas, pH dan daya sebar. Namun mempengaruhi uji daya lekat dan daya proteksi (p&gt;0.05). Berdasarkan hasil pengujian, didapatkan hasil yaitu formula III lebih stabil dalam penyimpanan selama 4 minggu daripada formula I dan II.Kata kunci : ekstrak kulit buah naga, emulgator, body butter, stabilitas fisikDragon fruit peels has a variety of benefits although it is often considered a waste. Dragon fruit peels contains many color pigments, one of which is anthocyanin which functions as an antioxidant. This content is able to prevent free radicals that cause premature aging and other diseases. Antioxidants found in dragon fruit peels can be used as active ingredients for cosmetics, one of which is body butter. One of the factors that influence the stability of the body butter preparation is an emulgator. This study aims to determine the effect of the formulation, namely the variation in the concentration of emulgator levels (tween 60: span 60) on the physical stability of body butter. The preparations were made with 3 kinds of 60: span 60 emulsifier concentrations of 1%, 2%, and 3%. The three formulas were tested for physical stability by organoleptic, homogeneity, pH, adhesion, dispersion, and protection. Physical stability tests were carried out at weeks I, II, III, and IV at r…","author":[{"dropping-particle":"","family":"Sawiji","given":"Repining Tiyas","non-dropping-particle":"","parse-names":false,"suffix":""},{"dropping-particle":"","family":"Jawa La","given":"Elisabeth Oriana","non-dropping-particle":"","parse-names":false,"suffix":""},{"dropping-particle":"","family":"Yuliawati","given":"Agustina Nila","non-dropping-particle":"","parse-names":false,"suffix":""}],"container-title":"Indonesian Journal of Pharmacy and Natural Product","id":"ITEM-1","issue":"1","issued":{"date-parts":[["2020"]]},"title":"Pengaruh Formulasi Terhadap Mutu Fisik Body Butter Ekstrak Etanol Kulit Buah Naga (Hylocereus polyrhizus)","type":"article-journal","volume":"3"},"uris":["http://www.mendeley.com/documents/?uuid=021f8693-ceda-4b13-b612-073f3a846c28"]}],"mendeley":{"formattedCitation":"[13]","plainTextFormattedCitation":"[13]","previouslyFormattedCitation":"[13]"},"properties":{"noteIndex":0},"schema":"https://github.com/citation-style-language/schema/raw/master/csl-citation.json"}</w:instrText>
      </w:r>
      <w:r w:rsidR="00F359CD">
        <w:rPr>
          <w:rFonts w:ascii="Tw Cen MT" w:eastAsia="Twentieth Century" w:hAnsi="Tw Cen MT" w:cs="Twentieth Century"/>
          <w:sz w:val="24"/>
          <w:szCs w:val="24"/>
        </w:rPr>
        <w:fldChar w:fldCharType="separate"/>
      </w:r>
      <w:r w:rsidR="0045676F" w:rsidRPr="0045676F">
        <w:rPr>
          <w:rFonts w:ascii="Tw Cen MT" w:eastAsia="Twentieth Century" w:hAnsi="Tw Cen MT" w:cs="Twentieth Century"/>
          <w:noProof/>
          <w:sz w:val="24"/>
          <w:szCs w:val="24"/>
        </w:rPr>
        <w:t>[13]</w:t>
      </w:r>
      <w:r w:rsidR="00F359CD">
        <w:rPr>
          <w:rFonts w:ascii="Tw Cen MT" w:eastAsia="Twentieth Century" w:hAnsi="Tw Cen MT" w:cs="Twentieth Century"/>
          <w:sz w:val="24"/>
          <w:szCs w:val="24"/>
        </w:rPr>
        <w:fldChar w:fldCharType="end"/>
      </w:r>
      <w:r w:rsidR="00F359CD">
        <w:rPr>
          <w:rFonts w:ascii="Tw Cen MT" w:eastAsia="Twentieth Century" w:hAnsi="Tw Cen MT" w:cs="Twentieth Century"/>
          <w:sz w:val="24"/>
          <w:szCs w:val="24"/>
        </w:rPr>
        <w:t xml:space="preserve"> yang mana formula 3 dengan konsentrasi</w:t>
      </w:r>
      <w:r w:rsidR="00F54439">
        <w:rPr>
          <w:rFonts w:ascii="Tw Cen MT" w:eastAsia="Twentieth Century" w:hAnsi="Tw Cen MT" w:cs="Twentieth Century"/>
          <w:sz w:val="24"/>
          <w:szCs w:val="24"/>
        </w:rPr>
        <w:t xml:space="preserve"> zat aktif</w:t>
      </w:r>
      <w:r w:rsidR="00F359CD">
        <w:rPr>
          <w:rFonts w:ascii="Tw Cen MT" w:eastAsia="Twentieth Century" w:hAnsi="Tw Cen MT" w:cs="Twentieth Century"/>
          <w:sz w:val="24"/>
          <w:szCs w:val="24"/>
        </w:rPr>
        <w:t xml:space="preserve"> yang lebih tinggi memiliki warna yang lebih pekat ketimbang formulasi 1&amp;2 dengan konsentrasi zat aktif yang lebih rendah.</w:t>
      </w:r>
    </w:p>
    <w:p w14:paraId="057145FF" w14:textId="77777777" w:rsidR="002C1B6E" w:rsidRDefault="00AB5BE7">
      <w:pPr>
        <w:tabs>
          <w:tab w:val="left" w:pos="426"/>
        </w:tabs>
        <w:spacing w:after="0"/>
        <w:jc w:val="center"/>
        <w:rPr>
          <w:rFonts w:ascii="Tw Cen MT" w:eastAsia="Twentieth Century" w:hAnsi="Tw Cen MT" w:cs="Twentieth Century"/>
          <w:sz w:val="24"/>
          <w:szCs w:val="24"/>
        </w:rPr>
      </w:pPr>
      <w:r>
        <w:rPr>
          <w:rFonts w:ascii="Tw Cen MT" w:eastAsia="Twentieth Century" w:hAnsi="Tw Cen MT" w:cs="Twentieth Century"/>
          <w:noProof/>
          <w:sz w:val="24"/>
          <w:szCs w:val="24"/>
        </w:rPr>
        <w:drawing>
          <wp:inline distT="0" distB="0" distL="0" distR="0" wp14:anchorId="17354E0E" wp14:editId="73001B4A">
            <wp:extent cx="2738104" cy="890650"/>
            <wp:effectExtent l="0" t="0" r="5715" b="5080"/>
            <wp:docPr id="10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21" cstate="print"/>
                    <a:srcRect t="42645" b="42724"/>
                    <a:stretch/>
                  </pic:blipFill>
                  <pic:spPr>
                    <a:xfrm>
                      <a:off x="0" y="0"/>
                      <a:ext cx="2738104" cy="890650"/>
                    </a:xfrm>
                    <a:prstGeom prst="rect">
                      <a:avLst/>
                    </a:prstGeom>
                    <a:ln>
                      <a:noFill/>
                    </a:ln>
                  </pic:spPr>
                </pic:pic>
              </a:graphicData>
            </a:graphic>
          </wp:inline>
        </w:drawing>
      </w:r>
    </w:p>
    <w:p w14:paraId="6596FD5C" w14:textId="77777777" w:rsidR="002C1B6E" w:rsidRDefault="00AB5BE7">
      <w:pPr>
        <w:tabs>
          <w:tab w:val="left" w:pos="426"/>
        </w:tabs>
        <w:spacing w:after="0"/>
        <w:jc w:val="center"/>
        <w:rPr>
          <w:rFonts w:ascii="Tw Cen MT" w:eastAsia="Twentieth Century" w:hAnsi="Tw Cen MT" w:cs="Twentieth Century"/>
          <w:sz w:val="20"/>
          <w:szCs w:val="24"/>
        </w:rPr>
      </w:pPr>
      <w:r>
        <w:rPr>
          <w:rFonts w:ascii="Tw Cen MT" w:eastAsia="Twentieth Century" w:hAnsi="Tw Cen MT" w:cs="Twentieth Century"/>
          <w:sz w:val="20"/>
          <w:szCs w:val="24"/>
        </w:rPr>
        <w:t>Gambar 1. Sediaan hidrogel dari ekstrak kulit buah naga super merah</w:t>
      </w:r>
    </w:p>
    <w:p w14:paraId="6C829553" w14:textId="77777777" w:rsidR="002C1B6E" w:rsidRDefault="002C1B6E">
      <w:pPr>
        <w:tabs>
          <w:tab w:val="left" w:pos="426"/>
        </w:tabs>
        <w:spacing w:after="0"/>
        <w:jc w:val="both"/>
        <w:rPr>
          <w:rFonts w:ascii="Tw Cen MT" w:eastAsia="Twentieth Century" w:hAnsi="Tw Cen MT" w:cs="Twentieth Century"/>
          <w:sz w:val="20"/>
          <w:szCs w:val="24"/>
        </w:rPr>
      </w:pPr>
    </w:p>
    <w:p w14:paraId="68A7885C" w14:textId="77777777" w:rsidR="002C1B6E" w:rsidRDefault="00AB5BE7">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Uji Homogenitas</w:t>
      </w:r>
    </w:p>
    <w:p w14:paraId="7E273152" w14:textId="77777777" w:rsidR="002C1B6E" w:rsidRDefault="00AB5BE7">
      <w:pPr>
        <w:tabs>
          <w:tab w:val="left" w:pos="426"/>
        </w:tabs>
        <w:spacing w:after="0"/>
        <w:jc w:val="both"/>
        <w:rPr>
          <w:rFonts w:ascii="Tw Cen MT" w:eastAsia="Twentieth Century" w:hAnsi="Tw Cen MT" w:cs="Twentieth Century"/>
          <w:sz w:val="24"/>
          <w:szCs w:val="24"/>
        </w:rPr>
      </w:pPr>
      <w:r>
        <w:rPr>
          <w:rFonts w:ascii="Tw Cen MT" w:eastAsia="Twentieth Century" w:hAnsi="Tw Cen MT" w:cs="Twentieth Century"/>
          <w:sz w:val="24"/>
          <w:szCs w:val="24"/>
        </w:rPr>
        <w:t>Uji homogenitas pada semua sediaan hidrogel menunjukan hasil yang homogen yang mana ditandai dengan tidak ditemukannya partikel kasar maupun gumpalan pada semua kaca objek.</w:t>
      </w:r>
    </w:p>
    <w:p w14:paraId="409C1950"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2. Hasil Uji Homogenitas Hidrogel</w:t>
      </w:r>
    </w:p>
    <w:tbl>
      <w:tblPr>
        <w:tblStyle w:val="a0"/>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rsidR="002C1B6E" w14:paraId="2954A8A1" w14:textId="77777777">
        <w:trPr>
          <w:trHeight w:val="269"/>
          <w:jc w:val="center"/>
        </w:trPr>
        <w:tc>
          <w:tcPr>
            <w:tcW w:w="1590" w:type="dxa"/>
            <w:tcBorders>
              <w:top w:val="single" w:sz="4" w:space="0" w:color="000000"/>
            </w:tcBorders>
            <w:vAlign w:val="center"/>
          </w:tcPr>
          <w:p w14:paraId="3F83FC16"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456AB2A8"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Keterangan</w:t>
            </w:r>
          </w:p>
        </w:tc>
      </w:tr>
      <w:tr w:rsidR="002C1B6E" w14:paraId="200571A7" w14:textId="77777777">
        <w:trPr>
          <w:trHeight w:val="269"/>
          <w:jc w:val="center"/>
        </w:trPr>
        <w:tc>
          <w:tcPr>
            <w:tcW w:w="1590" w:type="dxa"/>
            <w:tcBorders>
              <w:top w:val="single" w:sz="4" w:space="0" w:color="000000"/>
            </w:tcBorders>
            <w:vAlign w:val="center"/>
          </w:tcPr>
          <w:p w14:paraId="2FD5FAE9"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3F078EF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r w:rsidR="002C1B6E" w14:paraId="39BDED09" w14:textId="77777777">
        <w:trPr>
          <w:trHeight w:val="284"/>
          <w:jc w:val="center"/>
        </w:trPr>
        <w:tc>
          <w:tcPr>
            <w:tcW w:w="1590" w:type="dxa"/>
            <w:vAlign w:val="center"/>
          </w:tcPr>
          <w:p w14:paraId="0BE5E32C"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vAlign w:val="center"/>
          </w:tcPr>
          <w:p w14:paraId="0D48B7C0"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r w:rsidR="002C1B6E" w14:paraId="24E03D45" w14:textId="77777777">
        <w:trPr>
          <w:trHeight w:val="284"/>
          <w:jc w:val="center"/>
        </w:trPr>
        <w:tc>
          <w:tcPr>
            <w:tcW w:w="1590" w:type="dxa"/>
            <w:vAlign w:val="center"/>
          </w:tcPr>
          <w:p w14:paraId="463B3328"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vAlign w:val="center"/>
          </w:tcPr>
          <w:p w14:paraId="68266AE8"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r w:rsidR="002C1B6E" w14:paraId="1828F316" w14:textId="77777777">
        <w:trPr>
          <w:trHeight w:val="284"/>
          <w:jc w:val="center"/>
        </w:trPr>
        <w:tc>
          <w:tcPr>
            <w:tcW w:w="1590" w:type="dxa"/>
            <w:vAlign w:val="center"/>
          </w:tcPr>
          <w:p w14:paraId="499B44A0"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vAlign w:val="center"/>
          </w:tcPr>
          <w:p w14:paraId="64A48FA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bl>
    <w:p w14:paraId="7602438B" w14:textId="6F8ADEAB" w:rsidR="002C1B6E" w:rsidRDefault="00AB5BE7">
      <w:pPr>
        <w:tabs>
          <w:tab w:val="left" w:pos="426"/>
        </w:tabs>
        <w:spacing w:after="0" w:line="240" w:lineRule="auto"/>
        <w:jc w:val="both"/>
        <w:rPr>
          <w:rFonts w:ascii="Tw Cen MT" w:hAnsi="Tw Cen MT"/>
          <w:sz w:val="24"/>
        </w:rPr>
      </w:pPr>
      <w:r>
        <w:rPr>
          <w:rFonts w:ascii="Tw Cen MT" w:hAnsi="Tw Cen MT"/>
          <w:sz w:val="24"/>
        </w:rPr>
        <w:t xml:space="preserve">Berdasarkan hasil evaluasi homogenitas pada tabel 2 menunjukkan bahwa tidak adanya perbedaan antara ketiga formula, </w:t>
      </w:r>
      <w:r>
        <w:rPr>
          <w:rFonts w:ascii="Tw Cen MT" w:hAnsi="Tw Cen MT"/>
          <w:sz w:val="24"/>
        </w:rPr>
        <w:lastRenderedPageBreak/>
        <w:t>ketiga formula tersebut tidak memiliki butiran kasar setelah di amati sehingga memiliki daya homogenitas yang baik karena tidak terdapat partikel pada hidrogel. Sediaan yang memiliki homogenitas yang baik harus menunjukan susunan yang homogen dan tidak terlihat adanya butiran kasar</w:t>
      </w:r>
      <w:r w:rsidR="00B93572">
        <w:rPr>
          <w:rFonts w:ascii="Tw Cen MT" w:hAnsi="Tw Cen MT"/>
          <w:sz w:val="24"/>
        </w:rPr>
        <w:t xml:space="preserve"> </w:t>
      </w:r>
      <w:r w:rsidR="00B93572">
        <w:rPr>
          <w:rFonts w:ascii="Tw Cen MT" w:hAnsi="Tw Cen MT"/>
          <w:sz w:val="24"/>
        </w:rPr>
        <w:fldChar w:fldCharType="begin" w:fldLock="1"/>
      </w:r>
      <w:r w:rsidR="00E97529">
        <w:rPr>
          <w:rFonts w:ascii="Tw Cen MT" w:hAnsi="Tw Cen MT"/>
          <w:sz w:val="24"/>
        </w:rPr>
        <w:instrText>ADDIN CSL_CITATION {"citationItems":[{"id":"ITEM-1","itemData":{"ISBN":"9786236442470","abstract":"Abstrak Pendahuluan: Paprika merah (Capsicum annum L.) mengandung berbagai jenis senyawa karotenoid yang berpotensi sebagai antioksidan. Ekstrak metanol buah paprika …","author":[{"dropping-particle":"","family":"Nurdianti","given":"Lusi","non-dropping-particle":"","parse-names":false,"suffix":""},{"dropping-particle":"","family":"Wulandari","given":"Ike","non-dropping-particle":"","parse-names":false,"suffix":""},{"dropping-particle":"","family":"Setiawan","given":"Fajar","non-dropping-particle":"","parse-names":false,"suffix":""}],"container-title":"Prosiding seminar nasional diseminasi penelitian","id":"ITEM-1","issue":"September","issued":{"date-parts":[["2021"]]},"page":"77-82","title":"formulasi sediaan hand and body lotion ekstrak metanol buah paprika merah (Capsicum annuum Linnaeus) sebagai antioksidan","type":"article-journal","volume":"1"},"uris":["http://www.mendeley.com/documents/?uuid=deaed722-2fcf-43da-b8d5-9a7ffc19e1fa"]}],"mendeley":{"formattedCitation":"[14]","plainTextFormattedCitation":"[14]","previouslyFormattedCitation":"[14]"},"properties":{"noteIndex":0},"schema":"https://github.com/citation-style-language/schema/raw/master/csl-citation.json"}</w:instrText>
      </w:r>
      <w:r w:rsidR="00B93572">
        <w:rPr>
          <w:rFonts w:ascii="Tw Cen MT" w:hAnsi="Tw Cen MT"/>
          <w:sz w:val="24"/>
        </w:rPr>
        <w:fldChar w:fldCharType="separate"/>
      </w:r>
      <w:r w:rsidR="0045676F" w:rsidRPr="0045676F">
        <w:rPr>
          <w:rFonts w:ascii="Tw Cen MT" w:hAnsi="Tw Cen MT"/>
          <w:noProof/>
          <w:sz w:val="24"/>
        </w:rPr>
        <w:t>[14]</w:t>
      </w:r>
      <w:r w:rsidR="00B93572">
        <w:rPr>
          <w:rFonts w:ascii="Tw Cen MT" w:hAnsi="Tw Cen MT"/>
          <w:sz w:val="24"/>
        </w:rPr>
        <w:fldChar w:fldCharType="end"/>
      </w:r>
      <w:r>
        <w:rPr>
          <w:rFonts w:ascii="Tw Cen MT" w:hAnsi="Tw Cen MT"/>
          <w:sz w:val="24"/>
        </w:rPr>
        <w:t>.</w:t>
      </w:r>
    </w:p>
    <w:p w14:paraId="4FE6204F" w14:textId="77777777" w:rsidR="002C1B6E" w:rsidRDefault="002C1B6E">
      <w:pPr>
        <w:tabs>
          <w:tab w:val="left" w:pos="426"/>
        </w:tabs>
        <w:spacing w:after="0" w:line="240" w:lineRule="auto"/>
        <w:jc w:val="both"/>
        <w:rPr>
          <w:rFonts w:ascii="Tw Cen MT" w:hAnsi="Tw Cen MT"/>
          <w:sz w:val="24"/>
        </w:rPr>
      </w:pPr>
    </w:p>
    <w:p w14:paraId="4A72576E" w14:textId="0E5E1228" w:rsidR="002C1B6E" w:rsidRDefault="00AB5BE7">
      <w:pPr>
        <w:spacing w:line="240" w:lineRule="auto"/>
        <w:jc w:val="both"/>
        <w:rPr>
          <w:rFonts w:ascii="Tw Cen MT" w:hAnsi="Tw Cen MT"/>
          <w:sz w:val="24"/>
        </w:rPr>
      </w:pPr>
      <w:r>
        <w:rPr>
          <w:rFonts w:ascii="Tw Cen MT" w:hAnsi="Tw Cen MT"/>
          <w:sz w:val="24"/>
          <w:szCs w:val="24"/>
        </w:rPr>
        <w:t xml:space="preserve">Penelitian sebelumnya yang mengalami hal serupa yaitu </w:t>
      </w:r>
      <w:r>
        <w:rPr>
          <w:rFonts w:ascii="Tw Cen MT" w:hAnsi="Tw Cen MT"/>
          <w:sz w:val="24"/>
        </w:rPr>
        <w:fldChar w:fldCharType="begin" w:fldLock="1"/>
      </w:r>
      <w:r w:rsidR="00E97529">
        <w:rPr>
          <w:rFonts w:ascii="Tw Cen MT" w:hAnsi="Tw Cen MT"/>
          <w:sz w:val="24"/>
        </w:rPr>
        <w:instrText>ADDIN CSL_CITATION {"citationItems":[{"id":"ITEM-1","itemData":{"DOI":"10.36387/jiis.v7i2.995","ISSN":"2502647X","abstract":"Hydrogel is an ideal preparation as a wound dressing because it can provide a cold sensation that can reduce swelling in the wound area. Nanoparticles are particles that have a size of 1-1000 nm. Nanoparticles have the advantage of reducing the particle size and delivering the active substance to the target site. In the manufacture of nanohydrogels it is necessary to have a gelling agent in order to obtain a preparation that meets the requirements. In this study, nanohydrogels were made using Chrysanthemum leaf extract (Chromolaena odorata L.) as the active substance and made with various concentrations of carbopol 980 as a gelling agent. The purpose of this study was to determine the effect of variations in the concentration of carbopol 980 on nanohydrogel preparations of chrysanthemum leaf extract. The method used is Quasi Experimental Design. Simplicia was made into extracts and then made into nano preparations and evaluated. Data were analyzed using One Way Anova and Kruskal-Wallis. The particle size of Formula I nanohydrogel preparation was obtained at 412.9 nm. The results of the evaluation of the preparation showed that the nanohydrogel of chrysanthemum leaf extract with variations in the concentration of carbopol 980 had no effect on homogeneity, but it did affect the pH, viscosity, dispersibility, and adhesion test as shown in the One Way Anova statistical test (p&lt;0.05). From the evaluation results, the ideal formula for nano hydrogel preparations was found in formula I with a carbopol 980 concentration of 0.5%.","author":[{"dropping-particle":"","family":"Nabillah","given":"Syafira","non-dropping-particle":"","parse-names":false,"suffix":""},{"dropping-particle":"","family":"Noval","given":"Noval","non-dropping-particle":"","parse-names":false,"suffix":""},{"dropping-particle":"","family":"Hidayah","given":"Nur","non-dropping-particle":"","parse-names":false,"suffix":""}],"container-title":"Jurnal Ilmiah Ibnu Sina (JIIS): Ilmu Farmasi dan Kesehatan","id":"ITEM-1","issue":"2","issued":{"date-parts":[["2022"]]},"page":"340-349","title":"FORMULASI DAN EVALUASI NANO HIDROGEL EKSTRAK DAUN SERUNAI (Chromolaena odorata L.) DENGAN VARIASI KONSENTRASI POLIMER CARBOPOL 980","type":"article-journal","volume":"7"},"uris":["http://www.mendeley.com/documents/?uuid=6bd2fdc7-228d-4ddd-9fc1-735fe97e5109"]}],"mendeley":{"formattedCitation":"[6]","plainTextFormattedCitation":"[6]","previouslyFormattedCitation":"[6]"},"properties":{"noteIndex":0},"schema":"https://github.com/citation-style-language/schema/raw/master/csl-citation.json"}</w:instrText>
      </w:r>
      <w:r>
        <w:rPr>
          <w:rFonts w:ascii="Tw Cen MT" w:hAnsi="Tw Cen MT"/>
          <w:sz w:val="24"/>
        </w:rPr>
        <w:fldChar w:fldCharType="separate"/>
      </w:r>
      <w:r w:rsidR="0045676F" w:rsidRPr="0045676F">
        <w:rPr>
          <w:rFonts w:ascii="Tw Cen MT" w:hAnsi="Tw Cen MT"/>
          <w:noProof/>
          <w:sz w:val="24"/>
        </w:rPr>
        <w:t>[6]</w:t>
      </w:r>
      <w:r>
        <w:rPr>
          <w:rFonts w:ascii="Tw Cen MT" w:hAnsi="Tw Cen MT"/>
          <w:sz w:val="24"/>
        </w:rPr>
        <w:fldChar w:fldCharType="end"/>
      </w:r>
      <w:r>
        <w:rPr>
          <w:rFonts w:ascii="Tw Cen MT" w:hAnsi="Tw Cen MT"/>
          <w:sz w:val="24"/>
        </w:rPr>
        <w:t xml:space="preserve">, </w:t>
      </w:r>
      <w:r>
        <w:rPr>
          <w:rFonts w:ascii="Tw Cen MT" w:hAnsi="Tw Cen MT" w:cs="Times New Roman"/>
          <w:sz w:val="24"/>
        </w:rPr>
        <w:t>980 yang mana pada sediaan  formula 1,2,3, dan  4 homogen tidak ditemukan adanya butiran-butiran kasar atau gumpalan saat diuji homogenitas menggunakan kaca objek.</w:t>
      </w:r>
    </w:p>
    <w:p w14:paraId="1F9103E9" w14:textId="77777777" w:rsidR="002C1B6E" w:rsidRDefault="002C1B6E">
      <w:pPr>
        <w:tabs>
          <w:tab w:val="left" w:pos="426"/>
        </w:tabs>
        <w:spacing w:after="0" w:line="240" w:lineRule="auto"/>
        <w:jc w:val="both"/>
        <w:rPr>
          <w:rFonts w:ascii="Tw Cen MT" w:hAnsi="Tw Cen MT"/>
          <w:sz w:val="24"/>
        </w:rPr>
      </w:pPr>
    </w:p>
    <w:p w14:paraId="194FB92B" w14:textId="77777777" w:rsidR="002C1B6E" w:rsidRDefault="00AB5BE7">
      <w:pPr>
        <w:tabs>
          <w:tab w:val="left" w:pos="426"/>
        </w:tabs>
        <w:spacing w:after="0" w:line="240" w:lineRule="auto"/>
        <w:jc w:val="both"/>
        <w:rPr>
          <w:rFonts w:ascii="Tw Cen MT" w:hAnsi="Tw Cen MT"/>
          <w:b/>
          <w:sz w:val="24"/>
        </w:rPr>
      </w:pPr>
      <w:r>
        <w:rPr>
          <w:rFonts w:ascii="Tw Cen MT" w:hAnsi="Tw Cen MT"/>
          <w:b/>
          <w:sz w:val="24"/>
        </w:rPr>
        <w:t>Uji Viskositas</w:t>
      </w:r>
    </w:p>
    <w:p w14:paraId="227F70F4" w14:textId="77777777" w:rsidR="002C1B6E" w:rsidRDefault="00AB5BE7">
      <w:pPr>
        <w:tabs>
          <w:tab w:val="left" w:pos="426"/>
        </w:tabs>
        <w:spacing w:after="0" w:line="240" w:lineRule="auto"/>
        <w:jc w:val="both"/>
        <w:rPr>
          <w:rFonts w:ascii="Tw Cen MT" w:hAnsi="Tw Cen MT"/>
          <w:sz w:val="24"/>
          <w:szCs w:val="20"/>
        </w:rPr>
      </w:pPr>
      <w:r>
        <w:rPr>
          <w:rFonts w:ascii="Tw Cen MT" w:hAnsi="Tw Cen MT"/>
          <w:sz w:val="24"/>
          <w:szCs w:val="20"/>
        </w:rPr>
        <w:t xml:space="preserve">Pengujian ini dilakukan menggunakan viskometer </w:t>
      </w:r>
      <w:r>
        <w:rPr>
          <w:rFonts w:ascii="Tw Cen MT" w:hAnsi="Tw Cen MT"/>
          <w:i/>
          <w:sz w:val="24"/>
          <w:szCs w:val="20"/>
        </w:rPr>
        <w:t>Brookfield</w:t>
      </w:r>
      <w:r>
        <w:rPr>
          <w:rFonts w:ascii="Tw Cen MT" w:hAnsi="Tw Cen MT"/>
          <w:sz w:val="24"/>
          <w:szCs w:val="20"/>
        </w:rPr>
        <w:t xml:space="preserve"> dengan </w:t>
      </w:r>
      <w:r>
        <w:rPr>
          <w:rFonts w:ascii="Tw Cen MT" w:hAnsi="Tw Cen MT"/>
          <w:i/>
          <w:sz w:val="24"/>
          <w:szCs w:val="20"/>
        </w:rPr>
        <w:t xml:space="preserve">spindle </w:t>
      </w:r>
      <w:r>
        <w:rPr>
          <w:rFonts w:ascii="Tw Cen MT" w:hAnsi="Tw Cen MT"/>
          <w:sz w:val="24"/>
          <w:szCs w:val="20"/>
        </w:rPr>
        <w:t xml:space="preserve">No.4 dengan kecepatan 60 rpm. Sebanyak </w:t>
      </w:r>
      <w:proofErr w:type="gramStart"/>
      <w:r>
        <w:rPr>
          <w:rFonts w:ascii="Tw Cen MT" w:hAnsi="Tw Cen MT"/>
          <w:sz w:val="24"/>
          <w:szCs w:val="20"/>
        </w:rPr>
        <w:t>0,5 gram</w:t>
      </w:r>
      <w:proofErr w:type="gramEnd"/>
      <w:r>
        <w:rPr>
          <w:rFonts w:ascii="Tw Cen MT" w:hAnsi="Tw Cen MT"/>
          <w:sz w:val="24"/>
          <w:szCs w:val="20"/>
        </w:rPr>
        <w:t xml:space="preserve"> sediaan dimasukkan kedalam </w:t>
      </w:r>
      <w:r>
        <w:rPr>
          <w:rFonts w:ascii="Tw Cen MT" w:hAnsi="Tw Cen MT"/>
          <w:i/>
          <w:sz w:val="24"/>
          <w:szCs w:val="20"/>
        </w:rPr>
        <w:t>beaker glass</w:t>
      </w:r>
      <w:r>
        <w:rPr>
          <w:rFonts w:ascii="Tw Cen MT" w:hAnsi="Tw Cen MT"/>
          <w:sz w:val="20"/>
          <w:szCs w:val="20"/>
        </w:rPr>
        <w:t xml:space="preserve"> </w:t>
      </w:r>
      <w:r>
        <w:rPr>
          <w:rFonts w:ascii="Tw Cen MT" w:hAnsi="Tw Cen MT"/>
          <w:sz w:val="24"/>
          <w:szCs w:val="20"/>
        </w:rPr>
        <w:t>dan dilarutkan dengan 50 ml aquadest.</w:t>
      </w:r>
    </w:p>
    <w:p w14:paraId="0E1CFB50"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3. Hasil Uji Viskositas Hidrogel</w:t>
      </w:r>
    </w:p>
    <w:tbl>
      <w:tblPr>
        <w:tblStyle w:val="a0"/>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rsidR="002C1B6E" w14:paraId="14CD83A8" w14:textId="77777777">
        <w:trPr>
          <w:trHeight w:val="269"/>
          <w:jc w:val="center"/>
        </w:trPr>
        <w:tc>
          <w:tcPr>
            <w:tcW w:w="1590" w:type="dxa"/>
            <w:tcBorders>
              <w:top w:val="single" w:sz="4" w:space="0" w:color="000000"/>
            </w:tcBorders>
            <w:vAlign w:val="center"/>
          </w:tcPr>
          <w:p w14:paraId="08E1E829"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5D9413E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Viskositas</w:t>
            </w:r>
          </w:p>
        </w:tc>
      </w:tr>
      <w:tr w:rsidR="002C1B6E" w14:paraId="765D4E00" w14:textId="77777777">
        <w:trPr>
          <w:trHeight w:val="269"/>
          <w:jc w:val="center"/>
        </w:trPr>
        <w:tc>
          <w:tcPr>
            <w:tcW w:w="1590" w:type="dxa"/>
            <w:tcBorders>
              <w:top w:val="single" w:sz="4" w:space="0" w:color="000000"/>
            </w:tcBorders>
            <w:vAlign w:val="center"/>
          </w:tcPr>
          <w:p w14:paraId="2B40709D"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622D13CB"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r w:rsidR="002C1B6E" w14:paraId="776A0509" w14:textId="77777777">
        <w:trPr>
          <w:trHeight w:val="284"/>
          <w:jc w:val="center"/>
        </w:trPr>
        <w:tc>
          <w:tcPr>
            <w:tcW w:w="1590" w:type="dxa"/>
            <w:vAlign w:val="center"/>
          </w:tcPr>
          <w:p w14:paraId="74864E7B"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vAlign w:val="center"/>
          </w:tcPr>
          <w:p w14:paraId="5F7DC7E2"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r w:rsidR="002C1B6E" w14:paraId="128D17BB" w14:textId="77777777">
        <w:trPr>
          <w:trHeight w:val="284"/>
          <w:jc w:val="center"/>
        </w:trPr>
        <w:tc>
          <w:tcPr>
            <w:tcW w:w="1590" w:type="dxa"/>
            <w:vAlign w:val="center"/>
          </w:tcPr>
          <w:p w14:paraId="3950259A"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vAlign w:val="center"/>
          </w:tcPr>
          <w:p w14:paraId="52BF5E2F"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r w:rsidR="002C1B6E" w14:paraId="0E4CD4D9" w14:textId="77777777">
        <w:trPr>
          <w:trHeight w:val="284"/>
          <w:jc w:val="center"/>
        </w:trPr>
        <w:tc>
          <w:tcPr>
            <w:tcW w:w="1590" w:type="dxa"/>
            <w:vAlign w:val="center"/>
          </w:tcPr>
          <w:p w14:paraId="49D40E91"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vAlign w:val="center"/>
          </w:tcPr>
          <w:p w14:paraId="673F9BE7"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bl>
    <w:p w14:paraId="348E39D6" w14:textId="77777777" w:rsidR="002C1B6E" w:rsidRDefault="00AB5BE7">
      <w:pPr>
        <w:tabs>
          <w:tab w:val="left" w:pos="426"/>
        </w:tabs>
        <w:spacing w:after="0" w:line="240" w:lineRule="auto"/>
        <w:jc w:val="both"/>
        <w:rPr>
          <w:rFonts w:ascii="Times New Roman" w:hAnsi="Times New Roman" w:cs="Times New Roman"/>
          <w:sz w:val="24"/>
          <w:szCs w:val="24"/>
        </w:rPr>
      </w:pPr>
      <w:r>
        <w:rPr>
          <w:rFonts w:ascii="Tw Cen MT" w:hAnsi="Tw Cen MT"/>
          <w:sz w:val="24"/>
          <w:szCs w:val="20"/>
        </w:rPr>
        <w:t xml:space="preserve">Berdasarkan hasil evaluasi viskositas pada tabel 3 menunjukan bahwa tidak adanya variasi viskositas yang disebabkan oleh ekstrak kulit buh naga super merah dan semua sediaan memenuhi syarat hidrogel dengan rentang 3.000-50.000 cPs </w:t>
      </w:r>
      <w:r>
        <w:rPr>
          <w:rFonts w:ascii="Times New Roman" w:hAnsi="Times New Roman" w:cs="Times New Roman"/>
          <w:sz w:val="24"/>
          <w:szCs w:val="24"/>
        </w:rPr>
        <w:t>(SNI 16-4380-1996)</w:t>
      </w:r>
    </w:p>
    <w:p w14:paraId="4F4D98A3" w14:textId="77777777" w:rsidR="002C1B6E" w:rsidRDefault="002C1B6E">
      <w:pPr>
        <w:tabs>
          <w:tab w:val="left" w:pos="426"/>
        </w:tabs>
        <w:spacing w:after="0" w:line="240" w:lineRule="auto"/>
        <w:jc w:val="both"/>
        <w:rPr>
          <w:rFonts w:ascii="Times New Roman" w:hAnsi="Times New Roman" w:cs="Times New Roman"/>
          <w:sz w:val="24"/>
          <w:szCs w:val="24"/>
        </w:rPr>
      </w:pPr>
    </w:p>
    <w:p w14:paraId="6EE59382" w14:textId="77777777" w:rsidR="002C1B6E" w:rsidRDefault="00AB5BE7">
      <w:pPr>
        <w:tabs>
          <w:tab w:val="left" w:pos="426"/>
        </w:tabs>
        <w:spacing w:after="0" w:line="240" w:lineRule="auto"/>
        <w:jc w:val="both"/>
        <w:rPr>
          <w:rFonts w:ascii="Tw Cen MT" w:hAnsi="Tw Cen MT" w:cs="Times New Roman"/>
          <w:b/>
          <w:sz w:val="24"/>
          <w:szCs w:val="24"/>
        </w:rPr>
      </w:pPr>
      <w:r>
        <w:rPr>
          <w:rFonts w:ascii="Tw Cen MT" w:hAnsi="Tw Cen MT" w:cs="Times New Roman"/>
          <w:b/>
          <w:sz w:val="24"/>
          <w:szCs w:val="24"/>
        </w:rPr>
        <w:t>Uji pH</w:t>
      </w:r>
    </w:p>
    <w:p w14:paraId="7858CA73" w14:textId="77777777" w:rsidR="002C1B6E" w:rsidRDefault="00AB5BE7">
      <w:pPr>
        <w:tabs>
          <w:tab w:val="left" w:pos="426"/>
        </w:tabs>
        <w:spacing w:after="0" w:line="240" w:lineRule="auto"/>
        <w:jc w:val="both"/>
        <w:rPr>
          <w:rFonts w:ascii="Tw Cen MT" w:hAnsi="Tw Cen MT" w:cs="Times New Roman"/>
          <w:b/>
          <w:sz w:val="24"/>
          <w:szCs w:val="24"/>
        </w:rPr>
      </w:pPr>
      <w:r>
        <w:rPr>
          <w:rFonts w:ascii="Tw Cen MT" w:hAnsi="Tw Cen MT" w:cs="Times New Roman"/>
          <w:sz w:val="24"/>
          <w:szCs w:val="24"/>
        </w:rPr>
        <w:t>Pengujian pH pada sediaan hidrogel dari ekstrak kulit buah naga super merah dilakukan untuk melihat apakah pH sediaan memenuhi standar ph kulit pada rentang 4,5-6,5.</w:t>
      </w:r>
    </w:p>
    <w:p w14:paraId="015B9119"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4. Hasil Uji ph Hidrogel</w:t>
      </w:r>
    </w:p>
    <w:tbl>
      <w:tblPr>
        <w:tblStyle w:val="a0"/>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rsidR="002C1B6E" w14:paraId="2144FC05" w14:textId="77777777">
        <w:trPr>
          <w:trHeight w:val="269"/>
          <w:jc w:val="center"/>
        </w:trPr>
        <w:tc>
          <w:tcPr>
            <w:tcW w:w="1590" w:type="dxa"/>
            <w:tcBorders>
              <w:top w:val="single" w:sz="4" w:space="0" w:color="000000"/>
            </w:tcBorders>
            <w:vAlign w:val="center"/>
          </w:tcPr>
          <w:p w14:paraId="30DA0E2D"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385EA0A0"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Viskositas</w:t>
            </w:r>
          </w:p>
        </w:tc>
      </w:tr>
      <w:tr w:rsidR="002C1B6E" w14:paraId="5D62DA3E" w14:textId="77777777">
        <w:trPr>
          <w:trHeight w:val="269"/>
          <w:jc w:val="center"/>
        </w:trPr>
        <w:tc>
          <w:tcPr>
            <w:tcW w:w="1590" w:type="dxa"/>
            <w:tcBorders>
              <w:top w:val="single" w:sz="4" w:space="0" w:color="000000"/>
            </w:tcBorders>
            <w:vAlign w:val="center"/>
          </w:tcPr>
          <w:p w14:paraId="6E851E89"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03F15BFE"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6,09</w:t>
            </w:r>
          </w:p>
        </w:tc>
      </w:tr>
      <w:tr w:rsidR="002C1B6E" w14:paraId="5BD0ADA0" w14:textId="77777777">
        <w:trPr>
          <w:trHeight w:val="284"/>
          <w:jc w:val="center"/>
        </w:trPr>
        <w:tc>
          <w:tcPr>
            <w:tcW w:w="1590" w:type="dxa"/>
            <w:vAlign w:val="center"/>
          </w:tcPr>
          <w:p w14:paraId="345B547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vAlign w:val="center"/>
          </w:tcPr>
          <w:p w14:paraId="2EC522B1"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5,97</w:t>
            </w:r>
          </w:p>
        </w:tc>
      </w:tr>
      <w:tr w:rsidR="002C1B6E" w14:paraId="2790AC98" w14:textId="77777777">
        <w:trPr>
          <w:trHeight w:val="284"/>
          <w:jc w:val="center"/>
        </w:trPr>
        <w:tc>
          <w:tcPr>
            <w:tcW w:w="1590" w:type="dxa"/>
            <w:vAlign w:val="center"/>
          </w:tcPr>
          <w:p w14:paraId="6FA1BE58"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vAlign w:val="center"/>
          </w:tcPr>
          <w:p w14:paraId="2B103366"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5,78</w:t>
            </w:r>
          </w:p>
        </w:tc>
      </w:tr>
      <w:tr w:rsidR="002C1B6E" w14:paraId="5B35BC72" w14:textId="77777777">
        <w:trPr>
          <w:trHeight w:val="284"/>
          <w:jc w:val="center"/>
        </w:trPr>
        <w:tc>
          <w:tcPr>
            <w:tcW w:w="1590" w:type="dxa"/>
            <w:vAlign w:val="center"/>
          </w:tcPr>
          <w:p w14:paraId="743A0334"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vAlign w:val="center"/>
          </w:tcPr>
          <w:p w14:paraId="7099E6BC"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5,68</w:t>
            </w:r>
          </w:p>
        </w:tc>
      </w:tr>
    </w:tbl>
    <w:p w14:paraId="378B4EE3" w14:textId="4EAC2522" w:rsidR="002C1B6E" w:rsidRDefault="00AB5BE7">
      <w:pPr>
        <w:tabs>
          <w:tab w:val="left" w:pos="426"/>
        </w:tabs>
        <w:spacing w:after="0" w:line="240" w:lineRule="auto"/>
        <w:jc w:val="both"/>
        <w:rPr>
          <w:rFonts w:ascii="Tw Cen MT" w:hAnsi="Tw Cen MT" w:cs="Times New Roman"/>
          <w:sz w:val="24"/>
          <w:szCs w:val="24"/>
        </w:rPr>
      </w:pPr>
      <w:r>
        <w:rPr>
          <w:rFonts w:ascii="Tw Cen MT" w:hAnsi="Tw Cen MT"/>
          <w:sz w:val="24"/>
          <w:szCs w:val="20"/>
        </w:rPr>
        <w:t>Berdasarkan hasil evaluasi pH pada tabel</w:t>
      </w:r>
      <w:r w:rsidR="00F54439">
        <w:rPr>
          <w:rFonts w:ascii="Tw Cen MT" w:hAnsi="Tw Cen MT"/>
          <w:sz w:val="24"/>
          <w:szCs w:val="20"/>
        </w:rPr>
        <w:t xml:space="preserve"> 4 menunjukan bahwa semakin tin</w:t>
      </w:r>
      <w:r>
        <w:rPr>
          <w:rFonts w:ascii="Tw Cen MT" w:hAnsi="Tw Cen MT"/>
          <w:sz w:val="24"/>
          <w:szCs w:val="20"/>
        </w:rPr>
        <w:t>ggi konsentrasi ekstrak kulit buah naga yang digunakan maka semakin asam pula pH sediaan yang dihasilkan, hal ini disebabkan karena pada umumnya kadar pH pada kulit buah naga adalah asam dan senyawa antosianin pada kulit buah naga mempunya</w:t>
      </w:r>
      <w:r w:rsidR="004930F6">
        <w:rPr>
          <w:rFonts w:ascii="Tw Cen MT" w:hAnsi="Tw Cen MT"/>
          <w:sz w:val="24"/>
          <w:szCs w:val="20"/>
        </w:rPr>
        <w:t>i rata-rata ph 0,85-1,05, maka</w:t>
      </w:r>
      <w:r>
        <w:rPr>
          <w:rFonts w:ascii="Tw Cen MT" w:hAnsi="Tw Cen MT"/>
          <w:sz w:val="24"/>
          <w:szCs w:val="20"/>
        </w:rPr>
        <w:t xml:space="preserve"> semakin tinggi konsentrasi ekstrak yang digunakan maka semakin menurun pH sediaan yang dihasilkan</w:t>
      </w:r>
      <w:r>
        <w:rPr>
          <w:rFonts w:ascii="Tw Cen MT" w:hAnsi="Tw Cen MT" w:cs="Times New Roman"/>
          <w:sz w:val="24"/>
          <w:szCs w:val="24"/>
        </w:rPr>
        <w:t xml:space="preserve"> </w:t>
      </w:r>
      <w:r>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{"citationItems":[{"id":"ITEM-1","itemData":{"abstract":"Anthocyanin in the red dragon fruit peel can be used as natural colorant. Anthocyanins can be obtained using an extraction method. The maceration method was used to isolate anthocyanin. The objective of this research was to figure out the effect of the solvent ratio on the total anthocyanin content of red dragon fruit peel. This study employed a descriptive analytic approach in conjuction with a laboratory experiment. The solvent ratios used were (1:30, 1:40, 1:50 and 1:60) with a mixture of distilled water with 10% citric acid as the solvent. Parameters observed were total yield, pH, residual solvent content, spesific gravity and total anthocyanin content. The treatment with the greatest total anthocyanin concentration of 4.73 mg/L was red dragon fruit peel with a solvent ratio of 1:30. This treatment resulted total yield 7.40%, residual solvent content 0.05%, spesific gravity 1.30, and pH 1.05, respectively. It was proven that the more solvent added could linearly decrease the effectiveness of anthocyanin extraction of dragon fruit peel extracts.","author":[{"dropping-particle":"","family":"Widyasanti","given":"Asri","non-dropping-particle":"","parse-names":false,"suffix":""},{"dropping-particle":"","family":"Arsyad","given":"Muhammad Ziauddin","non-dropping-particle":"","parse-names":false,"suffix":""},{"dropping-particle":"","family":"Wulandari","given":"Dan Endah","non-dropping-particle":"","parse-names":false,"suffix":""}],"container-title":"| Jurnal Agroindustri","id":"ITEM-1","issue":"2","issued":{"date-parts":[["2021"]]},"page":"72-81","title":"EKSTRAKSI ANTOSIANIN KULIT BUAH NAGA MERAH (Hylocereus polyrhizus) MENGGUNAKAN METODE MASERASI ANTHOCYANIN EXTRACTION OF RED DRAGON FRUIT PEELS (Hylocereus polyrhizus) USING MACERATION METHOD","type":"article-journal","volume":"11"},"uris":["http://www.mendeley.com/documents/?uuid=3c6ce96f-e8ed-4a16-ad47-508a7dae72c6"]}],"mendeley":{"formattedCitation":"[15]","plainTextFormattedCitation":"[15]","previouslyFormattedCitation":"[15]"},"properties":{"noteIndex":0},"schema":"https://github.com/citation-style-language/schema/raw/master/csl-citation.json"}</w:instrText>
      </w:r>
      <w:r>
        <w:rPr>
          <w:rFonts w:ascii="Tw Cen MT" w:hAnsi="Tw Cen MT" w:cs="Times New Roman"/>
          <w:sz w:val="24"/>
          <w:szCs w:val="24"/>
        </w:rPr>
        <w:fldChar w:fldCharType="separate"/>
      </w:r>
      <w:r w:rsidR="0045676F" w:rsidRPr="0045676F">
        <w:rPr>
          <w:rFonts w:ascii="Tw Cen MT" w:hAnsi="Tw Cen MT" w:cs="Times New Roman"/>
          <w:noProof/>
          <w:sz w:val="24"/>
          <w:szCs w:val="24"/>
        </w:rPr>
        <w:t>[15]</w:t>
      </w:r>
      <w:r>
        <w:rPr>
          <w:rFonts w:ascii="Tw Cen MT" w:hAnsi="Tw Cen MT" w:cs="Times New Roman"/>
          <w:sz w:val="24"/>
          <w:szCs w:val="24"/>
        </w:rPr>
        <w:fldChar w:fldCharType="end"/>
      </w:r>
      <w:r w:rsidR="0045676F">
        <w:rPr>
          <w:rFonts w:ascii="Tw Cen MT" w:hAnsi="Tw Cen MT" w:cs="Times New Roman"/>
          <w:sz w:val="24"/>
          <w:szCs w:val="24"/>
        </w:rPr>
        <w:t xml:space="preserve"> ini didukung oleh penelitian </w:t>
      </w:r>
      <w:r w:rsidR="0045676F">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{"citationItems":[{"id":"ITEM-1","itemData":{"DOI":"10.20473/jfiki.v8i22021.125-131","ISSN":"2406-9388","abstract":"Pendahuluan: Kulit buah naga merah (Hylocereus lemairei) memiliki potensi sebagai bahan baku kosmetika, karena memiliki kandungan antioksidan yang cukup tinggi yang dapat dimanfaatkan sebagai pelembab kulit dan mencegah kulit kering. Tujuan: Penelitian ini bertujuan untuk mengetahui stabilitas fisik ekstrak kulit buah naga merah (Hylocereus lemairei) yang diformulasikan menjadi sediaan krim yang dapat dimanfaatkan sebagai pelembab pada tangan maupun seluruh badan. Metode: Krim dibuat dalam 3 seri konsentrasi yaitu 4%, 6% dan 8% serta basis krim sebagai kontrol negatif. Pengujian stabilitas krim meliputi, organoleptis, homogenitas, tipe krim, uji pH, daya sebar, viskositas, uji iritasi kulit, uji kesukaan serta uji stabilitas sediaan meliputi uji cycling test, uji mekanik, dan uji stabilitas selama penyimpanan pada suhu rendah (4 ± 2°C) dan suhu kamar (30°C).  Hasil: Hasil penelitian menunjukkan bahwa ekstrak kulit buah naga merah (Hylocereus lemairei) dapat diformulasikan dalam bentuk krim serta memiliki kestabilan yang cukup baik selama proses penyimpanan. Kesimpulan: Ekstrak kulit buah naga merah (Hylocereus lemairei) memiliki kestabilan yang baik sebagai sediaan krim yang dapat digunakan sebagai pelembab kulit tangan dan seluruh tubuh.","author":[{"dropping-particle":"","family":"Nurfita","given":"Erviana","non-dropping-particle":"","parse-names":false,"suffix":""},{"dropping-particle":"","family":"Mayefis","given":"Delladari","non-dropping-particle":"","parse-names":false,"suffix":""},{"dropping-particle":"","family":"Umar","given":"Salman","non-dropping-particle":"","parse-names":false,"suffix":""}],"container-title":"Jurnal Farmasi Dan Ilmu Kefarmasian Indonesia","id":"ITEM-1","issue":"2","issued":{"date-parts":[["2021"]]},"page":"125","title":"Uji Stabilitas Formulasi Hand and Body Cream Ekstrak Etanol Kulit Buah Naga Merah (Hylocereus lemairei)","type":"article-journal","volume":"8"},"uris":["http://www.mendeley.com/documents/?uuid=9a41f59e-a4aa-420c-aae0-20b153d8218c"]}],"mendeley":{"formattedCitation":"[16]","plainTextFormattedCitation":"[16]","previouslyFormattedCitation":"[16]"},"properties":{"noteIndex":0},"schema":"https://github.com/citation-style-language/schema/raw/master/csl-citation.json"}</w:instrText>
      </w:r>
      <w:r w:rsidR="0045676F">
        <w:rPr>
          <w:rFonts w:ascii="Tw Cen MT" w:hAnsi="Tw Cen MT" w:cs="Times New Roman"/>
          <w:sz w:val="24"/>
          <w:szCs w:val="24"/>
        </w:rPr>
        <w:fldChar w:fldCharType="separate"/>
      </w:r>
      <w:r w:rsidR="0045676F" w:rsidRPr="0045676F">
        <w:rPr>
          <w:rFonts w:ascii="Tw Cen MT" w:hAnsi="Tw Cen MT" w:cs="Times New Roman"/>
          <w:noProof/>
          <w:sz w:val="24"/>
          <w:szCs w:val="24"/>
        </w:rPr>
        <w:t>[16]</w:t>
      </w:r>
      <w:r w:rsidR="0045676F">
        <w:rPr>
          <w:rFonts w:ascii="Tw Cen MT" w:hAnsi="Tw Cen MT" w:cs="Times New Roman"/>
          <w:sz w:val="24"/>
          <w:szCs w:val="24"/>
        </w:rPr>
        <w:fldChar w:fldCharType="end"/>
      </w:r>
      <w:r w:rsidR="0045676F">
        <w:rPr>
          <w:rFonts w:ascii="Tw Cen MT" w:hAnsi="Tw Cen MT" w:cs="Times New Roman"/>
          <w:sz w:val="24"/>
          <w:szCs w:val="24"/>
        </w:rPr>
        <w:t xml:space="preserve"> yang didapatkan hasil pH secara berurut 7,19; 7,14; 7,00 dimana sediaan semakin asam ketika konsentrasi dari ekstak kulit buah naga dinaikan</w:t>
      </w:r>
    </w:p>
    <w:p w14:paraId="765E1C66" w14:textId="77777777" w:rsidR="002C1B6E" w:rsidRDefault="002C1B6E">
      <w:pPr>
        <w:tabs>
          <w:tab w:val="left" w:pos="426"/>
        </w:tabs>
        <w:spacing w:after="0" w:line="240" w:lineRule="auto"/>
        <w:jc w:val="both"/>
        <w:rPr>
          <w:rFonts w:ascii="Tw Cen MT" w:hAnsi="Tw Cen MT" w:cs="Times New Roman"/>
          <w:sz w:val="24"/>
          <w:szCs w:val="24"/>
        </w:rPr>
      </w:pPr>
    </w:p>
    <w:p w14:paraId="13746F44" w14:textId="77777777" w:rsidR="002C1B6E" w:rsidRDefault="00AB5BE7">
      <w:pPr>
        <w:tabs>
          <w:tab w:val="left" w:pos="426"/>
        </w:tabs>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Presentase Sweliing</w:t>
      </w:r>
    </w:p>
    <w:p w14:paraId="74DD4111" w14:textId="77777777" w:rsidR="002C1B6E" w:rsidRDefault="00AB5BE7">
      <w:pPr>
        <w:tabs>
          <w:tab w:val="left" w:pos="426"/>
        </w:tabs>
        <w:spacing w:after="0" w:line="240" w:lineRule="auto"/>
        <w:jc w:val="both"/>
        <w:rPr>
          <w:rFonts w:ascii="Tw Cen MT" w:hAnsi="Tw Cen MT" w:cs="Times New Roman"/>
          <w:sz w:val="24"/>
          <w:szCs w:val="24"/>
        </w:rPr>
      </w:pPr>
      <w:r>
        <w:rPr>
          <w:rFonts w:ascii="Tw Cen MT" w:hAnsi="Tw Cen MT" w:cs="Times New Roman"/>
          <w:sz w:val="24"/>
          <w:szCs w:val="24"/>
        </w:rPr>
        <w:t xml:space="preserve">Pengujian Persentase </w:t>
      </w:r>
      <w:r>
        <w:rPr>
          <w:rFonts w:ascii="Tw Cen MT" w:hAnsi="Tw Cen MT" w:cs="Times New Roman"/>
          <w:i/>
          <w:sz w:val="24"/>
          <w:szCs w:val="24"/>
        </w:rPr>
        <w:t xml:space="preserve">swelling </w:t>
      </w:r>
      <w:r>
        <w:rPr>
          <w:rFonts w:ascii="Tw Cen MT" w:hAnsi="Tw Cen MT" w:cs="Times New Roman"/>
          <w:sz w:val="24"/>
          <w:szCs w:val="24"/>
        </w:rPr>
        <w:t>bertujuan untuk melihat perkembangan sediaan yang paling baik</w:t>
      </w:r>
    </w:p>
    <w:p w14:paraId="6716204F"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 xml:space="preserve">Tabel 5. Hasil Uji </w:t>
      </w:r>
      <w:r>
        <w:rPr>
          <w:rFonts w:ascii="Tw Cen MT" w:eastAsia="Twentieth Century" w:hAnsi="Tw Cen MT" w:cs="Twentieth Century"/>
          <w:i/>
          <w:sz w:val="20"/>
          <w:szCs w:val="20"/>
        </w:rPr>
        <w:t>Swelling</w:t>
      </w:r>
      <w:r>
        <w:rPr>
          <w:rFonts w:ascii="Tw Cen MT" w:eastAsia="Twentieth Century" w:hAnsi="Tw Cen MT" w:cs="Twentieth Century"/>
          <w:sz w:val="20"/>
          <w:szCs w:val="20"/>
        </w:rPr>
        <w:t xml:space="preserve"> Hidrogel</w:t>
      </w:r>
    </w:p>
    <w:tbl>
      <w:tblPr>
        <w:tblStyle w:val="a0"/>
        <w:tblW w:w="4840"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625"/>
      </w:tblGrid>
      <w:tr w:rsidR="002C1B6E" w14:paraId="0D44F2A6" w14:textId="77777777">
        <w:trPr>
          <w:trHeight w:val="269"/>
          <w:jc w:val="center"/>
        </w:trPr>
        <w:tc>
          <w:tcPr>
            <w:tcW w:w="1590" w:type="dxa"/>
            <w:tcBorders>
              <w:top w:val="single" w:sz="4" w:space="0" w:color="000000"/>
            </w:tcBorders>
            <w:vAlign w:val="center"/>
          </w:tcPr>
          <w:p w14:paraId="56E26FB5"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47E45A01"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Sebelum (gram)</w:t>
            </w:r>
          </w:p>
        </w:tc>
        <w:tc>
          <w:tcPr>
            <w:tcW w:w="1625" w:type="dxa"/>
            <w:tcBorders>
              <w:top w:val="single" w:sz="4" w:space="0" w:color="000000"/>
            </w:tcBorders>
            <w:vAlign w:val="center"/>
          </w:tcPr>
          <w:p w14:paraId="1E5DBDB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Sesudah (gram)</w:t>
            </w:r>
          </w:p>
        </w:tc>
      </w:tr>
      <w:tr w:rsidR="002C1B6E" w14:paraId="29D45ED0" w14:textId="77777777">
        <w:trPr>
          <w:trHeight w:val="269"/>
          <w:jc w:val="center"/>
        </w:trPr>
        <w:tc>
          <w:tcPr>
            <w:tcW w:w="1590" w:type="dxa"/>
            <w:tcBorders>
              <w:top w:val="single" w:sz="4" w:space="0" w:color="000000"/>
            </w:tcBorders>
            <w:vAlign w:val="center"/>
          </w:tcPr>
          <w:p w14:paraId="291D8ED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6DFE95D7"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 xml:space="preserve">10 </w:t>
            </w:r>
          </w:p>
        </w:tc>
        <w:tc>
          <w:tcPr>
            <w:tcW w:w="1625" w:type="dxa"/>
            <w:tcBorders>
              <w:top w:val="single" w:sz="4" w:space="0" w:color="000000"/>
            </w:tcBorders>
            <w:vAlign w:val="center"/>
          </w:tcPr>
          <w:p w14:paraId="5AC745FA" w14:textId="77777777" w:rsidR="002C1B6E" w:rsidRDefault="00AB5BE7">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11.2301</w:t>
            </w:r>
          </w:p>
        </w:tc>
      </w:tr>
      <w:tr w:rsidR="002C1B6E" w14:paraId="1FC310A7" w14:textId="77777777">
        <w:trPr>
          <w:trHeight w:val="284"/>
          <w:jc w:val="center"/>
        </w:trPr>
        <w:tc>
          <w:tcPr>
            <w:tcW w:w="1590" w:type="dxa"/>
            <w:vAlign w:val="center"/>
          </w:tcPr>
          <w:p w14:paraId="534626FB"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tcPr>
          <w:p w14:paraId="455247B8"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10</w:t>
            </w:r>
          </w:p>
        </w:tc>
        <w:tc>
          <w:tcPr>
            <w:tcW w:w="1625" w:type="dxa"/>
          </w:tcPr>
          <w:p w14:paraId="00964433" w14:textId="77777777" w:rsidR="002C1B6E" w:rsidRDefault="00AB5BE7">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11.2430</w:t>
            </w:r>
          </w:p>
        </w:tc>
      </w:tr>
      <w:tr w:rsidR="002C1B6E" w14:paraId="5B3229A5" w14:textId="77777777">
        <w:trPr>
          <w:trHeight w:val="284"/>
          <w:jc w:val="center"/>
        </w:trPr>
        <w:tc>
          <w:tcPr>
            <w:tcW w:w="1590" w:type="dxa"/>
            <w:vAlign w:val="center"/>
          </w:tcPr>
          <w:p w14:paraId="19628C05"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tcPr>
          <w:p w14:paraId="74A26761"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10</w:t>
            </w:r>
          </w:p>
        </w:tc>
        <w:tc>
          <w:tcPr>
            <w:tcW w:w="1625" w:type="dxa"/>
          </w:tcPr>
          <w:p w14:paraId="1564E858" w14:textId="77777777" w:rsidR="002C1B6E" w:rsidRDefault="00AB5BE7">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11.9491</w:t>
            </w:r>
          </w:p>
        </w:tc>
      </w:tr>
      <w:tr w:rsidR="002C1B6E" w14:paraId="7BF073E9" w14:textId="77777777">
        <w:trPr>
          <w:trHeight w:val="284"/>
          <w:jc w:val="center"/>
        </w:trPr>
        <w:tc>
          <w:tcPr>
            <w:tcW w:w="1590" w:type="dxa"/>
            <w:vAlign w:val="center"/>
          </w:tcPr>
          <w:p w14:paraId="2E748931"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tcPr>
          <w:p w14:paraId="47BFE601"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10</w:t>
            </w:r>
          </w:p>
        </w:tc>
        <w:tc>
          <w:tcPr>
            <w:tcW w:w="1625" w:type="dxa"/>
          </w:tcPr>
          <w:p w14:paraId="27E79FF6" w14:textId="77777777" w:rsidR="002C1B6E" w:rsidRDefault="00AB5BE7">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12.0959</w:t>
            </w:r>
          </w:p>
        </w:tc>
      </w:tr>
    </w:tbl>
    <w:p w14:paraId="529B9FCA" w14:textId="519C10FA" w:rsidR="002C1B6E" w:rsidRDefault="00AB5BE7">
      <w:pPr>
        <w:spacing w:line="240" w:lineRule="auto"/>
        <w:jc w:val="both"/>
        <w:rPr>
          <w:rFonts w:ascii="Tw Cen MT" w:hAnsi="Tw Cen MT"/>
          <w:sz w:val="24"/>
          <w:szCs w:val="24"/>
        </w:rPr>
      </w:pPr>
      <w:r>
        <w:rPr>
          <w:rFonts w:ascii="Tw Cen MT" w:hAnsi="Tw Cen MT"/>
          <w:sz w:val="24"/>
          <w:szCs w:val="24"/>
        </w:rPr>
        <w:t xml:space="preserve">Uji </w:t>
      </w:r>
      <w:r>
        <w:rPr>
          <w:rFonts w:ascii="Tw Cen MT" w:hAnsi="Tw Cen MT"/>
          <w:i/>
          <w:sz w:val="24"/>
          <w:szCs w:val="24"/>
        </w:rPr>
        <w:t>rasio swelling</w:t>
      </w:r>
      <w:r>
        <w:rPr>
          <w:rFonts w:ascii="Tw Cen MT" w:hAnsi="Tw Cen MT"/>
          <w:sz w:val="24"/>
          <w:szCs w:val="24"/>
        </w:rPr>
        <w:t xml:space="preserve"> Rasio sediaan hidrogel dari kulit buah naga super merah (</w:t>
      </w:r>
      <w:r>
        <w:rPr>
          <w:rFonts w:ascii="Tw Cen MT" w:hAnsi="Tw Cen MT"/>
          <w:i/>
          <w:sz w:val="24"/>
          <w:szCs w:val="24"/>
        </w:rPr>
        <w:t>Selenicereus costaricensis</w:t>
      </w:r>
      <w:r>
        <w:rPr>
          <w:rFonts w:ascii="Tw Cen MT" w:hAnsi="Tw Cen MT"/>
          <w:sz w:val="24"/>
          <w:szCs w:val="24"/>
        </w:rPr>
        <w:t>)</w:t>
      </w:r>
      <w:r>
        <w:rPr>
          <w:rFonts w:ascii="Tw Cen MT" w:hAnsi="Tw Cen MT"/>
          <w:iCs/>
          <w:sz w:val="24"/>
          <w:szCs w:val="24"/>
        </w:rPr>
        <w:t xml:space="preserve"> </w:t>
      </w:r>
      <w:r>
        <w:rPr>
          <w:rFonts w:ascii="Tw Cen MT" w:hAnsi="Tw Cen MT"/>
          <w:sz w:val="24"/>
          <w:szCs w:val="24"/>
        </w:rPr>
        <w:t>dilakukan untuk mengetahui perbandingan berat hidrogel dalam keadaan menyerap air (</w:t>
      </w:r>
      <w:r>
        <w:rPr>
          <w:rFonts w:ascii="Tw Cen MT" w:hAnsi="Tw Cen MT"/>
          <w:i/>
          <w:sz w:val="24"/>
          <w:szCs w:val="24"/>
        </w:rPr>
        <w:t>swelling</w:t>
      </w:r>
      <w:r>
        <w:rPr>
          <w:rFonts w:ascii="Tw Cen MT" w:hAnsi="Tw Cen MT"/>
          <w:sz w:val="24"/>
          <w:szCs w:val="24"/>
        </w:rPr>
        <w:t xml:space="preserve">) terhadap berat keringnya merupakan salah satu parameter utama dari hidrogel khususnya untuk pengujian suatu bahan kandidat sebagai absorban. Salah satu karakteristik hidrogel yaitu mengalami swelling. Presentase swelling merupakan salah satu evaluasi yang dilakukan untuk mengetahui kemampuan mengembang dari hidrogel untuk dapat menyerap air </w:t>
      </w:r>
      <w:r>
        <w:rPr>
          <w:rFonts w:ascii="Tw Cen MT" w:hAnsi="Tw Cen MT"/>
          <w:sz w:val="24"/>
          <w:szCs w:val="24"/>
        </w:rPr>
        <w:fldChar w:fldCharType="begin" w:fldLock="1"/>
      </w:r>
      <w:r w:rsidR="00F54439">
        <w:rPr>
          <w:rFonts w:ascii="Tw Cen MT" w:hAnsi="Tw Cen MT"/>
          <w:sz w:val="24"/>
          <w:szCs w:val="24"/>
        </w:rPr>
        <w:instrText>ADDIN CSL_CITATION {"citationItems":[{"id":"ITEM-1","itemData":{"abstract":"Hidrogel adalah jaringan polimer hidrofilik yang terikat silang dan memiliki kapasitas mengembang (swelling) dengan menyerap air atau cairan biologis namun tidak larut karena adanya ikatan silang. Tujuan dari penelitian ini adalah untuk mendapatkan formulasi basis sediaan pembalut luka hidrogel dengan teknik beku leleh menggunakan kappa karagenan sebagai polimer alam pembentuk gel. Basis hidrogel dibuat dengan memvariasikan konsentrasi PVP, PVA dan kappa karagenan. Basis hidrogel yang terbentuk dilakukan evaluasi meliputi uji organoleptik, rasio swelling dan fraksi gel. Formula basis hidrogel dengan karakteristik terbaik yaitu PVP 1%, Kappa karagenan 2%, KCl 0,2%, agar 1%, PEG 400 1% dan gliserin 1% dengan 5 siklus freezing and thawing. Basis hidrogel yang dihasilkan memiliki bentuk yang padat dan kaku, warna bening kekuningan dan bau khas karagenan, nilai rasio swelling sebesar 4,91 g dan fraksi gel 65,39%.","author":[{"dropping-particle":"","family":"Kartika","given":"Rikka","non-dropping-particle":"","parse-names":false,"suffix":""},{"dropping-particle":"","family":"Gadri","given":"Amila","non-dropping-particle":"","parse-names":false,"suffix":""},{"dropping-particle":"","family":"Darma","given":"G C Eka","non-dropping-particle":"","parse-names":false,"suffix":""}],"container-title":"Prosiding Penelitian SPeSIA Unisba","id":"ITEM-1","issue":"0","issued":{"date-parts":[["2015"]]},"page":"643-648","title":"Formulasi Basis Sediaan Pembalut Luka Hidrogel dengan Teknik Beku Leleh Menggunakan Polimer Kappa Karagenan","type":"article-journal","volume":"0"},"uris":["http://www.mendeley.com/documents/?uuid=8ac46719-5e38-484c-9984-5cde53d79c6a"]}],"mendeley":{"formattedCitation":"[17]","plainTextFormattedCitation":"[17]","previouslyFormattedCitation":"[17]"},"properties":{"noteIndex":0},"schema":"https://github.com/citation-style-language/schema/raw/master/csl-citation.json"}</w:instrText>
      </w:r>
      <w:r>
        <w:rPr>
          <w:rFonts w:ascii="Tw Cen MT" w:hAnsi="Tw Cen MT"/>
          <w:sz w:val="24"/>
          <w:szCs w:val="24"/>
        </w:rPr>
        <w:fldChar w:fldCharType="separate"/>
      </w:r>
      <w:r w:rsidR="00B93572" w:rsidRPr="00B93572">
        <w:rPr>
          <w:rFonts w:ascii="Tw Cen MT" w:hAnsi="Tw Cen MT"/>
          <w:noProof/>
          <w:sz w:val="24"/>
          <w:szCs w:val="24"/>
        </w:rPr>
        <w:t>[17]</w:t>
      </w:r>
      <w:r>
        <w:rPr>
          <w:rFonts w:ascii="Tw Cen MT" w:hAnsi="Tw Cen MT"/>
          <w:sz w:val="24"/>
          <w:szCs w:val="24"/>
        </w:rPr>
        <w:fldChar w:fldCharType="end"/>
      </w:r>
      <w:r>
        <w:rPr>
          <w:rFonts w:ascii="Tw Cen MT" w:hAnsi="Tw Cen MT"/>
          <w:sz w:val="24"/>
          <w:szCs w:val="24"/>
        </w:rPr>
        <w:t xml:space="preserve">. </w:t>
      </w:r>
    </w:p>
    <w:p w14:paraId="374DE2D2" w14:textId="53648055" w:rsidR="002C1B6E" w:rsidRDefault="00AB5BE7">
      <w:pPr>
        <w:spacing w:line="240" w:lineRule="auto"/>
        <w:jc w:val="both"/>
        <w:rPr>
          <w:rFonts w:ascii="Tw Cen MT" w:hAnsi="Tw Cen MT" w:cs="Times New Roman"/>
          <w:sz w:val="24"/>
          <w:szCs w:val="24"/>
        </w:rPr>
      </w:pPr>
      <w:r>
        <w:rPr>
          <w:rFonts w:ascii="Tw Cen MT" w:hAnsi="Tw Cen MT" w:cs="Times New Roman"/>
          <w:sz w:val="24"/>
          <w:szCs w:val="24"/>
        </w:rPr>
        <w:lastRenderedPageBreak/>
        <w:t xml:space="preserve">Dari tabel 5 menunjukan bahwa sediaan hidogel dari ekstrak kulit buah naga super merah semuanya mengalami kenaikan bobot. Hasil dari data </w:t>
      </w:r>
      <w:r>
        <w:rPr>
          <w:rFonts w:ascii="Tw Cen MT" w:hAnsi="Tw Cen MT" w:cs="Times New Roman"/>
          <w:i/>
          <w:sz w:val="24"/>
          <w:szCs w:val="24"/>
        </w:rPr>
        <w:t xml:space="preserve">swelling </w:t>
      </w:r>
      <w:r>
        <w:rPr>
          <w:rFonts w:ascii="Tw Cen MT" w:hAnsi="Tw Cen MT" w:cs="Times New Roman"/>
          <w:sz w:val="24"/>
          <w:szCs w:val="24"/>
        </w:rPr>
        <w:t xml:space="preserve">didapatkan hasil bahwa ekstrak yang ditambahkan mempengaruhi pengembangan hidrogel artinya peningkatan bobot sediaan menunjukan bahwa air telah terserap ke dalam hidrogel saat perendaman di dalam aquadest dan semakin besar ekstrak dari kulit buah naga super merah yang di gunakan semakin besar pula pengembangan hidrogel yang dihasilkan </w:t>
      </w:r>
      <w:r>
        <w:rPr>
          <w:rFonts w:ascii="Tw Cen MT" w:hAnsi="Tw Cen MT" w:cs="Times New Roman"/>
          <w:sz w:val="24"/>
          <w:szCs w:val="24"/>
        </w:rPr>
        <w:fldChar w:fldCharType="begin" w:fldLock="1"/>
      </w:r>
      <w:r w:rsidR="00F54439">
        <w:rPr>
          <w:rFonts w:ascii="Tw Cen MT" w:hAnsi="Tw Cen MT" w:cs="Times New Roman"/>
          <w:sz w:val="24"/>
          <w:szCs w:val="24"/>
        </w:rPr>
        <w:instrText>ADDIN CSL_CITATION {"citationItems":[{"id":"ITEM-1","itemData":{"abstract":"Wrinkles are a clinical manifestation of skin aging and the factors associated with wrinkles can be both intrinsic and extrinsic. Intrinsic skin aging manifests clinically as signs such as increased dryness, wrinkling, and thinning of the skin. Extrinsic skin aging is caused by exposure to UV radiation, so it will increase Reactive Oxygen Species (ROS) which can have an impact on skin aging at a young age. Antiaging can be done using cosmetic treatments, topical agents containing antioxidants and cell regulators. This study aims to determine the physical and chemical characteristics and antiaging effectiveness of the combination of asiaticoside and astaxanthin in the form of a good hydrogel eye patch. The hydrogel eye patch was formulated into four formulas, F0 as a base, F1 using the active substance asiaticoside with a concentration of 1%, F2 using the active substance astaxanthin 1% concentration, and F3 using the active substance a combination of asiaticoside and astaxanthin the best formula was obtained, namely F3 with the active substance asiaticoside and astaxanthin with the results of organoleptic test, weight and size test, pH test, swelling ratio, multiple resistance, shrinkage test, storage stability test, moisture test, irritation test, hedonic test, and antiaging effectiveness test. The results of the effectiveness of the antiaging hydrogel eye patch for 2 weeks showed that F3 was the best formula with a yield of 39.72%. Statistical test results with One Way Anova obtained sig &lt;0.05, indicating a significant difference at a significant level of 0.05 for the treatment every week using the hydrogel eye patch. The results of observations of hydrogel eye patch preparations that were obtained fulfilled the applicable requirements by using asiaticoside and astaxanthin in the hydrogel eye patch formula as antiaging.","author":[{"dropping-particle":"","family":"Agis Wahyuni","given":"Pina","non-dropping-particle":"","parse-names":false,"suffix":""},{"dropping-particle":"","family":"Nurdianti","given":"Lusi","non-dropping-particle":"","parse-names":false,"suffix":""},{"dropping-particle":"","family":"Gustaman","given":"Firman","non-dropping-particle":"","parse-names":false,"suffix":""}],"container-title":"Prosiding Seminar Nasional Diseminasi Penelitian","id":"ITEM-1","issue":"September","issued":{"date-parts":[["2023"]]},"page":"2964-6154","title":"Formulasi dan Evaluasi Sediaan Hydrogel eye patch Kombinasi Aciaticoside Tanaman Pegagan (Centella asiatica L.) dan Astaxanthin Sebagai Antiaging","type":"article-journal","volume":"3"},"uris":["http://www.mendeley.com/documents/?uuid=b98023a6-5054-49cd-9c46-f67a3feb48ef"]}],"mendeley":{"formattedCitation":"[18]","plainTextFormattedCitation":"[18]","previouslyFormattedCitation":"[18]"},"properties":{"noteIndex":0},"schema":"https://github.com/citation-style-language/schema/raw/master/csl-citation.json"}</w:instrText>
      </w:r>
      <w:r>
        <w:rPr>
          <w:rFonts w:ascii="Tw Cen MT" w:hAnsi="Tw Cen MT" w:cs="Times New Roman"/>
          <w:sz w:val="24"/>
          <w:szCs w:val="24"/>
        </w:rPr>
        <w:fldChar w:fldCharType="separate"/>
      </w:r>
      <w:r w:rsidR="00B93572" w:rsidRPr="00B93572">
        <w:rPr>
          <w:rFonts w:ascii="Tw Cen MT" w:hAnsi="Tw Cen MT" w:cs="Times New Roman"/>
          <w:noProof/>
          <w:sz w:val="24"/>
          <w:szCs w:val="24"/>
        </w:rPr>
        <w:t>[18]</w:t>
      </w:r>
      <w:r>
        <w:rPr>
          <w:rFonts w:ascii="Tw Cen MT" w:hAnsi="Tw Cen MT" w:cs="Times New Roman"/>
          <w:sz w:val="24"/>
          <w:szCs w:val="24"/>
        </w:rPr>
        <w:fldChar w:fldCharType="end"/>
      </w:r>
      <w:r>
        <w:rPr>
          <w:rFonts w:ascii="Tw Cen MT" w:hAnsi="Tw Cen MT" w:cs="Times New Roman"/>
          <w:sz w:val="24"/>
          <w:szCs w:val="24"/>
        </w:rPr>
        <w:t>.</w:t>
      </w:r>
    </w:p>
    <w:p w14:paraId="42037558" w14:textId="77777777" w:rsidR="002C1B6E" w:rsidRDefault="00AB5BE7">
      <w:pPr>
        <w:spacing w:line="240" w:lineRule="auto"/>
        <w:jc w:val="both"/>
        <w:rPr>
          <w:rFonts w:ascii="Tw Cen MT" w:hAnsi="Tw Cen MT" w:cs="Times New Roman"/>
          <w:sz w:val="24"/>
          <w:szCs w:val="24"/>
        </w:rPr>
      </w:pPr>
      <w:r>
        <w:rPr>
          <w:rFonts w:ascii="Tw Cen MT" w:hAnsi="Tw Cen MT" w:cs="Times New Roman"/>
          <w:sz w:val="24"/>
          <w:szCs w:val="24"/>
        </w:rPr>
        <w:t>bertujuan untuk melihat sediaan mana yang paling banyak menyerap air karena diharapkan saat sediaan banyak menyerap air maka saat diaplikasikan ke kulit, sediaan dapat lebih lama melembabkan kulit dari pada gel biasa, sediaan yang paling banyak menyerap air dari bobot keringnya adalah F4 dengan ekstrak maserasi. Kekurangan peneliti, peneliti tidak melakukan penimbangan kembali hidrogel pada saaat hidrogel dalam kondisi kering saat pengujian</w:t>
      </w:r>
    </w:p>
    <w:p w14:paraId="19B98FC1" w14:textId="77777777" w:rsidR="002C1B6E" w:rsidRDefault="00AB5BE7">
      <w:pPr>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Freeze and Thaw</w:t>
      </w:r>
    </w:p>
    <w:p w14:paraId="0D95A930" w14:textId="3E3628E5" w:rsidR="002C1B6E" w:rsidRDefault="00AB5BE7">
      <w:pPr>
        <w:spacing w:after="0" w:line="240" w:lineRule="auto"/>
        <w:jc w:val="both"/>
        <w:rPr>
          <w:rFonts w:ascii="Tw Cen MT" w:hAnsi="Tw Cen MT" w:cs="Times New Roman"/>
          <w:color w:val="000000"/>
          <w:sz w:val="24"/>
          <w:szCs w:val="24"/>
        </w:rPr>
      </w:pPr>
      <w:r>
        <w:rPr>
          <w:rFonts w:ascii="Tw Cen MT" w:hAnsi="Tw Cen MT" w:cs="Times New Roman"/>
          <w:sz w:val="24"/>
          <w:szCs w:val="24"/>
        </w:rPr>
        <w:t xml:space="preserve">Pengujian </w:t>
      </w:r>
      <w:r>
        <w:rPr>
          <w:rFonts w:ascii="Tw Cen MT" w:hAnsi="Tw Cen MT" w:cs="Times New Roman"/>
          <w:bCs/>
          <w:i/>
          <w:iCs/>
          <w:color w:val="000000"/>
          <w:sz w:val="24"/>
          <w:szCs w:val="24"/>
        </w:rPr>
        <w:t>Freeze and Thaw</w:t>
      </w:r>
      <w:r>
        <w:rPr>
          <w:rFonts w:ascii="Tw Cen MT" w:hAnsi="Tw Cen MT" w:cs="Times New Roman"/>
          <w:bCs/>
          <w:iCs/>
          <w:color w:val="000000"/>
          <w:sz w:val="24"/>
          <w:szCs w:val="24"/>
        </w:rPr>
        <w:t xml:space="preserve"> dilakukan untuk melihat kestabilan dari sediaan hidrogel dengan 4 formulasi berbeda. Kestabilan dilihat dari variasi penyimpanan yaitu pada suhu </w:t>
      </w:r>
      <w:r>
        <w:rPr>
          <w:rFonts w:ascii="Tw Cen MT" w:hAnsi="Tw Cen MT" w:cs="Times New Roman"/>
          <w:color w:val="000000"/>
          <w:sz w:val="24"/>
          <w:szCs w:val="24"/>
        </w:rPr>
        <w:t>4</w:t>
      </w:r>
      <w:r>
        <w:rPr>
          <w:rFonts w:ascii="Tw Cen MT" w:hAnsi="Tw Cen MT" w:cs="Times New Roman"/>
          <w:color w:val="000000"/>
          <w:sz w:val="24"/>
          <w:szCs w:val="24"/>
        </w:rPr>
        <w:sym w:font="Symbol" w:char="F0B0"/>
      </w:r>
      <w:r>
        <w:rPr>
          <w:rFonts w:ascii="Tw Cen MT" w:hAnsi="Tw Cen MT" w:cs="Times New Roman"/>
          <w:color w:val="000000"/>
          <w:sz w:val="24"/>
          <w:szCs w:val="24"/>
        </w:rPr>
        <w:t>C dan 40</w:t>
      </w:r>
      <w:r>
        <w:rPr>
          <w:rFonts w:ascii="Tw Cen MT" w:hAnsi="Tw Cen MT" w:cs="Times New Roman"/>
          <w:color w:val="000000"/>
          <w:sz w:val="24"/>
          <w:szCs w:val="24"/>
        </w:rPr>
        <w:sym w:font="Symbol" w:char="F0B0"/>
      </w:r>
      <w:r>
        <w:rPr>
          <w:rFonts w:ascii="Tw Cen MT" w:hAnsi="Tw Cen MT" w:cs="Times New Roman"/>
          <w:color w:val="000000"/>
          <w:sz w:val="24"/>
          <w:szCs w:val="24"/>
        </w:rPr>
        <w:t>C, lalu dilakukan pengukuran pH, viskositas dan organoaleptis.</w:t>
      </w:r>
      <w:r w:rsidR="00E97529">
        <w:rPr>
          <w:rFonts w:ascii="Tw Cen MT" w:hAnsi="Tw Cen MT" w:cs="Times New Roman"/>
          <w:color w:val="000000"/>
          <w:sz w:val="24"/>
          <w:szCs w:val="24"/>
        </w:rPr>
        <w:t xml:space="preserve"> </w:t>
      </w:r>
    </w:p>
    <w:p w14:paraId="3ECBA013" w14:textId="77777777" w:rsidR="00757078" w:rsidRDefault="00757078">
      <w:pPr>
        <w:spacing w:after="0" w:line="240" w:lineRule="auto"/>
        <w:jc w:val="both"/>
        <w:rPr>
          <w:rFonts w:ascii="Tw Cen MT" w:hAnsi="Tw Cen MT" w:cs="Times New Roman"/>
          <w:bCs/>
          <w:i/>
          <w:iCs/>
          <w:color w:val="000000"/>
          <w:sz w:val="24"/>
          <w:szCs w:val="24"/>
        </w:rPr>
      </w:pPr>
    </w:p>
    <w:p w14:paraId="46525FD1" w14:textId="3B2C2853" w:rsidR="00757078" w:rsidRDefault="00AB5BE7" w:rsidP="00757078">
      <w:pPr>
        <w:spacing w:after="0" w:line="240" w:lineRule="auto"/>
        <w:jc w:val="both"/>
        <w:rPr>
          <w:rFonts w:ascii="Tw Cen MT" w:hAnsi="Tw Cen MT"/>
          <w:sz w:val="24"/>
        </w:rPr>
      </w:pPr>
      <w:r>
        <w:rPr>
          <w:rFonts w:ascii="Tw Cen MT" w:hAnsi="Tw Cen MT"/>
          <w:sz w:val="24"/>
          <w:szCs w:val="24"/>
        </w:rPr>
        <w:t xml:space="preserve">Hasil </w:t>
      </w:r>
      <w:r>
        <w:rPr>
          <w:rFonts w:ascii="Tw Cen MT" w:hAnsi="Tw Cen MT"/>
          <w:i/>
          <w:sz w:val="24"/>
          <w:szCs w:val="24"/>
        </w:rPr>
        <w:t xml:space="preserve">Freeze and thaw </w:t>
      </w:r>
      <w:r>
        <w:rPr>
          <w:rFonts w:ascii="Tw Cen MT" w:hAnsi="Tw Cen MT"/>
          <w:sz w:val="24"/>
          <w:szCs w:val="24"/>
        </w:rPr>
        <w:t>organoleptis sediaan mengalami perubahan warna pada suhu 40</w:t>
      </w:r>
      <w:r>
        <w:rPr>
          <w:rFonts w:ascii="Tw Cen MT" w:hAnsi="Tw Cen MT" w:cs="Times New Roman"/>
          <w:color w:val="000000"/>
          <w:sz w:val="24"/>
          <w:szCs w:val="24"/>
        </w:rPr>
        <w:sym w:font="Symbol" w:char="F0B0"/>
      </w:r>
      <w:r>
        <w:rPr>
          <w:rFonts w:ascii="Tw Cen MT" w:hAnsi="Tw Cen MT" w:cs="Times New Roman"/>
          <w:color w:val="000000"/>
          <w:sz w:val="24"/>
          <w:szCs w:val="24"/>
        </w:rPr>
        <w:t xml:space="preserve">C pudar siklus pertama dan pada siklus seterusnya warna sediaan makin pudar, dapat disimpulkan bahwa sediaan hidrogel dari ekstrak kulit buah naga super merah tidak stabil pada penyimpanan suhu tinggi hal telah di uji oleh </w:t>
      </w:r>
      <w:r>
        <w:rPr>
          <w:rFonts w:ascii="Tw Cen MT" w:hAnsi="Tw Cen MT" w:cs="Times New Roman"/>
          <w:sz w:val="24"/>
          <w:szCs w:val="24"/>
        </w:rPr>
        <w:fldChar w:fldCharType="begin" w:fldLock="1"/>
      </w:r>
      <w:r w:rsidR="00757078">
        <w:rPr>
          <w:rFonts w:ascii="Tw Cen MT" w:hAnsi="Tw Cen MT" w:cs="Times New Roman"/>
          <w:sz w:val="24"/>
          <w:szCs w:val="24"/>
        </w:rPr>
        <w:instrText>ADDIN CSL_CITATION {"citationItems":[{"id":"ITEM-1","itemData":{"DOI":"10.25026/mpc.v14i1.557","abstract":"Red dragon fruit peel (Hylocereus polyrhizus) is an agricultural waste that contains quite high natural anthocyanin pigments. The purpose of this study was to determine how the effect of solvent, temperature and pH on the total content and stability of anthocyanins from liquid extract of red dragon fruit peel. Extraction of anthocyanins from red dragon fruit peel using maceration method with solvent distilled water, distilled water: acetic acid 10% (1:6), and distilled water: citric acid 10% (1:6) and testing was carried out in the form of anthocyanin stability tests at pH 1, 2, 3, 4, 5 and temperatures 0°C, 10°C, 20°C, 30°C, 40°C, 50°C. The results obtained showed that the use of distilled water:citric acid 10% (1:6) as a solvent resulted in the highest total anthocyanin content with 18.034 mg/200 mg and the results of the anthocyanin stability test showed that it was stable at pH 1, 2, 3 and at temperatures of 10°C, 20°C, 30°C.","author":[{"dropping-particle":"","family":"Almajid","given":"Gusti Alamsyah Abdil","non-dropping-particle":"","parse-names":false,"suffix":""},{"dropping-particle":"","family":"Rusli","given":"Rolan","non-dropping-particle":"","parse-names":false,"suffix":""},{"dropping-particle":"","family":"Priastomo","given":"Mukti","non-dropping-particle":"","parse-names":false,"suffix":""}],"container-title":"Proceeding of Mulawarman Pharmaceuticals Conferences","id":"ITEM-1","issued":{"date-parts":[["2021"]]},"page":"179-185","title":"Pengaruh Pelarut, Suhu, dan pH Terhadap Pigmen Antosianin dari Ekstrak Kulit Buah Naga Merah (Hylocereus Polyrhizus)","type":"article-journal","volume":"14"},"uris":["http://www.mendeley.com/documents/?uuid=b92743d7-ed0e-47e9-a893-f999f767429e"]}],"mendeley":{"formattedCitation":"[19]","plainTextFormattedCitation":"[19]","previouslyFormattedCitation":"[19]"},"properties":{"noteIndex":0},"schema":"https://github.com/citation-style-language/schema/raw/master/csl-citation.json"}</w:instrText>
      </w:r>
      <w:r>
        <w:rPr>
          <w:rFonts w:ascii="Tw Cen MT" w:hAnsi="Tw Cen MT" w:cs="Times New Roman"/>
          <w:sz w:val="24"/>
          <w:szCs w:val="24"/>
        </w:rPr>
        <w:fldChar w:fldCharType="separate"/>
      </w:r>
      <w:r w:rsidR="00F73DAF" w:rsidRPr="00F73DAF">
        <w:rPr>
          <w:rFonts w:ascii="Tw Cen MT" w:hAnsi="Tw Cen MT" w:cs="Times New Roman"/>
          <w:noProof/>
          <w:sz w:val="24"/>
          <w:szCs w:val="24"/>
        </w:rPr>
        <w:t>[19]</w:t>
      </w:r>
      <w:r>
        <w:rPr>
          <w:rFonts w:ascii="Tw Cen MT" w:hAnsi="Tw Cen MT" w:cs="Times New Roman"/>
          <w:sz w:val="24"/>
          <w:szCs w:val="24"/>
        </w:rPr>
        <w:fldChar w:fldCharType="end"/>
      </w:r>
      <w:r>
        <w:rPr>
          <w:rFonts w:ascii="Tw Cen MT" w:hAnsi="Tw Cen MT" w:cs="Times New Roman"/>
          <w:sz w:val="24"/>
          <w:szCs w:val="24"/>
        </w:rPr>
        <w:t xml:space="preserve"> yang menyebutkan zat antosianin pada kulit buah naga super merah sebagai pigmen war</w:t>
      </w:r>
      <w:r w:rsidR="00757078">
        <w:rPr>
          <w:rFonts w:ascii="Tw Cen MT" w:hAnsi="Tw Cen MT" w:cs="Times New Roman"/>
          <w:sz w:val="24"/>
          <w:szCs w:val="24"/>
        </w:rPr>
        <w:t xml:space="preserve">na stabil pada </w:t>
      </w:r>
      <w:r w:rsidR="00757078">
        <w:rPr>
          <w:rFonts w:ascii="Tw Cen MT" w:hAnsi="Tw Cen MT" w:cs="Times New Roman"/>
          <w:sz w:val="24"/>
          <w:szCs w:val="24"/>
        </w:rPr>
        <w:t>rentang suhu 10-4</w:t>
      </w:r>
      <w:r>
        <w:rPr>
          <w:rFonts w:ascii="Tw Cen MT" w:hAnsi="Tw Cen MT" w:cs="Times New Roman"/>
          <w:sz w:val="24"/>
          <w:szCs w:val="24"/>
        </w:rPr>
        <w:t>0</w:t>
      </w:r>
      <w:r>
        <w:rPr>
          <w:rFonts w:ascii="Tw Cen MT" w:hAnsi="Tw Cen MT" w:cs="Times New Roman"/>
          <w:color w:val="000000"/>
          <w:sz w:val="24"/>
          <w:szCs w:val="24"/>
        </w:rPr>
        <w:sym w:font="Symbol" w:char="F0B0"/>
      </w:r>
      <w:r>
        <w:rPr>
          <w:rFonts w:ascii="Tw Cen MT" w:hAnsi="Tw Cen MT" w:cs="Times New Roman"/>
          <w:color w:val="000000"/>
          <w:sz w:val="24"/>
          <w:szCs w:val="24"/>
        </w:rPr>
        <w:t>C.</w:t>
      </w:r>
      <w:r w:rsidR="00757078">
        <w:rPr>
          <w:rFonts w:ascii="Tw Cen MT" w:hAnsi="Tw Cen MT" w:cs="Times New Roman"/>
          <w:color w:val="000000"/>
          <w:sz w:val="24"/>
          <w:szCs w:val="24"/>
        </w:rPr>
        <w:t xml:space="preserve"> . Hal ini didukung oleh </w:t>
      </w:r>
      <w:r w:rsidR="00757078">
        <w:rPr>
          <w:rFonts w:ascii="Tw Cen MT" w:hAnsi="Tw Cen MT" w:cs="Times New Roman"/>
          <w:color w:val="000000"/>
          <w:sz w:val="24"/>
          <w:szCs w:val="24"/>
        </w:rPr>
        <w:fldChar w:fldCharType="begin" w:fldLock="1"/>
      </w:r>
      <w:r w:rsidR="00757078">
        <w:rPr>
          <w:rFonts w:ascii="Tw Cen MT" w:hAnsi="Tw Cen MT" w:cs="Times New Roman"/>
          <w:color w:val="000000"/>
          <w:sz w:val="24"/>
          <w:szCs w:val="24"/>
        </w:rPr>
        <w:instrText>ADDIN CSL_CITATION {"citationItems":[{"id":"ITEM-1","itemData":{"DOI":"10.14710/jksa.13.2.51-56","ISSN":"1410-8917","abstract":"Kulit buah naga merupakan limbah hasil pertanian yang selama ini belum dimanfaatkan, padahal kulit buah naga mengandung zat warna alami betasianin cukup tinggi. Betasianin merupakan zat warna yang berperan memberikan warna merah dan merupakan golongan betalain yang berpotensi menjadi pewarna alami untuk pangan dan dapat dijadikan alternatif pengganti pewarna sintetik yang lebih aman bagi kesehatan. Penelitian bertujuan untuk mengekstrak zat warna betasianin dari kulit buah naga (Hylocereus polyrhizus) dan diaplikasikan sebagai pewarna alami pangan. Ekstraksi betasianin dilakukan dengan metode maserasi menggunakan pelarut etanol 80%. Parameter yang diterapkan pada penentuan kestabilan ekstrak yang diperoleh adalah pemanasan pada temperatur 25°C-100°C, variasi pH 2,5- 9,5, dan pembandingan dengan perlakuan pemanasan dan paparan cahaya matahari. Serbuk betasianin diperoleh dengan pengeringan ekstrak betasianin menggunakan metode freeze drying. Serbuk betasianin yang diperoleh diaplikasikan sebagai pewarna alami pangan, seperti yoghurt, es krim, dan adonan kue bolu. Pada uji kestabilan betasianin terhadap perubahan temperatur dan perubahan pH diperoleh warna betasianin paling stabil pada pH 4,5 dan pada temperatur di bawah 40°C. Ekstrak yang ditambahkan asam, stabil terhadap pemanasan dan paparan cahaya matahari. Serbuk betasianin dapat diaplikasikan sebagai pewarna alami pangan untuk makanan yang penyimpanannya dalam suhu rendah seperti es krim dan yoghurt.","author":[{"dropping-particle":"","family":"Agne","given":"Erza Bestari Pranutik","non-dropping-particle":"","parse-names":false,"suffix":""},{"dropping-particle":"","family":"Hastuti","given":"Rum","non-dropping-particle":"","parse-names":false,"suffix":""},{"dropping-particle":"","family":"Khabibi","given":"Khabibi","non-dropping-particle":"","parse-names":false,"suffix":""}],"container-title":"Jurnal Kimia Sains dan Aplikasi","id":"ITEM-1","issue":"2","issued":{"date-parts":[["2010"]]},"page":"51-56","title":"Ekstraksi dan Uji Kestabilan Zat Warna Betasianin dari Kulit Buah Naga (Hylocereus polyrhizus) serta Aplikasinya sebagai Pewarna Alami Pangan","type":"article-journal","volume":"13"},"uris":["http://www.mendeley.com/documents/?uuid=cd564f05-de41-46bc-828b-f7d2e1f97c1f"]}],"mendeley":{"formattedCitation":"[20]","plainTextFormattedCitation":"[20]"},"properties":{"noteIndex":0},"schema":"https://github.com/citation-style-language/schema/raw/master/csl-citation.json"}</w:instrText>
      </w:r>
      <w:r w:rsidR="00757078">
        <w:rPr>
          <w:rFonts w:ascii="Tw Cen MT" w:hAnsi="Tw Cen MT" w:cs="Times New Roman"/>
          <w:color w:val="000000"/>
          <w:sz w:val="24"/>
          <w:szCs w:val="24"/>
        </w:rPr>
        <w:fldChar w:fldCharType="separate"/>
      </w:r>
      <w:r w:rsidR="00757078" w:rsidRPr="00757078">
        <w:rPr>
          <w:rFonts w:ascii="Tw Cen MT" w:hAnsi="Tw Cen MT" w:cs="Times New Roman"/>
          <w:noProof/>
          <w:color w:val="000000"/>
          <w:sz w:val="24"/>
          <w:szCs w:val="24"/>
        </w:rPr>
        <w:t>[20]</w:t>
      </w:r>
      <w:r w:rsidR="00757078">
        <w:rPr>
          <w:rFonts w:ascii="Tw Cen MT" w:hAnsi="Tw Cen MT" w:cs="Times New Roman"/>
          <w:color w:val="000000"/>
          <w:sz w:val="24"/>
          <w:szCs w:val="24"/>
        </w:rPr>
        <w:fldChar w:fldCharType="end"/>
      </w:r>
      <w:r w:rsidR="00757078">
        <w:rPr>
          <w:rFonts w:ascii="Tw Cen MT" w:hAnsi="Tw Cen MT" w:cs="Times New Roman"/>
          <w:color w:val="000000"/>
          <w:sz w:val="24"/>
          <w:szCs w:val="24"/>
        </w:rPr>
        <w:t xml:space="preserve"> yang mana temperature diatas 40</w:t>
      </w:r>
      <w:r w:rsidR="00757078">
        <w:rPr>
          <w:rFonts w:ascii="Tw Cen MT" w:hAnsi="Tw Cen MT" w:cs="Times New Roman"/>
          <w:color w:val="000000"/>
          <w:sz w:val="24"/>
          <w:szCs w:val="24"/>
        </w:rPr>
        <w:sym w:font="Symbol" w:char="F0B0"/>
      </w:r>
      <w:r w:rsidR="00757078">
        <w:rPr>
          <w:rFonts w:ascii="Tw Cen MT" w:hAnsi="Tw Cen MT" w:cs="Times New Roman"/>
          <w:color w:val="000000"/>
          <w:sz w:val="24"/>
          <w:szCs w:val="24"/>
        </w:rPr>
        <w:t xml:space="preserve">C </w:t>
      </w:r>
      <w:r w:rsidR="00757078" w:rsidRPr="00757078">
        <w:rPr>
          <w:rFonts w:ascii="Tw Cen MT" w:hAnsi="Tw Cen MT"/>
          <w:sz w:val="24"/>
        </w:rPr>
        <w:t xml:space="preserve">terjadi perubahan warna semakin cepat berubah dari merah menjadi oranye kemudian kuning. Warna ekstrak etanol kulit buah naga semakin cepat berubah sebanding dengan kenaikan </w:t>
      </w:r>
      <w:r w:rsidR="00757078">
        <w:rPr>
          <w:rFonts w:ascii="Tw Cen MT" w:hAnsi="Tw Cen MT"/>
          <w:sz w:val="24"/>
        </w:rPr>
        <w:t>temperature</w:t>
      </w:r>
    </w:p>
    <w:p w14:paraId="118E4AC2" w14:textId="77777777" w:rsidR="00757078" w:rsidRPr="00757078" w:rsidRDefault="00757078" w:rsidP="00757078">
      <w:pPr>
        <w:spacing w:after="0" w:line="240" w:lineRule="auto"/>
        <w:jc w:val="both"/>
        <w:rPr>
          <w:rFonts w:ascii="Tw Cen MT" w:hAnsi="Tw Cen MT" w:cs="Times New Roman"/>
          <w:bCs/>
          <w:i/>
          <w:iCs/>
          <w:color w:val="000000"/>
          <w:sz w:val="24"/>
          <w:szCs w:val="24"/>
        </w:rPr>
      </w:pPr>
    </w:p>
    <w:p w14:paraId="268250EC" w14:textId="77777777" w:rsidR="002C1B6E" w:rsidRDefault="00AB5BE7">
      <w:pPr>
        <w:tabs>
          <w:tab w:val="left" w:pos="426"/>
        </w:tabs>
        <w:spacing w:after="0" w:line="240" w:lineRule="auto"/>
        <w:jc w:val="both"/>
        <w:rPr>
          <w:rFonts w:ascii="Tw Cen MT" w:hAnsi="Tw Cen MT"/>
          <w:sz w:val="24"/>
          <w:szCs w:val="20"/>
        </w:rPr>
      </w:pPr>
      <w:r>
        <w:rPr>
          <w:rFonts w:ascii="Tw Cen MT" w:hAnsi="Tw Cen MT"/>
          <w:sz w:val="24"/>
          <w:szCs w:val="20"/>
        </w:rPr>
        <w:t xml:space="preserve">Hasil uji Viskositas pada uji </w:t>
      </w:r>
      <w:r>
        <w:rPr>
          <w:rFonts w:ascii="Tw Cen MT" w:hAnsi="Tw Cen MT"/>
          <w:i/>
          <w:sz w:val="24"/>
          <w:szCs w:val="20"/>
        </w:rPr>
        <w:t xml:space="preserve">Freeze and thaw </w:t>
      </w:r>
      <w:r>
        <w:rPr>
          <w:rFonts w:ascii="Tw Cen MT" w:hAnsi="Tw Cen MT"/>
          <w:sz w:val="24"/>
          <w:szCs w:val="20"/>
        </w:rPr>
        <w:t xml:space="preserve">didapatkan hasil yang sangat stabil dimana sediaan menunjukan rentang viskositas selama uji stabilitas pada range 9.900-9.950 hal ini dapat disimpulan bahwa viskositas sediaan hidrogel stabil selama proses penyimpanan pada suhu ekstrim </w:t>
      </w:r>
    </w:p>
    <w:p w14:paraId="7067245B" w14:textId="77777777" w:rsidR="002C1B6E" w:rsidRDefault="002C1B6E">
      <w:pPr>
        <w:tabs>
          <w:tab w:val="left" w:pos="426"/>
        </w:tabs>
        <w:spacing w:after="0" w:line="240" w:lineRule="auto"/>
        <w:jc w:val="both"/>
        <w:rPr>
          <w:rFonts w:ascii="Tw Cen MT" w:hAnsi="Tw Cen MT"/>
          <w:sz w:val="24"/>
          <w:szCs w:val="20"/>
        </w:rPr>
      </w:pPr>
    </w:p>
    <w:p w14:paraId="3FEAA0DC" w14:textId="553BF67E" w:rsidR="002C1B6E" w:rsidRDefault="00AB5BE7">
      <w:pPr>
        <w:tabs>
          <w:tab w:val="left" w:pos="426"/>
        </w:tabs>
        <w:spacing w:after="0" w:line="240" w:lineRule="auto"/>
        <w:jc w:val="both"/>
        <w:rPr>
          <w:rFonts w:ascii="Tw Cen MT" w:hAnsi="Tw Cen MT"/>
          <w:sz w:val="24"/>
          <w:szCs w:val="20"/>
        </w:rPr>
      </w:pPr>
      <w:r>
        <w:rPr>
          <w:rFonts w:ascii="Tw Cen MT" w:hAnsi="Tw Cen MT"/>
          <w:sz w:val="24"/>
          <w:szCs w:val="20"/>
        </w:rPr>
        <w:t>Hasil uji pH pada uji Freeze and thaw didapatkan hasil yang stabil dimana sediaan menunjukan rentang pada range 5,33-6,2 yang mana angka ini masih masuk dalam syarat range pH diantara 4,5-6,5, dan sediaan hidrogel dapat dikatakan stabil selama proses penyimpanan pada suhu ekstrim</w:t>
      </w:r>
    </w:p>
    <w:p w14:paraId="2729DDAF" w14:textId="77777777" w:rsidR="002C1B6E" w:rsidRDefault="002C1B6E">
      <w:pPr>
        <w:tabs>
          <w:tab w:val="left" w:pos="426"/>
        </w:tabs>
        <w:spacing w:after="0" w:line="240" w:lineRule="auto"/>
        <w:jc w:val="both"/>
        <w:rPr>
          <w:rFonts w:ascii="Tw Cen MT" w:hAnsi="Tw Cen MT"/>
          <w:sz w:val="24"/>
          <w:szCs w:val="20"/>
        </w:rPr>
      </w:pPr>
    </w:p>
    <w:p w14:paraId="0C2A3A2D" w14:textId="59FD3536" w:rsidR="002C1B6E" w:rsidRDefault="004930F6">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KE</w:t>
      </w:r>
      <w:r w:rsidR="00AB5BE7">
        <w:rPr>
          <w:rFonts w:ascii="Tw Cen MT" w:eastAsia="Twentieth Century" w:hAnsi="Tw Cen MT" w:cs="Twentieth Century"/>
          <w:b/>
          <w:sz w:val="24"/>
          <w:szCs w:val="24"/>
        </w:rPr>
        <w:t>SIMPULAN</w:t>
      </w:r>
    </w:p>
    <w:p w14:paraId="4B067B48" w14:textId="77777777" w:rsidR="002C1B6E" w:rsidRDefault="00AB5BE7">
      <w:pPr>
        <w:tabs>
          <w:tab w:val="left" w:pos="426"/>
        </w:tabs>
        <w:spacing w:after="0" w:line="240" w:lineRule="auto"/>
        <w:jc w:val="both"/>
        <w:rPr>
          <w:rFonts w:ascii="Times New Roman" w:hAnsi="Times New Roman" w:cs="Times New Roman"/>
          <w:sz w:val="24"/>
        </w:rPr>
      </w:pPr>
      <w:r>
        <w:rPr>
          <w:rFonts w:ascii="Tw Cen MT" w:hAnsi="Tw Cen MT" w:cs="Times New Roman"/>
          <w:sz w:val="24"/>
        </w:rPr>
        <w:t xml:space="preserve">Berdasarkan hasil penelitian yang sudah dilakukan terhadap sediaan hidrogel yang mengandung zat aktif dari ekstrak kulit buah naga super </w:t>
      </w:r>
      <w:r>
        <w:rPr>
          <w:rFonts w:ascii="Tw Cen MT" w:hAnsi="Tw Cen MT" w:cs="Times New Roman"/>
          <w:sz w:val="24"/>
          <w:szCs w:val="24"/>
        </w:rPr>
        <w:t>(</w:t>
      </w:r>
      <w:r>
        <w:rPr>
          <w:rFonts w:ascii="Tw Cen MT" w:hAnsi="Tw Cen MT" w:cs="Times New Roman"/>
          <w:i/>
          <w:sz w:val="24"/>
          <w:szCs w:val="24"/>
        </w:rPr>
        <w:t>Selenicereus costaricensis</w:t>
      </w:r>
      <w:r>
        <w:rPr>
          <w:rFonts w:ascii="Tw Cen MT" w:hAnsi="Tw Cen MT" w:cs="Times New Roman"/>
          <w:sz w:val="24"/>
          <w:szCs w:val="24"/>
        </w:rPr>
        <w:t>)</w:t>
      </w:r>
      <w:r>
        <w:rPr>
          <w:rFonts w:ascii="Tw Cen MT" w:hAnsi="Tw Cen MT" w:cs="Times New Roman"/>
          <w:iCs/>
          <w:sz w:val="24"/>
          <w:szCs w:val="24"/>
        </w:rPr>
        <w:t xml:space="preserve"> </w:t>
      </w:r>
      <w:r>
        <w:rPr>
          <w:rFonts w:ascii="Tw Cen MT" w:hAnsi="Tw Cen MT" w:cs="Times New Roman"/>
          <w:sz w:val="24"/>
        </w:rPr>
        <w:t xml:space="preserve">yang dibuat menggunakan metode ultrasonik, maka dapat disimpulkan bahwa sediaan hidogel dari ekstrak kulit buah naga super merah </w:t>
      </w:r>
      <w:r>
        <w:rPr>
          <w:rFonts w:ascii="Tw Cen MT" w:hAnsi="Tw Cen MT" w:cs="Times New Roman"/>
          <w:sz w:val="24"/>
          <w:szCs w:val="24"/>
        </w:rPr>
        <w:t>(</w:t>
      </w:r>
      <w:r>
        <w:rPr>
          <w:rFonts w:ascii="Tw Cen MT" w:hAnsi="Tw Cen MT" w:cs="Times New Roman"/>
          <w:i/>
          <w:sz w:val="24"/>
          <w:szCs w:val="24"/>
        </w:rPr>
        <w:t>Selenicereus costaricensis</w:t>
      </w:r>
      <w:r>
        <w:rPr>
          <w:rFonts w:ascii="Tw Cen MT" w:hAnsi="Tw Cen MT" w:cs="Times New Roman"/>
          <w:sz w:val="24"/>
          <w:szCs w:val="24"/>
        </w:rPr>
        <w:t>)</w:t>
      </w:r>
      <w:r>
        <w:rPr>
          <w:rFonts w:ascii="Tw Cen MT" w:hAnsi="Tw Cen MT" w:cs="Times New Roman"/>
          <w:iCs/>
          <w:sz w:val="24"/>
          <w:szCs w:val="24"/>
        </w:rPr>
        <w:t xml:space="preserve"> </w:t>
      </w:r>
      <w:r>
        <w:rPr>
          <w:rFonts w:ascii="Tw Cen MT" w:hAnsi="Tw Cen MT" w:cs="Times New Roman"/>
          <w:sz w:val="24"/>
        </w:rPr>
        <w:t>menggunakan ultrasonik dapat dibentuk dalam sediaan hidrogel yang memenuhi evaluasi mutu fisik sediaan hidrogel yang baik.</w:t>
      </w:r>
    </w:p>
    <w:p w14:paraId="52B45611" w14:textId="77777777" w:rsidR="002C1B6E" w:rsidRDefault="002C1B6E">
      <w:pPr>
        <w:tabs>
          <w:tab w:val="left" w:pos="426"/>
        </w:tabs>
        <w:spacing w:after="0" w:line="240" w:lineRule="auto"/>
        <w:jc w:val="both"/>
        <w:rPr>
          <w:rFonts w:ascii="Times New Roman" w:hAnsi="Times New Roman" w:cs="Times New Roman"/>
          <w:sz w:val="24"/>
        </w:rPr>
      </w:pPr>
    </w:p>
    <w:p w14:paraId="6B56AD01" w14:textId="77777777" w:rsidR="002C1B6E" w:rsidRDefault="00AB5BE7">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UCAPAN TERIMA KASIH </w:t>
      </w:r>
    </w:p>
    <w:p w14:paraId="7737EF9A" w14:textId="77777777" w:rsidR="002C1B6E" w:rsidRDefault="00AB5BE7">
      <w:pPr>
        <w:tabs>
          <w:tab w:val="left" w:pos="426"/>
        </w:tabs>
        <w:spacing w:after="0" w:line="240" w:lineRule="auto"/>
        <w:jc w:val="both"/>
      </w:pPr>
      <w:r>
        <w:t>Terima kasih kepada Tim Peneliti atas kerja samanya dan Universitas Fort De Kock Bukittinggi yang telah memfasilitasi, sehingga penelitian ini dapat terlaksana</w:t>
      </w:r>
    </w:p>
    <w:p w14:paraId="654E4A75" w14:textId="77777777" w:rsidR="0045676F" w:rsidRDefault="0045676F">
      <w:pPr>
        <w:tabs>
          <w:tab w:val="left" w:pos="426"/>
        </w:tabs>
        <w:spacing w:after="0" w:line="240" w:lineRule="auto"/>
        <w:jc w:val="both"/>
      </w:pPr>
    </w:p>
    <w:p w14:paraId="37EFEB0B" w14:textId="77777777" w:rsidR="002C1B6E" w:rsidRDefault="002C1B6E">
      <w:pPr>
        <w:tabs>
          <w:tab w:val="left" w:pos="426"/>
        </w:tabs>
        <w:spacing w:after="0" w:line="240" w:lineRule="auto"/>
        <w:jc w:val="both"/>
      </w:pPr>
    </w:p>
    <w:p w14:paraId="6132B774" w14:textId="77777777" w:rsidR="00757078" w:rsidRDefault="00757078">
      <w:pPr>
        <w:tabs>
          <w:tab w:val="left" w:pos="426"/>
        </w:tabs>
        <w:spacing w:after="0" w:line="240" w:lineRule="auto"/>
        <w:jc w:val="both"/>
      </w:pPr>
    </w:p>
    <w:p w14:paraId="71B4D7DF" w14:textId="77777777" w:rsidR="00757078" w:rsidRDefault="00757078">
      <w:pPr>
        <w:tabs>
          <w:tab w:val="left" w:pos="426"/>
        </w:tabs>
        <w:spacing w:after="0" w:line="240" w:lineRule="auto"/>
        <w:jc w:val="both"/>
      </w:pPr>
    </w:p>
    <w:p w14:paraId="0A18E7D5" w14:textId="77777777" w:rsidR="002C1B6E" w:rsidRDefault="00AB5BE7">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DAFTAR PUSTAKA</w:t>
      </w:r>
    </w:p>
    <w:p w14:paraId="33435E08" w14:textId="5ECD6C01" w:rsidR="00757078" w:rsidRPr="00757078" w:rsidRDefault="00AB5BE7"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wentieth Century" w:hAnsi="Tw Cen MT" w:cs="Twentieth Century"/>
          <w:color w:val="0D0D0D"/>
          <w:sz w:val="24"/>
          <w:szCs w:val="24"/>
        </w:rPr>
        <w:fldChar w:fldCharType="begin" w:fldLock="1"/>
      </w:r>
      <w:r>
        <w:rPr>
          <w:rFonts w:ascii="Tw Cen MT" w:eastAsia="Twentieth Century" w:hAnsi="Tw Cen MT" w:cs="Twentieth Century"/>
          <w:color w:val="0D0D0D"/>
          <w:sz w:val="24"/>
          <w:szCs w:val="24"/>
        </w:rPr>
        <w:instrText xml:space="preserve">ADDIN Mendeley Bibliography CSL_BIBLIOGRAPHY </w:instrText>
      </w:r>
      <w:r>
        <w:rPr>
          <w:rFonts w:ascii="Tw Cen MT" w:eastAsia="Twentieth Century" w:hAnsi="Tw Cen MT" w:cs="Twentieth Century"/>
          <w:color w:val="0D0D0D"/>
          <w:sz w:val="24"/>
          <w:szCs w:val="24"/>
        </w:rPr>
        <w:fldChar w:fldCharType="separate"/>
      </w:r>
      <w:r w:rsidR="00757078" w:rsidRPr="00757078">
        <w:rPr>
          <w:rFonts w:ascii="Tw Cen MT" w:hAnsi="Tw Cen MT" w:cs="Times New Roman"/>
          <w:noProof/>
          <w:sz w:val="24"/>
          <w:szCs w:val="24"/>
        </w:rPr>
        <w:t>[1]</w:t>
      </w:r>
      <w:r w:rsidR="00757078" w:rsidRPr="00757078">
        <w:rPr>
          <w:rFonts w:ascii="Tw Cen MT" w:hAnsi="Tw Cen MT" w:cs="Times New Roman"/>
          <w:noProof/>
          <w:sz w:val="24"/>
          <w:szCs w:val="24"/>
        </w:rPr>
        <w:tab/>
        <w:t xml:space="preserve">I. H. Santi and A. I. Septiawan, “Metode Forward Chaining Pada Sistem Pakar Dalam Mendiagnosis Penyakit Kulit,” </w:t>
      </w:r>
      <w:r w:rsidR="00757078" w:rsidRPr="00757078">
        <w:rPr>
          <w:rFonts w:ascii="Tw Cen MT" w:hAnsi="Tw Cen MT" w:cs="Times New Roman"/>
          <w:i/>
          <w:iCs/>
          <w:noProof/>
          <w:sz w:val="24"/>
          <w:szCs w:val="24"/>
        </w:rPr>
        <w:t>Antivirus  J. Ilm. Tek. Inform.</w:t>
      </w:r>
      <w:r w:rsidR="00757078" w:rsidRPr="00757078">
        <w:rPr>
          <w:rFonts w:ascii="Tw Cen MT" w:hAnsi="Tw Cen MT" w:cs="Times New Roman"/>
          <w:noProof/>
          <w:sz w:val="24"/>
          <w:szCs w:val="24"/>
        </w:rPr>
        <w:t>, vol. 12, no. 1, pp. 1–12, 2018, doi: 10.35457/antivirus.v12i1.438.</w:t>
      </w:r>
    </w:p>
    <w:p w14:paraId="3A7B18E5"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[2]</w:t>
      </w:r>
      <w:r w:rsidRPr="00757078">
        <w:rPr>
          <w:rFonts w:ascii="Tw Cen MT" w:hAnsi="Tw Cen MT" w:cs="Times New Roman"/>
          <w:noProof/>
          <w:sz w:val="24"/>
          <w:szCs w:val="24"/>
        </w:rPr>
        <w:tab/>
        <w:t xml:space="preserve">H. Kusantati, P. T. Prihatin, and W. Wiana, </w:t>
      </w:r>
      <w:r w:rsidRPr="00757078">
        <w:rPr>
          <w:rFonts w:ascii="Tw Cen MT" w:hAnsi="Tw Cen MT" w:cs="Times New Roman"/>
          <w:i/>
          <w:iCs/>
          <w:noProof/>
          <w:sz w:val="24"/>
          <w:szCs w:val="24"/>
        </w:rPr>
        <w:t>Tata Kecantikan Kulit untuk Sekolah Menengah Kejuruan Jilid 1</w:t>
      </w:r>
      <w:r w:rsidRPr="00757078">
        <w:rPr>
          <w:rFonts w:ascii="Tw Cen MT" w:hAnsi="Tw Cen MT" w:cs="Times New Roman"/>
          <w:noProof/>
          <w:sz w:val="24"/>
          <w:szCs w:val="24"/>
        </w:rPr>
        <w:t>, vol. 53, no. 9. 2008.</w:t>
      </w:r>
    </w:p>
    <w:p w14:paraId="1F76E7AE"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[3]</w:t>
      </w:r>
      <w:r w:rsidRPr="00757078">
        <w:rPr>
          <w:rFonts w:ascii="Tw Cen MT" w:hAnsi="Tw Cen MT" w:cs="Times New Roman"/>
          <w:noProof/>
          <w:sz w:val="24"/>
          <w:szCs w:val="24"/>
        </w:rPr>
        <w:tab/>
        <w:t xml:space="preserve">M. E. Rusu, I. Fizeșan, L. Vlase, and D. S. Popa, “Antioxidants in Age-Related Diseases and Anti-Aging Strategies,” </w:t>
      </w:r>
      <w:r w:rsidRPr="00757078">
        <w:rPr>
          <w:rFonts w:ascii="Tw Cen MT" w:hAnsi="Tw Cen MT" w:cs="Times New Roman"/>
          <w:i/>
          <w:iCs/>
          <w:noProof/>
          <w:sz w:val="24"/>
          <w:szCs w:val="24"/>
        </w:rPr>
        <w:t>Antioxidants</w:t>
      </w:r>
      <w:r w:rsidRPr="00757078">
        <w:rPr>
          <w:rFonts w:ascii="Tw Cen MT" w:hAnsi="Tw Cen MT" w:cs="Times New Roman"/>
          <w:noProof/>
          <w:sz w:val="24"/>
          <w:szCs w:val="24"/>
        </w:rPr>
        <w:t>, vol. 11, no. 10, pp. 1–5, 2022, doi: 10.3390/antiox11101868.</w:t>
      </w:r>
    </w:p>
    <w:p w14:paraId="2FA2B390"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[4]</w:t>
      </w:r>
      <w:r w:rsidRPr="00757078">
        <w:rPr>
          <w:rFonts w:ascii="Tw Cen MT" w:hAnsi="Tw Cen MT" w:cs="Times New Roman"/>
          <w:noProof/>
          <w:sz w:val="24"/>
          <w:szCs w:val="24"/>
        </w:rPr>
        <w:tab/>
        <w:t xml:space="preserve">R. N. C. Yuswi, “Ekstrasi Antioksidan Bawang Dayak (Eleutherine palmifolia) dengan Metode Ultrasonic Bath (Kajian Jenis Pelarut dan Lama Ekstraksi),” </w:t>
      </w:r>
      <w:r w:rsidRPr="00757078">
        <w:rPr>
          <w:rFonts w:ascii="Tw Cen MT" w:hAnsi="Tw Cen MT" w:cs="Times New Roman"/>
          <w:i/>
          <w:iCs/>
          <w:noProof/>
          <w:sz w:val="24"/>
          <w:szCs w:val="24"/>
        </w:rPr>
        <w:t>J. Pangan dan Agroindustri</w:t>
      </w:r>
      <w:r w:rsidRPr="00757078">
        <w:rPr>
          <w:rFonts w:ascii="Tw Cen MT" w:hAnsi="Tw Cen MT" w:cs="Times New Roman"/>
          <w:noProof/>
          <w:sz w:val="24"/>
          <w:szCs w:val="24"/>
        </w:rPr>
        <w:t>, vol. 5, no. 1, pp. 71–78, 2017, [Online]. Available: https://jpa.ub.ac.id/index.php/jpa/article/view/499</w:t>
      </w:r>
    </w:p>
    <w:p w14:paraId="0FCF5B61"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[5]</w:t>
      </w:r>
      <w:r w:rsidRPr="00757078">
        <w:rPr>
          <w:rFonts w:ascii="Tw Cen MT" w:hAnsi="Tw Cen MT" w:cs="Times New Roman"/>
          <w:noProof/>
          <w:sz w:val="24"/>
          <w:szCs w:val="24"/>
        </w:rPr>
        <w:tab/>
        <w:t xml:space="preserve">C. V. Marlina Kristina, N. L. Ari Yusasrini, and N. M. Yusa, “Pengaruh Waktu Ekstraksi Dengan Menggunakan Metode Ultrasonic Assisted Extraction (UAE) Terhadap Aktivitas Antioksidan Ekstrak Daun Duwet (Syzygium cumini),” </w:t>
      </w:r>
      <w:r w:rsidRPr="00757078">
        <w:rPr>
          <w:rFonts w:ascii="Tw Cen MT" w:hAnsi="Tw Cen MT" w:cs="Times New Roman"/>
          <w:i/>
          <w:iCs/>
          <w:noProof/>
          <w:sz w:val="24"/>
          <w:szCs w:val="24"/>
        </w:rPr>
        <w:t>J. Ilmu dan Teknol. Pangan</w:t>
      </w:r>
      <w:r w:rsidRPr="00757078">
        <w:rPr>
          <w:rFonts w:ascii="Tw Cen MT" w:hAnsi="Tw Cen MT" w:cs="Times New Roman"/>
          <w:noProof/>
          <w:sz w:val="24"/>
          <w:szCs w:val="24"/>
        </w:rPr>
        <w:t>, vol. 11, no. 1, p. 13, 2022, doi: 10.24843/itepa.2022.v11.i01.p02.</w:t>
      </w:r>
    </w:p>
    <w:p w14:paraId="20F15755"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[6]</w:t>
      </w:r>
      <w:r w:rsidRPr="00757078">
        <w:rPr>
          <w:rFonts w:ascii="Tw Cen MT" w:hAnsi="Tw Cen MT" w:cs="Times New Roman"/>
          <w:noProof/>
          <w:sz w:val="24"/>
          <w:szCs w:val="24"/>
        </w:rPr>
        <w:tab/>
        <w:t xml:space="preserve">S. Nabillah, N. Noval, and N. Hidayah, “FORMULASI DAN EVALUASI NANO HIDROGEL EKSTRAK DAUN SERUNAI (Chromolaena odorata L.) DENGAN VARIASI KONSENTRASI POLIMER CARBOPOL 980,” </w:t>
      </w:r>
      <w:r w:rsidRPr="00757078">
        <w:rPr>
          <w:rFonts w:ascii="Tw Cen MT" w:hAnsi="Tw Cen MT" w:cs="Times New Roman"/>
          <w:i/>
          <w:iCs/>
          <w:noProof/>
          <w:sz w:val="24"/>
          <w:szCs w:val="24"/>
        </w:rPr>
        <w:t xml:space="preserve">J. Ilm. Ibnu Sina </w:t>
      </w:r>
      <w:r w:rsidRPr="00757078">
        <w:rPr>
          <w:rFonts w:ascii="Tw Cen MT" w:hAnsi="Tw Cen MT" w:cs="Times New Roman"/>
          <w:i/>
          <w:iCs/>
          <w:noProof/>
          <w:sz w:val="24"/>
          <w:szCs w:val="24"/>
        </w:rPr>
        <w:t>Ilmu Farm. dan Kesehat.</w:t>
      </w:r>
      <w:r w:rsidRPr="00757078">
        <w:rPr>
          <w:rFonts w:ascii="Tw Cen MT" w:hAnsi="Tw Cen MT" w:cs="Times New Roman"/>
          <w:noProof/>
          <w:sz w:val="24"/>
          <w:szCs w:val="24"/>
        </w:rPr>
        <w:t>, vol. 7, no. 2, pp. 340–349, 2022, doi: 10.36387/jiis.v7i2.995.</w:t>
      </w:r>
    </w:p>
    <w:p w14:paraId="65B0091B"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[7]</w:t>
      </w:r>
      <w:r w:rsidRPr="00757078">
        <w:rPr>
          <w:rFonts w:ascii="Tw Cen MT" w:hAnsi="Tw Cen MT" w:cs="Times New Roman"/>
          <w:noProof/>
          <w:sz w:val="24"/>
          <w:szCs w:val="24"/>
        </w:rPr>
        <w:tab/>
        <w:t xml:space="preserve">J. Djajadisastra, Z. S. Dzuhro, and S. Sutriyo, “Pengaruh Natrium Hialuronat terhadap Penetrasi Kofein Sebagai Antiselulit dalam Sediaan Hidrogel, Hidroalkoholik Gel, dan Emulsi Gel,” </w:t>
      </w:r>
      <w:r w:rsidRPr="00757078">
        <w:rPr>
          <w:rFonts w:ascii="Tw Cen MT" w:hAnsi="Tw Cen MT" w:cs="Times New Roman"/>
          <w:i/>
          <w:iCs/>
          <w:noProof/>
          <w:sz w:val="24"/>
          <w:szCs w:val="24"/>
        </w:rPr>
        <w:t>Pharm. Sci. Res.</w:t>
      </w:r>
      <w:r w:rsidRPr="00757078">
        <w:rPr>
          <w:rFonts w:ascii="Tw Cen MT" w:hAnsi="Tw Cen MT" w:cs="Times New Roman"/>
          <w:noProof/>
          <w:sz w:val="24"/>
          <w:szCs w:val="24"/>
        </w:rPr>
        <w:t>, vol. 1, no. 1, pp. 46–63, 2014, doi: 10.7454/psr.v1i1.3298.</w:t>
      </w:r>
    </w:p>
    <w:p w14:paraId="2D5A379D"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[8]</w:t>
      </w:r>
      <w:r w:rsidRPr="00757078">
        <w:rPr>
          <w:rFonts w:ascii="Tw Cen MT" w:hAnsi="Tw Cen MT" w:cs="Times New Roman"/>
          <w:noProof/>
          <w:sz w:val="24"/>
          <w:szCs w:val="24"/>
        </w:rPr>
        <w:tab/>
        <w:t xml:space="preserve">R. Asra, R. D. Yetti, R. Rusdi, S. Audina, and N. Nessa, “Studi Fisikokimia Betasianin Dalam Kulit Buah Naga dan Aplikasinya Sebagai Pewarna Merah Alami Sediaan Farmasi,” </w:t>
      </w:r>
      <w:r w:rsidRPr="00757078">
        <w:rPr>
          <w:rFonts w:ascii="Tw Cen MT" w:hAnsi="Tw Cen MT" w:cs="Times New Roman"/>
          <w:i/>
          <w:iCs/>
          <w:noProof/>
          <w:sz w:val="24"/>
          <w:szCs w:val="24"/>
        </w:rPr>
        <w:t>J. Farm. Galen. (Galenika J. Pharmacy)</w:t>
      </w:r>
      <w:r w:rsidRPr="00757078">
        <w:rPr>
          <w:rFonts w:ascii="Tw Cen MT" w:hAnsi="Tw Cen MT" w:cs="Times New Roman"/>
          <w:noProof/>
          <w:sz w:val="24"/>
          <w:szCs w:val="24"/>
        </w:rPr>
        <w:t>, vol. 5, no. 2, pp. 140–146, 2019, doi: 10.22487/j24428744.2019.v5.i2.13498.</w:t>
      </w:r>
    </w:p>
    <w:p w14:paraId="79143D9A"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[9]</w:t>
      </w:r>
      <w:r w:rsidRPr="00757078">
        <w:rPr>
          <w:rFonts w:ascii="Tw Cen MT" w:hAnsi="Tw Cen MT" w:cs="Times New Roman"/>
          <w:noProof/>
          <w:sz w:val="24"/>
          <w:szCs w:val="24"/>
        </w:rPr>
        <w:tab/>
        <w:t xml:space="preserve">M. Novitasari and W. Amboro, “Formulasi Gel Tabir Surya Ekstrak Daun Teh Hijau (Camelia Sinensis) Dan Penentuan Nilai Sun Protection Factor (Spf),” </w:t>
      </w:r>
      <w:r w:rsidRPr="00757078">
        <w:rPr>
          <w:rFonts w:ascii="Tw Cen MT" w:hAnsi="Tw Cen MT" w:cs="Times New Roman"/>
          <w:i/>
          <w:iCs/>
          <w:noProof/>
          <w:sz w:val="24"/>
          <w:szCs w:val="24"/>
        </w:rPr>
        <w:t>Avicenna  J. Heal. Res.</w:t>
      </w:r>
      <w:r w:rsidRPr="00757078">
        <w:rPr>
          <w:rFonts w:ascii="Tw Cen MT" w:hAnsi="Tw Cen MT" w:cs="Times New Roman"/>
          <w:noProof/>
          <w:sz w:val="24"/>
          <w:szCs w:val="24"/>
        </w:rPr>
        <w:t>, vol. 4, no. 2, pp. 77–86, 2021, doi: 10.36419/avicenna.v4i2.535.</w:t>
      </w:r>
    </w:p>
    <w:p w14:paraId="188C264C"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[10]</w:t>
      </w:r>
      <w:r w:rsidRPr="00757078">
        <w:rPr>
          <w:rFonts w:ascii="Tw Cen MT" w:hAnsi="Tw Cen MT" w:cs="Times New Roman"/>
          <w:noProof/>
          <w:sz w:val="24"/>
          <w:szCs w:val="24"/>
        </w:rPr>
        <w:tab/>
        <w:t xml:space="preserve">I. Setiawan, N. Y. Lindawati, and B. Amalia, “Formulasi dan Uji Antiinflamasi Sediaan Hidrogel Ekstrak Jahe Merah,” </w:t>
      </w:r>
      <w:r w:rsidRPr="00757078">
        <w:rPr>
          <w:rFonts w:ascii="Tw Cen MT" w:hAnsi="Tw Cen MT" w:cs="Times New Roman"/>
          <w:i/>
          <w:iCs/>
          <w:noProof/>
          <w:sz w:val="24"/>
          <w:szCs w:val="24"/>
        </w:rPr>
        <w:t>Media Farm. Indones.</w:t>
      </w:r>
      <w:r w:rsidRPr="00757078">
        <w:rPr>
          <w:rFonts w:ascii="Tw Cen MT" w:hAnsi="Tw Cen MT" w:cs="Times New Roman"/>
          <w:noProof/>
          <w:sz w:val="24"/>
          <w:szCs w:val="24"/>
        </w:rPr>
        <w:t>, vol. 13, no. 1, pp. 1330–1334, 2016.</w:t>
      </w:r>
    </w:p>
    <w:p w14:paraId="53A5F412"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[11]</w:t>
      </w:r>
      <w:r w:rsidRPr="00757078">
        <w:rPr>
          <w:rFonts w:ascii="Tw Cen MT" w:hAnsi="Tw Cen MT" w:cs="Times New Roman"/>
          <w:noProof/>
          <w:sz w:val="24"/>
          <w:szCs w:val="24"/>
        </w:rPr>
        <w:tab/>
        <w:t xml:space="preserve">Pratiwi Dyah Indriyani, Tyas Prasetyaningrum, and Lisa Adhani, “Pembuatan Sediaan Gel Dari Ekstrak Herba Pegagan (Centella Asiatica L. Urban) Sebagai Obat Luka Sayat,” </w:t>
      </w:r>
      <w:r w:rsidRPr="00757078">
        <w:rPr>
          <w:rFonts w:ascii="Tw Cen MT" w:hAnsi="Tw Cen MT" w:cs="Times New Roman"/>
          <w:i/>
          <w:iCs/>
          <w:noProof/>
          <w:sz w:val="24"/>
          <w:szCs w:val="24"/>
        </w:rPr>
        <w:t>PENDIPA J. Sci. Educ.</w:t>
      </w:r>
      <w:r w:rsidRPr="00757078">
        <w:rPr>
          <w:rFonts w:ascii="Tw Cen MT" w:hAnsi="Tw Cen MT" w:cs="Times New Roman"/>
          <w:noProof/>
          <w:sz w:val="24"/>
          <w:szCs w:val="24"/>
        </w:rPr>
        <w:t>, vol. 7, no. 2, pp. 259–264, 2023, doi: 10.33369/pendipa.7.2.259-264.</w:t>
      </w:r>
    </w:p>
    <w:p w14:paraId="209134CD"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[12]</w:t>
      </w:r>
      <w:r w:rsidRPr="00757078">
        <w:rPr>
          <w:rFonts w:ascii="Tw Cen MT" w:hAnsi="Tw Cen MT" w:cs="Times New Roman"/>
          <w:noProof/>
          <w:sz w:val="24"/>
          <w:szCs w:val="24"/>
        </w:rPr>
        <w:tab/>
        <w:t xml:space="preserve">D. R. Barleany </w:t>
      </w:r>
      <w:r w:rsidRPr="00757078">
        <w:rPr>
          <w:rFonts w:ascii="Tw Cen MT" w:hAnsi="Tw Cen MT" w:cs="Times New Roman"/>
          <w:i/>
          <w:iCs/>
          <w:noProof/>
          <w:sz w:val="24"/>
          <w:szCs w:val="24"/>
        </w:rPr>
        <w:t>et al.</w:t>
      </w:r>
      <w:r w:rsidRPr="00757078">
        <w:rPr>
          <w:rFonts w:ascii="Tw Cen MT" w:hAnsi="Tw Cen MT" w:cs="Times New Roman"/>
          <w:noProof/>
          <w:sz w:val="24"/>
          <w:szCs w:val="24"/>
        </w:rPr>
        <w:t xml:space="preserve">, “Hydrogel Preparation from Shrimp Shell-Based Chitosan: The Degree of Crosslinking and Swelling Study,” </w:t>
      </w:r>
      <w:r w:rsidRPr="00757078">
        <w:rPr>
          <w:rFonts w:ascii="Tw Cen MT" w:hAnsi="Tw Cen MT" w:cs="Times New Roman"/>
          <w:i/>
          <w:iCs/>
          <w:noProof/>
          <w:sz w:val="24"/>
          <w:szCs w:val="24"/>
        </w:rPr>
        <w:t>ASEAN J. Chem. Eng.</w:t>
      </w:r>
      <w:r w:rsidRPr="00757078">
        <w:rPr>
          <w:rFonts w:ascii="Tw Cen MT" w:hAnsi="Tw Cen MT" w:cs="Times New Roman"/>
          <w:noProof/>
          <w:sz w:val="24"/>
          <w:szCs w:val="24"/>
        </w:rPr>
        <w:t xml:space="preserve">, vol. 23, no. 1, pp. 28–39, 2023, </w:t>
      </w:r>
      <w:r w:rsidRPr="00757078">
        <w:rPr>
          <w:rFonts w:ascii="Tw Cen MT" w:hAnsi="Tw Cen MT" w:cs="Times New Roman"/>
          <w:noProof/>
          <w:sz w:val="24"/>
          <w:szCs w:val="24"/>
        </w:rPr>
        <w:lastRenderedPageBreak/>
        <w:t>doi: 10.22146/ajche.73716.</w:t>
      </w:r>
    </w:p>
    <w:p w14:paraId="7DA36347"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[13]</w:t>
      </w:r>
      <w:r w:rsidRPr="00757078">
        <w:rPr>
          <w:rFonts w:ascii="Tw Cen MT" w:hAnsi="Tw Cen MT" w:cs="Times New Roman"/>
          <w:noProof/>
          <w:sz w:val="24"/>
          <w:szCs w:val="24"/>
        </w:rPr>
        <w:tab/>
        <w:t xml:space="preserve">R. T. Sawiji, E. O. Jawa La, and A. N. Yuliawati, “Pengaruh Formulasi Terhadap Mutu Fisik Body Butter Ekstrak Etanol Kulit Buah Naga (Hylocereus polyrhizus),” </w:t>
      </w:r>
      <w:r w:rsidRPr="00757078">
        <w:rPr>
          <w:rFonts w:ascii="Tw Cen MT" w:hAnsi="Tw Cen MT" w:cs="Times New Roman"/>
          <w:i/>
          <w:iCs/>
          <w:noProof/>
          <w:sz w:val="24"/>
          <w:szCs w:val="24"/>
        </w:rPr>
        <w:t>Indones. J. Pharm. Nat. Prod.</w:t>
      </w:r>
      <w:r w:rsidRPr="00757078">
        <w:rPr>
          <w:rFonts w:ascii="Tw Cen MT" w:hAnsi="Tw Cen MT" w:cs="Times New Roman"/>
          <w:noProof/>
          <w:sz w:val="24"/>
          <w:szCs w:val="24"/>
        </w:rPr>
        <w:t>, vol. 3, no. 1, 2020, doi: 10.35473/ijpnp.v3i1.501.</w:t>
      </w:r>
    </w:p>
    <w:p w14:paraId="00248D96"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[14]</w:t>
      </w:r>
      <w:r w:rsidRPr="00757078">
        <w:rPr>
          <w:rFonts w:ascii="Tw Cen MT" w:hAnsi="Tw Cen MT" w:cs="Times New Roman"/>
          <w:noProof/>
          <w:sz w:val="24"/>
          <w:szCs w:val="24"/>
        </w:rPr>
        <w:tab/>
        <w:t xml:space="preserve">L. Nurdianti, I. Wulandari, and F. Setiawan, “formulasi sediaan hand and body lotion ekstrak metanol buah paprika merah (Capsicum annuum Linnaeus) sebagai antioksidan,” </w:t>
      </w:r>
      <w:r w:rsidRPr="00757078">
        <w:rPr>
          <w:rFonts w:ascii="Tw Cen MT" w:hAnsi="Tw Cen MT" w:cs="Times New Roman"/>
          <w:i/>
          <w:iCs/>
          <w:noProof/>
          <w:sz w:val="24"/>
          <w:szCs w:val="24"/>
        </w:rPr>
        <w:t>Pros. Semin. Nas. Disem. Penelit.</w:t>
      </w:r>
      <w:r w:rsidRPr="00757078">
        <w:rPr>
          <w:rFonts w:ascii="Tw Cen MT" w:hAnsi="Tw Cen MT" w:cs="Times New Roman"/>
          <w:noProof/>
          <w:sz w:val="24"/>
          <w:szCs w:val="24"/>
        </w:rPr>
        <w:t>, vol. 1, no. September, pp. 77–82, 2021, [Online]. Available: https://books.google.co.id/books?id=-R9YEAAAQBAJ&amp;pg=PA79&amp;dq=operating+time+DPPH&amp;hl=id&amp;sa=X&amp;ved=2ahUKEwiRivL3_Zz2AhXMgtgFHZCuCu4Q6AF6BAgIEAM#v=onepage&amp;q=operating time DPPH&amp;f=false</w:t>
      </w:r>
    </w:p>
    <w:p w14:paraId="15587176"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[15]</w:t>
      </w:r>
      <w:r w:rsidRPr="00757078">
        <w:rPr>
          <w:rFonts w:ascii="Tw Cen MT" w:hAnsi="Tw Cen MT" w:cs="Times New Roman"/>
          <w:noProof/>
          <w:sz w:val="24"/>
          <w:szCs w:val="24"/>
        </w:rPr>
        <w:tab/>
        <w:t xml:space="preserve">A. Widyasanti, M. Z. Arsyad, and D. E. Wulandari, “EKSTRAKSI ANTOSIANIN KULIT BUAH NAGA MERAH (Hylocereus polyrhizus) MENGGUNAKAN METODE MASERASI ANTHOCYANIN EXTRACTION OF RED DRAGON FRUIT PEELS (Hylocereus polyrhizus) USING MACERATION METHOD,” </w:t>
      </w:r>
      <w:r w:rsidRPr="00757078">
        <w:rPr>
          <w:rFonts w:ascii="Tw Cen MT" w:hAnsi="Tw Cen MT" w:cs="Times New Roman"/>
          <w:i/>
          <w:iCs/>
          <w:noProof/>
          <w:sz w:val="24"/>
          <w:szCs w:val="24"/>
        </w:rPr>
        <w:t>| J. Agroindustri</w:t>
      </w:r>
      <w:r w:rsidRPr="00757078">
        <w:rPr>
          <w:rFonts w:ascii="Tw Cen MT" w:hAnsi="Tw Cen MT" w:cs="Times New Roman"/>
          <w:noProof/>
          <w:sz w:val="24"/>
          <w:szCs w:val="24"/>
        </w:rPr>
        <w:t>, vol. 11, no. 2, pp. 72–81, 2021, [Online]. Available: https://ejournal.unib.ac.id/index.php/agroindustri</w:t>
      </w:r>
    </w:p>
    <w:p w14:paraId="7D0577A8"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[16]</w:t>
      </w:r>
      <w:r w:rsidRPr="00757078">
        <w:rPr>
          <w:rFonts w:ascii="Tw Cen MT" w:hAnsi="Tw Cen MT" w:cs="Times New Roman"/>
          <w:noProof/>
          <w:sz w:val="24"/>
          <w:szCs w:val="24"/>
        </w:rPr>
        <w:tab/>
        <w:t xml:space="preserve">E. Nurfita, D. Mayefis, and S. Umar, </w:t>
      </w:r>
      <w:r w:rsidRPr="00757078">
        <w:rPr>
          <w:rFonts w:ascii="Tw Cen MT" w:hAnsi="Tw Cen MT" w:cs="Times New Roman"/>
          <w:noProof/>
          <w:sz w:val="24"/>
          <w:szCs w:val="24"/>
        </w:rPr>
        <w:t xml:space="preserve">“Uji Stabilitas Formulasi Hand and Body Cream Ekstrak Etanol Kulit Buah Naga Merah (Hylocereus lemairei),” </w:t>
      </w:r>
      <w:r w:rsidRPr="00757078">
        <w:rPr>
          <w:rFonts w:ascii="Tw Cen MT" w:hAnsi="Tw Cen MT" w:cs="Times New Roman"/>
          <w:i/>
          <w:iCs/>
          <w:noProof/>
          <w:sz w:val="24"/>
          <w:szCs w:val="24"/>
        </w:rPr>
        <w:t>J. Farm. Dan Ilmu Kefarmasian Indones.</w:t>
      </w:r>
      <w:r w:rsidRPr="00757078">
        <w:rPr>
          <w:rFonts w:ascii="Tw Cen MT" w:hAnsi="Tw Cen MT" w:cs="Times New Roman"/>
          <w:noProof/>
          <w:sz w:val="24"/>
          <w:szCs w:val="24"/>
        </w:rPr>
        <w:t>, vol. 8, no. 2, p. 125, 2021, doi: 10.20473/jfiki.v8i22021.125-131.</w:t>
      </w:r>
    </w:p>
    <w:p w14:paraId="55CC74A7"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[17]</w:t>
      </w:r>
      <w:r w:rsidRPr="00757078">
        <w:rPr>
          <w:rFonts w:ascii="Tw Cen MT" w:hAnsi="Tw Cen MT" w:cs="Times New Roman"/>
          <w:noProof/>
          <w:sz w:val="24"/>
          <w:szCs w:val="24"/>
        </w:rPr>
        <w:tab/>
        <w:t xml:space="preserve">R. Kartika, A. Gadri, and G. C. E. Darma, “Formulasi Basis Sediaan Pembalut Luka Hidrogel dengan Teknik Beku Leleh Menggunakan Polimer Kappa Karagenan,” </w:t>
      </w:r>
      <w:r w:rsidRPr="00757078">
        <w:rPr>
          <w:rFonts w:ascii="Tw Cen MT" w:hAnsi="Tw Cen MT" w:cs="Times New Roman"/>
          <w:i/>
          <w:iCs/>
          <w:noProof/>
          <w:sz w:val="24"/>
          <w:szCs w:val="24"/>
        </w:rPr>
        <w:t>Pros. Penelit. Spes. Unisba</w:t>
      </w:r>
      <w:r w:rsidRPr="00757078">
        <w:rPr>
          <w:rFonts w:ascii="Tw Cen MT" w:hAnsi="Tw Cen MT" w:cs="Times New Roman"/>
          <w:noProof/>
          <w:sz w:val="24"/>
          <w:szCs w:val="24"/>
        </w:rPr>
        <w:t>, vol. 0, no. 0, pp. 643–648, 2015.</w:t>
      </w:r>
    </w:p>
    <w:p w14:paraId="1FA40A0E"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[18]</w:t>
      </w:r>
      <w:r w:rsidRPr="00757078">
        <w:rPr>
          <w:rFonts w:ascii="Tw Cen MT" w:hAnsi="Tw Cen MT" w:cs="Times New Roman"/>
          <w:noProof/>
          <w:sz w:val="24"/>
          <w:szCs w:val="24"/>
        </w:rPr>
        <w:tab/>
        <w:t xml:space="preserve">P. Agis Wahyuni, L. Nurdianti, and F. Gustaman, “Formulasi dan Evaluasi Sediaan Hydrogel eye patch Kombinasi Aciaticoside Tanaman Pegagan (Centella asiatica L.) dan Astaxanthin Sebagai Antiaging,” </w:t>
      </w:r>
      <w:r w:rsidRPr="00757078">
        <w:rPr>
          <w:rFonts w:ascii="Tw Cen MT" w:hAnsi="Tw Cen MT" w:cs="Times New Roman"/>
          <w:i/>
          <w:iCs/>
          <w:noProof/>
          <w:sz w:val="24"/>
          <w:szCs w:val="24"/>
        </w:rPr>
        <w:t>Pros. Semin. Nas. Disem. Penelit.</w:t>
      </w:r>
      <w:r w:rsidRPr="00757078">
        <w:rPr>
          <w:rFonts w:ascii="Tw Cen MT" w:hAnsi="Tw Cen MT" w:cs="Times New Roman"/>
          <w:noProof/>
          <w:sz w:val="24"/>
          <w:szCs w:val="24"/>
        </w:rPr>
        <w:t>, vol. 3, no. September, pp. 2964–6154, 2023.</w:t>
      </w:r>
    </w:p>
    <w:p w14:paraId="73227753"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[19]</w:t>
      </w:r>
      <w:r w:rsidRPr="00757078">
        <w:rPr>
          <w:rFonts w:ascii="Tw Cen MT" w:hAnsi="Tw Cen MT" w:cs="Times New Roman"/>
          <w:noProof/>
          <w:sz w:val="24"/>
          <w:szCs w:val="24"/>
        </w:rPr>
        <w:tab/>
        <w:t xml:space="preserve">G. A. A. Almajid, R. Rusli, and M. Priastomo, “Pengaruh Pelarut, Suhu, dan pH Terhadap Pigmen Antosianin dari Ekstrak Kulit Buah Naga Merah (Hylocereus Polyrhizus),” </w:t>
      </w:r>
      <w:r w:rsidRPr="00757078">
        <w:rPr>
          <w:rFonts w:ascii="Tw Cen MT" w:hAnsi="Tw Cen MT" w:cs="Times New Roman"/>
          <w:i/>
          <w:iCs/>
          <w:noProof/>
          <w:sz w:val="24"/>
          <w:szCs w:val="24"/>
        </w:rPr>
        <w:t>Proceeding Mulawarman Pharm. Conf.</w:t>
      </w:r>
      <w:r w:rsidRPr="00757078">
        <w:rPr>
          <w:rFonts w:ascii="Tw Cen MT" w:hAnsi="Tw Cen MT" w:cs="Times New Roman"/>
          <w:noProof/>
          <w:sz w:val="24"/>
          <w:szCs w:val="24"/>
        </w:rPr>
        <w:t>, vol. 14, pp. 179–185, 2021, doi: 10.25026/mpc.v14i1.557.</w:t>
      </w:r>
    </w:p>
    <w:p w14:paraId="0C48ACDB"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noProof/>
          <w:sz w:val="24"/>
        </w:rPr>
      </w:pPr>
      <w:r w:rsidRPr="00757078">
        <w:rPr>
          <w:rFonts w:ascii="Tw Cen MT" w:hAnsi="Tw Cen MT" w:cs="Times New Roman"/>
          <w:noProof/>
          <w:sz w:val="24"/>
          <w:szCs w:val="24"/>
        </w:rPr>
        <w:t>[20]</w:t>
      </w:r>
      <w:r w:rsidRPr="00757078">
        <w:rPr>
          <w:rFonts w:ascii="Tw Cen MT" w:hAnsi="Tw Cen MT" w:cs="Times New Roman"/>
          <w:noProof/>
          <w:sz w:val="24"/>
          <w:szCs w:val="24"/>
        </w:rPr>
        <w:tab/>
        <w:t xml:space="preserve">E. B. P. Agne, R. Hastuti, and K. Khabibi, “Ekstraksi dan Uji Kestabilan Zat Warna Betasianin dari Kulit Buah Naga (Hylocereus polyrhizus) serta Aplikasinya sebagai Pewarna Alami Pangan,” </w:t>
      </w:r>
      <w:r w:rsidRPr="00757078">
        <w:rPr>
          <w:rFonts w:ascii="Tw Cen MT" w:hAnsi="Tw Cen MT" w:cs="Times New Roman"/>
          <w:i/>
          <w:iCs/>
          <w:noProof/>
          <w:sz w:val="24"/>
          <w:szCs w:val="24"/>
        </w:rPr>
        <w:t>J. Kim. Sains dan Apl.</w:t>
      </w:r>
      <w:r w:rsidRPr="00757078">
        <w:rPr>
          <w:rFonts w:ascii="Tw Cen MT" w:hAnsi="Tw Cen MT" w:cs="Times New Roman"/>
          <w:noProof/>
          <w:sz w:val="24"/>
          <w:szCs w:val="24"/>
        </w:rPr>
        <w:t>, vol. 13, no. 2, pp. 51–56, 2010, doi: 10.14710/jksa.13.2.51-56.</w:t>
      </w:r>
    </w:p>
    <w:p w14:paraId="4CF5C920" w14:textId="4D0FBB6D" w:rsidR="002C1B6E" w:rsidRDefault="00AB5BE7" w:rsidP="00B91906">
      <w:pPr>
        <w:widowControl w:val="0"/>
        <w:autoSpaceDE w:val="0"/>
        <w:autoSpaceDN w:val="0"/>
        <w:adjustRightInd w:val="0"/>
        <w:spacing w:after="0" w:line="240" w:lineRule="auto"/>
        <w:ind w:left="640" w:hanging="640"/>
        <w:jc w:val="both"/>
        <w:rPr>
          <w:rFonts w:ascii="Tw Cen MT" w:eastAsia="Twentieth Century" w:hAnsi="Tw Cen MT" w:cs="Twentieth Century"/>
          <w:color w:val="0D0D0D"/>
          <w:sz w:val="24"/>
          <w:szCs w:val="24"/>
        </w:rPr>
        <w:sectPr w:rsidR="002C1B6E">
          <w:type w:val="continuous"/>
          <w:pgSz w:w="12240" w:h="15840"/>
          <w:pgMar w:top="1440" w:right="1440" w:bottom="1440" w:left="1440" w:header="720" w:footer="720" w:gutter="0"/>
          <w:cols w:num="2" w:space="720" w:equalWidth="0">
            <w:col w:w="4320" w:space="720"/>
            <w:col w:w="4320"/>
          </w:cols>
        </w:sectPr>
      </w:pPr>
      <w:r>
        <w:rPr>
          <w:rFonts w:ascii="Tw Cen MT" w:eastAsia="Twentieth Century" w:hAnsi="Tw Cen MT" w:cs="Twentieth Century"/>
          <w:color w:val="0D0D0D"/>
          <w:sz w:val="24"/>
          <w:szCs w:val="24"/>
        </w:rPr>
        <w:fldChar w:fldCharType="end"/>
      </w:r>
    </w:p>
    <w:p w14:paraId="0C31C1EC" w14:textId="77777777" w:rsidR="002C1B6E" w:rsidRDefault="002C1B6E">
      <w:pPr>
        <w:spacing w:after="0" w:line="240" w:lineRule="auto"/>
        <w:ind w:right="-1"/>
        <w:jc w:val="both"/>
        <w:rPr>
          <w:rFonts w:ascii="Tw Cen MT" w:eastAsia="Twentieth Century" w:hAnsi="Tw Cen MT" w:cs="Twentieth Century"/>
          <w:sz w:val="24"/>
          <w:szCs w:val="24"/>
        </w:rPr>
      </w:pPr>
    </w:p>
    <w:sectPr w:rsidR="002C1B6E">
      <w:type w:val="continuous"/>
      <w:pgSz w:w="12240" w:h="15840"/>
      <w:pgMar w:top="1440" w:right="1440" w:bottom="1440" w:left="1440" w:header="720" w:footer="720" w:gutter="0"/>
      <w:cols w:num="2" w:space="369" w:equalWidth="0">
        <w:col w:w="4496" w:space="369"/>
        <w:col w:w="4495"/>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uthor" w:initials="A">
    <w:p w14:paraId="6940E820" w14:textId="77777777" w:rsidR="00C71172" w:rsidRDefault="00C71172" w:rsidP="00C71172">
      <w:pPr>
        <w:pStyle w:val="CommentText"/>
      </w:pPr>
      <w:r>
        <w:rPr>
          <w:rStyle w:val="CommentReference"/>
        </w:rPr>
        <w:annotationRef/>
      </w:r>
      <w:r>
        <w:t>Untuk format afiliasi hanya nama institusi pendidikan, kota, negara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940E8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40E820" w16cid:durableId="568B14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2FFCF" w14:textId="77777777" w:rsidR="00121A93" w:rsidRDefault="00121A93">
      <w:pPr>
        <w:spacing w:after="0" w:line="240" w:lineRule="auto"/>
      </w:pPr>
      <w:r>
        <w:separator/>
      </w:r>
    </w:p>
  </w:endnote>
  <w:endnote w:type="continuationSeparator" w:id="0">
    <w:p w14:paraId="5DD56A32" w14:textId="77777777" w:rsidR="00121A93" w:rsidRDefault="0012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DD9C5" w14:textId="77777777" w:rsidR="002C1B6E" w:rsidRDefault="00AB5BE7">
    <w:pPr>
      <w:pStyle w:val="Footer"/>
      <w:rPr>
        <w:rFonts w:ascii="Tw Cen MT" w:hAnsi="Tw Cen MT"/>
        <w:color w:val="000000"/>
        <w:sz w:val="20"/>
        <w:szCs w:val="24"/>
      </w:rPr>
    </w:pPr>
    <w:r>
      <w:rPr>
        <w:rFonts w:ascii="Tw Cen MT" w:hAnsi="Tw Cen MT"/>
        <w:noProof/>
        <w:color w:val="000000"/>
        <w:sz w:val="20"/>
        <w:szCs w:val="24"/>
      </w:rPr>
      <mc:AlternateContent>
        <mc:Choice Requires="wps">
          <w:drawing>
            <wp:anchor distT="0" distB="0" distL="0" distR="0" simplePos="0" relativeHeight="2" behindDoc="0" locked="0" layoutInCell="1" allowOverlap="1" wp14:anchorId="2CF6E49E" wp14:editId="16AD455C">
              <wp:simplePos x="0" y="0"/>
              <wp:positionH relativeFrom="column">
                <wp:posOffset>-8890</wp:posOffset>
              </wp:positionH>
              <wp:positionV relativeFrom="paragraph">
                <wp:posOffset>-14808</wp:posOffset>
              </wp:positionV>
              <wp:extent cx="5956935" cy="0"/>
              <wp:effectExtent l="0" t="19050" r="5715" b="19050"/>
              <wp:wrapNone/>
              <wp:docPr id="40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935" cy="0"/>
                      </a:xfrm>
                      <a:prstGeom prst="line">
                        <a:avLst/>
                      </a:prstGeom>
                      <a:ln w="28575" cap="flat" cmpd="sng">
                        <a:solidFill>
                          <a:srgbClr val="000000"/>
                        </a:solidFill>
                        <a:prstDash val="solid"/>
                        <a:round/>
                        <a:headEnd/>
                        <a:tailEnd/>
                      </a:ln>
                    </wps:spPr>
                    <wps:bodyPr/>
                  </wps:wsp>
                </a:graphicData>
              </a:graphic>
              <wp14:sizeRelH relativeFrom="margin">
                <wp14:pctWidth>0</wp14:pctWidth>
              </wp14:sizeRelH>
            </wp:anchor>
          </w:drawing>
        </mc:Choice>
        <mc:Fallback>
          <w:pict>
            <v:line w14:anchorId="22EE1283" id="Straight Connector 1" o:spid="_x0000_s1026" style="position:absolute;z-index: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" strokeweight="2.25pt">
              <o:lock v:ext="edit" shapetype="f"/>
            </v:line>
          </w:pict>
        </mc:Fallback>
      </mc:AlternateContent>
    </w:r>
    <w:r>
      <w:rPr>
        <w:rFonts w:ascii="Tw Cen MT" w:hAnsi="Tw Cen MT"/>
        <w:color w:val="000000"/>
        <w:sz w:val="20"/>
        <w:szCs w:val="24"/>
        <w:lang w:val="en-ID"/>
      </w:rPr>
      <w:t>Coresponden Name and email</w:t>
    </w:r>
  </w:p>
  <w:p w14:paraId="41583D8C" w14:textId="77777777" w:rsidR="002C1B6E" w:rsidRDefault="00AB5BE7">
    <w:pPr>
      <w:pStyle w:val="Footer"/>
      <w:jc w:val="right"/>
    </w:pPr>
    <w:r>
      <w:rPr>
        <w:rFonts w:ascii="Tw Cen MT" w:hAnsi="Tw Cen MT"/>
        <w:noProof/>
        <w:color w:val="000000"/>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sidR="00B91906">
      <w:rPr>
        <w:rFonts w:ascii="Tw Cen MT" w:hAnsi="Tw Cen MT"/>
        <w:noProof/>
        <w:sz w:val="24"/>
        <w:szCs w:val="24"/>
      </w:rPr>
      <w:t>7</w:t>
    </w:r>
    <w:r>
      <w:rPr>
        <w:rFonts w:ascii="Tw Cen MT" w:hAnsi="Tw Cen MT"/>
        <w:noProof/>
        <w:sz w:val="24"/>
        <w:szCs w:val="24"/>
      </w:rPr>
      <w:fldChar w:fldCharType="end"/>
    </w:r>
  </w:p>
  <w:p w14:paraId="713DFBAC" w14:textId="77777777" w:rsidR="002C1B6E" w:rsidRDefault="002C1B6E">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99055" w14:textId="77777777" w:rsidR="00121A93" w:rsidRDefault="00121A93">
      <w:pPr>
        <w:spacing w:after="0" w:line="240" w:lineRule="auto"/>
      </w:pPr>
      <w:r>
        <w:separator/>
      </w:r>
    </w:p>
  </w:footnote>
  <w:footnote w:type="continuationSeparator" w:id="0">
    <w:p w14:paraId="4F42C3CA" w14:textId="77777777" w:rsidR="00121A93" w:rsidRDefault="0012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5CDA1" w14:textId="77777777" w:rsidR="002C1B6E" w:rsidRDefault="00AB5BE7">
    <w:pPr>
      <w:pStyle w:val="Header"/>
      <w:tabs>
        <w:tab w:val="clear" w:pos="4680"/>
        <w:tab w:val="clear" w:pos="9360"/>
      </w:tabs>
      <w:spacing w:after="120" w:line="276" w:lineRule="auto"/>
      <w:rPr>
        <w:b/>
        <w:bCs/>
        <w:color w:val="1F497D"/>
        <w:sz w:val="28"/>
        <w:szCs w:val="28"/>
      </w:rPr>
    </w:pPr>
    <w:r>
      <w:rPr>
        <w:rFonts w:ascii="Tw Cen MT" w:hAnsi="Tw Cen MT" w:cs="SimSun"/>
        <w:sz w:val="20"/>
        <w:szCs w:val="20"/>
      </w:rPr>
      <w:t xml:space="preserve">Jurnal Proteksi Kesehatan                                                                                                                                   </w:t>
    </w:r>
    <w:proofErr w:type="gramStart"/>
    <w:r>
      <w:rPr>
        <w:rFonts w:ascii="Tw Cen MT" w:hAnsi="Tw Cen MT" w:cs="SimSun"/>
        <w:sz w:val="20"/>
        <w:szCs w:val="20"/>
      </w:rPr>
      <w:t>Vol. ,</w:t>
    </w:r>
    <w:proofErr w:type="gramEnd"/>
    <w:r>
      <w:rPr>
        <w:rFonts w:ascii="Tw Cen MT" w:hAnsi="Tw Cen MT" w:cs="SimSun"/>
        <w:sz w:val="20"/>
        <w:szCs w:val="20"/>
      </w:rPr>
      <w:t xml:space="preserve"> No. , September 2024, pp. 1-7</w:t>
    </w:r>
    <w:r>
      <w:rPr>
        <w:rFonts w:ascii="Tw Cen MT" w:hAnsi="Tw Cen MT" w:cs="SimSun"/>
        <w:sz w:val="20"/>
        <w:szCs w:val="20"/>
      </w:rPr>
      <w:tab/>
    </w:r>
    <w:r>
      <w:rPr>
        <w:rFonts w:ascii="Tw Cen MT" w:hAnsi="Tw Cen MT" w:cs="SimSun"/>
        <w:sz w:val="20"/>
        <w:szCs w:val="20"/>
      </w:rPr>
      <w:tab/>
      <w:t xml:space="preserve">                                                                                                        ISSN 2715-1115 (Online), ISSN 2302 – 8610 (Print)</w:t>
    </w:r>
  </w:p>
  <w:p w14:paraId="2D2E6697" w14:textId="77777777" w:rsidR="002C1B6E" w:rsidRDefault="00AB5BE7">
    <w:pPr>
      <w:pBdr>
        <w:top w:val="nil"/>
        <w:left w:val="nil"/>
        <w:bottom w:val="single" w:sz="4" w:space="1" w:color="A5A5A5"/>
        <w:right w:val="nil"/>
        <w:between w:val="nil"/>
      </w:pBdr>
      <w:tabs>
        <w:tab w:val="left" w:pos="2580"/>
        <w:tab w:val="left" w:pos="2985"/>
        <w:tab w:val="center" w:pos="4680"/>
        <w:tab w:val="right" w:pos="9360"/>
      </w:tabs>
      <w:spacing w:after="120" w:line="276" w:lineRule="auto"/>
      <w:rPr>
        <w:color w:val="7F7F7F"/>
      </w:rPr>
    </w:pPr>
    <w:r>
      <w:rPr>
        <w:noProof/>
      </w:rPr>
      <mc:AlternateContent>
        <mc:Choice Requires="wps">
          <w:drawing>
            <wp:anchor distT="0" distB="0" distL="0" distR="0" simplePos="0" relativeHeight="3" behindDoc="0" locked="0" layoutInCell="1" allowOverlap="1" wp14:anchorId="6623EC87" wp14:editId="0B35E09F">
              <wp:simplePos x="0" y="0"/>
              <wp:positionH relativeFrom="column">
                <wp:posOffset>0</wp:posOffset>
              </wp:positionH>
              <wp:positionV relativeFrom="paragraph">
                <wp:posOffset>213995</wp:posOffset>
              </wp:positionV>
              <wp:extent cx="5975985" cy="0"/>
              <wp:effectExtent l="0" t="12700" r="18415" b="12700"/>
              <wp:wrapNone/>
              <wp:docPr id="4097"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6C4360C2"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3;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" strokeweight="1.5pt">
              <v:stroke startarrowwidth="narrow" startarrowlength="short" endarrowwidth="narrow" endarrowlength="short"/>
              <o:lock v:ext="edit" shapetype="f"/>
            </v:shape>
          </w:pict>
        </mc:Fallback>
      </mc:AlternateContent>
    </w:r>
  </w:p>
  <w:p w14:paraId="6822852C" w14:textId="77777777" w:rsidR="002C1B6E" w:rsidRDefault="002C1B6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0000002"/>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0B624FF1"/>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204705">
    <w:abstractNumId w:val="1"/>
  </w:num>
  <w:num w:numId="2" w16cid:durableId="1945309358">
    <w:abstractNumId w:val="2"/>
  </w:num>
  <w:num w:numId="3" w16cid:durableId="990870291">
    <w:abstractNumId w:val="0"/>
  </w:num>
  <w:num w:numId="4" w16cid:durableId="197579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B6E"/>
    <w:rsid w:val="00121A93"/>
    <w:rsid w:val="00162460"/>
    <w:rsid w:val="001D3736"/>
    <w:rsid w:val="001D6E5D"/>
    <w:rsid w:val="0023299C"/>
    <w:rsid w:val="002A128D"/>
    <w:rsid w:val="002C1B6E"/>
    <w:rsid w:val="00336EEC"/>
    <w:rsid w:val="00377D70"/>
    <w:rsid w:val="003A5DEE"/>
    <w:rsid w:val="003E4482"/>
    <w:rsid w:val="0045676F"/>
    <w:rsid w:val="004930F6"/>
    <w:rsid w:val="005169B5"/>
    <w:rsid w:val="00536FD2"/>
    <w:rsid w:val="00574A70"/>
    <w:rsid w:val="005A6EB8"/>
    <w:rsid w:val="00646EED"/>
    <w:rsid w:val="006A6E9F"/>
    <w:rsid w:val="00757078"/>
    <w:rsid w:val="00893642"/>
    <w:rsid w:val="008D53A2"/>
    <w:rsid w:val="00916542"/>
    <w:rsid w:val="00935A7E"/>
    <w:rsid w:val="009C42AC"/>
    <w:rsid w:val="00A93A2D"/>
    <w:rsid w:val="00A972EA"/>
    <w:rsid w:val="00AB5BE7"/>
    <w:rsid w:val="00B01D8D"/>
    <w:rsid w:val="00B16E47"/>
    <w:rsid w:val="00B3509C"/>
    <w:rsid w:val="00B45D82"/>
    <w:rsid w:val="00B91906"/>
    <w:rsid w:val="00B93422"/>
    <w:rsid w:val="00B93572"/>
    <w:rsid w:val="00BA573A"/>
    <w:rsid w:val="00BC743E"/>
    <w:rsid w:val="00C224BB"/>
    <w:rsid w:val="00C64D67"/>
    <w:rsid w:val="00C67830"/>
    <w:rsid w:val="00C7052F"/>
    <w:rsid w:val="00C71172"/>
    <w:rsid w:val="00CA0D9A"/>
    <w:rsid w:val="00CD1FB5"/>
    <w:rsid w:val="00CE3A9B"/>
    <w:rsid w:val="00E31888"/>
    <w:rsid w:val="00E55BA3"/>
    <w:rsid w:val="00E92DB5"/>
    <w:rsid w:val="00E97529"/>
    <w:rsid w:val="00EE5A0C"/>
    <w:rsid w:val="00F16700"/>
    <w:rsid w:val="00F359CD"/>
    <w:rsid w:val="00F54439"/>
    <w:rsid w:val="00F62F23"/>
    <w:rsid w:val="00F73DAF"/>
    <w:rsid w:val="00F75B52"/>
    <w:rsid w:val="00FC06B8"/>
    <w:rsid w:val="00FE1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B710F"/>
  <w15:docId w15:val="{E146EA34-569C-4E16-8327-995DD909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rPr>
      <w:color w:val="0000FF"/>
      <w:u w:val="single"/>
    </w:rPr>
  </w:style>
  <w:style w:type="paragraph" w:customStyle="1" w:styleId="3CBD5A742C28424DA5172AD252E32316">
    <w:name w:val="3CBD5A742C28424DA5172AD252E32316"/>
    <w:rPr>
      <w:rFonts w:eastAsia="MS Mincho"/>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Pr>
      <w:rFonts w:ascii="Cambria" w:eastAsia="MS Gothic" w:hAnsi="Cambria" w:cs="SimSun"/>
      <w:sz w:val="30"/>
      <w:szCs w:val="30"/>
    </w:rPr>
  </w:style>
  <w:style w:type="character" w:styleId="LineNumber">
    <w:name w:val="line number"/>
    <w:basedOn w:val="DefaultParagraphFont"/>
    <w:uiPriority w:val="99"/>
  </w:style>
  <w:style w:type="paragraph" w:styleId="ListParagraph">
    <w:name w:val="List Paragraph"/>
    <w:basedOn w:val="Normal"/>
    <w:uiPriority w:val="34"/>
    <w:qFormat/>
    <w:pPr>
      <w:spacing w:line="276" w:lineRule="auto"/>
      <w:ind w:left="720"/>
      <w:contextualSpacing/>
    </w:pPr>
    <w:rPr>
      <w:rFonts w:eastAsia="Times New Roman" w:cs="Times New Roman"/>
      <w:sz w:val="22"/>
      <w:szCs w:val="22"/>
      <w:lang w:val="en-GB" w:eastAsia="en-GB"/>
    </w:rPr>
  </w:style>
  <w:style w:type="paragraph" w:customStyle="1" w:styleId="Default">
    <w:name w:val="Default"/>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59"/>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eastAsia="MS Mincho"/>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eastAsia="MS Mincho"/>
      <w:b/>
      <w:bCs/>
      <w:sz w:val="20"/>
      <w:szCs w:val="20"/>
    </w:rPr>
  </w:style>
  <w:style w:type="character" w:customStyle="1" w:styleId="y2iqfc">
    <w:name w:val="y2iqfc"/>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pPr>
      <w:spacing w:after="0" w:line="240" w:lineRule="auto"/>
    </w:pPr>
    <w:rPr>
      <w:lang w:eastAsia="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
    <w:name w:val="Heading 1 Char"/>
    <w:basedOn w:val="DefaultParagraphFont"/>
    <w:link w:val="Heading1"/>
    <w:uiPriority w:val="9"/>
    <w:rPr>
      <w:rFonts w:eastAsia="MS Mincho"/>
      <w:b/>
      <w:sz w:val="48"/>
      <w:szCs w:val="48"/>
    </w:rPr>
  </w:style>
  <w:style w:type="character" w:styleId="Emphasis">
    <w:name w:val="Emphasis"/>
    <w:basedOn w:val="DefaultParagraphFont"/>
    <w:uiPriority w:val="20"/>
    <w:qFormat/>
    <w:rsid w:val="00B350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037934">
      <w:bodyDiv w:val="1"/>
      <w:marLeft w:val="0"/>
      <w:marRight w:val="0"/>
      <w:marTop w:val="0"/>
      <w:marBottom w:val="0"/>
      <w:divBdr>
        <w:top w:val="none" w:sz="0" w:space="0" w:color="auto"/>
        <w:left w:val="none" w:sz="0" w:space="0" w:color="auto"/>
        <w:bottom w:val="none" w:sz="0" w:space="0" w:color="auto"/>
        <w:right w:val="none" w:sz="0" w:space="0" w:color="auto"/>
      </w:divBdr>
    </w:div>
    <w:div w:id="1015183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4F544F18-ACF2-4805-B59E-E322BAD11D12}">
  <ds:schemaRefs>
    <ds:schemaRef ds:uri="http://www.wps.cn/android/officeDocument/2013/moffice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03801FF-89FB-4473-A417-3F5D896A0D74}">
  <ds:schemaRefs>
    <ds:schemaRef ds:uri="http://www.wps.cn/android/officeDocument/2013/mofficeCustomData"/>
  </ds:schemaRefs>
</ds:datastoreItem>
</file>

<file path=customXml/itemProps4.xml><?xml version="1.0" encoding="utf-8"?>
<ds:datastoreItem xmlns:ds="http://schemas.openxmlformats.org/officeDocument/2006/customXml" ds:itemID="{06C876FF-57CF-4832-932E-7C4A1E7E9BA9}">
  <ds:schemaRefs>
    <ds:schemaRef ds:uri="http://schemas.openxmlformats.org/officeDocument/2006/bibliography"/>
  </ds:schemaRefs>
</ds:datastoreItem>
</file>

<file path=customXml/itemProps5.xml><?xml version="1.0" encoding="utf-8"?>
<ds:datastoreItem xmlns:ds="http://schemas.openxmlformats.org/officeDocument/2006/customXml" ds:itemID="{5022BAE0-85C8-4A4F-9B68-1979C8CA39E6}">
  <ds:schemaRefs>
    <ds:schemaRef ds:uri="http://www.wps.cn/android/officeDocument/2013/mofficeCustomData"/>
  </ds:schemaRefs>
</ds:datastoreItem>
</file>

<file path=customXml/itemProps6.xml><?xml version="1.0" encoding="utf-8"?>
<ds:datastoreItem xmlns:ds="http://schemas.openxmlformats.org/officeDocument/2006/customXml" ds:itemID="{B01F8B3E-DA9B-49D3-ADB7-4D9795E75318}">
  <ds:schemaRefs>
    <ds:schemaRef ds:uri="http://www.wps.cn/android/officeDocument/2013/mofficeCustomData"/>
  </ds:schemaRefs>
</ds:datastoreItem>
</file>

<file path=customXml/itemProps7.xml><?xml version="1.0" encoding="utf-8"?>
<ds:datastoreItem xmlns:ds="http://schemas.openxmlformats.org/officeDocument/2006/customXml" ds:itemID="{40DB7EED-80D8-4C88-AA8C-71858CFE1851}">
  <ds:schemaRefs>
    <ds:schemaRef ds:uri="http://www.wps.cn/android/officeDocument/2013/mofficeCustomData"/>
  </ds:schemaRefs>
</ds:datastoreItem>
</file>

<file path=customXml/itemProps8.xml><?xml version="1.0" encoding="utf-8"?>
<ds:datastoreItem xmlns:ds="http://schemas.openxmlformats.org/officeDocument/2006/customXml" ds:itemID="{32CBE5BF-D7AB-40C8-A550-0CF6A187DCA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10639</Words>
  <Characters>64691</Characters>
  <Application>Microsoft Office Word</Application>
  <DocSecurity>0</DocSecurity>
  <Lines>2488</Lines>
  <Paragraphs>760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Nola Rahmadasmi</cp:lastModifiedBy>
  <cp:revision>3</cp:revision>
  <dcterms:created xsi:type="dcterms:W3CDTF">2024-12-30T08:24:00Z</dcterms:created>
  <dcterms:modified xsi:type="dcterms:W3CDTF">2025-01-02T06:53:00Z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a5894fa21be97b3b7271d2ef704495f9b3a8b803ed6d29401dfb632c10e11911</vt:lpwstr>
  </property>
</Properties>
</file>