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rsidP="00333801">
      <w:pPr>
        <w:spacing w:after="0" w:line="240" w:lineRule="auto"/>
        <w:jc w:val="center"/>
        <w:rPr>
          <w:rFonts w:ascii="Tw Cen MT" w:eastAsia="Times New Roman" w:hAnsi="Tw Cen MT" w:cs="Times New Roman"/>
          <w:b/>
          <w:sz w:val="32"/>
          <w:szCs w:val="24"/>
        </w:rPr>
      </w:pPr>
      <w:r>
        <w:rPr>
          <w:rFonts w:ascii="Tw Cen MT" w:eastAsia="Times New Roman" w:hAnsi="Tw Cen MT" w:cs="Times New Roman"/>
          <w:b/>
          <w:sz w:val="32"/>
          <w:szCs w:val="24"/>
        </w:rPr>
        <w:t>Preparation And Evaluation Of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374CE3E" w14:textId="77777777" w:rsidR="002005A1" w:rsidRDefault="002005A1" w:rsidP="00333801">
      <w:pPr>
        <w:spacing w:after="0" w:line="240" w:lineRule="auto"/>
        <w:jc w:val="center"/>
        <w:rPr>
          <w:rFonts w:ascii="Tw Cen MT" w:eastAsia="Times New Roman" w:hAnsi="Tw Cen MT" w:cs="Times New Roman"/>
          <w:b/>
          <w:sz w:val="32"/>
          <w:szCs w:val="24"/>
        </w:rPr>
      </w:pPr>
    </w:p>
    <w:p w14:paraId="089665E3" w14:textId="77777777" w:rsidR="002C1B6E" w:rsidRDefault="00AB5BE7" w:rsidP="00333801">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rsidP="00333801">
      <w:pPr>
        <w:spacing w:after="0" w:line="240" w:lineRule="auto"/>
        <w:jc w:val="center"/>
        <w:rPr>
          <w:rFonts w:ascii="Tw Cen MT" w:hAnsi="Tw Cen MT" w:cs="Times New Roman"/>
          <w:b/>
          <w:bCs/>
          <w:iCs/>
          <w:sz w:val="32"/>
          <w:szCs w:val="32"/>
        </w:rPr>
      </w:pPr>
    </w:p>
    <w:p w14:paraId="3A180018" w14:textId="3D6880D6" w:rsidR="00FC06B8" w:rsidRPr="00FC06B8" w:rsidRDefault="00AB5BE7" w:rsidP="00333801">
      <w:pPr>
        <w:widowControl w:val="0"/>
        <w:spacing w:after="0" w:line="240"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sidR="00333801">
        <w:rPr>
          <w:rFonts w:ascii="Tw Cen MT" w:eastAsia="Twentieth Century" w:hAnsi="Tw Cen MT" w:cs="Twentieth Century"/>
          <w:sz w:val="24"/>
          <w:szCs w:val="24"/>
          <w:vertAlign w:val="superscript"/>
        </w:rPr>
        <w:t>*</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rsidP="00333801">
      <w:pPr>
        <w:widowControl w:val="0"/>
        <w:spacing w:after="0" w:line="240" w:lineRule="auto"/>
        <w:ind w:left="7" w:right="-20"/>
        <w:jc w:val="center"/>
        <w:rPr>
          <w:rFonts w:ascii="Tw Cen MT" w:eastAsia="Twentieth Century" w:hAnsi="Tw Cen MT" w:cs="Twentieth Century"/>
          <w:sz w:val="24"/>
          <w:szCs w:val="24"/>
          <w:vertAlign w:val="superscript"/>
        </w:rPr>
      </w:pPr>
    </w:p>
    <w:p w14:paraId="09A58A1F" w14:textId="7BB97F63" w:rsidR="002C1B6E" w:rsidRDefault="00AB5BE7" w:rsidP="00333801">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Universitas Fort De Kock, Bukittinggi, Indonesia</w:t>
      </w:r>
    </w:p>
    <w:p w14:paraId="2EB07C16" w14:textId="0521FF8C" w:rsidR="002C1B6E" w:rsidRDefault="00AB5BE7" w:rsidP="00333801">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Akademi Farmasi Dwi Farma, Bukittingi, Indonesia</w:t>
      </w:r>
    </w:p>
    <w:p w14:paraId="43953401" w14:textId="12D73743" w:rsidR="002C1B6E" w:rsidRDefault="00AB5BE7" w:rsidP="00333801">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Stikes Har-Kausyar, Rengat, Indonesia</w:t>
      </w:r>
    </w:p>
    <w:p w14:paraId="4DF8E64D" w14:textId="3449695E" w:rsidR="002C1B6E" w:rsidRDefault="00AB5BE7" w:rsidP="00333801">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Universitas Muhammadiyah, </w:t>
      </w:r>
      <w:r w:rsidR="002005A1">
        <w:rPr>
          <w:rFonts w:ascii="Tw Cen MT" w:eastAsia="Twentieth Century" w:hAnsi="Tw Cen MT" w:cs="Twentieth Century"/>
          <w:sz w:val="20"/>
          <w:szCs w:val="20"/>
        </w:rPr>
        <w:t>Pekanbaru</w:t>
      </w:r>
      <w:r>
        <w:rPr>
          <w:rFonts w:ascii="Tw Cen MT" w:eastAsia="Twentieth Century" w:hAnsi="Tw Cen MT" w:cs="Twentieth Century"/>
          <w:sz w:val="20"/>
          <w:szCs w:val="20"/>
        </w:rPr>
        <w:t>, Indonesia</w:t>
      </w:r>
    </w:p>
    <w:p w14:paraId="2539B2A4" w14:textId="7064DA2E" w:rsidR="002C1B6E" w:rsidRPr="002005A1" w:rsidRDefault="002005A1" w:rsidP="00333801">
      <w:pPr>
        <w:widowControl w:val="0"/>
        <w:spacing w:after="120" w:line="240" w:lineRule="auto"/>
        <w:ind w:right="-23"/>
        <w:jc w:val="center"/>
        <w:rPr>
          <w:rFonts w:ascii="Tw Cen MT" w:eastAsia="Twentieth Century" w:hAnsi="Tw Cen MT" w:cs="Twentieth Century"/>
          <w:color w:val="000000" w:themeColor="text1"/>
          <w:sz w:val="20"/>
          <w:szCs w:val="20"/>
        </w:rPr>
      </w:pPr>
      <w:r>
        <w:rPr>
          <w:rFonts w:ascii="Tw Cen MT" w:hAnsi="Tw Cen MT"/>
          <w:noProof/>
        </w:rPr>
        <mc:AlternateContent>
          <mc:Choice Requires="wps">
            <w:drawing>
              <wp:anchor distT="0" distB="0" distL="0" distR="0" simplePos="0" relativeHeight="251618304" behindDoc="0" locked="0" layoutInCell="1" allowOverlap="1" wp14:anchorId="23F565DF" wp14:editId="049CDF26">
                <wp:simplePos x="0" y="0"/>
                <wp:positionH relativeFrom="column">
                  <wp:posOffset>9525</wp:posOffset>
                </wp:positionH>
                <wp:positionV relativeFrom="paragraph">
                  <wp:posOffset>181610</wp:posOffset>
                </wp:positionV>
                <wp:extent cx="5965825" cy="0"/>
                <wp:effectExtent l="0" t="0" r="0" b="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825"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8F23B17" id="_x0000_t32" coordsize="21600,21600" o:spt="32" o:oned="t" path="m,l21600,21600e" filled="f">
                <v:path arrowok="t" fillok="f" o:connecttype="none"/>
                <o:lock v:ext="edit" shapetype="t"/>
              </v:shapetype>
              <v:shape id="Straight Arrow Connector 69" o:spid="_x0000_s1026" type="#_x0000_t32" style="position:absolute;margin-left:.75pt;margin-top:14.3pt;width:469.75pt;height:0;z-index:251618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" strokeweight="1.5pt">
                <v:stroke startarrowwidth="narrow" startarrowlength="short" endarrowwidth="narrow" endarrowlength="short"/>
                <o:lock v:ext="edit" shapetype="f"/>
              </v:shape>
            </w:pict>
          </mc:Fallback>
        </mc:AlternateContent>
      </w:r>
      <w:r w:rsidR="00333801">
        <w:rPr>
          <w:rFonts w:ascii="Tw Cen MT" w:eastAsia="Twentieth Century" w:hAnsi="Tw Cen MT" w:cs="Twentieth Century"/>
          <w:color w:val="000000" w:themeColor="text1"/>
          <w:sz w:val="20"/>
          <w:szCs w:val="20"/>
        </w:rPr>
        <w:t xml:space="preserve">Email: </w:t>
      </w:r>
      <w:hyperlink r:id="rId15" w:history="1">
        <w:r w:rsidRPr="002005A1">
          <w:rPr>
            <w:rStyle w:val="Hyperlink"/>
            <w:rFonts w:ascii="Tw Cen MT" w:eastAsia="Twentieth Century" w:hAnsi="Tw Cen MT" w:cs="Twentieth Century"/>
            <w:color w:val="000000" w:themeColor="text1"/>
            <w:sz w:val="20"/>
            <w:szCs w:val="20"/>
            <w:u w:val="none"/>
          </w:rPr>
          <w:t>nolarahmadasmi@fdk.ac.id</w:t>
        </w:r>
      </w:hyperlink>
    </w:p>
    <w:p w14:paraId="39FE4343" w14:textId="53371E93" w:rsidR="002C1B6E" w:rsidRDefault="002005A1" w:rsidP="00333801">
      <w:pPr>
        <w:spacing w:after="0" w:line="240" w:lineRule="auto"/>
        <w:ind w:left="2399" w:firstLine="719"/>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251697152" behindDoc="0" locked="0" layoutInCell="1" allowOverlap="1" wp14:anchorId="7F05B150" wp14:editId="04AFC683">
                <wp:simplePos x="0" y="0"/>
                <wp:positionH relativeFrom="column">
                  <wp:posOffset>17780</wp:posOffset>
                </wp:positionH>
                <wp:positionV relativeFrom="paragraph">
                  <wp:posOffset>7620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180745B5"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sidR="006023F0" w:rsidRPr="006023F0">
                              <w:rPr>
                                <w:rFonts w:ascii="Tw Cen MT" w:hAnsi="Tw Cen MT" w:cs="Noto Sans"/>
                                <w:sz w:val="20"/>
                                <w:szCs w:val="20"/>
                                <w:shd w:val="clear" w:color="auto" w:fill="FFFFFF"/>
                              </w:rPr>
                              <w:t>2024-09-17</w:t>
                            </w:r>
                          </w:p>
                          <w:p w14:paraId="0CD3FC57" w14:textId="17F6EB33"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sidR="006023F0" w:rsidRPr="006023F0">
                              <w:rPr>
                                <w:rFonts w:ascii="Tw Cen MT" w:hAnsi="Tw Cen MT" w:cs="Noto Sans"/>
                                <w:sz w:val="20"/>
                                <w:szCs w:val="20"/>
                                <w:shd w:val="clear" w:color="auto" w:fill="FFFFFF"/>
                              </w:rPr>
                              <w:t>2024-11-04</w:t>
                            </w:r>
                          </w:p>
                          <w:p w14:paraId="3B844FD3" w14:textId="68D87B14"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sidR="006023F0" w:rsidRPr="006023F0">
                              <w:rPr>
                                <w:rFonts w:ascii="Tw Cen MT" w:hAnsi="Tw Cen MT" w:cs="Noto Sans"/>
                                <w:sz w:val="20"/>
                                <w:szCs w:val="20"/>
                                <w:shd w:val="clear" w:color="auto" w:fill="FFFFFF"/>
                              </w:rPr>
                              <w:t>2024-12-19</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left:0;text-align:left;margin-left:1.4pt;margin-top:.6pt;width:153pt;height:92.6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180745B5"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sidR="006023F0" w:rsidRPr="006023F0">
                        <w:rPr>
                          <w:rFonts w:ascii="Tw Cen MT" w:hAnsi="Tw Cen MT" w:cs="Noto Sans"/>
                          <w:sz w:val="20"/>
                          <w:szCs w:val="20"/>
                          <w:shd w:val="clear" w:color="auto" w:fill="FFFFFF"/>
                        </w:rPr>
                        <w:t>2024-09-17</w:t>
                      </w:r>
                    </w:p>
                    <w:p w14:paraId="0CD3FC57" w14:textId="17F6EB33"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sidR="006023F0" w:rsidRPr="006023F0">
                        <w:rPr>
                          <w:rFonts w:ascii="Tw Cen MT" w:hAnsi="Tw Cen MT" w:cs="Noto Sans"/>
                          <w:sz w:val="20"/>
                          <w:szCs w:val="20"/>
                          <w:shd w:val="clear" w:color="auto" w:fill="FFFFFF"/>
                        </w:rPr>
                        <w:t>2024-11-04</w:t>
                      </w:r>
                    </w:p>
                    <w:p w14:paraId="3B844FD3" w14:textId="68D87B14"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sidR="006023F0" w:rsidRPr="006023F0">
                        <w:rPr>
                          <w:rFonts w:ascii="Tw Cen MT" w:hAnsi="Tw Cen MT" w:cs="Noto Sans"/>
                          <w:sz w:val="20"/>
                          <w:szCs w:val="20"/>
                          <w:shd w:val="clear" w:color="auto" w:fill="FFFFFF"/>
                        </w:rPr>
                        <w:t>2024-12-19</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sidR="00AB5BE7">
        <w:rPr>
          <w:rFonts w:ascii="Tw Cen MT" w:eastAsia="Twentieth Century" w:hAnsi="Tw Cen MT" w:cs="Twentieth Century"/>
          <w:b/>
          <w:i/>
          <w:sz w:val="20"/>
          <w:szCs w:val="20"/>
        </w:rPr>
        <w:t xml:space="preserve"> Abstract</w:t>
      </w:r>
    </w:p>
    <w:p w14:paraId="6A672333" w14:textId="3FD66F00" w:rsidR="002C1B6E" w:rsidRDefault="00AB5BE7" w:rsidP="00333801">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98176" behindDoc="1" locked="0" layoutInCell="1" allowOverlap="1" wp14:anchorId="1A3AAA6A" wp14:editId="374201EC">
            <wp:simplePos x="0" y="0"/>
            <wp:positionH relativeFrom="column">
              <wp:posOffset>45085</wp:posOffset>
            </wp:positionH>
            <wp:positionV relativeFrom="paragraph">
              <wp:posOffset>1234813</wp:posOffset>
            </wp:positionV>
            <wp:extent cx="1016000" cy="358139"/>
            <wp:effectExtent l="0" t="0" r="0" b="4445"/>
            <wp:wrapThrough wrapText="bothSides">
              <wp:wrapPolygon edited="0">
                <wp:start x="0" y="0"/>
                <wp:lineTo x="0" y="20718"/>
                <wp:lineTo x="21060" y="20718"/>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Dragon skin is a waste that is rarely used and often discarded.  The dragonfruit skin has antioxidant activity related to the anthocyanin content that protects the skin from oxidation damage to prevent premature aging</w:t>
      </w:r>
      <w:r w:rsidR="002005A1">
        <w:rPr>
          <w:rFonts w:ascii="Tw Cen MT" w:eastAsia="Twentieth Century" w:hAnsi="Tw Cen MT" w:cs="Twentieth Century"/>
          <w:i/>
          <w:noProof/>
          <w:color w:val="000000"/>
          <w:sz w:val="20"/>
          <w:szCs w:val="20"/>
        </w:rPr>
        <w:t>.</w:t>
      </w:r>
      <w:r>
        <w:rPr>
          <w:rFonts w:ascii="Tw Cen MT" w:eastAsia="Twentieth Century" w:hAnsi="Tw Cen MT" w:cs="Twentieth Century"/>
          <w:i/>
          <w:noProof/>
          <w:color w:val="000000"/>
          <w:sz w:val="20"/>
          <w:szCs w:val="20"/>
        </w:rPr>
        <w:t xml:space="preserve"> </w:t>
      </w:r>
      <w:r w:rsidR="002005A1">
        <w:rPr>
          <w:rFonts w:ascii="Tw Cen MT" w:eastAsia="Twentieth Century" w:hAnsi="Tw Cen MT" w:cs="Twentieth Century"/>
          <w:i/>
          <w:noProof/>
          <w:color w:val="000000"/>
          <w:sz w:val="20"/>
          <w:szCs w:val="20"/>
        </w:rPr>
        <w:t xml:space="preserve">This study introduces a new approach to utilizing super red dragon fruit skin waste often thrown away, by formulating it into a hydrogel </w:t>
      </w:r>
      <w:r w:rsidR="002005A1" w:rsidRPr="00B20C93">
        <w:rPr>
          <w:rFonts w:ascii="Tw Cen MT" w:eastAsia="Twentieth Century" w:hAnsi="Tw Cen MT" w:cs="Twentieth Century"/>
          <w:i/>
          <w:noProof/>
          <w:color w:val="000000"/>
          <w:sz w:val="20"/>
          <w:szCs w:val="20"/>
          <w:lang w:val="en"/>
        </w:rPr>
        <w:t>preparation</w:t>
      </w:r>
      <w:r w:rsidR="002005A1">
        <w:rPr>
          <w:rFonts w:ascii="Tw Cen MT" w:eastAsia="Twentieth Century" w:hAnsi="Tw Cen MT" w:cs="Twentieth Century"/>
          <w:i/>
          <w:noProof/>
          <w:color w:val="000000"/>
          <w:sz w:val="20"/>
          <w:szCs w:val="20"/>
        </w:rPr>
        <w:t xml:space="preserve"> with potential as a cosmetic product.</w:t>
      </w:r>
      <w:r w:rsidR="002005A1">
        <w:rPr>
          <w:rFonts w:ascii="Tw Cen MT" w:eastAsia="Twentieth Century" w:hAnsi="Tw Cen MT" w:cs="Twentieth Century"/>
          <w:i/>
          <w:noProof/>
          <w:color w:val="000000"/>
          <w:sz w:val="20"/>
          <w:szCs w:val="20"/>
        </w:rPr>
        <w:t xml:space="preserve"> A</w:t>
      </w:r>
      <w:r>
        <w:rPr>
          <w:rFonts w:ascii="Tw Cen MT" w:eastAsia="Twentieth Century" w:hAnsi="Tw Cen MT" w:cs="Twentieth Century"/>
          <w:i/>
          <w:noProof/>
          <w:color w:val="000000"/>
          <w:sz w:val="20"/>
          <w:szCs w:val="20"/>
        </w:rPr>
        <w:t>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w:t>
      </w:r>
      <w:r w:rsidR="00A973C8">
        <w:rPr>
          <w:rFonts w:ascii="Tw Cen MT" w:eastAsia="Twentieth Century" w:hAnsi="Tw Cen MT" w:cs="Twentieth Century"/>
          <w:i/>
          <w:noProof/>
          <w:color w:val="000000"/>
          <w:sz w:val="20"/>
          <w:szCs w:val="20"/>
        </w:rPr>
        <w:t xml:space="preserve">od physical quality properties. </w:t>
      </w:r>
    </w:p>
    <w:p w14:paraId="11BE4EC5" w14:textId="77777777" w:rsidR="002C1B6E" w:rsidRDefault="00AB5BE7" w:rsidP="00333801">
      <w:pPr>
        <w:widowControl w:val="0"/>
        <w:spacing w:after="0" w:line="240"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5FF3129D" w14:textId="4A03AF2F" w:rsidR="002C1B6E" w:rsidRDefault="00AB5BE7" w:rsidP="00333801">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w:t>
      </w:r>
      <w:r w:rsidR="002005A1">
        <w:rPr>
          <w:rFonts w:ascii="Tw Cen MT" w:eastAsia="Twentieth Century" w:hAnsi="Tw Cen MT" w:cs="Twentieth Century"/>
          <w:i/>
          <w:sz w:val="20"/>
          <w:szCs w:val="20"/>
        </w:rPr>
        <w:t>, Hydrogel, Physical Quality, Stability, Extract Skin of Super Red Dragon Fruit</w:t>
      </w:r>
    </w:p>
    <w:p w14:paraId="7D7049C3" w14:textId="77777777" w:rsidR="00A973C8" w:rsidRPr="00A973C8" w:rsidRDefault="00A973C8" w:rsidP="00333801">
      <w:pPr>
        <w:tabs>
          <w:tab w:val="left" w:pos="426"/>
        </w:tabs>
        <w:spacing w:after="0" w:line="240" w:lineRule="auto"/>
        <w:ind w:left="3150"/>
        <w:jc w:val="both"/>
        <w:rPr>
          <w:rFonts w:ascii="Tw Cen MT" w:eastAsia="Twentieth Century" w:hAnsi="Tw Cen MT" w:cs="Twentieth Century"/>
          <w:i/>
          <w:sz w:val="20"/>
          <w:szCs w:val="20"/>
        </w:rPr>
      </w:pPr>
    </w:p>
    <w:p w14:paraId="0B1DEB2D" w14:textId="77777777" w:rsidR="002C1B6E" w:rsidRDefault="00AB5BE7" w:rsidP="00333801">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15D3E488" w14:textId="5D63E665" w:rsidR="002C1B6E" w:rsidRPr="00A973C8" w:rsidRDefault="00AB5BE7" w:rsidP="00333801">
      <w:pPr>
        <w:tabs>
          <w:tab w:val="left" w:pos="426"/>
        </w:tabs>
        <w:spacing w:after="0" w:line="240" w:lineRule="auto"/>
        <w:ind w:left="3150"/>
        <w:jc w:val="both"/>
        <w:rPr>
          <w:rFonts w:ascii="Tw Cen MT" w:eastAsia="Twentieth Century" w:hAnsi="Tw Cen MT" w:cs="Twentieth Century"/>
          <w:iCs/>
          <w:sz w:val="18"/>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w:t>
      </w:r>
      <w:r w:rsidR="002005A1" w:rsidRPr="002005A1">
        <w:rPr>
          <w:rFonts w:ascii="Tw Cen MT" w:hAnsi="Tw Cen MT" w:cs="Arial"/>
          <w:sz w:val="20"/>
        </w:rPr>
        <w:t xml:space="preserve"> </w:t>
      </w:r>
      <w:r w:rsidR="002005A1" w:rsidRPr="00A973C8">
        <w:rPr>
          <w:rFonts w:ascii="Tw Cen MT" w:hAnsi="Tw Cen MT" w:cs="Arial"/>
          <w:sz w:val="20"/>
        </w:rPr>
        <w:t>Penelitian ini memperkenalkan pendekatan baru dalam pemanfaatan limbah kulit buah naga super merah yang se</w:t>
      </w:r>
      <w:r w:rsidR="002005A1">
        <w:rPr>
          <w:rFonts w:ascii="Tw Cen MT" w:hAnsi="Tw Cen MT" w:cs="Arial"/>
          <w:sz w:val="20"/>
        </w:rPr>
        <w:t>ring dibuang, dengan diformulasikan</w:t>
      </w:r>
      <w:r w:rsidR="002005A1" w:rsidRPr="00A973C8">
        <w:rPr>
          <w:rFonts w:ascii="Tw Cen MT" w:hAnsi="Tw Cen MT" w:cs="Arial"/>
          <w:sz w:val="20"/>
        </w:rPr>
        <w:t xml:space="preserve"> menjadi</w:t>
      </w:r>
      <w:r w:rsidR="002005A1">
        <w:rPr>
          <w:rFonts w:ascii="Tw Cen MT" w:hAnsi="Tw Cen MT" w:cs="Arial"/>
          <w:sz w:val="20"/>
        </w:rPr>
        <w:t xml:space="preserve"> sediaan</w:t>
      </w:r>
      <w:r w:rsidR="002005A1" w:rsidRPr="00A973C8">
        <w:rPr>
          <w:rFonts w:ascii="Tw Cen MT" w:hAnsi="Tw Cen MT" w:cs="Arial"/>
          <w:sz w:val="20"/>
        </w:rPr>
        <w:t xml:space="preserve"> hidrogel yang memiliki potensi sebagai produk kosmetik</w:t>
      </w:r>
      <w:r w:rsidR="002005A1">
        <w:rPr>
          <w:rFonts w:ascii="Tw Cen MT" w:hAnsi="Tw Cen MT" w:cs="Arial"/>
          <w:sz w:val="20"/>
        </w:rPr>
        <w:t>.</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p>
    <w:p w14:paraId="23C48D0D" w14:textId="77777777" w:rsidR="002C1B6E" w:rsidRDefault="00AB5BE7" w:rsidP="00333801">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33E71C3C" w:rsidR="002C1B6E" w:rsidRDefault="006023F0" w:rsidP="00333801">
      <w:pPr>
        <w:spacing w:line="240" w:lineRule="auto"/>
        <w:ind w:left="3150"/>
        <w:jc w:val="both"/>
        <w:rPr>
          <w:rFonts w:ascii="Tw Cen MT" w:eastAsia="Twentieth Century" w:hAnsi="Tw Cen MT" w:cs="Twentieth Century"/>
          <w:sz w:val="20"/>
          <w:szCs w:val="20"/>
        </w:rPr>
      </w:pPr>
      <w:r>
        <w:rPr>
          <w:rFonts w:ascii="Tw Cen MT" w:hAnsi="Tw Cen MT" w:cs="Times New Roman"/>
          <w:noProof/>
          <w:sz w:val="24"/>
        </w:rPr>
        <mc:AlternateContent>
          <mc:Choice Requires="wps">
            <w:drawing>
              <wp:anchor distT="0" distB="0" distL="114300" distR="114300" simplePos="0" relativeHeight="251702272" behindDoc="0" locked="0" layoutInCell="1" allowOverlap="1" wp14:anchorId="523F0DF3" wp14:editId="786EFF65">
                <wp:simplePos x="0" y="0"/>
                <wp:positionH relativeFrom="column">
                  <wp:posOffset>-8255</wp:posOffset>
                </wp:positionH>
                <wp:positionV relativeFrom="paragraph">
                  <wp:posOffset>332874</wp:posOffset>
                </wp:positionV>
                <wp:extent cx="5939790" cy="0"/>
                <wp:effectExtent l="0" t="19050" r="22860" b="19050"/>
                <wp:wrapNone/>
                <wp:docPr id="1494881923" name="Straight Connector 6"/>
                <wp:cNvGraphicFramePr/>
                <a:graphic xmlns:a="http://schemas.openxmlformats.org/drawingml/2006/main">
                  <a:graphicData uri="http://schemas.microsoft.com/office/word/2010/wordprocessingShape">
                    <wps:wsp>
                      <wps:cNvCnPr/>
                      <wps:spPr>
                        <a:xfrm>
                          <a:off x="0" y="0"/>
                          <a:ext cx="59397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ED02B" id="Straight Connector 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5pt,26.2pt" to="467.0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" strokecolor="black [3040]" strokeweight="2.25pt"/>
            </w:pict>
          </mc:Fallback>
        </mc:AlternateContent>
      </w:r>
      <w:r w:rsidR="00AB5BE7">
        <w:rPr>
          <w:rFonts w:ascii="Tw Cen MT" w:eastAsia="Twentieth Century" w:hAnsi="Tw Cen MT" w:cs="Twentieth Century"/>
          <w:sz w:val="20"/>
          <w:szCs w:val="20"/>
        </w:rPr>
        <w:t>Formulasi</w:t>
      </w:r>
      <w:r w:rsidR="002005A1">
        <w:rPr>
          <w:rFonts w:ascii="Tw Cen MT" w:eastAsia="Twentieth Century" w:hAnsi="Tw Cen MT" w:cs="Twentieth Century"/>
          <w:sz w:val="20"/>
          <w:szCs w:val="20"/>
        </w:rPr>
        <w:t xml:space="preserve">, Hidrogel, </w:t>
      </w:r>
      <w:r w:rsidR="00AB5BE7">
        <w:rPr>
          <w:rFonts w:ascii="Tw Cen MT" w:eastAsia="Twentieth Century" w:hAnsi="Tw Cen MT" w:cs="Twentieth Century"/>
          <w:sz w:val="20"/>
          <w:szCs w:val="20"/>
        </w:rPr>
        <w:t xml:space="preserve">Mutu </w:t>
      </w:r>
      <w:r w:rsidR="002005A1">
        <w:rPr>
          <w:rFonts w:ascii="Tw Cen MT" w:eastAsia="Twentieth Century" w:hAnsi="Tw Cen MT" w:cs="Twentieth Century"/>
          <w:sz w:val="20"/>
          <w:szCs w:val="20"/>
        </w:rPr>
        <w:t>Fisik, Stabilitas, Eksrak Kulit Buah Naga Super Merah</w:t>
      </w:r>
    </w:p>
    <w:p w14:paraId="71ECF130" w14:textId="77777777" w:rsidR="002C1B6E" w:rsidRDefault="002C1B6E" w:rsidP="00333801">
      <w:pPr>
        <w:spacing w:line="240" w:lineRule="auto"/>
        <w:rPr>
          <w:rFonts w:ascii="Tw Cen MT" w:eastAsia="Twentieth Century" w:hAnsi="Tw Cen MT" w:cs="Twentieth Century"/>
          <w:sz w:val="20"/>
          <w:szCs w:val="20"/>
        </w:rPr>
        <w:sectPr w:rsidR="002C1B6E" w:rsidSect="00333801">
          <w:headerReference w:type="default" r:id="rId17"/>
          <w:footerReference w:type="default" r:id="rId18"/>
          <w:pgSz w:w="12240" w:h="15840"/>
          <w:pgMar w:top="1373" w:right="1440" w:bottom="1440" w:left="1440" w:header="720" w:footer="720" w:gutter="0"/>
          <w:pgNumType w:start="185"/>
          <w:cols w:space="720"/>
        </w:sectPr>
      </w:pPr>
    </w:p>
    <w:p w14:paraId="29EDBA72" w14:textId="12032D47" w:rsidR="002C1B6E" w:rsidRDefault="002005A1" w:rsidP="0033380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w:t>
      </w:r>
      <w:r w:rsidR="00AB5BE7">
        <w:rPr>
          <w:rFonts w:ascii="Tw Cen MT" w:eastAsia="Twentieth Century" w:hAnsi="Tw Cen MT" w:cs="Twentieth Century"/>
          <w:b/>
          <w:sz w:val="24"/>
          <w:szCs w:val="24"/>
        </w:rPr>
        <w:t>ENDAHULUAN</w:t>
      </w:r>
    </w:p>
    <w:p w14:paraId="36A0157F" w14:textId="4CAC2F6F" w:rsidR="00916542" w:rsidRDefault="00AB5BE7" w:rsidP="00333801">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merupakan organ tubuh yang paling </w:t>
      </w:r>
      <w:r>
        <w:rPr>
          <w:rFonts w:ascii="Tw Cen MT" w:hAnsi="Tw Cen MT" w:cs="Times New Roman"/>
          <w:sz w:val="24"/>
        </w:rPr>
        <w:t xml:space="preserve">kompleks untuk melindungi manusia dari pengaruh lingkungan. Kulit dikatakan sehat 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w:t>
      </w:r>
      <w:r>
        <w:rPr>
          <w:rFonts w:ascii="Tw Cen MT" w:hAnsi="Tw Cen MT" w:cs="Times New Roman"/>
          <w:sz w:val="24"/>
        </w:rPr>
        <w:lastRenderedPageBreak/>
        <w:t xml:space="preserve">merupakan salah satu yang paling sering ditemui. Meskipun rata-rata tidak menyakitkan atau berbahaya, namun masalah kulit wajah seringkali 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333801">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333801">
      <w:pPr>
        <w:spacing w:after="0" w:line="240" w:lineRule="auto"/>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5B690D89" w:rsidR="002C1B6E" w:rsidRPr="00F359CD" w:rsidRDefault="00AB5BE7" w:rsidP="00333801">
      <w:pPr>
        <w:pStyle w:val="ListParagraph"/>
        <w:spacing w:line="240" w:lineRule="auto"/>
        <w:ind w:left="0"/>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metode ekstraksi dengan memanfaatkan gelombang ultrasonik yaitu gelombang 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 xml:space="preserve">dapat meningkatkan penetrasi dari cairan </w:t>
      </w:r>
      <w:r w:rsidR="00F359CD" w:rsidRPr="00F359CD">
        <w:rPr>
          <w:rFonts w:ascii="Tw Cen MT" w:hAnsi="Tw Cen MT"/>
          <w:sz w:val="24"/>
        </w:rPr>
        <w:t>menuju dinding sel, laju perpindahan massa lebih cepat, meningkatkan hasil ekstraksi, penggunaan suhu yang rendah, volume 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r w:rsidR="00333801">
        <w:rPr>
          <w:rFonts w:ascii="Tw Cen MT" w:hAnsi="Tw Cen MT"/>
          <w:sz w:val="24"/>
        </w:rPr>
        <w:t>.</w:t>
      </w:r>
    </w:p>
    <w:p w14:paraId="0FF82915" w14:textId="78A6F9A7" w:rsidR="0023299C" w:rsidRDefault="00AB5BE7" w:rsidP="00333801">
      <w:pPr>
        <w:pStyle w:val="ListParagraph"/>
        <w:spacing w:line="240" w:lineRule="auto"/>
        <w:ind w:left="0"/>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5A8536DF" w:rsidR="00574A70" w:rsidRPr="00CE3A9B" w:rsidRDefault="00BA573A" w:rsidP="00333801">
      <w:pPr>
        <w:pStyle w:val="ListParagraph"/>
        <w:spacing w:line="240" w:lineRule="auto"/>
        <w:ind w:left="0"/>
        <w:jc w:val="both"/>
        <w:rPr>
          <w:rFonts w:ascii="Tw Cen MT" w:hAnsi="Tw Cen MT"/>
          <w:color w:val="FF0000"/>
          <w:sz w:val="24"/>
          <w:szCs w:val="24"/>
        </w:rPr>
      </w:pPr>
      <w:r w:rsidRPr="0023299C">
        <w:rPr>
          <w:rFonts w:ascii="Tw Cen MT" w:hAnsi="Tw Cen MT"/>
          <w:sz w:val="24"/>
          <w:szCs w:val="24"/>
        </w:rPr>
        <w:t xml:space="preserve">Hidrogel </w:t>
      </w:r>
      <w:r w:rsidR="00536FD2" w:rsidRPr="0023299C">
        <w:rPr>
          <w:rFonts w:ascii="Tw Cen MT" w:hAnsi="Tw Cen MT"/>
          <w:sz w:val="24"/>
          <w:szCs w:val="24"/>
        </w:rPr>
        <w:t>membentuk</w:t>
      </w:r>
      <w:r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Pr="0023299C">
        <w:rPr>
          <w:rFonts w:ascii="Tw Cen MT" w:hAnsi="Tw Cen MT"/>
          <w:sz w:val="24"/>
          <w:szCs w:val="24"/>
        </w:rPr>
        <w:t xml:space="preserve">kulit dapat menyerap lebih banyak nutrisi dengan lebih efektif. </w:t>
      </w:r>
      <w:r w:rsidR="00574A70" w:rsidRPr="0023299C">
        <w:rPr>
          <w:rFonts w:ascii="Tw Cen MT" w:hAnsi="Tw Cen MT"/>
          <w:sz w:val="24"/>
          <w:szCs w:val="24"/>
        </w:rPr>
        <w:t>Oleh karena itu, pada penelitian ini h</w:t>
      </w:r>
      <w:r w:rsidR="00536FD2" w:rsidRPr="0023299C">
        <w:rPr>
          <w:rFonts w:ascii="Tw Cen MT" w:hAnsi="Tw Cen MT"/>
          <w:sz w:val="24"/>
          <w:szCs w:val="24"/>
        </w:rPr>
        <w:t>i</w:t>
      </w:r>
      <w:r w:rsidR="00574A70" w:rsidRPr="0023299C">
        <w:rPr>
          <w:rFonts w:ascii="Tw Cen MT" w:hAnsi="Tw Cen MT"/>
          <w:sz w:val="24"/>
          <w:szCs w:val="24"/>
        </w:rPr>
        <w:t xml:space="preserve">drogel diformulasikan dengan mengandung bahan antiaging seperti antioksidan yang </w:t>
      </w:r>
      <w:r w:rsidRPr="0023299C">
        <w:rPr>
          <w:rFonts w:ascii="Tw Cen MT" w:hAnsi="Tw Cen MT"/>
          <w:sz w:val="24"/>
          <w:szCs w:val="24"/>
        </w:rPr>
        <w:t xml:space="preserve">berasal dari kulit tanaman buah naga, </w:t>
      </w:r>
      <w:r w:rsidR="00574A70"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00333801">
        <w:rPr>
          <w:rFonts w:ascii="Tw Cen MT" w:hAnsi="Tw Cen MT"/>
          <w:sz w:val="24"/>
          <w:szCs w:val="24"/>
        </w:rPr>
        <w:t>.</w:t>
      </w:r>
    </w:p>
    <w:p w14:paraId="4DEC5952"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rsidP="0033380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r>
        <w:rPr>
          <w:rFonts w:ascii="Tw Cen MT" w:hAnsi="Tw Cen MT"/>
          <w:sz w:val="24"/>
          <w:szCs w:val="24"/>
        </w:rPr>
        <w:t xml:space="preserve"> ),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digunakan adalah </w:t>
      </w:r>
      <w:r>
        <w:rPr>
          <w:rFonts w:ascii="Tw Cen MT" w:hAnsi="Tw Cen MT" w:cs="Times New Roman"/>
          <w:sz w:val="24"/>
          <w:szCs w:val="24"/>
        </w:rPr>
        <w:t xml:space="preserve">adalah aqua destilasi, karbopol 940, ekstrak kulit buah naga, propilen </w:t>
      </w:r>
      <w:r>
        <w:rPr>
          <w:rFonts w:ascii="Tw Cen MT" w:hAnsi="Tw Cen MT" w:cs="Times New Roman"/>
          <w:sz w:val="24"/>
          <w:szCs w:val="24"/>
        </w:rPr>
        <w:lastRenderedPageBreak/>
        <w:t>glikol, metil paraben, propil paraben dan TEA (tritanolamin).</w:t>
      </w:r>
    </w:p>
    <w:p w14:paraId="391C7C4F" w14:textId="77777777" w:rsidR="002C1B6E" w:rsidRDefault="002C1B6E" w:rsidP="00333801">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rsidP="00333801">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rsidP="0033380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rsidP="00333801">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rsidP="00333801">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rsidP="0033380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rsidP="00333801">
      <w:pPr>
        <w:tabs>
          <w:tab w:val="left" w:pos="709"/>
          <w:tab w:val="left" w:pos="851"/>
          <w:tab w:val="left" w:pos="1134"/>
        </w:tabs>
        <w:spacing w:after="0" w:line="240" w:lineRule="auto"/>
        <w:jc w:val="both"/>
        <w:rPr>
          <w:rFonts w:ascii="Tw Cen MT" w:hAnsi="Tw Cen MT" w:cs="Times New Roman"/>
          <w:sz w:val="24"/>
          <w:szCs w:val="24"/>
        </w:rPr>
      </w:pPr>
    </w:p>
    <w:p w14:paraId="08A0190E" w14:textId="52E6913B" w:rsidR="002C1B6E" w:rsidRDefault="00AB5BE7" w:rsidP="00333801">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 xml:space="preserve">Penyiapan </w:t>
      </w:r>
      <w:r w:rsidR="00B20C93">
        <w:rPr>
          <w:rFonts w:ascii="Tw Cen MT" w:hAnsi="Tw Cen MT" w:cs="Times New Roman"/>
          <w:b/>
          <w:sz w:val="24"/>
          <w:szCs w:val="24"/>
        </w:rPr>
        <w:t>Sample</w:t>
      </w:r>
    </w:p>
    <w:p w14:paraId="40916762" w14:textId="04F842D7" w:rsidR="002C1B6E" w:rsidRDefault="00AB5BE7" w:rsidP="00333801">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rsidP="00333801">
      <w:pPr>
        <w:spacing w:after="0" w:line="240" w:lineRule="auto"/>
        <w:jc w:val="both"/>
        <w:rPr>
          <w:rFonts w:ascii="Tw Cen MT" w:eastAsia="Twentieth Century" w:hAnsi="Tw Cen MT" w:cs="Twentieth Century"/>
          <w:b/>
          <w:sz w:val="24"/>
          <w:szCs w:val="24"/>
        </w:rPr>
      </w:pPr>
    </w:p>
    <w:p w14:paraId="32A596EE"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rsidP="00333801">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rsidP="00333801">
      <w:pPr>
        <w:spacing w:after="0" w:line="240" w:lineRule="auto"/>
        <w:jc w:val="both"/>
        <w:rPr>
          <w:rFonts w:ascii="Tw Cen MT" w:eastAsia="Twentieth Century" w:hAnsi="Tw Cen MT" w:cs="Twentieth Century"/>
          <w:sz w:val="24"/>
          <w:szCs w:val="24"/>
        </w:rPr>
      </w:pPr>
    </w:p>
    <w:p w14:paraId="08A7B213"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rsidP="00333801">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rsidP="00333801">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Nama Bahan</w:t>
            </w:r>
          </w:p>
        </w:tc>
        <w:tc>
          <w:tcPr>
            <w:tcW w:w="3281" w:type="dxa"/>
            <w:gridSpan w:val="4"/>
            <w:vAlign w:val="center"/>
          </w:tcPr>
          <w:p w14:paraId="21298BBD" w14:textId="77777777" w:rsidR="002C1B6E" w:rsidRDefault="00AB5BE7" w:rsidP="00333801">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rsidP="00333801">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rsidP="00333801">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rsidP="00333801">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rsidP="00333801">
      <w:pPr>
        <w:spacing w:after="0" w:line="240" w:lineRule="auto"/>
        <w:jc w:val="both"/>
        <w:rPr>
          <w:rFonts w:ascii="Tw Cen MT" w:eastAsia="Twentieth Century" w:hAnsi="Tw Cen MT" w:cs="Twentieth Century"/>
          <w:b/>
          <w:sz w:val="24"/>
          <w:szCs w:val="24"/>
        </w:rPr>
      </w:pPr>
    </w:p>
    <w:p w14:paraId="25E6E681"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rsidP="00333801">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ml aquadest selama 24 jam.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rsidP="00333801">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rsidP="00333801">
      <w:pPr>
        <w:spacing w:after="0" w:line="240" w:lineRule="auto"/>
        <w:jc w:val="both"/>
        <w:rPr>
          <w:rFonts w:ascii="Tw Cen MT" w:hAnsi="Tw Cen MT" w:cs="Times New Roman"/>
          <w:sz w:val="24"/>
          <w:szCs w:val="24"/>
        </w:rPr>
      </w:pPr>
    </w:p>
    <w:p w14:paraId="1A25F92E" w14:textId="77777777" w:rsidR="002C1B6E" w:rsidRDefault="00AB5BE7" w:rsidP="00333801">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rsidP="00333801">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rsidP="00333801">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rsidP="00333801">
      <w:pPr>
        <w:spacing w:after="0" w:line="240" w:lineRule="auto"/>
        <w:jc w:val="both"/>
        <w:rPr>
          <w:rFonts w:ascii="Tw Cen MT" w:eastAsia="Twentieth Century" w:hAnsi="Tw Cen MT" w:cs="Twentieth Century"/>
          <w:sz w:val="24"/>
          <w:szCs w:val="24"/>
        </w:rPr>
      </w:pPr>
    </w:p>
    <w:p w14:paraId="09AA8C24"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6ECEF573" w14:textId="2D0474DB" w:rsidR="002C1B6E" w:rsidRDefault="00AB5BE7" w:rsidP="00333801">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rsidP="00333801">
      <w:pPr>
        <w:spacing w:after="0" w:line="240" w:lineRule="auto"/>
        <w:jc w:val="both"/>
        <w:rPr>
          <w:rFonts w:ascii="Tw Cen MT" w:eastAsia="Twentieth Century" w:hAnsi="Tw Cen MT" w:cs="Twentieth Century"/>
          <w:sz w:val="24"/>
          <w:szCs w:val="24"/>
        </w:rPr>
      </w:pPr>
    </w:p>
    <w:p w14:paraId="081E5D35" w14:textId="77777777" w:rsidR="002C1B6E" w:rsidRDefault="00AB5BE7"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rsidP="00333801">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rsidP="00333801">
      <w:pPr>
        <w:spacing w:after="0" w:line="240" w:lineRule="auto"/>
        <w:jc w:val="both"/>
        <w:rPr>
          <w:rFonts w:ascii="Tw Cen MT" w:hAnsi="Tw Cen MT" w:cs="Times New Roman"/>
          <w:sz w:val="24"/>
          <w:szCs w:val="24"/>
        </w:rPr>
      </w:pPr>
    </w:p>
    <w:p w14:paraId="0F52CDD1" w14:textId="77777777" w:rsidR="00333801" w:rsidRDefault="00333801" w:rsidP="00333801">
      <w:pPr>
        <w:spacing w:after="0" w:line="240" w:lineRule="auto"/>
        <w:jc w:val="both"/>
        <w:rPr>
          <w:rFonts w:ascii="Tw Cen MT" w:hAnsi="Tw Cen MT" w:cs="Times New Roman"/>
          <w:sz w:val="24"/>
          <w:szCs w:val="24"/>
        </w:rPr>
      </w:pPr>
    </w:p>
    <w:p w14:paraId="207467C0" w14:textId="77777777" w:rsidR="002C1B6E" w:rsidRDefault="00AB5BE7" w:rsidP="00333801">
      <w:pPr>
        <w:spacing w:after="0" w:line="240" w:lineRule="auto"/>
        <w:jc w:val="both"/>
        <w:rPr>
          <w:rFonts w:ascii="Tw Cen MT" w:hAnsi="Tw Cen MT" w:cs="Times New Roman"/>
          <w:b/>
          <w:sz w:val="24"/>
          <w:szCs w:val="24"/>
        </w:rPr>
      </w:pPr>
      <w:r>
        <w:rPr>
          <w:rFonts w:ascii="Tw Cen MT" w:hAnsi="Tw Cen MT" w:cs="Times New Roman"/>
          <w:b/>
          <w:sz w:val="24"/>
          <w:szCs w:val="24"/>
        </w:rPr>
        <w:lastRenderedPageBreak/>
        <w:t>Uji pH</w:t>
      </w:r>
    </w:p>
    <w:p w14:paraId="2CBCFAB5" w14:textId="0C2B97A0" w:rsidR="002C1B6E" w:rsidRDefault="00AB5BE7" w:rsidP="00333801">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0,5 gram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rsidP="00333801">
      <w:pPr>
        <w:spacing w:after="0" w:line="240" w:lineRule="auto"/>
        <w:jc w:val="both"/>
        <w:rPr>
          <w:rFonts w:ascii="Tw Cen MT" w:hAnsi="Tw Cen MT" w:cs="Times New Roman"/>
          <w:sz w:val="24"/>
          <w:szCs w:val="24"/>
        </w:rPr>
      </w:pPr>
    </w:p>
    <w:p w14:paraId="0E6CA79D" w14:textId="77777777" w:rsidR="002C1B6E" w:rsidRDefault="00AB5BE7" w:rsidP="00333801">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6B1DFE0C" w14:textId="64B4545A" w:rsidR="00F8353D" w:rsidRDefault="00AB5BE7" w:rsidP="00333801">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r w:rsidR="00F8353D">
        <w:rPr>
          <w:rFonts w:ascii="Tw Cen MT" w:hAnsi="Tw Cen MT" w:cs="Times New Roman"/>
          <w:sz w:val="24"/>
          <w:szCs w:val="24"/>
        </w:rPr>
        <w:t xml:space="preserve"> </w:t>
      </w:r>
    </w:p>
    <w:p w14:paraId="7F1A5ABF" w14:textId="77777777" w:rsidR="002C1B6E" w:rsidRDefault="002C1B6E" w:rsidP="00333801">
      <w:pPr>
        <w:spacing w:after="0" w:line="240" w:lineRule="auto"/>
        <w:jc w:val="both"/>
        <w:rPr>
          <w:rFonts w:ascii="Tw Cen MT" w:hAnsi="Tw Cen MT" w:cs="Times New Roman"/>
          <w:sz w:val="24"/>
          <w:szCs w:val="24"/>
        </w:rPr>
      </w:pPr>
    </w:p>
    <w:p w14:paraId="31183EB5" w14:textId="77777777" w:rsidR="002C1B6E" w:rsidRDefault="00AB5BE7" w:rsidP="00333801">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333801">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rendam  ke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rsidP="00333801">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rsidP="00333801">
      <w:pPr>
        <w:spacing w:after="0"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rsidP="00333801">
      <w:pPr>
        <w:tabs>
          <w:tab w:val="left" w:pos="2552"/>
          <w:tab w:val="left" w:pos="2835"/>
        </w:tabs>
        <w:spacing w:after="0"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rsidP="00333801">
      <w:pPr>
        <w:spacing w:after="0" w:line="240" w:lineRule="auto"/>
        <w:jc w:val="both"/>
        <w:rPr>
          <w:rFonts w:ascii="Tw Cen MT" w:eastAsia="Twentieth Century" w:hAnsi="Tw Cen MT" w:cs="Twentieth Century"/>
          <w:sz w:val="24"/>
          <w:szCs w:val="24"/>
        </w:rPr>
      </w:pPr>
    </w:p>
    <w:p w14:paraId="023A3E16" w14:textId="77777777" w:rsidR="002C1B6E" w:rsidRDefault="00AB5BE7" w:rsidP="0033380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0F6C730A" w14:textId="77777777" w:rsidR="002C1B6E" w:rsidRDefault="00AB5BE7" w:rsidP="0033380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rsidP="00333801">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merah  memiliki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 xml:space="preserve">magenta. Perbedaan warna ini disebabkan karena semakin banyak ekstrak yang digunakan maka semakin pekat warna sediaan yang dihasilkan, berikut gambar sediaan hidrogel </w:t>
      </w:r>
      <w:r>
        <w:rPr>
          <w:rFonts w:ascii="Tw Cen MT" w:eastAsia="Twentieth Century" w:hAnsi="Tw Cen MT" w:cs="Twentieth Century"/>
          <w:sz w:val="24"/>
          <w:szCs w:val="24"/>
        </w:rPr>
        <w:t>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rsidP="00333801">
      <w:pPr>
        <w:tabs>
          <w:tab w:val="left" w:pos="426"/>
        </w:tabs>
        <w:spacing w:after="0" w:line="240" w:lineRule="auto"/>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9"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rsidP="00333801">
      <w:pPr>
        <w:tabs>
          <w:tab w:val="left" w:pos="426"/>
        </w:tabs>
        <w:spacing w:after="0" w:line="240" w:lineRule="auto"/>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rsidP="00333801">
      <w:pPr>
        <w:tabs>
          <w:tab w:val="left" w:pos="426"/>
        </w:tabs>
        <w:spacing w:after="0" w:line="240" w:lineRule="auto"/>
        <w:jc w:val="both"/>
        <w:rPr>
          <w:rFonts w:ascii="Tw Cen MT" w:eastAsia="Twentieth Century" w:hAnsi="Tw Cen MT" w:cs="Twentieth Century"/>
          <w:sz w:val="20"/>
          <w:szCs w:val="24"/>
        </w:rPr>
      </w:pPr>
    </w:p>
    <w:p w14:paraId="68A7885C" w14:textId="77777777" w:rsidR="002C1B6E" w:rsidRDefault="00AB5BE7" w:rsidP="0033380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rsidP="00333801">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rsidP="00333801">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3F078EF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4FE6204F" w14:textId="36859C52" w:rsidR="002C1B6E" w:rsidRDefault="00AB5BE7" w:rsidP="00333801">
      <w:pPr>
        <w:tabs>
          <w:tab w:val="left" w:pos="426"/>
        </w:tabs>
        <w:spacing w:after="0" w:line="240" w:lineRule="auto"/>
        <w:jc w:val="both"/>
        <w:rPr>
          <w:rFonts w:ascii="Tw Cen MT" w:hAnsi="Tw Cen MT"/>
          <w:sz w:val="24"/>
        </w:rPr>
      </w:pPr>
      <w:r>
        <w:rPr>
          <w:rFonts w:ascii="Tw Cen MT" w:hAnsi="Tw Cen MT"/>
          <w:sz w:val="24"/>
        </w:rPr>
        <w:t>Berdasarkan hasil evaluasi homogenitas pada tabel 2 menunjukkan bahwa tidak adanya perbedaan antara ketiga formula, 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1F9103E9" w14:textId="3ECAD2C7" w:rsidR="002C1B6E" w:rsidRDefault="00AB5BE7" w:rsidP="00333801">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94FB92B" w14:textId="77777777" w:rsidR="002C1B6E" w:rsidRDefault="00AB5BE7" w:rsidP="00333801">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rsidP="00333801">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0,5 gram sediaan </w:t>
      </w:r>
      <w:r>
        <w:rPr>
          <w:rFonts w:ascii="Tw Cen MT" w:hAnsi="Tw Cen MT"/>
          <w:sz w:val="24"/>
          <w:szCs w:val="20"/>
        </w:rPr>
        <w:lastRenderedPageBreak/>
        <w:t xml:space="preserve">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rsidP="00333801">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rsidP="00333801">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rsidP="00333801">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rsidP="00333801">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rsidP="00333801">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rsidP="00333801">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rsidP="00333801">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rsidP="00333801">
      <w:pPr>
        <w:tabs>
          <w:tab w:val="left" w:pos="426"/>
        </w:tabs>
        <w:spacing w:after="0" w:line="240" w:lineRule="auto"/>
        <w:jc w:val="both"/>
        <w:rPr>
          <w:rFonts w:ascii="Tw Cen MT" w:hAnsi="Tw Cen MT" w:cs="Times New Roman"/>
          <w:sz w:val="24"/>
          <w:szCs w:val="24"/>
        </w:rPr>
      </w:pPr>
    </w:p>
    <w:p w14:paraId="5FFFE06D" w14:textId="77777777" w:rsidR="006023F0" w:rsidRDefault="006023F0" w:rsidP="00333801">
      <w:pPr>
        <w:tabs>
          <w:tab w:val="left" w:pos="426"/>
        </w:tabs>
        <w:spacing w:after="0" w:line="240" w:lineRule="auto"/>
        <w:jc w:val="both"/>
        <w:rPr>
          <w:rFonts w:ascii="Tw Cen MT" w:hAnsi="Tw Cen MT" w:cs="Times New Roman"/>
          <w:sz w:val="24"/>
          <w:szCs w:val="24"/>
        </w:rPr>
      </w:pPr>
    </w:p>
    <w:p w14:paraId="32ADA537" w14:textId="77777777" w:rsidR="006023F0" w:rsidRDefault="006023F0" w:rsidP="00333801">
      <w:pPr>
        <w:tabs>
          <w:tab w:val="left" w:pos="426"/>
        </w:tabs>
        <w:spacing w:after="0" w:line="240" w:lineRule="auto"/>
        <w:jc w:val="both"/>
        <w:rPr>
          <w:rFonts w:ascii="Tw Cen MT" w:hAnsi="Tw Cen MT" w:cs="Times New Roman"/>
          <w:sz w:val="24"/>
          <w:szCs w:val="24"/>
        </w:rPr>
      </w:pPr>
    </w:p>
    <w:p w14:paraId="13746F44" w14:textId="77777777" w:rsidR="002C1B6E" w:rsidRDefault="00AB5BE7" w:rsidP="00333801">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rsidP="00333801">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rsidP="00333801">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rsidP="00333801">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rsidP="00333801">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rsidP="00333801">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rsidP="00333801">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rsidP="00333801">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rsidP="00333801">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rsidP="00333801">
      <w:pPr>
        <w:spacing w:line="240" w:lineRule="auto"/>
        <w:jc w:val="both"/>
        <w:rPr>
          <w:rFonts w:ascii="Tw Cen MT" w:hAnsi="Tw Cen MT" w:cs="Times New Roman"/>
          <w:sz w:val="24"/>
          <w:szCs w:val="24"/>
        </w:rPr>
      </w:pPr>
      <w:r>
        <w:rPr>
          <w:rFonts w:ascii="Tw Cen MT" w:hAnsi="Tw Cen MT" w:cs="Times New Roman"/>
          <w:sz w:val="24"/>
          <w:szCs w:val="24"/>
        </w:rPr>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42864BFD" w:rsidR="002C1B6E" w:rsidRDefault="00AB5BE7" w:rsidP="00333801">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r w:rsidR="00F8353D">
        <w:rPr>
          <w:rFonts w:ascii="Tw Cen MT" w:hAnsi="Tw Cen MT" w:cs="Times New Roman"/>
          <w:sz w:val="24"/>
          <w:szCs w:val="24"/>
        </w:rPr>
        <w:t>.</w:t>
      </w:r>
    </w:p>
    <w:p w14:paraId="19B98FC1" w14:textId="77777777" w:rsidR="002C1B6E" w:rsidRDefault="00AB5BE7" w:rsidP="00333801">
      <w:pPr>
        <w:spacing w:after="0" w:line="240" w:lineRule="auto"/>
        <w:jc w:val="both"/>
        <w:rPr>
          <w:rFonts w:ascii="Tw Cen MT" w:hAnsi="Tw Cen MT" w:cs="Times New Roman"/>
          <w:b/>
          <w:i/>
          <w:sz w:val="24"/>
          <w:szCs w:val="24"/>
        </w:rPr>
      </w:pPr>
      <w:r>
        <w:rPr>
          <w:rFonts w:ascii="Tw Cen MT" w:hAnsi="Tw Cen MT" w:cs="Times New Roman"/>
          <w:b/>
          <w:sz w:val="24"/>
          <w:szCs w:val="24"/>
        </w:rPr>
        <w:lastRenderedPageBreak/>
        <w:t xml:space="preserve">Uji </w:t>
      </w:r>
      <w:r>
        <w:rPr>
          <w:rFonts w:ascii="Tw Cen MT" w:hAnsi="Tw Cen MT" w:cs="Times New Roman"/>
          <w:b/>
          <w:i/>
          <w:sz w:val="24"/>
          <w:szCs w:val="24"/>
        </w:rPr>
        <w:t>Freeze and Thaw</w:t>
      </w:r>
    </w:p>
    <w:p w14:paraId="3ECBA013" w14:textId="7074EDA2" w:rsidR="00757078" w:rsidRDefault="00AB5BE7" w:rsidP="00333801">
      <w:pPr>
        <w:spacing w:after="0" w:line="240" w:lineRule="auto"/>
        <w:jc w:val="both"/>
        <w:rPr>
          <w:rFonts w:ascii="Tw Cen MT" w:hAnsi="Tw Cen MT" w:cs="Times New Roman"/>
          <w:bCs/>
          <w:i/>
          <w:iCs/>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118E4AC2" w14:textId="50CD6320" w:rsidR="00757078" w:rsidRPr="00333801" w:rsidRDefault="00AB5BE7" w:rsidP="00333801">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na stabil pada 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r w:rsidR="00F8353D">
        <w:rPr>
          <w:rFonts w:ascii="Tw Cen MT" w:hAnsi="Tw Cen MT"/>
          <w:sz w:val="24"/>
        </w:rPr>
        <w:t>.</w:t>
      </w:r>
    </w:p>
    <w:p w14:paraId="7067245B" w14:textId="7260A574" w:rsidR="002C1B6E" w:rsidRDefault="00AB5BE7" w:rsidP="00333801">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ekstrim </w:t>
      </w:r>
      <w:r w:rsidR="00F8353D">
        <w:rPr>
          <w:rFonts w:ascii="Tw Cen MT" w:hAnsi="Tw Cen MT"/>
          <w:sz w:val="24"/>
          <w:szCs w:val="20"/>
        </w:rPr>
        <w:t>.</w:t>
      </w:r>
    </w:p>
    <w:p w14:paraId="7514FD73" w14:textId="00B84363" w:rsidR="00F8353D" w:rsidRDefault="00AB5BE7" w:rsidP="00333801">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r w:rsidR="00F8353D">
        <w:rPr>
          <w:rFonts w:ascii="Tw Cen MT" w:hAnsi="Tw Cen MT"/>
          <w:sz w:val="24"/>
          <w:szCs w:val="20"/>
        </w:rPr>
        <w:t>.</w:t>
      </w:r>
    </w:p>
    <w:p w14:paraId="414C0F2D" w14:textId="0E0F772D" w:rsidR="00F8353D" w:rsidRDefault="00F8353D" w:rsidP="00333801">
      <w:pPr>
        <w:tabs>
          <w:tab w:val="left" w:pos="426"/>
        </w:tabs>
        <w:spacing w:after="0" w:line="240" w:lineRule="auto"/>
        <w:jc w:val="both"/>
        <w:rPr>
          <w:rFonts w:ascii="Tw Cen MT" w:hAnsi="Tw Cen MT" w:cs="Times New Roman"/>
          <w:bCs/>
          <w:iCs/>
          <w:color w:val="000000"/>
          <w:sz w:val="24"/>
          <w:szCs w:val="24"/>
        </w:rPr>
      </w:pPr>
      <w:r>
        <w:rPr>
          <w:rFonts w:ascii="Tw Cen MT" w:hAnsi="Tw Cen MT"/>
          <w:sz w:val="24"/>
          <w:szCs w:val="20"/>
        </w:rPr>
        <w:t xml:space="preserve">Pada uji </w:t>
      </w:r>
      <w:r>
        <w:rPr>
          <w:rFonts w:ascii="Tw Cen MT" w:hAnsi="Tw Cen MT" w:cs="Times New Roman"/>
          <w:bCs/>
          <w:i/>
          <w:iCs/>
          <w:color w:val="000000"/>
          <w:sz w:val="24"/>
          <w:szCs w:val="24"/>
        </w:rPr>
        <w:t xml:space="preserve">Freeze and Thaw </w:t>
      </w:r>
      <w:r>
        <w:rPr>
          <w:rFonts w:ascii="Tw Cen MT" w:hAnsi="Tw Cen MT" w:cs="Times New Roman"/>
          <w:bCs/>
          <w:iCs/>
          <w:color w:val="000000"/>
          <w:sz w:val="24"/>
          <w:szCs w:val="24"/>
        </w:rPr>
        <w:t>yang dilakukan untuk menilai stabilitas hydrogel pada suhu ekstrem memberikan informasi baru tentang ketahanan p</w:t>
      </w:r>
      <w:r w:rsidR="001D6690">
        <w:rPr>
          <w:rFonts w:ascii="Tw Cen MT" w:hAnsi="Tw Cen MT" w:cs="Times New Roman"/>
          <w:bCs/>
          <w:iCs/>
          <w:color w:val="000000"/>
          <w:sz w:val="24"/>
          <w:szCs w:val="24"/>
        </w:rPr>
        <w:t>roduk. Hasil menunjukan bahwa hi</w:t>
      </w:r>
      <w:r>
        <w:rPr>
          <w:rFonts w:ascii="Tw Cen MT" w:hAnsi="Tw Cen MT" w:cs="Times New Roman"/>
          <w:bCs/>
          <w:iCs/>
          <w:color w:val="000000"/>
          <w:sz w:val="24"/>
          <w:szCs w:val="24"/>
        </w:rPr>
        <w:t xml:space="preserve">drogel tetap stabil dalam kondisi penyimpananyang bervariasi, yang penting untuk pengembangan produk yang dapat </w:t>
      </w:r>
      <w:r>
        <w:rPr>
          <w:rFonts w:ascii="Tw Cen MT" w:hAnsi="Tw Cen MT" w:cs="Times New Roman"/>
          <w:bCs/>
          <w:iCs/>
          <w:color w:val="000000"/>
          <w:sz w:val="24"/>
          <w:szCs w:val="24"/>
        </w:rPr>
        <w:t>bertahan dalam berbagai kondisi lingkungan.</w:t>
      </w:r>
    </w:p>
    <w:p w14:paraId="222D9A00" w14:textId="1B470A6A" w:rsidR="00333801" w:rsidRPr="00333801" w:rsidRDefault="00333801" w:rsidP="00333801">
      <w:pPr>
        <w:tabs>
          <w:tab w:val="left" w:pos="426"/>
        </w:tabs>
        <w:spacing w:after="0" w:line="240" w:lineRule="auto"/>
        <w:jc w:val="both"/>
        <w:rPr>
          <w:rFonts w:ascii="Tw Cen MT" w:hAnsi="Tw Cen MT" w:cs="Arial"/>
          <w:sz w:val="28"/>
        </w:rPr>
      </w:pPr>
      <w:r w:rsidRPr="00F05A7B">
        <w:rPr>
          <w:rStyle w:val="sw"/>
          <w:rFonts w:ascii="Tw Cen MT" w:hAnsi="Tw Cen MT" w:cs="Arial"/>
          <w:sz w:val="24"/>
          <w:shd w:val="clear" w:color="auto" w:fill="FFFFFF"/>
        </w:rPr>
        <w:t>Penelitian</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ini</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memanfaatkan</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limbah</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kulit</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buah</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naga</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super</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merah</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yang</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sering kali</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 xml:space="preserve">dibuang </w:t>
      </w:r>
      <w:r w:rsidRPr="00F05A7B">
        <w:rPr>
          <w:rStyle w:val="sw"/>
          <w:rFonts w:ascii="Tw Cen MT" w:hAnsi="Tw Cen MT" w:cs="Arial"/>
          <w:sz w:val="24"/>
          <w:shd w:val="clear" w:color="auto" w:fill="FFFFFF"/>
        </w:rPr>
        <w:t>dengan</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mengolahnya</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menjadi</w:t>
      </w:r>
      <w:r w:rsidRPr="00F05A7B">
        <w:rPr>
          <w:rFonts w:ascii="Tw Cen MT" w:hAnsi="Tw Cen MT" w:cs="Arial"/>
          <w:sz w:val="24"/>
          <w:shd w:val="clear" w:color="auto" w:fill="FFFFFF"/>
        </w:rPr>
        <w:t xml:space="preserve"> </w:t>
      </w:r>
      <w:r>
        <w:rPr>
          <w:rFonts w:ascii="Tw Cen MT" w:hAnsi="Tw Cen MT" w:cs="Arial"/>
          <w:sz w:val="24"/>
          <w:shd w:val="clear" w:color="auto" w:fill="FFFFFF"/>
        </w:rPr>
        <w:t xml:space="preserve">sediaan </w:t>
      </w:r>
      <w:r w:rsidRPr="00F05A7B">
        <w:rPr>
          <w:rStyle w:val="sw"/>
          <w:rFonts w:ascii="Tw Cen MT" w:hAnsi="Tw Cen MT" w:cs="Arial"/>
          <w:sz w:val="24"/>
          <w:shd w:val="clear" w:color="auto" w:fill="FFFFFF"/>
        </w:rPr>
        <w:t>hidrogel</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yang</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berpotensi</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sebagai</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produk</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kosmetik</w:t>
      </w:r>
      <w:r>
        <w:rPr>
          <w:rStyle w:val="sw"/>
          <w:rFonts w:ascii="Tw Cen MT" w:hAnsi="Tw Cen MT" w:cs="Arial"/>
          <w:sz w:val="24"/>
          <w:shd w:val="clear" w:color="auto" w:fill="FFFFFF"/>
        </w:rPr>
        <w:t>.</w:t>
      </w:r>
    </w:p>
    <w:p w14:paraId="2729DDAF" w14:textId="77777777" w:rsidR="002C1B6E" w:rsidRDefault="002C1B6E" w:rsidP="00333801">
      <w:pPr>
        <w:tabs>
          <w:tab w:val="left" w:pos="426"/>
        </w:tabs>
        <w:spacing w:after="0" w:line="240" w:lineRule="auto"/>
        <w:jc w:val="both"/>
        <w:rPr>
          <w:rFonts w:ascii="Tw Cen MT" w:hAnsi="Tw Cen MT"/>
          <w:sz w:val="24"/>
          <w:szCs w:val="20"/>
        </w:rPr>
      </w:pPr>
    </w:p>
    <w:p w14:paraId="0C2A3A2D" w14:textId="59FD3536" w:rsidR="002C1B6E" w:rsidRDefault="004930F6" w:rsidP="00333801">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KE</w:t>
      </w:r>
      <w:r w:rsidR="00AB5BE7">
        <w:rPr>
          <w:rFonts w:ascii="Tw Cen MT" w:eastAsia="Twentieth Century" w:hAnsi="Tw Cen MT" w:cs="Twentieth Century"/>
          <w:b/>
          <w:sz w:val="24"/>
          <w:szCs w:val="24"/>
        </w:rPr>
        <w:t>SIMPULAN</w:t>
      </w:r>
    </w:p>
    <w:p w14:paraId="427E618B" w14:textId="2256ACED" w:rsidR="001D6690" w:rsidRPr="00F8353D" w:rsidRDefault="00AB5BE7" w:rsidP="00333801">
      <w:pPr>
        <w:tabs>
          <w:tab w:val="left" w:pos="426"/>
        </w:tabs>
        <w:spacing w:after="0" w:line="240" w:lineRule="auto"/>
        <w:jc w:val="both"/>
        <w:rPr>
          <w:rFonts w:ascii="Tw Cen MT" w:hAnsi="Tw Cen MT"/>
          <w:sz w:val="24"/>
          <w:szCs w:val="20"/>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w:t>
      </w:r>
      <w:r w:rsidR="001D6690">
        <w:rPr>
          <w:rFonts w:ascii="Tw Cen MT" w:hAnsi="Tw Cen MT" w:cs="Times New Roman"/>
          <w:sz w:val="24"/>
        </w:rPr>
        <w:t>ntuk dalam sediaan hidrogel dan</w:t>
      </w:r>
      <w:r>
        <w:rPr>
          <w:rFonts w:ascii="Tw Cen MT" w:hAnsi="Tw Cen MT" w:cs="Times New Roman"/>
          <w:sz w:val="24"/>
        </w:rPr>
        <w:t xml:space="preserve"> memenuhi evaluasi mutu fisik se</w:t>
      </w:r>
      <w:r w:rsidR="001D6690">
        <w:rPr>
          <w:rFonts w:ascii="Tw Cen MT" w:hAnsi="Tw Cen MT" w:cs="Times New Roman"/>
          <w:sz w:val="24"/>
        </w:rPr>
        <w:t>diaan hidrogel yang mana</w:t>
      </w:r>
      <w:r w:rsidR="001D6690">
        <w:rPr>
          <w:rFonts w:ascii="Tw Cen MT" w:hAnsi="Tw Cen MT" w:cs="Times New Roman"/>
          <w:bCs/>
          <w:iCs/>
          <w:color w:val="000000"/>
          <w:sz w:val="24"/>
          <w:szCs w:val="24"/>
        </w:rPr>
        <w:t xml:space="preserve"> </w:t>
      </w:r>
      <w:r w:rsidR="00F05A7B">
        <w:rPr>
          <w:rFonts w:ascii="Tw Cen MT" w:hAnsi="Tw Cen MT" w:cs="Times New Roman"/>
          <w:bCs/>
          <w:iCs/>
          <w:color w:val="000000"/>
          <w:sz w:val="24"/>
          <w:szCs w:val="24"/>
        </w:rPr>
        <w:t>dapat memberi</w:t>
      </w:r>
      <w:r w:rsidR="001D6690">
        <w:rPr>
          <w:rFonts w:ascii="Tw Cen MT" w:hAnsi="Tw Cen MT" w:cs="Times New Roman"/>
          <w:bCs/>
          <w:iCs/>
          <w:color w:val="000000"/>
          <w:sz w:val="24"/>
          <w:szCs w:val="24"/>
        </w:rPr>
        <w:t xml:space="preserve"> informasi baru </w:t>
      </w:r>
      <w:r w:rsidR="00F05A7B">
        <w:rPr>
          <w:rFonts w:ascii="Tw Cen MT" w:hAnsi="Tw Cen MT" w:cs="Times New Roman"/>
          <w:bCs/>
          <w:iCs/>
          <w:color w:val="000000"/>
          <w:sz w:val="24"/>
          <w:szCs w:val="24"/>
        </w:rPr>
        <w:t xml:space="preserve">mengenai </w:t>
      </w:r>
      <w:r w:rsidR="001D6690">
        <w:rPr>
          <w:rFonts w:ascii="Tw Cen MT" w:hAnsi="Tw Cen MT" w:cs="Times New Roman"/>
          <w:bCs/>
          <w:iCs/>
          <w:color w:val="000000"/>
          <w:sz w:val="24"/>
          <w:szCs w:val="24"/>
        </w:rPr>
        <w:t>ketahanan produk. Hasil me</w:t>
      </w:r>
      <w:r w:rsidR="00F05A7B">
        <w:rPr>
          <w:rFonts w:ascii="Tw Cen MT" w:hAnsi="Tw Cen MT" w:cs="Times New Roman"/>
          <w:bCs/>
          <w:iCs/>
          <w:color w:val="000000"/>
          <w:sz w:val="24"/>
          <w:szCs w:val="24"/>
        </w:rPr>
        <w:t>mperlihatkan bahwa sediaan hydrogel dari kulit buah naga super merah</w:t>
      </w:r>
      <w:r w:rsidR="001D6690">
        <w:rPr>
          <w:rFonts w:ascii="Tw Cen MT" w:hAnsi="Tw Cen MT" w:cs="Times New Roman"/>
          <w:bCs/>
          <w:iCs/>
          <w:color w:val="000000"/>
          <w:sz w:val="24"/>
          <w:szCs w:val="24"/>
        </w:rPr>
        <w:t xml:space="preserve"> tetap stabil dalam kondisi penyimpanan</w:t>
      </w:r>
      <w:r w:rsidR="00F05A7B">
        <w:rPr>
          <w:rFonts w:ascii="Tw Cen MT" w:hAnsi="Tw Cen MT" w:cs="Times New Roman"/>
          <w:bCs/>
          <w:iCs/>
          <w:color w:val="000000"/>
          <w:sz w:val="24"/>
          <w:szCs w:val="24"/>
        </w:rPr>
        <w:t xml:space="preserve"> </w:t>
      </w:r>
      <w:r w:rsidR="001D6690">
        <w:rPr>
          <w:rFonts w:ascii="Tw Cen MT" w:hAnsi="Tw Cen MT" w:cs="Times New Roman"/>
          <w:bCs/>
          <w:iCs/>
          <w:color w:val="000000"/>
          <w:sz w:val="24"/>
          <w:szCs w:val="24"/>
        </w:rPr>
        <w:t xml:space="preserve">yang bervariasi, yang </w:t>
      </w:r>
      <w:r w:rsidR="00F05A7B">
        <w:rPr>
          <w:rFonts w:ascii="Tw Cen MT" w:hAnsi="Tw Cen MT" w:cs="Times New Roman"/>
          <w:bCs/>
          <w:iCs/>
          <w:color w:val="000000"/>
          <w:sz w:val="24"/>
          <w:szCs w:val="24"/>
        </w:rPr>
        <w:t xml:space="preserve">sangat </w:t>
      </w:r>
      <w:r w:rsidR="001D6690">
        <w:rPr>
          <w:rFonts w:ascii="Tw Cen MT" w:hAnsi="Tw Cen MT" w:cs="Times New Roman"/>
          <w:bCs/>
          <w:iCs/>
          <w:color w:val="000000"/>
          <w:sz w:val="24"/>
          <w:szCs w:val="24"/>
        </w:rPr>
        <w:t>penting untuk pengembangan produk yang dapat bertahan dalam berbagai kondisi lingkungan.</w:t>
      </w:r>
    </w:p>
    <w:p w14:paraId="52B45611" w14:textId="77777777" w:rsidR="002C1B6E" w:rsidRDefault="002C1B6E" w:rsidP="00333801">
      <w:pPr>
        <w:tabs>
          <w:tab w:val="left" w:pos="426"/>
        </w:tabs>
        <w:spacing w:after="0" w:line="240" w:lineRule="auto"/>
        <w:jc w:val="both"/>
        <w:rPr>
          <w:rFonts w:ascii="Times New Roman" w:hAnsi="Times New Roman" w:cs="Times New Roman"/>
          <w:sz w:val="24"/>
        </w:rPr>
      </w:pPr>
    </w:p>
    <w:p w14:paraId="6B56AD01" w14:textId="77777777" w:rsidR="002C1B6E" w:rsidRDefault="00AB5BE7" w:rsidP="0033380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Pr="00F05A7B" w:rsidRDefault="00AB5BE7" w:rsidP="00333801">
      <w:pPr>
        <w:tabs>
          <w:tab w:val="left" w:pos="426"/>
        </w:tabs>
        <w:spacing w:after="0" w:line="240" w:lineRule="auto"/>
        <w:jc w:val="both"/>
        <w:rPr>
          <w:rFonts w:ascii="Tw Cen MT" w:hAnsi="Tw Cen MT"/>
          <w:sz w:val="24"/>
        </w:rPr>
      </w:pPr>
      <w:r w:rsidRPr="00F05A7B">
        <w:rPr>
          <w:rFonts w:ascii="Tw Cen MT" w:hAnsi="Tw Cen MT"/>
          <w:sz w:val="24"/>
        </w:rPr>
        <w:t>Terima kasih kepada Tim Peneliti atas kerja samanya dan Universitas Fort De Kock Bukittinggi yang telah memfasilitasi, sehingga penelitian ini dapat terlaksana</w:t>
      </w:r>
    </w:p>
    <w:p w14:paraId="654E4A75" w14:textId="77777777" w:rsidR="0045676F" w:rsidRDefault="0045676F" w:rsidP="00333801">
      <w:pPr>
        <w:tabs>
          <w:tab w:val="left" w:pos="426"/>
        </w:tabs>
        <w:spacing w:after="0" w:line="240" w:lineRule="auto"/>
        <w:jc w:val="both"/>
      </w:pPr>
    </w:p>
    <w:p w14:paraId="0A18E7D5" w14:textId="77777777" w:rsidR="002C1B6E" w:rsidRDefault="00AB5BE7" w:rsidP="0033380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xml:space="preserve">, vol. 11, no. 10, pp. 1–5, </w:t>
      </w:r>
      <w:r w:rsidRPr="00757078">
        <w:rPr>
          <w:rFonts w:ascii="Tw Cen MT" w:hAnsi="Tw Cen MT" w:cs="Times New Roman"/>
          <w:noProof/>
          <w:sz w:val="24"/>
          <w:szCs w:val="24"/>
        </w:rPr>
        <w:lastRenderedPageBreak/>
        <w:t>2022, doi: 10.3390/antiox11101868.</w:t>
      </w:r>
    </w:p>
    <w:p w14:paraId="2FA2B390"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0555EE4F"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S. Nabillah, N. Noval, and N. Hidayah, “</w:t>
      </w:r>
      <w:r w:rsidR="00333801">
        <w:rPr>
          <w:rFonts w:ascii="Tw Cen MT" w:hAnsi="Tw Cen MT" w:cs="Times New Roman"/>
          <w:noProof/>
          <w:sz w:val="24"/>
          <w:szCs w:val="24"/>
        </w:rPr>
        <w:t>F</w:t>
      </w:r>
      <w:r w:rsidR="00333801" w:rsidRPr="00757078">
        <w:rPr>
          <w:rFonts w:ascii="Tw Cen MT" w:hAnsi="Tw Cen MT" w:cs="Times New Roman"/>
          <w:noProof/>
          <w:sz w:val="24"/>
          <w:szCs w:val="24"/>
        </w:rPr>
        <w:t xml:space="preserve">ormulasi dan </w:t>
      </w:r>
      <w:r w:rsidR="00333801">
        <w:rPr>
          <w:rFonts w:ascii="Tw Cen MT" w:hAnsi="Tw Cen MT" w:cs="Times New Roman"/>
          <w:noProof/>
          <w:sz w:val="24"/>
          <w:szCs w:val="24"/>
        </w:rPr>
        <w:t>E</w:t>
      </w:r>
      <w:r w:rsidR="00333801" w:rsidRPr="00757078">
        <w:rPr>
          <w:rFonts w:ascii="Tw Cen MT" w:hAnsi="Tw Cen MT" w:cs="Times New Roman"/>
          <w:noProof/>
          <w:sz w:val="24"/>
          <w:szCs w:val="24"/>
        </w:rPr>
        <w:t xml:space="preserve">valuasi </w:t>
      </w:r>
      <w:r w:rsidR="00333801">
        <w:rPr>
          <w:rFonts w:ascii="Tw Cen MT" w:hAnsi="Tw Cen MT" w:cs="Times New Roman"/>
          <w:noProof/>
          <w:sz w:val="24"/>
          <w:szCs w:val="24"/>
        </w:rPr>
        <w:t>N</w:t>
      </w:r>
      <w:r w:rsidR="00333801" w:rsidRPr="00757078">
        <w:rPr>
          <w:rFonts w:ascii="Tw Cen MT" w:hAnsi="Tw Cen MT" w:cs="Times New Roman"/>
          <w:noProof/>
          <w:sz w:val="24"/>
          <w:szCs w:val="24"/>
        </w:rPr>
        <w:t xml:space="preserve">ano </w:t>
      </w:r>
      <w:r w:rsidR="00333801">
        <w:rPr>
          <w:rFonts w:ascii="Tw Cen MT" w:hAnsi="Tw Cen MT" w:cs="Times New Roman"/>
          <w:noProof/>
          <w:sz w:val="24"/>
          <w:szCs w:val="24"/>
        </w:rPr>
        <w:t>H</w:t>
      </w:r>
      <w:r w:rsidR="00333801" w:rsidRPr="00757078">
        <w:rPr>
          <w:rFonts w:ascii="Tw Cen MT" w:hAnsi="Tw Cen MT" w:cs="Times New Roman"/>
          <w:noProof/>
          <w:sz w:val="24"/>
          <w:szCs w:val="24"/>
        </w:rPr>
        <w:t xml:space="preserve">idrogel </w:t>
      </w:r>
      <w:r w:rsidR="00333801">
        <w:rPr>
          <w:rFonts w:ascii="Tw Cen MT" w:hAnsi="Tw Cen MT" w:cs="Times New Roman"/>
          <w:noProof/>
          <w:sz w:val="24"/>
          <w:szCs w:val="24"/>
        </w:rPr>
        <w:t>E</w:t>
      </w:r>
      <w:r w:rsidR="00333801" w:rsidRPr="00757078">
        <w:rPr>
          <w:rFonts w:ascii="Tw Cen MT" w:hAnsi="Tw Cen MT" w:cs="Times New Roman"/>
          <w:noProof/>
          <w:sz w:val="24"/>
          <w:szCs w:val="24"/>
        </w:rPr>
        <w:t xml:space="preserve">kstrak </w:t>
      </w:r>
      <w:r w:rsidR="00333801">
        <w:rPr>
          <w:rFonts w:ascii="Tw Cen MT" w:hAnsi="Tw Cen MT" w:cs="Times New Roman"/>
          <w:noProof/>
          <w:sz w:val="24"/>
          <w:szCs w:val="24"/>
        </w:rPr>
        <w:t>D</w:t>
      </w:r>
      <w:r w:rsidR="00333801" w:rsidRPr="00757078">
        <w:rPr>
          <w:rFonts w:ascii="Tw Cen MT" w:hAnsi="Tw Cen MT" w:cs="Times New Roman"/>
          <w:noProof/>
          <w:sz w:val="24"/>
          <w:szCs w:val="24"/>
        </w:rPr>
        <w:t xml:space="preserve">aun </w:t>
      </w:r>
      <w:r w:rsidR="00333801">
        <w:rPr>
          <w:rFonts w:ascii="Tw Cen MT" w:hAnsi="Tw Cen MT" w:cs="Times New Roman"/>
          <w:noProof/>
          <w:sz w:val="24"/>
          <w:szCs w:val="24"/>
        </w:rPr>
        <w:t>S</w:t>
      </w:r>
      <w:r w:rsidR="00333801" w:rsidRPr="00757078">
        <w:rPr>
          <w:rFonts w:ascii="Tw Cen MT" w:hAnsi="Tw Cen MT" w:cs="Times New Roman"/>
          <w:noProof/>
          <w:sz w:val="24"/>
          <w:szCs w:val="24"/>
        </w:rPr>
        <w:t>erunai (</w:t>
      </w:r>
      <w:r w:rsidR="00333801" w:rsidRPr="00333801">
        <w:rPr>
          <w:rFonts w:ascii="Tw Cen MT" w:hAnsi="Tw Cen MT" w:cs="Times New Roman"/>
          <w:i/>
          <w:iCs/>
          <w:noProof/>
          <w:sz w:val="24"/>
          <w:szCs w:val="24"/>
        </w:rPr>
        <w:t>Chromolaena odorata l.</w:t>
      </w:r>
      <w:r w:rsidR="00333801" w:rsidRPr="00757078">
        <w:rPr>
          <w:rFonts w:ascii="Tw Cen MT" w:hAnsi="Tw Cen MT" w:cs="Times New Roman"/>
          <w:noProof/>
          <w:sz w:val="24"/>
          <w:szCs w:val="24"/>
        </w:rPr>
        <w:t xml:space="preserve">) </w:t>
      </w:r>
      <w:r w:rsidR="00333801">
        <w:rPr>
          <w:rFonts w:ascii="Tw Cen MT" w:hAnsi="Tw Cen MT" w:cs="Times New Roman"/>
          <w:noProof/>
          <w:sz w:val="24"/>
          <w:szCs w:val="24"/>
        </w:rPr>
        <w:t>d</w:t>
      </w:r>
      <w:r w:rsidR="00333801" w:rsidRPr="00757078">
        <w:rPr>
          <w:rFonts w:ascii="Tw Cen MT" w:hAnsi="Tw Cen MT" w:cs="Times New Roman"/>
          <w:noProof/>
          <w:sz w:val="24"/>
          <w:szCs w:val="24"/>
        </w:rPr>
        <w:t xml:space="preserve">engan </w:t>
      </w:r>
      <w:r w:rsidR="00333801">
        <w:rPr>
          <w:rFonts w:ascii="Tw Cen MT" w:hAnsi="Tw Cen MT" w:cs="Times New Roman"/>
          <w:noProof/>
          <w:sz w:val="24"/>
          <w:szCs w:val="24"/>
        </w:rPr>
        <w:t>V</w:t>
      </w:r>
      <w:r w:rsidR="00333801" w:rsidRPr="00757078">
        <w:rPr>
          <w:rFonts w:ascii="Tw Cen MT" w:hAnsi="Tw Cen MT" w:cs="Times New Roman"/>
          <w:noProof/>
          <w:sz w:val="24"/>
          <w:szCs w:val="24"/>
        </w:rPr>
        <w:t xml:space="preserve">ariasi </w:t>
      </w:r>
      <w:r w:rsidR="00333801">
        <w:rPr>
          <w:rFonts w:ascii="Tw Cen MT" w:hAnsi="Tw Cen MT" w:cs="Times New Roman"/>
          <w:noProof/>
          <w:sz w:val="24"/>
          <w:szCs w:val="24"/>
        </w:rPr>
        <w:t>K</w:t>
      </w:r>
      <w:r w:rsidR="00333801" w:rsidRPr="00757078">
        <w:rPr>
          <w:rFonts w:ascii="Tw Cen MT" w:hAnsi="Tw Cen MT" w:cs="Times New Roman"/>
          <w:noProof/>
          <w:sz w:val="24"/>
          <w:szCs w:val="24"/>
        </w:rPr>
        <w:t xml:space="preserve">onsentrasi </w:t>
      </w:r>
      <w:r w:rsidR="00333801">
        <w:rPr>
          <w:rFonts w:ascii="Tw Cen MT" w:hAnsi="Tw Cen MT" w:cs="Times New Roman"/>
          <w:noProof/>
          <w:sz w:val="24"/>
          <w:szCs w:val="24"/>
        </w:rPr>
        <w:t>P</w:t>
      </w:r>
      <w:r w:rsidR="00333801" w:rsidRPr="00757078">
        <w:rPr>
          <w:rFonts w:ascii="Tw Cen MT" w:hAnsi="Tw Cen MT" w:cs="Times New Roman"/>
          <w:noProof/>
          <w:sz w:val="24"/>
          <w:szCs w:val="24"/>
        </w:rPr>
        <w:t xml:space="preserve">olimer </w:t>
      </w:r>
      <w:r w:rsidR="00333801">
        <w:rPr>
          <w:rFonts w:ascii="Tw Cen MT" w:hAnsi="Tw Cen MT" w:cs="Times New Roman"/>
          <w:noProof/>
          <w:sz w:val="24"/>
          <w:szCs w:val="24"/>
        </w:rPr>
        <w:t>C</w:t>
      </w:r>
      <w:r w:rsidR="00333801" w:rsidRPr="00757078">
        <w:rPr>
          <w:rFonts w:ascii="Tw Cen MT" w:hAnsi="Tw Cen MT" w:cs="Times New Roman"/>
          <w:noProof/>
          <w:sz w:val="24"/>
          <w:szCs w:val="24"/>
        </w:rPr>
        <w:t>arbopol</w:t>
      </w:r>
      <w:r w:rsidRPr="00757078">
        <w:rPr>
          <w:rFonts w:ascii="Tw Cen MT" w:hAnsi="Tw Cen MT" w:cs="Times New Roman"/>
          <w:noProof/>
          <w:sz w:val="24"/>
          <w:szCs w:val="24"/>
        </w:rPr>
        <w:t xml:space="preserve"> 980,” </w:t>
      </w:r>
      <w:r w:rsidRPr="00757078">
        <w:rPr>
          <w:rFonts w:ascii="Tw Cen MT" w:hAnsi="Tw Cen MT" w:cs="Times New Roman"/>
          <w:i/>
          <w:iCs/>
          <w:noProof/>
          <w:sz w:val="24"/>
          <w:szCs w:val="24"/>
        </w:rPr>
        <w:t>J. Ilm. Ibnu Sina 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47B92D6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w:t>
      </w:r>
      <w:r w:rsidRPr="00757078">
        <w:rPr>
          <w:rFonts w:ascii="Tw Cen MT" w:hAnsi="Tw Cen MT" w:cs="Times New Roman"/>
          <w:noProof/>
          <w:sz w:val="24"/>
          <w:szCs w:val="24"/>
        </w:rPr>
        <w:t>Daun Teh Hijau (</w:t>
      </w:r>
      <w:r w:rsidRPr="00333801">
        <w:rPr>
          <w:rFonts w:ascii="Tw Cen MT" w:hAnsi="Tw Cen MT" w:cs="Times New Roman"/>
          <w:i/>
          <w:iCs/>
          <w:noProof/>
          <w:sz w:val="24"/>
          <w:szCs w:val="24"/>
        </w:rPr>
        <w:t xml:space="preserve">Camelia </w:t>
      </w:r>
      <w:r w:rsidR="00333801" w:rsidRPr="00333801">
        <w:rPr>
          <w:rFonts w:ascii="Tw Cen MT" w:hAnsi="Tw Cen MT" w:cs="Times New Roman"/>
          <w:i/>
          <w:iCs/>
          <w:noProof/>
          <w:sz w:val="24"/>
          <w:szCs w:val="24"/>
        </w:rPr>
        <w:t>s</w:t>
      </w:r>
      <w:r w:rsidRPr="00333801">
        <w:rPr>
          <w:rFonts w:ascii="Tw Cen MT" w:hAnsi="Tw Cen MT" w:cs="Times New Roman"/>
          <w:i/>
          <w:iCs/>
          <w:noProof/>
          <w:sz w:val="24"/>
          <w:szCs w:val="24"/>
        </w:rPr>
        <w:t>inensis)</w:t>
      </w:r>
      <w:r w:rsidRPr="00757078">
        <w:rPr>
          <w:rFonts w:ascii="Tw Cen MT" w:hAnsi="Tw Cen MT" w:cs="Times New Roman"/>
          <w:noProof/>
          <w:sz w:val="24"/>
          <w:szCs w:val="24"/>
        </w:rPr>
        <w:t xml:space="preserve"> </w:t>
      </w:r>
      <w:r w:rsidR="00333801">
        <w:rPr>
          <w:rFonts w:ascii="Tw Cen MT" w:hAnsi="Tw Cen MT" w:cs="Times New Roman"/>
          <w:noProof/>
          <w:sz w:val="24"/>
          <w:szCs w:val="24"/>
        </w:rPr>
        <w:t>d</w:t>
      </w:r>
      <w:r w:rsidRPr="00757078">
        <w:rPr>
          <w:rFonts w:ascii="Tw Cen MT" w:hAnsi="Tw Cen MT" w:cs="Times New Roman"/>
          <w:noProof/>
          <w:sz w:val="24"/>
          <w:szCs w:val="24"/>
        </w:rPr>
        <w:t xml:space="preserve">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3E7AAA8C"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Pratiwi Dyah Indriyani, Tyas Prasetyaningrum, and Lisa Adhani, “Pembuatan Sediaan Gel Dari Ekstrak Herba Pegagan (</w:t>
      </w:r>
      <w:r w:rsidRPr="00333801">
        <w:rPr>
          <w:rFonts w:ascii="Tw Cen MT" w:hAnsi="Tw Cen MT" w:cs="Times New Roman"/>
          <w:i/>
          <w:iCs/>
          <w:noProof/>
          <w:sz w:val="24"/>
          <w:szCs w:val="24"/>
        </w:rPr>
        <w:t xml:space="preserve">Centella </w:t>
      </w:r>
      <w:r w:rsidR="00333801" w:rsidRPr="00333801">
        <w:rPr>
          <w:rFonts w:ascii="Tw Cen MT" w:hAnsi="Tw Cen MT" w:cs="Times New Roman"/>
          <w:i/>
          <w:iCs/>
          <w:noProof/>
          <w:sz w:val="24"/>
          <w:szCs w:val="24"/>
        </w:rPr>
        <w:t>a</w:t>
      </w:r>
      <w:r w:rsidRPr="00333801">
        <w:rPr>
          <w:rFonts w:ascii="Tw Cen MT" w:hAnsi="Tw Cen MT" w:cs="Times New Roman"/>
          <w:i/>
          <w:iCs/>
          <w:noProof/>
          <w:sz w:val="24"/>
          <w:szCs w:val="24"/>
        </w:rPr>
        <w:t>siatica L. Urban</w:t>
      </w:r>
      <w:r w:rsidRPr="00757078">
        <w:rPr>
          <w:rFonts w:ascii="Tw Cen MT" w:hAnsi="Tw Cen MT" w:cs="Times New Roman"/>
          <w:noProof/>
          <w:sz w:val="24"/>
          <w:szCs w:val="24"/>
        </w:rPr>
        <w:t xml:space="preserve">)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vol. 23, no. 1, pp. 28–39, 2023, doi: 10.22146/ajche.73716.</w:t>
      </w:r>
    </w:p>
    <w:p w14:paraId="7DA36347"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R. T. Sawiji, E. O. Jawa La, and A. N. Yuliawati, “Pengaruh Formulasi Terhadap Mutu Fisik Body Butter Ekstrak Etanol Kulit Buah Naga (</w:t>
      </w:r>
      <w:r w:rsidRPr="00333801">
        <w:rPr>
          <w:rFonts w:ascii="Tw Cen MT" w:hAnsi="Tw Cen MT" w:cs="Times New Roman"/>
          <w:i/>
          <w:iCs/>
          <w:noProof/>
          <w:sz w:val="24"/>
          <w:szCs w:val="24"/>
        </w:rPr>
        <w:t>Hylocereus polyrhizus</w:t>
      </w:r>
      <w:r w:rsidRPr="00757078">
        <w:rPr>
          <w:rFonts w:ascii="Tw Cen MT" w:hAnsi="Tw Cen MT" w:cs="Times New Roman"/>
          <w:noProof/>
          <w:sz w:val="24"/>
          <w:szCs w:val="24"/>
        </w:rPr>
        <w:t xml:space="preserve">),”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08ACBF19"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L. Nurdianti, I. Wulandari, and F. Setiawan, “formulasi sediaan hand and body lotion ekstrak metanol buah paprika merah (</w:t>
      </w:r>
      <w:r w:rsidRPr="00333801">
        <w:rPr>
          <w:rFonts w:ascii="Tw Cen MT" w:hAnsi="Tw Cen MT" w:cs="Times New Roman"/>
          <w:i/>
          <w:iCs/>
          <w:noProof/>
          <w:sz w:val="24"/>
          <w:szCs w:val="24"/>
        </w:rPr>
        <w:t>Capsicum annuum Linnaeus</w:t>
      </w:r>
      <w:r w:rsidRPr="00757078">
        <w:rPr>
          <w:rFonts w:ascii="Tw Cen MT" w:hAnsi="Tw Cen MT" w:cs="Times New Roman"/>
          <w:noProof/>
          <w:sz w:val="24"/>
          <w:szCs w:val="24"/>
        </w:rPr>
        <w:t xml:space="preserve">)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xml:space="preserve">, vol. 1, no. September, pp. 77–82, 2021, [Online]. </w:t>
      </w:r>
    </w:p>
    <w:p w14:paraId="15587176" w14:textId="20161B49"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A. Widyasanti, M. Z. Arsyad, and D. E. Wulandari, “</w:t>
      </w:r>
      <w:r w:rsidR="00333801" w:rsidRPr="00757078">
        <w:rPr>
          <w:rFonts w:ascii="Tw Cen MT" w:hAnsi="Tw Cen MT" w:cs="Times New Roman"/>
          <w:noProof/>
          <w:sz w:val="24"/>
          <w:szCs w:val="24"/>
        </w:rPr>
        <w:t>Ekstraksi Antosianin Kulit Buah Naga Merah</w:t>
      </w:r>
      <w:r w:rsidRPr="00757078">
        <w:rPr>
          <w:rFonts w:ascii="Tw Cen MT" w:hAnsi="Tw Cen MT" w:cs="Times New Roman"/>
          <w:noProof/>
          <w:sz w:val="24"/>
          <w:szCs w:val="24"/>
        </w:rPr>
        <w:t xml:space="preserve"> (</w:t>
      </w:r>
      <w:r w:rsidRPr="00333801">
        <w:rPr>
          <w:rFonts w:ascii="Tw Cen MT" w:hAnsi="Tw Cen MT" w:cs="Times New Roman"/>
          <w:i/>
          <w:iCs/>
          <w:noProof/>
          <w:sz w:val="24"/>
          <w:szCs w:val="24"/>
        </w:rPr>
        <w:t>Hylocereus polyrhizus</w:t>
      </w:r>
      <w:r w:rsidRPr="00757078">
        <w:rPr>
          <w:rFonts w:ascii="Tw Cen MT" w:hAnsi="Tw Cen MT" w:cs="Times New Roman"/>
          <w:noProof/>
          <w:sz w:val="24"/>
          <w:szCs w:val="24"/>
        </w:rPr>
        <w:t xml:space="preserve">) </w:t>
      </w:r>
      <w:r w:rsidR="00333801" w:rsidRPr="00757078">
        <w:rPr>
          <w:rFonts w:ascii="Tw Cen MT" w:hAnsi="Tw Cen MT" w:cs="Times New Roman"/>
          <w:noProof/>
          <w:sz w:val="24"/>
          <w:szCs w:val="24"/>
        </w:rPr>
        <w:t xml:space="preserve">Menggunakan Metode Maserasi Anthocyanin Extraction </w:t>
      </w:r>
      <w:r w:rsidR="00333801">
        <w:rPr>
          <w:rFonts w:ascii="Tw Cen MT" w:hAnsi="Tw Cen MT" w:cs="Times New Roman"/>
          <w:noProof/>
          <w:sz w:val="24"/>
          <w:szCs w:val="24"/>
        </w:rPr>
        <w:t>o</w:t>
      </w:r>
      <w:r w:rsidR="00333801" w:rsidRPr="00757078">
        <w:rPr>
          <w:rFonts w:ascii="Tw Cen MT" w:hAnsi="Tw Cen MT" w:cs="Times New Roman"/>
          <w:noProof/>
          <w:sz w:val="24"/>
          <w:szCs w:val="24"/>
        </w:rPr>
        <w:t>f Red Dragon Fruit Peels</w:t>
      </w:r>
      <w:r w:rsidRPr="00757078">
        <w:rPr>
          <w:rFonts w:ascii="Tw Cen MT" w:hAnsi="Tw Cen MT" w:cs="Times New Roman"/>
          <w:noProof/>
          <w:sz w:val="24"/>
          <w:szCs w:val="24"/>
        </w:rPr>
        <w:t xml:space="preserve"> (</w:t>
      </w:r>
      <w:r w:rsidRPr="00333801">
        <w:rPr>
          <w:rFonts w:ascii="Tw Cen MT" w:hAnsi="Tw Cen MT" w:cs="Times New Roman"/>
          <w:i/>
          <w:iCs/>
          <w:noProof/>
          <w:sz w:val="24"/>
          <w:szCs w:val="24"/>
        </w:rPr>
        <w:t>Hylocereus polyrhizus</w:t>
      </w:r>
      <w:r w:rsidRPr="00757078">
        <w:rPr>
          <w:rFonts w:ascii="Tw Cen MT" w:hAnsi="Tw Cen MT" w:cs="Times New Roman"/>
          <w:noProof/>
          <w:sz w:val="24"/>
          <w:szCs w:val="24"/>
        </w:rPr>
        <w:t xml:space="preserve">) </w:t>
      </w:r>
      <w:r w:rsidR="00773727" w:rsidRPr="00757078">
        <w:rPr>
          <w:rFonts w:ascii="Tw Cen MT" w:hAnsi="Tw Cen MT" w:cs="Times New Roman"/>
          <w:noProof/>
          <w:sz w:val="24"/>
          <w:szCs w:val="24"/>
        </w:rPr>
        <w:t>Using Maceration Method</w:t>
      </w:r>
      <w:r w:rsidRPr="00757078">
        <w:rPr>
          <w:rFonts w:ascii="Tw Cen MT" w:hAnsi="Tw Cen MT" w:cs="Times New Roman"/>
          <w:noProof/>
          <w:sz w:val="24"/>
          <w:szCs w:val="24"/>
        </w:rPr>
        <w:t xml:space="preserve">,”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lastRenderedPageBreak/>
        <w:t>[16]</w:t>
      </w:r>
      <w:r w:rsidRPr="00757078">
        <w:rPr>
          <w:rFonts w:ascii="Tw Cen MT" w:hAnsi="Tw Cen MT" w:cs="Times New Roman"/>
          <w:noProof/>
          <w:sz w:val="24"/>
          <w:szCs w:val="24"/>
        </w:rPr>
        <w:tab/>
        <w:t>E. Nurfita, D. Mayefis, and S. Umar, “Uji Stabilitas Formulasi Hand and Body Cream Ekstrak Etanol Kulit Buah Naga Merah (</w:t>
      </w:r>
      <w:r w:rsidRPr="00773727">
        <w:rPr>
          <w:rFonts w:ascii="Tw Cen MT" w:hAnsi="Tw Cen MT" w:cs="Times New Roman"/>
          <w:i/>
          <w:iCs/>
          <w:noProof/>
          <w:sz w:val="24"/>
          <w:szCs w:val="24"/>
        </w:rPr>
        <w:t>Hylocereus lemairei</w:t>
      </w:r>
      <w:r w:rsidRPr="00757078">
        <w:rPr>
          <w:rFonts w:ascii="Tw Cen MT" w:hAnsi="Tw Cen MT" w:cs="Times New Roman"/>
          <w:noProof/>
          <w:sz w:val="24"/>
          <w:szCs w:val="24"/>
        </w:rPr>
        <w:t xml:space="preserve">),”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2278566F"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P. Agis Wahyuni, L. Nurdianti, and F.</w:t>
      </w:r>
      <w:r w:rsidR="00773727">
        <w:rPr>
          <w:rFonts w:ascii="Tw Cen MT" w:hAnsi="Tw Cen MT" w:cs="Times New Roman"/>
          <w:noProof/>
          <w:sz w:val="24"/>
          <w:szCs w:val="24"/>
        </w:rPr>
        <w:t xml:space="preserve"> </w:t>
      </w:r>
      <w:r w:rsidRPr="00757078">
        <w:rPr>
          <w:rFonts w:ascii="Tw Cen MT" w:hAnsi="Tw Cen MT" w:cs="Times New Roman"/>
          <w:noProof/>
          <w:sz w:val="24"/>
          <w:szCs w:val="24"/>
        </w:rPr>
        <w:t>Gustaman, “Formulasi dan Evaluasi Sediaan Hydrogel eye patch Kombinasi Aciaticoside Tanaman Pegagan (</w:t>
      </w:r>
      <w:r w:rsidRPr="00773727">
        <w:rPr>
          <w:rFonts w:ascii="Tw Cen MT" w:hAnsi="Tw Cen MT" w:cs="Times New Roman"/>
          <w:i/>
          <w:iCs/>
          <w:noProof/>
          <w:sz w:val="24"/>
          <w:szCs w:val="24"/>
        </w:rPr>
        <w:t>Centella asiatica L</w:t>
      </w:r>
      <w:r w:rsidRPr="00757078">
        <w:rPr>
          <w:rFonts w:ascii="Tw Cen MT" w:hAnsi="Tw Cen MT" w:cs="Times New Roman"/>
          <w:noProof/>
          <w:sz w:val="24"/>
          <w:szCs w:val="24"/>
        </w:rPr>
        <w:t xml:space="preserve">.) dan </w:t>
      </w:r>
      <w:r w:rsidRPr="00757078">
        <w:rPr>
          <w:rFonts w:ascii="Tw Cen MT" w:hAnsi="Tw Cen MT" w:cs="Times New Roman"/>
          <w:noProof/>
          <w:sz w:val="24"/>
          <w:szCs w:val="24"/>
        </w:rPr>
        <w:t xml:space="preserve">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3, no. September, pp. 2964–6154, 2023.</w:t>
      </w:r>
    </w:p>
    <w:p w14:paraId="73227753"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G. A. A. Almajid, R. Rusli, and M. Priastomo, “Pengaruh Pelarut, Suhu, dan pH Terhadap Pigmen Antosianin dari Ekstrak Kulit Buah Naga Merah (</w:t>
      </w:r>
      <w:r w:rsidRPr="00773727">
        <w:rPr>
          <w:rFonts w:ascii="Tw Cen MT" w:hAnsi="Tw Cen MT" w:cs="Times New Roman"/>
          <w:i/>
          <w:iCs/>
          <w:noProof/>
          <w:sz w:val="24"/>
          <w:szCs w:val="24"/>
        </w:rPr>
        <w:t>Hylocereus Polyrhizus</w:t>
      </w:r>
      <w:r w:rsidRPr="00757078">
        <w:rPr>
          <w:rFonts w:ascii="Tw Cen MT" w:hAnsi="Tw Cen MT" w:cs="Times New Roman"/>
          <w:noProof/>
          <w:sz w:val="24"/>
          <w:szCs w:val="24"/>
        </w:rPr>
        <w:t xml:space="preserve">),”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333801">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w:t>
      </w:r>
      <w:r w:rsidRPr="00773727">
        <w:rPr>
          <w:rFonts w:ascii="Tw Cen MT" w:hAnsi="Tw Cen MT" w:cs="Times New Roman"/>
          <w:i/>
          <w:iCs/>
          <w:noProof/>
          <w:sz w:val="24"/>
          <w:szCs w:val="24"/>
        </w:rPr>
        <w:t>(Hylocereus polyrhizus</w:t>
      </w:r>
      <w:r w:rsidRPr="00757078">
        <w:rPr>
          <w:rFonts w:ascii="Tw Cen MT" w:hAnsi="Tw Cen MT" w:cs="Times New Roman"/>
          <w:noProof/>
          <w:sz w:val="24"/>
          <w:szCs w:val="24"/>
        </w:rPr>
        <w:t xml:space="preserve">)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333801">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rsidSect="00333801">
          <w:type w:val="continuous"/>
          <w:pgSz w:w="12240" w:h="15840"/>
          <w:pgMar w:top="1440" w:right="1440" w:bottom="1440" w:left="1440" w:header="720" w:footer="720" w:gutter="0"/>
          <w:cols w:num="2" w:space="369" w:equalWidth="0">
            <w:col w:w="4320" w:space="369"/>
            <w:col w:w="4671"/>
          </w:cols>
        </w:sectPr>
      </w:pPr>
      <w:r>
        <w:rPr>
          <w:rFonts w:ascii="Tw Cen MT" w:eastAsia="Twentieth Century" w:hAnsi="Tw Cen MT" w:cs="Twentieth Century"/>
          <w:color w:val="0D0D0D"/>
          <w:sz w:val="24"/>
          <w:szCs w:val="24"/>
        </w:rPr>
        <w:fldChar w:fldCharType="end"/>
      </w:r>
    </w:p>
    <w:p w14:paraId="0C31C1EC" w14:textId="77777777" w:rsidR="002C1B6E" w:rsidRDefault="002C1B6E" w:rsidP="00773727">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2D304" w14:textId="77777777" w:rsidR="000C611F" w:rsidRDefault="000C611F">
      <w:pPr>
        <w:spacing w:after="0" w:line="240" w:lineRule="auto"/>
      </w:pPr>
      <w:r>
        <w:separator/>
      </w:r>
    </w:p>
  </w:endnote>
  <w:endnote w:type="continuationSeparator" w:id="0">
    <w:p w14:paraId="5FAAC439" w14:textId="77777777" w:rsidR="000C611F" w:rsidRDefault="000C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28D701B4"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51657216"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5E5588B3" id="Straight Connector 1" o:spid="_x0000_s1026" style="position:absolute;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sidR="00333801">
      <w:rPr>
        <w:rFonts w:ascii="Tw Cen MT" w:hAnsi="Tw Cen MT"/>
        <w:color w:val="000000"/>
        <w:sz w:val="20"/>
        <w:szCs w:val="24"/>
        <w:lang w:val="en-ID"/>
      </w:rPr>
      <w:t xml:space="preserve">Nola Rahmadasmi </w:t>
    </w:r>
    <w:r>
      <w:rPr>
        <w:rFonts w:ascii="Tw Cen MT" w:hAnsi="Tw Cen MT"/>
        <w:color w:val="000000"/>
        <w:sz w:val="20"/>
        <w:szCs w:val="24"/>
        <w:lang w:val="en-ID"/>
      </w:rPr>
      <w:t>and</w:t>
    </w:r>
    <w:r w:rsidR="00333801">
      <w:rPr>
        <w:rFonts w:ascii="Tw Cen MT" w:hAnsi="Tw Cen MT"/>
        <w:color w:val="000000"/>
        <w:sz w:val="20"/>
        <w:szCs w:val="24"/>
        <w:lang w:val="en-ID"/>
      </w:rPr>
      <w:t xml:space="preserve"> </w:t>
    </w:r>
    <w:hyperlink r:id="rId1" w:history="1">
      <w:r w:rsidR="00333801" w:rsidRPr="002005A1">
        <w:rPr>
          <w:rStyle w:val="Hyperlink"/>
          <w:rFonts w:ascii="Tw Cen MT" w:eastAsia="Twentieth Century" w:hAnsi="Tw Cen MT" w:cs="Twentieth Century"/>
          <w:color w:val="000000" w:themeColor="text1"/>
          <w:sz w:val="20"/>
          <w:szCs w:val="20"/>
          <w:u w:val="none"/>
        </w:rPr>
        <w:t>nolarahmadasmi@fdk.ac.id</w:t>
      </w:r>
    </w:hyperlink>
    <w:r w:rsidR="00333801">
      <w:rPr>
        <w:rFonts w:ascii="Tw Cen MT" w:hAnsi="Tw Cen MT"/>
        <w:color w:val="000000"/>
        <w:sz w:val="20"/>
        <w:szCs w:val="24"/>
        <w:lang w:val="en-ID"/>
      </w:rPr>
      <w:tab/>
    </w:r>
    <w:r w:rsidR="00333801">
      <w:rPr>
        <w:rFonts w:ascii="Tw Cen MT" w:hAnsi="Tw Cen MT"/>
        <w:color w:val="000000"/>
        <w:sz w:val="20"/>
        <w:szCs w:val="24"/>
        <w:lang w:val="en-ID"/>
      </w:rPr>
      <w:tab/>
    </w:r>
    <w:r w:rsidR="00333801" w:rsidRPr="00333801">
      <w:rPr>
        <w:rFonts w:ascii="Tw Cen MT" w:hAnsi="Tw Cen MT"/>
        <w:color w:val="000000"/>
        <w:sz w:val="20"/>
        <w:szCs w:val="24"/>
        <w:lang w:val="en-ID"/>
      </w:rPr>
      <w:fldChar w:fldCharType="begin"/>
    </w:r>
    <w:r w:rsidR="00333801" w:rsidRPr="00333801">
      <w:rPr>
        <w:rFonts w:ascii="Tw Cen MT" w:hAnsi="Tw Cen MT"/>
        <w:color w:val="000000"/>
        <w:sz w:val="20"/>
        <w:szCs w:val="24"/>
        <w:lang w:val="en-ID"/>
      </w:rPr>
      <w:instrText xml:space="preserve"> PAGE   \* MERGEFORMAT </w:instrText>
    </w:r>
    <w:r w:rsidR="00333801" w:rsidRPr="00333801">
      <w:rPr>
        <w:rFonts w:ascii="Tw Cen MT" w:hAnsi="Tw Cen MT"/>
        <w:color w:val="000000"/>
        <w:sz w:val="20"/>
        <w:szCs w:val="24"/>
        <w:lang w:val="en-ID"/>
      </w:rPr>
      <w:fldChar w:fldCharType="separate"/>
    </w:r>
    <w:r w:rsidR="00333801" w:rsidRPr="00333801">
      <w:rPr>
        <w:rFonts w:ascii="Tw Cen MT" w:hAnsi="Tw Cen MT"/>
        <w:noProof/>
        <w:color w:val="000000"/>
        <w:sz w:val="20"/>
        <w:szCs w:val="24"/>
        <w:lang w:val="en-ID"/>
      </w:rPr>
      <w:t>1</w:t>
    </w:r>
    <w:r w:rsidR="00333801" w:rsidRPr="00333801">
      <w:rPr>
        <w:rFonts w:ascii="Tw Cen MT" w:hAnsi="Tw Cen MT"/>
        <w:noProof/>
        <w:color w:val="000000"/>
        <w:sz w:val="20"/>
        <w:szCs w:val="24"/>
        <w:lang w:val="en-ID"/>
      </w:rPr>
      <w:fldChar w:fldCharType="end"/>
    </w:r>
    <w:r w:rsidR="00333801">
      <w:rPr>
        <w:rFonts w:ascii="Tw Cen MT" w:hAnsi="Tw Cen MT"/>
        <w:color w:val="000000"/>
        <w:sz w:val="20"/>
        <w:szCs w:val="24"/>
        <w:lang w:val="en-ID"/>
      </w:rPr>
      <w:tab/>
    </w:r>
    <w:r w:rsidR="00333801">
      <w:rPr>
        <w:rFonts w:ascii="Tw Cen MT" w:hAnsi="Tw Cen MT"/>
        <w:color w:val="000000"/>
        <w:sz w:val="20"/>
        <w:szCs w:val="24"/>
        <w:lang w:val="en-ID"/>
      </w:rPr>
      <w:tab/>
    </w:r>
  </w:p>
  <w:p w14:paraId="41583D8C" w14:textId="26926055" w:rsidR="002C1B6E" w:rsidRDefault="002C1B6E" w:rsidP="00333801">
    <w:pPr>
      <w:pStyle w:val="Footer"/>
    </w:pP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B628C" w14:textId="77777777" w:rsidR="000C611F" w:rsidRDefault="000C611F">
      <w:pPr>
        <w:spacing w:after="0" w:line="240" w:lineRule="auto"/>
      </w:pPr>
      <w:r>
        <w:separator/>
      </w:r>
    </w:p>
  </w:footnote>
  <w:footnote w:type="continuationSeparator" w:id="0">
    <w:p w14:paraId="06FD2285" w14:textId="77777777" w:rsidR="000C611F" w:rsidRDefault="000C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E6697" w14:textId="5133AE60" w:rsidR="002C1B6E" w:rsidRDefault="002005A1" w:rsidP="002005A1">
    <w:pPr>
      <w:pStyle w:val="Header"/>
      <w:tabs>
        <w:tab w:val="clear" w:pos="4680"/>
        <w:tab w:val="clear" w:pos="9360"/>
      </w:tabs>
      <w:spacing w:after="120" w:line="276" w:lineRule="auto"/>
      <w:rPr>
        <w:color w:val="7F7F7F"/>
      </w:rPr>
    </w:pPr>
    <w:r>
      <w:rPr>
        <w:noProof/>
      </w:rPr>
      <mc:AlternateContent>
        <mc:Choice Requires="wps">
          <w:drawing>
            <wp:anchor distT="0" distB="0" distL="0" distR="0" simplePos="0" relativeHeight="251661312" behindDoc="0" locked="0" layoutInCell="1" allowOverlap="1" wp14:anchorId="6623EC87" wp14:editId="2E5B205E">
              <wp:simplePos x="0" y="0"/>
              <wp:positionH relativeFrom="column">
                <wp:posOffset>-6350</wp:posOffset>
              </wp:positionH>
              <wp:positionV relativeFrom="paragraph">
                <wp:posOffset>544830</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4394600" id="_x0000_t32" coordsize="21600,21600" o:spt="32" o:oned="t" path="m,l21600,21600e" filled="f">
              <v:path arrowok="t" fillok="f" o:connecttype="none"/>
              <o:lock v:ext="edit" shapetype="t"/>
            </v:shapetype>
            <v:shape id="Straight Arrow Connector 65" o:spid="_x0000_s1026" type="#_x0000_t32" style="position:absolute;margin-left:-.5pt;margin-top:42.9pt;width:470.55pt;height:0;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" strokeweight="1.5pt">
              <v:stroke startarrowwidth="narrow" startarrowlength="short" endarrowwidth="narrow" endarrowlength="short"/>
              <o:lock v:ext="edit" shapetype="f"/>
            </v:shape>
          </w:pict>
        </mc:Fallback>
      </mc:AlternateContent>
    </w:r>
    <w:r w:rsidR="00AB5BE7">
      <w:rPr>
        <w:rFonts w:ascii="Tw Cen MT" w:hAnsi="Tw Cen MT" w:cs="SimSun"/>
        <w:sz w:val="20"/>
        <w:szCs w:val="20"/>
      </w:rPr>
      <w:t>Jurnal Proteksi Kesehatan                                                                                                                                   Vol.</w:t>
    </w:r>
    <w:r w:rsidR="00333801">
      <w:rPr>
        <w:rFonts w:ascii="Tw Cen MT" w:hAnsi="Tw Cen MT" w:cs="SimSun"/>
        <w:sz w:val="20"/>
        <w:szCs w:val="20"/>
      </w:rPr>
      <w:t xml:space="preserve"> 13</w:t>
    </w:r>
    <w:r w:rsidR="00AB5BE7">
      <w:rPr>
        <w:rFonts w:ascii="Tw Cen MT" w:hAnsi="Tw Cen MT" w:cs="SimSun"/>
        <w:sz w:val="20"/>
        <w:szCs w:val="20"/>
      </w:rPr>
      <w:t>, No.</w:t>
    </w:r>
    <w:r w:rsidR="00333801">
      <w:rPr>
        <w:rFonts w:ascii="Tw Cen MT" w:hAnsi="Tw Cen MT" w:cs="SimSun"/>
        <w:sz w:val="20"/>
        <w:szCs w:val="20"/>
      </w:rPr>
      <w:t>2</w:t>
    </w:r>
    <w:r w:rsidR="00AB5BE7">
      <w:rPr>
        <w:rFonts w:ascii="Tw Cen MT" w:hAnsi="Tw Cen MT" w:cs="SimSun"/>
        <w:sz w:val="20"/>
        <w:szCs w:val="20"/>
      </w:rPr>
      <w:t xml:space="preserve">, </w:t>
    </w:r>
    <w:r w:rsidR="00333801">
      <w:rPr>
        <w:rFonts w:ascii="Tw Cen MT" w:hAnsi="Tw Cen MT" w:cs="SimSun"/>
        <w:sz w:val="20"/>
        <w:szCs w:val="20"/>
      </w:rPr>
      <w:t>November</w:t>
    </w:r>
    <w:r w:rsidR="00AB5BE7">
      <w:rPr>
        <w:rFonts w:ascii="Tw Cen MT" w:hAnsi="Tw Cen MT" w:cs="SimSun"/>
        <w:sz w:val="20"/>
        <w:szCs w:val="20"/>
      </w:rPr>
      <w:t xml:space="preserve"> 2024, pp. </w:t>
    </w:r>
    <w:r w:rsidR="00333801">
      <w:rPr>
        <w:rFonts w:ascii="Tw Cen MT" w:hAnsi="Tw Cen MT" w:cs="SimSun"/>
        <w:sz w:val="20"/>
        <w:szCs w:val="20"/>
      </w:rPr>
      <w:t>185-192</w:t>
    </w:r>
    <w:r w:rsidR="00AB5BE7">
      <w:rPr>
        <w:rFonts w:ascii="Tw Cen MT" w:hAnsi="Tw Cen MT" w:cs="SimSun"/>
        <w:sz w:val="20"/>
        <w:szCs w:val="20"/>
      </w:rPr>
      <w:tab/>
    </w:r>
    <w:r w:rsidR="00AB5BE7">
      <w:rPr>
        <w:rFonts w:ascii="Tw Cen MT" w:hAnsi="Tw Cen MT" w:cs="SimSun"/>
        <w:sz w:val="20"/>
        <w:szCs w:val="20"/>
      </w:rPr>
      <w:tab/>
      <w:t xml:space="preserve">                                                                                                        ISSN 2715-1115 (Online), ISSN 2302 – 8610 (Print)</w: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606138">
    <w:abstractNumId w:val="1"/>
  </w:num>
  <w:num w:numId="2" w16cid:durableId="21127308">
    <w:abstractNumId w:val="2"/>
  </w:num>
  <w:num w:numId="3" w16cid:durableId="1756784535">
    <w:abstractNumId w:val="0"/>
  </w:num>
  <w:num w:numId="4" w16cid:durableId="141794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0B2CC5"/>
    <w:rsid w:val="000C611F"/>
    <w:rsid w:val="00145C19"/>
    <w:rsid w:val="00162460"/>
    <w:rsid w:val="001940C1"/>
    <w:rsid w:val="001D3736"/>
    <w:rsid w:val="001D6690"/>
    <w:rsid w:val="001D6E5D"/>
    <w:rsid w:val="001F4BA3"/>
    <w:rsid w:val="002005A1"/>
    <w:rsid w:val="0023299C"/>
    <w:rsid w:val="002428C5"/>
    <w:rsid w:val="002A128D"/>
    <w:rsid w:val="002C1B6E"/>
    <w:rsid w:val="00333801"/>
    <w:rsid w:val="003A5DEE"/>
    <w:rsid w:val="003E4482"/>
    <w:rsid w:val="0045676F"/>
    <w:rsid w:val="004930F6"/>
    <w:rsid w:val="005169B5"/>
    <w:rsid w:val="00536FD2"/>
    <w:rsid w:val="005538DE"/>
    <w:rsid w:val="00574A70"/>
    <w:rsid w:val="005A6EB8"/>
    <w:rsid w:val="005F219C"/>
    <w:rsid w:val="006023F0"/>
    <w:rsid w:val="00646EED"/>
    <w:rsid w:val="00656F80"/>
    <w:rsid w:val="006A6E9F"/>
    <w:rsid w:val="00757078"/>
    <w:rsid w:val="00773727"/>
    <w:rsid w:val="007F1AE6"/>
    <w:rsid w:val="00916542"/>
    <w:rsid w:val="00916660"/>
    <w:rsid w:val="00935A7E"/>
    <w:rsid w:val="009D6A63"/>
    <w:rsid w:val="00A93A2D"/>
    <w:rsid w:val="00A972EA"/>
    <w:rsid w:val="00A973C8"/>
    <w:rsid w:val="00AB5BE7"/>
    <w:rsid w:val="00B01D8D"/>
    <w:rsid w:val="00B16E47"/>
    <w:rsid w:val="00B20C93"/>
    <w:rsid w:val="00B3509C"/>
    <w:rsid w:val="00B45D82"/>
    <w:rsid w:val="00B91906"/>
    <w:rsid w:val="00B93422"/>
    <w:rsid w:val="00B93572"/>
    <w:rsid w:val="00BA573A"/>
    <w:rsid w:val="00BC743E"/>
    <w:rsid w:val="00BE75E7"/>
    <w:rsid w:val="00C224BB"/>
    <w:rsid w:val="00C67830"/>
    <w:rsid w:val="00C7052F"/>
    <w:rsid w:val="00C71172"/>
    <w:rsid w:val="00CD1FB5"/>
    <w:rsid w:val="00CE3A9B"/>
    <w:rsid w:val="00D81431"/>
    <w:rsid w:val="00DF4DDC"/>
    <w:rsid w:val="00E31888"/>
    <w:rsid w:val="00E55BA3"/>
    <w:rsid w:val="00E92DB5"/>
    <w:rsid w:val="00E97529"/>
    <w:rsid w:val="00ED3890"/>
    <w:rsid w:val="00EE5A0C"/>
    <w:rsid w:val="00EF6350"/>
    <w:rsid w:val="00F05A7B"/>
    <w:rsid w:val="00F16700"/>
    <w:rsid w:val="00F25B20"/>
    <w:rsid w:val="00F359CD"/>
    <w:rsid w:val="00F54439"/>
    <w:rsid w:val="00F62F23"/>
    <w:rsid w:val="00F73DAF"/>
    <w:rsid w:val="00F75B52"/>
    <w:rsid w:val="00F8353D"/>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15:docId w15:val="{3607E4E1-86A6-410D-8D2C-5868540F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 w:type="character" w:customStyle="1" w:styleId="sw">
    <w:name w:val="sw"/>
    <w:basedOn w:val="DefaultParagraphFont"/>
    <w:rsid w:val="00F05A7B"/>
  </w:style>
  <w:style w:type="character" w:styleId="UnresolvedMention">
    <w:name w:val="Unresolved Mention"/>
    <w:basedOn w:val="DefaultParagraphFont"/>
    <w:uiPriority w:val="99"/>
    <w:semiHidden/>
    <w:unhideWhenUsed/>
    <w:rsid w:val="0020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734930759">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 w:id="1389260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nolarahmadasmi@fdk.ac.id" TargetMode="External"/><Relationship Id="rId10" Type="http://schemas.openxmlformats.org/officeDocument/2006/relationships/styles" Target="styl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nolarahmadasmi@fd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3.xml><?xml version="1.0" encoding="utf-8"?>
<ds:datastoreItem xmlns:ds="http://schemas.openxmlformats.org/officeDocument/2006/customXml" ds:itemID="{40DB7EED-80D8-4C88-AA8C-71858CFE1851}">
  <ds:schemaRefs>
    <ds:schemaRef ds:uri="http://www.wps.cn/android/officeDocument/2013/mofficeCustomData"/>
  </ds:schemaRefs>
</ds:datastoreItem>
</file>

<file path=customXml/itemProps4.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5.xml><?xml version="1.0" encoding="utf-8"?>
<ds:datastoreItem xmlns:ds="http://schemas.openxmlformats.org/officeDocument/2006/customXml" ds:itemID="{F5CD976B-DFE1-4C38-9AE1-BD915693242C}">
  <ds:schemaRefs>
    <ds:schemaRef ds:uri="http://schemas.openxmlformats.org/officeDocument/2006/bibliography"/>
  </ds:schemaRefs>
</ds:datastoreItem>
</file>

<file path=customXml/itemProps6.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7.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8.xml><?xml version="1.0" encoding="utf-8"?>
<ds:datastoreItem xmlns:ds="http://schemas.openxmlformats.org/officeDocument/2006/customXml" ds:itemID="{B01F8B3E-DA9B-49D3-ADB7-4D9795E753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11399</Words>
  <Characters>64979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Fathul Jannah</cp:lastModifiedBy>
  <cp:revision>4</cp:revision>
  <dcterms:created xsi:type="dcterms:W3CDTF">2024-12-30T08:24:00Z</dcterms:created>
  <dcterms:modified xsi:type="dcterms:W3CDTF">2025-01-08T08:42:00Z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ed9dd8214d3beea8b14d990fc2b5e639ca732f91697c8b63c9affd594fcc2c88</vt:lpwstr>
  </property>
</Properties>
</file>