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85DB9" w14:textId="77777777" w:rsidR="00220E74" w:rsidRPr="00220E74" w:rsidRDefault="00220E74" w:rsidP="00220E74">
      <w:pPr>
        <w:spacing w:after="0" w:line="240" w:lineRule="auto"/>
        <w:jc w:val="center"/>
        <w:rPr>
          <w:rFonts w:ascii="Tw Cen MT" w:eastAsia="Twentieth Century" w:hAnsi="Tw Cen MT" w:cs="Twentieth Century"/>
          <w:b/>
          <w:sz w:val="32"/>
          <w:szCs w:val="32"/>
        </w:rPr>
      </w:pPr>
      <w:r w:rsidRPr="00220E74">
        <w:rPr>
          <w:rFonts w:ascii="Tw Cen MT" w:eastAsia="Twentieth Century" w:hAnsi="Tw Cen MT" w:cs="Twentieth Century"/>
          <w:b/>
          <w:sz w:val="32"/>
          <w:szCs w:val="32"/>
        </w:rPr>
        <w:t xml:space="preserve">COMPARISON OF PREGNANCY EXERCISE MODIFICATIONS </w:t>
      </w:r>
    </w:p>
    <w:p w14:paraId="2D71662A" w14:textId="55504292" w:rsidR="0027621D" w:rsidRDefault="00220E74" w:rsidP="00220E74">
      <w:pPr>
        <w:spacing w:after="0" w:line="240" w:lineRule="auto"/>
        <w:jc w:val="center"/>
        <w:rPr>
          <w:rFonts w:ascii="Tw Cen MT" w:eastAsia="Twentieth Century" w:hAnsi="Tw Cen MT" w:cs="Twentieth Century"/>
          <w:b/>
          <w:sz w:val="32"/>
          <w:szCs w:val="32"/>
        </w:rPr>
      </w:pPr>
      <w:r w:rsidRPr="00220E74">
        <w:rPr>
          <w:rFonts w:ascii="Tw Cen MT" w:eastAsia="Twentieth Century" w:hAnsi="Tw Cen MT" w:cs="Twentieth Century"/>
          <w:b/>
          <w:sz w:val="32"/>
          <w:szCs w:val="32"/>
        </w:rPr>
        <w:t>IN IMPROVING THE FUNCTIONAL CAPABILITY OF PREGNANT WOMEN</w:t>
      </w:r>
    </w:p>
    <w:p w14:paraId="19510B79" w14:textId="77777777" w:rsidR="00220E74" w:rsidRPr="0096335E" w:rsidRDefault="00220E74" w:rsidP="00220E74">
      <w:pPr>
        <w:spacing w:after="0" w:line="240" w:lineRule="auto"/>
        <w:jc w:val="center"/>
        <w:rPr>
          <w:rFonts w:ascii="Tw Cen MT" w:eastAsia="Twentieth Century" w:hAnsi="Tw Cen MT" w:cs="Twentieth Century"/>
          <w:b/>
          <w:sz w:val="32"/>
          <w:szCs w:val="32"/>
        </w:rPr>
      </w:pPr>
    </w:p>
    <w:p w14:paraId="55605193" w14:textId="2D66E4FD" w:rsidR="00C94DFD" w:rsidRPr="00BD6DD6" w:rsidRDefault="00BD6DD6" w:rsidP="00C94DFD">
      <w:pPr>
        <w:spacing w:after="0" w:line="240" w:lineRule="auto"/>
        <w:jc w:val="center"/>
        <w:rPr>
          <w:rFonts w:ascii="Tw Cen MT" w:hAnsi="Tw Cen MT" w:cs="Times New Roman"/>
          <w:b/>
          <w:spacing w:val="28"/>
          <w:sz w:val="32"/>
          <w:szCs w:val="32"/>
        </w:rPr>
      </w:pPr>
      <w:bookmarkStart w:id="0" w:name="_heading=h.ku3htxpixa9v" w:colFirst="0" w:colLast="0"/>
      <w:bookmarkEnd w:id="0"/>
      <w:r w:rsidRPr="00BD6DD6">
        <w:rPr>
          <w:rFonts w:ascii="Tw Cen MT" w:hAnsi="Tw Cen MT" w:cs="Times New Roman"/>
          <w:b/>
          <w:spacing w:val="10"/>
          <w:sz w:val="32"/>
          <w:szCs w:val="32"/>
        </w:rPr>
        <w:t xml:space="preserve">PERBANDINGAN </w:t>
      </w:r>
      <w:r w:rsidR="00220E74" w:rsidRPr="00220E74">
        <w:rPr>
          <w:rFonts w:ascii="Tw Cen MT" w:hAnsi="Tw Cen MT" w:cs="Times New Roman"/>
          <w:b/>
          <w:spacing w:val="10"/>
          <w:sz w:val="32"/>
          <w:szCs w:val="32"/>
        </w:rPr>
        <w:t>MODIFIKASI</w:t>
      </w:r>
      <w:r w:rsidR="00220E74" w:rsidRPr="00BD6DD6">
        <w:rPr>
          <w:rFonts w:ascii="Tw Cen MT" w:hAnsi="Tw Cen MT" w:cs="Times New Roman"/>
          <w:b/>
          <w:spacing w:val="10"/>
          <w:sz w:val="32"/>
          <w:szCs w:val="32"/>
        </w:rPr>
        <w:t xml:space="preserve"> </w:t>
      </w:r>
      <w:r w:rsidRPr="00BD6DD6">
        <w:rPr>
          <w:rFonts w:ascii="Tw Cen MT" w:hAnsi="Tw Cen MT" w:cs="Times New Roman"/>
          <w:b/>
          <w:spacing w:val="10"/>
          <w:sz w:val="32"/>
          <w:szCs w:val="32"/>
        </w:rPr>
        <w:t xml:space="preserve">SENAM HAMIL </w:t>
      </w:r>
    </w:p>
    <w:p w14:paraId="3996FB0C" w14:textId="5BF1A3BB" w:rsidR="00BD6DD6" w:rsidRPr="00220E74" w:rsidRDefault="00BD6DD6" w:rsidP="00220E74">
      <w:pPr>
        <w:spacing w:after="0" w:line="240" w:lineRule="auto"/>
        <w:jc w:val="center"/>
        <w:rPr>
          <w:rFonts w:ascii="Tw Cen MT" w:hAnsi="Tw Cen MT" w:cs="Times New Roman"/>
          <w:b/>
          <w:spacing w:val="28"/>
          <w:sz w:val="32"/>
          <w:szCs w:val="32"/>
        </w:rPr>
      </w:pPr>
      <w:r w:rsidRPr="00BD6DD6">
        <w:rPr>
          <w:rFonts w:ascii="Tw Cen MT" w:hAnsi="Tw Cen MT" w:cs="Times New Roman"/>
          <w:b/>
          <w:spacing w:val="28"/>
          <w:sz w:val="32"/>
          <w:szCs w:val="32"/>
        </w:rPr>
        <w:t xml:space="preserve">DALAM </w:t>
      </w:r>
      <w:r w:rsidRPr="00BD6DD6">
        <w:rPr>
          <w:rFonts w:ascii="Tw Cen MT" w:hAnsi="Tw Cen MT" w:cs="Times New Roman"/>
          <w:b/>
          <w:spacing w:val="-10"/>
          <w:sz w:val="32"/>
          <w:szCs w:val="32"/>
        </w:rPr>
        <w:t xml:space="preserve">MENINGKATKAN KEMAMPUAN FUNGSIONAL </w:t>
      </w:r>
      <w:r w:rsidR="00220E74">
        <w:rPr>
          <w:rFonts w:ascii="Tw Cen MT" w:hAnsi="Tw Cen MT" w:cs="Times New Roman"/>
          <w:b/>
          <w:spacing w:val="-10"/>
          <w:sz w:val="32"/>
          <w:szCs w:val="32"/>
        </w:rPr>
        <w:t>IBU HAMIL</w:t>
      </w:r>
    </w:p>
    <w:p w14:paraId="30DA796A" w14:textId="77777777" w:rsidR="00BD6DD6" w:rsidRPr="00BD6DD6" w:rsidRDefault="00BD6DD6" w:rsidP="00BD6DD6">
      <w:pPr>
        <w:spacing w:after="0" w:line="240" w:lineRule="auto"/>
        <w:jc w:val="center"/>
        <w:rPr>
          <w:rFonts w:ascii="Tw Cen MT" w:hAnsi="Tw Cen MT" w:cs="Times New Roman"/>
          <w:b/>
          <w:bCs/>
          <w:iCs/>
          <w:sz w:val="32"/>
          <w:szCs w:val="32"/>
        </w:rPr>
      </w:pPr>
    </w:p>
    <w:p w14:paraId="0BA55905" w14:textId="77777777" w:rsidR="00BD6DD6" w:rsidRPr="00BD6DD6" w:rsidRDefault="00BD6DD6" w:rsidP="004721E3">
      <w:pPr>
        <w:widowControl w:val="0"/>
        <w:spacing w:after="0" w:line="218" w:lineRule="auto"/>
        <w:ind w:left="7" w:right="-20"/>
        <w:jc w:val="center"/>
        <w:rPr>
          <w:rFonts w:ascii="Tw Cen MT" w:hAnsi="Tw Cen MT" w:cs="Times New Roman"/>
          <w:sz w:val="24"/>
          <w:szCs w:val="24"/>
        </w:rPr>
      </w:pPr>
      <w:r w:rsidRPr="00BD6DD6">
        <w:rPr>
          <w:rFonts w:ascii="Tw Cen MT" w:hAnsi="Tw Cen MT" w:cs="Times New Roman"/>
          <w:b/>
          <w:sz w:val="24"/>
          <w:szCs w:val="24"/>
          <w:vertAlign w:val="superscript"/>
        </w:rPr>
        <w:t>1</w:t>
      </w:r>
      <w:r w:rsidRPr="00BD6DD6">
        <w:rPr>
          <w:rFonts w:ascii="Tw Cen MT" w:hAnsi="Tw Cen MT" w:cs="Times New Roman"/>
          <w:sz w:val="24"/>
          <w:szCs w:val="24"/>
        </w:rPr>
        <w:t xml:space="preserve">Sri Gunda Fahriana Fahruddin, </w:t>
      </w:r>
      <w:r w:rsidRPr="00BD6DD6">
        <w:rPr>
          <w:rFonts w:ascii="Tw Cen MT" w:hAnsi="Tw Cen MT" w:cs="Times New Roman"/>
          <w:sz w:val="24"/>
          <w:szCs w:val="24"/>
          <w:vertAlign w:val="superscript"/>
        </w:rPr>
        <w:t>2</w:t>
      </w:r>
      <w:r w:rsidRPr="00BD6DD6">
        <w:rPr>
          <w:rFonts w:ascii="Tw Cen MT" w:hAnsi="Tw Cen MT" w:cs="Times New Roman"/>
          <w:sz w:val="24"/>
          <w:szCs w:val="24"/>
        </w:rPr>
        <w:t xml:space="preserve">Wiwit Indriyani Aslina, </w:t>
      </w:r>
      <w:r w:rsidRPr="00BD6DD6">
        <w:rPr>
          <w:rFonts w:ascii="Tw Cen MT" w:hAnsi="Tw Cen MT" w:cs="Times New Roman"/>
          <w:sz w:val="24"/>
          <w:szCs w:val="24"/>
          <w:vertAlign w:val="superscript"/>
        </w:rPr>
        <w:t>3</w:t>
      </w:r>
      <w:r w:rsidRPr="00BD6DD6">
        <w:rPr>
          <w:rFonts w:ascii="Tw Cen MT" w:hAnsi="Tw Cen MT" w:cs="Times New Roman"/>
          <w:sz w:val="24"/>
          <w:szCs w:val="24"/>
        </w:rPr>
        <w:t>Nita Indah Lestari.</w:t>
      </w:r>
    </w:p>
    <w:p w14:paraId="0F08FC4B" w14:textId="77777777" w:rsidR="00BD6DD6" w:rsidRPr="00931A91" w:rsidRDefault="00BD6DD6" w:rsidP="00BD6DD6">
      <w:pPr>
        <w:pStyle w:val="NoSpacing"/>
        <w:jc w:val="center"/>
        <w:rPr>
          <w:rFonts w:ascii="Tw Cen MT" w:hAnsi="Tw Cen MT" w:cs="Times New Roman"/>
          <w:sz w:val="20"/>
          <w:szCs w:val="20"/>
          <w:lang w:val="en-US"/>
        </w:rPr>
      </w:pPr>
      <w:r w:rsidRPr="00931A91">
        <w:rPr>
          <w:rFonts w:ascii="Tw Cen MT" w:hAnsi="Tw Cen MT" w:cs="Times New Roman"/>
          <w:sz w:val="20"/>
          <w:szCs w:val="20"/>
          <w:vertAlign w:val="superscript"/>
          <w:lang w:val="en-US"/>
        </w:rPr>
        <w:t>1</w:t>
      </w:r>
      <w:r w:rsidRPr="00931A91">
        <w:rPr>
          <w:rFonts w:ascii="Tw Cen MT" w:hAnsi="Tw Cen MT" w:cs="Times New Roman"/>
          <w:sz w:val="20"/>
          <w:szCs w:val="20"/>
          <w:lang w:val="en-US"/>
        </w:rPr>
        <w:t xml:space="preserve">Universitas Pembangunan Nasional “Veteran” Jakarta, </w:t>
      </w:r>
    </w:p>
    <w:p w14:paraId="7411CF93" w14:textId="77777777" w:rsidR="00BD6DD6" w:rsidRPr="00931A91" w:rsidRDefault="00BD6DD6" w:rsidP="00BD6DD6">
      <w:pPr>
        <w:widowControl w:val="0"/>
        <w:spacing w:after="0" w:line="218" w:lineRule="auto"/>
        <w:ind w:right="-20"/>
        <w:jc w:val="center"/>
        <w:rPr>
          <w:rFonts w:ascii="Tw Cen MT" w:hAnsi="Tw Cen MT" w:cs="Times New Roman"/>
          <w:sz w:val="20"/>
          <w:szCs w:val="20"/>
        </w:rPr>
      </w:pPr>
      <w:r w:rsidRPr="00931A91">
        <w:rPr>
          <w:rFonts w:ascii="Tw Cen MT" w:hAnsi="Tw Cen MT" w:cs="Times New Roman"/>
          <w:sz w:val="20"/>
          <w:szCs w:val="20"/>
          <w:vertAlign w:val="superscript"/>
        </w:rPr>
        <w:t xml:space="preserve">2,3 </w:t>
      </w:r>
      <w:r w:rsidRPr="00931A91">
        <w:rPr>
          <w:rFonts w:ascii="Tw Cen MT" w:hAnsi="Tw Cen MT" w:cs="Times New Roman"/>
          <w:sz w:val="20"/>
          <w:szCs w:val="20"/>
        </w:rPr>
        <w:t xml:space="preserve">STIKES Rustida Banyuwangi </w:t>
      </w:r>
    </w:p>
    <w:p w14:paraId="62A51E8D" w14:textId="1DCFB110" w:rsidR="00931A91" w:rsidRPr="00931A91" w:rsidRDefault="00931A91" w:rsidP="00931A91">
      <w:pPr>
        <w:widowControl w:val="0"/>
        <w:spacing w:after="0" w:line="218" w:lineRule="auto"/>
        <w:ind w:right="-20"/>
        <w:jc w:val="center"/>
        <w:rPr>
          <w:rFonts w:ascii="Tw Cen MT" w:eastAsia="Twentieth Century" w:hAnsi="Tw Cen MT" w:cs="Twentieth Century"/>
          <w:color w:val="FF0000"/>
          <w:sz w:val="20"/>
          <w:szCs w:val="20"/>
        </w:rPr>
      </w:pPr>
      <w:r w:rsidRPr="00931A91">
        <w:rPr>
          <w:rFonts w:ascii="Tw Cen MT" w:eastAsia="Twentieth Century" w:hAnsi="Tw Cen MT" w:cs="Twentieth Century"/>
          <w:sz w:val="20"/>
          <w:szCs w:val="20"/>
        </w:rPr>
        <w:t xml:space="preserve">Email: </w:t>
      </w:r>
      <w:hyperlink r:id="rId9" w:history="1">
        <w:r w:rsidRPr="00931A91">
          <w:rPr>
            <w:rStyle w:val="Hyperlink"/>
            <w:rFonts w:ascii="Tw Cen MT" w:eastAsia="Twentieth Century" w:hAnsi="Tw Cen MT" w:cs="Twentieth Century"/>
            <w:sz w:val="20"/>
            <w:szCs w:val="20"/>
          </w:rPr>
          <w:t>srigunda@upnvj.ac.id</w:t>
        </w:r>
      </w:hyperlink>
      <w:r w:rsidRPr="00931A91">
        <w:rPr>
          <w:rFonts w:ascii="Tw Cen MT" w:eastAsia="Twentieth Century" w:hAnsi="Tw Cen MT" w:cs="Twentieth Century"/>
          <w:color w:val="FF0000"/>
          <w:sz w:val="20"/>
          <w:szCs w:val="20"/>
        </w:rPr>
        <w:t xml:space="preserve"> </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7DD5C00C" w14:textId="77777777" w:rsidR="00931A91" w:rsidRPr="00931A91" w:rsidRDefault="00931A91" w:rsidP="00931A91">
      <w:pPr>
        <w:tabs>
          <w:tab w:val="left" w:pos="426"/>
        </w:tabs>
        <w:spacing w:after="0"/>
        <w:ind w:left="3150"/>
        <w:jc w:val="both"/>
        <w:rPr>
          <w:rFonts w:ascii="Tw Cen MT" w:eastAsia="Twentieth Century" w:hAnsi="Tw Cen MT" w:cs="Twentieth Century"/>
          <w:i/>
          <w:noProof/>
          <w:color w:val="000000"/>
          <w:sz w:val="20"/>
          <w:szCs w:val="20"/>
        </w:rPr>
      </w:pPr>
      <w:r w:rsidRPr="00931A91">
        <w:rPr>
          <w:rFonts w:ascii="Tw Cen MT" w:eastAsia="Twentieth Century" w:hAnsi="Tw Cen MT" w:cs="Twentieth Century"/>
          <w:i/>
          <w:noProof/>
          <w:color w:val="000000"/>
          <w:sz w:val="20"/>
          <w:szCs w:val="20"/>
        </w:rPr>
        <w:t>Hormonal changes in pregnant women result in decreased muscle elasticity and flexibility, changes in static posture, etc. Lower back pain in pregnant women can hinder daily functional activities. To find out physiotherapy interventions that can improve the functional abilities of pregnant women in conditions of low back pain. This research design uses a randomized pre and post group design. This research used 20 subjects, divided into 2 groups. The intervention provided training 2 times a week for 4 weeks. The analytical tests used in this research are paired sample t-test and independent sample t-test. Functional ability was measured using the Pain Disability Index. The results of the analysis of the mean difference are p&lt;0.05, which means that modified pregnancy exercise and gym ball are better than conventional pregnancy exercise in improving the functional abilities of pregnant women in NPB conditions. Pregnancy exercise and Gym ball can reduce the degree of lower back pain by training the tone of the inner transverse abdominal muscles, this can overcome NPB thereby increasing daily functional activities.</w:t>
      </w:r>
    </w:p>
    <w:p w14:paraId="7CEDCDA1" w14:textId="0C358C6B" w:rsidR="007F4948" w:rsidRPr="0096335E" w:rsidRDefault="00931A91" w:rsidP="00931A91">
      <w:pPr>
        <w:tabs>
          <w:tab w:val="left" w:pos="426"/>
        </w:tabs>
        <w:spacing w:after="0"/>
        <w:ind w:left="3150"/>
        <w:jc w:val="both"/>
        <w:rPr>
          <w:rFonts w:ascii="Tw Cen MT" w:eastAsia="Twentieth Century" w:hAnsi="Tw Cen MT" w:cs="Twentieth Century"/>
          <w:b/>
          <w:sz w:val="20"/>
          <w:szCs w:val="20"/>
        </w:rPr>
      </w:pPr>
      <w:r w:rsidRPr="00931A91">
        <w:rPr>
          <w:rFonts w:ascii="Tw Cen MT" w:eastAsia="Twentieth Century" w:hAnsi="Tw Cen MT" w:cs="Twentieth Century"/>
          <w:b/>
          <w:bCs/>
          <w:i/>
          <w:noProof/>
          <w:color w:val="000000"/>
          <w:sz w:val="20"/>
          <w:szCs w:val="20"/>
        </w:rPr>
        <w:t>Keywords:</w:t>
      </w:r>
      <w:r w:rsidRPr="00931A91">
        <w:rPr>
          <w:rFonts w:ascii="Tw Cen MT" w:eastAsia="Twentieth Century" w:hAnsi="Tw Cen MT" w:cs="Twentieth Century"/>
          <w:i/>
          <w:noProof/>
          <w:color w:val="000000"/>
          <w:sz w:val="20"/>
          <w:szCs w:val="20"/>
        </w:rPr>
        <w:t xml:space="preserve"> Modified Pregnancy Exercises, Gym Ball, Conventional Pregnancy Exercises, Functional Ability, Lower Back Pain.</w:t>
      </w: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3B94BEC5" w14:textId="77777777" w:rsidR="00931A91" w:rsidRPr="00931A91" w:rsidRDefault="00931A91" w:rsidP="00931A91">
      <w:pPr>
        <w:spacing w:after="0" w:line="240" w:lineRule="auto"/>
        <w:ind w:left="3119"/>
        <w:jc w:val="both"/>
        <w:rPr>
          <w:rFonts w:ascii="Tw Cen MT" w:hAnsi="Tw Cen MT" w:cs="Times New Roman"/>
          <w:sz w:val="20"/>
          <w:szCs w:val="20"/>
        </w:rPr>
      </w:pPr>
      <w:r w:rsidRPr="00931A91">
        <w:rPr>
          <w:rFonts w:ascii="Tw Cen MT" w:hAnsi="Tw Cen MT" w:cs="Times New Roman"/>
          <w:sz w:val="20"/>
          <w:szCs w:val="20"/>
        </w:rPr>
        <w:t xml:space="preserve">Perubahan hormonal pada ibu hamil mengakibatkan menurunnya elastisitas dan flexibilitas otot, perubahan sikap statis, dll. Nyeri pinggang bawah pada ibu hamil dapat menghambat aktivitas fungsional sehari-hari. Untuk mengetahui intervensi fisioterapi yang dapat meningkatkan kemampuan fungsional ibu hamil pada kondisi nyeri pinggang bawah. Rancangan penelitian ini menggunakan </w:t>
      </w:r>
      <w:r w:rsidRPr="00931A91">
        <w:rPr>
          <w:rFonts w:ascii="Tw Cen MT" w:hAnsi="Tw Cen MT" w:cs="Times New Roman"/>
          <w:i/>
          <w:sz w:val="20"/>
          <w:szCs w:val="20"/>
        </w:rPr>
        <w:t>randomized</w:t>
      </w:r>
      <w:r w:rsidRPr="00931A91">
        <w:rPr>
          <w:rFonts w:ascii="Tw Cen MT" w:hAnsi="Tw Cen MT" w:cs="Times New Roman"/>
          <w:sz w:val="20"/>
          <w:szCs w:val="20"/>
        </w:rPr>
        <w:t xml:space="preserve"> </w:t>
      </w:r>
      <w:r w:rsidRPr="00931A91">
        <w:rPr>
          <w:rFonts w:ascii="Tw Cen MT" w:hAnsi="Tw Cen MT" w:cs="Times New Roman"/>
          <w:i/>
          <w:sz w:val="20"/>
          <w:szCs w:val="20"/>
        </w:rPr>
        <w:t xml:space="preserve">pre </w:t>
      </w:r>
      <w:r w:rsidRPr="00931A91">
        <w:rPr>
          <w:rFonts w:ascii="Tw Cen MT" w:hAnsi="Tw Cen MT" w:cs="Times New Roman"/>
          <w:sz w:val="20"/>
          <w:szCs w:val="20"/>
        </w:rPr>
        <w:t xml:space="preserve">dan </w:t>
      </w:r>
      <w:r w:rsidRPr="00931A91">
        <w:rPr>
          <w:rFonts w:ascii="Tw Cen MT" w:hAnsi="Tw Cen MT" w:cs="Times New Roman"/>
          <w:i/>
          <w:sz w:val="20"/>
          <w:szCs w:val="20"/>
        </w:rPr>
        <w:t>post</w:t>
      </w:r>
      <w:r w:rsidRPr="00931A91">
        <w:rPr>
          <w:rFonts w:ascii="Tw Cen MT" w:hAnsi="Tw Cen MT" w:cs="Times New Roman"/>
          <w:sz w:val="20"/>
          <w:szCs w:val="20"/>
        </w:rPr>
        <w:t xml:space="preserve"> </w:t>
      </w:r>
      <w:r w:rsidRPr="00931A91">
        <w:rPr>
          <w:rFonts w:ascii="Tw Cen MT" w:hAnsi="Tw Cen MT" w:cs="Times New Roman"/>
          <w:i/>
          <w:sz w:val="20"/>
          <w:szCs w:val="20"/>
        </w:rPr>
        <w:t>group design</w:t>
      </w:r>
      <w:r w:rsidRPr="00931A91">
        <w:rPr>
          <w:rFonts w:ascii="Tw Cen MT" w:hAnsi="Tw Cen MT" w:cs="Times New Roman"/>
          <w:sz w:val="20"/>
          <w:szCs w:val="20"/>
        </w:rPr>
        <w:t xml:space="preserve">. Penelitian ini memakai 20 subjek, terbagi dalam 2 Kelompok. Intervensi diberikan latihan 2 kali seminggu selama 4 minggu. Uji analisis yang digunakan pada penelitian ini yaitu, </w:t>
      </w:r>
      <w:r w:rsidRPr="00931A91">
        <w:rPr>
          <w:rFonts w:ascii="Tw Cen MT" w:hAnsi="Tw Cen MT" w:cs="Times New Roman"/>
          <w:i/>
          <w:iCs/>
          <w:sz w:val="20"/>
          <w:szCs w:val="20"/>
        </w:rPr>
        <w:t>paired sample t-test</w:t>
      </w:r>
      <w:r w:rsidRPr="00931A91">
        <w:rPr>
          <w:rFonts w:ascii="Tw Cen MT" w:hAnsi="Tw Cen MT" w:cs="Times New Roman"/>
          <w:sz w:val="20"/>
          <w:szCs w:val="20"/>
        </w:rPr>
        <w:t xml:space="preserve"> dan </w:t>
      </w:r>
      <w:r w:rsidRPr="00931A91">
        <w:rPr>
          <w:rFonts w:ascii="Tw Cen MT" w:hAnsi="Tw Cen MT" w:cs="Times New Roman"/>
          <w:i/>
          <w:iCs/>
          <w:sz w:val="20"/>
          <w:szCs w:val="20"/>
        </w:rPr>
        <w:t>independent sample t-test</w:t>
      </w:r>
      <w:r w:rsidRPr="00931A91">
        <w:rPr>
          <w:rFonts w:ascii="Tw Cen MT" w:hAnsi="Tw Cen MT" w:cs="Times New Roman"/>
          <w:sz w:val="20"/>
          <w:szCs w:val="20"/>
        </w:rPr>
        <w:t xml:space="preserve">. Kemampuan fungsional diukur menggunakan </w:t>
      </w:r>
      <w:r w:rsidRPr="00931A91">
        <w:rPr>
          <w:rFonts w:ascii="Tw Cen MT" w:hAnsi="Tw Cen MT" w:cs="Times New Roman"/>
          <w:i/>
          <w:sz w:val="20"/>
          <w:szCs w:val="20"/>
        </w:rPr>
        <w:t>Pain Disability Index</w:t>
      </w:r>
      <w:r w:rsidRPr="00931A91">
        <w:rPr>
          <w:rFonts w:ascii="Tw Cen MT" w:hAnsi="Tw Cen MT" w:cs="Times New Roman"/>
          <w:sz w:val="20"/>
          <w:szCs w:val="20"/>
        </w:rPr>
        <w:t xml:space="preserve">. Hasil analisis beda rerata p&lt;0,05 yang berarti modifikasi senam hamil dan </w:t>
      </w:r>
      <w:r w:rsidRPr="00931A91">
        <w:rPr>
          <w:rFonts w:ascii="Tw Cen MT" w:hAnsi="Tw Cen MT" w:cs="Times New Roman"/>
          <w:i/>
          <w:sz w:val="20"/>
          <w:szCs w:val="20"/>
        </w:rPr>
        <w:t>gym ball</w:t>
      </w:r>
      <w:r w:rsidRPr="00931A91">
        <w:rPr>
          <w:rFonts w:ascii="Tw Cen MT" w:hAnsi="Tw Cen MT" w:cs="Times New Roman"/>
          <w:sz w:val="20"/>
          <w:szCs w:val="20"/>
        </w:rPr>
        <w:t xml:space="preserve"> lebih baik dibanding dengan senam hamil konvensional dalam meningkatkan kemampuan fungsional ibu hamil pada kondisi NPB. Senam hamil dan </w:t>
      </w:r>
      <w:r w:rsidRPr="00931A91">
        <w:rPr>
          <w:rFonts w:ascii="Tw Cen MT" w:hAnsi="Tw Cen MT" w:cs="Times New Roman"/>
          <w:i/>
          <w:iCs/>
          <w:sz w:val="20"/>
          <w:szCs w:val="20"/>
        </w:rPr>
        <w:t>Gym ball</w:t>
      </w:r>
      <w:r w:rsidRPr="00931A91">
        <w:rPr>
          <w:rFonts w:ascii="Tw Cen MT" w:hAnsi="Tw Cen MT" w:cs="Times New Roman"/>
          <w:sz w:val="20"/>
          <w:szCs w:val="20"/>
        </w:rPr>
        <w:t xml:space="preserve"> dapat menurunkan derajat nyeri pinggang bawah dengan melatih tonus otot abdomen transversal bagian dalam, hal tersebut dapat mengatasi NPB sehingga meningkatkan aktivitas fungsional sehari-hari.</w:t>
      </w:r>
    </w:p>
    <w:p w14:paraId="54675ED0" w14:textId="77777777" w:rsidR="00931A91" w:rsidRPr="00931A91" w:rsidRDefault="00931A91" w:rsidP="00931A91">
      <w:pPr>
        <w:pStyle w:val="NoSpacing"/>
        <w:ind w:left="3119"/>
        <w:jc w:val="both"/>
        <w:rPr>
          <w:rFonts w:ascii="Tw Cen MT" w:hAnsi="Tw Cen MT" w:cs="Times New Roman"/>
          <w:sz w:val="20"/>
          <w:szCs w:val="20"/>
        </w:rPr>
      </w:pPr>
      <w:r w:rsidRPr="00931A91">
        <w:rPr>
          <w:rFonts w:ascii="Tw Cen MT" w:hAnsi="Tw Cen MT" w:cs="Times New Roman"/>
          <w:b/>
          <w:bCs/>
          <w:sz w:val="20"/>
          <w:szCs w:val="20"/>
        </w:rPr>
        <w:lastRenderedPageBreak/>
        <w:t>Kata Kunci</w:t>
      </w:r>
      <w:r w:rsidRPr="00931A91">
        <w:rPr>
          <w:rFonts w:ascii="Tw Cen MT" w:hAnsi="Tw Cen MT" w:cs="Times New Roman"/>
          <w:sz w:val="20"/>
          <w:szCs w:val="20"/>
        </w:rPr>
        <w:t>:</w:t>
      </w:r>
      <w:r w:rsidRPr="00931A91">
        <w:rPr>
          <w:rFonts w:ascii="Tw Cen MT" w:hAnsi="Tw Cen MT" w:cs="Times New Roman"/>
          <w:sz w:val="20"/>
          <w:szCs w:val="20"/>
          <w:lang w:val="en-US"/>
        </w:rPr>
        <w:t xml:space="preserve"> Modifikasi Senam Hamil, </w:t>
      </w:r>
      <w:r w:rsidRPr="00931A91">
        <w:rPr>
          <w:rFonts w:ascii="Tw Cen MT" w:hAnsi="Tw Cen MT" w:cs="Times New Roman"/>
          <w:i/>
          <w:sz w:val="20"/>
          <w:szCs w:val="20"/>
          <w:lang w:val="en-US"/>
        </w:rPr>
        <w:t>Gym Ball</w:t>
      </w:r>
      <w:r w:rsidRPr="00931A91">
        <w:rPr>
          <w:rFonts w:ascii="Tw Cen MT" w:hAnsi="Tw Cen MT" w:cs="Times New Roman"/>
          <w:sz w:val="20"/>
          <w:szCs w:val="20"/>
          <w:lang w:val="en-US"/>
        </w:rPr>
        <w:t xml:space="preserve">, Senam Hamil Konvensional, </w:t>
      </w:r>
      <w:r w:rsidRPr="00931A91">
        <w:rPr>
          <w:rFonts w:ascii="Tw Cen MT" w:hAnsi="Tw Cen MT" w:cs="Times New Roman"/>
          <w:sz w:val="20"/>
          <w:szCs w:val="20"/>
        </w:rPr>
        <w:t>Kemampuan Fungsional,</w:t>
      </w:r>
      <w:r w:rsidRPr="00931A91">
        <w:rPr>
          <w:rFonts w:ascii="Tw Cen MT" w:hAnsi="Tw Cen MT" w:cs="Times New Roman"/>
          <w:sz w:val="20"/>
          <w:szCs w:val="20"/>
          <w:lang w:val="en-US"/>
        </w:rPr>
        <w:t xml:space="preserve"> Nyeri Pinggang Bawah</w:t>
      </w:r>
      <w:r w:rsidRPr="00931A91">
        <w:rPr>
          <w:rFonts w:ascii="Tw Cen MT" w:hAnsi="Tw Cen MT" w:cs="Times New Roman"/>
          <w:sz w:val="20"/>
          <w:szCs w:val="20"/>
        </w:rPr>
        <w:t>.</w:t>
      </w:r>
    </w:p>
    <w:p w14:paraId="448ACAA7" w14:textId="5C219E8E" w:rsidR="00997349" w:rsidRPr="00931A91" w:rsidRDefault="00997349" w:rsidP="00931A91">
      <w:pPr>
        <w:tabs>
          <w:tab w:val="left" w:pos="426"/>
        </w:tabs>
        <w:spacing w:after="0"/>
        <w:jc w:val="both"/>
        <w:rPr>
          <w:rFonts w:ascii="Tw Cen MT" w:eastAsia="Twentieth Century" w:hAnsi="Tw Cen MT" w:cs="Twentieth Century"/>
          <w:b/>
          <w:sz w:val="20"/>
          <w:szCs w:val="20"/>
        </w:rPr>
        <w:sectPr w:rsidR="00997349" w:rsidRPr="00931A91" w:rsidSect="00D0123F">
          <w:headerReference w:type="default" r:id="rId10"/>
          <w:footerReference w:type="default" r:id="rId11"/>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
    <w:p w14:paraId="75DA5609" w14:textId="77777777" w:rsidR="00220E74" w:rsidRDefault="00220E74" w:rsidP="00314849">
      <w:pPr>
        <w:tabs>
          <w:tab w:val="left" w:pos="426"/>
        </w:tabs>
        <w:spacing w:after="0" w:line="240" w:lineRule="auto"/>
        <w:jc w:val="both"/>
        <w:rPr>
          <w:rFonts w:ascii="Tw Cen MT" w:eastAsia="Twentieth Century" w:hAnsi="Tw Cen MT" w:cs="Twentieth Century"/>
          <w:b/>
          <w:sz w:val="24"/>
          <w:szCs w:val="24"/>
        </w:rPr>
      </w:pPr>
    </w:p>
    <w:p w14:paraId="12468592" w14:textId="5531E2E5" w:rsidR="007106F6"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326A434B" w14:textId="2B281E9B" w:rsidR="00220E74" w:rsidRPr="00220E74" w:rsidRDefault="00220E74" w:rsidP="00220E74">
      <w:pPr>
        <w:spacing w:after="0" w:line="240" w:lineRule="auto"/>
        <w:ind w:firstLine="720"/>
        <w:jc w:val="both"/>
        <w:rPr>
          <w:rFonts w:ascii="Tw Cen MT" w:hAnsi="Tw Cen MT" w:cs="Times New Roman"/>
          <w:sz w:val="24"/>
          <w:szCs w:val="24"/>
        </w:rPr>
      </w:pPr>
      <w:r w:rsidRPr="00220E74">
        <w:rPr>
          <w:rFonts w:ascii="Tw Cen MT" w:hAnsi="Tw Cen MT" w:cs="Times New Roman"/>
          <w:sz w:val="24"/>
          <w:szCs w:val="24"/>
        </w:rPr>
        <w:t xml:space="preserve">Kehamilan merupakan hal yang akan dialami oleh setiap wanita. Salah satu gangguan yang terjadi pada ibu hamil adalah terjadinya nyeri pinggang bawah. NPB akibat kehamilan ditandai dengan gejala utama rasa nyeri atau perasaan lain yang tidak enak di daerah tubuh bagian belakang dari rusuk terakhir atau vertebra thoracal 12 sampai bagian pantat atau anus karena pengaruh hormon yang menimbulkan gangguan pada bagian penyangga dan jaringan penghubung sehingga mengakibatkan penurunan elastisitas dan fleksibilitas otot </w:t>
      </w:r>
      <w:r w:rsidRPr="00220E74">
        <w:rPr>
          <w:rFonts w:ascii="Tw Cen MT" w:hAnsi="Tw Cen MT" w:cs="Times New Roman"/>
          <w:sz w:val="24"/>
          <w:szCs w:val="24"/>
        </w:rPr>
        <w:fldChar w:fldCharType="begin" w:fldLock="1"/>
      </w:r>
      <w:r w:rsidR="00802B46">
        <w:rPr>
          <w:rFonts w:ascii="Tw Cen MT" w:hAnsi="Tw Cen MT" w:cs="Times New Roman"/>
          <w:sz w:val="24"/>
          <w:szCs w:val="24"/>
        </w:rPr>
        <w:instrText>ADDIN CSL_CITATION {"citationItems":[{"id":"ITEM-1","itemData":{"author":[{"dropping-particle":"","family":"Kisner","given":"C","non-dropping-particle":"","parse-names":false,"suffix":""},{"dropping-particle":"","family":"Colby","given":"","non-dropping-particle":"","parse-names":false,"suffix":""}],"edition":"Vol 6","id":"ITEM-1","issued":{"date-parts":[["2020"]]},"publisher":"EGC","publisher-place":"Jakarta","title":"Terapi Latihan Dasar dan Teknik Vol 6","type":"book"},"uris":["http://www.mendeley.com/documents/?uuid=81b23d70-7ab0-4f6f-82be-ebf7bcd2dcb5"]}],"mendeley":{"formattedCitation":"[1]","plainTextFormattedCitation":"[1]","previouslyFormattedCitation":"[1]"},"properties":{"noteIndex":0},"schema":"https://github.com/citation-style-language/schema/raw/master/csl-citation.json"}</w:instrText>
      </w:r>
      <w:r w:rsidRPr="00220E74">
        <w:rPr>
          <w:rFonts w:ascii="Tw Cen MT" w:hAnsi="Tw Cen MT" w:cs="Times New Roman"/>
          <w:sz w:val="24"/>
          <w:szCs w:val="24"/>
        </w:rPr>
        <w:fldChar w:fldCharType="separate"/>
      </w:r>
      <w:r w:rsidR="007812CD" w:rsidRPr="007812CD">
        <w:rPr>
          <w:rFonts w:ascii="Tw Cen MT" w:hAnsi="Tw Cen MT" w:cs="Times New Roman"/>
          <w:noProof/>
          <w:sz w:val="24"/>
          <w:szCs w:val="24"/>
        </w:rPr>
        <w:t>[1]</w:t>
      </w:r>
      <w:r w:rsidRPr="00220E74">
        <w:rPr>
          <w:rFonts w:ascii="Tw Cen MT" w:hAnsi="Tw Cen MT" w:cs="Times New Roman"/>
          <w:sz w:val="24"/>
          <w:szCs w:val="24"/>
        </w:rPr>
        <w:fldChar w:fldCharType="end"/>
      </w:r>
      <w:r w:rsidRPr="00220E74">
        <w:rPr>
          <w:rFonts w:ascii="Tw Cen MT" w:hAnsi="Tw Cen MT" w:cs="Times New Roman"/>
          <w:sz w:val="24"/>
          <w:szCs w:val="24"/>
        </w:rPr>
        <w:t xml:space="preserve">. </w:t>
      </w:r>
    </w:p>
    <w:p w14:paraId="31A4708F" w14:textId="6B4665B5" w:rsidR="00220E74" w:rsidRPr="00220E74" w:rsidRDefault="00220E74" w:rsidP="00220E74">
      <w:pPr>
        <w:spacing w:after="0" w:line="240" w:lineRule="auto"/>
        <w:ind w:firstLine="426"/>
        <w:jc w:val="both"/>
        <w:rPr>
          <w:rFonts w:ascii="Tw Cen MT" w:hAnsi="Tw Cen MT" w:cs="Times New Roman"/>
          <w:sz w:val="24"/>
          <w:szCs w:val="24"/>
        </w:rPr>
      </w:pPr>
      <w:r w:rsidRPr="00220E74">
        <w:rPr>
          <w:rFonts w:ascii="Tw Cen MT" w:hAnsi="Tw Cen MT" w:cs="Times New Roman"/>
          <w:sz w:val="24"/>
          <w:szCs w:val="24"/>
        </w:rPr>
        <w:t xml:space="preserve"> Terdapat sekitar 88,2% wanita hamil yang mengalami nyeri pinggang pada usia kehamilan 14-22 minggu</w:t>
      </w:r>
      <w:r w:rsidRPr="00220E74">
        <w:rPr>
          <w:rFonts w:ascii="Tw Cen MT" w:hAnsi="Tw Cen MT" w:cs="Times New Roman"/>
          <w:sz w:val="24"/>
          <w:szCs w:val="24"/>
          <w:vertAlign w:val="superscript"/>
        </w:rPr>
        <w:t xml:space="preserve"> </w:t>
      </w:r>
      <w:r w:rsidRPr="00220E74">
        <w:rPr>
          <w:rFonts w:ascii="Tw Cen MT" w:hAnsi="Tw Cen MT" w:cs="Times New Roman"/>
          <w:sz w:val="24"/>
          <w:szCs w:val="24"/>
          <w:vertAlign w:val="superscript"/>
        </w:rPr>
        <w:fldChar w:fldCharType="begin" w:fldLock="1"/>
      </w:r>
      <w:r w:rsidR="00802B46">
        <w:rPr>
          <w:rFonts w:ascii="Tw Cen MT" w:hAnsi="Tw Cen MT" w:cs="Times New Roman"/>
          <w:sz w:val="24"/>
          <w:szCs w:val="24"/>
          <w:vertAlign w:val="superscript"/>
        </w:rPr>
        <w:instrText>ADDIN CSL_CITATION {"citationItems":[{"id":"ITEM-1","itemData":{"author":[{"dropping-particle":"","family":"Amalia","given":"Nurul Rezky","non-dropping-particle":"","parse-names":false,"suffix":""}],"id":"ITEM-1","issued":{"date-parts":[["2022"]]},"title":"Pengaruh stability ball exercise terhadap aktivitas fungsional pada ibu hamil dengan kondisi nyeri pinggang di puskesmas kota makassar","type":"article-journal"},"uris":["http://www.mendeley.com/documents/?uuid=d02ab3ce-a0b6-4e1d-afb2-18d9102896c2"]}],"mendeley":{"formattedCitation":"[2]","plainTextFormattedCitation":"[2]","previouslyFormattedCitation":"[2]"},"properties":{"noteIndex":0},"schema":"https://github.com/citation-style-language/schema/raw/master/csl-citation.json"}</w:instrText>
      </w:r>
      <w:r w:rsidRPr="00220E74">
        <w:rPr>
          <w:rFonts w:ascii="Tw Cen MT" w:hAnsi="Tw Cen MT" w:cs="Times New Roman"/>
          <w:sz w:val="24"/>
          <w:szCs w:val="24"/>
          <w:vertAlign w:val="superscript"/>
        </w:rPr>
        <w:fldChar w:fldCharType="separate"/>
      </w:r>
      <w:r w:rsidR="007812CD" w:rsidRPr="007812CD">
        <w:rPr>
          <w:rFonts w:ascii="Tw Cen MT" w:hAnsi="Tw Cen MT" w:cs="Times New Roman"/>
          <w:noProof/>
          <w:sz w:val="24"/>
          <w:szCs w:val="24"/>
        </w:rPr>
        <w:t>[2]</w:t>
      </w:r>
      <w:r w:rsidRPr="00220E74">
        <w:rPr>
          <w:rFonts w:ascii="Tw Cen MT" w:hAnsi="Tw Cen MT" w:cs="Times New Roman"/>
          <w:sz w:val="24"/>
          <w:szCs w:val="24"/>
          <w:vertAlign w:val="superscript"/>
        </w:rPr>
        <w:fldChar w:fldCharType="end"/>
      </w:r>
      <w:r w:rsidRPr="00220E74">
        <w:rPr>
          <w:rFonts w:ascii="Tw Cen MT" w:hAnsi="Tw Cen MT" w:cs="Times New Roman"/>
          <w:sz w:val="24"/>
          <w:szCs w:val="24"/>
        </w:rPr>
        <w:t>.  Kondisi ini dapat mengakibatkan terjadinya penurunan aktivitas fungsional pada ibu hamil. Adanya nyeri dan spasme otot akan mengakibatkan ibu hamil takut menggunakan otot punggungnya untuk melakukan gerakan-gerakan yang akan memicu terjadinya nyeri, sehingga akan mengakibatkan perubahan fisiologis pada otot tersebut, seperti atropi dan menurunnya kekuatan otot, akhirnya ibu hamil tersebut akan mengalami penurunan tingkat aktivitas  fungsional. Penurunan kemampuan fungsional yang terjadi merupakan suatu reaksi hilangnya mobilitas lingkup gerak sendi yang menyebabkan timbulnya nyeri sebelum dapat mencapai gerakan akhir secara penuh</w:t>
      </w:r>
      <w:r w:rsidRPr="00220E74">
        <w:rPr>
          <w:rFonts w:ascii="Tw Cen MT" w:hAnsi="Tw Cen MT" w:cs="Times New Roman"/>
          <w:sz w:val="24"/>
          <w:szCs w:val="24"/>
          <w:vertAlign w:val="superscript"/>
        </w:rPr>
        <w:t xml:space="preserve"> </w:t>
      </w:r>
      <w:r w:rsidRPr="00220E74">
        <w:rPr>
          <w:rFonts w:ascii="Tw Cen MT" w:hAnsi="Tw Cen MT" w:cs="Times New Roman"/>
          <w:sz w:val="24"/>
          <w:szCs w:val="24"/>
          <w:vertAlign w:val="superscript"/>
        </w:rPr>
        <w:fldChar w:fldCharType="begin" w:fldLock="1"/>
      </w:r>
      <w:r w:rsidR="00802B46">
        <w:rPr>
          <w:rFonts w:ascii="Tw Cen MT" w:hAnsi="Tw Cen MT" w:cs="Times New Roman"/>
          <w:sz w:val="24"/>
          <w:szCs w:val="24"/>
          <w:vertAlign w:val="superscript"/>
        </w:rPr>
        <w:instrText>ADDIN CSL_CITATION {"citationItems":[{"id":"ITEM-1","itemData":{"DOI":"10.1016/j.pmn.2020.05.001","ISSN":"15249042","PMID":"32571670","abstract":"Background: Low back pain is a common problem experienced during pregnancy, negatively affecting quality of life. Aims: The study aimed to determine the prevalence and risk factors of low back pain during pregnancy and its effects on the quality of life. Design: This was a descriptive and cross-sectional study. Settings: Its setting was the Kastamonu State Hospital Obstetrics and Gynecology clinics. Participants/Subjects: The study consisted of 400 pregnant women. Methods: The sample consisted of 400 pregnant women. Data were collected using an introductory information form, a back pain evaluation form, the Visual Analog Scale (VAS), and the Oswestry Disability Index (ODI). Results: In terms of back pain, 75.3% of the participants experienced back pain during their current pregnancy. The mean VAS score for back pain during their current pregnancy was 4.91±1.88. Low back pain was generally experienced in the third trimester (85.5%) and in the lumbar area (45.5%). Factors associated with low back pain included income status, trimester, gestational weight gain, frequent urinary tract infections, a hunchback posture, having experienced low back pain during previous pregnancies, and a history of low back pain. The mean percentage score on the ODI, which assesses the effect of low back pain on functional status, was 31.87% ± 15.56%, and for the majority of the participants (45.7%), low back pain was found to slightly limit their activities of daily living. Conclusions: The prevalence of low back pain in pregnancy is quite high, and low back pain slightly limits women's activities of daily living.","author":[{"dropping</w:instrText>
      </w:r>
      <w:r w:rsidR="00802B46">
        <w:rPr>
          <w:rFonts w:ascii="Tw Cen MT" w:hAnsi="Tw Cen MT" w:cs="Times New Roman" w:hint="eastAsia"/>
          <w:sz w:val="24"/>
          <w:szCs w:val="24"/>
          <w:vertAlign w:val="superscript"/>
        </w:rPr>
        <w:instrText>-particle":"","family":"Berber","given":"Münevver Aybüke","non-dropping-particle":"","parse-names":false,"suffix":""},{"dropping-particle":"","family":"Satılmış","given":"</w:instrText>
      </w:r>
      <w:r w:rsidR="00802B46">
        <w:rPr>
          <w:sz w:val="24"/>
          <w:szCs w:val="24"/>
          <w:vertAlign w:val="superscript"/>
        </w:rPr>
        <w:instrText>İ</w:instrText>
      </w:r>
      <w:r w:rsidR="00802B46">
        <w:rPr>
          <w:rFonts w:ascii="Tw Cen MT" w:hAnsi="Tw Cen MT" w:cs="Times New Roman" w:hint="eastAsia"/>
          <w:sz w:val="24"/>
          <w:szCs w:val="24"/>
          <w:vertAlign w:val="superscript"/>
        </w:rPr>
        <w:instrText>lkay G</w:instrText>
      </w:r>
      <w:r w:rsidR="00802B46">
        <w:rPr>
          <w:rFonts w:ascii="Tw Cen MT" w:hAnsi="Tw Cen MT" w:cs="Tw Cen MT"/>
          <w:sz w:val="24"/>
          <w:szCs w:val="24"/>
          <w:vertAlign w:val="superscript"/>
        </w:rPr>
        <w:instrText>ü</w:instrText>
      </w:r>
      <w:r w:rsidR="00802B46">
        <w:rPr>
          <w:rFonts w:ascii="Tw Cen MT" w:hAnsi="Tw Cen MT" w:cs="Times New Roman" w:hint="eastAsia"/>
          <w:sz w:val="24"/>
          <w:szCs w:val="24"/>
          <w:vertAlign w:val="superscript"/>
        </w:rPr>
        <w:instrText>ng</w:instrText>
      </w:r>
      <w:r w:rsidR="00802B46">
        <w:rPr>
          <w:rFonts w:ascii="Tw Cen MT" w:hAnsi="Tw Cen MT" w:cs="Tw Cen MT"/>
          <w:sz w:val="24"/>
          <w:szCs w:val="24"/>
          <w:vertAlign w:val="superscript"/>
        </w:rPr>
        <w:instrText>ö</w:instrText>
      </w:r>
      <w:r w:rsidR="00802B46">
        <w:rPr>
          <w:rFonts w:ascii="Tw Cen MT" w:hAnsi="Tw Cen MT" w:cs="Times New Roman" w:hint="eastAsia"/>
          <w:sz w:val="24"/>
          <w:szCs w:val="24"/>
          <w:vertAlign w:val="superscript"/>
        </w:rPr>
        <w:instrText>r","non-dropping-particle":"","parse-names":false,"suffix":""}],"containe</w:instrText>
      </w:r>
      <w:r w:rsidR="00802B46">
        <w:rPr>
          <w:rFonts w:ascii="Tw Cen MT" w:hAnsi="Tw Cen MT" w:cs="Times New Roman"/>
          <w:sz w:val="24"/>
          <w:szCs w:val="24"/>
          <w:vertAlign w:val="superscript"/>
        </w:rPr>
        <w:instrText>r-title":"Pain Management Nursing","id":"ITEM-1","issue":"6","issued":{"date-parts":[["2020"]]},"page":"579-586","title":"Characteristics of Low Back Pain in Pregnancy, Risk Factors, and Its Effects on Quality of Life","type":"article-journal","volume":"21"},"uris":["http://www.mendeley.com/documents/?uuid=b0a81d2a-d70c-4cc6-9ea4-0b0acb49dc57"]}],"mendeley":{"formattedCitation":"[3]","plainTextFormattedCitation":"[3]","previouslyFormattedCitation":"[3]"},"properties":{"noteIndex":0},"schema":"https://github.com/citation-style-language/schema/raw/master/csl-citation.json"}</w:instrText>
      </w:r>
      <w:r w:rsidRPr="00220E74">
        <w:rPr>
          <w:rFonts w:ascii="Tw Cen MT" w:hAnsi="Tw Cen MT" w:cs="Times New Roman"/>
          <w:sz w:val="24"/>
          <w:szCs w:val="24"/>
          <w:vertAlign w:val="superscript"/>
        </w:rPr>
        <w:fldChar w:fldCharType="separate"/>
      </w:r>
      <w:r w:rsidR="007812CD" w:rsidRPr="007812CD">
        <w:rPr>
          <w:rFonts w:ascii="Tw Cen MT" w:hAnsi="Tw Cen MT" w:cs="Times New Roman"/>
          <w:noProof/>
          <w:sz w:val="24"/>
          <w:szCs w:val="24"/>
        </w:rPr>
        <w:t>[3]</w:t>
      </w:r>
      <w:r w:rsidRPr="00220E74">
        <w:rPr>
          <w:rFonts w:ascii="Tw Cen MT" w:hAnsi="Tw Cen MT" w:cs="Times New Roman"/>
          <w:sz w:val="24"/>
          <w:szCs w:val="24"/>
          <w:vertAlign w:val="superscript"/>
        </w:rPr>
        <w:fldChar w:fldCharType="end"/>
      </w:r>
      <w:r w:rsidRPr="00220E74">
        <w:rPr>
          <w:rFonts w:ascii="Tw Cen MT" w:hAnsi="Tw Cen MT" w:cs="Times New Roman"/>
          <w:sz w:val="24"/>
          <w:szCs w:val="24"/>
        </w:rPr>
        <w:t>.</w:t>
      </w:r>
    </w:p>
    <w:p w14:paraId="54DB2C9D" w14:textId="7B6B9DDF" w:rsidR="00220E74" w:rsidRPr="00220E74" w:rsidRDefault="00220E74" w:rsidP="007812CD">
      <w:pPr>
        <w:autoSpaceDE w:val="0"/>
        <w:autoSpaceDN w:val="0"/>
        <w:adjustRightInd w:val="0"/>
        <w:spacing w:after="0" w:line="240" w:lineRule="auto"/>
        <w:ind w:firstLine="426"/>
        <w:jc w:val="both"/>
        <w:rPr>
          <w:rFonts w:ascii="Tw Cen MT" w:hAnsi="Tw Cen MT" w:cs="Times New Roman"/>
          <w:sz w:val="24"/>
          <w:szCs w:val="24"/>
        </w:rPr>
      </w:pPr>
      <w:r w:rsidRPr="00220E74">
        <w:rPr>
          <w:rFonts w:ascii="Tw Cen MT" w:hAnsi="Tw Cen MT" w:cs="Times New Roman"/>
          <w:sz w:val="24"/>
          <w:szCs w:val="24"/>
        </w:rPr>
        <w:t xml:space="preserve">Modalitas fisioterapi yang dapat dipakai dalam peningkatan kemampuan fungsional pada ibu hamil dengan kondisi NPB sangat beragam. Modalitas yang akan digunakan pada penelitian ini adalah senam hamil dan modifikasi senam hamil dengan </w:t>
      </w:r>
      <w:r w:rsidRPr="00220E74">
        <w:rPr>
          <w:rFonts w:ascii="Tw Cen MT" w:hAnsi="Tw Cen MT" w:cs="Times New Roman"/>
          <w:i/>
          <w:sz w:val="24"/>
          <w:szCs w:val="24"/>
        </w:rPr>
        <w:t>gym ball</w:t>
      </w:r>
      <w:r w:rsidRPr="00220E74">
        <w:rPr>
          <w:rFonts w:ascii="Tw Cen MT" w:hAnsi="Tw Cen MT" w:cs="Times New Roman"/>
          <w:sz w:val="24"/>
          <w:szCs w:val="24"/>
        </w:rPr>
        <w:t>.</w:t>
      </w:r>
    </w:p>
    <w:p w14:paraId="5B359F6B" w14:textId="77777777" w:rsidR="007812CD" w:rsidRDefault="00220E74" w:rsidP="00220E74">
      <w:pPr>
        <w:spacing w:after="0" w:line="240" w:lineRule="auto"/>
        <w:ind w:firstLine="426"/>
        <w:jc w:val="both"/>
        <w:rPr>
          <w:rFonts w:ascii="Tw Cen MT" w:hAnsi="Tw Cen MT" w:cs="Times New Roman"/>
          <w:sz w:val="24"/>
          <w:szCs w:val="24"/>
        </w:rPr>
      </w:pPr>
      <w:r w:rsidRPr="00220E74">
        <w:rPr>
          <w:rFonts w:ascii="Tw Cen MT" w:hAnsi="Tw Cen MT" w:cs="Times New Roman"/>
          <w:sz w:val="24"/>
          <w:szCs w:val="24"/>
        </w:rPr>
        <w:t xml:space="preserve">Senam Hamil merupakan pelayanan prenatal efektif untuk menurunkan kecemasan ibu hamil dalam menghadapi persalinan pertama dan efektif untuk menurunkan nyeri </w:t>
      </w:r>
    </w:p>
    <w:p w14:paraId="1712F63A" w14:textId="77777777" w:rsidR="007812CD" w:rsidRDefault="007812CD" w:rsidP="00220E74">
      <w:pPr>
        <w:spacing w:after="0" w:line="240" w:lineRule="auto"/>
        <w:ind w:firstLine="426"/>
        <w:jc w:val="both"/>
        <w:rPr>
          <w:rFonts w:ascii="Tw Cen MT" w:hAnsi="Tw Cen MT" w:cs="Times New Roman"/>
          <w:sz w:val="24"/>
          <w:szCs w:val="24"/>
        </w:rPr>
      </w:pPr>
    </w:p>
    <w:p w14:paraId="29214EFE" w14:textId="29AAE8E0" w:rsidR="00220E74" w:rsidRPr="00220E74" w:rsidRDefault="00220E74" w:rsidP="007812CD">
      <w:pPr>
        <w:spacing w:after="0" w:line="240" w:lineRule="auto"/>
        <w:jc w:val="both"/>
        <w:rPr>
          <w:rFonts w:ascii="Tw Cen MT" w:hAnsi="Tw Cen MT" w:cs="Times New Roman"/>
          <w:sz w:val="24"/>
          <w:szCs w:val="24"/>
        </w:rPr>
      </w:pPr>
      <w:r w:rsidRPr="00220E74">
        <w:rPr>
          <w:rFonts w:ascii="Tw Cen MT" w:hAnsi="Tw Cen MT" w:cs="Times New Roman"/>
          <w:sz w:val="24"/>
          <w:szCs w:val="24"/>
        </w:rPr>
        <w:t>punggung pada trimester ke tiga</w:t>
      </w:r>
      <w:r w:rsidRPr="00220E74">
        <w:rPr>
          <w:rFonts w:ascii="Tw Cen MT" w:hAnsi="Tw Cen MT" w:cs="Times New Roman"/>
          <w:sz w:val="24"/>
          <w:szCs w:val="24"/>
          <w:vertAlign w:val="superscript"/>
        </w:rPr>
        <w:t xml:space="preserve"> </w:t>
      </w:r>
      <w:r w:rsidRPr="00220E74">
        <w:rPr>
          <w:rFonts w:ascii="Tw Cen MT" w:hAnsi="Tw Cen MT" w:cs="Times New Roman"/>
          <w:sz w:val="24"/>
          <w:szCs w:val="24"/>
          <w:vertAlign w:val="superscript"/>
        </w:rPr>
        <w:fldChar w:fldCharType="begin" w:fldLock="1"/>
      </w:r>
      <w:r w:rsidR="00802B46">
        <w:rPr>
          <w:rFonts w:ascii="Tw Cen MT" w:hAnsi="Tw Cen MT" w:cs="Times New Roman"/>
          <w:sz w:val="24"/>
          <w:szCs w:val="24"/>
          <w:vertAlign w:val="superscript"/>
        </w:rPr>
        <w:instrText>ADDIN CSL_CITATION {"citationItems":[{"id":"ITEM-1","itemData":{"DOI":"10.56260/sciena.v1i3.47","abstract":"Background : Low Back Pain is pain in the lower back which is a sign of disorder that causes a state of discomfort in performing daily activities and is felt in the anatomical area, especially in the fifth lumbal and sacral area. Low Back Pain will increase as gestational ages. This discomfort begins between the fifth and seventh months of pregnancy. Purpose : To find the relationship between body mass index in the third trimester of pregnancy with Low Back Pain incidence. Method : This research is an observational analytical research with cross-sectional approach. The population of this research is pregnant women in the third trimester who visited poly Obstetrics and Gynecology Hermina Padang Hospital with 77 samples by using consecutive sampling technique. Data analysis uses univariate and bivariate analysis with data processing using the computerized SPSS 23.0 version. Results : The most age were 26-35 years which is 44 people (57,1%), the most likely respondents were those who did not work which is 48 people (62,3%), and the most respondents gestational age is &gt; 36 weeks that is 40 people (51,9 %). The average body weight of the respondent is 65.8277 kg with a minimum body weight 51.51 kg and maximum 80.40 kg. The average height of respondent is 157.99 cm with a minimum height 148 cm and maximum 170 cm. The majority of respondents with an overweight body mass index were 50 people (64,9%), the highest level of LBP pain is 2 (a little pain) which is 26 people (33,8%), with respondents experienced LBP of 61 people (79,2%). Based on the bivariate analysis, it is known that there is a relationship between body mass index in the third trimester of pregnancy with Low Back Pain incidence (p=0.022). Conclusion : The third trimester of pregnant women, the most age is early adulthood (26-35 yars), with the most work is not working, and the most gestational age &gt;36 weeks. The average body weight of the respondent is 65.8277 kg and the average height of the respondent is 157.99cm, the most body mass index is overweight, the highest level of LBP pain is 2 (a little pain), and in the third trimester pregnant women experience the most LBP incidence is yes and there is a relationship between body mass index in the third trimester of pregnancy with low back pain incidence.","author":[{"dropping-particle":"","family":"Henky","given":"Jefri","non-dropping-particle":"","parse-names":false,"suffix":""},{"dropping-particle":"","family":"Efriza","given":"","non-dropping-particle":"","parse-names":false,"suffix":""},{"dropping-particle":"","family":"Aprillia","given":"","non-dropping-particle":"","parse-names":false,"suffix":""}],"container-title":"Scientific Journal","id":"ITEM-1","issue":"3","issued":{"date-parts":[["2022"]]},"page":"208-219","title":"The Relationship of Body Mass Index In Third Trimester of Pregnancy With Low Back Pain Incidence","type":"article-journal","volume":"1"},"uris":["http://www.mendeley.com/documents/?uuid=f426fe6f-137f-47a9-b0d4-843f2363b96a"]}],"mendeley":{"formattedCitation":"[4]","plainTextFormattedCitation":"[4]","previouslyFormattedCitation":"[4]"},"properties":{"noteIndex":0},"schema":"https://github.com/citation-style-language/schema/raw/master/csl-citation.json"}</w:instrText>
      </w:r>
      <w:r w:rsidRPr="00220E74">
        <w:rPr>
          <w:rFonts w:ascii="Tw Cen MT" w:hAnsi="Tw Cen MT" w:cs="Times New Roman"/>
          <w:sz w:val="24"/>
          <w:szCs w:val="24"/>
          <w:vertAlign w:val="superscript"/>
        </w:rPr>
        <w:fldChar w:fldCharType="separate"/>
      </w:r>
      <w:r w:rsidR="007812CD" w:rsidRPr="007812CD">
        <w:rPr>
          <w:rFonts w:ascii="Tw Cen MT" w:hAnsi="Tw Cen MT" w:cs="Times New Roman"/>
          <w:noProof/>
          <w:sz w:val="24"/>
          <w:szCs w:val="24"/>
        </w:rPr>
        <w:t>[4]</w:t>
      </w:r>
      <w:r w:rsidRPr="00220E74">
        <w:rPr>
          <w:rFonts w:ascii="Tw Cen MT" w:hAnsi="Tw Cen MT" w:cs="Times New Roman"/>
          <w:sz w:val="24"/>
          <w:szCs w:val="24"/>
          <w:vertAlign w:val="superscript"/>
        </w:rPr>
        <w:fldChar w:fldCharType="end"/>
      </w:r>
      <w:r w:rsidRPr="00220E74">
        <w:rPr>
          <w:rFonts w:ascii="Tw Cen MT" w:hAnsi="Tw Cen MT" w:cs="Times New Roman"/>
          <w:sz w:val="24"/>
          <w:szCs w:val="24"/>
        </w:rPr>
        <w:t>. Senam hamil konvensional merupakan senam yang umum yang digunakan di rumah sakit, Puskesmas, dan layanan kesehatan lainnya yang diberikan kepada ibu hamil yang terdiri dari pemanasan, latihan kebugaran, latihan penguatan dan peregangan, dan latihan relaksasi.</w:t>
      </w:r>
    </w:p>
    <w:p w14:paraId="6D698075" w14:textId="3F2FF419" w:rsidR="00220E74" w:rsidRDefault="00220E74" w:rsidP="00220E74">
      <w:pPr>
        <w:spacing w:after="0" w:line="240" w:lineRule="auto"/>
        <w:ind w:firstLine="720"/>
        <w:jc w:val="both"/>
        <w:rPr>
          <w:rFonts w:ascii="Tw Cen MT" w:hAnsi="Tw Cen MT" w:cs="Times New Roman"/>
          <w:sz w:val="24"/>
          <w:szCs w:val="24"/>
        </w:rPr>
      </w:pPr>
      <w:r w:rsidRPr="00220E74">
        <w:rPr>
          <w:rFonts w:ascii="Tw Cen MT" w:hAnsi="Tw Cen MT" w:cs="Times New Roman"/>
          <w:i/>
          <w:sz w:val="24"/>
          <w:szCs w:val="24"/>
        </w:rPr>
        <w:t xml:space="preserve">Gym ball </w:t>
      </w:r>
      <w:r w:rsidRPr="00220E74">
        <w:rPr>
          <w:rFonts w:ascii="Tw Cen MT" w:hAnsi="Tw Cen MT" w:cs="Times New Roman"/>
          <w:sz w:val="24"/>
          <w:szCs w:val="24"/>
        </w:rPr>
        <w:t xml:space="preserve">adalah bola besar yang terbuat dari plastik lunak dan diisi dengan udara dengan diameter 35-85 cm. </w:t>
      </w:r>
      <w:r w:rsidRPr="00220E74">
        <w:rPr>
          <w:rFonts w:ascii="Tw Cen MT" w:hAnsi="Tw Cen MT" w:cs="Times New Roman"/>
          <w:i/>
          <w:sz w:val="24"/>
          <w:szCs w:val="24"/>
        </w:rPr>
        <w:t>Gym ball</w:t>
      </w:r>
      <w:r w:rsidRPr="00220E74">
        <w:rPr>
          <w:rFonts w:ascii="Tw Cen MT" w:hAnsi="Tw Cen MT" w:cs="Times New Roman"/>
          <w:sz w:val="24"/>
          <w:szCs w:val="24"/>
        </w:rPr>
        <w:t xml:space="preserve"> bisa digunakan sepanjang kehamilan persalinan dan pasca persalinan. </w:t>
      </w:r>
      <w:r w:rsidRPr="00220E74">
        <w:rPr>
          <w:rFonts w:ascii="Tw Cen MT" w:hAnsi="Tw Cen MT" w:cs="Times New Roman"/>
          <w:i/>
          <w:sz w:val="24"/>
          <w:szCs w:val="24"/>
        </w:rPr>
        <w:t>Gym ball</w:t>
      </w:r>
      <w:r w:rsidRPr="00220E74">
        <w:rPr>
          <w:rFonts w:ascii="Tw Cen MT" w:hAnsi="Tw Cen MT" w:cs="Times New Roman"/>
          <w:sz w:val="24"/>
          <w:szCs w:val="24"/>
        </w:rPr>
        <w:t xml:space="preserve"> efektif mengaktivasi otot </w:t>
      </w:r>
      <w:r w:rsidRPr="00220E74">
        <w:rPr>
          <w:rFonts w:ascii="Tw Cen MT" w:hAnsi="Tw Cen MT" w:cs="Times New Roman"/>
          <w:i/>
          <w:sz w:val="24"/>
          <w:szCs w:val="24"/>
        </w:rPr>
        <w:t>core</w:t>
      </w:r>
      <w:r w:rsidRPr="00220E74">
        <w:rPr>
          <w:rFonts w:ascii="Tw Cen MT" w:hAnsi="Tw Cen MT" w:cs="Times New Roman"/>
          <w:sz w:val="24"/>
          <w:szCs w:val="24"/>
        </w:rPr>
        <w:t xml:space="preserve"> yang berfungsi sebagai otot stabilisator tulang belakang sehingga akan membuat otot global yang tadinya spasme menjadi rileks. Latihan dengan modifikasi senam hamil dengan </w:t>
      </w:r>
      <w:r w:rsidRPr="00220E74">
        <w:rPr>
          <w:rFonts w:ascii="Tw Cen MT" w:hAnsi="Tw Cen MT" w:cs="Times New Roman"/>
          <w:i/>
          <w:sz w:val="24"/>
          <w:szCs w:val="24"/>
        </w:rPr>
        <w:t>gym ball</w:t>
      </w:r>
      <w:r w:rsidRPr="00220E74">
        <w:rPr>
          <w:rFonts w:ascii="Tw Cen MT" w:hAnsi="Tw Cen MT" w:cs="Times New Roman"/>
          <w:sz w:val="24"/>
          <w:szCs w:val="24"/>
        </w:rPr>
        <w:t xml:space="preserve"> selama kehamilan memiliki banyak manfaat terutama pada postur tubuh dan dinamika pernafasan, serta memperkuat otot panggul</w:t>
      </w:r>
      <w:r w:rsidRPr="00220E74">
        <w:rPr>
          <w:rFonts w:ascii="Tw Cen MT" w:hAnsi="Tw Cen MT" w:cs="Times New Roman"/>
          <w:sz w:val="24"/>
          <w:szCs w:val="24"/>
          <w:vertAlign w:val="superscript"/>
        </w:rPr>
        <w:t xml:space="preserve"> </w:t>
      </w:r>
      <w:r w:rsidRPr="00220E74">
        <w:rPr>
          <w:rFonts w:ascii="Tw Cen MT" w:hAnsi="Tw Cen MT" w:cs="Times New Roman"/>
          <w:sz w:val="24"/>
          <w:szCs w:val="24"/>
          <w:vertAlign w:val="superscript"/>
        </w:rPr>
        <w:fldChar w:fldCharType="begin" w:fldLock="1"/>
      </w:r>
      <w:r w:rsidR="00802B46">
        <w:rPr>
          <w:rFonts w:ascii="Tw Cen MT" w:hAnsi="Tw Cen MT" w:cs="Times New Roman"/>
          <w:sz w:val="24"/>
          <w:szCs w:val="24"/>
          <w:vertAlign w:val="superscript"/>
        </w:rPr>
        <w:instrText>ADDIN CSL_CITATION {"citationItems":[{"id":"ITEM-1","itemData":{"DOI":"10.52221/nuri","ISBN":"6282115778614","abstract":"Introduction: The average third-trimester pregnant woman often experiences lower back pain and it is caused by a shift in the woman's center of gravity and her posture becoming increasingly lordotic due to the growing weight of the uterus, excessive bending, walking without rest, and lifting weights. Pregnancy exercise with a ball or gym ball is an effective way to reduce back pain during the third trimester of pregnancy. In addition to reducing pain during pregnancy and childbirth, the gym ball can also accelerate labor in primigravida and increase the effectiveness of sleep in third-trimester pregnant women. Objective: This literature review was conducted to find references related to the Gym Ball in reducing low back pain, labor pain, and labor progress. Method: This literature review was conducted using the PRISMA method (Preferred Reporting Items for Systematic and Meta-Analyses). Result: Based on the articles that have been analyzed, it can be determined that using the gym ball can reduce lower back pain in the third trimester, ease labor pain, and accelerate the progress of labor in primigravida mothers. Conclusion: The gym ball can provide relaxation to the muscles so that it can reduce pain in the back, reduce labor pain, accelerate labor, and improve the mother's sleep quality. Referring to that, it is suggested that all health facilities be able to provide gym ball services, which are given to pregnant women since the third trimester as one of the preparatory activities for childbirth.","author":[{"dropping-particle":"","family":"C","given":"","non-dropping-particle":"","parse-names":false,"suffix":""},{"dropping-particle":"","family":"Author","given":"Correspondence","non-dropping-particle":"","parse-names":false,"suffix":""}],"id":"ITEM-1","issue":"01","issued":{"date-parts":[["2023"]]},"page":"30-36","title":"01 Page. 30-36 ISSN","type":"article-journal","volume":"01"},"uris":["http://www.mendeley.com/documents/?uuid=aa0c05cb-9957-4521-a1ba-357862ffdcba"]}],"mendeley":{"formattedCitation":"[5]","plainTextFormattedCitation":"[5]","previouslyFormattedCitation":"[5]"},"properties":{"noteIndex":0},"schema":"https://github.com/citation-style-language/schema/raw/master/csl-citation.json"}</w:instrText>
      </w:r>
      <w:r w:rsidRPr="00220E74">
        <w:rPr>
          <w:rFonts w:ascii="Tw Cen MT" w:hAnsi="Tw Cen MT" w:cs="Times New Roman"/>
          <w:sz w:val="24"/>
          <w:szCs w:val="24"/>
          <w:vertAlign w:val="superscript"/>
        </w:rPr>
        <w:fldChar w:fldCharType="separate"/>
      </w:r>
      <w:r w:rsidR="007812CD" w:rsidRPr="007812CD">
        <w:rPr>
          <w:rFonts w:ascii="Tw Cen MT" w:hAnsi="Tw Cen MT" w:cs="Times New Roman"/>
          <w:noProof/>
          <w:sz w:val="24"/>
          <w:szCs w:val="24"/>
        </w:rPr>
        <w:t>[5]</w:t>
      </w:r>
      <w:r w:rsidRPr="00220E74">
        <w:rPr>
          <w:rFonts w:ascii="Tw Cen MT" w:hAnsi="Tw Cen MT" w:cs="Times New Roman"/>
          <w:sz w:val="24"/>
          <w:szCs w:val="24"/>
          <w:vertAlign w:val="superscript"/>
        </w:rPr>
        <w:fldChar w:fldCharType="end"/>
      </w:r>
      <w:r w:rsidRPr="00220E74">
        <w:rPr>
          <w:rFonts w:ascii="Tw Cen MT" w:hAnsi="Tw Cen MT" w:cs="Times New Roman"/>
          <w:sz w:val="24"/>
          <w:szCs w:val="24"/>
        </w:rPr>
        <w:t>.</w:t>
      </w:r>
    </w:p>
    <w:p w14:paraId="162F04C9" w14:textId="77777777" w:rsidR="00220E74" w:rsidRPr="00220E74" w:rsidRDefault="00220E74" w:rsidP="00220E74">
      <w:pPr>
        <w:spacing w:after="0" w:line="240" w:lineRule="auto"/>
        <w:ind w:firstLine="720"/>
        <w:jc w:val="both"/>
        <w:rPr>
          <w:rFonts w:ascii="Tw Cen MT" w:hAnsi="Tw Cen MT" w:cs="Times New Roman"/>
          <w:sz w:val="24"/>
          <w:szCs w:val="24"/>
        </w:rPr>
      </w:pPr>
    </w:p>
    <w:p w14:paraId="56B9F7A6" w14:textId="77777777" w:rsidR="007106F6" w:rsidRPr="00220E74" w:rsidRDefault="007106F6" w:rsidP="00220E74">
      <w:pPr>
        <w:spacing w:after="0" w:line="240" w:lineRule="auto"/>
        <w:jc w:val="both"/>
        <w:rPr>
          <w:rFonts w:ascii="Tw Cen MT" w:eastAsia="Twentieth Century" w:hAnsi="Tw Cen MT" w:cs="Twentieth Century"/>
          <w:b/>
          <w:sz w:val="24"/>
          <w:szCs w:val="24"/>
        </w:rPr>
      </w:pPr>
      <w:r w:rsidRPr="00220E74">
        <w:rPr>
          <w:rFonts w:ascii="Tw Cen MT" w:eastAsia="Twentieth Century" w:hAnsi="Tw Cen MT" w:cs="Twentieth Century"/>
          <w:b/>
          <w:sz w:val="24"/>
          <w:szCs w:val="24"/>
        </w:rPr>
        <w:t xml:space="preserve">METODE </w:t>
      </w:r>
    </w:p>
    <w:p w14:paraId="056BAC82" w14:textId="30001502" w:rsidR="00220E74" w:rsidRPr="00220E74" w:rsidRDefault="00220E74" w:rsidP="00220E74">
      <w:pPr>
        <w:pStyle w:val="ListParagraph"/>
        <w:numPr>
          <w:ilvl w:val="0"/>
          <w:numId w:val="5"/>
        </w:numPr>
        <w:spacing w:after="0" w:line="240" w:lineRule="auto"/>
        <w:ind w:left="284" w:hanging="284"/>
        <w:jc w:val="both"/>
        <w:rPr>
          <w:rFonts w:ascii="Tw Cen MT" w:eastAsia="Twentieth Century" w:hAnsi="Tw Cen MT" w:cs="Twentieth Century"/>
          <w:b/>
          <w:sz w:val="24"/>
          <w:szCs w:val="24"/>
        </w:rPr>
      </w:pPr>
      <w:r w:rsidRPr="00220E74">
        <w:rPr>
          <w:rFonts w:ascii="Tw Cen MT" w:eastAsia="Twentieth Century" w:hAnsi="Tw Cen MT" w:cs="Twentieth Century"/>
          <w:b/>
          <w:sz w:val="24"/>
          <w:szCs w:val="24"/>
        </w:rPr>
        <w:t xml:space="preserve">Rancangan Penelitian </w:t>
      </w:r>
    </w:p>
    <w:p w14:paraId="201F6FA6" w14:textId="77777777" w:rsidR="00220E74" w:rsidRPr="00220E74" w:rsidRDefault="00220E74" w:rsidP="00220E74">
      <w:pPr>
        <w:spacing w:after="0" w:line="240" w:lineRule="auto"/>
        <w:ind w:firstLine="426"/>
        <w:jc w:val="both"/>
        <w:rPr>
          <w:rFonts w:ascii="Tw Cen MT" w:hAnsi="Tw Cen MT" w:cs="Times New Roman"/>
          <w:sz w:val="24"/>
          <w:szCs w:val="24"/>
        </w:rPr>
      </w:pPr>
      <w:r w:rsidRPr="00220E74">
        <w:rPr>
          <w:rFonts w:ascii="Tw Cen MT" w:hAnsi="Tw Cen MT" w:cs="Times New Roman"/>
          <w:sz w:val="24"/>
          <w:szCs w:val="24"/>
        </w:rPr>
        <w:t xml:space="preserve">Penelitian ini bersifat eksperimental dengan rancangan berupa </w:t>
      </w:r>
      <w:r w:rsidRPr="00220E74">
        <w:rPr>
          <w:rFonts w:ascii="Tw Cen MT" w:hAnsi="Tw Cen MT" w:cs="Times New Roman"/>
          <w:i/>
          <w:sz w:val="24"/>
          <w:szCs w:val="24"/>
        </w:rPr>
        <w:t>randomized pre and post</w:t>
      </w:r>
      <w:r w:rsidRPr="00220E74">
        <w:rPr>
          <w:rFonts w:ascii="Tw Cen MT" w:hAnsi="Tw Cen MT" w:cs="Times New Roman"/>
          <w:sz w:val="24"/>
          <w:szCs w:val="24"/>
        </w:rPr>
        <w:t xml:space="preserve"> group design. Masing-masing Kelompok terdiri dari 10 sampel. Kelompok perlakuan 1 diberikan intervensi modifikasi senam hamil dengan </w:t>
      </w:r>
      <w:r w:rsidRPr="00220E74">
        <w:rPr>
          <w:rFonts w:ascii="Tw Cen MT" w:hAnsi="Tw Cen MT" w:cs="Times New Roman"/>
          <w:i/>
          <w:sz w:val="24"/>
          <w:szCs w:val="24"/>
        </w:rPr>
        <w:t>gym</w:t>
      </w:r>
      <w:r w:rsidRPr="00220E74">
        <w:rPr>
          <w:rFonts w:ascii="Tw Cen MT" w:hAnsi="Tw Cen MT" w:cs="Times New Roman"/>
          <w:sz w:val="24"/>
          <w:szCs w:val="24"/>
        </w:rPr>
        <w:t xml:space="preserve"> </w:t>
      </w:r>
      <w:r w:rsidRPr="00220E74">
        <w:rPr>
          <w:rFonts w:ascii="Tw Cen MT" w:hAnsi="Tw Cen MT" w:cs="Times New Roman"/>
          <w:i/>
          <w:sz w:val="24"/>
          <w:szCs w:val="24"/>
        </w:rPr>
        <w:t>ball</w:t>
      </w:r>
      <w:r w:rsidRPr="00220E74">
        <w:rPr>
          <w:rFonts w:ascii="Tw Cen MT" w:hAnsi="Tw Cen MT" w:cs="Times New Roman"/>
          <w:sz w:val="24"/>
          <w:szCs w:val="24"/>
        </w:rPr>
        <w:t>, dan pada Kelompok 2 diberikan intervensi senam hamil konvensional.</w:t>
      </w:r>
    </w:p>
    <w:p w14:paraId="710AF876" w14:textId="77777777" w:rsidR="00220E74" w:rsidRPr="00220E74" w:rsidRDefault="00220E74" w:rsidP="00220E74">
      <w:pPr>
        <w:spacing w:after="0" w:line="240" w:lineRule="auto"/>
        <w:jc w:val="both"/>
        <w:rPr>
          <w:rFonts w:ascii="Tw Cen MT" w:hAnsi="Tw Cen MT" w:cs="Times New Roman"/>
          <w:b/>
          <w:sz w:val="24"/>
          <w:szCs w:val="24"/>
        </w:rPr>
      </w:pPr>
      <w:r w:rsidRPr="00220E74">
        <w:rPr>
          <w:rFonts w:ascii="Tw Cen MT" w:hAnsi="Tw Cen MT" w:cs="Times New Roman"/>
          <w:b/>
          <w:sz w:val="24"/>
          <w:szCs w:val="24"/>
        </w:rPr>
        <w:t>B. Tempat dan Waktu Penelitian</w:t>
      </w:r>
    </w:p>
    <w:p w14:paraId="4CEAB9CF" w14:textId="77777777" w:rsidR="00220E74" w:rsidRPr="00220E74" w:rsidRDefault="00220E74" w:rsidP="00220E74">
      <w:pPr>
        <w:spacing w:after="0" w:line="240" w:lineRule="auto"/>
        <w:jc w:val="both"/>
        <w:rPr>
          <w:rFonts w:ascii="Tw Cen MT" w:hAnsi="Tw Cen MT" w:cs="Times New Roman"/>
          <w:sz w:val="24"/>
          <w:szCs w:val="24"/>
        </w:rPr>
      </w:pPr>
      <w:r w:rsidRPr="00220E74">
        <w:rPr>
          <w:rFonts w:ascii="Tw Cen MT" w:hAnsi="Tw Cen MT" w:cs="Times New Roman"/>
          <w:sz w:val="24"/>
          <w:szCs w:val="24"/>
        </w:rPr>
        <w:tab/>
        <w:t>Tempat Penelitian ini adalah Puskesmas Sibulue, Kabupaten Bone, Provinsi Sulawesi selatan. Penelitian ini berlangsung selama tenggang waktu Maret - April 2024.</w:t>
      </w:r>
    </w:p>
    <w:p w14:paraId="63E70640" w14:textId="77777777" w:rsidR="00220E74" w:rsidRPr="00220E74" w:rsidRDefault="00220E74" w:rsidP="00220E74">
      <w:pPr>
        <w:spacing w:after="0" w:line="240" w:lineRule="auto"/>
        <w:jc w:val="both"/>
        <w:rPr>
          <w:rFonts w:ascii="Tw Cen MT" w:hAnsi="Tw Cen MT" w:cs="Times New Roman"/>
          <w:b/>
          <w:sz w:val="24"/>
          <w:szCs w:val="24"/>
        </w:rPr>
      </w:pPr>
      <w:r w:rsidRPr="00220E74">
        <w:rPr>
          <w:rFonts w:ascii="Tw Cen MT" w:hAnsi="Tw Cen MT" w:cs="Times New Roman"/>
          <w:b/>
          <w:sz w:val="24"/>
          <w:szCs w:val="24"/>
        </w:rPr>
        <w:t>C. Populasi dan Sampel</w:t>
      </w:r>
    </w:p>
    <w:p w14:paraId="30E7AD1A" w14:textId="77777777" w:rsidR="00220E74" w:rsidRPr="00220E74" w:rsidRDefault="00220E74" w:rsidP="00220E74">
      <w:pPr>
        <w:spacing w:after="0" w:line="240" w:lineRule="auto"/>
        <w:ind w:firstLine="426"/>
        <w:jc w:val="both"/>
        <w:rPr>
          <w:rFonts w:ascii="Tw Cen MT" w:hAnsi="Tw Cen MT"/>
          <w:sz w:val="24"/>
          <w:szCs w:val="24"/>
        </w:rPr>
      </w:pPr>
      <w:r w:rsidRPr="00220E74">
        <w:rPr>
          <w:rFonts w:ascii="Tw Cen MT" w:hAnsi="Tw Cen MT" w:cs="Times New Roman"/>
          <w:sz w:val="24"/>
          <w:szCs w:val="24"/>
        </w:rPr>
        <w:t>Populasi terjangkau pada penelitian ini adalah sejumlah ibu hamil yang datang berkunjung di Puskesmas Sibulue dengan keluhan NPB dan gangguan kemampuan</w:t>
      </w:r>
      <w:r w:rsidRPr="00220E74">
        <w:rPr>
          <w:rFonts w:ascii="Tw Cen MT" w:hAnsi="Tw Cen MT" w:cs="Times New Roman"/>
          <w:b/>
          <w:sz w:val="24"/>
          <w:szCs w:val="24"/>
        </w:rPr>
        <w:t xml:space="preserve"> </w:t>
      </w:r>
      <w:r w:rsidRPr="00220E74">
        <w:rPr>
          <w:rFonts w:ascii="Tw Cen MT" w:hAnsi="Tw Cen MT" w:cs="Times New Roman"/>
          <w:sz w:val="24"/>
          <w:szCs w:val="24"/>
        </w:rPr>
        <w:lastRenderedPageBreak/>
        <w:t>fungsional</w:t>
      </w:r>
      <w:r w:rsidRPr="00220E74">
        <w:rPr>
          <w:rFonts w:ascii="Tw Cen MT" w:hAnsi="Tw Cen MT" w:cs="Times New Roman"/>
          <w:b/>
          <w:sz w:val="24"/>
          <w:szCs w:val="24"/>
        </w:rPr>
        <w:t xml:space="preserve"> </w:t>
      </w:r>
      <w:r w:rsidRPr="00220E74">
        <w:rPr>
          <w:rFonts w:ascii="Tw Cen MT" w:hAnsi="Tw Cen MT" w:cs="Times New Roman"/>
          <w:sz w:val="24"/>
          <w:szCs w:val="24"/>
        </w:rPr>
        <w:t xml:space="preserve">selama penelitian, dengan kriteria inklusi usia kehamilan 23-37 minggu, </w:t>
      </w:r>
      <w:r w:rsidRPr="00220E74">
        <w:rPr>
          <w:rFonts w:ascii="Tw Cen MT" w:hAnsi="Tw Cen MT" w:cs="Times New Roman"/>
          <w:i/>
          <w:sz w:val="24"/>
          <w:szCs w:val="24"/>
        </w:rPr>
        <w:t>primigravida</w:t>
      </w:r>
      <w:r w:rsidRPr="00220E74">
        <w:rPr>
          <w:rFonts w:ascii="Tw Cen MT" w:hAnsi="Tw Cen MT" w:cs="Times New Roman"/>
          <w:sz w:val="24"/>
          <w:szCs w:val="24"/>
        </w:rPr>
        <w:t xml:space="preserve">, berusia antara 20-30 tahun, dan tidak memiliki riwayat abortus. Adapun kriteria eksklusi yaitu </w:t>
      </w:r>
      <w:r w:rsidRPr="00220E74">
        <w:rPr>
          <w:rFonts w:ascii="Tw Cen MT" w:hAnsi="Tw Cen MT"/>
          <w:sz w:val="24"/>
          <w:szCs w:val="24"/>
        </w:rPr>
        <w:t xml:space="preserve">ibu hamil dengan kondisi </w:t>
      </w:r>
      <w:r w:rsidRPr="00220E74">
        <w:rPr>
          <w:rFonts w:ascii="Tw Cen MT" w:hAnsi="Tw Cen MT"/>
          <w:i/>
          <w:sz w:val="24"/>
          <w:szCs w:val="24"/>
        </w:rPr>
        <w:t>nerve root syndrome</w:t>
      </w:r>
      <w:r w:rsidRPr="00220E74">
        <w:rPr>
          <w:rFonts w:ascii="Tw Cen MT" w:hAnsi="Tw Cen MT"/>
          <w:sz w:val="24"/>
          <w:szCs w:val="24"/>
        </w:rPr>
        <w:t xml:space="preserve">, </w:t>
      </w:r>
      <w:r w:rsidRPr="00220E74">
        <w:rPr>
          <w:rFonts w:ascii="Tw Cen MT" w:hAnsi="Tw Cen MT"/>
          <w:i/>
          <w:iCs/>
          <w:sz w:val="24"/>
          <w:szCs w:val="24"/>
        </w:rPr>
        <w:t>specific back</w:t>
      </w:r>
      <w:r w:rsidRPr="00220E74">
        <w:rPr>
          <w:rFonts w:ascii="Tw Cen MT" w:hAnsi="Tw Cen MT"/>
          <w:sz w:val="24"/>
          <w:szCs w:val="24"/>
        </w:rPr>
        <w:t xml:space="preserve"> </w:t>
      </w:r>
      <w:r w:rsidRPr="00220E74">
        <w:rPr>
          <w:rFonts w:ascii="Tw Cen MT" w:hAnsi="Tw Cen MT"/>
          <w:i/>
          <w:iCs/>
          <w:sz w:val="24"/>
          <w:szCs w:val="24"/>
        </w:rPr>
        <w:t>pain</w:t>
      </w:r>
      <w:r w:rsidRPr="00220E74">
        <w:rPr>
          <w:rFonts w:ascii="Tw Cen MT" w:hAnsi="Tw Cen MT"/>
          <w:i/>
          <w:sz w:val="24"/>
          <w:szCs w:val="24"/>
        </w:rPr>
        <w:t xml:space="preserve">, </w:t>
      </w:r>
      <w:r w:rsidRPr="00220E74">
        <w:rPr>
          <w:rFonts w:ascii="Tw Cen MT" w:hAnsi="Tw Cen MT"/>
          <w:sz w:val="24"/>
          <w:szCs w:val="24"/>
        </w:rPr>
        <w:t>kondisi NPB yang serius (</w:t>
      </w:r>
      <w:r w:rsidRPr="00220E74">
        <w:rPr>
          <w:rFonts w:ascii="Tw Cen MT" w:hAnsi="Tw Cen MT"/>
          <w:i/>
          <w:sz w:val="24"/>
          <w:szCs w:val="24"/>
        </w:rPr>
        <w:t>red flag</w:t>
      </w:r>
      <w:r w:rsidRPr="00220E74">
        <w:rPr>
          <w:rFonts w:ascii="Tw Cen MT" w:hAnsi="Tw Cen MT"/>
          <w:sz w:val="24"/>
          <w:szCs w:val="24"/>
        </w:rPr>
        <w:t xml:space="preserve">), memiliki kontra indikasi untuk melaksanakan senam hamil seperti ketuban pecah dini (KPD), riwayat perdarahan, preeklamsia, anemia, dan penurunan atau kelebihan berat badan secara drastis berdasarkan hasil pemeriksaan koordinator bidan atau dokter penanggung jawab. </w:t>
      </w:r>
    </w:p>
    <w:p w14:paraId="42E88ED8" w14:textId="77777777" w:rsidR="00220E74" w:rsidRPr="00220E74" w:rsidRDefault="00220E74" w:rsidP="00220E74">
      <w:pPr>
        <w:spacing w:after="0" w:line="240" w:lineRule="auto"/>
        <w:jc w:val="both"/>
        <w:rPr>
          <w:rFonts w:ascii="Tw Cen MT" w:hAnsi="Tw Cen MT" w:cs="Times New Roman"/>
          <w:b/>
          <w:sz w:val="24"/>
          <w:szCs w:val="24"/>
        </w:rPr>
      </w:pPr>
      <w:r w:rsidRPr="00220E74">
        <w:rPr>
          <w:rFonts w:ascii="Tw Cen MT" w:hAnsi="Tw Cen MT" w:cs="Times New Roman"/>
          <w:b/>
          <w:sz w:val="24"/>
          <w:szCs w:val="24"/>
        </w:rPr>
        <w:t xml:space="preserve">D. Prosedur Penelitian </w:t>
      </w:r>
    </w:p>
    <w:p w14:paraId="6EBCCA7C" w14:textId="77777777" w:rsidR="00220E74" w:rsidRPr="00220E74" w:rsidRDefault="00220E74" w:rsidP="00220E74">
      <w:pPr>
        <w:spacing w:after="0" w:line="240" w:lineRule="auto"/>
        <w:ind w:firstLine="426"/>
        <w:jc w:val="both"/>
        <w:rPr>
          <w:rFonts w:ascii="Tw Cen MT" w:hAnsi="Tw Cen MT" w:cs="Times New Roman"/>
          <w:sz w:val="24"/>
          <w:szCs w:val="24"/>
        </w:rPr>
      </w:pPr>
      <w:r w:rsidRPr="00220E74">
        <w:rPr>
          <w:rFonts w:ascii="Tw Cen MT" w:hAnsi="Tw Cen MT" w:cs="Times New Roman"/>
          <w:sz w:val="24"/>
          <w:szCs w:val="24"/>
        </w:rPr>
        <w:t xml:space="preserve">Sampel penelitian dibagi ke dalam 2 kelompok. Kelompok 1 diberikan intervensi modifikasi senam hamil dengan </w:t>
      </w:r>
      <w:r w:rsidRPr="00220E74">
        <w:rPr>
          <w:rFonts w:ascii="Tw Cen MT" w:hAnsi="Tw Cen MT" w:cs="Times New Roman"/>
          <w:i/>
          <w:sz w:val="24"/>
          <w:szCs w:val="24"/>
        </w:rPr>
        <w:t>gym ball</w:t>
      </w:r>
      <w:r w:rsidRPr="00220E74">
        <w:rPr>
          <w:rFonts w:ascii="Tw Cen MT" w:hAnsi="Tw Cen MT" w:cs="Times New Roman"/>
          <w:sz w:val="24"/>
          <w:szCs w:val="24"/>
        </w:rPr>
        <w:t xml:space="preserve">. Modifikasi senam hamil dan </w:t>
      </w:r>
      <w:r w:rsidRPr="00220E74">
        <w:rPr>
          <w:rFonts w:ascii="Tw Cen MT" w:hAnsi="Tw Cen MT" w:cs="Times New Roman"/>
          <w:i/>
          <w:sz w:val="24"/>
          <w:szCs w:val="24"/>
        </w:rPr>
        <w:t>gym ball</w:t>
      </w:r>
      <w:r w:rsidRPr="00220E74">
        <w:rPr>
          <w:rFonts w:ascii="Tw Cen MT" w:hAnsi="Tw Cen MT" w:cs="Times New Roman"/>
          <w:sz w:val="24"/>
          <w:szCs w:val="24"/>
        </w:rPr>
        <w:t xml:space="preserve"> diberikan 2 kali seminggu selama 4 minggu dengan intensitas 3 kali repetisi dan 8 kali hitungan. Pada kelompok 2 diberikan intervensi senam hamil konvensional dengan frekuensi 2 kali seminggu selama 4 minggu dengan intensitas 3 kali pengulangan dan 8 hitungan. Sebelum diberi perlakuan masing-masing kelompok terlebih dahulu dilakukan pengukuran kemampuan fungsional dengan menggunakan </w:t>
      </w:r>
      <w:r w:rsidRPr="00220E74">
        <w:rPr>
          <w:rFonts w:ascii="Tw Cen MT" w:hAnsi="Tw Cen MT" w:cs="Times New Roman"/>
          <w:i/>
          <w:sz w:val="24"/>
          <w:szCs w:val="24"/>
        </w:rPr>
        <w:t>Pain Disability Index</w:t>
      </w:r>
      <w:r w:rsidRPr="00220E74">
        <w:rPr>
          <w:rFonts w:ascii="Tw Cen MT" w:hAnsi="Tw Cen MT" w:cs="Times New Roman"/>
          <w:sz w:val="24"/>
          <w:szCs w:val="24"/>
        </w:rPr>
        <w:t xml:space="preserve"> (PDI). </w:t>
      </w:r>
    </w:p>
    <w:p w14:paraId="5BB0E4F7" w14:textId="77777777" w:rsidR="00220E74" w:rsidRPr="00220E74" w:rsidRDefault="00220E74" w:rsidP="00220E74">
      <w:pPr>
        <w:spacing w:after="0" w:line="240" w:lineRule="auto"/>
        <w:jc w:val="both"/>
        <w:rPr>
          <w:rFonts w:ascii="Tw Cen MT" w:hAnsi="Tw Cen MT" w:cs="Times New Roman"/>
          <w:b/>
          <w:sz w:val="24"/>
          <w:szCs w:val="24"/>
        </w:rPr>
      </w:pPr>
      <w:r w:rsidRPr="00220E74">
        <w:rPr>
          <w:rFonts w:ascii="Tw Cen MT" w:hAnsi="Tw Cen MT" w:cs="Times New Roman"/>
          <w:b/>
          <w:sz w:val="24"/>
          <w:szCs w:val="24"/>
        </w:rPr>
        <w:t>E. Analisis Data</w:t>
      </w:r>
    </w:p>
    <w:p w14:paraId="2C4CC38E" w14:textId="77777777" w:rsidR="00220E74" w:rsidRPr="00220E74" w:rsidRDefault="00220E74" w:rsidP="00220E74">
      <w:pPr>
        <w:spacing w:after="0" w:line="240" w:lineRule="auto"/>
        <w:ind w:firstLine="426"/>
        <w:jc w:val="both"/>
        <w:rPr>
          <w:rFonts w:ascii="Tw Cen MT" w:hAnsi="Tw Cen MT" w:cs="Times New Roman"/>
          <w:sz w:val="24"/>
          <w:szCs w:val="24"/>
        </w:rPr>
      </w:pPr>
      <w:r w:rsidRPr="00220E74">
        <w:rPr>
          <w:rFonts w:ascii="Tw Cen MT" w:hAnsi="Tw Cen MT" w:cs="Times New Roman"/>
          <w:sz w:val="24"/>
          <w:szCs w:val="24"/>
        </w:rPr>
        <w:t xml:space="preserve">Sebelum dilakukan uji statistik terlebih dahulu dilakukan uji normalitas dan homogenitas data. Uji normalitas data menggunakan </w:t>
      </w:r>
      <w:r w:rsidRPr="00220E74">
        <w:rPr>
          <w:rFonts w:ascii="Tw Cen MT" w:hAnsi="Tw Cen MT" w:cs="Times New Roman"/>
          <w:i/>
          <w:sz w:val="24"/>
          <w:szCs w:val="24"/>
        </w:rPr>
        <w:t>Shapiro Wilk Test</w:t>
      </w:r>
      <w:r w:rsidRPr="00220E74">
        <w:rPr>
          <w:rFonts w:ascii="Tw Cen MT" w:hAnsi="Tw Cen MT" w:cs="Times New Roman"/>
          <w:sz w:val="24"/>
          <w:szCs w:val="24"/>
        </w:rPr>
        <w:t xml:space="preserve"> didapatkan hasil p &gt; 0,05 maka data berdistribusi normal dan dilakukan uji parametrik. Uji homogenitas data menggunakan </w:t>
      </w:r>
      <w:r w:rsidRPr="00220E74">
        <w:rPr>
          <w:rFonts w:ascii="Tw Cen MT" w:hAnsi="Tw Cen MT" w:cs="Times New Roman"/>
          <w:i/>
          <w:sz w:val="24"/>
          <w:szCs w:val="24"/>
        </w:rPr>
        <w:t>Levene's test</w:t>
      </w:r>
      <w:r w:rsidRPr="00220E74">
        <w:rPr>
          <w:rFonts w:ascii="Tw Cen MT" w:hAnsi="Tw Cen MT" w:cs="Times New Roman"/>
          <w:sz w:val="24"/>
          <w:szCs w:val="24"/>
        </w:rPr>
        <w:t xml:space="preserve"> didapatkan nilai signifikan lebih besar dari 0,05 (p&gt;0,05) maka data bersifat homogen.</w:t>
      </w:r>
    </w:p>
    <w:p w14:paraId="17F6E0AD" w14:textId="77777777" w:rsidR="00220E74" w:rsidRPr="00220E74" w:rsidRDefault="00220E74" w:rsidP="00220E74">
      <w:pPr>
        <w:spacing w:after="0" w:line="240" w:lineRule="auto"/>
        <w:ind w:firstLine="426"/>
        <w:jc w:val="both"/>
        <w:rPr>
          <w:rFonts w:ascii="Tw Cen MT" w:hAnsi="Tw Cen MT" w:cs="Times New Roman"/>
          <w:sz w:val="24"/>
          <w:szCs w:val="24"/>
        </w:rPr>
      </w:pPr>
      <w:r w:rsidRPr="00220E74">
        <w:rPr>
          <w:rFonts w:ascii="Tw Cen MT" w:hAnsi="Tw Cen MT" w:cs="Times New Roman"/>
          <w:sz w:val="24"/>
          <w:szCs w:val="24"/>
        </w:rPr>
        <w:t xml:space="preserve">Uji parametrik menggunakan </w:t>
      </w:r>
      <w:r w:rsidRPr="00220E74">
        <w:rPr>
          <w:rFonts w:ascii="Tw Cen MT" w:hAnsi="Tw Cen MT" w:cs="Times New Roman"/>
          <w:i/>
          <w:sz w:val="24"/>
          <w:szCs w:val="24"/>
        </w:rPr>
        <w:t xml:space="preserve">paired sample t-test </w:t>
      </w:r>
      <w:r w:rsidRPr="00220E74">
        <w:rPr>
          <w:rFonts w:ascii="Tw Cen MT" w:hAnsi="Tw Cen MT" w:cs="Times New Roman"/>
          <w:sz w:val="24"/>
          <w:szCs w:val="24"/>
        </w:rPr>
        <w:t xml:space="preserve">dan </w:t>
      </w:r>
      <w:r w:rsidRPr="00220E74">
        <w:rPr>
          <w:rFonts w:ascii="Tw Cen MT" w:hAnsi="Tw Cen MT" w:cs="Times New Roman"/>
          <w:i/>
          <w:sz w:val="24"/>
          <w:szCs w:val="24"/>
        </w:rPr>
        <w:t>independent sample t-test</w:t>
      </w:r>
      <w:r w:rsidRPr="00220E74">
        <w:rPr>
          <w:rFonts w:ascii="Tw Cen MT" w:hAnsi="Tw Cen MT" w:cs="Times New Roman"/>
          <w:sz w:val="24"/>
          <w:szCs w:val="24"/>
        </w:rPr>
        <w:t xml:space="preserve">. Batas kemaknaan yang digunakan adalah </w:t>
      </w:r>
      <w:r w:rsidRPr="00220E74">
        <w:rPr>
          <w:rFonts w:ascii="Arial" w:hAnsi="Arial" w:cs="Arial"/>
          <w:sz w:val="24"/>
          <w:szCs w:val="24"/>
        </w:rPr>
        <w:t>ɑ</w:t>
      </w:r>
      <w:r w:rsidRPr="00220E74">
        <w:rPr>
          <w:rFonts w:ascii="Tw Cen MT" w:hAnsi="Tw Cen MT" w:cs="Times New Roman"/>
          <w:sz w:val="24"/>
          <w:szCs w:val="24"/>
        </w:rPr>
        <w:t xml:space="preserve"> = 0,05. </w:t>
      </w:r>
    </w:p>
    <w:p w14:paraId="6A2FB3A1" w14:textId="77777777" w:rsidR="004721E3" w:rsidRDefault="004721E3" w:rsidP="007106F6">
      <w:pPr>
        <w:tabs>
          <w:tab w:val="left" w:pos="426"/>
        </w:tabs>
        <w:spacing w:after="0"/>
        <w:jc w:val="both"/>
        <w:rPr>
          <w:rFonts w:ascii="Tw Cen MT" w:eastAsia="Twentieth Century" w:hAnsi="Tw Cen MT" w:cs="Twentieth Century"/>
          <w:sz w:val="24"/>
          <w:szCs w:val="24"/>
        </w:rPr>
      </w:pPr>
    </w:p>
    <w:p w14:paraId="68979DAA" w14:textId="77777777" w:rsidR="007812CD" w:rsidRDefault="007812CD" w:rsidP="007106F6">
      <w:pPr>
        <w:tabs>
          <w:tab w:val="left" w:pos="426"/>
        </w:tabs>
        <w:spacing w:after="0"/>
        <w:jc w:val="both"/>
        <w:rPr>
          <w:rFonts w:ascii="Tw Cen MT" w:eastAsia="Twentieth Century" w:hAnsi="Tw Cen MT" w:cs="Twentieth Century"/>
          <w:sz w:val="24"/>
          <w:szCs w:val="24"/>
        </w:rPr>
      </w:pPr>
    </w:p>
    <w:p w14:paraId="5BBF2F73" w14:textId="77777777" w:rsidR="007812CD" w:rsidRPr="0096335E" w:rsidRDefault="007812CD" w:rsidP="007106F6">
      <w:pPr>
        <w:tabs>
          <w:tab w:val="left" w:pos="426"/>
        </w:tabs>
        <w:spacing w:after="0"/>
        <w:jc w:val="both"/>
        <w:rPr>
          <w:rFonts w:ascii="Tw Cen MT" w:eastAsia="Twentieth Century" w:hAnsi="Tw Cen MT" w:cs="Twentieth Century"/>
          <w:sz w:val="24"/>
          <w:szCs w:val="24"/>
        </w:rPr>
      </w:pPr>
    </w:p>
    <w:p w14:paraId="73FB8D1E" w14:textId="77777777" w:rsidR="007106F6" w:rsidRPr="001664B3" w:rsidRDefault="007106F6" w:rsidP="007106F6">
      <w:pPr>
        <w:tabs>
          <w:tab w:val="left" w:pos="426"/>
        </w:tabs>
        <w:spacing w:after="0"/>
        <w:jc w:val="both"/>
        <w:rPr>
          <w:rFonts w:ascii="Tw Cen MT" w:eastAsia="Twentieth Century" w:hAnsi="Tw Cen MT" w:cs="Twentieth Century"/>
          <w:b/>
          <w:sz w:val="24"/>
          <w:szCs w:val="24"/>
        </w:rPr>
      </w:pPr>
      <w:r w:rsidRPr="001664B3">
        <w:rPr>
          <w:rFonts w:ascii="Tw Cen MT" w:eastAsia="Twentieth Century" w:hAnsi="Tw Cen MT" w:cs="Twentieth Century"/>
          <w:b/>
          <w:sz w:val="24"/>
          <w:szCs w:val="24"/>
        </w:rPr>
        <w:t>HASIL DAN PEMBAHASAN</w:t>
      </w:r>
    </w:p>
    <w:p w14:paraId="5C72CAFD" w14:textId="1C6024FB" w:rsidR="001664B3" w:rsidRPr="001664B3" w:rsidRDefault="001664B3" w:rsidP="007106F6">
      <w:pPr>
        <w:tabs>
          <w:tab w:val="left" w:pos="426"/>
        </w:tabs>
        <w:spacing w:after="0"/>
        <w:jc w:val="both"/>
        <w:rPr>
          <w:rFonts w:ascii="Tw Cen MT" w:eastAsia="Twentieth Century" w:hAnsi="Tw Cen MT" w:cs="Twentieth Century"/>
          <w:b/>
          <w:sz w:val="24"/>
          <w:szCs w:val="24"/>
        </w:rPr>
      </w:pPr>
      <w:r w:rsidRPr="001664B3">
        <w:rPr>
          <w:rFonts w:ascii="Tw Cen MT" w:eastAsia="Twentieth Century" w:hAnsi="Tw Cen MT" w:cs="Twentieth Century"/>
          <w:b/>
          <w:sz w:val="24"/>
          <w:szCs w:val="24"/>
        </w:rPr>
        <w:t>A. HASIL</w:t>
      </w:r>
    </w:p>
    <w:p w14:paraId="17D2395C" w14:textId="77777777" w:rsidR="001664B3" w:rsidRPr="001664B3" w:rsidRDefault="001664B3" w:rsidP="001664B3">
      <w:pPr>
        <w:spacing w:after="0" w:line="240" w:lineRule="auto"/>
        <w:jc w:val="both"/>
        <w:rPr>
          <w:rFonts w:ascii="Tw Cen MT" w:hAnsi="Tw Cen MT" w:cs="Times New Roman"/>
          <w:b/>
          <w:sz w:val="24"/>
          <w:szCs w:val="24"/>
        </w:rPr>
      </w:pPr>
      <w:r w:rsidRPr="001664B3">
        <w:rPr>
          <w:rFonts w:ascii="Tw Cen MT" w:hAnsi="Tw Cen MT" w:cs="Times New Roman"/>
          <w:b/>
          <w:sz w:val="24"/>
          <w:szCs w:val="24"/>
        </w:rPr>
        <w:t>1. Distribusi Karakteristik Subjek</w:t>
      </w:r>
    </w:p>
    <w:p w14:paraId="76EF4873" w14:textId="77777777" w:rsidR="001664B3" w:rsidRPr="001664B3" w:rsidRDefault="001664B3" w:rsidP="001664B3">
      <w:pPr>
        <w:spacing w:after="0" w:line="240" w:lineRule="auto"/>
        <w:ind w:firstLine="426"/>
        <w:jc w:val="both"/>
        <w:rPr>
          <w:rFonts w:ascii="Tw Cen MT" w:hAnsi="Tw Cen MT" w:cs="Times New Roman"/>
          <w:sz w:val="24"/>
          <w:szCs w:val="24"/>
        </w:rPr>
      </w:pPr>
      <w:r w:rsidRPr="001664B3">
        <w:rPr>
          <w:rFonts w:ascii="Tw Cen MT" w:hAnsi="Tw Cen MT" w:cs="Times New Roman"/>
          <w:sz w:val="24"/>
          <w:szCs w:val="24"/>
        </w:rPr>
        <w:t xml:space="preserve">Deskripsi data berupa karakteristik sampel penelitian dalam bentuk tabel. Berikut ini merupakan deskripsi karakteristik sampel yang terdiri dari usia, berat badan, tinggi badan, IMT, dan Pekerjaan. </w:t>
      </w:r>
    </w:p>
    <w:p w14:paraId="54BB4F4C" w14:textId="77777777" w:rsidR="001664B3" w:rsidRPr="00B07F42" w:rsidRDefault="001664B3" w:rsidP="001664B3">
      <w:pPr>
        <w:spacing w:after="0" w:line="240" w:lineRule="auto"/>
        <w:jc w:val="center"/>
        <w:rPr>
          <w:rFonts w:ascii="Tw Cen MT" w:hAnsi="Tw Cen MT" w:cs="Times New Roman"/>
          <w:sz w:val="20"/>
          <w:szCs w:val="20"/>
        </w:rPr>
      </w:pPr>
      <w:r w:rsidRPr="00B07F42">
        <w:rPr>
          <w:rFonts w:ascii="Tw Cen MT" w:hAnsi="Tw Cen MT" w:cs="Times New Roman"/>
          <w:sz w:val="20"/>
          <w:szCs w:val="20"/>
        </w:rPr>
        <w:t>Tabel 1.1 Distribusi Data Subjek Berdasarkan Usia, BB, TB, IMT</w:t>
      </w:r>
    </w:p>
    <w:tbl>
      <w:tblPr>
        <w:tblStyle w:val="TableGrid"/>
        <w:tblW w:w="439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62"/>
        <w:gridCol w:w="1679"/>
        <w:gridCol w:w="1554"/>
      </w:tblGrid>
      <w:tr w:rsidR="001664B3" w:rsidRPr="00B07F42" w14:paraId="1199FFBF" w14:textId="77777777" w:rsidTr="00191E16">
        <w:trPr>
          <w:trHeight w:val="833"/>
        </w:trPr>
        <w:tc>
          <w:tcPr>
            <w:tcW w:w="1162" w:type="dxa"/>
          </w:tcPr>
          <w:p w14:paraId="30DE09A0" w14:textId="77777777" w:rsidR="001664B3" w:rsidRPr="00B07F42" w:rsidRDefault="001664B3" w:rsidP="00191E16">
            <w:pPr>
              <w:jc w:val="both"/>
              <w:rPr>
                <w:rFonts w:ascii="Tw Cen MT" w:hAnsi="Tw Cen MT"/>
                <w:sz w:val="20"/>
                <w:szCs w:val="20"/>
              </w:rPr>
            </w:pPr>
          </w:p>
          <w:p w14:paraId="512411FF" w14:textId="77777777" w:rsidR="001664B3" w:rsidRPr="00B07F42" w:rsidRDefault="001664B3" w:rsidP="00191E16">
            <w:pPr>
              <w:jc w:val="both"/>
              <w:rPr>
                <w:rFonts w:ascii="Tw Cen MT" w:hAnsi="Tw Cen MT"/>
                <w:sz w:val="20"/>
                <w:szCs w:val="20"/>
              </w:rPr>
            </w:pPr>
          </w:p>
          <w:p w14:paraId="6FD3396D" w14:textId="77777777" w:rsidR="001664B3" w:rsidRPr="00B07F42" w:rsidRDefault="001664B3" w:rsidP="00B07F42">
            <w:pPr>
              <w:ind w:left="32"/>
              <w:jc w:val="both"/>
              <w:rPr>
                <w:rFonts w:ascii="Tw Cen MT" w:hAnsi="Tw Cen MT"/>
                <w:sz w:val="20"/>
                <w:szCs w:val="20"/>
              </w:rPr>
            </w:pPr>
            <w:r w:rsidRPr="00B07F42">
              <w:rPr>
                <w:rFonts w:ascii="Tw Cen MT" w:hAnsi="Tw Cen MT"/>
                <w:sz w:val="20"/>
                <w:szCs w:val="20"/>
              </w:rPr>
              <w:t>Variabel</w:t>
            </w:r>
          </w:p>
        </w:tc>
        <w:tc>
          <w:tcPr>
            <w:tcW w:w="1679" w:type="dxa"/>
          </w:tcPr>
          <w:p w14:paraId="154F09FB"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Kelompok 1</w:t>
            </w:r>
          </w:p>
          <w:p w14:paraId="143E8D92"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n = 10</w:t>
            </w:r>
          </w:p>
          <w:p w14:paraId="3EC9D409" w14:textId="77777777" w:rsidR="001664B3" w:rsidRPr="00B07F42" w:rsidRDefault="001664B3" w:rsidP="00191E16">
            <w:pPr>
              <w:jc w:val="both"/>
              <w:rPr>
                <w:rFonts w:ascii="Tw Cen MT" w:hAnsi="Tw Cen MT"/>
                <w:sz w:val="20"/>
                <w:szCs w:val="20"/>
              </w:rPr>
            </w:pPr>
            <w:r w:rsidRPr="00B07F42">
              <w:rPr>
                <w:rFonts w:ascii="Tw Cen MT" w:hAnsi="Tw Cen MT"/>
                <w:noProof/>
                <w:sz w:val="20"/>
                <w:szCs w:val="20"/>
              </w:rPr>
              <mc:AlternateContent>
                <mc:Choice Requires="wps">
                  <w:drawing>
                    <wp:anchor distT="0" distB="0" distL="114300" distR="114300" simplePos="0" relativeHeight="251668480" behindDoc="0" locked="0" layoutInCell="1" allowOverlap="1" wp14:anchorId="61050A10" wp14:editId="196002FF">
                      <wp:simplePos x="0" y="0"/>
                      <wp:positionH relativeFrom="column">
                        <wp:posOffset>-82215</wp:posOffset>
                      </wp:positionH>
                      <wp:positionV relativeFrom="paragraph">
                        <wp:posOffset>45539</wp:posOffset>
                      </wp:positionV>
                      <wp:extent cx="2059912" cy="10048"/>
                      <wp:effectExtent l="0" t="0" r="36195" b="28575"/>
                      <wp:wrapNone/>
                      <wp:docPr id="2" name="Straight Connector 2"/>
                      <wp:cNvGraphicFramePr/>
                      <a:graphic xmlns:a="http://schemas.openxmlformats.org/drawingml/2006/main">
                        <a:graphicData uri="http://schemas.microsoft.com/office/word/2010/wordprocessingShape">
                          <wps:wsp>
                            <wps:cNvCnPr/>
                            <wps:spPr>
                              <a:xfrm flipV="1">
                                <a:off x="0" y="0"/>
                                <a:ext cx="2059912" cy="100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499DA" id="Straight Connector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3.6pt" to="155.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" strokecolor="black [3213]"/>
                  </w:pict>
                </mc:Fallback>
              </mc:AlternateContent>
            </w:r>
          </w:p>
          <w:p w14:paraId="5FD8275F"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Rerata ± SB</w:t>
            </w:r>
          </w:p>
        </w:tc>
        <w:tc>
          <w:tcPr>
            <w:tcW w:w="1554" w:type="dxa"/>
          </w:tcPr>
          <w:p w14:paraId="026B5A02"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Kelompok 2</w:t>
            </w:r>
          </w:p>
          <w:p w14:paraId="6B68A0D1"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n = 10</w:t>
            </w:r>
          </w:p>
          <w:p w14:paraId="27EE6492" w14:textId="77777777" w:rsidR="001664B3" w:rsidRPr="00B07F42" w:rsidRDefault="001664B3" w:rsidP="00191E16">
            <w:pPr>
              <w:jc w:val="center"/>
              <w:rPr>
                <w:rFonts w:ascii="Tw Cen MT" w:hAnsi="Tw Cen MT"/>
                <w:sz w:val="20"/>
                <w:szCs w:val="20"/>
              </w:rPr>
            </w:pPr>
          </w:p>
          <w:p w14:paraId="7F94FC24"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Rerata  ± SB</w:t>
            </w:r>
          </w:p>
        </w:tc>
      </w:tr>
      <w:tr w:rsidR="001664B3" w:rsidRPr="00B07F42" w14:paraId="2E03C0B7" w14:textId="77777777" w:rsidTr="00191E16">
        <w:trPr>
          <w:trHeight w:val="735"/>
        </w:trPr>
        <w:tc>
          <w:tcPr>
            <w:tcW w:w="1162" w:type="dxa"/>
          </w:tcPr>
          <w:p w14:paraId="5BF4EFDE" w14:textId="77777777" w:rsidR="001664B3" w:rsidRPr="00B07F42" w:rsidRDefault="001664B3" w:rsidP="00191E16">
            <w:pPr>
              <w:jc w:val="both"/>
              <w:rPr>
                <w:rFonts w:ascii="Tw Cen MT" w:hAnsi="Tw Cen MT"/>
                <w:sz w:val="20"/>
                <w:szCs w:val="20"/>
              </w:rPr>
            </w:pPr>
            <w:r w:rsidRPr="00B07F42">
              <w:rPr>
                <w:rFonts w:ascii="Tw Cen MT" w:hAnsi="Tw Cen MT"/>
                <w:sz w:val="20"/>
                <w:szCs w:val="20"/>
              </w:rPr>
              <w:t>Umur (th)</w:t>
            </w:r>
          </w:p>
          <w:p w14:paraId="5EA2FB4D" w14:textId="77777777" w:rsidR="001664B3" w:rsidRPr="00B07F42" w:rsidRDefault="001664B3" w:rsidP="00191E16">
            <w:pPr>
              <w:jc w:val="both"/>
              <w:rPr>
                <w:rFonts w:ascii="Tw Cen MT" w:hAnsi="Tw Cen MT"/>
                <w:sz w:val="20"/>
                <w:szCs w:val="20"/>
              </w:rPr>
            </w:pPr>
            <w:r w:rsidRPr="00B07F42">
              <w:rPr>
                <w:rFonts w:ascii="Tw Cen MT" w:hAnsi="Tw Cen MT"/>
                <w:sz w:val="20"/>
                <w:szCs w:val="20"/>
              </w:rPr>
              <w:t>BB (kg)</w:t>
            </w:r>
          </w:p>
          <w:p w14:paraId="2D8FA924" w14:textId="77777777" w:rsidR="001664B3" w:rsidRPr="00B07F42" w:rsidRDefault="001664B3" w:rsidP="00191E16">
            <w:pPr>
              <w:jc w:val="both"/>
              <w:rPr>
                <w:rFonts w:ascii="Tw Cen MT" w:hAnsi="Tw Cen MT"/>
                <w:sz w:val="20"/>
                <w:szCs w:val="20"/>
              </w:rPr>
            </w:pPr>
            <w:r w:rsidRPr="00B07F42">
              <w:rPr>
                <w:rFonts w:ascii="Tw Cen MT" w:hAnsi="Tw Cen MT"/>
                <w:sz w:val="20"/>
                <w:szCs w:val="20"/>
              </w:rPr>
              <w:t>TB (cm)</w:t>
            </w:r>
          </w:p>
          <w:p w14:paraId="7B58A0B1" w14:textId="77777777" w:rsidR="001664B3" w:rsidRPr="00B07F42" w:rsidRDefault="001664B3" w:rsidP="00191E16">
            <w:pPr>
              <w:jc w:val="both"/>
              <w:rPr>
                <w:rFonts w:ascii="Tw Cen MT" w:hAnsi="Tw Cen MT"/>
                <w:sz w:val="20"/>
                <w:szCs w:val="20"/>
              </w:rPr>
            </w:pPr>
            <w:r w:rsidRPr="00B07F42">
              <w:rPr>
                <w:rFonts w:ascii="Tw Cen MT" w:hAnsi="Tw Cen MT"/>
                <w:sz w:val="20"/>
                <w:szCs w:val="20"/>
              </w:rPr>
              <w:t>IMT</w:t>
            </w:r>
          </w:p>
        </w:tc>
        <w:tc>
          <w:tcPr>
            <w:tcW w:w="1679" w:type="dxa"/>
          </w:tcPr>
          <w:p w14:paraId="1219A59B"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26,20 ± 3,52</w:t>
            </w:r>
          </w:p>
          <w:p w14:paraId="7CF2F629"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61,20 ± 7,87</w:t>
            </w:r>
          </w:p>
          <w:p w14:paraId="0FDA6E58"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156,20 ± 2,10</w:t>
            </w:r>
          </w:p>
          <w:p w14:paraId="49C7EBBA" w14:textId="77777777" w:rsidR="001664B3" w:rsidRPr="00B07F42" w:rsidRDefault="001664B3" w:rsidP="00191E16">
            <w:pPr>
              <w:jc w:val="center"/>
              <w:rPr>
                <w:rFonts w:ascii="Tw Cen MT" w:hAnsi="Tw Cen MT"/>
                <w:sz w:val="20"/>
                <w:szCs w:val="20"/>
              </w:rPr>
            </w:pPr>
            <w:r w:rsidRPr="00B07F42">
              <w:rPr>
                <w:rFonts w:ascii="Tw Cen MT" w:hAnsi="Tw Cen MT"/>
                <w:color w:val="000000"/>
                <w:sz w:val="20"/>
                <w:szCs w:val="20"/>
              </w:rPr>
              <w:t>29,560 ± 2,661</w:t>
            </w:r>
          </w:p>
        </w:tc>
        <w:tc>
          <w:tcPr>
            <w:tcW w:w="1554" w:type="dxa"/>
          </w:tcPr>
          <w:p w14:paraId="15AB1C89"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23,60 ± 2,41</w:t>
            </w:r>
          </w:p>
          <w:p w14:paraId="60725EB4"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64,80 ± 6,99</w:t>
            </w:r>
          </w:p>
          <w:p w14:paraId="1EA7FC4E"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158,0 ± 3,80</w:t>
            </w:r>
          </w:p>
          <w:p w14:paraId="2D86F8CE"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28,630 ± 2,853</w:t>
            </w:r>
          </w:p>
        </w:tc>
      </w:tr>
    </w:tbl>
    <w:p w14:paraId="6C497416" w14:textId="7B769994" w:rsidR="00B07F42" w:rsidRDefault="00B07F42" w:rsidP="00B07F42">
      <w:pPr>
        <w:spacing w:after="0" w:line="240" w:lineRule="auto"/>
        <w:jc w:val="both"/>
        <w:rPr>
          <w:rFonts w:ascii="Tw Cen MT" w:hAnsi="Tw Cen MT" w:cs="Times New Roman"/>
          <w:sz w:val="20"/>
          <w:szCs w:val="20"/>
        </w:rPr>
      </w:pPr>
      <w:r>
        <w:rPr>
          <w:rFonts w:ascii="Tw Cen MT" w:hAnsi="Tw Cen MT" w:cs="Times New Roman"/>
          <w:sz w:val="20"/>
          <w:szCs w:val="20"/>
        </w:rPr>
        <w:t>Sumber: Data Primer (2024)</w:t>
      </w:r>
    </w:p>
    <w:p w14:paraId="56868CBB" w14:textId="77777777" w:rsidR="00B07F42" w:rsidRDefault="00B07F42" w:rsidP="00B07F42">
      <w:pPr>
        <w:spacing w:after="0" w:line="240" w:lineRule="auto"/>
        <w:jc w:val="both"/>
        <w:rPr>
          <w:rFonts w:ascii="Tw Cen MT" w:hAnsi="Tw Cen MT" w:cs="Times New Roman"/>
          <w:sz w:val="20"/>
          <w:szCs w:val="20"/>
        </w:rPr>
      </w:pPr>
    </w:p>
    <w:p w14:paraId="26412F29" w14:textId="0B1629AC" w:rsidR="001664B3" w:rsidRPr="001664B3" w:rsidRDefault="001664B3" w:rsidP="001664B3">
      <w:pPr>
        <w:spacing w:after="0" w:line="240" w:lineRule="auto"/>
        <w:jc w:val="center"/>
        <w:rPr>
          <w:rFonts w:ascii="Tw Cen MT" w:hAnsi="Tw Cen MT" w:cs="Times New Roman"/>
          <w:sz w:val="20"/>
          <w:szCs w:val="20"/>
        </w:rPr>
      </w:pPr>
      <w:r w:rsidRPr="001664B3">
        <w:rPr>
          <w:rFonts w:ascii="Tw Cen MT" w:hAnsi="Tw Cen MT" w:cs="Times New Roman"/>
          <w:sz w:val="20"/>
          <w:szCs w:val="20"/>
        </w:rPr>
        <w:t>Tabel 1.2 Distribusi Data Subjek Berdasarkan Pekerjaan</w:t>
      </w:r>
      <w:r w:rsidRPr="001664B3">
        <w:rPr>
          <w:rFonts w:ascii="Tw Cen MT" w:hAnsi="Tw Cen MT" w:cs="Times New Roman"/>
          <w:sz w:val="16"/>
          <w:szCs w:val="16"/>
        </w:rPr>
        <w:t xml:space="preserve"> </w:t>
      </w:r>
    </w:p>
    <w:tbl>
      <w:tblPr>
        <w:tblStyle w:val="TableGrid"/>
        <w:tblW w:w="4395"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1726"/>
        <w:gridCol w:w="575"/>
        <w:gridCol w:w="676"/>
        <w:gridCol w:w="567"/>
        <w:gridCol w:w="851"/>
      </w:tblGrid>
      <w:tr w:rsidR="001664B3" w:rsidRPr="00B07F42" w14:paraId="71AA76D5" w14:textId="77777777" w:rsidTr="00B07F42">
        <w:trPr>
          <w:trHeight w:val="231"/>
        </w:trPr>
        <w:tc>
          <w:tcPr>
            <w:tcW w:w="1726" w:type="dxa"/>
            <w:vMerge w:val="restart"/>
            <w:vAlign w:val="center"/>
          </w:tcPr>
          <w:p w14:paraId="2DBB0CB7"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Pekerjaan</w:t>
            </w:r>
          </w:p>
        </w:tc>
        <w:tc>
          <w:tcPr>
            <w:tcW w:w="1251" w:type="dxa"/>
            <w:gridSpan w:val="2"/>
            <w:tcBorders>
              <w:top w:val="single" w:sz="4" w:space="0" w:color="000000" w:themeColor="text1"/>
              <w:bottom w:val="single" w:sz="4" w:space="0" w:color="auto"/>
            </w:tcBorders>
          </w:tcPr>
          <w:p w14:paraId="7BE393A1"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Kelompok 1</w:t>
            </w:r>
          </w:p>
        </w:tc>
        <w:tc>
          <w:tcPr>
            <w:tcW w:w="1418" w:type="dxa"/>
            <w:gridSpan w:val="2"/>
            <w:tcBorders>
              <w:top w:val="single" w:sz="4" w:space="0" w:color="000000" w:themeColor="text1"/>
              <w:bottom w:val="single" w:sz="4" w:space="0" w:color="auto"/>
            </w:tcBorders>
          </w:tcPr>
          <w:p w14:paraId="64A38ECF" w14:textId="77777777" w:rsidR="001664B3" w:rsidRPr="00B07F42" w:rsidRDefault="001664B3" w:rsidP="00191E16">
            <w:pPr>
              <w:rPr>
                <w:rFonts w:ascii="Tw Cen MT" w:hAnsi="Tw Cen MT"/>
                <w:sz w:val="20"/>
                <w:szCs w:val="20"/>
              </w:rPr>
            </w:pPr>
            <w:r w:rsidRPr="00B07F42">
              <w:rPr>
                <w:rFonts w:ascii="Tw Cen MT" w:hAnsi="Tw Cen MT"/>
                <w:sz w:val="20"/>
                <w:szCs w:val="20"/>
              </w:rPr>
              <w:t>Kelompok 2</w:t>
            </w:r>
          </w:p>
        </w:tc>
      </w:tr>
      <w:tr w:rsidR="001664B3" w:rsidRPr="00B07F42" w14:paraId="21F9288A" w14:textId="77777777" w:rsidTr="00B07F42">
        <w:trPr>
          <w:trHeight w:val="245"/>
        </w:trPr>
        <w:tc>
          <w:tcPr>
            <w:tcW w:w="1726" w:type="dxa"/>
            <w:vMerge/>
            <w:tcBorders>
              <w:bottom w:val="single" w:sz="4" w:space="0" w:color="auto"/>
            </w:tcBorders>
          </w:tcPr>
          <w:p w14:paraId="339DCF34" w14:textId="77777777" w:rsidR="001664B3" w:rsidRPr="00B07F42" w:rsidRDefault="001664B3" w:rsidP="00191E16">
            <w:pPr>
              <w:jc w:val="center"/>
              <w:rPr>
                <w:rFonts w:ascii="Tw Cen MT" w:hAnsi="Tw Cen MT"/>
                <w:sz w:val="20"/>
                <w:szCs w:val="20"/>
              </w:rPr>
            </w:pPr>
          </w:p>
        </w:tc>
        <w:tc>
          <w:tcPr>
            <w:tcW w:w="575" w:type="dxa"/>
            <w:tcBorders>
              <w:top w:val="single" w:sz="4" w:space="0" w:color="auto"/>
              <w:bottom w:val="single" w:sz="4" w:space="0" w:color="auto"/>
            </w:tcBorders>
          </w:tcPr>
          <w:p w14:paraId="4822C140"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n</w:t>
            </w:r>
          </w:p>
        </w:tc>
        <w:tc>
          <w:tcPr>
            <w:tcW w:w="676" w:type="dxa"/>
            <w:tcBorders>
              <w:top w:val="single" w:sz="4" w:space="0" w:color="auto"/>
              <w:bottom w:val="single" w:sz="4" w:space="0" w:color="auto"/>
            </w:tcBorders>
          </w:tcPr>
          <w:p w14:paraId="785C9966"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w:t>
            </w:r>
          </w:p>
        </w:tc>
        <w:tc>
          <w:tcPr>
            <w:tcW w:w="567" w:type="dxa"/>
            <w:tcBorders>
              <w:top w:val="single" w:sz="4" w:space="0" w:color="auto"/>
              <w:bottom w:val="single" w:sz="4" w:space="0" w:color="auto"/>
            </w:tcBorders>
          </w:tcPr>
          <w:p w14:paraId="1375E681"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n</w:t>
            </w:r>
          </w:p>
        </w:tc>
        <w:tc>
          <w:tcPr>
            <w:tcW w:w="851" w:type="dxa"/>
            <w:tcBorders>
              <w:top w:val="single" w:sz="4" w:space="0" w:color="auto"/>
              <w:bottom w:val="single" w:sz="4" w:space="0" w:color="auto"/>
            </w:tcBorders>
          </w:tcPr>
          <w:p w14:paraId="2D188D80"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w:t>
            </w:r>
          </w:p>
        </w:tc>
      </w:tr>
      <w:tr w:rsidR="001664B3" w:rsidRPr="00B07F42" w14:paraId="2B384706" w14:textId="77777777" w:rsidTr="00B07F42">
        <w:trPr>
          <w:trHeight w:val="245"/>
        </w:trPr>
        <w:tc>
          <w:tcPr>
            <w:tcW w:w="1726" w:type="dxa"/>
            <w:tcBorders>
              <w:top w:val="single" w:sz="4" w:space="0" w:color="auto"/>
            </w:tcBorders>
          </w:tcPr>
          <w:p w14:paraId="6E950315"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IRT</w:t>
            </w:r>
          </w:p>
        </w:tc>
        <w:tc>
          <w:tcPr>
            <w:tcW w:w="575" w:type="dxa"/>
            <w:tcBorders>
              <w:top w:val="single" w:sz="4" w:space="0" w:color="auto"/>
            </w:tcBorders>
          </w:tcPr>
          <w:p w14:paraId="65A42B5F"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6</w:t>
            </w:r>
          </w:p>
        </w:tc>
        <w:tc>
          <w:tcPr>
            <w:tcW w:w="676" w:type="dxa"/>
            <w:tcBorders>
              <w:top w:val="single" w:sz="4" w:space="0" w:color="auto"/>
            </w:tcBorders>
          </w:tcPr>
          <w:p w14:paraId="6620C755"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60</w:t>
            </w:r>
          </w:p>
        </w:tc>
        <w:tc>
          <w:tcPr>
            <w:tcW w:w="567" w:type="dxa"/>
            <w:tcBorders>
              <w:top w:val="single" w:sz="4" w:space="0" w:color="auto"/>
            </w:tcBorders>
          </w:tcPr>
          <w:p w14:paraId="128BF055"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6</w:t>
            </w:r>
          </w:p>
        </w:tc>
        <w:tc>
          <w:tcPr>
            <w:tcW w:w="851" w:type="dxa"/>
            <w:tcBorders>
              <w:top w:val="single" w:sz="4" w:space="0" w:color="auto"/>
            </w:tcBorders>
          </w:tcPr>
          <w:p w14:paraId="1D8FA84D"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60</w:t>
            </w:r>
          </w:p>
        </w:tc>
      </w:tr>
      <w:tr w:rsidR="001664B3" w:rsidRPr="00B07F42" w14:paraId="5C786D9C" w14:textId="77777777" w:rsidTr="00B07F42">
        <w:trPr>
          <w:trHeight w:val="231"/>
        </w:trPr>
        <w:tc>
          <w:tcPr>
            <w:tcW w:w="1726" w:type="dxa"/>
          </w:tcPr>
          <w:p w14:paraId="29097BBC"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Pegawai BUMN</w:t>
            </w:r>
          </w:p>
        </w:tc>
        <w:tc>
          <w:tcPr>
            <w:tcW w:w="575" w:type="dxa"/>
          </w:tcPr>
          <w:p w14:paraId="6BDCAADE"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1</w:t>
            </w:r>
          </w:p>
        </w:tc>
        <w:tc>
          <w:tcPr>
            <w:tcW w:w="676" w:type="dxa"/>
          </w:tcPr>
          <w:p w14:paraId="0B94031C"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10</w:t>
            </w:r>
          </w:p>
        </w:tc>
        <w:tc>
          <w:tcPr>
            <w:tcW w:w="567" w:type="dxa"/>
          </w:tcPr>
          <w:p w14:paraId="4847F168"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2</w:t>
            </w:r>
          </w:p>
        </w:tc>
        <w:tc>
          <w:tcPr>
            <w:tcW w:w="851" w:type="dxa"/>
          </w:tcPr>
          <w:p w14:paraId="0B051161"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20</w:t>
            </w:r>
          </w:p>
        </w:tc>
      </w:tr>
      <w:tr w:rsidR="001664B3" w:rsidRPr="00B07F42" w14:paraId="49C41326" w14:textId="77777777" w:rsidTr="00B07F42">
        <w:trPr>
          <w:trHeight w:val="231"/>
        </w:trPr>
        <w:tc>
          <w:tcPr>
            <w:tcW w:w="1726" w:type="dxa"/>
          </w:tcPr>
          <w:p w14:paraId="1311DC6E"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Pegawai RS</w:t>
            </w:r>
          </w:p>
        </w:tc>
        <w:tc>
          <w:tcPr>
            <w:tcW w:w="575" w:type="dxa"/>
          </w:tcPr>
          <w:p w14:paraId="2F422AE0"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2</w:t>
            </w:r>
          </w:p>
        </w:tc>
        <w:tc>
          <w:tcPr>
            <w:tcW w:w="676" w:type="dxa"/>
          </w:tcPr>
          <w:p w14:paraId="18738EB9"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20</w:t>
            </w:r>
          </w:p>
        </w:tc>
        <w:tc>
          <w:tcPr>
            <w:tcW w:w="567" w:type="dxa"/>
          </w:tcPr>
          <w:p w14:paraId="2436FD4A"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2</w:t>
            </w:r>
          </w:p>
        </w:tc>
        <w:tc>
          <w:tcPr>
            <w:tcW w:w="851" w:type="dxa"/>
          </w:tcPr>
          <w:p w14:paraId="6C9FCE8E"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20</w:t>
            </w:r>
          </w:p>
        </w:tc>
      </w:tr>
      <w:tr w:rsidR="001664B3" w:rsidRPr="00B07F42" w14:paraId="5DAC4920" w14:textId="77777777" w:rsidTr="00B07F42">
        <w:trPr>
          <w:trHeight w:val="280"/>
        </w:trPr>
        <w:tc>
          <w:tcPr>
            <w:tcW w:w="1726" w:type="dxa"/>
          </w:tcPr>
          <w:p w14:paraId="021F727F"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Guru</w:t>
            </w:r>
          </w:p>
        </w:tc>
        <w:tc>
          <w:tcPr>
            <w:tcW w:w="575" w:type="dxa"/>
          </w:tcPr>
          <w:p w14:paraId="0B7835E0"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1</w:t>
            </w:r>
          </w:p>
        </w:tc>
        <w:tc>
          <w:tcPr>
            <w:tcW w:w="676" w:type="dxa"/>
          </w:tcPr>
          <w:p w14:paraId="1DB78DA6"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10</w:t>
            </w:r>
          </w:p>
        </w:tc>
        <w:tc>
          <w:tcPr>
            <w:tcW w:w="567" w:type="dxa"/>
          </w:tcPr>
          <w:p w14:paraId="25C1D76A"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w:t>
            </w:r>
          </w:p>
        </w:tc>
        <w:tc>
          <w:tcPr>
            <w:tcW w:w="851" w:type="dxa"/>
          </w:tcPr>
          <w:p w14:paraId="1871B7FE" w14:textId="77777777" w:rsidR="001664B3" w:rsidRPr="00B07F42" w:rsidRDefault="001664B3" w:rsidP="00191E16">
            <w:pPr>
              <w:jc w:val="center"/>
              <w:rPr>
                <w:rFonts w:ascii="Tw Cen MT" w:hAnsi="Tw Cen MT"/>
                <w:sz w:val="20"/>
                <w:szCs w:val="20"/>
              </w:rPr>
            </w:pPr>
            <w:r w:rsidRPr="00B07F42">
              <w:rPr>
                <w:rFonts w:ascii="Tw Cen MT" w:hAnsi="Tw Cen MT"/>
                <w:sz w:val="20"/>
                <w:szCs w:val="20"/>
              </w:rPr>
              <w:t>-</w:t>
            </w:r>
          </w:p>
        </w:tc>
      </w:tr>
    </w:tbl>
    <w:p w14:paraId="3DE3D859" w14:textId="5F8A15A7" w:rsidR="00B07F42" w:rsidRDefault="00B07F42" w:rsidP="00B07F42">
      <w:pPr>
        <w:pStyle w:val="NoSpacing"/>
        <w:ind w:left="142"/>
        <w:jc w:val="both"/>
        <w:rPr>
          <w:rFonts w:ascii="Tw Cen MT" w:hAnsi="Tw Cen MT"/>
          <w:lang w:val="en-US"/>
        </w:rPr>
      </w:pPr>
      <w:r>
        <w:rPr>
          <w:rFonts w:ascii="Tw Cen MT" w:hAnsi="Tw Cen MT"/>
          <w:lang w:val="en-US"/>
        </w:rPr>
        <w:t>Sumber: Data Primer (2024)</w:t>
      </w:r>
    </w:p>
    <w:p w14:paraId="357E3B83" w14:textId="0E2DAAF6" w:rsidR="001664B3" w:rsidRPr="00B07F42" w:rsidRDefault="00B07F42" w:rsidP="00B07F42">
      <w:pPr>
        <w:pStyle w:val="NoSpacing"/>
        <w:ind w:left="284" w:hanging="284"/>
        <w:jc w:val="both"/>
        <w:rPr>
          <w:rFonts w:ascii="Tw Cen MT" w:hAnsi="Tw Cen MT"/>
          <w:b/>
          <w:bCs/>
          <w:sz w:val="24"/>
          <w:szCs w:val="24"/>
          <w:lang w:val="en-US"/>
        </w:rPr>
      </w:pPr>
      <w:r w:rsidRPr="00B07F42">
        <w:rPr>
          <w:rFonts w:ascii="Tw Cen MT" w:hAnsi="Tw Cen MT"/>
          <w:b/>
          <w:bCs/>
          <w:sz w:val="24"/>
          <w:szCs w:val="24"/>
          <w:lang w:val="en-US"/>
        </w:rPr>
        <w:t>2.</w:t>
      </w:r>
      <w:r>
        <w:rPr>
          <w:rFonts w:ascii="Tw Cen MT" w:hAnsi="Tw Cen MT"/>
          <w:b/>
          <w:bCs/>
          <w:sz w:val="24"/>
          <w:szCs w:val="24"/>
          <w:lang w:val="en-US"/>
        </w:rPr>
        <w:t xml:space="preserve"> </w:t>
      </w:r>
      <w:r w:rsidR="001664B3" w:rsidRPr="00B07F42">
        <w:rPr>
          <w:rFonts w:ascii="Tw Cen MT" w:hAnsi="Tw Cen MT" w:cs="Times New Roman"/>
          <w:b/>
          <w:bCs/>
          <w:sz w:val="24"/>
          <w:szCs w:val="24"/>
        </w:rPr>
        <w:t>Perbedaan Kemampuan Fungsional Sebelum dan Setelah Pemberian Modifikasi Senam Hamil dengan Gym ball dengan Senam Hamil Konvensional</w:t>
      </w:r>
    </w:p>
    <w:p w14:paraId="46BDDB85" w14:textId="77777777" w:rsidR="001664B3" w:rsidRDefault="001664B3" w:rsidP="001664B3">
      <w:pPr>
        <w:spacing w:after="0" w:line="240" w:lineRule="auto"/>
        <w:ind w:firstLine="426"/>
        <w:jc w:val="both"/>
        <w:rPr>
          <w:rFonts w:ascii="Tw Cen MT" w:hAnsi="Tw Cen MT" w:cs="Times New Roman"/>
          <w:sz w:val="24"/>
          <w:szCs w:val="24"/>
        </w:rPr>
      </w:pPr>
      <w:r w:rsidRPr="001664B3">
        <w:rPr>
          <w:rFonts w:ascii="Tw Cen MT" w:hAnsi="Tw Cen MT" w:cs="Times New Roman"/>
          <w:sz w:val="24"/>
          <w:szCs w:val="24"/>
        </w:rPr>
        <w:t>Uji beda efek intervensi antar Kelompok sebelum dan setelah perlakuan pada ke dua Kelompok dilakukan untuk mengetahui perbedaan rerata kemampuan fungsional setelah intervensi. Uji beda ini menggunakan</w:t>
      </w:r>
      <w:r w:rsidRPr="001664B3">
        <w:rPr>
          <w:rFonts w:ascii="Tw Cen MT" w:hAnsi="Tw Cen MT" w:cs="Times New Roman"/>
          <w:i/>
          <w:sz w:val="24"/>
          <w:szCs w:val="24"/>
        </w:rPr>
        <w:t xml:space="preserve"> paired sample t-test</w:t>
      </w:r>
      <w:r w:rsidRPr="001664B3">
        <w:rPr>
          <w:rFonts w:ascii="Tw Cen MT" w:hAnsi="Tw Cen MT" w:cs="Times New Roman"/>
          <w:sz w:val="24"/>
          <w:szCs w:val="24"/>
        </w:rPr>
        <w:t xml:space="preserve">, sedangkan uji statistik yang digunakan utuk membuktikan beda efek modifikasi senam hamil dan </w:t>
      </w:r>
      <w:r w:rsidRPr="001664B3">
        <w:rPr>
          <w:rFonts w:ascii="Tw Cen MT" w:hAnsi="Tw Cen MT" w:cs="Times New Roman"/>
          <w:i/>
          <w:sz w:val="24"/>
          <w:szCs w:val="24"/>
        </w:rPr>
        <w:t xml:space="preserve">gym ball </w:t>
      </w:r>
      <w:r w:rsidRPr="001664B3">
        <w:rPr>
          <w:rFonts w:ascii="Tw Cen MT" w:hAnsi="Tw Cen MT" w:cs="Times New Roman"/>
          <w:sz w:val="24"/>
          <w:szCs w:val="24"/>
        </w:rPr>
        <w:t xml:space="preserve">dengan senam hamil konvensional dalam meningkatkan kemampuan fungsional ibu hamil pada kondisi NPB adalah </w:t>
      </w:r>
      <w:r w:rsidRPr="001664B3">
        <w:rPr>
          <w:rFonts w:ascii="Tw Cen MT" w:hAnsi="Tw Cen MT" w:cs="Times New Roman"/>
          <w:i/>
          <w:sz w:val="24"/>
          <w:szCs w:val="24"/>
        </w:rPr>
        <w:t>Independent sample t-test</w:t>
      </w:r>
      <w:r w:rsidRPr="001664B3">
        <w:rPr>
          <w:rFonts w:ascii="Tw Cen MT" w:hAnsi="Tw Cen MT" w:cs="Times New Roman"/>
          <w:sz w:val="24"/>
          <w:szCs w:val="24"/>
        </w:rPr>
        <w:t xml:space="preserve">. Hasil uji tertera pada tabel di bawah. </w:t>
      </w:r>
    </w:p>
    <w:p w14:paraId="68A9675B" w14:textId="77777777" w:rsidR="007812CD" w:rsidRDefault="007812CD" w:rsidP="001664B3">
      <w:pPr>
        <w:spacing w:after="0" w:line="240" w:lineRule="auto"/>
        <w:ind w:firstLine="426"/>
        <w:jc w:val="both"/>
        <w:rPr>
          <w:rFonts w:ascii="Tw Cen MT" w:hAnsi="Tw Cen MT" w:cs="Times New Roman"/>
          <w:sz w:val="24"/>
          <w:szCs w:val="24"/>
        </w:rPr>
      </w:pPr>
    </w:p>
    <w:p w14:paraId="7E78F837" w14:textId="77777777" w:rsidR="007812CD" w:rsidRDefault="007812CD" w:rsidP="001664B3">
      <w:pPr>
        <w:spacing w:after="0" w:line="240" w:lineRule="auto"/>
        <w:ind w:firstLine="426"/>
        <w:jc w:val="both"/>
        <w:rPr>
          <w:rFonts w:ascii="Tw Cen MT" w:hAnsi="Tw Cen MT" w:cs="Times New Roman"/>
          <w:sz w:val="24"/>
          <w:szCs w:val="24"/>
        </w:rPr>
      </w:pPr>
    </w:p>
    <w:p w14:paraId="3DE6D140" w14:textId="77777777" w:rsidR="007812CD" w:rsidRDefault="007812CD" w:rsidP="001664B3">
      <w:pPr>
        <w:spacing w:after="0" w:line="240" w:lineRule="auto"/>
        <w:ind w:firstLine="426"/>
        <w:jc w:val="both"/>
        <w:rPr>
          <w:rFonts w:ascii="Tw Cen MT" w:hAnsi="Tw Cen MT" w:cs="Times New Roman"/>
          <w:sz w:val="24"/>
          <w:szCs w:val="24"/>
        </w:rPr>
      </w:pPr>
    </w:p>
    <w:p w14:paraId="39C9526B" w14:textId="77777777" w:rsidR="007812CD" w:rsidRPr="001664B3" w:rsidRDefault="007812CD" w:rsidP="001664B3">
      <w:pPr>
        <w:spacing w:after="0" w:line="240" w:lineRule="auto"/>
        <w:ind w:firstLine="426"/>
        <w:jc w:val="both"/>
        <w:rPr>
          <w:rFonts w:ascii="Tw Cen MT" w:hAnsi="Tw Cen MT" w:cs="Times New Roman"/>
          <w:sz w:val="24"/>
          <w:szCs w:val="24"/>
        </w:rPr>
      </w:pPr>
    </w:p>
    <w:p w14:paraId="7C9B495E" w14:textId="77777777" w:rsidR="001664B3" w:rsidRPr="00B07F42" w:rsidRDefault="001664B3" w:rsidP="001664B3">
      <w:pPr>
        <w:tabs>
          <w:tab w:val="center" w:pos="3968"/>
          <w:tab w:val="left" w:pos="4920"/>
        </w:tabs>
        <w:spacing w:after="0" w:line="240" w:lineRule="auto"/>
        <w:jc w:val="center"/>
        <w:rPr>
          <w:rFonts w:ascii="Tw Cen MT" w:hAnsi="Tw Cen MT" w:cs="Times New Roman"/>
          <w:spacing w:val="20"/>
          <w:sz w:val="20"/>
          <w:szCs w:val="20"/>
        </w:rPr>
      </w:pPr>
      <w:r w:rsidRPr="00B07F42">
        <w:rPr>
          <w:rFonts w:ascii="Tw Cen MT" w:hAnsi="Tw Cen MT" w:cs="Times New Roman"/>
          <w:spacing w:val="20"/>
          <w:sz w:val="20"/>
          <w:szCs w:val="20"/>
        </w:rPr>
        <w:t>Tabel 1.3</w:t>
      </w:r>
    </w:p>
    <w:p w14:paraId="03F110E8" w14:textId="557AAB87" w:rsidR="00B07F42" w:rsidRPr="00B07F42" w:rsidRDefault="001664B3"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rPr>
        <w:t>Uji beda peningkatan kemampuan fungsional</w:t>
      </w:r>
      <w:r w:rsidRPr="00B07F42">
        <w:rPr>
          <w:rFonts w:ascii="Tw Cen MT" w:hAnsi="Tw Cen MT" w:cs="Times New Roman"/>
          <w:sz w:val="20"/>
          <w:szCs w:val="20"/>
          <w:lang w:val="en-US"/>
        </w:rPr>
        <w:t xml:space="preserve"> (skor PDI)</w:t>
      </w:r>
      <w:r w:rsidRPr="00B07F42">
        <w:rPr>
          <w:rFonts w:ascii="Tw Cen MT" w:hAnsi="Tw Cen MT" w:cs="Times New Roman"/>
          <w:sz w:val="20"/>
          <w:szCs w:val="20"/>
        </w:rPr>
        <w:t xml:space="preserve"> </w:t>
      </w:r>
      <w:r w:rsidRPr="00B07F42">
        <w:rPr>
          <w:rFonts w:ascii="Tw Cen MT" w:hAnsi="Tw Cen MT" w:cs="Times New Roman"/>
          <w:sz w:val="20"/>
          <w:szCs w:val="20"/>
          <w:lang w:val="en-US"/>
        </w:rPr>
        <w:t xml:space="preserve">pada </w:t>
      </w:r>
      <w:r w:rsidRPr="00B07F42">
        <w:rPr>
          <w:rFonts w:ascii="Tw Cen MT" w:hAnsi="Tw Cen MT" w:cs="Times New Roman"/>
          <w:sz w:val="20"/>
          <w:szCs w:val="20"/>
        </w:rPr>
        <w:t>Kelompok 1 dan Kelompok 2</w:t>
      </w:r>
      <w:r w:rsidRPr="00B07F42">
        <w:rPr>
          <w:rFonts w:ascii="Tw Cen MT" w:hAnsi="Tw Cen MT" w:cs="Times New Roman"/>
          <w:sz w:val="20"/>
          <w:szCs w:val="20"/>
          <w:lang w:val="en-US"/>
        </w:rPr>
        <w:t xml:space="preserve"> sebelum dan setelah perlakuan</w:t>
      </w:r>
    </w:p>
    <w:tbl>
      <w:tblPr>
        <w:tblStyle w:val="TableGrid"/>
        <w:tblpPr w:leftFromText="180" w:rightFromText="180" w:vertAnchor="page" w:horzAnchor="page" w:tblpX="871" w:tblpY="3751"/>
        <w:tblW w:w="50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134"/>
        <w:gridCol w:w="1134"/>
        <w:gridCol w:w="712"/>
        <w:gridCol w:w="894"/>
      </w:tblGrid>
      <w:tr w:rsidR="00B07F42" w:rsidRPr="00B07F42" w14:paraId="39D74AE8" w14:textId="77777777" w:rsidTr="00B07F42">
        <w:trPr>
          <w:trHeight w:val="255"/>
        </w:trPr>
        <w:tc>
          <w:tcPr>
            <w:tcW w:w="5005" w:type="dxa"/>
            <w:gridSpan w:val="5"/>
          </w:tcPr>
          <w:p w14:paraId="76E13C68" w14:textId="77777777" w:rsidR="00B07F42" w:rsidRPr="00B07F42" w:rsidRDefault="00B07F42" w:rsidP="00B07F42">
            <w:pPr>
              <w:pStyle w:val="NoSpacing"/>
              <w:jc w:val="center"/>
              <w:rPr>
                <w:rFonts w:ascii="Tw Cen MT" w:hAnsi="Tw Cen MT" w:cs="Times New Roman"/>
                <w:sz w:val="20"/>
                <w:szCs w:val="20"/>
              </w:rPr>
            </w:pPr>
            <w:r w:rsidRPr="00B07F42">
              <w:rPr>
                <w:rFonts w:ascii="Tw Cen MT" w:hAnsi="Tw Cen MT" w:cs="Times New Roman"/>
                <w:sz w:val="20"/>
                <w:szCs w:val="20"/>
                <w:lang w:val="en-US"/>
              </w:rPr>
              <w:t>Kemampuan fungsional</w:t>
            </w:r>
          </w:p>
        </w:tc>
      </w:tr>
      <w:tr w:rsidR="00B07F42" w:rsidRPr="00B07F42" w14:paraId="1610AEEB" w14:textId="77777777" w:rsidTr="00B07F42">
        <w:trPr>
          <w:trHeight w:val="255"/>
        </w:trPr>
        <w:tc>
          <w:tcPr>
            <w:tcW w:w="1134" w:type="dxa"/>
            <w:vMerge w:val="restart"/>
            <w:vAlign w:val="center"/>
          </w:tcPr>
          <w:p w14:paraId="13617A21" w14:textId="77777777" w:rsidR="00B07F42" w:rsidRPr="00B07F42" w:rsidRDefault="00B07F42" w:rsidP="00B07F42">
            <w:pPr>
              <w:pStyle w:val="NoSpacing"/>
              <w:rPr>
                <w:rFonts w:ascii="Tw Cen MT" w:hAnsi="Tw Cen MT" w:cs="Times New Roman"/>
                <w:sz w:val="20"/>
                <w:szCs w:val="20"/>
                <w:lang w:val="en-US"/>
              </w:rPr>
            </w:pPr>
            <w:r w:rsidRPr="00B07F42">
              <w:rPr>
                <w:rFonts w:ascii="Tw Cen MT" w:hAnsi="Tw Cen MT" w:cs="Times New Roman"/>
                <w:sz w:val="20"/>
                <w:szCs w:val="20"/>
                <w:lang w:val="en-US"/>
              </w:rPr>
              <w:t xml:space="preserve">Kelompok </w:t>
            </w:r>
          </w:p>
        </w:tc>
        <w:tc>
          <w:tcPr>
            <w:tcW w:w="1134" w:type="dxa"/>
            <w:tcBorders>
              <w:top w:val="nil"/>
              <w:bottom w:val="single" w:sz="4" w:space="0" w:color="auto"/>
            </w:tcBorders>
            <w:vAlign w:val="center"/>
          </w:tcPr>
          <w:p w14:paraId="1D970148" w14:textId="77777777" w:rsidR="00B07F42" w:rsidRPr="00B07F42" w:rsidRDefault="00B07F42" w:rsidP="00B07F42">
            <w:pPr>
              <w:pStyle w:val="NoSpacing"/>
              <w:rPr>
                <w:rFonts w:ascii="Tw Cen MT" w:hAnsi="Tw Cen MT" w:cs="Times New Roman"/>
                <w:i/>
                <w:sz w:val="20"/>
                <w:szCs w:val="20"/>
                <w:lang w:val="en-US"/>
              </w:rPr>
            </w:pPr>
            <w:r w:rsidRPr="00B07F42">
              <w:rPr>
                <w:rFonts w:ascii="Tw Cen MT" w:hAnsi="Tw Cen MT" w:cs="Times New Roman"/>
                <w:i/>
                <w:sz w:val="20"/>
                <w:szCs w:val="20"/>
                <w:lang w:val="en-US"/>
              </w:rPr>
              <w:t>Pre test</w:t>
            </w:r>
          </w:p>
        </w:tc>
        <w:tc>
          <w:tcPr>
            <w:tcW w:w="1134" w:type="dxa"/>
            <w:tcBorders>
              <w:top w:val="nil"/>
              <w:bottom w:val="single" w:sz="4" w:space="0" w:color="auto"/>
            </w:tcBorders>
            <w:vAlign w:val="center"/>
          </w:tcPr>
          <w:p w14:paraId="4518F0F6" w14:textId="77777777" w:rsidR="00B07F42" w:rsidRPr="00B07F42" w:rsidRDefault="00B07F42" w:rsidP="00B07F42">
            <w:pPr>
              <w:pStyle w:val="NoSpacing"/>
              <w:rPr>
                <w:rFonts w:ascii="Tw Cen MT" w:hAnsi="Tw Cen MT" w:cs="Times New Roman"/>
                <w:i/>
                <w:sz w:val="20"/>
                <w:szCs w:val="20"/>
                <w:lang w:val="en-US"/>
              </w:rPr>
            </w:pPr>
            <w:r w:rsidRPr="00B07F42">
              <w:rPr>
                <w:rFonts w:ascii="Tw Cen MT" w:hAnsi="Tw Cen MT" w:cs="Times New Roman"/>
                <w:i/>
                <w:sz w:val="20"/>
                <w:szCs w:val="20"/>
                <w:lang w:val="en-US"/>
              </w:rPr>
              <w:t>Post test</w:t>
            </w:r>
          </w:p>
        </w:tc>
        <w:tc>
          <w:tcPr>
            <w:tcW w:w="712" w:type="dxa"/>
            <w:vMerge w:val="restart"/>
            <w:vAlign w:val="center"/>
          </w:tcPr>
          <w:p w14:paraId="68E0E3FB"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Nilai</w:t>
            </w:r>
          </w:p>
          <w:p w14:paraId="1697137D"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i/>
                <w:sz w:val="20"/>
                <w:szCs w:val="20"/>
                <w:lang w:val="en-US"/>
              </w:rPr>
              <w:t>p*</w:t>
            </w:r>
          </w:p>
        </w:tc>
        <w:tc>
          <w:tcPr>
            <w:tcW w:w="894" w:type="dxa"/>
            <w:vMerge w:val="restart"/>
            <w:vAlign w:val="center"/>
          </w:tcPr>
          <w:p w14:paraId="3CD36D30" w14:textId="77777777" w:rsidR="00B07F42" w:rsidRPr="00B07F42" w:rsidRDefault="00B07F42" w:rsidP="00B07F42">
            <w:pPr>
              <w:pStyle w:val="NoSpacing"/>
              <w:rPr>
                <w:rFonts w:ascii="Tw Cen MT" w:hAnsi="Tw Cen MT" w:cs="Times New Roman"/>
                <w:sz w:val="20"/>
                <w:szCs w:val="20"/>
                <w:lang w:val="en-US"/>
              </w:rPr>
            </w:pPr>
            <w:r w:rsidRPr="00B07F42">
              <w:rPr>
                <w:rFonts w:ascii="Tw Cen MT" w:hAnsi="Tw Cen MT" w:cs="Times New Roman"/>
                <w:sz w:val="20"/>
                <w:szCs w:val="20"/>
                <w:lang w:val="en-US"/>
              </w:rPr>
              <w:t>Selisih</w:t>
            </w:r>
          </w:p>
        </w:tc>
      </w:tr>
      <w:tr w:rsidR="00B07F42" w:rsidRPr="00B07F42" w14:paraId="1254745F" w14:textId="77777777" w:rsidTr="00B07F42">
        <w:trPr>
          <w:trHeight w:val="572"/>
        </w:trPr>
        <w:tc>
          <w:tcPr>
            <w:tcW w:w="1134" w:type="dxa"/>
            <w:vMerge/>
            <w:tcBorders>
              <w:bottom w:val="single" w:sz="4" w:space="0" w:color="000000"/>
            </w:tcBorders>
            <w:vAlign w:val="center"/>
          </w:tcPr>
          <w:p w14:paraId="1913371A" w14:textId="77777777" w:rsidR="00B07F42" w:rsidRPr="00B07F42" w:rsidRDefault="00B07F42" w:rsidP="00B07F42">
            <w:pPr>
              <w:pStyle w:val="NoSpacing"/>
              <w:jc w:val="center"/>
              <w:rPr>
                <w:rFonts w:ascii="Tw Cen MT" w:hAnsi="Tw Cen MT" w:cs="Times New Roman"/>
                <w:sz w:val="20"/>
                <w:szCs w:val="20"/>
              </w:rPr>
            </w:pPr>
          </w:p>
        </w:tc>
        <w:tc>
          <w:tcPr>
            <w:tcW w:w="1134" w:type="dxa"/>
            <w:tcBorders>
              <w:top w:val="single" w:sz="4" w:space="0" w:color="auto"/>
              <w:bottom w:val="single" w:sz="4" w:space="0" w:color="000000"/>
            </w:tcBorders>
            <w:vAlign w:val="center"/>
          </w:tcPr>
          <w:p w14:paraId="1135B019"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w:t>
            </w:r>
            <w:r w:rsidRPr="00B07F42">
              <w:rPr>
                <w:rFonts w:ascii="Tw Cen MT" w:hAnsi="Tw Cen MT" w:cs="Times New Roman"/>
                <w:sz w:val="20"/>
                <w:szCs w:val="20"/>
              </w:rPr>
              <w:t xml:space="preserve">Rerata </w:t>
            </w:r>
            <w:r w:rsidRPr="00B07F42">
              <w:rPr>
                <w:rFonts w:ascii="Tw Cen MT" w:hAnsi="Tw Cen MT" w:cs="Times New Roman"/>
                <w:sz w:val="20"/>
                <w:szCs w:val="20"/>
              </w:rPr>
              <w:sym w:font="Symbol" w:char="F0B1"/>
            </w:r>
            <w:r w:rsidRPr="00B07F42">
              <w:rPr>
                <w:rFonts w:ascii="Tw Cen MT" w:hAnsi="Tw Cen MT" w:cs="Times New Roman"/>
                <w:sz w:val="20"/>
                <w:szCs w:val="20"/>
              </w:rPr>
              <w:t xml:space="preserve"> SB</w:t>
            </w:r>
            <w:r w:rsidRPr="00B07F42">
              <w:rPr>
                <w:rFonts w:ascii="Tw Cen MT" w:hAnsi="Tw Cen MT" w:cs="Times New Roman"/>
                <w:sz w:val="20"/>
                <w:szCs w:val="20"/>
                <w:lang w:val="en-US"/>
              </w:rPr>
              <w:t>)</w:t>
            </w:r>
          </w:p>
          <w:p w14:paraId="53B165C7"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Skor PDI</w:t>
            </w:r>
          </w:p>
        </w:tc>
        <w:tc>
          <w:tcPr>
            <w:tcW w:w="1134" w:type="dxa"/>
            <w:tcBorders>
              <w:top w:val="single" w:sz="4" w:space="0" w:color="auto"/>
              <w:bottom w:val="single" w:sz="4" w:space="0" w:color="000000"/>
            </w:tcBorders>
            <w:vAlign w:val="center"/>
          </w:tcPr>
          <w:p w14:paraId="579A740F"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w:t>
            </w:r>
            <w:r w:rsidRPr="00B07F42">
              <w:rPr>
                <w:rFonts w:ascii="Tw Cen MT" w:hAnsi="Tw Cen MT" w:cs="Times New Roman"/>
                <w:sz w:val="20"/>
                <w:szCs w:val="20"/>
              </w:rPr>
              <w:t xml:space="preserve">Rerata </w:t>
            </w:r>
            <w:r w:rsidRPr="00B07F42">
              <w:rPr>
                <w:rFonts w:ascii="Tw Cen MT" w:hAnsi="Tw Cen MT" w:cs="Times New Roman"/>
                <w:sz w:val="20"/>
                <w:szCs w:val="20"/>
              </w:rPr>
              <w:sym w:font="Symbol" w:char="F0B1"/>
            </w:r>
            <w:r w:rsidRPr="00B07F42">
              <w:rPr>
                <w:rFonts w:ascii="Tw Cen MT" w:hAnsi="Tw Cen MT" w:cs="Times New Roman"/>
                <w:sz w:val="20"/>
                <w:szCs w:val="20"/>
              </w:rPr>
              <w:t xml:space="preserve"> SB</w:t>
            </w:r>
            <w:r w:rsidRPr="00B07F42">
              <w:rPr>
                <w:rFonts w:ascii="Tw Cen MT" w:hAnsi="Tw Cen MT" w:cs="Times New Roman"/>
                <w:sz w:val="20"/>
                <w:szCs w:val="20"/>
                <w:lang w:val="en-US"/>
              </w:rPr>
              <w:t>)</w:t>
            </w:r>
          </w:p>
          <w:p w14:paraId="5B634B73"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Skor PDI</w:t>
            </w:r>
          </w:p>
        </w:tc>
        <w:tc>
          <w:tcPr>
            <w:tcW w:w="712" w:type="dxa"/>
            <w:vMerge/>
            <w:tcBorders>
              <w:bottom w:val="single" w:sz="4" w:space="0" w:color="000000"/>
            </w:tcBorders>
            <w:vAlign w:val="center"/>
          </w:tcPr>
          <w:p w14:paraId="0B52591E" w14:textId="77777777" w:rsidR="00B07F42" w:rsidRPr="00B07F42" w:rsidRDefault="00B07F42" w:rsidP="00B07F42">
            <w:pPr>
              <w:pStyle w:val="NoSpacing"/>
              <w:jc w:val="center"/>
              <w:rPr>
                <w:rFonts w:ascii="Tw Cen MT" w:hAnsi="Tw Cen MT" w:cs="Times New Roman"/>
                <w:i/>
                <w:sz w:val="20"/>
                <w:szCs w:val="20"/>
                <w:lang w:val="en-US"/>
              </w:rPr>
            </w:pPr>
          </w:p>
        </w:tc>
        <w:tc>
          <w:tcPr>
            <w:tcW w:w="894" w:type="dxa"/>
            <w:vMerge/>
            <w:tcBorders>
              <w:bottom w:val="single" w:sz="4" w:space="0" w:color="000000"/>
            </w:tcBorders>
            <w:vAlign w:val="center"/>
          </w:tcPr>
          <w:p w14:paraId="71317B4F" w14:textId="77777777" w:rsidR="00B07F42" w:rsidRPr="00B07F42" w:rsidRDefault="00B07F42" w:rsidP="00B07F42">
            <w:pPr>
              <w:pStyle w:val="NoSpacing"/>
              <w:jc w:val="center"/>
              <w:rPr>
                <w:rFonts w:ascii="Tw Cen MT" w:hAnsi="Tw Cen MT" w:cs="Times New Roman"/>
                <w:i/>
                <w:sz w:val="20"/>
                <w:szCs w:val="20"/>
                <w:lang w:val="en-US"/>
              </w:rPr>
            </w:pPr>
          </w:p>
        </w:tc>
      </w:tr>
      <w:tr w:rsidR="00B07F42" w:rsidRPr="00B07F42" w14:paraId="0F516A92" w14:textId="77777777" w:rsidTr="00B07F42">
        <w:trPr>
          <w:trHeight w:val="271"/>
        </w:trPr>
        <w:tc>
          <w:tcPr>
            <w:tcW w:w="1134" w:type="dxa"/>
            <w:tcBorders>
              <w:top w:val="single" w:sz="4" w:space="0" w:color="000000"/>
            </w:tcBorders>
          </w:tcPr>
          <w:p w14:paraId="4D011EED"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1</w:t>
            </w:r>
          </w:p>
        </w:tc>
        <w:tc>
          <w:tcPr>
            <w:tcW w:w="1134" w:type="dxa"/>
            <w:tcBorders>
              <w:top w:val="single" w:sz="4" w:space="0" w:color="000000"/>
            </w:tcBorders>
          </w:tcPr>
          <w:p w14:paraId="3F0C4FB3"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37,50</w:t>
            </w:r>
            <w:r w:rsidRPr="00B07F42">
              <w:rPr>
                <w:rFonts w:ascii="Tw Cen MT" w:hAnsi="Tw Cen MT" w:cs="Times New Roman"/>
                <w:sz w:val="20"/>
                <w:szCs w:val="20"/>
              </w:rPr>
              <w:sym w:font="Symbol" w:char="F0B1"/>
            </w:r>
            <w:r w:rsidRPr="00B07F42">
              <w:rPr>
                <w:rFonts w:ascii="Tw Cen MT" w:hAnsi="Tw Cen MT" w:cs="Times New Roman"/>
                <w:sz w:val="20"/>
                <w:szCs w:val="20"/>
                <w:lang w:val="en-US"/>
              </w:rPr>
              <w:t>7,06</w:t>
            </w:r>
          </w:p>
        </w:tc>
        <w:tc>
          <w:tcPr>
            <w:tcW w:w="1134" w:type="dxa"/>
            <w:tcBorders>
              <w:top w:val="single" w:sz="4" w:space="0" w:color="000000"/>
            </w:tcBorders>
          </w:tcPr>
          <w:p w14:paraId="565A6B8E"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26,20</w:t>
            </w:r>
            <w:r w:rsidRPr="00B07F42">
              <w:rPr>
                <w:rFonts w:ascii="Tw Cen MT" w:hAnsi="Tw Cen MT" w:cs="Times New Roman"/>
                <w:sz w:val="20"/>
                <w:szCs w:val="20"/>
              </w:rPr>
              <w:sym w:font="Symbol" w:char="F0B1"/>
            </w:r>
            <w:r w:rsidRPr="00B07F42">
              <w:rPr>
                <w:rFonts w:ascii="Tw Cen MT" w:hAnsi="Tw Cen MT" w:cs="Times New Roman"/>
                <w:sz w:val="20"/>
                <w:szCs w:val="20"/>
                <w:lang w:val="en-US"/>
              </w:rPr>
              <w:t>8,70</w:t>
            </w:r>
          </w:p>
        </w:tc>
        <w:tc>
          <w:tcPr>
            <w:tcW w:w="712" w:type="dxa"/>
            <w:tcBorders>
              <w:top w:val="single" w:sz="4" w:space="0" w:color="000000"/>
            </w:tcBorders>
          </w:tcPr>
          <w:p w14:paraId="65DD0525"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0,001</w:t>
            </w:r>
          </w:p>
        </w:tc>
        <w:tc>
          <w:tcPr>
            <w:tcW w:w="894" w:type="dxa"/>
            <w:tcBorders>
              <w:top w:val="single" w:sz="4" w:space="0" w:color="000000"/>
            </w:tcBorders>
            <w:vAlign w:val="center"/>
          </w:tcPr>
          <w:p w14:paraId="6B1B3F1F"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11,30</w:t>
            </w:r>
          </w:p>
        </w:tc>
      </w:tr>
      <w:tr w:rsidR="00B07F42" w:rsidRPr="00B07F42" w14:paraId="4E258E3D" w14:textId="77777777" w:rsidTr="00B07F42">
        <w:trPr>
          <w:trHeight w:val="279"/>
        </w:trPr>
        <w:tc>
          <w:tcPr>
            <w:tcW w:w="1134" w:type="dxa"/>
          </w:tcPr>
          <w:p w14:paraId="41722281"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2</w:t>
            </w:r>
          </w:p>
        </w:tc>
        <w:tc>
          <w:tcPr>
            <w:tcW w:w="1134" w:type="dxa"/>
          </w:tcPr>
          <w:p w14:paraId="52A282EF"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35,80</w:t>
            </w:r>
            <w:r w:rsidRPr="00B07F42">
              <w:rPr>
                <w:rFonts w:ascii="Tw Cen MT" w:hAnsi="Tw Cen MT" w:cs="Times New Roman"/>
                <w:sz w:val="20"/>
                <w:szCs w:val="20"/>
              </w:rPr>
              <w:sym w:font="Symbol" w:char="F0B1"/>
            </w:r>
            <w:r w:rsidRPr="00B07F42">
              <w:rPr>
                <w:rFonts w:ascii="Tw Cen MT" w:hAnsi="Tw Cen MT" w:cs="Times New Roman"/>
                <w:sz w:val="20"/>
                <w:szCs w:val="20"/>
                <w:lang w:val="en-US"/>
              </w:rPr>
              <w:t>8,65</w:t>
            </w:r>
          </w:p>
        </w:tc>
        <w:tc>
          <w:tcPr>
            <w:tcW w:w="1134" w:type="dxa"/>
          </w:tcPr>
          <w:p w14:paraId="3F85DD05"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31,40</w:t>
            </w:r>
            <w:r w:rsidRPr="00B07F42">
              <w:rPr>
                <w:rFonts w:ascii="Tw Cen MT" w:hAnsi="Tw Cen MT" w:cs="Times New Roman"/>
                <w:sz w:val="20"/>
                <w:szCs w:val="20"/>
              </w:rPr>
              <w:sym w:font="Symbol" w:char="F0B1"/>
            </w:r>
            <w:r w:rsidRPr="00B07F42">
              <w:rPr>
                <w:rFonts w:ascii="Tw Cen MT" w:hAnsi="Tw Cen MT" w:cs="Times New Roman"/>
                <w:sz w:val="20"/>
                <w:szCs w:val="20"/>
                <w:lang w:val="en-US"/>
              </w:rPr>
              <w:t>7,57</w:t>
            </w:r>
          </w:p>
        </w:tc>
        <w:tc>
          <w:tcPr>
            <w:tcW w:w="712" w:type="dxa"/>
          </w:tcPr>
          <w:p w14:paraId="0D7CECA0"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0,001</w:t>
            </w:r>
          </w:p>
        </w:tc>
        <w:tc>
          <w:tcPr>
            <w:tcW w:w="894" w:type="dxa"/>
          </w:tcPr>
          <w:p w14:paraId="0C8E6782"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3,60</w:t>
            </w:r>
          </w:p>
        </w:tc>
      </w:tr>
      <w:tr w:rsidR="00B07F42" w:rsidRPr="00B07F42" w14:paraId="157E7332" w14:textId="77777777" w:rsidTr="00B07F42">
        <w:trPr>
          <w:trHeight w:val="255"/>
        </w:trPr>
        <w:tc>
          <w:tcPr>
            <w:tcW w:w="1134" w:type="dxa"/>
          </w:tcPr>
          <w:p w14:paraId="11CE93DA"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 xml:space="preserve">Nilai </w:t>
            </w:r>
            <w:r w:rsidRPr="00B07F42">
              <w:rPr>
                <w:rFonts w:ascii="Tw Cen MT" w:hAnsi="Tw Cen MT" w:cs="Times New Roman"/>
                <w:i/>
                <w:sz w:val="20"/>
                <w:szCs w:val="20"/>
                <w:lang w:val="en-US"/>
              </w:rPr>
              <w:t>p**</w:t>
            </w:r>
          </w:p>
        </w:tc>
        <w:tc>
          <w:tcPr>
            <w:tcW w:w="1134" w:type="dxa"/>
          </w:tcPr>
          <w:p w14:paraId="3D0AD5EE" w14:textId="77777777" w:rsidR="00B07F42" w:rsidRPr="00B07F42" w:rsidRDefault="00B07F42" w:rsidP="00B07F42">
            <w:pPr>
              <w:pStyle w:val="NoSpacing"/>
              <w:ind w:left="37"/>
              <w:jc w:val="center"/>
              <w:rPr>
                <w:rFonts w:ascii="Tw Cen MT" w:hAnsi="Tw Cen MT" w:cs="Times New Roman"/>
                <w:sz w:val="20"/>
                <w:szCs w:val="20"/>
                <w:lang w:val="en-US"/>
              </w:rPr>
            </w:pPr>
            <w:r w:rsidRPr="00B07F42">
              <w:rPr>
                <w:rFonts w:ascii="Tw Cen MT" w:hAnsi="Tw Cen MT" w:cs="Times New Roman"/>
                <w:sz w:val="20"/>
                <w:szCs w:val="20"/>
                <w:lang w:val="en-US"/>
              </w:rPr>
              <w:t>0,636</w:t>
            </w:r>
          </w:p>
        </w:tc>
        <w:tc>
          <w:tcPr>
            <w:tcW w:w="1134" w:type="dxa"/>
          </w:tcPr>
          <w:p w14:paraId="63BDED17"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0,172</w:t>
            </w:r>
          </w:p>
        </w:tc>
        <w:tc>
          <w:tcPr>
            <w:tcW w:w="712" w:type="dxa"/>
          </w:tcPr>
          <w:p w14:paraId="083D7F33"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w:t>
            </w:r>
          </w:p>
        </w:tc>
        <w:tc>
          <w:tcPr>
            <w:tcW w:w="894" w:type="dxa"/>
          </w:tcPr>
          <w:p w14:paraId="3A4573F6" w14:textId="77777777" w:rsidR="00B07F42" w:rsidRPr="00B07F42" w:rsidRDefault="00B07F42" w:rsidP="00B07F42">
            <w:pPr>
              <w:pStyle w:val="NoSpacing"/>
              <w:jc w:val="center"/>
              <w:rPr>
                <w:rFonts w:ascii="Tw Cen MT" w:hAnsi="Tw Cen MT" w:cs="Times New Roman"/>
                <w:sz w:val="20"/>
                <w:szCs w:val="20"/>
                <w:lang w:val="en-US"/>
              </w:rPr>
            </w:pPr>
            <w:r w:rsidRPr="00B07F42">
              <w:rPr>
                <w:rFonts w:ascii="Tw Cen MT" w:hAnsi="Tw Cen MT" w:cs="Times New Roman"/>
                <w:sz w:val="20"/>
                <w:szCs w:val="20"/>
                <w:lang w:val="en-US"/>
              </w:rPr>
              <w:t>0,001</w:t>
            </w:r>
          </w:p>
        </w:tc>
      </w:tr>
    </w:tbl>
    <w:p w14:paraId="1D88CA64" w14:textId="0B9B20C8" w:rsidR="001664B3" w:rsidRPr="00414665" w:rsidRDefault="001664B3" w:rsidP="00414665">
      <w:pPr>
        <w:pStyle w:val="NoSpacing"/>
        <w:ind w:left="-567"/>
        <w:rPr>
          <w:rFonts w:ascii="Tw Cen MT" w:hAnsi="Tw Cen MT" w:cs="Times New Roman"/>
          <w:i/>
          <w:sz w:val="20"/>
          <w:szCs w:val="20"/>
          <w:lang w:val="en-US"/>
        </w:rPr>
      </w:pPr>
      <w:r w:rsidRPr="00414665">
        <w:rPr>
          <w:rFonts w:ascii="Tw Cen MT" w:hAnsi="Tw Cen MT" w:cs="Times New Roman"/>
          <w:i/>
          <w:sz w:val="20"/>
          <w:szCs w:val="20"/>
          <w:lang w:val="en-US"/>
        </w:rPr>
        <w:t>p*</w:t>
      </w:r>
      <w:r w:rsidR="00414665" w:rsidRPr="00414665">
        <w:rPr>
          <w:rFonts w:ascii="Tw Cen MT" w:hAnsi="Tw Cen MT" w:cs="Times New Roman"/>
          <w:i/>
          <w:sz w:val="20"/>
          <w:szCs w:val="20"/>
          <w:lang w:val="en-US"/>
        </w:rPr>
        <w:tab/>
      </w:r>
      <w:r w:rsidRPr="00414665">
        <w:rPr>
          <w:rFonts w:ascii="Tw Cen MT" w:hAnsi="Tw Cen MT" w:cs="Times New Roman"/>
          <w:sz w:val="20"/>
          <w:szCs w:val="20"/>
          <w:lang w:val="en-US"/>
        </w:rPr>
        <w:t xml:space="preserve">: diuji dengan </w:t>
      </w:r>
      <w:r w:rsidRPr="00414665">
        <w:rPr>
          <w:rFonts w:ascii="Tw Cen MT" w:hAnsi="Tw Cen MT" w:cs="Times New Roman"/>
          <w:i/>
          <w:sz w:val="20"/>
          <w:szCs w:val="20"/>
          <w:lang w:val="en-US"/>
        </w:rPr>
        <w:t>paired sample t-test</w:t>
      </w:r>
    </w:p>
    <w:p w14:paraId="23C9139B" w14:textId="06C73C61" w:rsidR="001664B3" w:rsidRPr="00414665" w:rsidRDefault="001664B3" w:rsidP="00414665">
      <w:pPr>
        <w:pStyle w:val="NoSpacing"/>
        <w:ind w:left="-709"/>
        <w:rPr>
          <w:rFonts w:ascii="Tw Cen MT" w:hAnsi="Tw Cen MT" w:cs="Times New Roman"/>
          <w:i/>
          <w:sz w:val="20"/>
          <w:szCs w:val="20"/>
          <w:lang w:val="en-US"/>
        </w:rPr>
      </w:pPr>
      <w:r w:rsidRPr="00414665">
        <w:rPr>
          <w:rFonts w:ascii="Tw Cen MT" w:hAnsi="Tw Cen MT" w:cs="Times New Roman"/>
          <w:sz w:val="20"/>
          <w:szCs w:val="20"/>
          <w:lang w:val="en-US"/>
        </w:rPr>
        <w:t xml:space="preserve"> </w:t>
      </w:r>
      <w:r w:rsidRPr="00414665">
        <w:rPr>
          <w:rFonts w:ascii="Tw Cen MT" w:hAnsi="Tw Cen MT" w:cs="Times New Roman"/>
          <w:i/>
          <w:sz w:val="20"/>
          <w:szCs w:val="20"/>
          <w:lang w:val="en-US"/>
        </w:rPr>
        <w:t>p**</w:t>
      </w:r>
      <w:r w:rsidR="00414665" w:rsidRPr="00414665">
        <w:rPr>
          <w:rFonts w:ascii="Tw Cen MT" w:hAnsi="Tw Cen MT" w:cs="Times New Roman"/>
          <w:sz w:val="20"/>
          <w:szCs w:val="20"/>
          <w:lang w:val="en-US"/>
        </w:rPr>
        <w:tab/>
      </w:r>
      <w:r w:rsidRPr="00414665">
        <w:rPr>
          <w:rFonts w:ascii="Tw Cen MT" w:hAnsi="Tw Cen MT" w:cs="Times New Roman"/>
          <w:sz w:val="20"/>
          <w:szCs w:val="20"/>
          <w:lang w:val="en-US"/>
        </w:rPr>
        <w:t xml:space="preserve">: diuji dengan </w:t>
      </w:r>
      <w:r w:rsidRPr="00414665">
        <w:rPr>
          <w:rFonts w:ascii="Tw Cen MT" w:hAnsi="Tw Cen MT" w:cs="Times New Roman"/>
          <w:i/>
          <w:sz w:val="20"/>
          <w:szCs w:val="20"/>
          <w:lang w:val="en-US"/>
        </w:rPr>
        <w:t>independent t-test</w:t>
      </w:r>
    </w:p>
    <w:p w14:paraId="7401DA67" w14:textId="77777777" w:rsidR="001664B3" w:rsidRPr="001664B3" w:rsidRDefault="001664B3" w:rsidP="001664B3">
      <w:pPr>
        <w:spacing w:after="0" w:line="240" w:lineRule="auto"/>
        <w:rPr>
          <w:rFonts w:ascii="Tw Cen MT" w:hAnsi="Tw Cen MT" w:cs="Times New Roman"/>
          <w:spacing w:val="20"/>
          <w:sz w:val="24"/>
          <w:szCs w:val="24"/>
        </w:rPr>
      </w:pPr>
    </w:p>
    <w:p w14:paraId="06248AFF" w14:textId="77777777" w:rsidR="001664B3" w:rsidRPr="00414665" w:rsidRDefault="001664B3" w:rsidP="00414665">
      <w:pPr>
        <w:pStyle w:val="NoSpacing"/>
        <w:ind w:firstLine="426"/>
        <w:jc w:val="both"/>
        <w:rPr>
          <w:rFonts w:ascii="Tw Cen MT" w:hAnsi="Tw Cen MT"/>
          <w:sz w:val="24"/>
          <w:szCs w:val="24"/>
        </w:rPr>
      </w:pPr>
      <w:r w:rsidRPr="00414665">
        <w:rPr>
          <w:rFonts w:ascii="Tw Cen MT" w:hAnsi="Tw Cen MT"/>
          <w:spacing w:val="20"/>
          <w:sz w:val="24"/>
          <w:szCs w:val="24"/>
        </w:rPr>
        <w:t xml:space="preserve">Tabel 3 menunjukkan bahwa skor rerata peningkatan kemampuan fungsional antara sebelum perlakuan </w:t>
      </w:r>
      <w:r w:rsidRPr="00414665">
        <w:rPr>
          <w:rFonts w:ascii="Tw Cen MT" w:hAnsi="Tw Cen MT"/>
          <w:color w:val="000000"/>
          <w:sz w:val="24"/>
          <w:szCs w:val="24"/>
        </w:rPr>
        <w:t xml:space="preserve">37, 50 </w:t>
      </w:r>
      <w:r w:rsidRPr="00414665">
        <w:rPr>
          <w:rFonts w:ascii="Tw Cen MT" w:hAnsi="Tw Cen MT"/>
          <w:sz w:val="24"/>
          <w:szCs w:val="24"/>
        </w:rPr>
        <w:sym w:font="Symbol" w:char="F0B1"/>
      </w:r>
      <w:r w:rsidRPr="00414665">
        <w:rPr>
          <w:rFonts w:ascii="Tw Cen MT" w:hAnsi="Tw Cen MT"/>
          <w:sz w:val="24"/>
          <w:szCs w:val="24"/>
        </w:rPr>
        <w:t xml:space="preserve"> 7, 06 dan se</w:t>
      </w:r>
      <w:r w:rsidRPr="00414665">
        <w:rPr>
          <w:rFonts w:ascii="Tw Cen MT" w:hAnsi="Tw Cen MT"/>
          <w:spacing w:val="20"/>
          <w:sz w:val="24"/>
          <w:szCs w:val="24"/>
        </w:rPr>
        <w:t xml:space="preserve">telah perlakuan </w:t>
      </w:r>
      <w:r w:rsidRPr="00414665">
        <w:rPr>
          <w:rFonts w:ascii="Tw Cen MT" w:hAnsi="Tw Cen MT"/>
          <w:color w:val="000000"/>
          <w:sz w:val="24"/>
          <w:szCs w:val="24"/>
        </w:rPr>
        <w:t xml:space="preserve">26,20 </w:t>
      </w:r>
      <w:r w:rsidRPr="00414665">
        <w:rPr>
          <w:rFonts w:ascii="Tw Cen MT" w:hAnsi="Tw Cen MT"/>
          <w:sz w:val="24"/>
          <w:szCs w:val="24"/>
        </w:rPr>
        <w:sym w:font="Symbol" w:char="F0B1"/>
      </w:r>
      <w:r w:rsidRPr="00414665">
        <w:rPr>
          <w:rFonts w:ascii="Tw Cen MT" w:hAnsi="Tw Cen MT"/>
          <w:sz w:val="24"/>
          <w:szCs w:val="24"/>
        </w:rPr>
        <w:t xml:space="preserve"> 8,70 artinya terjadi rerata peningkatan kemampuan fungsional sebesar 11,3 pada Kelompok 1. Kelompok 2 mempunyai rerata skor peningkatan kemampuan fungsional antara sebelum perlakuan sebesar </w:t>
      </w:r>
      <w:r w:rsidRPr="00414665">
        <w:rPr>
          <w:rFonts w:ascii="Tw Cen MT" w:hAnsi="Tw Cen MT"/>
          <w:color w:val="000000"/>
          <w:sz w:val="24"/>
          <w:szCs w:val="24"/>
        </w:rPr>
        <w:t xml:space="preserve">35,80 </w:t>
      </w:r>
      <w:r w:rsidRPr="00414665">
        <w:rPr>
          <w:rFonts w:ascii="Tw Cen MT" w:hAnsi="Tw Cen MT"/>
          <w:sz w:val="24"/>
          <w:szCs w:val="24"/>
        </w:rPr>
        <w:sym w:font="Symbol" w:char="F0B1"/>
      </w:r>
      <w:r w:rsidRPr="00414665">
        <w:rPr>
          <w:rFonts w:ascii="Tw Cen MT" w:hAnsi="Tw Cen MT"/>
          <w:sz w:val="24"/>
          <w:szCs w:val="24"/>
        </w:rPr>
        <w:t xml:space="preserve"> 8,65 dan setelah perlakuan 31,40 </w:t>
      </w:r>
      <w:r w:rsidRPr="00414665">
        <w:rPr>
          <w:rFonts w:ascii="Tw Cen MT" w:hAnsi="Tw Cen MT"/>
          <w:sz w:val="24"/>
          <w:szCs w:val="24"/>
        </w:rPr>
        <w:sym w:font="Symbol" w:char="F0B1"/>
      </w:r>
      <w:r w:rsidRPr="00414665">
        <w:rPr>
          <w:rFonts w:ascii="Tw Cen MT" w:hAnsi="Tw Cen MT"/>
          <w:sz w:val="24"/>
          <w:szCs w:val="24"/>
        </w:rPr>
        <w:t xml:space="preserve"> 7,57 yang artinya terjadi penurunan nyeri sebesar 3,60. Dari hasil analisis statistik menggunakan </w:t>
      </w:r>
      <w:r w:rsidRPr="00414665">
        <w:rPr>
          <w:rFonts w:ascii="Tw Cen MT" w:hAnsi="Tw Cen MT"/>
          <w:i/>
          <w:sz w:val="24"/>
          <w:szCs w:val="24"/>
        </w:rPr>
        <w:t>paired sample t-test</w:t>
      </w:r>
      <w:r w:rsidRPr="00414665">
        <w:rPr>
          <w:rFonts w:ascii="Tw Cen MT" w:hAnsi="Tw Cen MT"/>
          <w:sz w:val="24"/>
          <w:szCs w:val="24"/>
        </w:rPr>
        <w:t xml:space="preserve"> didapatkan hasil yang sama pada ke dua Kelompok, yaitu p=0,001 (p&lt;0,005) maka ada beda secara bermakna rerata peningkatan kemampuan fungsional sebelum dan setelah perlakuan. </w:t>
      </w:r>
    </w:p>
    <w:p w14:paraId="42F50991" w14:textId="77777777" w:rsidR="001664B3" w:rsidRPr="001664B3" w:rsidRDefault="001664B3" w:rsidP="001664B3">
      <w:pPr>
        <w:spacing w:after="0"/>
        <w:ind w:firstLine="426"/>
        <w:jc w:val="both"/>
        <w:rPr>
          <w:rFonts w:ascii="Tw Cen MT" w:hAnsi="Tw Cen MT" w:cs="Times New Roman"/>
          <w:sz w:val="24"/>
          <w:szCs w:val="24"/>
        </w:rPr>
      </w:pPr>
      <w:r w:rsidRPr="001664B3">
        <w:rPr>
          <w:rFonts w:ascii="Tw Cen MT" w:hAnsi="Tw Cen MT" w:cs="Times New Roman"/>
          <w:sz w:val="24"/>
          <w:szCs w:val="24"/>
        </w:rPr>
        <w:t xml:space="preserve">Hasil analisis beda rerata peningkatan kemampuan fungsional pada ke dua Kelompok dengan menggunakan </w:t>
      </w:r>
      <w:r w:rsidRPr="001664B3">
        <w:rPr>
          <w:rFonts w:ascii="Tw Cen MT" w:hAnsi="Tw Cen MT" w:cs="Times New Roman"/>
          <w:i/>
          <w:sz w:val="24"/>
          <w:szCs w:val="24"/>
        </w:rPr>
        <w:t xml:space="preserve">independent sample t-test </w:t>
      </w:r>
      <w:r w:rsidRPr="001664B3">
        <w:rPr>
          <w:rFonts w:ascii="Tw Cen MT" w:hAnsi="Tw Cen MT" w:cs="Times New Roman"/>
          <w:sz w:val="24"/>
          <w:szCs w:val="24"/>
        </w:rPr>
        <w:t xml:space="preserve">menunjukkan ada perbedaan yang signifikan karena nilai p&lt;0,05. Hal ini berarti intervensi modifikasi senam hamil dan </w:t>
      </w:r>
      <w:r w:rsidRPr="001664B3">
        <w:rPr>
          <w:rFonts w:ascii="Tw Cen MT" w:hAnsi="Tw Cen MT" w:cs="Times New Roman"/>
          <w:i/>
          <w:sz w:val="24"/>
          <w:szCs w:val="24"/>
        </w:rPr>
        <w:t>gym ball</w:t>
      </w:r>
      <w:r w:rsidRPr="001664B3">
        <w:rPr>
          <w:rFonts w:ascii="Tw Cen MT" w:hAnsi="Tw Cen MT" w:cs="Times New Roman"/>
          <w:sz w:val="24"/>
          <w:szCs w:val="24"/>
        </w:rPr>
        <w:t xml:space="preserve"> lebih baik dibanding dengan senam hamil konvensional dalam meningkatkan kemampuan fungsional ibu hamil pada kondisi NPB.</w:t>
      </w:r>
    </w:p>
    <w:p w14:paraId="7EF7F34A" w14:textId="143A6D78" w:rsidR="007106F6" w:rsidRDefault="00414665" w:rsidP="00710CD9">
      <w:pPr>
        <w:pStyle w:val="ListParagraph"/>
        <w:numPr>
          <w:ilvl w:val="0"/>
          <w:numId w:val="5"/>
        </w:numPr>
        <w:spacing w:after="0" w:line="240" w:lineRule="auto"/>
        <w:ind w:left="284" w:hanging="284"/>
        <w:jc w:val="both"/>
        <w:rPr>
          <w:rFonts w:ascii="Tw Cen MT" w:eastAsia="Twentieth Century" w:hAnsi="Tw Cen MT" w:cs="Twentieth Century"/>
          <w:b/>
          <w:bCs/>
          <w:sz w:val="24"/>
          <w:szCs w:val="24"/>
        </w:rPr>
      </w:pPr>
      <w:r w:rsidRPr="00414665">
        <w:rPr>
          <w:rFonts w:ascii="Tw Cen MT" w:eastAsia="Twentieth Century" w:hAnsi="Tw Cen MT" w:cs="Twentieth Century"/>
          <w:b/>
          <w:bCs/>
          <w:sz w:val="24"/>
          <w:szCs w:val="24"/>
        </w:rPr>
        <w:t xml:space="preserve">PEMBAHASAN </w:t>
      </w:r>
    </w:p>
    <w:p w14:paraId="0D596EAC" w14:textId="2BFD34D5" w:rsidR="00710CD9" w:rsidRPr="00710CD9" w:rsidRDefault="00710CD9" w:rsidP="00710CD9">
      <w:pPr>
        <w:autoSpaceDE w:val="0"/>
        <w:autoSpaceDN w:val="0"/>
        <w:adjustRightInd w:val="0"/>
        <w:spacing w:after="0" w:line="240" w:lineRule="auto"/>
        <w:jc w:val="both"/>
        <w:rPr>
          <w:rFonts w:ascii="Tw Cen MT" w:hAnsi="Tw Cen MT"/>
          <w:sz w:val="24"/>
          <w:szCs w:val="24"/>
        </w:rPr>
      </w:pPr>
      <w:r w:rsidRPr="00710CD9">
        <w:rPr>
          <w:rFonts w:ascii="Tw Cen MT" w:hAnsi="Tw Cen MT" w:cs="Times New Roman"/>
          <w:b/>
          <w:bCs/>
          <w:sz w:val="24"/>
          <w:szCs w:val="24"/>
        </w:rPr>
        <w:t>1. Deskripsi Karakteristik Subjek</w:t>
      </w:r>
    </w:p>
    <w:p w14:paraId="777447E3" w14:textId="7EB553B6" w:rsidR="00710CD9" w:rsidRPr="00710CD9" w:rsidRDefault="00710CD9" w:rsidP="00710CD9">
      <w:pPr>
        <w:autoSpaceDE w:val="0"/>
        <w:autoSpaceDN w:val="0"/>
        <w:adjustRightInd w:val="0"/>
        <w:spacing w:after="0" w:line="240" w:lineRule="auto"/>
        <w:ind w:firstLine="426"/>
        <w:jc w:val="both"/>
        <w:rPr>
          <w:rFonts w:ascii="Tw Cen MT" w:hAnsi="Tw Cen MT"/>
          <w:sz w:val="24"/>
          <w:szCs w:val="24"/>
        </w:rPr>
      </w:pPr>
      <w:r w:rsidRPr="00710CD9">
        <w:rPr>
          <w:rFonts w:ascii="Tw Cen MT" w:hAnsi="Tw Cen MT"/>
          <w:sz w:val="24"/>
          <w:szCs w:val="24"/>
        </w:rPr>
        <w:t>Data karakteristik subjek penelitian berdasarkan umur, subjek penelitian Kelompok 1 memiliki rerata umur 26,20 tahun dan Kelompok 2 memiliki rerata umur 23,60 tahun. Dari ke dua Kelompok menunjukkan bahwa para ibu berada pada rentang usia ideal untuk hamil</w:t>
      </w:r>
      <w:r w:rsidRPr="00710CD9">
        <w:rPr>
          <w:rFonts w:ascii="Tw Cen MT" w:hAnsi="Tw Cen MT"/>
          <w:sz w:val="24"/>
          <w:szCs w:val="24"/>
          <w:vertAlign w:val="superscript"/>
        </w:rPr>
        <w:t>.</w:t>
      </w:r>
      <w:r w:rsidRPr="00710CD9">
        <w:rPr>
          <w:rFonts w:ascii="Tw Cen MT" w:hAnsi="Tw Cen MT"/>
          <w:sz w:val="24"/>
          <w:szCs w:val="24"/>
        </w:rPr>
        <w:t xml:space="preserve"> </w:t>
      </w:r>
    </w:p>
    <w:p w14:paraId="42F6C39B" w14:textId="3F3C040B" w:rsidR="00710CD9" w:rsidRPr="00710CD9" w:rsidRDefault="00710CD9" w:rsidP="00710CD9">
      <w:pPr>
        <w:autoSpaceDE w:val="0"/>
        <w:autoSpaceDN w:val="0"/>
        <w:adjustRightInd w:val="0"/>
        <w:spacing w:after="0" w:line="240" w:lineRule="auto"/>
        <w:ind w:firstLine="426"/>
        <w:jc w:val="both"/>
        <w:rPr>
          <w:rFonts w:ascii="Tw Cen MT" w:hAnsi="Tw Cen MT"/>
          <w:sz w:val="24"/>
          <w:szCs w:val="24"/>
        </w:rPr>
      </w:pPr>
      <w:r w:rsidRPr="00710CD9">
        <w:rPr>
          <w:rFonts w:ascii="Tw Cen MT" w:hAnsi="Tw Cen MT"/>
          <w:sz w:val="24"/>
          <w:szCs w:val="24"/>
        </w:rPr>
        <w:t xml:space="preserve"> Berdasarkan Indeks Massa Tubuh (IMT), pada Kelompok 1 yaitu 29,56 dan Kelompok 2 yaitu 28,630. Menurut WHO, kisaran untuk IMT pada orang yang berusia lebih dari 20 tahun adalah 18,5 – 24,9 yang disebut dengan berat badan ideal dan memiliki kesehatan yang optimal</w:t>
      </w:r>
      <w:r w:rsidRPr="00710CD9">
        <w:rPr>
          <w:rFonts w:ascii="Tw Cen MT" w:hAnsi="Tw Cen MT"/>
          <w:sz w:val="24"/>
          <w:szCs w:val="24"/>
          <w:vertAlign w:val="superscript"/>
        </w:rPr>
        <w:t xml:space="preserve"> </w:t>
      </w:r>
      <w:r w:rsidRPr="00710CD9">
        <w:rPr>
          <w:rFonts w:ascii="Tw Cen MT" w:hAnsi="Tw Cen MT"/>
          <w:sz w:val="24"/>
          <w:szCs w:val="24"/>
          <w:vertAlign w:val="superscript"/>
        </w:rPr>
        <w:fldChar w:fldCharType="begin" w:fldLock="1"/>
      </w:r>
      <w:r w:rsidR="00802B46">
        <w:rPr>
          <w:rFonts w:ascii="Tw Cen MT" w:hAnsi="Tw Cen MT"/>
          <w:sz w:val="24"/>
          <w:szCs w:val="24"/>
          <w:vertAlign w:val="superscript"/>
        </w:rPr>
        <w:instrText>ADDIN CSL_CITATION {"citationItems":[{"id":"ITEM-1","itemData":{"author":[{"dropping-particle":"","family":"WHO","given":"","non-dropping-particle":"","parse-names":false,"suffix":""}],"id":"ITEM-1","issued":{"date-parts":[["2021"]]},"title":"Body mass index - BMI","type":"report"},"uris":["http://www.mendeley.com/documents/?uuid=19eee045-b39a-4e74-a491-abe6e50b9ed3"]}],"mendeley":{"formattedCitation":"[6]","plainTextFormattedCitation":"[6]","previouslyFormattedCitation":"[6]"},"properties":{"noteIndex":0},"schema":"https://github.com/citation-style-language/schema/raw/master/csl-citation.json"}</w:instrText>
      </w:r>
      <w:r w:rsidRPr="00710CD9">
        <w:rPr>
          <w:rFonts w:ascii="Tw Cen MT" w:hAnsi="Tw Cen MT"/>
          <w:sz w:val="24"/>
          <w:szCs w:val="24"/>
          <w:vertAlign w:val="superscript"/>
        </w:rPr>
        <w:fldChar w:fldCharType="separate"/>
      </w:r>
      <w:r w:rsidR="007812CD" w:rsidRPr="007812CD">
        <w:rPr>
          <w:rFonts w:ascii="Tw Cen MT" w:hAnsi="Tw Cen MT"/>
          <w:noProof/>
          <w:sz w:val="24"/>
          <w:szCs w:val="24"/>
        </w:rPr>
        <w:t>[6]</w:t>
      </w:r>
      <w:r w:rsidRPr="00710CD9">
        <w:rPr>
          <w:rFonts w:ascii="Tw Cen MT" w:hAnsi="Tw Cen MT"/>
          <w:sz w:val="24"/>
          <w:szCs w:val="24"/>
          <w:vertAlign w:val="superscript"/>
        </w:rPr>
        <w:fldChar w:fldCharType="end"/>
      </w:r>
      <w:r w:rsidRPr="00710CD9">
        <w:rPr>
          <w:rFonts w:ascii="Tw Cen MT" w:hAnsi="Tw Cen MT"/>
          <w:sz w:val="24"/>
          <w:szCs w:val="24"/>
        </w:rPr>
        <w:t xml:space="preserve">. </w:t>
      </w:r>
    </w:p>
    <w:p w14:paraId="2A531A3B" w14:textId="114B1C9A" w:rsidR="00710CD9" w:rsidRPr="00C97133" w:rsidRDefault="00710CD9" w:rsidP="00710CD9">
      <w:pPr>
        <w:autoSpaceDE w:val="0"/>
        <w:autoSpaceDN w:val="0"/>
        <w:adjustRightInd w:val="0"/>
        <w:spacing w:after="0" w:line="240" w:lineRule="auto"/>
        <w:ind w:firstLine="426"/>
        <w:jc w:val="both"/>
        <w:rPr>
          <w:rFonts w:ascii="Tw Cen MT" w:hAnsi="Tw Cen MT"/>
          <w:sz w:val="24"/>
          <w:szCs w:val="24"/>
        </w:rPr>
      </w:pPr>
      <w:r w:rsidRPr="00C97133">
        <w:rPr>
          <w:rFonts w:ascii="Tw Cen MT" w:hAnsi="Tw Cen MT"/>
          <w:sz w:val="24"/>
          <w:szCs w:val="24"/>
        </w:rPr>
        <w:t>Orang akan memiliki peningkatan resiko komorbiditas pada rentang 25,0 – 29,9 dan orang yang memiliki resiko tinggi pada komorbiditas adalah orang yang memiliki IMT &gt;30,0. Klasifikasi status gizi berdasarkan Indeks Massa Tubuh (IMT) menurut WHO Asia Pasifik</w:t>
      </w:r>
      <w:r w:rsidR="006D035B" w:rsidRPr="00C97133">
        <w:rPr>
          <w:rFonts w:ascii="Tw Cen MT" w:hAnsi="Tw Cen MT"/>
          <w:sz w:val="24"/>
          <w:szCs w:val="24"/>
        </w:rPr>
        <w:t xml:space="preserve">, </w:t>
      </w:r>
      <w:r w:rsidRPr="00C97133">
        <w:rPr>
          <w:rFonts w:ascii="Tw Cen MT" w:hAnsi="Tw Cen MT"/>
          <w:sz w:val="24"/>
          <w:szCs w:val="24"/>
        </w:rPr>
        <w:t xml:space="preserve">yaitu </w:t>
      </w:r>
      <w:r w:rsidRPr="00C97133">
        <w:rPr>
          <w:rFonts w:ascii="Tw Cen MT" w:hAnsi="Tw Cen MT"/>
          <w:i/>
          <w:iCs/>
          <w:sz w:val="24"/>
          <w:szCs w:val="24"/>
        </w:rPr>
        <w:t>underweight</w:t>
      </w:r>
      <w:r w:rsidRPr="00C97133">
        <w:rPr>
          <w:rFonts w:ascii="Tw Cen MT" w:hAnsi="Tw Cen MT"/>
          <w:sz w:val="24"/>
          <w:szCs w:val="24"/>
        </w:rPr>
        <w:t xml:space="preserve"> (IMT &lt;18,5 kg/m2), normal </w:t>
      </w:r>
      <w:r w:rsidRPr="00C97133">
        <w:rPr>
          <w:rFonts w:ascii="Tw Cen MT" w:hAnsi="Tw Cen MT"/>
          <w:i/>
          <w:iCs/>
          <w:sz w:val="24"/>
          <w:szCs w:val="24"/>
        </w:rPr>
        <w:t>range</w:t>
      </w:r>
      <w:r w:rsidRPr="00C97133">
        <w:rPr>
          <w:rFonts w:ascii="Tw Cen MT" w:hAnsi="Tw Cen MT"/>
          <w:sz w:val="24"/>
          <w:szCs w:val="24"/>
        </w:rPr>
        <w:t xml:space="preserve"> (IMT 18,5 – 22,9 kg/m2), </w:t>
      </w:r>
      <w:r w:rsidRPr="00C97133">
        <w:rPr>
          <w:rFonts w:ascii="Tw Cen MT" w:hAnsi="Tw Cen MT"/>
          <w:i/>
          <w:iCs/>
          <w:sz w:val="24"/>
          <w:szCs w:val="24"/>
        </w:rPr>
        <w:t>overweight at risk</w:t>
      </w:r>
      <w:r w:rsidRPr="00C97133">
        <w:rPr>
          <w:rFonts w:ascii="Tw Cen MT" w:hAnsi="Tw Cen MT"/>
          <w:sz w:val="24"/>
          <w:szCs w:val="24"/>
        </w:rPr>
        <w:t xml:space="preserve"> (IMT 23 – 24,9 kg/m2), obes</w:t>
      </w:r>
      <w:r w:rsidR="006D035B" w:rsidRPr="00C97133">
        <w:rPr>
          <w:rFonts w:ascii="Tw Cen MT" w:hAnsi="Tw Cen MT"/>
          <w:sz w:val="24"/>
          <w:szCs w:val="24"/>
        </w:rPr>
        <w:t>itas</w:t>
      </w:r>
      <w:r w:rsidRPr="00C97133">
        <w:rPr>
          <w:rFonts w:ascii="Tw Cen MT" w:hAnsi="Tw Cen MT"/>
          <w:sz w:val="24"/>
          <w:szCs w:val="24"/>
        </w:rPr>
        <w:t xml:space="preserve"> I (IMT 25 – 29,9 kg/m2), dan obes</w:t>
      </w:r>
      <w:r w:rsidR="006D035B" w:rsidRPr="00C97133">
        <w:rPr>
          <w:rFonts w:ascii="Tw Cen MT" w:hAnsi="Tw Cen MT"/>
          <w:sz w:val="24"/>
          <w:szCs w:val="24"/>
        </w:rPr>
        <w:t>itas</w:t>
      </w:r>
      <w:r w:rsidRPr="00C97133">
        <w:rPr>
          <w:rFonts w:ascii="Tw Cen MT" w:hAnsi="Tw Cen MT"/>
          <w:sz w:val="24"/>
          <w:szCs w:val="24"/>
        </w:rPr>
        <w:t xml:space="preserve"> II (IMT ≥ 30 kg/m2)</w:t>
      </w:r>
      <w:r w:rsidR="007812CD" w:rsidRPr="00C97133">
        <w:rPr>
          <w:rFonts w:ascii="Tw Cen MT" w:hAnsi="Tw Cen MT"/>
          <w:sz w:val="24"/>
          <w:szCs w:val="24"/>
        </w:rPr>
        <w:t xml:space="preserve"> </w:t>
      </w:r>
      <w:r w:rsidR="007812CD" w:rsidRPr="00C97133">
        <w:rPr>
          <w:rFonts w:ascii="Tw Cen MT" w:hAnsi="Tw Cen MT"/>
          <w:sz w:val="24"/>
          <w:szCs w:val="24"/>
        </w:rPr>
        <w:fldChar w:fldCharType="begin" w:fldLock="1"/>
      </w:r>
      <w:r w:rsidR="00802B46" w:rsidRPr="00C97133">
        <w:rPr>
          <w:rFonts w:ascii="Tw Cen MT" w:hAnsi="Tw Cen MT"/>
          <w:sz w:val="24"/>
          <w:szCs w:val="24"/>
        </w:rPr>
        <w:instrText>ADDIN CSL_CITATION {"citationItems":[{"id":"ITEM-1","itemData":{"abstract":"Competence is a physiological state, distinct from sporulation and vegetative growth, that enables cells to bind and internalize transforming DNA, The transcriptional regulator ComK drives the development of competence in Bacillus subtilis, ComK is directly required for its own transcription as well as for the transcription of the genes that encode DNA transport proteins. When ComK is sequestered by binding to a complex of the proteins MecA and ClpC, the positive feedback loop leading to ComK synthesis is interrupted. The small protein ComS, produced as a result of signaling by a quorum-sensing two-component regulatory pathway, triggers the release of ComK from the complex, enabling comK transcription to occur. We show here, based on in vivo and in vitro experiments, that ComK accumulation is also regulated by proteolysis and that binding to MecA targets ComK for degradation by the ClpP protease in association with ClpC. The release of ComK from binding by MecA and ClpC, which occurs when ComS is synthesized, protects ComK from proteolysis. Following this release, the rates of MecA and ComS degradation by ClpCP are increased in our in vitro system. In this novel system, MecA serves to recruit ComK to the ClpCP protease and connects ComK degradation to the quorum-sensing signal-transduction pathway, thereby regulating a key developmental process. This is the first regulated degradation system in which a specific targeting molecule serves such a function.","author":[{"dropping-particle":"","family":"The Asia Pacific perspective: Redefining obesity and its treatment. Regional Office for the Western Pacific of the World Health Organization. World Health Organization, International Association for the Study of Obesity and International Obesity Task Forc","given":"Australia; 2000","non-dropping-particle":"","parse-names":false,"suffix":""}],"id":"ITEM-1","issued":{"date-parts":[["2000"]]},"page":"8-45","title":"0957708211_Eng.Pdf","type":"article"},"uris":["http://www.mendeley.com/documents/?uuid=e7fd8f63-b3f3-4453-8d1d-66e893a2cc12"]}],"mendeley":{"formattedCitation":"[7]","plainTextFormattedCitation":"[7]","previouslyFormattedCitation":"[7]"},"properties":{"noteIndex":0},"schema":"https://github.com/citation-style-language/schema/raw/master/csl-citation.json"}</w:instrText>
      </w:r>
      <w:r w:rsidR="007812CD" w:rsidRPr="00C97133">
        <w:rPr>
          <w:rFonts w:ascii="Tw Cen MT" w:hAnsi="Tw Cen MT"/>
          <w:sz w:val="24"/>
          <w:szCs w:val="24"/>
        </w:rPr>
        <w:fldChar w:fldCharType="separate"/>
      </w:r>
      <w:r w:rsidR="007812CD" w:rsidRPr="00C97133">
        <w:rPr>
          <w:rFonts w:ascii="Tw Cen MT" w:hAnsi="Tw Cen MT"/>
          <w:noProof/>
          <w:sz w:val="24"/>
          <w:szCs w:val="24"/>
        </w:rPr>
        <w:t>[7]</w:t>
      </w:r>
      <w:r w:rsidR="007812CD" w:rsidRPr="00C97133">
        <w:rPr>
          <w:rFonts w:ascii="Tw Cen MT" w:hAnsi="Tw Cen MT"/>
          <w:sz w:val="24"/>
          <w:szCs w:val="24"/>
        </w:rPr>
        <w:fldChar w:fldCharType="end"/>
      </w:r>
      <w:r w:rsidRPr="00C97133">
        <w:rPr>
          <w:rFonts w:ascii="Tw Cen MT" w:hAnsi="Tw Cen MT"/>
          <w:sz w:val="24"/>
          <w:szCs w:val="24"/>
        </w:rPr>
        <w:t>.</w:t>
      </w:r>
    </w:p>
    <w:p w14:paraId="16DC74C9" w14:textId="7341620A" w:rsidR="00710CD9" w:rsidRPr="00C97133" w:rsidRDefault="00710CD9" w:rsidP="00710CD9">
      <w:pPr>
        <w:autoSpaceDE w:val="0"/>
        <w:autoSpaceDN w:val="0"/>
        <w:adjustRightInd w:val="0"/>
        <w:spacing w:after="0" w:line="240" w:lineRule="auto"/>
        <w:ind w:firstLine="426"/>
        <w:jc w:val="both"/>
        <w:rPr>
          <w:rFonts w:ascii="Tw Cen MT" w:hAnsi="Tw Cen MT"/>
          <w:sz w:val="24"/>
          <w:szCs w:val="24"/>
        </w:rPr>
      </w:pPr>
      <w:r w:rsidRPr="00C97133">
        <w:rPr>
          <w:rFonts w:ascii="Tw Cen MT" w:hAnsi="Tw Cen MT"/>
          <w:sz w:val="24"/>
          <w:szCs w:val="24"/>
        </w:rPr>
        <w:t xml:space="preserve">Hasil dari penelitan ini sejalan dengan dua penelitian sebelumnya yang telah dilakukan </w:t>
      </w:r>
      <w:r w:rsidRPr="00C97133">
        <w:rPr>
          <w:rFonts w:ascii="Tw Cen MT" w:hAnsi="Tw Cen MT" w:cs="Times New Roman"/>
          <w:sz w:val="24"/>
          <w:szCs w:val="24"/>
        </w:rPr>
        <w:t>oleh Mulfianda (2021) dan Kamali (2014) yang menyebutkan bahwa terdapat hubungan yang bermakna antara IMT dengan nyeri punggung bawah (p=0,003 dan p=0,000). Menurut Nagara (2015), IMT yang besar dapat</w:t>
      </w:r>
      <w:r w:rsidRPr="00C97133">
        <w:rPr>
          <w:rFonts w:ascii="Tw Cen MT" w:hAnsi="Tw Cen MT"/>
          <w:sz w:val="24"/>
          <w:szCs w:val="24"/>
        </w:rPr>
        <w:t xml:space="preserve"> </w:t>
      </w:r>
      <w:r w:rsidRPr="00C97133">
        <w:rPr>
          <w:rFonts w:ascii="Tw Cen MT" w:hAnsi="Tw Cen MT" w:cs="Times New Roman"/>
          <w:sz w:val="24"/>
          <w:szCs w:val="24"/>
        </w:rPr>
        <w:t>menyebabkan kelemahan pada tonus otot</w:t>
      </w:r>
      <w:r w:rsidRPr="00C97133">
        <w:rPr>
          <w:rFonts w:ascii="Tw Cen MT" w:hAnsi="Tw Cen MT"/>
          <w:sz w:val="24"/>
          <w:szCs w:val="24"/>
        </w:rPr>
        <w:t xml:space="preserve"> </w:t>
      </w:r>
      <w:r w:rsidRPr="00C97133">
        <w:rPr>
          <w:rFonts w:ascii="Tw Cen MT" w:hAnsi="Tw Cen MT" w:cs="Times New Roman"/>
          <w:sz w:val="24"/>
          <w:szCs w:val="24"/>
        </w:rPr>
        <w:t>dibagian perut sehingga akan membuat pusat</w:t>
      </w:r>
      <w:r w:rsidRPr="00C97133">
        <w:rPr>
          <w:rFonts w:ascii="Tw Cen MT" w:hAnsi="Tw Cen MT"/>
          <w:sz w:val="24"/>
          <w:szCs w:val="24"/>
        </w:rPr>
        <w:t xml:space="preserve"> </w:t>
      </w:r>
      <w:r w:rsidRPr="00C97133">
        <w:rPr>
          <w:rFonts w:ascii="Tw Cen MT" w:hAnsi="Tw Cen MT" w:cs="Times New Roman"/>
          <w:sz w:val="24"/>
          <w:szCs w:val="24"/>
        </w:rPr>
        <w:t>gravitasi seseorang dapat tertarik ke depan dan bisa mengakibatkan timbulnya kondisi lordosis lumbalis serta keletihan otot paravertebral. Hal ini adalah faktor risiko yang</w:t>
      </w:r>
      <w:r w:rsidRPr="00C97133">
        <w:rPr>
          <w:rFonts w:ascii="Tw Cen MT" w:hAnsi="Tw Cen MT"/>
          <w:sz w:val="24"/>
          <w:szCs w:val="24"/>
        </w:rPr>
        <w:t xml:space="preserve"> </w:t>
      </w:r>
      <w:r w:rsidRPr="00C97133">
        <w:rPr>
          <w:rFonts w:ascii="Tw Cen MT" w:hAnsi="Tw Cen MT" w:cs="Times New Roman"/>
          <w:sz w:val="24"/>
          <w:szCs w:val="24"/>
        </w:rPr>
        <w:t xml:space="preserve">bisa menimbulkan nyeri pada punggung bawah. Berat badan saja dapat mempengaruhi tekanan kompresi di tulang belakang bagian lumbal ketika melakukan aktifitas. Sehingga dapat memungkinkan adanya hubungan antara orang yang memiliki IMT yang berlebih menimbulkan efek saat </w:t>
      </w:r>
      <w:r w:rsidRPr="00C97133">
        <w:rPr>
          <w:rFonts w:ascii="Tw Cen MT" w:hAnsi="Tw Cen MT" w:cs="Times New Roman"/>
          <w:sz w:val="24"/>
          <w:szCs w:val="24"/>
        </w:rPr>
        <w:lastRenderedPageBreak/>
        <w:t>melakukan aktifitas yang melibatkan gerakan pada lumbal mempengaruhi pada keluhan nyeri pada punggung bawah</w:t>
      </w:r>
      <w:r w:rsidR="00802B46" w:rsidRPr="00C97133">
        <w:rPr>
          <w:rFonts w:ascii="Tw Cen MT" w:hAnsi="Tw Cen MT" w:cs="Times New Roman"/>
          <w:sz w:val="24"/>
          <w:szCs w:val="24"/>
        </w:rPr>
        <w:t xml:space="preserve"> </w:t>
      </w:r>
      <w:r w:rsidR="00802B46" w:rsidRPr="00C97133">
        <w:rPr>
          <w:rFonts w:ascii="Tw Cen MT" w:hAnsi="Tw Cen MT" w:cs="Times New Roman"/>
          <w:sz w:val="24"/>
          <w:szCs w:val="24"/>
        </w:rPr>
        <w:fldChar w:fldCharType="begin" w:fldLock="1"/>
      </w:r>
      <w:r w:rsidR="00802B46" w:rsidRPr="00C97133">
        <w:rPr>
          <w:rFonts w:ascii="Tw Cen MT" w:hAnsi="Tw Cen MT" w:cs="Times New Roman"/>
          <w:sz w:val="24"/>
          <w:szCs w:val="24"/>
        </w:rPr>
        <w:instrText>ADDIN CSL_CITATION {"citationItems":[{"id":"ITEM-1","itemData":{"DOI":"10.25311/jkk.vol2.iss4.66","ISSN":"2088-7612","abstract":"Kantor merupakan lingkungan tempat kerja dan harus memenuhi ketentuan dalam Workplace (Health, Safety and Welfare). Walaupun kantor secara umum dipandang aman, namun di dalamnya tetap memuat bahaya kesehatan yang dapat menyebabkan cedera serius. Salah satu bentuk gangguan yang dapat timbul akibat lingkungan kerja khususnya di lingkungan kerja perkantoran adalah  nyeri punggung bawah. Populasi dalam penelitian ini adalah karyawan STIKes Hang Tuah Pekanbaru yang bekerja sebagai staf bagian akademik. Sedangkan sampel dalam penelitian ini adalah seluruh populasi yang memenuhi kriteria sebagai sampel dalam penelitian. Penelitian ini dilakukan untuk mengetahui hubungan antara ergonomi kursi dan meja serta sikap duduk dengan keluhan nyeri punggung bawah pada karyawan kantor. Penelitian ini menggunakan metode cross sectional study dengan jumlah sampel sebanyak 63 karyawan. Variabel independen dalam penelitian ini adalah Indek Masa Tubuh (IMT), Umur, sikap duduk, ergonomi kursi dan meja, waktu kerja dan lama kerja. Analisis data dilakukan secara univariat, bivariat dan multivariat. Hasil penelitian menunjukan ada tiga variabel yang memiliki hubungan dengan kejadian nyeri punggung bawah yaitu Indek Masa Tubuh (IMT), Umur, Sikap duduk. Analisis multivariat menunjukan bahwa sikap duduk yang tidak baik memiliki hubungan dengan keluhan nyeri punggung bawah 40 kali lebih berpotensi dibandingkan dengan karyawan dengan sikap duduk yang benar (CI 95% : OR = 40).","author":[{"dropping-particle":"","family":"Zaman","given":"M. Kamali","non-dropping-particle":"","parse-names":false,"suffix":""}],"container-title":"Jurnal Kesehatan Komunitas","id":"ITEM-1","issue":"4","issued":{"date-parts":[["2014"]]},"page":"163-167","title":"Hubungan Beberapa Faktor dengan Keluhan Nyeri Punggung Bawah pada Karyawan Kantor","type":"article-journal","volume":"2"},"uris":["http://www.mendeley.com/documents/?uuid=3c548091-6dd0-40ed-880d-0690fa868b4c"]},{"id":"ITEM-2","itemData":{"abstract":"Kebanyakan nyeri punggung bawah bersifat akut dan self limiting, hanya 2-7% akan mengarah menjadi kronis. World Health Organization (WHO) merilis disetiap negara industri tercatat 2-5% pertahun penderita mengalami nyeri punggung bawah. National Safety Council juga melaporkan bahwa sakit akibat kerja dengan frekuensi kejadian terus menerus yang menduduki data paling tinggi diantaranya adalah sakit/nyeri pada punggung bawah, yang mencapai 22% dari 1.700.000 kasus. Data yang diperoleh dari Kantor PLN wilayah Aceh, pegawai cenderung mengalami nyeri punggung bawah bila duduk dalam waktu yang lama dan posisi duduk tidak ergonomis, akibat jam kerja yang lama sehingga selama berada di lingkungan kantor di habiskan di tempat duduk. Tujuan penelitian ini untuk mengetahui faktor-faktor yang berhubungan dengan kejadian nyeri punggung bawah (NPB) pada karyawan di Kantor PLN Wilayah Aceh tahun 2019. Jenis penelitian ini bersifat kuantitatif dengan desain studi cross sectional. Populasi dalam penelitian ini adalah seluruh karyawan kantor PLN Wilayah Aceh bagian pengembangan SDM dengan pengambilan sampel menggunakan teknik proportional random sampling berjumlah 59 orang. Hasil penelitian ada hubungan usia (p=0,008), indeks massa tubuh (p=0,003), jenis kelamin (p=0,007), merokok (p=0,007), masa kerja (p=0,000), lama kerja (p=0,016) dan posisi kerja (p=0,004), menunjukkan bahwa faktor resiko lamanya bekerja dan repetisi yang dilakukan selama bekerja agar dapat menurunkan angka kejadian nyeri","author":[{"dropping-particle":"","family":"Mulfianda","given":"Riyan","non-dropping-particle":"","parse-names":false,"suffix":""},{"dropping-particle":"","family":"Desreza","given":"Nanda","non-dropping-particle":"","parse-names":false,"suffix":""},{"dropping-particle":"","family":"Maulidya","given":"Rizka","non-dropping-particle":"","parse-names":false,"suffix":""}],"container-title":"Journal of Healthcare Technology and Medicine","id":"ITEM-2","issue":"1","issued":{"date-parts":[["2021"]]},"page":"253-262","title":"Faktor-faktor yang Berhubungan dengan Kejadian Nyeri Punggung Bawah ( NPB ) pada Karyawan di Kantor PLN Wilayah Aceh Factors Associated with Lower Back Pain ( NPB ) in Employees at the PLN Office Aceh region","type":"article-journal","volume":"7"},"uris":["http://www.mendeley.com/documents/?uuid=4353d849-0a2f-4d9a-b142-cf0b451a9974"]}],"mendeley":{"formattedCitation":"[8], [9]","plainTextFormattedCitation":"[8], [9]","previouslyFormattedCitation":"[8], [9]"},"properties":{"noteIndex":0},"schema":"https://github.com/citation-style-language/schema/raw/master/csl-citation.json"}</w:instrText>
      </w:r>
      <w:r w:rsidR="00802B46" w:rsidRPr="00C97133">
        <w:rPr>
          <w:rFonts w:ascii="Tw Cen MT" w:hAnsi="Tw Cen MT" w:cs="Times New Roman"/>
          <w:sz w:val="24"/>
          <w:szCs w:val="24"/>
        </w:rPr>
        <w:fldChar w:fldCharType="separate"/>
      </w:r>
      <w:r w:rsidR="00802B46" w:rsidRPr="00C97133">
        <w:rPr>
          <w:rFonts w:ascii="Tw Cen MT" w:hAnsi="Tw Cen MT" w:cs="Times New Roman"/>
          <w:noProof/>
          <w:sz w:val="24"/>
          <w:szCs w:val="24"/>
        </w:rPr>
        <w:t>[8], [9]</w:t>
      </w:r>
      <w:r w:rsidR="00802B46" w:rsidRPr="00C97133">
        <w:rPr>
          <w:rFonts w:ascii="Tw Cen MT" w:hAnsi="Tw Cen MT" w:cs="Times New Roman"/>
          <w:sz w:val="24"/>
          <w:szCs w:val="24"/>
        </w:rPr>
        <w:fldChar w:fldCharType="end"/>
      </w:r>
      <w:r w:rsidRPr="00C97133">
        <w:rPr>
          <w:rFonts w:ascii="Tw Cen MT" w:hAnsi="Tw Cen MT" w:cs="Times New Roman"/>
          <w:sz w:val="24"/>
          <w:szCs w:val="24"/>
        </w:rPr>
        <w:t>.</w:t>
      </w:r>
    </w:p>
    <w:p w14:paraId="57C11ADC" w14:textId="096E97D4" w:rsidR="00710CD9" w:rsidRDefault="00710CD9" w:rsidP="00C97133">
      <w:pPr>
        <w:autoSpaceDE w:val="0"/>
        <w:autoSpaceDN w:val="0"/>
        <w:adjustRightInd w:val="0"/>
        <w:spacing w:after="0" w:line="240" w:lineRule="auto"/>
        <w:ind w:firstLine="426"/>
        <w:jc w:val="both"/>
        <w:rPr>
          <w:rFonts w:ascii="Tw Cen MT" w:hAnsi="Tw Cen MT" w:cs="Times New Roman"/>
          <w:sz w:val="24"/>
          <w:szCs w:val="24"/>
        </w:rPr>
      </w:pPr>
      <w:r w:rsidRPr="00C97133">
        <w:rPr>
          <w:rFonts w:ascii="Tw Cen MT" w:hAnsi="Tw Cen MT" w:cs="Times New Roman"/>
          <w:sz w:val="24"/>
          <w:szCs w:val="24"/>
        </w:rPr>
        <w:t>Karakteristik sampel berdasarkan pekerjaan, persentase pekerjaan terbesar pada Kelompok 1 dan Kelompok 2 adalah IRT dengan persentase sebesar 60 %.  Hal ini disebabkan karena IRT banyak melakukan aktivitas tubuh yang kurang baik. NPB merupakan salah satu gangguan muskuloskeletal yang disebabkan oleh aktivitas tubuh yang kurang baik, karena kebanyakan orang melakukan aktivitasnya sehari- hari sering melupakan masalah posisi tubuh.</w:t>
      </w:r>
      <w:r w:rsidR="00C97133">
        <w:rPr>
          <w:rFonts w:ascii="Tw Cen MT" w:hAnsi="Tw Cen MT" w:cs="Times New Roman"/>
          <w:sz w:val="24"/>
          <w:szCs w:val="24"/>
        </w:rPr>
        <w:t xml:space="preserve"> Jika sikap tubuh tidak baik, selain tulang menjadi lurus, otot-otot, serta ligament akan tertarik lebih keras. Sikap yang tidak baik juga memacu cepat lelah, ketegangan otot, dan akhirnya terjadi rasa sakit. Selain itu </w:t>
      </w:r>
      <w:r w:rsidR="00C97133">
        <w:rPr>
          <w:rFonts w:ascii="Tw Cen MT" w:hAnsi="Tw Cen MT" w:cs="Times New Roman"/>
          <w:sz w:val="24"/>
          <w:szCs w:val="24"/>
        </w:rPr>
        <w:t>tegangnya postur tubuh, obesitas</w:t>
      </w:r>
      <w:r w:rsidR="00C97133">
        <w:rPr>
          <w:rFonts w:ascii="Tw Cen MT" w:hAnsi="Tw Cen MT" w:cs="Times New Roman"/>
          <w:sz w:val="24"/>
          <w:szCs w:val="24"/>
        </w:rPr>
        <w:t xml:space="preserve">, kehamilan, faktor psikologi dan beberapa aktifitas yang dilakukan dengan tidak benar seperti mengangkat dan duduk dalam waktu yang lama dapat menyebabkan nyeri pinggang </w:t>
      </w:r>
      <w:r w:rsidR="00C97133">
        <w:rPr>
          <w:rFonts w:ascii="Tw Cen MT" w:hAnsi="Tw Cen MT" w:cs="Times New Roman"/>
          <w:sz w:val="24"/>
          <w:szCs w:val="24"/>
        </w:rPr>
        <w:fldChar w:fldCharType="begin" w:fldLock="1"/>
      </w:r>
      <w:r w:rsidR="00C97133">
        <w:rPr>
          <w:rFonts w:ascii="Tw Cen MT" w:hAnsi="Tw Cen MT" w:cs="Times New Roman"/>
          <w:sz w:val="24"/>
          <w:szCs w:val="24"/>
        </w:rPr>
        <w:instrText>ADDIN CSL_CITATION {"citationItems":[{"id":"ITEM-1","itemData":{"DOI":"10.1590/s0104-11692012000100011","abstract":"The goal of this study was to translate and adapt The Pain Disability Questionnaire (PDQ) to Brazilian Portuguese, as well as to assess its psychometric properties and practicability. The following methodological steps were followed: translation, synthesis, back-translation, expert committee assessment and pre-test. The psychometric properties were assessed through the application of a questionnaire to 119 patients with chronic musculoskeletal disorders. The results indicated the reliability of the instrument, with a Cronbach's alpha coefficient of 0.86, and high stability in the test-retest. A moderate correlation was found between the PDQ scores and the numerical pain scale. Negative correlations were found between the Spitzer Quality of Life Index and the functional condition, psychosocial component and total PDQ score. Construct validity demonstrated significant difference in PDQ scores between symptomatic and asymptomatic individuals. The PDQ revealed fast application and easy understanding. The results indicated a successful cultural adaptation and reliable psychometric properties.El objetivo de este estudio fue traducir y adaptar el Cuestionario The Pain Disability Questionnaire (PDQ) para el portugués de Brasil, evaluando sus propiedades psicométricas y la usabilidad. Fueron seguidos los siguientes pasos metodológicos: traducción, síntesis, retrotraducción, evaluación por un comité de expertos y realización de una prueba piloto. Las propiedades psicométricas fueron evaluadas por la aplicación del cuestionario en 119 pacientes con lesiones musculares. Los resultados indican la confiabilidad del instrumento con el coeficiente alfa de Cronbach de 0,86, y alta estabilidad en la prueba piloto. Una correlación moderada se encontró entre las puntuaciones de la PDQ y la escala numérica del dolor. Correlaciones negativas fueron observadas entre el Spitzer Quality of Life Index y la condición funcional, el componente psicosocial, y la puntuación total de la PDQ. La validez del constructo demostró una diferencia significativa en las puntuaciones del PDQ entre sujetos sintomáticos y asintomáticos. El PDQ demostró ser rápido y comprensible. Los resultados indicaron una exitosa adaptación cultural y propiedades psicométricas confiables.O objetivo deste estudo foi traduzir e adaptar The Pain Disability Questionnaire (PDQ) para o português do Brasil, avaliar suas propriedades psicométricas e praticabilidade. Os seguintes passos metodológicos foram seguidos: tra…","author":[{"dropping-particle":"","family":"Giordano","given":"Patrícia Cantu Moreira","non-dropping-particle":"","parse-names":false,"suffix":""},{"dropping-particle":"","family":"Alexandre","given":"Neusa Maria Costa","non-dropping-particle":"","parse-names":false,"suffix":""},{"dropping-particle":"","family":"Rodrigues","given":"Roberta Cunha Matheus","non-dropping-particle":"","parse-names":false,"suffix":""},{"dropping-particle":"","family":"Coluci","given":"Marina Zambon Orpinelli","non-dropping-particle":"","parse-names":false,"suffix":""}],"container-title":"Revista Latino-Americana de Enfermagem","id":"ITEM-1","issue":"1","issued":{"date-parts":[["2012"]]},"page":"76-83","title":"The Pain Disability Questionnaire: a reliability and validity study","type":"article-journal","volume":"20"},"uris":["http://www.mendeley.com/documents/?uuid=ada34c58-2069-4918-b5a5-c40c92504568"]},{"id":"ITEM-2","itemData":{"DOI":"10.1186/s12955-018-1000-1","ISSN":"14777525","PMID":"30217206","abstract":"Background: The Pain Disability Index (PDI) is a widely-used instrument to measure pain-related disability. The aim of this study was to assess the responsiveness and interpretation of change score of the PDI in patients with chronic musculoskeletal pain (CMP) at discharge of vocational rehabilitation. Methods: Retrospective data of patients with CMP who attended vocational rehabilitation between 2014 and 2017 was used. The anchor-based method was used to assess the responsiveness of the total sample and of PDI baseline quartile groups. A receiver operating characteristic curve was performed, including Area Under the Curve (AUC) and Minimal Important Change (MIC). Results: The PDI showed responsive to detect clinically relevant changes in pain-related disability at discharge of vocational rehabilitation (AUC 0.79). A PDI change score of 13 points (MIC 12.5) can be considered as a real change in pain-related disability for the total study sample, and a PDI change score of 7-20 points can be considered as a real change in pain-related disability for PDI lowest and highest baseline quartile scores. Conclusion: The PDI is responsive in patients with CMP at discharge of vocational rehabilitation. The interpretation of change score depends on PDI baseline score. Patients with a PDI baseline score of ≤27 should decrease minimal 7 points, patients with a baseline score between 28 and 42 should decrease minimal 15 points, and patients with a baseline score ≥ 43 should decrease minimal 20 points.","author":[{"dropping-particle":"","family":"Beemster","given":"T.","non-dropping-particle":"","parse-names":false,"suffix":""},{"dropping-particle":"","family":"Bennekom","given":"C.","non-dropping-particle":"Van","parse-names":false,"suffix":""},{"dropping-particle":"","family":"Velzen","given":"J.","non-dropping-particle":"Van","parse-names":false,"suffix":""},{"dropping-particle":"","family":"Reneman","given":"M.","non-dropping-particle":"","parse-names":false,"suffix":""},{"dropping-particle":"","family":"Frings-Dresen","given":"M.","non-dropping-particle":"","parse-names":false,"suffix":""}],"container-title":"Health and Quality of Life Outcomes","id":"ITEM-2","issue":"1","issued":{"date-parts":[["2018"]]},"page":"1-9","publisher":"Health and Quality of Life Outcomes","title":"The interpretation of change score of the pain disability index after vocational rehabilitation is baseline dependent Prof Holger Schunemann","type":"article-journal","volume":"16"},"uris":["http://www.mendeley.com/documents/?uuid=923629ba-08da-414c-b961-f226621d7dd7"]}],"mendeley":{"formattedCitation":"[10], [11]","plainTextFormattedCitation":"[10], [11]"},"properties":{"noteIndex":0},"schema":"https://github.com/citation-style-language/schema/raw/master/csl-citation.json"}</w:instrText>
      </w:r>
      <w:r w:rsidR="00C97133">
        <w:rPr>
          <w:rFonts w:ascii="Tw Cen MT" w:hAnsi="Tw Cen MT" w:cs="Times New Roman"/>
          <w:sz w:val="24"/>
          <w:szCs w:val="24"/>
        </w:rPr>
        <w:fldChar w:fldCharType="separate"/>
      </w:r>
      <w:r w:rsidR="00C97133" w:rsidRPr="00C97133">
        <w:rPr>
          <w:rFonts w:ascii="Tw Cen MT" w:hAnsi="Tw Cen MT" w:cs="Times New Roman"/>
          <w:noProof/>
          <w:sz w:val="24"/>
          <w:szCs w:val="24"/>
        </w:rPr>
        <w:t>[10], [11]</w:t>
      </w:r>
      <w:r w:rsidR="00C97133">
        <w:rPr>
          <w:rFonts w:ascii="Tw Cen MT" w:hAnsi="Tw Cen MT" w:cs="Times New Roman"/>
          <w:sz w:val="24"/>
          <w:szCs w:val="24"/>
        </w:rPr>
        <w:fldChar w:fldCharType="end"/>
      </w:r>
      <w:r w:rsidR="00C97133">
        <w:rPr>
          <w:rFonts w:ascii="Tw Cen MT" w:hAnsi="Tw Cen MT" w:cs="Times New Roman"/>
          <w:sz w:val="24"/>
          <w:szCs w:val="24"/>
        </w:rPr>
        <w:t xml:space="preserve">. </w:t>
      </w:r>
    </w:p>
    <w:p w14:paraId="34C75817" w14:textId="77777777" w:rsidR="00710CD9" w:rsidRPr="00C97133" w:rsidRDefault="00710CD9" w:rsidP="00710CD9">
      <w:pPr>
        <w:spacing w:after="0" w:line="240" w:lineRule="auto"/>
        <w:jc w:val="both"/>
        <w:rPr>
          <w:rFonts w:ascii="Tw Cen MT" w:hAnsi="Tw Cen MT" w:cs="Times New Roman"/>
          <w:b/>
          <w:i/>
          <w:sz w:val="24"/>
          <w:szCs w:val="24"/>
        </w:rPr>
      </w:pPr>
      <w:r w:rsidRPr="00C97133">
        <w:rPr>
          <w:rFonts w:ascii="Tw Cen MT" w:hAnsi="Tw Cen MT" w:cs="Times New Roman"/>
          <w:b/>
          <w:sz w:val="24"/>
          <w:szCs w:val="24"/>
        </w:rPr>
        <w:t xml:space="preserve">2. Peningkatan Kemampuan Fungsional pada Intervesi Modifikasi Senam hamil dan </w:t>
      </w:r>
      <w:r w:rsidRPr="00C97133">
        <w:rPr>
          <w:rFonts w:ascii="Tw Cen MT" w:hAnsi="Tw Cen MT" w:cs="Times New Roman"/>
          <w:b/>
          <w:i/>
          <w:sz w:val="24"/>
          <w:szCs w:val="24"/>
        </w:rPr>
        <w:t xml:space="preserve">Gym Ball </w:t>
      </w:r>
    </w:p>
    <w:p w14:paraId="5E8B453E" w14:textId="77C6B12E" w:rsidR="00710CD9" w:rsidRPr="00C97133" w:rsidRDefault="00710CD9" w:rsidP="00710CD9">
      <w:pPr>
        <w:spacing w:after="0" w:line="240" w:lineRule="auto"/>
        <w:ind w:firstLine="720"/>
        <w:jc w:val="both"/>
        <w:rPr>
          <w:rFonts w:ascii="Tw Cen MT" w:hAnsi="Tw Cen MT" w:cs="Times New Roman"/>
          <w:sz w:val="24"/>
          <w:szCs w:val="24"/>
        </w:rPr>
      </w:pPr>
      <w:r w:rsidRPr="00C97133">
        <w:rPr>
          <w:rFonts w:ascii="Tw Cen MT" w:hAnsi="Tw Cen MT" w:cs="Times New Roman"/>
          <w:sz w:val="24"/>
          <w:szCs w:val="24"/>
        </w:rPr>
        <w:t xml:space="preserve">Pada pengujian Kelompok 1 dengan menggunakan uji beda sampel t-berpasangan terdapat perbedaan yang bermakna pada kemampuan fungsional sebelum dan setelah intervensi. Maka dapat disimpulkan bahwa intervensi pada Kelompok 1 memberikan peningkatan kemampuan fungsional yang bermakna pada kondisi NPB pada ibu hamil. </w:t>
      </w:r>
      <w:r w:rsidRPr="00C97133">
        <w:rPr>
          <w:rFonts w:ascii="Tw Cen MT" w:hAnsi="Tw Cen MT" w:cs="Times New Roman"/>
          <w:i/>
          <w:sz w:val="24"/>
          <w:szCs w:val="24"/>
        </w:rPr>
        <w:t xml:space="preserve">Birth ball </w:t>
      </w:r>
      <w:r w:rsidRPr="00C97133">
        <w:rPr>
          <w:rFonts w:ascii="Tw Cen MT" w:hAnsi="Tw Cen MT" w:cs="Times New Roman"/>
          <w:sz w:val="24"/>
          <w:szCs w:val="24"/>
        </w:rPr>
        <w:t>dapat menurunkan derajat nyeri pinggang bawah, menurunkan kecemasan, dan menekan jumlah komsumsi petidin pada perempuan yang melahirkan</w:t>
      </w:r>
      <w:r w:rsidRPr="00C97133">
        <w:rPr>
          <w:rFonts w:ascii="Tw Cen MT" w:hAnsi="Tw Cen MT" w:cs="Times New Roman"/>
          <w:sz w:val="24"/>
          <w:szCs w:val="24"/>
          <w:vertAlign w:val="superscript"/>
        </w:rPr>
        <w:t xml:space="preserve"> </w:t>
      </w:r>
      <w:r w:rsidRPr="00C97133">
        <w:rPr>
          <w:rFonts w:ascii="Tw Cen MT" w:hAnsi="Tw Cen MT" w:cs="Times New Roman"/>
          <w:sz w:val="24"/>
          <w:szCs w:val="24"/>
          <w:vertAlign w:val="superscript"/>
        </w:rPr>
        <w:fldChar w:fldCharType="begin" w:fldLock="1"/>
      </w:r>
      <w:r w:rsidR="00C97133">
        <w:rPr>
          <w:rFonts w:ascii="Tw Cen MT" w:hAnsi="Tw Cen MT" w:cs="Times New Roman"/>
          <w:sz w:val="24"/>
          <w:szCs w:val="24"/>
          <w:vertAlign w:val="superscript"/>
        </w:rPr>
        <w:instrText>ADDIN CSL_CITATION {"citationItems":[{"id":"ITEM-1","itemData":{"DOI":"10.12809/hkmj133921","ISSN":"10242708","PMID":"23878201","abstract":"Objectives To evaluate the efficacy of a birth ball exercise programme conducted by physiotherapists on pain relief, psychological care, and facilitation of the labour process at a labour ward in a regional hospital. Design Case series with before-after comparisons. Setting Kwong Wah Hospital, Hong Kong. Participants Chinese women admitted to the labour ward for spontaneous vaginal delivery between April and August 2012 were recruited. Physiotherapists taught birth ball exercises in groups or individually for 30 minutes. Labour pain intensity, back pain intensity, frequency of labour pain, stress and anxiety levels, and subjective pressure level over the lower abdomen were captured before and after birth ball exercises. Most of the parameters were measured using self-reported visual analogue scales. After the exercise session, physiotherapists measured the women's satisfaction level. Midwives recorded pethidine usage. Results A total of 203 pregnant women participated in this programme; 181 were in the latent phase group, whereas 22 were categorised into the no-labour-pain group. In both groups, there were statistically and clinically significant differences in back pain level, stress and anxiety levels, as well as pressure level over the lower abdomen before and after the exercise (P&lt;0.05). In the latent phase group, significant decreases in labour pain and frequency of labour pain were demonstrated. Mean satisfaction scores were high, with visual analogue scale scores higher than 8.2 in both groups. Pethidine usage showed a further decreasing trend (6.4%) compared with the past 2 years. Conclusion Birth ball exercise could be an alternative means of relieving back pain and labour pain in the labour ward, and could decrease pethidine consumption in labouring women.","author":[{"dropping-particle":"","family":"Leung","given":"Regina W.C.","non-dropping-particle":"","parse-names":false,"suffix":""},{"dropping-particle":"","family":"Li","given":"Jess F.P.","non-dropping-particle":"","parse-names":false,"suffix":""},{"dropping-particle":"","family":"Leung","given":"Mary K.M.","non-dropping-particle":"","parse-names":false,"suffix":""},{"dropping-particle":"","family":"Fung","given":"Brigitte K.Y.","non-dropping-particle":"","parse-names":false,"suffix":""},{"dropping-particle":"","family":"Fung","given":"Lawrence C.W.","non-dropping-particle":"","parse-names":false,"suffix":""},{"dropping-particle":"","family":"Tai","given":"S. M.","non-dropping-particle":"","parse-names":false,"suffix":""},{"dropping-particle":"","family":"Sing","given":"C.","non-dropping-particle":"","parse-names":false,"suffix":""},{"dropping-particle":"","family":"Leung","given":"W. C.","non-dropping-particle":"","parse-names":false,"suffix":""}],"container-title":"Hong Kong Medical Journal","id":"ITEM-1","issue":"5","issued":{"date-parts":[["2013"]]},"page":"393-399","title":"Efficacy of birth ball exercises on labour pain management","type":"article-journal","volume":"19"},"uris":["http://www.mendeley.com/documents/?uuid=0e6868bd-1870-4598-8f7f-9647d56c2b66"]}],"mendeley":{"formattedCitation":"[12]","plainTextFormattedCitation":"[12]","previouslyFormattedCitation":"[12]"},"properties":{"noteIndex":0},"schema":"https://github.com/citation-style-language/schema/raw/master/csl-citation.json"}</w:instrText>
      </w:r>
      <w:r w:rsidRPr="00C97133">
        <w:rPr>
          <w:rFonts w:ascii="Tw Cen MT" w:hAnsi="Tw Cen MT" w:cs="Times New Roman"/>
          <w:sz w:val="24"/>
          <w:szCs w:val="24"/>
          <w:vertAlign w:val="superscript"/>
        </w:rPr>
        <w:fldChar w:fldCharType="separate"/>
      </w:r>
      <w:r w:rsidR="00C97133" w:rsidRPr="00C97133">
        <w:rPr>
          <w:rFonts w:ascii="Tw Cen MT" w:hAnsi="Tw Cen MT" w:cs="Times New Roman"/>
          <w:noProof/>
          <w:sz w:val="24"/>
          <w:szCs w:val="24"/>
        </w:rPr>
        <w:t>[12]</w:t>
      </w:r>
      <w:r w:rsidRPr="00C97133">
        <w:rPr>
          <w:rFonts w:ascii="Tw Cen MT" w:hAnsi="Tw Cen MT" w:cs="Times New Roman"/>
          <w:sz w:val="24"/>
          <w:szCs w:val="24"/>
          <w:vertAlign w:val="superscript"/>
        </w:rPr>
        <w:fldChar w:fldCharType="end"/>
      </w:r>
      <w:r w:rsidRPr="00C97133">
        <w:rPr>
          <w:rFonts w:ascii="Tw Cen MT" w:hAnsi="Tw Cen MT" w:cs="Times New Roman"/>
          <w:sz w:val="24"/>
          <w:szCs w:val="24"/>
        </w:rPr>
        <w:t>.</w:t>
      </w:r>
    </w:p>
    <w:p w14:paraId="1FEC4207" w14:textId="4E21A898" w:rsidR="00710CD9" w:rsidRPr="00C97133" w:rsidRDefault="00710CD9" w:rsidP="00710CD9">
      <w:pPr>
        <w:spacing w:after="0" w:line="240" w:lineRule="auto"/>
        <w:jc w:val="both"/>
        <w:rPr>
          <w:rFonts w:ascii="Tw Cen MT" w:hAnsi="Tw Cen MT" w:cs="Times New Roman"/>
          <w:sz w:val="24"/>
          <w:szCs w:val="24"/>
        </w:rPr>
      </w:pPr>
      <w:r w:rsidRPr="00C97133">
        <w:rPr>
          <w:rFonts w:ascii="Tw Cen MT" w:hAnsi="Tw Cen MT" w:cs="Times New Roman"/>
          <w:sz w:val="24"/>
          <w:szCs w:val="24"/>
        </w:rPr>
        <w:tab/>
        <w:t xml:space="preserve">Selain itu penelitian yang dilakukan oleh </w:t>
      </w:r>
      <w:r w:rsidRPr="00C97133">
        <w:rPr>
          <w:rFonts w:ascii="Tw Cen MT" w:hAnsi="Tw Cen MT" w:cs="Times New Roman"/>
          <w:bCs/>
          <w:sz w:val="24"/>
          <w:szCs w:val="24"/>
        </w:rPr>
        <w:t>Bormann</w:t>
      </w:r>
      <w:r w:rsidRPr="00C97133">
        <w:rPr>
          <w:rFonts w:ascii="Tw Cen MT" w:hAnsi="Tw Cen MT" w:cs="Times New Roman"/>
          <w:sz w:val="24"/>
          <w:szCs w:val="24"/>
        </w:rPr>
        <w:t xml:space="preserve"> (2019), mengatakan bahwa latihan dengan menggunakan </w:t>
      </w:r>
      <w:r w:rsidRPr="00C97133">
        <w:rPr>
          <w:rFonts w:ascii="Tw Cen MT" w:hAnsi="Tw Cen MT" w:cs="Times New Roman"/>
          <w:i/>
          <w:sz w:val="24"/>
          <w:szCs w:val="24"/>
        </w:rPr>
        <w:t>gym ball</w:t>
      </w:r>
      <w:r w:rsidRPr="00C97133">
        <w:rPr>
          <w:rFonts w:ascii="Tw Cen MT" w:hAnsi="Tw Cen MT" w:cs="Times New Roman"/>
          <w:sz w:val="24"/>
          <w:szCs w:val="24"/>
        </w:rPr>
        <w:t xml:space="preserve"> selama kehamilan memiliki banyak manfaat terutama pada postur tubuh dan dinamika pernafasan, memperkuat otot-otot panggul, meningkatkan </w:t>
      </w:r>
      <w:r w:rsidRPr="00C97133">
        <w:rPr>
          <w:rFonts w:ascii="Tw Cen MT" w:hAnsi="Tw Cen MT" w:cs="Times New Roman"/>
          <w:sz w:val="24"/>
          <w:szCs w:val="24"/>
        </w:rPr>
        <w:t>kontraktilitas dan penurunan frekuensi berkemih pada primigravida dan primipara pasca melahirkan</w:t>
      </w:r>
      <w:r w:rsidRPr="00C97133">
        <w:rPr>
          <w:rFonts w:ascii="Tw Cen MT" w:hAnsi="Tw Cen MT" w:cs="Times New Roman"/>
          <w:sz w:val="24"/>
          <w:szCs w:val="24"/>
          <w:vertAlign w:val="superscript"/>
        </w:rPr>
        <w:t xml:space="preserve"> </w:t>
      </w:r>
      <w:r w:rsidRPr="00C97133">
        <w:rPr>
          <w:rFonts w:ascii="Tw Cen MT" w:hAnsi="Tw Cen MT" w:cs="Times New Roman"/>
          <w:sz w:val="24"/>
          <w:szCs w:val="24"/>
          <w:vertAlign w:val="superscript"/>
        </w:rPr>
        <w:fldChar w:fldCharType="begin" w:fldLock="1"/>
      </w:r>
      <w:r w:rsidR="00C97133">
        <w:rPr>
          <w:rFonts w:ascii="Tw Cen MT" w:hAnsi="Tw Cen MT" w:cs="Times New Roman"/>
          <w:sz w:val="24"/>
          <w:szCs w:val="24"/>
          <w:vertAlign w:val="superscript"/>
        </w:rPr>
        <w:instrText>ADDIN CSL_CITATION {"citationItems":[{"id":"ITEM-1","itemData":{"DOI":"10.1177/1559827617743081","author":[{"dropping-particle":"","family":"Bormann, J. E., &amp; Price","given":"B. R.","non-dropping-particle":"","parse-names":false,"suffix":""}],"container-title":"American Journal of Lifestyle Medicine","id":"ITEM-1","issue":"2","issued":{"date-parts":[["2019"]]},"page":"154-162","title":"The effects of exercise during pregnancy on maternal health","type":"article-journal","volume":"13"},"uris":["http://www.mendeley.com/documents/?uuid=fc722e8a-3258-49c3-8494-54ba2144bb80"]}],"mendeley":{"formattedCitation":"[13]","plainTextFormattedCitation":"[13]","previouslyFormattedCitation":"[13]"},"properties":{"noteIndex":0},"schema":"https://github.com/citation-style-language/schema/raw/master/csl-citation.json"}</w:instrText>
      </w:r>
      <w:r w:rsidRPr="00C97133">
        <w:rPr>
          <w:rFonts w:ascii="Tw Cen MT" w:hAnsi="Tw Cen MT" w:cs="Times New Roman"/>
          <w:sz w:val="24"/>
          <w:szCs w:val="24"/>
          <w:vertAlign w:val="superscript"/>
        </w:rPr>
        <w:fldChar w:fldCharType="separate"/>
      </w:r>
      <w:r w:rsidR="00C97133" w:rsidRPr="00C97133">
        <w:rPr>
          <w:rFonts w:ascii="Tw Cen MT" w:hAnsi="Tw Cen MT" w:cs="Times New Roman"/>
          <w:noProof/>
          <w:sz w:val="24"/>
          <w:szCs w:val="24"/>
        </w:rPr>
        <w:t>[13]</w:t>
      </w:r>
      <w:r w:rsidRPr="00C97133">
        <w:rPr>
          <w:rFonts w:ascii="Tw Cen MT" w:hAnsi="Tw Cen MT" w:cs="Times New Roman"/>
          <w:sz w:val="24"/>
          <w:szCs w:val="24"/>
          <w:vertAlign w:val="superscript"/>
        </w:rPr>
        <w:fldChar w:fldCharType="end"/>
      </w:r>
      <w:r w:rsidRPr="00C97133">
        <w:rPr>
          <w:rFonts w:ascii="Tw Cen MT" w:hAnsi="Tw Cen MT" w:cs="Times New Roman"/>
          <w:sz w:val="24"/>
          <w:szCs w:val="24"/>
        </w:rPr>
        <w:t>.</w:t>
      </w:r>
    </w:p>
    <w:p w14:paraId="499F5BCF" w14:textId="7A43A27B" w:rsidR="00710CD9" w:rsidRPr="00710CD9" w:rsidRDefault="00710CD9" w:rsidP="00802B46">
      <w:pPr>
        <w:autoSpaceDE w:val="0"/>
        <w:autoSpaceDN w:val="0"/>
        <w:adjustRightInd w:val="0"/>
        <w:spacing w:after="0" w:line="240" w:lineRule="auto"/>
        <w:ind w:firstLine="720"/>
        <w:jc w:val="both"/>
        <w:rPr>
          <w:rFonts w:ascii="Tw Cen MT" w:hAnsi="Tw Cen MT" w:cs="Times New Roman"/>
          <w:sz w:val="24"/>
          <w:szCs w:val="24"/>
        </w:rPr>
      </w:pPr>
      <w:r w:rsidRPr="00C97133">
        <w:rPr>
          <w:rFonts w:ascii="Tw Cen MT" w:hAnsi="Tw Cen MT" w:cs="Times New Roman"/>
          <w:sz w:val="24"/>
          <w:szCs w:val="24"/>
        </w:rPr>
        <w:t xml:space="preserve">Latihan menggunakan bola akan mengaktifkan </w:t>
      </w:r>
      <w:r w:rsidRPr="00C97133">
        <w:rPr>
          <w:rFonts w:ascii="Tw Cen MT" w:hAnsi="Tw Cen MT" w:cs="Times New Roman"/>
          <w:i/>
          <w:sz w:val="24"/>
          <w:szCs w:val="24"/>
        </w:rPr>
        <w:t>proprioceptive.</w:t>
      </w:r>
      <w:r w:rsidRPr="00C97133">
        <w:rPr>
          <w:rFonts w:ascii="Tw Cen MT" w:hAnsi="Tw Cen MT" w:cs="Times New Roman"/>
          <w:sz w:val="24"/>
          <w:szCs w:val="24"/>
        </w:rPr>
        <w:t xml:space="preserve"> </w:t>
      </w:r>
      <w:r w:rsidRPr="00C97133">
        <w:rPr>
          <w:rFonts w:ascii="Tw Cen MT" w:hAnsi="Tw Cen MT" w:cs="Times New Roman"/>
          <w:i/>
          <w:sz w:val="24"/>
          <w:szCs w:val="24"/>
        </w:rPr>
        <w:t>Proprioceptive</w:t>
      </w:r>
      <w:r w:rsidRPr="00C97133">
        <w:rPr>
          <w:rFonts w:ascii="Tw Cen MT" w:hAnsi="Tw Cen MT" w:cs="Times New Roman"/>
          <w:sz w:val="24"/>
          <w:szCs w:val="24"/>
        </w:rPr>
        <w:t xml:space="preserve"> merupakan rasa sentuhan atau tekanan pada sendi yang disusun oleh komponen pembentuk sendi dari tulang, ligament dan otot</w:t>
      </w:r>
      <w:r w:rsidRPr="00C97133">
        <w:rPr>
          <w:rFonts w:ascii="Tw Cen MT" w:hAnsi="Tw Cen MT" w:cs="Times New Roman"/>
          <w:i/>
          <w:sz w:val="24"/>
          <w:szCs w:val="24"/>
        </w:rPr>
        <w:t>. Proprioceptive</w:t>
      </w:r>
      <w:r w:rsidRPr="00C97133">
        <w:rPr>
          <w:rFonts w:ascii="Tw Cen MT" w:hAnsi="Tw Cen MT" w:cs="Times New Roman"/>
          <w:sz w:val="24"/>
          <w:szCs w:val="24"/>
        </w:rPr>
        <w:t xml:space="preserve"> juga merupakan bagian dari somatosensoris dimana </w:t>
      </w:r>
      <w:r w:rsidRPr="00C97133">
        <w:rPr>
          <w:rFonts w:ascii="Tw Cen MT" w:hAnsi="Tw Cen MT" w:cs="Times New Roman"/>
          <w:i/>
          <w:sz w:val="24"/>
          <w:szCs w:val="24"/>
        </w:rPr>
        <w:t xml:space="preserve">proprioceptive </w:t>
      </w:r>
      <w:r w:rsidRPr="00C97133">
        <w:rPr>
          <w:rFonts w:ascii="Tw Cen MT" w:hAnsi="Tw Cen MT" w:cs="Times New Roman"/>
          <w:sz w:val="24"/>
          <w:szCs w:val="24"/>
        </w:rPr>
        <w:t xml:space="preserve">bekerja sama dengan persepsi dan taktil untuk dapat memberikan informasi tentang daerah sekitar. Dengan meningkatkan fungsi dari </w:t>
      </w:r>
      <w:r w:rsidRPr="00C97133">
        <w:rPr>
          <w:rFonts w:ascii="Tw Cen MT" w:hAnsi="Tw Cen MT" w:cs="Times New Roman"/>
          <w:i/>
          <w:sz w:val="24"/>
          <w:szCs w:val="24"/>
        </w:rPr>
        <w:t>proprioceptive</w:t>
      </w:r>
      <w:r w:rsidRPr="00C97133">
        <w:rPr>
          <w:rFonts w:ascii="Tw Cen MT" w:hAnsi="Tw Cen MT" w:cs="Times New Roman"/>
          <w:sz w:val="24"/>
          <w:szCs w:val="24"/>
        </w:rPr>
        <w:t xml:space="preserve"> maka hal tersebut juga akan meningkatkan input sensoris yang akan diproses di otak sebagai </w:t>
      </w:r>
      <w:r w:rsidRPr="00C97133">
        <w:rPr>
          <w:rFonts w:ascii="Tw Cen MT" w:hAnsi="Tw Cen MT" w:cs="Times New Roman"/>
          <w:i/>
          <w:sz w:val="24"/>
          <w:szCs w:val="24"/>
        </w:rPr>
        <w:t>central processing</w:t>
      </w:r>
      <w:r w:rsidRPr="00C97133">
        <w:rPr>
          <w:rFonts w:ascii="Tw Cen MT" w:hAnsi="Tw Cen MT" w:cs="Times New Roman"/>
          <w:sz w:val="24"/>
          <w:szCs w:val="24"/>
        </w:rPr>
        <w:t xml:space="preserve">. </w:t>
      </w:r>
      <w:r w:rsidRPr="00C97133">
        <w:rPr>
          <w:rFonts w:ascii="Tw Cen MT" w:hAnsi="Tw Cen MT" w:cs="Times New Roman"/>
          <w:i/>
          <w:sz w:val="24"/>
          <w:szCs w:val="24"/>
        </w:rPr>
        <w:t xml:space="preserve">Central processing </w:t>
      </w:r>
      <w:r w:rsidRPr="00C97133">
        <w:rPr>
          <w:rFonts w:ascii="Tw Cen MT" w:hAnsi="Tw Cen MT" w:cs="Times New Roman"/>
          <w:sz w:val="24"/>
          <w:szCs w:val="24"/>
        </w:rPr>
        <w:t xml:space="preserve">berfungsi untuk menentukan titik tumpu tubuh dan </w:t>
      </w:r>
      <w:r w:rsidRPr="00C97133">
        <w:rPr>
          <w:rFonts w:ascii="Tw Cen MT" w:hAnsi="Tw Cen MT" w:cs="Times New Roman"/>
          <w:i/>
          <w:sz w:val="24"/>
          <w:szCs w:val="24"/>
        </w:rPr>
        <w:t>alligment</w:t>
      </w:r>
      <w:r w:rsidRPr="00C97133">
        <w:rPr>
          <w:rFonts w:ascii="Tw Cen MT" w:hAnsi="Tw Cen MT" w:cs="Times New Roman"/>
          <w:sz w:val="24"/>
          <w:szCs w:val="24"/>
        </w:rPr>
        <w:t xml:space="preserve"> gravitasi pada tubuh, membentuk control postural yang baik dan mengorganisasikan respon sensorimotor yang diperlukan tubuh. Selanjutnya otak akan meneruskan implus tersebut ke efektor agar tubuh mampu menciptakan keseimbangan yang baik ketika bergerak ataupun dalam keadaan</w:t>
      </w:r>
      <w:r w:rsidRPr="00710CD9">
        <w:rPr>
          <w:rFonts w:ascii="Tw Cen MT" w:hAnsi="Tw Cen MT" w:cs="Times New Roman"/>
          <w:sz w:val="24"/>
          <w:szCs w:val="24"/>
        </w:rPr>
        <w:t xml:space="preserve"> diam. Ketika terjadi keseimbangan dinamis tubuh akan memfasilitasi dan mengaktifasi otot global dan memperkuat </w:t>
      </w:r>
      <w:r w:rsidRPr="00710CD9">
        <w:rPr>
          <w:rFonts w:ascii="Tw Cen MT" w:hAnsi="Tw Cen MT" w:cs="Times New Roman"/>
          <w:i/>
          <w:sz w:val="24"/>
          <w:szCs w:val="24"/>
        </w:rPr>
        <w:t>core muscle</w:t>
      </w:r>
      <w:r w:rsidRPr="00710CD9">
        <w:rPr>
          <w:rFonts w:ascii="Tw Cen MT" w:hAnsi="Tw Cen MT" w:cs="Times New Roman"/>
          <w:sz w:val="24"/>
          <w:szCs w:val="24"/>
        </w:rPr>
        <w:t xml:space="preserve"> yang kemudian memberikan perbaikan stabilitas tulang belakang dan LGS sehingga terjadi perbaikan postur dan peningkatan fleksibilitas trunk</w:t>
      </w:r>
      <w:r w:rsidRPr="00710CD9">
        <w:rPr>
          <w:rFonts w:ascii="Tw Cen MT" w:hAnsi="Tw Cen MT" w:cs="Times New Roman"/>
          <w:sz w:val="24"/>
          <w:szCs w:val="24"/>
          <w:vertAlign w:val="superscript"/>
        </w:rPr>
        <w:t xml:space="preserve"> </w:t>
      </w:r>
      <w:r w:rsidRPr="00710CD9">
        <w:rPr>
          <w:rFonts w:ascii="Tw Cen MT" w:hAnsi="Tw Cen MT" w:cs="Times New Roman"/>
          <w:sz w:val="24"/>
          <w:szCs w:val="24"/>
          <w:vertAlign w:val="superscript"/>
        </w:rPr>
        <w:fldChar w:fldCharType="begin" w:fldLock="1"/>
      </w:r>
      <w:r w:rsidR="00C97133">
        <w:rPr>
          <w:rFonts w:ascii="Tw Cen MT" w:hAnsi="Tw Cen MT" w:cs="Times New Roman"/>
          <w:sz w:val="24"/>
          <w:szCs w:val="24"/>
          <w:vertAlign w:val="superscript"/>
        </w:rPr>
        <w:instrText>ADDIN CSL_CITATION {"citationItems":[{"id":"ITEM-1","itemData":{"author":[{"dropping-particle":"","family":"Shumway-Cook, A., &amp; Woollacott","given":"M. H","non-dropping-particle":"","parse-names":false,"suffix":""}],"edition":"3","id":"ITEM-1","issued":{"date-parts":[["2017"]]},"publisher":"Lippincott Williams &amp; Wilkins","publisher-place":"New York","title":"Motor Control: Translating Research into Clinical Practice (5th ed.)","type":"chapter"},"uris":["http://www.mendeley.com/documents/?uuid=b3f7467e-d206-4e81-b277-cee42c762c82"]}],"mendeley":{"formattedCitation":"[14]","plainTextFormattedCitation":"[14]","previouslyFormattedCitation":"[14]"},"properties":{"noteIndex":0},"schema":"https://github.com/citation-style-language/schema/raw/master/csl-citation.json"}</w:instrText>
      </w:r>
      <w:r w:rsidRPr="00710CD9">
        <w:rPr>
          <w:rFonts w:ascii="Tw Cen MT" w:hAnsi="Tw Cen MT" w:cs="Times New Roman"/>
          <w:sz w:val="24"/>
          <w:szCs w:val="24"/>
          <w:vertAlign w:val="superscript"/>
        </w:rPr>
        <w:fldChar w:fldCharType="separate"/>
      </w:r>
      <w:r w:rsidR="00C97133" w:rsidRPr="00C97133">
        <w:rPr>
          <w:rFonts w:ascii="Tw Cen MT" w:hAnsi="Tw Cen MT" w:cs="Times New Roman"/>
          <w:noProof/>
          <w:sz w:val="24"/>
          <w:szCs w:val="24"/>
        </w:rPr>
        <w:t>[14]</w:t>
      </w:r>
      <w:r w:rsidRPr="00710CD9">
        <w:rPr>
          <w:rFonts w:ascii="Tw Cen MT" w:hAnsi="Tw Cen MT" w:cs="Times New Roman"/>
          <w:sz w:val="24"/>
          <w:szCs w:val="24"/>
          <w:vertAlign w:val="superscript"/>
        </w:rPr>
        <w:fldChar w:fldCharType="end"/>
      </w:r>
      <w:r w:rsidRPr="00710CD9">
        <w:rPr>
          <w:rFonts w:ascii="Tw Cen MT" w:hAnsi="Tw Cen MT" w:cs="Times New Roman"/>
          <w:sz w:val="24"/>
          <w:szCs w:val="24"/>
        </w:rPr>
        <w:t>.</w:t>
      </w:r>
    </w:p>
    <w:p w14:paraId="0482E0B0" w14:textId="77777777" w:rsidR="00710CD9" w:rsidRPr="00710CD9" w:rsidRDefault="00710CD9" w:rsidP="00710CD9">
      <w:pPr>
        <w:spacing w:after="0" w:line="240" w:lineRule="auto"/>
        <w:ind w:left="284" w:hanging="284"/>
        <w:jc w:val="both"/>
        <w:rPr>
          <w:rFonts w:ascii="Tw Cen MT" w:hAnsi="Tw Cen MT" w:cs="Times New Roman"/>
          <w:b/>
          <w:sz w:val="24"/>
          <w:szCs w:val="24"/>
        </w:rPr>
      </w:pPr>
      <w:r w:rsidRPr="00710CD9">
        <w:rPr>
          <w:rFonts w:ascii="Tw Cen MT" w:hAnsi="Tw Cen MT" w:cs="Times New Roman"/>
          <w:b/>
          <w:sz w:val="24"/>
          <w:szCs w:val="24"/>
        </w:rPr>
        <w:t>3. Peningkatan Kemampuan Fungsional pada Intervensi Senam Hamil Konvensional</w:t>
      </w:r>
    </w:p>
    <w:p w14:paraId="2BF277FC" w14:textId="6251BD58" w:rsidR="00710CD9" w:rsidRPr="00710CD9" w:rsidRDefault="00710CD9" w:rsidP="00710CD9">
      <w:pPr>
        <w:autoSpaceDE w:val="0"/>
        <w:autoSpaceDN w:val="0"/>
        <w:adjustRightInd w:val="0"/>
        <w:spacing w:after="0" w:line="240" w:lineRule="auto"/>
        <w:ind w:left="284" w:firstLine="425"/>
        <w:jc w:val="both"/>
        <w:rPr>
          <w:rFonts w:ascii="Tw Cen MT" w:hAnsi="Tw Cen MT" w:cs="Times New Roman"/>
          <w:sz w:val="24"/>
          <w:szCs w:val="24"/>
        </w:rPr>
      </w:pPr>
      <w:r w:rsidRPr="00710CD9">
        <w:rPr>
          <w:rFonts w:ascii="Tw Cen MT" w:hAnsi="Tw Cen MT" w:cs="Times New Roman"/>
          <w:sz w:val="24"/>
          <w:szCs w:val="24"/>
        </w:rPr>
        <w:t xml:space="preserve">Pengujian Kelompok 2 dengan menggunakan uji beda </w:t>
      </w:r>
      <w:r w:rsidRPr="00710CD9">
        <w:rPr>
          <w:rFonts w:ascii="Tw Cen MT" w:hAnsi="Tw Cen MT" w:cs="Times New Roman"/>
          <w:i/>
          <w:sz w:val="24"/>
          <w:szCs w:val="24"/>
        </w:rPr>
        <w:t xml:space="preserve">paired sample t-test </w:t>
      </w:r>
      <w:r w:rsidRPr="00710CD9">
        <w:rPr>
          <w:rFonts w:ascii="Tw Cen MT" w:hAnsi="Tw Cen MT" w:cs="Times New Roman"/>
          <w:sz w:val="24"/>
          <w:szCs w:val="24"/>
        </w:rPr>
        <w:t xml:space="preserve">terdapat perbedaan yang bermakna pada kemampuan fungsional sebelum dan setelah intervensi senam hamil konvensional. Hal tersebut menunjukkan bahwa pemberian intervensi pada Kelompok 2 memberikan peningkatan yang bermakna terhadap kemampuan fungsional ibu hamil pada kondisi nyeri pinggang bawah. Pernyataan ini sejalan dengan penelitian yang dilakukan oleh Guinhouya </w:t>
      </w:r>
      <w:r w:rsidRPr="00710CD9">
        <w:rPr>
          <w:rFonts w:ascii="Tw Cen MT" w:hAnsi="Tw Cen MT" w:cs="Times New Roman"/>
          <w:i/>
          <w:iCs/>
          <w:sz w:val="24"/>
          <w:szCs w:val="24"/>
        </w:rPr>
        <w:t>et al</w:t>
      </w:r>
      <w:r w:rsidRPr="00710CD9">
        <w:rPr>
          <w:rFonts w:ascii="Tw Cen MT" w:hAnsi="Tw Cen MT" w:cs="Times New Roman"/>
          <w:sz w:val="24"/>
          <w:szCs w:val="24"/>
        </w:rPr>
        <w:t xml:space="preserve"> (2021), yang </w:t>
      </w:r>
      <w:r w:rsidRPr="00710CD9">
        <w:rPr>
          <w:rFonts w:ascii="Tw Cen MT" w:hAnsi="Tw Cen MT" w:cs="Times New Roman"/>
          <w:sz w:val="24"/>
          <w:szCs w:val="24"/>
        </w:rPr>
        <w:lastRenderedPageBreak/>
        <w:t>mengatakan bahwa senam hamil dapat menurunkan intensitas nyeri dan meningkatkan kemampuan fungsional sehingga latihan ini efektif dilakukan selama kehamilan</w:t>
      </w:r>
      <w:r w:rsidRPr="00710CD9">
        <w:rPr>
          <w:rFonts w:ascii="Tw Cen MT" w:hAnsi="Tw Cen MT" w:cs="Times New Roman"/>
          <w:sz w:val="24"/>
          <w:szCs w:val="24"/>
          <w:vertAlign w:val="superscript"/>
        </w:rPr>
        <w:t xml:space="preserve"> </w:t>
      </w:r>
      <w:r w:rsidRPr="00710CD9">
        <w:rPr>
          <w:rFonts w:ascii="Tw Cen MT" w:hAnsi="Tw Cen MT" w:cs="Times New Roman"/>
          <w:sz w:val="24"/>
          <w:szCs w:val="24"/>
          <w:vertAlign w:val="superscript"/>
        </w:rPr>
        <w:fldChar w:fldCharType="begin" w:fldLock="1"/>
      </w:r>
      <w:r w:rsidR="00C97133">
        <w:rPr>
          <w:rFonts w:ascii="Tw Cen MT" w:hAnsi="Tw Cen MT" w:cs="Times New Roman"/>
          <w:sz w:val="24"/>
          <w:szCs w:val="24"/>
          <w:vertAlign w:val="superscript"/>
        </w:rPr>
        <w:instrText>ADDIN CSL_CITATION {"citationItems":[{"id":"ITEM-1","itemData":{"DOI":"10.1111/jmwh.13424","ISSN":"15422011","PMID":"36480665","abstract":"The objective of this work is to synthesize current knowledge about the effects of maternal physical activity during pregnancy on children's health. During the prenatal and postnatal periods, maternal physical activity has protective effects against the risks of macrosomia, obesity, and other associated cardiometabolic disorders. Even though longitudinal studies in humans are still necessary to validate them, these effects have been consistently observed in animal studies. A remarkable effect of maternal physical activity is its positive role on neurogenesis, language development, memory, and other cognitive functions related to learning.","author":[{"dropping-particle":"","family":"Guinhouya","given":"Benjamin C.","non-dropping-particle":"","parse-names":false,"suffix":""},{"dropping-particle":"","family":"Duclos","given":"Martine","non-dropping-particle":"","parse-names":false,"suffix":""},{"dropping-particle":"","family":"Enea","given":"Carina","non-dropping-particle":"","parse-names":false,"suffix":""},{"dropping-particle":"","family":"Storme","given":"Laurent","non-dropping-particle":"","parse-names":false,"suffix":""}],"container-title":"Journal of Midwifery and Women's Health","id":"ITEM-1","issue":"S1","issued":{"date-parts":[["2022"]]},"page":"S149-S157","title":"Beneficial Effects of Maternal Physical Activity during Pregnancy on Fetal, Newborn, and Child Health: Guidelines for Interventions during the Perinatal Period from the French National College of Midwives","type":"article-journal","volume":"67"},"uris":["http://www.mendeley.com/documents/?uuid=e9b1722e-b796-4b3b-87a4-a17fd8aa167b"]}],"mendeley":{"formattedCitation":"[15]","plainTextFormattedCitation":"[15]","previouslyFormattedCitation":"[15]"},"properties":{"noteIndex":0},"schema":"https://github.com/citation-style-language/schema/raw/master/csl-citation.json"}</w:instrText>
      </w:r>
      <w:r w:rsidRPr="00710CD9">
        <w:rPr>
          <w:rFonts w:ascii="Tw Cen MT" w:hAnsi="Tw Cen MT" w:cs="Times New Roman"/>
          <w:sz w:val="24"/>
          <w:szCs w:val="24"/>
          <w:vertAlign w:val="superscript"/>
        </w:rPr>
        <w:fldChar w:fldCharType="separate"/>
      </w:r>
      <w:r w:rsidR="00C97133" w:rsidRPr="00C97133">
        <w:rPr>
          <w:rFonts w:ascii="Tw Cen MT" w:hAnsi="Tw Cen MT" w:cs="Times New Roman"/>
          <w:noProof/>
          <w:sz w:val="24"/>
          <w:szCs w:val="24"/>
        </w:rPr>
        <w:t>[15]</w:t>
      </w:r>
      <w:r w:rsidRPr="00710CD9">
        <w:rPr>
          <w:rFonts w:ascii="Tw Cen MT" w:hAnsi="Tw Cen MT" w:cs="Times New Roman"/>
          <w:sz w:val="24"/>
          <w:szCs w:val="24"/>
          <w:vertAlign w:val="superscript"/>
        </w:rPr>
        <w:fldChar w:fldCharType="end"/>
      </w:r>
      <w:r w:rsidRPr="00710CD9">
        <w:rPr>
          <w:rFonts w:ascii="Tw Cen MT" w:hAnsi="Tw Cen MT" w:cs="Times New Roman"/>
          <w:sz w:val="24"/>
          <w:szCs w:val="24"/>
        </w:rPr>
        <w:t>.</w:t>
      </w:r>
    </w:p>
    <w:p w14:paraId="0FF1D34B" w14:textId="0EB48B03" w:rsidR="00710CD9" w:rsidRPr="00710CD9" w:rsidRDefault="00710CD9" w:rsidP="00710CD9">
      <w:pPr>
        <w:autoSpaceDE w:val="0"/>
        <w:autoSpaceDN w:val="0"/>
        <w:adjustRightInd w:val="0"/>
        <w:spacing w:after="0" w:line="240" w:lineRule="auto"/>
        <w:ind w:left="284" w:firstLine="425"/>
        <w:jc w:val="both"/>
        <w:rPr>
          <w:rFonts w:ascii="Tw Cen MT" w:hAnsi="Tw Cen MT" w:cs="Times New Roman"/>
          <w:sz w:val="24"/>
          <w:szCs w:val="24"/>
        </w:rPr>
      </w:pPr>
      <w:r w:rsidRPr="00710CD9">
        <w:rPr>
          <w:rFonts w:ascii="Tw Cen MT" w:hAnsi="Tw Cen MT" w:cs="Times New Roman"/>
          <w:sz w:val="24"/>
          <w:szCs w:val="24"/>
        </w:rPr>
        <w:tab/>
        <w:t xml:space="preserve">Penelitian lainnya oleh Chan </w:t>
      </w:r>
      <w:r w:rsidRPr="00710CD9">
        <w:rPr>
          <w:rFonts w:ascii="Tw Cen MT" w:hAnsi="Tw Cen MT" w:cs="Times New Roman"/>
          <w:i/>
          <w:iCs/>
          <w:sz w:val="24"/>
          <w:szCs w:val="24"/>
        </w:rPr>
        <w:t>et al</w:t>
      </w:r>
      <w:r w:rsidRPr="00710CD9">
        <w:rPr>
          <w:rFonts w:ascii="Tw Cen MT" w:hAnsi="Tw Cen MT" w:cs="Times New Roman"/>
          <w:sz w:val="24"/>
          <w:szCs w:val="24"/>
        </w:rPr>
        <w:t xml:space="preserve"> (2019), mengatakan senam hamil terutama pada gerakan latihan otot transversus dan multifidus dapat melatih tonus otot abdomen transversal bagian dalam yang merupakan penopang postural utama dari tulang belakang. Begitu juga latihan dasar pelvis, dengan gerakan ini dapat mempertahankan tonus otot sehingga dapat tetap berfungsi dengan baik dan latihan ini akan meningkatkan ketahanan serat otot postural</w:t>
      </w:r>
      <w:r w:rsidRPr="00710CD9">
        <w:rPr>
          <w:rFonts w:ascii="Tw Cen MT" w:hAnsi="Tw Cen MT" w:cs="Times New Roman"/>
          <w:sz w:val="24"/>
          <w:szCs w:val="24"/>
          <w:vertAlign w:val="superscript"/>
        </w:rPr>
        <w:t xml:space="preserve"> </w:t>
      </w:r>
      <w:r w:rsidRPr="00710CD9">
        <w:rPr>
          <w:rFonts w:ascii="Tw Cen MT" w:hAnsi="Tw Cen MT" w:cs="Times New Roman"/>
          <w:sz w:val="24"/>
          <w:szCs w:val="24"/>
          <w:vertAlign w:val="superscript"/>
        </w:rPr>
        <w:fldChar w:fldCharType="begin" w:fldLock="1"/>
      </w:r>
      <w:r w:rsidR="00C97133">
        <w:rPr>
          <w:rFonts w:ascii="Tw Cen MT" w:hAnsi="Tw Cen MT" w:cs="Times New Roman"/>
          <w:sz w:val="24"/>
          <w:szCs w:val="24"/>
          <w:vertAlign w:val="superscript"/>
        </w:rPr>
        <w:instrText>ADDIN CSL_CITATION {"citationItems":[{"id":"ITEM-1","itemData":{"DOI":"10.3390/ijerph16101840","ISSN":"16604601","PMID":"31126153","abstract":"Regular physical activity has been demonstrated to contribute to physical and psychological health. Nevertheless, pregnant women generally exhibit low levels of physical activity. Implementation of interventions that enhance the self-efficacy of pregnant women on increasing physical activity is required. This paper provides an in-depth review of studies reporting the effect of various physical activity interventions dedicated for pregnant women on pregnancyrelated issues, including gestational weight gain, pain and depression, physical activity level, and quality of life among these individuals. Five databases were used in searching the literature. Findings of the included studies were presented narratively, and appraisal of their methodological quality was conducted using the quality assessment tool developed by Effective Public Health Practice Project. Review findings demonstrated that physical activity interventions are effective in enhancing physical activity levels of pregnant women. Further, they are potentially useful in alleviating pregnancy-related pain and psychological symptoms, reducing gestational weight gain, and increasing self-efficacy in enhancing physical activity levels among these individuals. Nevertheless, inconsistencies in findings between studies hamper the drawing of firm conclusions on these latter outcomes. Overall, studies demonstrated a positive effect of physical activity interventions on the well-being and physical and psychological health of pregnant women.","author":[{"dropping-particle":"","family":"Chan","given":"Carmen W.H.","non-dropping-particle":"","parse-names":false,"suffix":""},{"dropping-particle":"","family":"Yeung","given":"Elce Au","non-dropping-particle":"","parse-names":false,"suffix":""},{"dropping-particle":"","family":"Law","given":"Bernard M.H.","non-dropping-particle":"","parse-names":false,"suffix":""}],"container-title":"International Journal of Environmental Research and Public Health","id":"ITEM-1","issue":"10","issued":{"date-parts":[["2019"]]},"title":"Effectiveness of physical activity interventions on pregnancy-related outcomes among pregnant women: A systematic review","type":"article-journal","volume":"16"},"uris":["http://www.mendeley.com/documents/?uuid=84449a4e-5c00-4038-b8b3-83d0db840149"]}],"mendeley":{"formattedCitation":"[16]","plainTextFormattedCitation":"[16]","previouslyFormattedCitation":"[16]"},"properties":{"noteIndex":0},"schema":"https://github.com/citation-style-language/schema/raw/master/csl-citation.json"}</w:instrText>
      </w:r>
      <w:r w:rsidRPr="00710CD9">
        <w:rPr>
          <w:rFonts w:ascii="Tw Cen MT" w:hAnsi="Tw Cen MT" w:cs="Times New Roman"/>
          <w:sz w:val="24"/>
          <w:szCs w:val="24"/>
          <w:vertAlign w:val="superscript"/>
        </w:rPr>
        <w:fldChar w:fldCharType="separate"/>
      </w:r>
      <w:r w:rsidR="00C97133" w:rsidRPr="00C97133">
        <w:rPr>
          <w:rFonts w:ascii="Tw Cen MT" w:hAnsi="Tw Cen MT" w:cs="Times New Roman"/>
          <w:noProof/>
          <w:sz w:val="24"/>
          <w:szCs w:val="24"/>
        </w:rPr>
        <w:t>[16]</w:t>
      </w:r>
      <w:r w:rsidRPr="00710CD9">
        <w:rPr>
          <w:rFonts w:ascii="Tw Cen MT" w:hAnsi="Tw Cen MT" w:cs="Times New Roman"/>
          <w:sz w:val="24"/>
          <w:szCs w:val="24"/>
          <w:vertAlign w:val="superscript"/>
        </w:rPr>
        <w:fldChar w:fldCharType="end"/>
      </w:r>
      <w:r w:rsidRPr="00710CD9">
        <w:rPr>
          <w:rFonts w:ascii="Tw Cen MT" w:hAnsi="Tw Cen MT" w:cs="Times New Roman"/>
          <w:sz w:val="24"/>
          <w:szCs w:val="24"/>
        </w:rPr>
        <w:t>.</w:t>
      </w:r>
    </w:p>
    <w:p w14:paraId="4B43A86E" w14:textId="2B3C1646" w:rsidR="00710CD9" w:rsidRPr="00710CD9" w:rsidRDefault="00710CD9" w:rsidP="00710CD9">
      <w:pPr>
        <w:autoSpaceDE w:val="0"/>
        <w:autoSpaceDN w:val="0"/>
        <w:adjustRightInd w:val="0"/>
        <w:spacing w:after="0" w:line="240" w:lineRule="auto"/>
        <w:ind w:left="284" w:firstLine="425"/>
        <w:jc w:val="both"/>
        <w:rPr>
          <w:rFonts w:ascii="Tw Cen MT" w:hAnsi="Tw Cen MT" w:cs="Times New Roman"/>
          <w:sz w:val="24"/>
          <w:szCs w:val="24"/>
        </w:rPr>
      </w:pPr>
      <w:r w:rsidRPr="00710CD9">
        <w:rPr>
          <w:rFonts w:ascii="Tw Cen MT" w:hAnsi="Tw Cen MT" w:cs="Times New Roman"/>
          <w:sz w:val="24"/>
          <w:szCs w:val="24"/>
        </w:rPr>
        <w:tab/>
      </w:r>
      <w:r w:rsidRPr="00710CD9">
        <w:rPr>
          <w:rStyle w:val="Strong"/>
          <w:rFonts w:ascii="Tw Cen MT" w:hAnsi="Tw Cen MT" w:cs="Times New Roman"/>
          <w:b w:val="0"/>
          <w:bCs w:val="0"/>
          <w:sz w:val="24"/>
          <w:szCs w:val="24"/>
        </w:rPr>
        <w:t>Kankaanpaa</w:t>
      </w:r>
      <w:r>
        <w:rPr>
          <w:rFonts w:ascii="Tw Cen MT" w:hAnsi="Tw Cen MT" w:cs="Times New Roman"/>
          <w:sz w:val="24"/>
          <w:szCs w:val="24"/>
        </w:rPr>
        <w:t xml:space="preserve"> </w:t>
      </w:r>
      <w:r w:rsidRPr="00710CD9">
        <w:rPr>
          <w:rFonts w:ascii="Tw Cen MT" w:hAnsi="Tw Cen MT" w:cs="Times New Roman"/>
          <w:sz w:val="24"/>
          <w:szCs w:val="24"/>
        </w:rPr>
        <w:t>(2013),</w:t>
      </w:r>
      <w:r w:rsidR="00D93378">
        <w:rPr>
          <w:rFonts w:ascii="Tw Cen MT" w:hAnsi="Tw Cen MT" w:cs="Times New Roman"/>
          <w:sz w:val="24"/>
          <w:szCs w:val="24"/>
        </w:rPr>
        <w:t xml:space="preserve"> </w:t>
      </w:r>
      <w:r w:rsidRPr="00710CD9">
        <w:rPr>
          <w:rFonts w:ascii="Tw Cen MT" w:hAnsi="Tw Cen MT" w:cs="Times New Roman"/>
          <w:sz w:val="24"/>
          <w:szCs w:val="24"/>
        </w:rPr>
        <w:t>juga membenarkan bahwa kelemahan otot inti dikaitkan dengan NPB yang dipengaruhi oleh derajat asimetris dari kekuatan dan fleksibiltas otot-otot punggung bawah dan pinggul</w:t>
      </w:r>
      <w:r w:rsidRPr="00710CD9">
        <w:rPr>
          <w:rFonts w:ascii="Tw Cen MT" w:hAnsi="Tw Cen MT" w:cs="Times New Roman"/>
          <w:sz w:val="24"/>
          <w:szCs w:val="24"/>
          <w:vertAlign w:val="superscript"/>
        </w:rPr>
        <w:t>12</w:t>
      </w:r>
      <w:r w:rsidRPr="00710CD9">
        <w:rPr>
          <w:rFonts w:ascii="Tw Cen MT" w:hAnsi="Tw Cen MT" w:cs="Times New Roman"/>
          <w:sz w:val="24"/>
          <w:szCs w:val="24"/>
        </w:rPr>
        <w:t>. Rachel (2015), menunjukkan bahwa latihan dari otot multifidus dapat meningkatkan kekuatan antar segmen vertebra walaupun hanya 5% tetapi memiliki manfaat yang signifikan dalam mengatasi NPB dan meningkatkan aktivitas fungsional</w:t>
      </w:r>
      <w:r w:rsidRPr="00710CD9">
        <w:rPr>
          <w:rFonts w:ascii="Tw Cen MT" w:hAnsi="Tw Cen MT" w:cs="Times New Roman"/>
          <w:sz w:val="24"/>
          <w:szCs w:val="24"/>
          <w:vertAlign w:val="superscript"/>
        </w:rPr>
        <w:t xml:space="preserve"> </w:t>
      </w:r>
      <w:r w:rsidRPr="00710CD9">
        <w:rPr>
          <w:rFonts w:ascii="Tw Cen MT" w:hAnsi="Tw Cen MT" w:cs="Times New Roman"/>
          <w:sz w:val="24"/>
          <w:szCs w:val="24"/>
          <w:vertAlign w:val="superscript"/>
        </w:rPr>
        <w:fldChar w:fldCharType="begin" w:fldLock="1"/>
      </w:r>
      <w:r w:rsidR="00C97133">
        <w:rPr>
          <w:rFonts w:ascii="Tw Cen MT" w:hAnsi="Tw Cen MT" w:cs="Times New Roman"/>
          <w:sz w:val="24"/>
          <w:szCs w:val="24"/>
          <w:vertAlign w:val="superscript"/>
        </w:rPr>
        <w:instrText>ADDIN CSL_CITATION {"citationItems":[{"id":"ITEM-1","itemData":{"author":[{"dropping-particle":"","family":"Rachel","given":"N","non-dropping-particle":"","parse-names":false,"suffix":""}],"id":"ITEM-1","issued":{"date-parts":[["2015"]]},"title":"Stability Ball Exercise For Pregnant Women","type":"report"},"uris":["http://www.mendeley.com/documents/?uuid=f4ca26b3-8a0e-43d7-9e9f-9593e98bf607"]}],"mendeley":{"formattedCitation":"[17]","plainTextFormattedCitation":"[17]","previouslyFormattedCitation":"[17]"},"properties":{"noteIndex":0},"schema":"https://github.com/citation-style-language/schema/raw/master/csl-citation.json"}</w:instrText>
      </w:r>
      <w:r w:rsidRPr="00710CD9">
        <w:rPr>
          <w:rFonts w:ascii="Tw Cen MT" w:hAnsi="Tw Cen MT" w:cs="Times New Roman"/>
          <w:sz w:val="24"/>
          <w:szCs w:val="24"/>
          <w:vertAlign w:val="superscript"/>
        </w:rPr>
        <w:fldChar w:fldCharType="separate"/>
      </w:r>
      <w:r w:rsidR="00C97133" w:rsidRPr="00C97133">
        <w:rPr>
          <w:rFonts w:ascii="Tw Cen MT" w:hAnsi="Tw Cen MT" w:cs="Times New Roman"/>
          <w:noProof/>
          <w:sz w:val="24"/>
          <w:szCs w:val="24"/>
        </w:rPr>
        <w:t>[17]</w:t>
      </w:r>
      <w:r w:rsidRPr="00710CD9">
        <w:rPr>
          <w:rFonts w:ascii="Tw Cen MT" w:hAnsi="Tw Cen MT" w:cs="Times New Roman"/>
          <w:sz w:val="24"/>
          <w:szCs w:val="24"/>
          <w:vertAlign w:val="superscript"/>
        </w:rPr>
        <w:fldChar w:fldCharType="end"/>
      </w:r>
      <w:r w:rsidRPr="00710CD9">
        <w:rPr>
          <w:rFonts w:ascii="Tw Cen MT" w:hAnsi="Tw Cen MT" w:cs="Times New Roman"/>
          <w:sz w:val="24"/>
          <w:szCs w:val="24"/>
        </w:rPr>
        <w:t>.</w:t>
      </w:r>
    </w:p>
    <w:p w14:paraId="7DA16909" w14:textId="20ECE317" w:rsidR="00710CD9" w:rsidRPr="00710CD9" w:rsidRDefault="00710CD9" w:rsidP="00710CD9">
      <w:pPr>
        <w:autoSpaceDE w:val="0"/>
        <w:autoSpaceDN w:val="0"/>
        <w:adjustRightInd w:val="0"/>
        <w:spacing w:after="0" w:line="240" w:lineRule="auto"/>
        <w:ind w:left="284" w:firstLine="425"/>
        <w:jc w:val="both"/>
        <w:rPr>
          <w:rFonts w:ascii="Tw Cen MT" w:hAnsi="Tw Cen MT" w:cs="Times New Roman"/>
          <w:sz w:val="24"/>
          <w:szCs w:val="24"/>
        </w:rPr>
      </w:pPr>
      <w:r w:rsidRPr="00710CD9">
        <w:rPr>
          <w:rFonts w:ascii="Tw Cen MT" w:hAnsi="Tw Cen MT" w:cs="Times New Roman"/>
          <w:sz w:val="24"/>
          <w:szCs w:val="24"/>
        </w:rPr>
        <w:t xml:space="preserve">Latihan atau olahraga teratur pada masa kehamilan telah terbukti memiliki manfaat fisik dan psikologis yang baik bagi ibu dan juga anak didalam rahim dibandingkan dengan wanita hamil yang tidak melakukan aktifitas fisik (latihan) sama sekali. Latihan semasa kehamilan dapat mencegah masalah muskuloskeletal. Dampak dari biomekanik dan perubahan hormonal semasa kehamilan merupakan faktor yang mengkondisikan wanita hamil harus melakukan aktifitas fisik (latihan) selama proses kehamilan dan setelah persalinan. Program latihan selama kehamilan akan mengurangi resiko cedera dan gejala sisa selama kehamilan (khususnya nyeri pada pinggang dan dasar </w:t>
      </w:r>
      <w:r w:rsidRPr="00710CD9">
        <w:rPr>
          <w:rFonts w:ascii="Tw Cen MT" w:hAnsi="Tw Cen MT" w:cs="Times New Roman"/>
          <w:sz w:val="24"/>
          <w:szCs w:val="24"/>
        </w:rPr>
        <w:t>panggul serta pola napas yang memendek)</w:t>
      </w:r>
      <w:r w:rsidRPr="00710CD9">
        <w:rPr>
          <w:rFonts w:ascii="Tw Cen MT" w:hAnsi="Tw Cen MT" w:cs="Times New Roman"/>
          <w:sz w:val="24"/>
          <w:szCs w:val="24"/>
          <w:vertAlign w:val="superscript"/>
        </w:rPr>
        <w:t xml:space="preserve"> </w:t>
      </w:r>
      <w:r w:rsidRPr="00710CD9">
        <w:rPr>
          <w:rFonts w:ascii="Tw Cen MT" w:hAnsi="Tw Cen MT" w:cs="Times New Roman"/>
          <w:sz w:val="24"/>
          <w:szCs w:val="24"/>
          <w:vertAlign w:val="superscript"/>
        </w:rPr>
        <w:fldChar w:fldCharType="begin" w:fldLock="1"/>
      </w:r>
      <w:r w:rsidR="00C97133">
        <w:rPr>
          <w:rFonts w:ascii="Tw Cen MT" w:hAnsi="Tw Cen MT" w:cs="Times New Roman"/>
          <w:sz w:val="24"/>
          <w:szCs w:val="24"/>
          <w:vertAlign w:val="superscript"/>
        </w:rPr>
        <w:instrText>ADDIN CSL_CITATION {"citationItems":[{"id":"ITEM-1","itemData":{"DOI":"10.1016/s0031-9406(10)61772-5","ISBN":"9781936608584","ISSN":"00319406","abstract":"Download full textRelated articlesView all related articles\\n \\n \\n\\n\\n var addthis_config = {\\n ui_cobrand: \"Taylor &amp;amp; Francis Online\",\\n services_compact: \"citeulike,netvibes,twitter,technorati,delicious,linkedin,facebook,stumbleupon,digg,google,more\",\\n pubid: \"ra-4dff56cd6bb1830b\"\\n };\\n\\n Share on print\\n Share on facebook\\n Share on twitter\\n More Sharing Services\\n \\n var addthis_config = {\"data_track_addressbar\":true,\"ui_click\":true};\\n \\n \\n \\n Add to shortlist\\n \\n \\n\\n \\n\\n \\n \\n \\n \\n Link\\n \\n\\n \\n \\n \\n Permalink\\n \\n\\n \\n \\n \\n\\n \\n\\n\\n\\n \\n \\n \\n\\n\\n\\n\\n \\n \\n http://dx.doi.org/10.1080/03003930500157457\\n \\n \\n \\n \\n \\n \\n \\n \\n \\n\\n \\n \\n \\n Download Citation\\n \\n \\n \\n \\n Recommend to:\\n \\n \\n \\n \\n \\n\\n \\n\\n \\n \\n \\n \\n \\n\\n A friend","author":[{"dropping-particle":"","family":"Tancred","given":"GE","non-dropping-particle":"","parse-names":false,"suffix":""}],"container-title":"Physiotherapy","id":"ITEM-1","issue":"4","issued":{"date-parts":[["2014"]]},"page":"311","title":"Guidelines for Exercise Testing and Prescription","type":"article-journal","volume":"77"},"uris":["http://www.mendeley.com/documents/?uuid=ac3527c5-6f58-48b0-908e-e5419b6ce240"]}],"mendeley":{"formattedCitation":"[18]","plainTextFormattedCitation":"[18]","previouslyFormattedCitation":"[18]"},"properties":{"noteIndex":0},"schema":"https://github.com/citation-style-language/schema/raw/master/csl-citation.json"}</w:instrText>
      </w:r>
      <w:r w:rsidRPr="00710CD9">
        <w:rPr>
          <w:rFonts w:ascii="Tw Cen MT" w:hAnsi="Tw Cen MT" w:cs="Times New Roman"/>
          <w:sz w:val="24"/>
          <w:szCs w:val="24"/>
          <w:vertAlign w:val="superscript"/>
        </w:rPr>
        <w:fldChar w:fldCharType="separate"/>
      </w:r>
      <w:r w:rsidR="00C97133" w:rsidRPr="00C97133">
        <w:rPr>
          <w:rFonts w:ascii="Tw Cen MT" w:hAnsi="Tw Cen MT" w:cs="Times New Roman"/>
          <w:noProof/>
          <w:sz w:val="24"/>
          <w:szCs w:val="24"/>
        </w:rPr>
        <w:t>[18]</w:t>
      </w:r>
      <w:r w:rsidRPr="00710CD9">
        <w:rPr>
          <w:rFonts w:ascii="Tw Cen MT" w:hAnsi="Tw Cen MT" w:cs="Times New Roman"/>
          <w:sz w:val="24"/>
          <w:szCs w:val="24"/>
          <w:vertAlign w:val="superscript"/>
        </w:rPr>
        <w:fldChar w:fldCharType="end"/>
      </w:r>
      <w:r w:rsidRPr="00710CD9">
        <w:rPr>
          <w:rFonts w:ascii="Tw Cen MT" w:hAnsi="Tw Cen MT" w:cs="Times New Roman"/>
          <w:sz w:val="24"/>
          <w:szCs w:val="24"/>
        </w:rPr>
        <w:t>.</w:t>
      </w:r>
    </w:p>
    <w:p w14:paraId="34477FBF" w14:textId="77777777" w:rsidR="00710CD9" w:rsidRPr="00710CD9" w:rsidRDefault="00710CD9" w:rsidP="00710CD9">
      <w:pPr>
        <w:autoSpaceDE w:val="0"/>
        <w:autoSpaceDN w:val="0"/>
        <w:adjustRightInd w:val="0"/>
        <w:spacing w:after="0" w:line="240" w:lineRule="auto"/>
        <w:jc w:val="both"/>
        <w:rPr>
          <w:rFonts w:ascii="Tw Cen MT" w:hAnsi="Tw Cen MT" w:cs="Times New Roman"/>
          <w:b/>
          <w:sz w:val="24"/>
          <w:szCs w:val="24"/>
        </w:rPr>
      </w:pPr>
      <w:r w:rsidRPr="00710CD9">
        <w:rPr>
          <w:rFonts w:ascii="Tw Cen MT" w:hAnsi="Tw Cen MT" w:cs="Times New Roman"/>
          <w:b/>
          <w:sz w:val="24"/>
          <w:szCs w:val="24"/>
        </w:rPr>
        <w:t xml:space="preserve">4. Modifikasi Senam Hamil dengan </w:t>
      </w:r>
      <w:r w:rsidRPr="00710CD9">
        <w:rPr>
          <w:rFonts w:ascii="Tw Cen MT" w:hAnsi="Tw Cen MT" w:cs="Times New Roman"/>
          <w:b/>
          <w:i/>
          <w:sz w:val="24"/>
          <w:szCs w:val="24"/>
        </w:rPr>
        <w:t>Gym Ball</w:t>
      </w:r>
      <w:r w:rsidRPr="00710CD9">
        <w:rPr>
          <w:rFonts w:ascii="Tw Cen MT" w:hAnsi="Tw Cen MT" w:cs="Times New Roman"/>
          <w:b/>
          <w:sz w:val="24"/>
          <w:szCs w:val="24"/>
        </w:rPr>
        <w:t xml:space="preserve"> lebih baik dibanding Senam Hamil Konvensional dalam Meningkatkan Kemampuan Fungsional Ibu Hamil pada Kondisi Nyeri Pinggang Bawah</w:t>
      </w:r>
    </w:p>
    <w:p w14:paraId="35FC976E" w14:textId="77777777" w:rsidR="00710CD9" w:rsidRPr="00710CD9" w:rsidRDefault="00710CD9" w:rsidP="00710CD9">
      <w:pPr>
        <w:autoSpaceDE w:val="0"/>
        <w:autoSpaceDN w:val="0"/>
        <w:adjustRightInd w:val="0"/>
        <w:spacing w:after="0" w:line="240" w:lineRule="auto"/>
        <w:ind w:firstLine="709"/>
        <w:jc w:val="both"/>
        <w:rPr>
          <w:rFonts w:ascii="Tw Cen MT" w:hAnsi="Tw Cen MT" w:cs="Times New Roman"/>
          <w:sz w:val="24"/>
          <w:szCs w:val="24"/>
        </w:rPr>
      </w:pPr>
      <w:r w:rsidRPr="00710CD9">
        <w:rPr>
          <w:rFonts w:ascii="Tw Cen MT" w:hAnsi="Tw Cen MT" w:cs="Times New Roman"/>
          <w:sz w:val="24"/>
          <w:szCs w:val="24"/>
        </w:rPr>
        <w:tab/>
        <w:t xml:space="preserve">Hasil rerata selisih peningkatan kemampuan fungsional setelah intervensi pada Kelompok 1 dan Kelompok 2 menunjukkan bahwa ada perbedaan signifikan dalam peningkatan kemampuan fungsional pada ibu hamil yang menderita NPB. Hasil uji hipotesis dengan menggunakan uji </w:t>
      </w:r>
      <w:r w:rsidRPr="00710CD9">
        <w:rPr>
          <w:rFonts w:ascii="Tw Cen MT" w:hAnsi="Tw Cen MT" w:cs="Times New Roman"/>
          <w:i/>
          <w:iCs/>
          <w:sz w:val="24"/>
          <w:szCs w:val="24"/>
        </w:rPr>
        <w:t xml:space="preserve">independent sample t test </w:t>
      </w:r>
      <w:r w:rsidRPr="00710CD9">
        <w:rPr>
          <w:rFonts w:ascii="Tw Cen MT" w:hAnsi="Tw Cen MT" w:cs="Times New Roman"/>
          <w:sz w:val="24"/>
          <w:szCs w:val="24"/>
        </w:rPr>
        <w:t xml:space="preserve">antar kedua kelompok didapatkan nilai p&lt;0,005. Hal ini menunjukkan bahwa ada perbedaan peningkatan kemampuan fungsional pada modifikasi senam hamil dan </w:t>
      </w:r>
      <w:r w:rsidRPr="00710CD9">
        <w:rPr>
          <w:rFonts w:ascii="Tw Cen MT" w:hAnsi="Tw Cen MT" w:cs="Times New Roman"/>
          <w:i/>
          <w:sz w:val="24"/>
          <w:szCs w:val="24"/>
        </w:rPr>
        <w:t>gym ball</w:t>
      </w:r>
      <w:r w:rsidRPr="00710CD9">
        <w:rPr>
          <w:rFonts w:ascii="Tw Cen MT" w:hAnsi="Tw Cen MT" w:cs="Times New Roman"/>
          <w:sz w:val="24"/>
          <w:szCs w:val="24"/>
        </w:rPr>
        <w:t xml:space="preserve"> dibanding dengan senam hamil konvensional. Maka dapat disimpulkan bahwa intervensi modifikasi senam hamil dan </w:t>
      </w:r>
      <w:r w:rsidRPr="00710CD9">
        <w:rPr>
          <w:rFonts w:ascii="Tw Cen MT" w:hAnsi="Tw Cen MT" w:cs="Times New Roman"/>
          <w:i/>
          <w:sz w:val="24"/>
          <w:szCs w:val="24"/>
        </w:rPr>
        <w:t>gym</w:t>
      </w:r>
      <w:r w:rsidRPr="00710CD9">
        <w:rPr>
          <w:rFonts w:ascii="Tw Cen MT" w:hAnsi="Tw Cen MT" w:cs="Times New Roman"/>
          <w:sz w:val="24"/>
          <w:szCs w:val="24"/>
        </w:rPr>
        <w:t xml:space="preserve"> </w:t>
      </w:r>
      <w:r w:rsidRPr="00710CD9">
        <w:rPr>
          <w:rFonts w:ascii="Tw Cen MT" w:hAnsi="Tw Cen MT" w:cs="Times New Roman"/>
          <w:i/>
          <w:iCs/>
          <w:sz w:val="24"/>
          <w:szCs w:val="24"/>
        </w:rPr>
        <w:t xml:space="preserve">ball </w:t>
      </w:r>
      <w:r w:rsidRPr="00710CD9">
        <w:rPr>
          <w:rFonts w:ascii="Tw Cen MT" w:hAnsi="Tw Cen MT" w:cs="Times New Roman"/>
          <w:iCs/>
          <w:sz w:val="24"/>
          <w:szCs w:val="24"/>
        </w:rPr>
        <w:t xml:space="preserve">lebih baik dibanding </w:t>
      </w:r>
      <w:r w:rsidRPr="00710CD9">
        <w:rPr>
          <w:rFonts w:ascii="Tw Cen MT" w:hAnsi="Tw Cen MT" w:cs="Times New Roman"/>
          <w:sz w:val="24"/>
          <w:szCs w:val="24"/>
        </w:rPr>
        <w:t xml:space="preserve">dengan senam hamil konvensional dalam meningkatkan kemampuan fungsional ibu hamil pada kondisi nyeri pinggang bawah. </w:t>
      </w:r>
    </w:p>
    <w:p w14:paraId="364A3705" w14:textId="2884E86F" w:rsidR="00710CD9" w:rsidRPr="00710CD9" w:rsidRDefault="00710CD9" w:rsidP="00710CD9">
      <w:pPr>
        <w:autoSpaceDE w:val="0"/>
        <w:autoSpaceDN w:val="0"/>
        <w:adjustRightInd w:val="0"/>
        <w:spacing w:after="0" w:line="240" w:lineRule="auto"/>
        <w:jc w:val="both"/>
        <w:rPr>
          <w:rFonts w:ascii="Tw Cen MT" w:hAnsi="Tw Cen MT" w:cs="Times New Roman"/>
          <w:sz w:val="24"/>
          <w:szCs w:val="24"/>
        </w:rPr>
      </w:pPr>
      <w:r w:rsidRPr="00710CD9">
        <w:rPr>
          <w:rFonts w:ascii="Tw Cen MT" w:hAnsi="Tw Cen MT" w:cs="Times New Roman"/>
          <w:sz w:val="24"/>
          <w:szCs w:val="24"/>
        </w:rPr>
        <w:tab/>
        <w:t xml:space="preserve">Modifikasi senam hamil dengan </w:t>
      </w:r>
      <w:r w:rsidRPr="00710CD9">
        <w:rPr>
          <w:rFonts w:ascii="Tw Cen MT" w:hAnsi="Tw Cen MT" w:cs="Times New Roman"/>
          <w:i/>
          <w:sz w:val="24"/>
          <w:szCs w:val="24"/>
        </w:rPr>
        <w:t>gym</w:t>
      </w:r>
      <w:r w:rsidRPr="00710CD9">
        <w:rPr>
          <w:rFonts w:ascii="Tw Cen MT" w:hAnsi="Tw Cen MT" w:cs="Times New Roman"/>
          <w:sz w:val="24"/>
          <w:szCs w:val="24"/>
        </w:rPr>
        <w:t xml:space="preserve"> </w:t>
      </w:r>
      <w:r w:rsidRPr="00710CD9">
        <w:rPr>
          <w:rFonts w:ascii="Tw Cen MT" w:hAnsi="Tw Cen MT" w:cs="Times New Roman"/>
          <w:i/>
          <w:sz w:val="24"/>
          <w:szCs w:val="24"/>
        </w:rPr>
        <w:t xml:space="preserve">ball exercise </w:t>
      </w:r>
      <w:r w:rsidRPr="00710CD9">
        <w:rPr>
          <w:rFonts w:ascii="Tw Cen MT" w:hAnsi="Tw Cen MT" w:cs="Times New Roman"/>
          <w:sz w:val="24"/>
          <w:szCs w:val="24"/>
        </w:rPr>
        <w:t xml:space="preserve">maupun senam hamil konvensional positif memberikan efek penurunan nyeri dan peningkatan kemampuan fungsional ibu hamil pada kondisi nyeri pinggang bawah. Tetapi dalam beberapa penelitian mengklaim bahwa otot-otot perut dan punggung terlibat aktif dalam mempertahankan posisi dan postur tubuh yang tepat dan seimbang diatas bola. </w:t>
      </w:r>
      <w:r w:rsidRPr="00710CD9">
        <w:rPr>
          <w:rFonts w:ascii="Tw Cen MT" w:hAnsi="Tw Cen MT" w:cs="Times New Roman"/>
          <w:i/>
          <w:sz w:val="24"/>
          <w:szCs w:val="24"/>
        </w:rPr>
        <w:t xml:space="preserve">Core </w:t>
      </w:r>
      <w:r w:rsidRPr="00710CD9">
        <w:rPr>
          <w:rFonts w:ascii="Tw Cen MT" w:hAnsi="Tw Cen MT" w:cs="Times New Roman"/>
          <w:i/>
          <w:iCs/>
          <w:sz w:val="24"/>
          <w:szCs w:val="24"/>
        </w:rPr>
        <w:t>stability</w:t>
      </w:r>
      <w:r w:rsidRPr="00710CD9">
        <w:rPr>
          <w:rFonts w:ascii="Tw Cen MT" w:hAnsi="Tw Cen MT" w:cs="Times New Roman"/>
          <w:sz w:val="24"/>
          <w:szCs w:val="24"/>
        </w:rPr>
        <w:t xml:space="preserve"> dapat ditingkatkan dengan program latihan menggunakan </w:t>
      </w:r>
      <w:r w:rsidRPr="00710CD9">
        <w:rPr>
          <w:rFonts w:ascii="Tw Cen MT" w:hAnsi="Tw Cen MT" w:cs="Times New Roman"/>
          <w:i/>
          <w:sz w:val="24"/>
          <w:szCs w:val="24"/>
        </w:rPr>
        <w:t>Swiss ball</w:t>
      </w:r>
      <w:r w:rsidRPr="00710CD9">
        <w:rPr>
          <w:rFonts w:ascii="Tw Cen MT" w:hAnsi="Tw Cen MT" w:cs="Times New Roman"/>
          <w:sz w:val="24"/>
          <w:szCs w:val="24"/>
        </w:rPr>
        <w:t>.</w:t>
      </w:r>
      <w:r w:rsidRPr="00710CD9">
        <w:rPr>
          <w:rFonts w:ascii="Tw Cen MT" w:hAnsi="Tw Cen MT" w:cs="TimesNewRomanPSMT"/>
          <w:sz w:val="24"/>
          <w:szCs w:val="24"/>
        </w:rPr>
        <w:t xml:space="preserve"> D</w:t>
      </w:r>
      <w:r w:rsidRPr="00710CD9">
        <w:rPr>
          <w:rFonts w:ascii="Tw Cen MT" w:hAnsi="Tw Cen MT" w:cs="Times New Roman"/>
          <w:sz w:val="24"/>
          <w:szCs w:val="24"/>
        </w:rPr>
        <w:t xml:space="preserve">iakui oleh para pengguna </w:t>
      </w:r>
      <w:r w:rsidRPr="00710CD9">
        <w:rPr>
          <w:rFonts w:ascii="Tw Cen MT" w:hAnsi="Tw Cen MT" w:cs="Times New Roman"/>
          <w:i/>
          <w:sz w:val="24"/>
          <w:szCs w:val="24"/>
        </w:rPr>
        <w:t>gym ball</w:t>
      </w:r>
      <w:r w:rsidRPr="00710CD9">
        <w:rPr>
          <w:rFonts w:ascii="Tw Cen MT" w:hAnsi="Tw Cen MT" w:cs="Times New Roman"/>
          <w:sz w:val="24"/>
          <w:szCs w:val="24"/>
        </w:rPr>
        <w:t xml:space="preserve"> sebagai bentuk latihan yang berguna dalam meningkatkan latihan adaptasi regimen terutama pada sistem saraf. Latihan dengan menggunakan </w:t>
      </w:r>
      <w:r w:rsidRPr="00710CD9">
        <w:rPr>
          <w:rFonts w:ascii="Tw Cen MT" w:hAnsi="Tw Cen MT" w:cs="Times New Roman"/>
          <w:i/>
          <w:sz w:val="24"/>
          <w:szCs w:val="24"/>
        </w:rPr>
        <w:t xml:space="preserve">ball </w:t>
      </w:r>
      <w:r w:rsidRPr="00710CD9">
        <w:rPr>
          <w:rFonts w:ascii="Tw Cen MT" w:hAnsi="Tw Cen MT" w:cs="Times New Roman"/>
          <w:sz w:val="24"/>
          <w:szCs w:val="24"/>
        </w:rPr>
        <w:t xml:space="preserve">dapat meningkatkan </w:t>
      </w:r>
      <w:r w:rsidRPr="00710CD9">
        <w:rPr>
          <w:rFonts w:ascii="Tw Cen MT" w:hAnsi="Tw Cen MT" w:cs="Times New Roman"/>
          <w:i/>
          <w:sz w:val="24"/>
          <w:szCs w:val="24"/>
        </w:rPr>
        <w:t xml:space="preserve">proprioceptive </w:t>
      </w:r>
      <w:r w:rsidRPr="00710CD9">
        <w:rPr>
          <w:rFonts w:ascii="Tw Cen MT" w:hAnsi="Tw Cen MT" w:cs="Times New Roman"/>
          <w:sz w:val="24"/>
          <w:szCs w:val="24"/>
        </w:rPr>
        <w:t xml:space="preserve">lumbal yang berperan utama dalam menjaga postur tubuh tetap tegak dan keseimbangan yang memadai pada orang dewasa sehat </w:t>
      </w:r>
      <w:r w:rsidRPr="00710CD9">
        <w:rPr>
          <w:rFonts w:ascii="Tw Cen MT" w:hAnsi="Tw Cen MT" w:cs="Times New Roman"/>
          <w:sz w:val="24"/>
          <w:szCs w:val="24"/>
        </w:rPr>
        <w:fldChar w:fldCharType="begin" w:fldLock="1"/>
      </w:r>
      <w:r w:rsidR="00C97133">
        <w:rPr>
          <w:rFonts w:ascii="Tw Cen MT" w:hAnsi="Tw Cen MT" w:cs="Times New Roman"/>
          <w:sz w:val="24"/>
          <w:szCs w:val="24"/>
        </w:rPr>
        <w:instrText>ADDIN CSL_CITATION {"citationItems":[{"id":"ITEM-1","itemData":{"abstract":"Swiss ball has been extensively used as an effective appliance that improves balance by providing unstable surface and thereby reinforcing the proprioceptive feedback from joints and muscles. The purpose of this study was to testify this very fact. Swiss ball exercises were tested against standing balance exercises in normative individuals to see the anticipated changes in proprioception and this data was compared with a control group to see the deviation away from placebo. Methods: Thirty normative, healthy subjects with sedentary lifestyle were recruited with informed consent and divided randomly into three different groups. Group A performed Swiss ball exercises while Group B performed standing balance exercises. Control group, Group C was asked to perform a random set of exercises not intended to improve lumbar proprioception. Lumbar reposition error was tested in all three groups with gravity inclinometer before the commencement of study and at its termination. Results: While comparing both sets of exercises, Group B with standing balance training showed a significant reduction in lumbar reposition error over the course of two weeks as compared to Group A with swiss ball training. Group C, the control group, showed no significant difference in initial data and last data obtained. Conclusion: The study proves that the specific lumbar reposition sense, a marker of balance, improves better with standing proprioceptive and balance exercises as compared to the swiss ball proprioceptive and balance exercises","author":[{"dropping-particle":"","family":"Gaur","given":"Vivek","non-dropping-particle":"","parse-names":false,"suffix":""},{"dropping-particle":"","family":"Gupta","given":"Sukriti","non-dropping-particle":"","parse-names":false,"suffix":""},{"dropping-particle":"","family":"Arora","given":"Manish","non-dropping-particle":"","parse-names":false,"suffix":""}],"container-title":"Psysiotherapy and Occupational Theraphy Journal","id":"ITEM-1","issue":"1","issued":{"date-parts":[["2016"]]},"page":"5-10","title":"An Experimental Study To Compare The Effects Of Balance Exercises Done On Swiss-ball And Standing, On Lumbar Reposition Sense, In Asymptomatic Indi-viduals","type":"article-journal","volume":"5"},"uris":["http://www.mendeley.com/documents/?uuid=1b8be258-5e1a-465f-b9f2-c4306421f5d8"]}],"mendeley":{"formattedCitation":"[19]","plainTextFormattedCitation":"[19]","previouslyFormattedCitation":"[19]"},"properties":{"noteIndex":0},"schema":"https://github.com/citation-style-language/schema/raw/master/csl-citation.json"}</w:instrText>
      </w:r>
      <w:r w:rsidRPr="00710CD9">
        <w:rPr>
          <w:rFonts w:ascii="Tw Cen MT" w:hAnsi="Tw Cen MT" w:cs="Times New Roman"/>
          <w:sz w:val="24"/>
          <w:szCs w:val="24"/>
        </w:rPr>
        <w:fldChar w:fldCharType="separate"/>
      </w:r>
      <w:r w:rsidR="00C97133" w:rsidRPr="00C97133">
        <w:rPr>
          <w:rFonts w:ascii="Tw Cen MT" w:hAnsi="Tw Cen MT" w:cs="Times New Roman"/>
          <w:noProof/>
          <w:sz w:val="24"/>
          <w:szCs w:val="24"/>
        </w:rPr>
        <w:t>[19]</w:t>
      </w:r>
      <w:r w:rsidRPr="00710CD9">
        <w:rPr>
          <w:rFonts w:ascii="Tw Cen MT" w:hAnsi="Tw Cen MT" w:cs="Times New Roman"/>
          <w:sz w:val="24"/>
          <w:szCs w:val="24"/>
        </w:rPr>
        <w:fldChar w:fldCharType="end"/>
      </w:r>
      <w:r w:rsidRPr="00710CD9">
        <w:rPr>
          <w:rFonts w:ascii="Tw Cen MT" w:hAnsi="Tw Cen MT" w:cs="Times New Roman"/>
          <w:sz w:val="24"/>
          <w:szCs w:val="24"/>
        </w:rPr>
        <w:t xml:space="preserve">. </w:t>
      </w:r>
    </w:p>
    <w:p w14:paraId="43AD7D25" w14:textId="183FEC25" w:rsidR="00710CD9" w:rsidRDefault="00710CD9" w:rsidP="00D93378">
      <w:pPr>
        <w:autoSpaceDE w:val="0"/>
        <w:autoSpaceDN w:val="0"/>
        <w:adjustRightInd w:val="0"/>
        <w:spacing w:after="0" w:line="240" w:lineRule="auto"/>
        <w:ind w:firstLine="720"/>
        <w:jc w:val="both"/>
        <w:rPr>
          <w:rFonts w:ascii="Tw Cen MT" w:hAnsi="Tw Cen MT" w:cs="Times New Roman"/>
          <w:sz w:val="24"/>
          <w:szCs w:val="24"/>
        </w:rPr>
      </w:pPr>
      <w:r w:rsidRPr="00710CD9">
        <w:rPr>
          <w:rFonts w:ascii="Tw Cen MT" w:hAnsi="Tw Cen MT" w:cs="Times New Roman"/>
          <w:sz w:val="24"/>
          <w:szCs w:val="24"/>
        </w:rPr>
        <w:lastRenderedPageBreak/>
        <w:t>Latihan dengan menggunakan bola akan membuat tulang belakang mempunyai tantangan yang besar untuk menstabilkan otot antar vertebra dan meningkatkan keseimbangan dinamis serta melatih stabilitas tulang belakang.</w:t>
      </w:r>
      <w:r w:rsidRPr="00710CD9">
        <w:rPr>
          <w:rFonts w:ascii="Tw Cen MT" w:hAnsi="Tw Cen MT" w:cs="TimesNewRomanPSMT"/>
          <w:sz w:val="24"/>
          <w:szCs w:val="24"/>
        </w:rPr>
        <w:t xml:space="preserve"> </w:t>
      </w:r>
      <w:r w:rsidRPr="00710CD9">
        <w:rPr>
          <w:rFonts w:ascii="Tw Cen MT" w:hAnsi="Tw Cen MT" w:cs="Times New Roman"/>
          <w:sz w:val="24"/>
          <w:szCs w:val="24"/>
        </w:rPr>
        <w:t xml:space="preserve">Penelitian Kim </w:t>
      </w:r>
      <w:r w:rsidRPr="00710CD9">
        <w:rPr>
          <w:rFonts w:ascii="Tw Cen MT" w:hAnsi="Tw Cen MT" w:cs="Times New Roman"/>
          <w:i/>
          <w:sz w:val="24"/>
          <w:szCs w:val="24"/>
        </w:rPr>
        <w:t>et al</w:t>
      </w:r>
      <w:r w:rsidRPr="00710CD9">
        <w:rPr>
          <w:rFonts w:ascii="Tw Cen MT" w:hAnsi="Tw Cen MT" w:cs="Times New Roman"/>
          <w:sz w:val="24"/>
          <w:szCs w:val="24"/>
        </w:rPr>
        <w:t xml:space="preserve">., (2015) didapatkan bahwa latihan menggunakan </w:t>
      </w:r>
      <w:r w:rsidRPr="00710CD9">
        <w:rPr>
          <w:rFonts w:ascii="Tw Cen MT" w:hAnsi="Tw Cen MT" w:cs="Times New Roman"/>
          <w:i/>
          <w:sz w:val="24"/>
          <w:szCs w:val="24"/>
        </w:rPr>
        <w:t>Swiss ball</w:t>
      </w:r>
      <w:r w:rsidRPr="00710CD9">
        <w:rPr>
          <w:rFonts w:ascii="Tw Cen MT" w:hAnsi="Tw Cen MT" w:cs="Times New Roman"/>
          <w:sz w:val="24"/>
          <w:szCs w:val="24"/>
        </w:rPr>
        <w:t xml:space="preserve"> menunjukkan hal yang signifikan terhadap penurunan derajat nyeri pinggang bawah dan peningkatan kemampuan keseimbangan serta peningkatan kekuatan otot puggung</w:t>
      </w:r>
      <w:r w:rsidRPr="00710CD9">
        <w:rPr>
          <w:rFonts w:ascii="Tw Cen MT" w:hAnsi="Tw Cen MT" w:cs="Times New Roman"/>
          <w:sz w:val="24"/>
          <w:szCs w:val="24"/>
          <w:vertAlign w:val="superscript"/>
        </w:rPr>
        <w:t xml:space="preserve"> </w:t>
      </w:r>
      <w:r w:rsidRPr="00710CD9">
        <w:rPr>
          <w:rFonts w:ascii="Tw Cen MT" w:hAnsi="Tw Cen MT" w:cs="Times New Roman"/>
          <w:sz w:val="24"/>
          <w:szCs w:val="24"/>
          <w:vertAlign w:val="superscript"/>
        </w:rPr>
        <w:fldChar w:fldCharType="begin" w:fldLock="1"/>
      </w:r>
      <w:r w:rsidR="00C97133">
        <w:rPr>
          <w:rFonts w:ascii="Tw Cen MT" w:hAnsi="Tw Cen MT" w:cs="Times New Roman"/>
          <w:sz w:val="24"/>
          <w:szCs w:val="24"/>
          <w:vertAlign w:val="superscript"/>
        </w:rPr>
        <w:instrText>ADDIN CSL_CITATION {"citationItems":[{"id":"ITEM-1","itemData":{"DOI":"10.1589/jpts.27.1775","ISSN":"09155287","abstract":"[Purpose] This study compared the effects of Swiss ball exercise and resistance exercise on the respiratory function and trunk control ability of patients with scoliosis. [Subjects] Forty scoliosis patients were randomly divided into the Swiss ball exercise group (n= 20) and resistance exercise group (n = 20). [Methods] The Swiss ball and resistance exercise groups performed chest expansion and breathing exercises with a Swiss ball and a therapist’s resistance, respectively. Both groups received training 30 min per day, 5 times per week for 8 weeks. [Results] Both groups exhibited significant changes in forced vital capacity, forced expiratory volume in one second, and trunk impairment scale after the intervention. However, there was no significant change in the forced expiratory volume in one second/forced vital capacity ratio after the intervention in either group. Meanwhile, forced expiratory volume in one second and trunk impairment scale were significantly greater in the resistance exercise group after the intervention. [Conclusion] Both Swiss ball exercise and resistance exercise are effective for improving the respiratory function and trunk control ability of patients with scoliosis. However, resistance exercise is more effective for increasing the forced expiratory volume in one second and trunk control ability.","author":[{"dropping-particle":"","family":"Kim","given":"Jwa Jun","non-dropping-particle":"","parse-names":false,"suffix":""},{"dropping-particle":"Bin","family":"Song","given":"Gui","non-dropping-particle":"","parse-names":false,"suffix":""},{"dropping-particle":"","family":"Park","given":"Eun Cho","non-dropping-particle":"","parse-names":false,"suffix":""}],"container-title":"Journal of Physical Therapy Science","id":"ITEM-1","issue":"6","issued":{"date-parts":[["2015"]]},"page":"1775-1778","title":"Effects of Swiss ball exercise and resistance exercise on respiratory function and trunk control ability in patients with scoliosis","type":"article-journal","volume":"27"},"uris":["http://www.mendeley.com/documents/?uuid=4b0f51e1-efce-473d-8160-6ee6ffbea00c"]}],"mendeley":{"formattedCitation":"[20]","plainTextFormattedCitation":"[20]","previouslyFormattedCitation":"[20]"},"properties":{"noteIndex":0},"schema":"https://github.com/citation-style-language/schema/raw/master/csl-citation.json"}</w:instrText>
      </w:r>
      <w:r w:rsidRPr="00710CD9">
        <w:rPr>
          <w:rFonts w:ascii="Tw Cen MT" w:hAnsi="Tw Cen MT" w:cs="Times New Roman"/>
          <w:sz w:val="24"/>
          <w:szCs w:val="24"/>
          <w:vertAlign w:val="superscript"/>
        </w:rPr>
        <w:fldChar w:fldCharType="separate"/>
      </w:r>
      <w:r w:rsidR="00C97133" w:rsidRPr="00C97133">
        <w:rPr>
          <w:rFonts w:ascii="Tw Cen MT" w:hAnsi="Tw Cen MT" w:cs="Times New Roman"/>
          <w:noProof/>
          <w:sz w:val="24"/>
          <w:szCs w:val="24"/>
        </w:rPr>
        <w:t>[20]</w:t>
      </w:r>
      <w:r w:rsidRPr="00710CD9">
        <w:rPr>
          <w:rFonts w:ascii="Tw Cen MT" w:hAnsi="Tw Cen MT" w:cs="Times New Roman"/>
          <w:sz w:val="24"/>
          <w:szCs w:val="24"/>
          <w:vertAlign w:val="superscript"/>
        </w:rPr>
        <w:fldChar w:fldCharType="end"/>
      </w:r>
      <w:r w:rsidRPr="00710CD9">
        <w:rPr>
          <w:rFonts w:ascii="Tw Cen MT" w:hAnsi="Tw Cen MT" w:cs="Times New Roman"/>
          <w:sz w:val="24"/>
          <w:szCs w:val="24"/>
        </w:rPr>
        <w:t xml:space="preserve">. </w:t>
      </w:r>
    </w:p>
    <w:p w14:paraId="604366DC" w14:textId="77777777" w:rsidR="00D93378" w:rsidRPr="00D93378" w:rsidRDefault="00D93378" w:rsidP="00D93378">
      <w:pPr>
        <w:autoSpaceDE w:val="0"/>
        <w:autoSpaceDN w:val="0"/>
        <w:adjustRightInd w:val="0"/>
        <w:spacing w:after="0" w:line="240" w:lineRule="auto"/>
        <w:ind w:firstLine="720"/>
        <w:jc w:val="both"/>
        <w:rPr>
          <w:rFonts w:ascii="Tw Cen MT" w:hAnsi="Tw Cen MT" w:cs="Times New Roman"/>
          <w:sz w:val="24"/>
          <w:szCs w:val="24"/>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0F1BA3C4" w14:textId="01C57761" w:rsidR="00D93378" w:rsidRPr="00D93378" w:rsidRDefault="00D93378" w:rsidP="00D93378">
      <w:pPr>
        <w:spacing w:after="0" w:line="240" w:lineRule="auto"/>
        <w:jc w:val="both"/>
        <w:rPr>
          <w:rFonts w:ascii="Tw Cen MT" w:hAnsi="Tw Cen MT" w:cs="Times New Roman"/>
          <w:sz w:val="24"/>
          <w:szCs w:val="24"/>
        </w:rPr>
      </w:pPr>
      <w:r w:rsidRPr="00D93378">
        <w:rPr>
          <w:rFonts w:ascii="Tw Cen MT" w:hAnsi="Tw Cen MT" w:cs="Times New Roman"/>
          <w:sz w:val="24"/>
          <w:szCs w:val="24"/>
        </w:rPr>
        <w:t xml:space="preserve">Berdasarkan hasil analisis data dan pembahasan maka penelitian ini dapat disimpulkan sebagai berikut: </w:t>
      </w:r>
    </w:p>
    <w:p w14:paraId="3266622E" w14:textId="77777777" w:rsidR="00D93378" w:rsidRPr="00D93378" w:rsidRDefault="00D93378" w:rsidP="00D93378">
      <w:pPr>
        <w:pStyle w:val="ListParagraph"/>
        <w:numPr>
          <w:ilvl w:val="0"/>
          <w:numId w:val="6"/>
        </w:numPr>
        <w:spacing w:after="0" w:line="240" w:lineRule="auto"/>
        <w:ind w:left="284" w:hanging="284"/>
        <w:jc w:val="both"/>
        <w:rPr>
          <w:rFonts w:ascii="Tw Cen MT" w:hAnsi="Tw Cen MT"/>
          <w:sz w:val="24"/>
          <w:szCs w:val="24"/>
          <w:lang w:val="en-US"/>
        </w:rPr>
      </w:pPr>
      <w:r w:rsidRPr="00D93378">
        <w:rPr>
          <w:rFonts w:ascii="Tw Cen MT" w:hAnsi="Tw Cen MT"/>
          <w:sz w:val="24"/>
          <w:szCs w:val="24"/>
          <w:lang w:val="en-US"/>
        </w:rPr>
        <w:t xml:space="preserve">Modifikasi senam hamil dengan </w:t>
      </w:r>
      <w:r w:rsidRPr="00D93378">
        <w:rPr>
          <w:rFonts w:ascii="Tw Cen MT" w:hAnsi="Tw Cen MT"/>
          <w:i/>
          <w:sz w:val="24"/>
          <w:szCs w:val="24"/>
          <w:lang w:val="en-US"/>
        </w:rPr>
        <w:t>gym</w:t>
      </w:r>
      <w:r w:rsidRPr="00D93378">
        <w:rPr>
          <w:rFonts w:ascii="Tw Cen MT" w:hAnsi="Tw Cen MT"/>
          <w:sz w:val="24"/>
          <w:szCs w:val="24"/>
        </w:rPr>
        <w:t xml:space="preserve"> </w:t>
      </w:r>
      <w:r w:rsidRPr="00D93378">
        <w:rPr>
          <w:rFonts w:ascii="Tw Cen MT" w:hAnsi="Tw Cen MT"/>
          <w:i/>
          <w:sz w:val="24"/>
          <w:szCs w:val="24"/>
        </w:rPr>
        <w:t>ball</w:t>
      </w:r>
      <w:r w:rsidRPr="00D93378">
        <w:rPr>
          <w:rFonts w:ascii="Tw Cen MT" w:hAnsi="Tw Cen MT"/>
          <w:sz w:val="24"/>
          <w:szCs w:val="24"/>
        </w:rPr>
        <w:t xml:space="preserve"> dapat meningkatkan kemampuan fungsional ibu hamil pada kondisi nyeri pinggang bawah</w:t>
      </w:r>
      <w:r w:rsidRPr="00D93378">
        <w:rPr>
          <w:rFonts w:ascii="Tw Cen MT" w:hAnsi="Tw Cen MT"/>
          <w:sz w:val="24"/>
          <w:szCs w:val="24"/>
          <w:lang w:val="en-US"/>
        </w:rPr>
        <w:t>.</w:t>
      </w:r>
    </w:p>
    <w:p w14:paraId="1CD15F98" w14:textId="77777777" w:rsidR="00D93378" w:rsidRPr="00D93378" w:rsidRDefault="00D93378" w:rsidP="00D93378">
      <w:pPr>
        <w:pStyle w:val="ListParagraph"/>
        <w:numPr>
          <w:ilvl w:val="0"/>
          <w:numId w:val="6"/>
        </w:numPr>
        <w:spacing w:after="0" w:line="240" w:lineRule="auto"/>
        <w:ind w:left="284" w:hanging="284"/>
        <w:jc w:val="both"/>
        <w:rPr>
          <w:rFonts w:ascii="Tw Cen MT" w:hAnsi="Tw Cen MT"/>
          <w:sz w:val="24"/>
          <w:szCs w:val="24"/>
          <w:lang w:val="en-US"/>
        </w:rPr>
      </w:pPr>
      <w:r w:rsidRPr="00D93378">
        <w:rPr>
          <w:rFonts w:ascii="Tw Cen MT" w:hAnsi="Tw Cen MT"/>
          <w:sz w:val="24"/>
          <w:szCs w:val="24"/>
        </w:rPr>
        <w:t>Senam hamil</w:t>
      </w:r>
      <w:r w:rsidRPr="00D93378">
        <w:rPr>
          <w:rFonts w:ascii="Tw Cen MT" w:hAnsi="Tw Cen MT"/>
          <w:sz w:val="24"/>
          <w:szCs w:val="24"/>
          <w:lang w:val="en-US"/>
        </w:rPr>
        <w:t xml:space="preserve"> konvensional</w:t>
      </w:r>
      <w:r w:rsidRPr="00D93378">
        <w:rPr>
          <w:rFonts w:ascii="Tw Cen MT" w:hAnsi="Tw Cen MT"/>
          <w:sz w:val="24"/>
          <w:szCs w:val="24"/>
        </w:rPr>
        <w:t xml:space="preserve"> dapat meningkatkan kemampuan fungsional ibu hamil pada kondisi nyeri pinggang bawah</w:t>
      </w:r>
      <w:r w:rsidRPr="00D93378">
        <w:rPr>
          <w:rFonts w:ascii="Tw Cen MT" w:hAnsi="Tw Cen MT"/>
          <w:sz w:val="24"/>
          <w:szCs w:val="24"/>
          <w:lang w:val="en-US"/>
        </w:rPr>
        <w:t>.</w:t>
      </w:r>
    </w:p>
    <w:p w14:paraId="274D1EBD" w14:textId="77777777" w:rsidR="00D93378" w:rsidRPr="00D93378" w:rsidRDefault="00D93378" w:rsidP="00D93378">
      <w:pPr>
        <w:pStyle w:val="ListParagraph"/>
        <w:numPr>
          <w:ilvl w:val="0"/>
          <w:numId w:val="6"/>
        </w:numPr>
        <w:spacing w:after="0" w:line="240" w:lineRule="auto"/>
        <w:ind w:left="284" w:hanging="284"/>
        <w:jc w:val="both"/>
        <w:rPr>
          <w:rFonts w:ascii="Times New Roman" w:hAnsi="Times New Roman"/>
          <w:sz w:val="24"/>
          <w:szCs w:val="24"/>
          <w:lang w:val="en-US"/>
        </w:rPr>
      </w:pPr>
      <w:r w:rsidRPr="00D93378">
        <w:rPr>
          <w:rFonts w:ascii="Tw Cen MT" w:hAnsi="Tw Cen MT"/>
          <w:sz w:val="24"/>
          <w:szCs w:val="24"/>
        </w:rPr>
        <w:t xml:space="preserve">Modifikasi senam hamil dengan </w:t>
      </w:r>
      <w:r w:rsidRPr="00D93378">
        <w:rPr>
          <w:rFonts w:ascii="Tw Cen MT" w:hAnsi="Tw Cen MT"/>
          <w:i/>
          <w:sz w:val="24"/>
          <w:szCs w:val="24"/>
        </w:rPr>
        <w:t>gym ball</w:t>
      </w:r>
      <w:r w:rsidRPr="00D93378">
        <w:rPr>
          <w:rFonts w:ascii="Tw Cen MT" w:hAnsi="Tw Cen MT"/>
          <w:sz w:val="24"/>
          <w:szCs w:val="24"/>
        </w:rPr>
        <w:t xml:space="preserve"> lebih baik dibanding dengan senam hamil</w:t>
      </w:r>
      <w:r w:rsidRPr="00D93378">
        <w:rPr>
          <w:rFonts w:ascii="Tw Cen MT" w:hAnsi="Tw Cen MT"/>
          <w:sz w:val="24"/>
          <w:szCs w:val="24"/>
          <w:lang w:val="en-US"/>
        </w:rPr>
        <w:t xml:space="preserve"> konvensional</w:t>
      </w:r>
      <w:r w:rsidRPr="00D93378">
        <w:rPr>
          <w:rFonts w:ascii="Tw Cen MT" w:hAnsi="Tw Cen MT"/>
          <w:sz w:val="24"/>
          <w:szCs w:val="24"/>
        </w:rPr>
        <w:t xml:space="preserve"> dalam meningkatkan kemampuan fungsional ibu hamil pada kondisi nyeri pinggang bawah</w:t>
      </w:r>
      <w:r w:rsidRPr="00D93378">
        <w:rPr>
          <w:rFonts w:ascii="Tw Cen MT" w:hAnsi="Tw Cen MT"/>
          <w:sz w:val="24"/>
          <w:szCs w:val="24"/>
          <w:lang w:val="en-US"/>
        </w:rPr>
        <w:t>.</w:t>
      </w:r>
    </w:p>
    <w:p w14:paraId="7384688B" w14:textId="77777777" w:rsidR="00D93378" w:rsidRPr="002E4C59" w:rsidRDefault="00D93378" w:rsidP="00D93378">
      <w:pPr>
        <w:pStyle w:val="ListParagraph"/>
        <w:spacing w:after="0" w:line="240" w:lineRule="auto"/>
        <w:ind w:left="284"/>
        <w:jc w:val="both"/>
        <w:rPr>
          <w:rFonts w:ascii="Times New Roman" w:hAnsi="Times New Roman"/>
          <w:sz w:val="24"/>
          <w:szCs w:val="24"/>
          <w:lang w:val="en-US"/>
        </w:rPr>
      </w:pPr>
    </w:p>
    <w:p w14:paraId="7BC86AF6" w14:textId="77777777" w:rsidR="004721E3" w:rsidRPr="005D6EE3" w:rsidRDefault="004721E3" w:rsidP="004721E3">
      <w:pPr>
        <w:tabs>
          <w:tab w:val="left" w:pos="426"/>
        </w:tabs>
        <w:spacing w:after="0" w:line="240" w:lineRule="auto"/>
        <w:jc w:val="both"/>
        <w:rPr>
          <w:rFonts w:ascii="Tw Cen MT" w:eastAsia="Twentieth Century" w:hAnsi="Tw Cen MT" w:cs="Twentieth Century"/>
          <w:b/>
          <w:sz w:val="24"/>
          <w:szCs w:val="24"/>
        </w:rPr>
      </w:pPr>
      <w:r w:rsidRPr="005D6EE3">
        <w:rPr>
          <w:rFonts w:ascii="Tw Cen MT" w:eastAsia="Twentieth Century" w:hAnsi="Tw Cen MT" w:cs="Twentieth Century"/>
          <w:b/>
          <w:sz w:val="24"/>
          <w:szCs w:val="24"/>
        </w:rPr>
        <w:t xml:space="preserve">UCAPAN TERIMA KASIH </w:t>
      </w:r>
    </w:p>
    <w:p w14:paraId="14D5D82B" w14:textId="5D43B865" w:rsidR="004721E3" w:rsidRPr="005D6EE3" w:rsidRDefault="005D6EE3" w:rsidP="004721E3">
      <w:pPr>
        <w:spacing w:line="240" w:lineRule="auto"/>
        <w:jc w:val="both"/>
        <w:rPr>
          <w:rFonts w:ascii="Tw Cen MT" w:eastAsia="Twentieth Century" w:hAnsi="Tw Cen MT" w:cs="Twentieth Century"/>
          <w:sz w:val="24"/>
          <w:szCs w:val="24"/>
        </w:rPr>
      </w:pPr>
      <w:r w:rsidRPr="005D6EE3">
        <w:rPr>
          <w:rFonts w:ascii="Tw Cen MT" w:eastAsia="Twentieth Century" w:hAnsi="Tw Cen MT" w:cs="Twentieth Century"/>
          <w:sz w:val="24"/>
          <w:szCs w:val="24"/>
        </w:rPr>
        <w:t xml:space="preserve">Penelitian ini dapat dilaksanakan dengan baik berkat bantuan dari berbagai pihak, untuk itu peneliti mengucapkan terimakasih kepada pihak </w:t>
      </w:r>
      <w:r w:rsidRPr="005D6EE3">
        <w:rPr>
          <w:rFonts w:ascii="Tw Cen MT" w:hAnsi="Tw Cen MT" w:cs="Times New Roman"/>
          <w:sz w:val="24"/>
          <w:szCs w:val="24"/>
        </w:rPr>
        <w:t>Puskesmas Sibulue, Kabupaten Bone, Provinsi Sulawesi selatan</w:t>
      </w:r>
      <w:r w:rsidRPr="005D6EE3">
        <w:rPr>
          <w:rFonts w:ascii="Tw Cen MT" w:hAnsi="Tw Cen MT" w:cs="Times New Roman"/>
          <w:sz w:val="24"/>
          <w:szCs w:val="24"/>
        </w:rPr>
        <w:t xml:space="preserve"> yang telah memberikan kerjasama yang baik dalam penelitian ini. </w:t>
      </w:r>
    </w:p>
    <w:p w14:paraId="7E4B783F" w14:textId="77777777" w:rsidR="004721E3" w:rsidRPr="005D6EE3" w:rsidRDefault="004721E3" w:rsidP="004721E3">
      <w:pPr>
        <w:tabs>
          <w:tab w:val="left" w:pos="426"/>
        </w:tabs>
        <w:spacing w:after="0" w:line="240" w:lineRule="auto"/>
        <w:jc w:val="both"/>
        <w:rPr>
          <w:rFonts w:ascii="Tw Cen MT" w:eastAsia="Twentieth Century" w:hAnsi="Tw Cen MT" w:cs="Twentieth Century"/>
          <w:b/>
          <w:sz w:val="24"/>
          <w:szCs w:val="24"/>
        </w:rPr>
      </w:pPr>
      <w:r w:rsidRPr="005D6EE3">
        <w:rPr>
          <w:rFonts w:ascii="Tw Cen MT" w:eastAsia="Twentieth Century" w:hAnsi="Tw Cen MT" w:cs="Twentieth Century"/>
          <w:b/>
          <w:sz w:val="24"/>
          <w:szCs w:val="24"/>
        </w:rPr>
        <w:t>DAFTAR PUSTAKA</w:t>
      </w:r>
    </w:p>
    <w:bookmarkStart w:id="1" w:name="_heading=h.gjdgxs" w:colFirst="0" w:colLast="0"/>
    <w:bookmarkEnd w:id="1"/>
    <w:p w14:paraId="61E722FE" w14:textId="1F98A8ED" w:rsidR="00C97133" w:rsidRPr="00C97133" w:rsidRDefault="000D2D6B"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sz w:val="24"/>
          <w:szCs w:val="24"/>
        </w:rPr>
        <w:fldChar w:fldCharType="begin" w:fldLock="1"/>
      </w:r>
      <w:r w:rsidRPr="00C97133">
        <w:rPr>
          <w:rFonts w:ascii="Tw Cen MT" w:hAnsi="Tw Cen MT" w:cs="Times New Roman"/>
          <w:sz w:val="24"/>
          <w:szCs w:val="24"/>
        </w:rPr>
        <w:instrText xml:space="preserve">ADDIN Mendeley Bibliography CSL_BIBLIOGRAPHY </w:instrText>
      </w:r>
      <w:r w:rsidRPr="00C97133">
        <w:rPr>
          <w:rFonts w:ascii="Tw Cen MT" w:hAnsi="Tw Cen MT" w:cs="Times New Roman"/>
          <w:sz w:val="24"/>
          <w:szCs w:val="24"/>
        </w:rPr>
        <w:fldChar w:fldCharType="separate"/>
      </w:r>
      <w:r w:rsidR="00C97133" w:rsidRPr="00C97133">
        <w:rPr>
          <w:rFonts w:ascii="Tw Cen MT" w:hAnsi="Tw Cen MT" w:cs="Times New Roman"/>
          <w:noProof/>
          <w:sz w:val="24"/>
          <w:szCs w:val="24"/>
        </w:rPr>
        <w:t>[1]</w:t>
      </w:r>
      <w:r w:rsidR="00C97133" w:rsidRPr="00C97133">
        <w:rPr>
          <w:rFonts w:ascii="Tw Cen MT" w:hAnsi="Tw Cen MT" w:cs="Times New Roman"/>
          <w:noProof/>
          <w:sz w:val="24"/>
          <w:szCs w:val="24"/>
        </w:rPr>
        <w:tab/>
        <w:t xml:space="preserve">C. Kisner and Colby, </w:t>
      </w:r>
      <w:r w:rsidR="00C97133" w:rsidRPr="00C97133">
        <w:rPr>
          <w:rFonts w:ascii="Tw Cen MT" w:hAnsi="Tw Cen MT" w:cs="Times New Roman"/>
          <w:i/>
          <w:iCs/>
          <w:noProof/>
          <w:sz w:val="24"/>
          <w:szCs w:val="24"/>
        </w:rPr>
        <w:t>Terapi Latihan Dasar dan Teknik Vol 6</w:t>
      </w:r>
      <w:r w:rsidR="00C97133" w:rsidRPr="00C97133">
        <w:rPr>
          <w:rFonts w:ascii="Tw Cen MT" w:hAnsi="Tw Cen MT" w:cs="Times New Roman"/>
          <w:noProof/>
          <w:sz w:val="24"/>
          <w:szCs w:val="24"/>
        </w:rPr>
        <w:t>, Vol 6. Jakarta: EGC, 2020.</w:t>
      </w:r>
    </w:p>
    <w:p w14:paraId="7B364708"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[2]</w:t>
      </w:r>
      <w:r w:rsidRPr="00C97133">
        <w:rPr>
          <w:rFonts w:ascii="Tw Cen MT" w:hAnsi="Tw Cen MT" w:cs="Times New Roman"/>
          <w:noProof/>
          <w:sz w:val="24"/>
          <w:szCs w:val="24"/>
        </w:rPr>
        <w:tab/>
        <w:t xml:space="preserve">N. R. Amalia, “Pengaruh stability ball exercise terhadap aktivitas fungsional pada ibu hamil dengan kondisi nyeri pinggang di puskesmas kota makassar,” </w:t>
      </w:r>
      <w:r w:rsidRPr="00C97133">
        <w:rPr>
          <w:rFonts w:ascii="Tw Cen MT" w:hAnsi="Tw Cen MT" w:cs="Times New Roman"/>
          <w:noProof/>
          <w:sz w:val="24"/>
          <w:szCs w:val="24"/>
        </w:rPr>
        <w:t>2022.</w:t>
      </w:r>
    </w:p>
    <w:p w14:paraId="6C4FF929"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[3]</w:t>
      </w:r>
      <w:r w:rsidRPr="00C97133">
        <w:rPr>
          <w:rFonts w:ascii="Tw Cen MT" w:hAnsi="Tw Cen MT" w:cs="Times New Roman"/>
          <w:noProof/>
          <w:sz w:val="24"/>
          <w:szCs w:val="24"/>
        </w:rPr>
        <w:tab/>
        <w:t xml:space="preserve">M. A. Berber and </w:t>
      </w:r>
      <w:r w:rsidRPr="00C97133">
        <w:rPr>
          <w:noProof/>
          <w:sz w:val="24"/>
          <w:szCs w:val="24"/>
        </w:rPr>
        <w:t>İ</w:t>
      </w:r>
      <w:r w:rsidRPr="00C97133">
        <w:rPr>
          <w:rFonts w:ascii="Tw Cen MT" w:hAnsi="Tw Cen MT" w:cs="Times New Roman"/>
          <w:noProof/>
          <w:sz w:val="24"/>
          <w:szCs w:val="24"/>
        </w:rPr>
        <w:t xml:space="preserve">. G. Satılmış, “Characteristics of Low Back Pain in Pregnancy, Risk Factors, and Its Effects on Quality of Life,” </w:t>
      </w:r>
      <w:r w:rsidRPr="00C97133">
        <w:rPr>
          <w:rFonts w:ascii="Tw Cen MT" w:hAnsi="Tw Cen MT" w:cs="Times New Roman"/>
          <w:i/>
          <w:iCs/>
          <w:noProof/>
          <w:sz w:val="24"/>
          <w:szCs w:val="24"/>
        </w:rPr>
        <w:t>Pain Manag. Nurs.</w:t>
      </w:r>
      <w:r w:rsidRPr="00C97133">
        <w:rPr>
          <w:rFonts w:ascii="Tw Cen MT" w:hAnsi="Tw Cen MT" w:cs="Times New Roman"/>
          <w:noProof/>
          <w:sz w:val="24"/>
          <w:szCs w:val="24"/>
        </w:rPr>
        <w:t>, vol. 21, no. 6, pp. 579–586, 2020, doi: 10.1016/j.pmn.2020.05.001.</w:t>
      </w:r>
    </w:p>
    <w:p w14:paraId="53169274"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[4]</w:t>
      </w:r>
      <w:r w:rsidRPr="00C97133">
        <w:rPr>
          <w:rFonts w:ascii="Tw Cen MT" w:hAnsi="Tw Cen MT" w:cs="Times New Roman"/>
          <w:noProof/>
          <w:sz w:val="24"/>
          <w:szCs w:val="24"/>
        </w:rPr>
        <w:tab/>
        <w:t xml:space="preserve">J. Henky, Efriza, and Aprillia, “The Relationship of Body Mass Index In Third Trimester of Pregnancy With Low Back Pain Incidence,” </w:t>
      </w:r>
      <w:r w:rsidRPr="00C97133">
        <w:rPr>
          <w:rFonts w:ascii="Tw Cen MT" w:hAnsi="Tw Cen MT" w:cs="Times New Roman"/>
          <w:i/>
          <w:iCs/>
          <w:noProof/>
          <w:sz w:val="24"/>
          <w:szCs w:val="24"/>
        </w:rPr>
        <w:t>Sci. J.</w:t>
      </w:r>
      <w:r w:rsidRPr="00C97133">
        <w:rPr>
          <w:rFonts w:ascii="Tw Cen MT" w:hAnsi="Tw Cen MT" w:cs="Times New Roman"/>
          <w:noProof/>
          <w:sz w:val="24"/>
          <w:szCs w:val="24"/>
        </w:rPr>
        <w:t>, vol. 1, no. 3, pp. 208–219, 2022, doi: 10.56260/sciena.v1i3.47.</w:t>
      </w:r>
    </w:p>
    <w:p w14:paraId="23FD5006"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[5]</w:t>
      </w:r>
      <w:r w:rsidRPr="00C97133">
        <w:rPr>
          <w:rFonts w:ascii="Tw Cen MT" w:hAnsi="Tw Cen MT" w:cs="Times New Roman"/>
          <w:noProof/>
          <w:sz w:val="24"/>
          <w:szCs w:val="24"/>
        </w:rPr>
        <w:tab/>
        <w:t>C and C. Author, “01 Page. 30-36 ISSN,” vol. 01, no. 01, pp. 30–36, 2023, doi: 10.52221/nuri.</w:t>
      </w:r>
    </w:p>
    <w:p w14:paraId="47F3AE87"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[6]</w:t>
      </w:r>
      <w:r w:rsidRPr="00C97133">
        <w:rPr>
          <w:rFonts w:ascii="Tw Cen MT" w:hAnsi="Tw Cen MT" w:cs="Times New Roman"/>
          <w:noProof/>
          <w:sz w:val="24"/>
          <w:szCs w:val="24"/>
        </w:rPr>
        <w:tab/>
        <w:t>WHO, “Body mass index - BMI,” 2021. [Online]. Available: https://www.who.int/data/gho/data/themes/topics/topic-details/GHO/body-mass-index</w:t>
      </w:r>
    </w:p>
    <w:p w14:paraId="6A7B3B4B"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[7]</w:t>
      </w:r>
      <w:r w:rsidRPr="00C97133">
        <w:rPr>
          <w:rFonts w:ascii="Tw Cen MT" w:hAnsi="Tw Cen MT" w:cs="Times New Roman"/>
          <w:noProof/>
          <w:sz w:val="24"/>
          <w:szCs w:val="24"/>
        </w:rPr>
        <w:tab/>
        <w:t>A. 2000 The Asia Pacific perspective: Redefining obesity and its treatment. Regional Office for the Western Pacific of the World Health Organization. World Health Organization, International Association for the Study of Obesity and International Obesity Task Forc, “0957708211_Eng.Pdf.” pp. 8–45, 2000.</w:t>
      </w:r>
    </w:p>
    <w:p w14:paraId="149EACAD"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[8]</w:t>
      </w:r>
      <w:r w:rsidRPr="00C97133">
        <w:rPr>
          <w:rFonts w:ascii="Tw Cen MT" w:hAnsi="Tw Cen MT" w:cs="Times New Roman"/>
          <w:noProof/>
          <w:sz w:val="24"/>
          <w:szCs w:val="24"/>
        </w:rPr>
        <w:tab/>
        <w:t xml:space="preserve">M. K. Zaman, “Hubungan Beberapa Faktor dengan Keluhan Nyeri Punggung Bawah pada Karyawan Kantor,” </w:t>
      </w:r>
      <w:r w:rsidRPr="00C97133">
        <w:rPr>
          <w:rFonts w:ascii="Tw Cen MT" w:hAnsi="Tw Cen MT" w:cs="Times New Roman"/>
          <w:i/>
          <w:iCs/>
          <w:noProof/>
          <w:sz w:val="24"/>
          <w:szCs w:val="24"/>
        </w:rPr>
        <w:t>J. Kesehat. Komunitas</w:t>
      </w:r>
      <w:r w:rsidRPr="00C97133">
        <w:rPr>
          <w:rFonts w:ascii="Tw Cen MT" w:hAnsi="Tw Cen MT" w:cs="Times New Roman"/>
          <w:noProof/>
          <w:sz w:val="24"/>
          <w:szCs w:val="24"/>
        </w:rPr>
        <w:t>, vol. 2, no. 4, pp. 163–167, 2014, doi: 10.25311/jkk.vol2.iss4.66.</w:t>
      </w:r>
    </w:p>
    <w:p w14:paraId="26532910"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[9]</w:t>
      </w:r>
      <w:r w:rsidRPr="00C97133">
        <w:rPr>
          <w:rFonts w:ascii="Tw Cen MT" w:hAnsi="Tw Cen MT" w:cs="Times New Roman"/>
          <w:noProof/>
          <w:sz w:val="24"/>
          <w:szCs w:val="24"/>
        </w:rPr>
        <w:tab/>
        <w:t xml:space="preserve">R. Mulfianda, N. Desreza, and R. Maulidya, “Faktor-faktor yang Berhubungan dengan Kejadian Nyeri Punggung Bawah ( NPB ) pada Karyawan di Kantor PLN Wilayah Aceh Factors Associated with Lower Back Pain ( NPB ) in Employees at the PLN Office Aceh region,” </w:t>
      </w:r>
      <w:r w:rsidRPr="00C97133">
        <w:rPr>
          <w:rFonts w:ascii="Tw Cen MT" w:hAnsi="Tw Cen MT" w:cs="Times New Roman"/>
          <w:i/>
          <w:iCs/>
          <w:noProof/>
          <w:sz w:val="24"/>
          <w:szCs w:val="24"/>
        </w:rPr>
        <w:t>J. Healthc. Technol. Med.</w:t>
      </w:r>
      <w:r w:rsidRPr="00C97133">
        <w:rPr>
          <w:rFonts w:ascii="Tw Cen MT" w:hAnsi="Tw Cen MT" w:cs="Times New Roman"/>
          <w:noProof/>
          <w:sz w:val="24"/>
          <w:szCs w:val="24"/>
        </w:rPr>
        <w:t>, vol. 7, no. 1, pp. 253–262, 2021.</w:t>
      </w:r>
    </w:p>
    <w:p w14:paraId="5F5B17D6"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[10]</w:t>
      </w:r>
      <w:r w:rsidRPr="00C97133">
        <w:rPr>
          <w:rFonts w:ascii="Tw Cen MT" w:hAnsi="Tw Cen MT" w:cs="Times New Roman"/>
          <w:noProof/>
          <w:sz w:val="24"/>
          <w:szCs w:val="24"/>
        </w:rPr>
        <w:tab/>
        <w:t xml:space="preserve">P. C. M. Giordano, N. M. C. Alexandre, </w:t>
      </w:r>
      <w:r w:rsidRPr="00C97133">
        <w:rPr>
          <w:rFonts w:ascii="Tw Cen MT" w:hAnsi="Tw Cen MT" w:cs="Times New Roman"/>
          <w:noProof/>
          <w:sz w:val="24"/>
          <w:szCs w:val="24"/>
        </w:rPr>
        <w:lastRenderedPageBreak/>
        <w:t xml:space="preserve">R. C. M. Rodrigues, and M. Z. O. Coluci, “The Pain Disability Questionnaire: a reliability and validity study,” </w:t>
      </w:r>
      <w:r w:rsidRPr="00C97133">
        <w:rPr>
          <w:rFonts w:ascii="Tw Cen MT" w:hAnsi="Tw Cen MT" w:cs="Times New Roman"/>
          <w:i/>
          <w:iCs/>
          <w:noProof/>
          <w:sz w:val="24"/>
          <w:szCs w:val="24"/>
        </w:rPr>
        <w:t>Rev. Lat. Am. Enfermagem</w:t>
      </w:r>
      <w:r w:rsidRPr="00C97133">
        <w:rPr>
          <w:rFonts w:ascii="Tw Cen MT" w:hAnsi="Tw Cen MT" w:cs="Times New Roman"/>
          <w:noProof/>
          <w:sz w:val="24"/>
          <w:szCs w:val="24"/>
        </w:rPr>
        <w:t>, vol. 20, no. 1, pp. 76–83, 2012, doi: 10.1590/s0104-11692012000100011.</w:t>
      </w:r>
    </w:p>
    <w:p w14:paraId="44AE6274"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[11]</w:t>
      </w:r>
      <w:r w:rsidRPr="00C97133">
        <w:rPr>
          <w:rFonts w:ascii="Tw Cen MT" w:hAnsi="Tw Cen MT" w:cs="Times New Roman"/>
          <w:noProof/>
          <w:sz w:val="24"/>
          <w:szCs w:val="24"/>
        </w:rPr>
        <w:tab/>
        <w:t xml:space="preserve">T. Beemster, C. Van Bennekom, J. Van Velzen, M. Reneman, and M. Frings-Dresen, “The interpretation of change score of the pain disability index after vocational rehabilitation is baseline dependent Prof Holger Schunemann,” </w:t>
      </w:r>
      <w:r w:rsidRPr="00C97133">
        <w:rPr>
          <w:rFonts w:ascii="Tw Cen MT" w:hAnsi="Tw Cen MT" w:cs="Times New Roman"/>
          <w:i/>
          <w:iCs/>
          <w:noProof/>
          <w:sz w:val="24"/>
          <w:szCs w:val="24"/>
        </w:rPr>
        <w:t>Health Qual. Life Outcomes</w:t>
      </w:r>
      <w:r w:rsidRPr="00C97133">
        <w:rPr>
          <w:rFonts w:ascii="Tw Cen MT" w:hAnsi="Tw Cen MT" w:cs="Times New Roman"/>
          <w:noProof/>
          <w:sz w:val="24"/>
          <w:szCs w:val="24"/>
        </w:rPr>
        <w:t>, vol. 16, no. 1, pp. 1–9, 2018, doi: 10.1186/s12955-018-1000-1.</w:t>
      </w:r>
    </w:p>
    <w:p w14:paraId="7103E3B0"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[12]</w:t>
      </w:r>
      <w:r w:rsidRPr="00C97133">
        <w:rPr>
          <w:rFonts w:ascii="Tw Cen MT" w:hAnsi="Tw Cen MT" w:cs="Times New Roman"/>
          <w:noProof/>
          <w:sz w:val="24"/>
          <w:szCs w:val="24"/>
        </w:rPr>
        <w:tab/>
        <w:t xml:space="preserve">R. W. C. Leung </w:t>
      </w:r>
      <w:r w:rsidRPr="00C97133">
        <w:rPr>
          <w:rFonts w:ascii="Tw Cen MT" w:hAnsi="Tw Cen MT" w:cs="Times New Roman"/>
          <w:i/>
          <w:iCs/>
          <w:noProof/>
          <w:sz w:val="24"/>
          <w:szCs w:val="24"/>
        </w:rPr>
        <w:t>et al.</w:t>
      </w:r>
      <w:r w:rsidRPr="00C97133">
        <w:rPr>
          <w:rFonts w:ascii="Tw Cen MT" w:hAnsi="Tw Cen MT" w:cs="Times New Roman"/>
          <w:noProof/>
          <w:sz w:val="24"/>
          <w:szCs w:val="24"/>
        </w:rPr>
        <w:t xml:space="preserve">, “Efficacy of birth ball exercises on labour pain management,” </w:t>
      </w:r>
      <w:r w:rsidRPr="00C97133">
        <w:rPr>
          <w:rFonts w:ascii="Tw Cen MT" w:hAnsi="Tw Cen MT" w:cs="Times New Roman"/>
          <w:i/>
          <w:iCs/>
          <w:noProof/>
          <w:sz w:val="24"/>
          <w:szCs w:val="24"/>
        </w:rPr>
        <w:t>Hong Kong Med. J.</w:t>
      </w:r>
      <w:r w:rsidRPr="00C97133">
        <w:rPr>
          <w:rFonts w:ascii="Tw Cen MT" w:hAnsi="Tw Cen MT" w:cs="Times New Roman"/>
          <w:noProof/>
          <w:sz w:val="24"/>
          <w:szCs w:val="24"/>
        </w:rPr>
        <w:t>, vol. 19, no. 5, pp. 393–399, 2013, doi: 10.12809/hkmj133921.</w:t>
      </w:r>
    </w:p>
    <w:p w14:paraId="3D42D830"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[13]</w:t>
      </w:r>
      <w:r w:rsidRPr="00C97133">
        <w:rPr>
          <w:rFonts w:ascii="Tw Cen MT" w:hAnsi="Tw Cen MT" w:cs="Times New Roman"/>
          <w:noProof/>
          <w:sz w:val="24"/>
          <w:szCs w:val="24"/>
        </w:rPr>
        <w:tab/>
        <w:t xml:space="preserve">B. R. Bormann, J. E., &amp; Price, “The effects of exercise during pregnancy on maternal health,” </w:t>
      </w:r>
      <w:r w:rsidRPr="00C97133">
        <w:rPr>
          <w:rFonts w:ascii="Tw Cen MT" w:hAnsi="Tw Cen MT" w:cs="Times New Roman"/>
          <w:i/>
          <w:iCs/>
          <w:noProof/>
          <w:sz w:val="24"/>
          <w:szCs w:val="24"/>
        </w:rPr>
        <w:t>Am. J. Lifestyle Med.</w:t>
      </w:r>
      <w:r w:rsidRPr="00C97133">
        <w:rPr>
          <w:rFonts w:ascii="Tw Cen MT" w:hAnsi="Tw Cen MT" w:cs="Times New Roman"/>
          <w:noProof/>
          <w:sz w:val="24"/>
          <w:szCs w:val="24"/>
        </w:rPr>
        <w:t>, vol. 13, no. 2, pp. 154–162, 2019, doi: 10.1177/1559827617743081.</w:t>
      </w:r>
    </w:p>
    <w:p w14:paraId="486C9004"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[14]</w:t>
      </w:r>
      <w:r w:rsidRPr="00C97133">
        <w:rPr>
          <w:rFonts w:ascii="Tw Cen MT" w:hAnsi="Tw Cen MT" w:cs="Times New Roman"/>
          <w:noProof/>
          <w:sz w:val="24"/>
          <w:szCs w:val="24"/>
        </w:rPr>
        <w:tab/>
        <w:t>M. H. Shumway-Cook, A., &amp; Woollacott, “Motor Control: Translating Research into Clinical Practice (5th ed.),” 3rd ed., New York: Lippincott Williams &amp; Wilkins, 2017.</w:t>
      </w:r>
    </w:p>
    <w:p w14:paraId="07DDB67C"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[15]</w:t>
      </w:r>
      <w:r w:rsidRPr="00C97133">
        <w:rPr>
          <w:rFonts w:ascii="Tw Cen MT" w:hAnsi="Tw Cen MT" w:cs="Times New Roman"/>
          <w:noProof/>
          <w:sz w:val="24"/>
          <w:szCs w:val="24"/>
        </w:rPr>
        <w:tab/>
        <w:t xml:space="preserve">B. C. Guinhouya, M. Duclos, C. Enea, and L. Storme, “Beneficial Effects of Maternal Physical Activity during Pregnancy on Fetal, Newborn, and Child Health: Guidelines for Interventions during the Perinatal Period from the French National College of Midwives,” </w:t>
      </w:r>
      <w:r w:rsidRPr="00C97133">
        <w:rPr>
          <w:rFonts w:ascii="Tw Cen MT" w:hAnsi="Tw Cen MT" w:cs="Times New Roman"/>
          <w:i/>
          <w:iCs/>
          <w:noProof/>
          <w:sz w:val="24"/>
          <w:szCs w:val="24"/>
        </w:rPr>
        <w:t>J. Midwifery Women’s Heal.</w:t>
      </w:r>
      <w:r w:rsidRPr="00C97133">
        <w:rPr>
          <w:rFonts w:ascii="Tw Cen MT" w:hAnsi="Tw Cen MT" w:cs="Times New Roman"/>
          <w:noProof/>
          <w:sz w:val="24"/>
          <w:szCs w:val="24"/>
        </w:rPr>
        <w:t>, vol. 67, no. S1, pp. S149–S157, 2022, doi: 10.1111/jmwh.13424.</w:t>
      </w:r>
    </w:p>
    <w:p w14:paraId="5FAE5C08"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[16]</w:t>
      </w:r>
      <w:r w:rsidRPr="00C97133">
        <w:rPr>
          <w:rFonts w:ascii="Tw Cen MT" w:hAnsi="Tw Cen MT" w:cs="Times New Roman"/>
          <w:noProof/>
          <w:sz w:val="24"/>
          <w:szCs w:val="24"/>
        </w:rPr>
        <w:tab/>
        <w:t xml:space="preserve">C. W. H. Chan, E. A. Yeung, and B. M. H. Law, “Effectiveness of physical activity interventions on pregnancy-related outcomes among pregnant women: A systematic review,” </w:t>
      </w:r>
      <w:r w:rsidRPr="00C97133">
        <w:rPr>
          <w:rFonts w:ascii="Tw Cen MT" w:hAnsi="Tw Cen MT" w:cs="Times New Roman"/>
          <w:i/>
          <w:iCs/>
          <w:noProof/>
          <w:sz w:val="24"/>
          <w:szCs w:val="24"/>
        </w:rPr>
        <w:t>Int. J. Environ. Res. Public Health</w:t>
      </w:r>
      <w:r w:rsidRPr="00C97133">
        <w:rPr>
          <w:rFonts w:ascii="Tw Cen MT" w:hAnsi="Tw Cen MT" w:cs="Times New Roman"/>
          <w:noProof/>
          <w:sz w:val="24"/>
          <w:szCs w:val="24"/>
        </w:rPr>
        <w:t xml:space="preserve">, vol. 16, no. 10, 2019, doi: </w:t>
      </w:r>
      <w:r w:rsidRPr="00C97133">
        <w:rPr>
          <w:rFonts w:ascii="Tw Cen MT" w:hAnsi="Tw Cen MT" w:cs="Times New Roman"/>
          <w:noProof/>
          <w:sz w:val="24"/>
          <w:szCs w:val="24"/>
        </w:rPr>
        <w:t>10.3390/ijerph16101840.</w:t>
      </w:r>
    </w:p>
    <w:p w14:paraId="3F0D8675"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[17]</w:t>
      </w:r>
      <w:r w:rsidRPr="00C97133">
        <w:rPr>
          <w:rFonts w:ascii="Tw Cen MT" w:hAnsi="Tw Cen MT" w:cs="Times New Roman"/>
          <w:noProof/>
          <w:sz w:val="24"/>
          <w:szCs w:val="24"/>
        </w:rPr>
        <w:tab/>
        <w:t>N. Rachel, “Stability Ball Exercise For Pregnant Women,” 2015. [Online]. Available: Live strong. Com.</w:t>
      </w:r>
    </w:p>
    <w:p w14:paraId="04EC1165"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[18]</w:t>
      </w:r>
      <w:r w:rsidRPr="00C97133">
        <w:rPr>
          <w:rFonts w:ascii="Tw Cen MT" w:hAnsi="Tw Cen MT" w:cs="Times New Roman"/>
          <w:noProof/>
          <w:sz w:val="24"/>
          <w:szCs w:val="24"/>
        </w:rPr>
        <w:tab/>
        <w:t xml:space="preserve">G. Tancred, “Guidelines for Exercise Testing and Prescription,” </w:t>
      </w:r>
      <w:r w:rsidRPr="00C97133">
        <w:rPr>
          <w:rFonts w:ascii="Tw Cen MT" w:hAnsi="Tw Cen MT" w:cs="Times New Roman"/>
          <w:i/>
          <w:iCs/>
          <w:noProof/>
          <w:sz w:val="24"/>
          <w:szCs w:val="24"/>
        </w:rPr>
        <w:t>Physiotherapy</w:t>
      </w:r>
      <w:r w:rsidRPr="00C97133">
        <w:rPr>
          <w:rFonts w:ascii="Tw Cen MT" w:hAnsi="Tw Cen MT" w:cs="Times New Roman"/>
          <w:noProof/>
          <w:sz w:val="24"/>
          <w:szCs w:val="24"/>
        </w:rPr>
        <w:t>, vol. 77, no. 4, p. 311, 2014, doi: 10.1016/s0031-9406(10)61772-5.</w:t>
      </w:r>
    </w:p>
    <w:p w14:paraId="6F640FD4"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97133">
        <w:rPr>
          <w:rFonts w:ascii="Tw Cen MT" w:hAnsi="Tw Cen MT" w:cs="Times New Roman"/>
          <w:noProof/>
          <w:sz w:val="24"/>
          <w:szCs w:val="24"/>
        </w:rPr>
        <w:t>[19]</w:t>
      </w:r>
      <w:r w:rsidRPr="00C97133">
        <w:rPr>
          <w:rFonts w:ascii="Tw Cen MT" w:hAnsi="Tw Cen MT" w:cs="Times New Roman"/>
          <w:noProof/>
          <w:sz w:val="24"/>
          <w:szCs w:val="24"/>
        </w:rPr>
        <w:tab/>
        <w:t xml:space="preserve">V. Gaur, S. Gupta, and M. Arora, “An Experimental Study To Compare The Effects Of Balance Exercises Done On Swiss-ball And Standing, On Lumbar Reposition Sense, In Asymptomatic Indi-viduals,” </w:t>
      </w:r>
      <w:r w:rsidRPr="00C97133">
        <w:rPr>
          <w:rFonts w:ascii="Tw Cen MT" w:hAnsi="Tw Cen MT" w:cs="Times New Roman"/>
          <w:i/>
          <w:iCs/>
          <w:noProof/>
          <w:sz w:val="24"/>
          <w:szCs w:val="24"/>
        </w:rPr>
        <w:t>Psysiotherapy Occup. Ther. J.</w:t>
      </w:r>
      <w:r w:rsidRPr="00C97133">
        <w:rPr>
          <w:rFonts w:ascii="Tw Cen MT" w:hAnsi="Tw Cen MT" w:cs="Times New Roman"/>
          <w:noProof/>
          <w:sz w:val="24"/>
          <w:szCs w:val="24"/>
        </w:rPr>
        <w:t>, vol. 5, no. 1, pp. 5–10, 2016.</w:t>
      </w:r>
    </w:p>
    <w:p w14:paraId="6CC0246F" w14:textId="77777777" w:rsidR="00C97133" w:rsidRPr="00C97133" w:rsidRDefault="00C97133" w:rsidP="00C97133">
      <w:pPr>
        <w:widowControl w:val="0"/>
        <w:autoSpaceDE w:val="0"/>
        <w:autoSpaceDN w:val="0"/>
        <w:adjustRightInd w:val="0"/>
        <w:spacing w:after="0" w:line="240" w:lineRule="auto"/>
        <w:ind w:left="640" w:hanging="640"/>
        <w:jc w:val="both"/>
        <w:rPr>
          <w:rFonts w:ascii="Tw Cen MT" w:hAnsi="Tw Cen MT"/>
          <w:noProof/>
          <w:sz w:val="24"/>
        </w:rPr>
      </w:pPr>
      <w:r w:rsidRPr="00C97133">
        <w:rPr>
          <w:rFonts w:ascii="Tw Cen MT" w:hAnsi="Tw Cen MT" w:cs="Times New Roman"/>
          <w:noProof/>
          <w:sz w:val="24"/>
          <w:szCs w:val="24"/>
        </w:rPr>
        <w:t>[20]</w:t>
      </w:r>
      <w:r w:rsidRPr="00C97133">
        <w:rPr>
          <w:rFonts w:ascii="Tw Cen MT" w:hAnsi="Tw Cen MT" w:cs="Times New Roman"/>
          <w:noProof/>
          <w:sz w:val="24"/>
          <w:szCs w:val="24"/>
        </w:rPr>
        <w:tab/>
        <w:t xml:space="preserve">J. J. Kim, G. Bin Song, and E. C. Park, “Effects of Swiss ball exercise and resistance exercise on respiratory function and trunk control ability in patients with scoliosis,” </w:t>
      </w:r>
      <w:r w:rsidRPr="00C97133">
        <w:rPr>
          <w:rFonts w:ascii="Tw Cen MT" w:hAnsi="Tw Cen MT" w:cs="Times New Roman"/>
          <w:i/>
          <w:iCs/>
          <w:noProof/>
          <w:sz w:val="24"/>
          <w:szCs w:val="24"/>
        </w:rPr>
        <w:t>J. Phys. Ther. Sci.</w:t>
      </w:r>
      <w:r w:rsidRPr="00C97133">
        <w:rPr>
          <w:rFonts w:ascii="Tw Cen MT" w:hAnsi="Tw Cen MT" w:cs="Times New Roman"/>
          <w:noProof/>
          <w:sz w:val="24"/>
          <w:szCs w:val="24"/>
        </w:rPr>
        <w:t>, vol. 27, no. 6, pp. 1775–1778, 2015, doi: 10.1589/jpts.27.1775.</w:t>
      </w:r>
    </w:p>
    <w:p w14:paraId="397A8D69" w14:textId="77777777" w:rsidR="000D2D6B" w:rsidRPr="00C97133" w:rsidRDefault="000D2D6B" w:rsidP="00C97133">
      <w:pPr>
        <w:spacing w:line="240" w:lineRule="auto"/>
        <w:jc w:val="both"/>
        <w:rPr>
          <w:rFonts w:ascii="Tw Cen MT" w:hAnsi="Tw Cen MT" w:cs="Times New Roman"/>
          <w:sz w:val="24"/>
          <w:szCs w:val="24"/>
        </w:rPr>
      </w:pPr>
      <w:r w:rsidRPr="00C97133">
        <w:rPr>
          <w:rFonts w:ascii="Tw Cen MT" w:hAnsi="Tw Cen MT" w:cs="Times New Roman"/>
          <w:sz w:val="24"/>
          <w:szCs w:val="24"/>
        </w:rPr>
        <w:fldChar w:fldCharType="end"/>
      </w:r>
    </w:p>
    <w:p w14:paraId="2D8FC6E5" w14:textId="77777777" w:rsidR="000D2D6B" w:rsidRPr="00C126A8" w:rsidRDefault="000D2D6B" w:rsidP="000D2D6B">
      <w:pPr>
        <w:autoSpaceDE w:val="0"/>
        <w:autoSpaceDN w:val="0"/>
        <w:adjustRightInd w:val="0"/>
        <w:spacing w:after="0" w:line="240" w:lineRule="auto"/>
        <w:jc w:val="both"/>
        <w:rPr>
          <w:rFonts w:ascii="Times New Roman" w:hAnsi="Times New Roman" w:cs="Times New Roman"/>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A69A4" w14:textId="77777777" w:rsidR="00591CC6" w:rsidRDefault="00591CC6">
      <w:pPr>
        <w:spacing w:after="0" w:line="240" w:lineRule="auto"/>
      </w:pPr>
      <w:r>
        <w:separator/>
      </w:r>
    </w:p>
  </w:endnote>
  <w:endnote w:type="continuationSeparator" w:id="0">
    <w:p w14:paraId="518EA86C" w14:textId="77777777" w:rsidR="00591CC6" w:rsidRDefault="00591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2688D" w14:textId="77777777" w:rsidR="00591CC6" w:rsidRDefault="00591CC6">
      <w:pPr>
        <w:spacing w:after="0" w:line="240" w:lineRule="auto"/>
      </w:pPr>
      <w:r>
        <w:separator/>
      </w:r>
    </w:p>
  </w:footnote>
  <w:footnote w:type="continuationSeparator" w:id="0">
    <w:p w14:paraId="3F6A8DE9" w14:textId="77777777" w:rsidR="00591CC6" w:rsidRDefault="00591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9321C"/>
    <w:multiLevelType w:val="hybridMultilevel"/>
    <w:tmpl w:val="EB0242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4"/>
  </w:num>
  <w:num w:numId="2" w16cid:durableId="949356608">
    <w:abstractNumId w:val="5"/>
  </w:num>
  <w:num w:numId="3" w16cid:durableId="1651202949">
    <w:abstractNumId w:val="1"/>
  </w:num>
  <w:num w:numId="4" w16cid:durableId="449783476">
    <w:abstractNumId w:val="0"/>
  </w:num>
  <w:num w:numId="5" w16cid:durableId="832647287">
    <w:abstractNumId w:val="3"/>
  </w:num>
  <w:num w:numId="6" w16cid:durableId="2136874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75DE"/>
    <w:rsid w:val="000C4719"/>
    <w:rsid w:val="000D0DFF"/>
    <w:rsid w:val="000D2D6B"/>
    <w:rsid w:val="00106CE2"/>
    <w:rsid w:val="00106D4F"/>
    <w:rsid w:val="0011263D"/>
    <w:rsid w:val="00113901"/>
    <w:rsid w:val="00136E70"/>
    <w:rsid w:val="001545D6"/>
    <w:rsid w:val="00160FDD"/>
    <w:rsid w:val="0016328E"/>
    <w:rsid w:val="00163BA7"/>
    <w:rsid w:val="0016482E"/>
    <w:rsid w:val="00165829"/>
    <w:rsid w:val="001664B3"/>
    <w:rsid w:val="00166BFA"/>
    <w:rsid w:val="00194C11"/>
    <w:rsid w:val="00196C16"/>
    <w:rsid w:val="001F1073"/>
    <w:rsid w:val="001F4512"/>
    <w:rsid w:val="002113FB"/>
    <w:rsid w:val="00220E74"/>
    <w:rsid w:val="00222E32"/>
    <w:rsid w:val="00223B2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13D75"/>
    <w:rsid w:val="00414665"/>
    <w:rsid w:val="00420F93"/>
    <w:rsid w:val="00431AAB"/>
    <w:rsid w:val="00463B9A"/>
    <w:rsid w:val="0046541C"/>
    <w:rsid w:val="004721E3"/>
    <w:rsid w:val="004A3EFA"/>
    <w:rsid w:val="004B41B7"/>
    <w:rsid w:val="004C01E6"/>
    <w:rsid w:val="004E128A"/>
    <w:rsid w:val="004F0C66"/>
    <w:rsid w:val="005424FD"/>
    <w:rsid w:val="005458B9"/>
    <w:rsid w:val="005471FC"/>
    <w:rsid w:val="005642A1"/>
    <w:rsid w:val="00565328"/>
    <w:rsid w:val="00591CC6"/>
    <w:rsid w:val="005C1635"/>
    <w:rsid w:val="005C30BC"/>
    <w:rsid w:val="005C5210"/>
    <w:rsid w:val="005D6EE3"/>
    <w:rsid w:val="005E0707"/>
    <w:rsid w:val="00624B47"/>
    <w:rsid w:val="006334E1"/>
    <w:rsid w:val="006431BA"/>
    <w:rsid w:val="00655189"/>
    <w:rsid w:val="00665737"/>
    <w:rsid w:val="00670815"/>
    <w:rsid w:val="006B1D84"/>
    <w:rsid w:val="006D035B"/>
    <w:rsid w:val="006D261F"/>
    <w:rsid w:val="007006B9"/>
    <w:rsid w:val="007106F6"/>
    <w:rsid w:val="00710CD9"/>
    <w:rsid w:val="007244C3"/>
    <w:rsid w:val="007368A2"/>
    <w:rsid w:val="007615C2"/>
    <w:rsid w:val="00762C0B"/>
    <w:rsid w:val="00765F40"/>
    <w:rsid w:val="007812CD"/>
    <w:rsid w:val="007A1AEF"/>
    <w:rsid w:val="007A770B"/>
    <w:rsid w:val="007D6D9D"/>
    <w:rsid w:val="007E655E"/>
    <w:rsid w:val="007E6A66"/>
    <w:rsid w:val="007F4948"/>
    <w:rsid w:val="00802B46"/>
    <w:rsid w:val="00812425"/>
    <w:rsid w:val="0081569B"/>
    <w:rsid w:val="00853E80"/>
    <w:rsid w:val="0086728C"/>
    <w:rsid w:val="008A326F"/>
    <w:rsid w:val="00931A91"/>
    <w:rsid w:val="00942731"/>
    <w:rsid w:val="00943EB9"/>
    <w:rsid w:val="0096335E"/>
    <w:rsid w:val="00977B60"/>
    <w:rsid w:val="00997349"/>
    <w:rsid w:val="009A70E3"/>
    <w:rsid w:val="009D73CD"/>
    <w:rsid w:val="009F5E84"/>
    <w:rsid w:val="009F6554"/>
    <w:rsid w:val="00A343E3"/>
    <w:rsid w:val="00A36329"/>
    <w:rsid w:val="00A71279"/>
    <w:rsid w:val="00AB2BCC"/>
    <w:rsid w:val="00AE2862"/>
    <w:rsid w:val="00B057E2"/>
    <w:rsid w:val="00B07F42"/>
    <w:rsid w:val="00B241B6"/>
    <w:rsid w:val="00B25240"/>
    <w:rsid w:val="00B41001"/>
    <w:rsid w:val="00B63555"/>
    <w:rsid w:val="00B674AF"/>
    <w:rsid w:val="00BC34CC"/>
    <w:rsid w:val="00BD6DD6"/>
    <w:rsid w:val="00BE7B4C"/>
    <w:rsid w:val="00C133E7"/>
    <w:rsid w:val="00C20FA8"/>
    <w:rsid w:val="00C812B9"/>
    <w:rsid w:val="00C94DFD"/>
    <w:rsid w:val="00C96B4B"/>
    <w:rsid w:val="00C97133"/>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9262D"/>
    <w:rsid w:val="00D93378"/>
    <w:rsid w:val="00D9785A"/>
    <w:rsid w:val="00DB156A"/>
    <w:rsid w:val="00DB7592"/>
    <w:rsid w:val="00DC2BB5"/>
    <w:rsid w:val="00DE3780"/>
    <w:rsid w:val="00DF0B65"/>
    <w:rsid w:val="00DF6E07"/>
    <w:rsid w:val="00E00E3E"/>
    <w:rsid w:val="00E03962"/>
    <w:rsid w:val="00E067A8"/>
    <w:rsid w:val="00E37E90"/>
    <w:rsid w:val="00E77B31"/>
    <w:rsid w:val="00E81E13"/>
    <w:rsid w:val="00EA57B9"/>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BD6DD6"/>
    <w:pPr>
      <w:spacing w:after="0" w:line="240" w:lineRule="auto"/>
    </w:pPr>
    <w:rPr>
      <w:rFonts w:asciiTheme="minorHAnsi" w:eastAsiaTheme="minorHAnsi" w:hAnsiTheme="minorHAnsi" w:cstheme="minorBidi"/>
      <w:sz w:val="22"/>
      <w:szCs w:val="22"/>
      <w:lang w:val="id-ID"/>
    </w:rPr>
  </w:style>
  <w:style w:type="character" w:styleId="UnresolvedMention">
    <w:name w:val="Unresolved Mention"/>
    <w:basedOn w:val="DefaultParagraphFont"/>
    <w:uiPriority w:val="99"/>
    <w:semiHidden/>
    <w:unhideWhenUsed/>
    <w:rsid w:val="00931A91"/>
    <w:rPr>
      <w:color w:val="605E5C"/>
      <w:shd w:val="clear" w:color="auto" w:fill="E1DFDD"/>
    </w:rPr>
  </w:style>
  <w:style w:type="character" w:styleId="Strong">
    <w:name w:val="Strong"/>
    <w:basedOn w:val="DefaultParagraphFont"/>
    <w:uiPriority w:val="22"/>
    <w:qFormat/>
    <w:rsid w:val="00710CD9"/>
    <w:rPr>
      <w:b/>
      <w:bCs/>
    </w:rPr>
  </w:style>
  <w:style w:type="character" w:customStyle="1" w:styleId="ListParagraphChar">
    <w:name w:val="List Paragraph Char"/>
    <w:basedOn w:val="DefaultParagraphFont"/>
    <w:link w:val="ListParagraph"/>
    <w:uiPriority w:val="34"/>
    <w:locked/>
    <w:rsid w:val="00D93378"/>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rigunda@upnvj.ac.id"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F4512"/>
    <w:rsid w:val="00287697"/>
    <w:rsid w:val="00342DE1"/>
    <w:rsid w:val="003D7BD9"/>
    <w:rsid w:val="003E4ABE"/>
    <w:rsid w:val="00637CD0"/>
    <w:rsid w:val="00A85543"/>
    <w:rsid w:val="00D275E0"/>
    <w:rsid w:val="00DF2BBE"/>
    <w:rsid w:val="00E77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9887</Words>
  <Characters>56357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66112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Wiwit Indriyani Aslina</cp:lastModifiedBy>
  <cp:revision>6</cp:revision>
  <cp:lastPrinted>2023-05-02T07:00:00Z</cp:lastPrinted>
  <dcterms:created xsi:type="dcterms:W3CDTF">2023-05-05T09:21:00Z</dcterms:created>
  <dcterms:modified xsi:type="dcterms:W3CDTF">2024-11-14T02:04:00Z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http://www.zotero.org/styles/institut-pertanian-bogor</vt:lpwstr>
  </property>
  <property fmtid="{D5CDD505-2E9C-101B-9397-08002B2CF9AE}" pid="19" name="Mendeley Recent Style Name 8_1">
    <vt:lpwstr>Institut Pertanian Bogor: Pedoman Penulisan Karya Ilmiah Edisi ke-3 (Bahasa Indonesia)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0f817442-bec3-39c6-854e-c65c1e48dcb4</vt:lpwstr>
  </property>
  <property fmtid="{D5CDD505-2E9C-101B-9397-08002B2CF9AE}" pid="24" name="Mendeley Citation Style_1">
    <vt:lpwstr>http://www.zotero.org/styles/ieee</vt:lpwstr>
  </property>
</Properties>
</file>