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36B4269F" w:rsidR="00BA7D9F" w:rsidRPr="00B07CD9" w:rsidRDefault="00114B77" w:rsidP="00D54496">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The Relation Between</w:t>
      </w:r>
      <w:r w:rsidRPr="008E24D2">
        <w:t xml:space="preserve"> </w:t>
      </w:r>
      <w:r w:rsidRPr="008E24D2">
        <w:rPr>
          <w:rFonts w:ascii="Tw Cen MT" w:eastAsia="Twentieth Century" w:hAnsi="Tw Cen MT" w:cs="Twentieth Century"/>
          <w:b/>
          <w:sz w:val="32"/>
          <w:szCs w:val="32"/>
        </w:rPr>
        <w:t xml:space="preserve">Consumption Patterns Snacks, Sugary Drinks </w:t>
      </w:r>
      <w:r>
        <w:rPr>
          <w:rFonts w:ascii="Tw Cen MT" w:eastAsia="Twentieth Century" w:hAnsi="Tw Cen MT" w:cs="Twentieth Century"/>
          <w:b/>
          <w:sz w:val="32"/>
          <w:szCs w:val="32"/>
        </w:rPr>
        <w:t>a</w:t>
      </w:r>
      <w:r w:rsidRPr="008E24D2">
        <w:rPr>
          <w:rFonts w:ascii="Tw Cen MT" w:eastAsia="Twentieth Century" w:hAnsi="Tw Cen MT" w:cs="Twentieth Century"/>
          <w:b/>
          <w:sz w:val="32"/>
          <w:szCs w:val="32"/>
        </w:rPr>
        <w:t xml:space="preserve">nd Physical Activity </w:t>
      </w:r>
      <w:proofErr w:type="gramStart"/>
      <w:r w:rsidRPr="008E24D2">
        <w:rPr>
          <w:rFonts w:ascii="Tw Cen MT" w:eastAsia="Twentieth Century" w:hAnsi="Tw Cen MT" w:cs="Twentieth Century"/>
          <w:b/>
          <w:sz w:val="32"/>
          <w:szCs w:val="32"/>
        </w:rPr>
        <w:t>With</w:t>
      </w:r>
      <w:proofErr w:type="gramEnd"/>
      <w:r w:rsidRPr="008E24D2">
        <w:rPr>
          <w:rFonts w:ascii="Tw Cen MT" w:eastAsia="Twentieth Century" w:hAnsi="Tw Cen MT" w:cs="Twentieth Century"/>
          <w:b/>
          <w:sz w:val="32"/>
          <w:szCs w:val="32"/>
        </w:rPr>
        <w:t xml:space="preserve"> Body Mass Index</w:t>
      </w:r>
      <w:r w:rsidR="00B07CD9" w:rsidRPr="00B07CD9">
        <w:rPr>
          <w:rFonts w:ascii="Tw Cen MT" w:hAnsi="Tw Cen MT" w:cs="Times New Roman"/>
          <w:b/>
          <w:sz w:val="32"/>
          <w:szCs w:val="32"/>
        </w:rPr>
        <w:t xml:space="preserve"> </w:t>
      </w:r>
    </w:p>
    <w:p w14:paraId="047DA5E5" w14:textId="77777777" w:rsidR="00BA7D9F" w:rsidRDefault="00BA7D9F" w:rsidP="00BA7D9F">
      <w:pPr>
        <w:spacing w:after="0" w:line="240" w:lineRule="auto"/>
        <w:jc w:val="center"/>
        <w:rPr>
          <w:rFonts w:ascii="Tw Cen MT" w:eastAsia="Twentieth Century" w:hAnsi="Tw Cen MT" w:cs="Twentieth Century"/>
          <w:b/>
          <w:sz w:val="32"/>
          <w:szCs w:val="32"/>
        </w:rPr>
      </w:pPr>
    </w:p>
    <w:p w14:paraId="2E7DDF99" w14:textId="48E7EE25" w:rsidR="007F4948" w:rsidRPr="00B07CD9" w:rsidRDefault="00114B77" w:rsidP="00D54496">
      <w:pPr>
        <w:spacing w:after="0" w:line="240" w:lineRule="auto"/>
        <w:jc w:val="center"/>
        <w:rPr>
          <w:rFonts w:ascii="Tw Cen MT" w:hAnsi="Tw Cen MT" w:cs="Times New Roman"/>
          <w:b/>
          <w:bCs/>
          <w:iCs/>
          <w:sz w:val="32"/>
          <w:szCs w:val="32"/>
        </w:rPr>
      </w:pPr>
      <w:proofErr w:type="spellStart"/>
      <w:r w:rsidRPr="008E24D2">
        <w:rPr>
          <w:rFonts w:ascii="Tw Cen MT" w:hAnsi="Tw Cen MT" w:cs="Times New Roman"/>
          <w:b/>
          <w:bCs/>
          <w:iCs/>
          <w:sz w:val="32"/>
          <w:szCs w:val="32"/>
        </w:rPr>
        <w:t>Hubungan</w:t>
      </w:r>
      <w:proofErr w:type="spellEnd"/>
      <w:r w:rsidRPr="008E24D2">
        <w:rPr>
          <w:rFonts w:ascii="Tw Cen MT" w:hAnsi="Tw Cen MT" w:cs="Times New Roman"/>
          <w:b/>
          <w:bCs/>
          <w:iCs/>
          <w:sz w:val="32"/>
          <w:szCs w:val="32"/>
        </w:rPr>
        <w:t xml:space="preserve"> Pola </w:t>
      </w:r>
      <w:proofErr w:type="spellStart"/>
      <w:r w:rsidRPr="008E24D2">
        <w:rPr>
          <w:rFonts w:ascii="Tw Cen MT" w:hAnsi="Tw Cen MT" w:cs="Times New Roman"/>
          <w:b/>
          <w:bCs/>
          <w:iCs/>
          <w:sz w:val="32"/>
          <w:szCs w:val="32"/>
        </w:rPr>
        <w:t>Konsumsi</w:t>
      </w:r>
      <w:proofErr w:type="spellEnd"/>
      <w:r w:rsidRPr="008E24D2">
        <w:rPr>
          <w:rFonts w:ascii="Tw Cen MT" w:hAnsi="Tw Cen MT" w:cs="Times New Roman"/>
          <w:b/>
          <w:bCs/>
          <w:iCs/>
          <w:sz w:val="32"/>
          <w:szCs w:val="32"/>
        </w:rPr>
        <w:t xml:space="preserve"> </w:t>
      </w:r>
      <w:proofErr w:type="spellStart"/>
      <w:r w:rsidRPr="008E24D2">
        <w:rPr>
          <w:rFonts w:ascii="Tw Cen MT" w:hAnsi="Tw Cen MT" w:cs="Times New Roman"/>
          <w:b/>
          <w:bCs/>
          <w:iCs/>
          <w:sz w:val="32"/>
          <w:szCs w:val="32"/>
        </w:rPr>
        <w:t>Makanan</w:t>
      </w:r>
      <w:proofErr w:type="spellEnd"/>
      <w:r w:rsidRPr="008E24D2">
        <w:rPr>
          <w:rFonts w:ascii="Tw Cen MT" w:hAnsi="Tw Cen MT" w:cs="Times New Roman"/>
          <w:b/>
          <w:bCs/>
          <w:iCs/>
          <w:sz w:val="32"/>
          <w:szCs w:val="32"/>
        </w:rPr>
        <w:t xml:space="preserve"> </w:t>
      </w:r>
      <w:proofErr w:type="spellStart"/>
      <w:r w:rsidRPr="008E24D2">
        <w:rPr>
          <w:rFonts w:ascii="Tw Cen MT" w:hAnsi="Tw Cen MT" w:cs="Times New Roman"/>
          <w:b/>
          <w:bCs/>
          <w:iCs/>
          <w:sz w:val="32"/>
          <w:szCs w:val="32"/>
        </w:rPr>
        <w:t>Jajanan</w:t>
      </w:r>
      <w:proofErr w:type="spellEnd"/>
      <w:r w:rsidRPr="008E24D2">
        <w:rPr>
          <w:rFonts w:ascii="Tw Cen MT" w:hAnsi="Tw Cen MT" w:cs="Times New Roman"/>
          <w:b/>
          <w:bCs/>
          <w:iCs/>
          <w:sz w:val="32"/>
          <w:szCs w:val="32"/>
        </w:rPr>
        <w:t xml:space="preserve">, </w:t>
      </w:r>
      <w:proofErr w:type="spellStart"/>
      <w:r w:rsidRPr="008E24D2">
        <w:rPr>
          <w:rFonts w:ascii="Tw Cen MT" w:hAnsi="Tw Cen MT" w:cs="Times New Roman"/>
          <w:b/>
          <w:bCs/>
          <w:iCs/>
          <w:sz w:val="32"/>
          <w:szCs w:val="32"/>
        </w:rPr>
        <w:t>Minuman</w:t>
      </w:r>
      <w:proofErr w:type="spellEnd"/>
      <w:r w:rsidRPr="008E24D2">
        <w:rPr>
          <w:rFonts w:ascii="Tw Cen MT" w:hAnsi="Tw Cen MT" w:cs="Times New Roman"/>
          <w:b/>
          <w:bCs/>
          <w:iCs/>
          <w:sz w:val="32"/>
          <w:szCs w:val="32"/>
        </w:rPr>
        <w:t xml:space="preserve"> Manis </w:t>
      </w:r>
      <w:r>
        <w:rPr>
          <w:rFonts w:ascii="Tw Cen MT" w:hAnsi="Tw Cen MT" w:cs="Times New Roman"/>
          <w:b/>
          <w:bCs/>
          <w:iCs/>
          <w:sz w:val="32"/>
          <w:szCs w:val="32"/>
        </w:rPr>
        <w:t>d</w:t>
      </w:r>
      <w:r w:rsidRPr="008E24D2">
        <w:rPr>
          <w:rFonts w:ascii="Tw Cen MT" w:hAnsi="Tw Cen MT" w:cs="Times New Roman"/>
          <w:b/>
          <w:bCs/>
          <w:iCs/>
          <w:sz w:val="32"/>
          <w:szCs w:val="32"/>
        </w:rPr>
        <w:t xml:space="preserve">an </w:t>
      </w:r>
      <w:proofErr w:type="spellStart"/>
      <w:r w:rsidRPr="008E24D2">
        <w:rPr>
          <w:rFonts w:ascii="Tw Cen MT" w:hAnsi="Tw Cen MT" w:cs="Times New Roman"/>
          <w:b/>
          <w:bCs/>
          <w:iCs/>
          <w:sz w:val="32"/>
          <w:szCs w:val="32"/>
        </w:rPr>
        <w:t>Aktivitas</w:t>
      </w:r>
      <w:proofErr w:type="spellEnd"/>
      <w:r w:rsidRPr="008E24D2">
        <w:rPr>
          <w:rFonts w:ascii="Tw Cen MT" w:hAnsi="Tw Cen MT" w:cs="Times New Roman"/>
          <w:b/>
          <w:bCs/>
          <w:iCs/>
          <w:sz w:val="32"/>
          <w:szCs w:val="32"/>
        </w:rPr>
        <w:t xml:space="preserve"> </w:t>
      </w:r>
      <w:proofErr w:type="spellStart"/>
      <w:r w:rsidRPr="008E24D2">
        <w:rPr>
          <w:rFonts w:ascii="Tw Cen MT" w:hAnsi="Tw Cen MT" w:cs="Times New Roman"/>
          <w:b/>
          <w:bCs/>
          <w:iCs/>
          <w:sz w:val="32"/>
          <w:szCs w:val="32"/>
        </w:rPr>
        <w:t>Fisik</w:t>
      </w:r>
      <w:proofErr w:type="spellEnd"/>
      <w:r w:rsidRPr="008E24D2">
        <w:rPr>
          <w:rFonts w:ascii="Tw Cen MT" w:hAnsi="Tw Cen MT" w:cs="Times New Roman"/>
          <w:b/>
          <w:bCs/>
          <w:iCs/>
          <w:sz w:val="32"/>
          <w:szCs w:val="32"/>
        </w:rPr>
        <w:t xml:space="preserve"> </w:t>
      </w:r>
      <w:proofErr w:type="spellStart"/>
      <w:r>
        <w:rPr>
          <w:rFonts w:ascii="Tw Cen MT" w:hAnsi="Tw Cen MT" w:cs="Times New Roman"/>
          <w:b/>
          <w:bCs/>
          <w:iCs/>
          <w:sz w:val="32"/>
          <w:szCs w:val="32"/>
        </w:rPr>
        <w:t>d</w:t>
      </w:r>
      <w:r w:rsidRPr="008E24D2">
        <w:rPr>
          <w:rFonts w:ascii="Tw Cen MT" w:hAnsi="Tw Cen MT" w:cs="Times New Roman"/>
          <w:b/>
          <w:bCs/>
          <w:iCs/>
          <w:sz w:val="32"/>
          <w:szCs w:val="32"/>
        </w:rPr>
        <w:t>engan</w:t>
      </w:r>
      <w:proofErr w:type="spellEnd"/>
      <w:r w:rsidRPr="008E24D2">
        <w:rPr>
          <w:rFonts w:ascii="Tw Cen MT" w:hAnsi="Tw Cen MT" w:cs="Times New Roman"/>
          <w:b/>
          <w:bCs/>
          <w:iCs/>
          <w:sz w:val="32"/>
          <w:szCs w:val="32"/>
        </w:rPr>
        <w:t xml:space="preserve"> </w:t>
      </w:r>
      <w:proofErr w:type="spellStart"/>
      <w:r w:rsidRPr="008E24D2">
        <w:rPr>
          <w:rFonts w:ascii="Tw Cen MT" w:hAnsi="Tw Cen MT" w:cs="Times New Roman"/>
          <w:b/>
          <w:bCs/>
          <w:iCs/>
          <w:sz w:val="32"/>
          <w:szCs w:val="32"/>
        </w:rPr>
        <w:t>Indeks</w:t>
      </w:r>
      <w:proofErr w:type="spellEnd"/>
      <w:r w:rsidRPr="008E24D2">
        <w:rPr>
          <w:rFonts w:ascii="Tw Cen MT" w:hAnsi="Tw Cen MT" w:cs="Times New Roman"/>
          <w:b/>
          <w:bCs/>
          <w:iCs/>
          <w:sz w:val="32"/>
          <w:szCs w:val="32"/>
        </w:rPr>
        <w:t xml:space="preserve"> Massa </w:t>
      </w:r>
      <w:proofErr w:type="spellStart"/>
      <w:r w:rsidRPr="008E24D2">
        <w:rPr>
          <w:rFonts w:ascii="Tw Cen MT" w:hAnsi="Tw Cen MT" w:cs="Times New Roman"/>
          <w:b/>
          <w:bCs/>
          <w:iCs/>
          <w:sz w:val="32"/>
          <w:szCs w:val="32"/>
        </w:rPr>
        <w:t>Tubuh</w:t>
      </w:r>
      <w:proofErr w:type="spellEnd"/>
      <w:r w:rsidR="00B07CD9" w:rsidRPr="00B07CD9">
        <w:rPr>
          <w:rFonts w:ascii="Tw Cen MT" w:hAnsi="Tw Cen MT" w:cs="Times New Roman"/>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56DC84B3" w:rsidR="00BC6861" w:rsidRPr="00B9516E" w:rsidRDefault="00114B77"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8E24D2">
        <w:rPr>
          <w:rFonts w:ascii="Tw Cen MT" w:eastAsia="Twentieth Century" w:hAnsi="Tw Cen MT" w:cs="Twentieth Century"/>
          <w:sz w:val="24"/>
          <w:szCs w:val="24"/>
        </w:rPr>
        <w:t>Rahma</w:t>
      </w:r>
      <w:proofErr w:type="spellEnd"/>
      <w:r w:rsidRPr="008E24D2">
        <w:rPr>
          <w:rFonts w:ascii="Tw Cen MT" w:eastAsia="Twentieth Century" w:hAnsi="Tw Cen MT" w:cs="Twentieth Century"/>
          <w:sz w:val="24"/>
          <w:szCs w:val="24"/>
        </w:rPr>
        <w:t xml:space="preserve"> Sarita¹, </w:t>
      </w:r>
      <w:proofErr w:type="spellStart"/>
      <w:r w:rsidRPr="008E24D2">
        <w:rPr>
          <w:rFonts w:ascii="Tw Cen MT" w:eastAsia="Twentieth Century" w:hAnsi="Tw Cen MT" w:cs="Twentieth Century"/>
          <w:sz w:val="24"/>
          <w:szCs w:val="24"/>
        </w:rPr>
        <w:t>Tonny</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Cortis</w:t>
      </w:r>
      <w:proofErr w:type="spellEnd"/>
      <w:r w:rsidRPr="008E24D2">
        <w:rPr>
          <w:rFonts w:ascii="Tw Cen MT" w:eastAsia="Twentieth Century" w:hAnsi="Tw Cen MT" w:cs="Twentieth Century"/>
          <w:sz w:val="24"/>
          <w:szCs w:val="24"/>
        </w:rPr>
        <w:t xml:space="preserve"> Maigoda</w:t>
      </w:r>
      <w:r w:rsidRPr="008E24D2">
        <w:rPr>
          <w:rFonts w:ascii="Tw Cen MT" w:eastAsia="Twentieth Century" w:hAnsi="Tw Cen MT" w:cs="Twentieth Century"/>
          <w:sz w:val="24"/>
          <w:szCs w:val="24"/>
          <w:vertAlign w:val="superscript"/>
        </w:rPr>
        <w:t>2</w:t>
      </w:r>
      <w:r w:rsidRPr="008E24D2">
        <w:rPr>
          <w:rFonts w:ascii="Tw Cen MT" w:eastAsia="Twentieth Century" w:hAnsi="Tw Cen MT" w:cs="Twentieth Century"/>
          <w:sz w:val="24"/>
          <w:szCs w:val="24"/>
        </w:rPr>
        <w:t>*, Yenni Okfriani</w:t>
      </w:r>
      <w:r w:rsidRPr="008E24D2">
        <w:rPr>
          <w:rFonts w:ascii="Tw Cen MT" w:eastAsia="Twentieth Century" w:hAnsi="Tw Cen MT" w:cs="Twentieth Century"/>
          <w:sz w:val="24"/>
          <w:szCs w:val="24"/>
          <w:vertAlign w:val="superscript"/>
        </w:rPr>
        <w:t>3</w:t>
      </w:r>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Anang</w:t>
      </w:r>
      <w:proofErr w:type="spellEnd"/>
      <w:r w:rsidRPr="008E24D2">
        <w:rPr>
          <w:rFonts w:ascii="Tw Cen MT" w:eastAsia="Twentieth Century" w:hAnsi="Tw Cen MT" w:cs="Twentieth Century"/>
          <w:sz w:val="24"/>
          <w:szCs w:val="24"/>
        </w:rPr>
        <w:t xml:space="preserve"> Wahyud</w:t>
      </w:r>
      <w:r w:rsidRPr="008E24D2">
        <w:rPr>
          <w:rFonts w:ascii="Tw Cen MT" w:eastAsia="Twentieth Century" w:hAnsi="Tw Cen MT" w:cs="Twentieth Century"/>
          <w:sz w:val="24"/>
          <w:szCs w:val="24"/>
          <w:vertAlign w:val="superscript"/>
        </w:rPr>
        <w:t>i4</w:t>
      </w:r>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Risda</w:t>
      </w:r>
      <w:proofErr w:type="spellEnd"/>
      <w:r w:rsidRPr="008E24D2">
        <w:rPr>
          <w:rFonts w:ascii="Tw Cen MT" w:eastAsia="Twentieth Century" w:hAnsi="Tw Cen MT" w:cs="Twentieth Century"/>
          <w:sz w:val="24"/>
          <w:szCs w:val="24"/>
        </w:rPr>
        <w:t xml:space="preserve"> Yulianti</w:t>
      </w:r>
      <w:r w:rsidRPr="008E24D2">
        <w:rPr>
          <w:rFonts w:ascii="Tw Cen MT" w:eastAsia="Twentieth Century" w:hAnsi="Tw Cen MT" w:cs="Twentieth Century"/>
          <w:sz w:val="24"/>
          <w:szCs w:val="24"/>
          <w:vertAlign w:val="superscript"/>
        </w:rPr>
        <w:t>5</w:t>
      </w:r>
    </w:p>
    <w:p w14:paraId="7ED5405E" w14:textId="513C2808" w:rsidR="00BC6861" w:rsidRDefault="00B07CD9" w:rsidP="00BC6861">
      <w:pPr>
        <w:widowControl w:val="0"/>
        <w:spacing w:after="0" w:line="218" w:lineRule="auto"/>
        <w:ind w:left="7" w:right="-20"/>
        <w:jc w:val="center"/>
        <w:rPr>
          <w:rFonts w:ascii="Tw Cen MT" w:hAnsi="Tw Cen MT"/>
          <w:sz w:val="20"/>
        </w:rPr>
      </w:pPr>
      <w:r w:rsidRPr="00B07CD9">
        <w:rPr>
          <w:rFonts w:ascii="Tw Cen MT" w:hAnsi="Tw Cen MT"/>
          <w:sz w:val="20"/>
          <w:szCs w:val="20"/>
          <w:vertAlign w:val="superscript"/>
        </w:rPr>
        <w:t>1,2,3,4,5</w:t>
      </w:r>
      <w:r w:rsidRPr="00B07CD9">
        <w:rPr>
          <w:rFonts w:ascii="Tw Cen MT" w:hAnsi="Tw Cen MT"/>
          <w:sz w:val="20"/>
          <w:szCs w:val="20"/>
        </w:rPr>
        <w:t xml:space="preserve"> </w:t>
      </w:r>
      <w:proofErr w:type="spellStart"/>
      <w:r w:rsidR="00114B77" w:rsidRPr="008E24D2">
        <w:rPr>
          <w:rFonts w:ascii="Tw Cen MT" w:eastAsia="Twentieth Century" w:hAnsi="Tw Cen MT" w:cs="Twentieth Century"/>
          <w:sz w:val="20"/>
          <w:szCs w:val="20"/>
        </w:rPr>
        <w:t>Politeknik</w:t>
      </w:r>
      <w:proofErr w:type="spellEnd"/>
      <w:r w:rsidR="00114B77" w:rsidRPr="008E24D2">
        <w:rPr>
          <w:rFonts w:ascii="Tw Cen MT" w:eastAsia="Twentieth Century" w:hAnsi="Tw Cen MT" w:cs="Twentieth Century"/>
          <w:sz w:val="20"/>
          <w:szCs w:val="20"/>
        </w:rPr>
        <w:t xml:space="preserve"> Kesehatan Kementerian Kesehatan</w:t>
      </w:r>
      <w:r w:rsidR="00114B77">
        <w:rPr>
          <w:rFonts w:ascii="Tw Cen MT" w:eastAsia="Twentieth Century" w:hAnsi="Tw Cen MT" w:cs="Twentieth Century"/>
          <w:sz w:val="20"/>
          <w:szCs w:val="20"/>
        </w:rPr>
        <w:t xml:space="preserve"> Bengkulu</w:t>
      </w:r>
      <w:r w:rsidR="00114B77" w:rsidRPr="008E24D2">
        <w:rPr>
          <w:rFonts w:ascii="Tw Cen MT" w:eastAsia="Twentieth Century" w:hAnsi="Tw Cen MT" w:cs="Twentieth Century"/>
          <w:sz w:val="20"/>
          <w:szCs w:val="20"/>
        </w:rPr>
        <w:t>, Bengkulu, Indonesia</w:t>
      </w:r>
      <w:r w:rsidR="00BC6861" w:rsidRPr="000610C6">
        <w:rPr>
          <w:rFonts w:ascii="Tw Cen MT" w:hAnsi="Tw Cen MT"/>
          <w:sz w:val="20"/>
        </w:rPr>
        <w:t xml:space="preserve"> </w:t>
      </w:r>
    </w:p>
    <w:p w14:paraId="36691345" w14:textId="0A892B14"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114B77">
        <w:rPr>
          <w:rFonts w:ascii="Tw Cen MT" w:hAnsi="Tw Cen MT"/>
          <w:color w:val="000000" w:themeColor="text1"/>
          <w:sz w:val="20"/>
        </w:rPr>
        <w:t>tony@poltekkesbengkulu.</w:t>
      </w:r>
      <w:r w:rsidR="00B07CD9">
        <w:rPr>
          <w:rFonts w:ascii="Tw Cen MT" w:hAnsi="Tw Cen MT"/>
          <w:color w:val="000000" w:themeColor="text1"/>
          <w:sz w:val="20"/>
        </w:rPr>
        <w:t>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C010BFB"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2024-10-02</w:t>
                            </w:r>
                            <w:proofErr w:type="gramEnd"/>
                          </w:p>
                          <w:p w14:paraId="2E3C9739" w14:textId="5667E34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2024-12-03</w:t>
                            </w:r>
                          </w:p>
                          <w:p w14:paraId="65822EE9" w14:textId="55FACF0A"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2024-12-04</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C010BFB"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2024-10-02</w:t>
                      </w:r>
                      <w:proofErr w:type="gramEnd"/>
                    </w:p>
                    <w:p w14:paraId="2E3C9739" w14:textId="5667E34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2024-12-03</w:t>
                      </w:r>
                    </w:p>
                    <w:p w14:paraId="65822EE9" w14:textId="55FACF0A"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2024-12-04</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E290BF7" w:rsidR="006334E1" w:rsidRPr="00B07CD9" w:rsidRDefault="0027621D" w:rsidP="00BA7D9F">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B77" w:rsidRPr="008E24D2">
        <w:rPr>
          <w:rFonts w:ascii="Tw Cen MT" w:hAnsi="Tw Cen MT"/>
          <w:i/>
          <w:color w:val="000000"/>
          <w:sz w:val="20"/>
          <w:szCs w:val="20"/>
          <w:shd w:val="clear" w:color="auto" w:fill="FFFFFF"/>
        </w:rPr>
        <w:t xml:space="preserve">Nutritional status reflects condition body resulting from consumption of food and nutrients that function as a source of energy, growth, development, tissue repair, and regulators of the body's metabolism. Nutritional status influenced various factors as daily diet, intake and lifestyle, types of drinks consumed, and physical activity. Purpose study determine relationship between consumption patterns snacks, sweet </w:t>
      </w:r>
      <w:proofErr w:type="gramStart"/>
      <w:r w:rsidR="00114B77" w:rsidRPr="008E24D2">
        <w:rPr>
          <w:rFonts w:ascii="Tw Cen MT" w:hAnsi="Tw Cen MT"/>
          <w:i/>
          <w:color w:val="000000"/>
          <w:sz w:val="20"/>
          <w:szCs w:val="20"/>
          <w:shd w:val="clear" w:color="auto" w:fill="FFFFFF"/>
        </w:rPr>
        <w:t>drinks</w:t>
      </w:r>
      <w:proofErr w:type="gramEnd"/>
      <w:r w:rsidR="00114B77" w:rsidRPr="008E24D2">
        <w:rPr>
          <w:rFonts w:ascii="Tw Cen MT" w:hAnsi="Tw Cen MT"/>
          <w:i/>
          <w:color w:val="000000"/>
          <w:sz w:val="20"/>
          <w:szCs w:val="20"/>
          <w:shd w:val="clear" w:color="auto" w:fill="FFFFFF"/>
        </w:rPr>
        <w:t xml:space="preserve"> and physical activity with body mass index D3 students majoring in nutrition at </w:t>
      </w:r>
      <w:proofErr w:type="spellStart"/>
      <w:r w:rsidR="00114B77" w:rsidRPr="008E24D2">
        <w:rPr>
          <w:rFonts w:ascii="Tw Cen MT" w:hAnsi="Tw Cen MT"/>
          <w:i/>
          <w:color w:val="000000"/>
          <w:sz w:val="20"/>
          <w:szCs w:val="20"/>
          <w:shd w:val="clear" w:color="auto" w:fill="FFFFFF"/>
        </w:rPr>
        <w:t>Poltekkes</w:t>
      </w:r>
      <w:proofErr w:type="spellEnd"/>
      <w:r w:rsidR="00114B77" w:rsidRPr="008E24D2">
        <w:rPr>
          <w:rFonts w:ascii="Tw Cen MT" w:hAnsi="Tw Cen MT"/>
          <w:i/>
          <w:color w:val="000000"/>
          <w:sz w:val="20"/>
          <w:szCs w:val="20"/>
          <w:shd w:val="clear" w:color="auto" w:fill="FFFFFF"/>
        </w:rPr>
        <w:t xml:space="preserve"> </w:t>
      </w:r>
      <w:proofErr w:type="spellStart"/>
      <w:r w:rsidR="00114B77" w:rsidRPr="008E24D2">
        <w:rPr>
          <w:rFonts w:ascii="Tw Cen MT" w:hAnsi="Tw Cen MT"/>
          <w:i/>
          <w:color w:val="000000"/>
          <w:sz w:val="20"/>
          <w:szCs w:val="20"/>
          <w:shd w:val="clear" w:color="auto" w:fill="FFFFFF"/>
        </w:rPr>
        <w:t>kemenkes</w:t>
      </w:r>
      <w:proofErr w:type="spellEnd"/>
      <w:r w:rsidR="00114B77" w:rsidRPr="008E24D2">
        <w:rPr>
          <w:rFonts w:ascii="Tw Cen MT" w:hAnsi="Tw Cen MT"/>
          <w:i/>
          <w:color w:val="000000"/>
          <w:sz w:val="20"/>
          <w:szCs w:val="20"/>
          <w:shd w:val="clear" w:color="auto" w:fill="FFFFFF"/>
        </w:rPr>
        <w:t xml:space="preserve"> </w:t>
      </w:r>
      <w:proofErr w:type="spellStart"/>
      <w:r w:rsidR="00114B77" w:rsidRPr="008E24D2">
        <w:rPr>
          <w:rFonts w:ascii="Tw Cen MT" w:hAnsi="Tw Cen MT"/>
          <w:i/>
          <w:color w:val="000000"/>
          <w:sz w:val="20"/>
          <w:szCs w:val="20"/>
          <w:shd w:val="clear" w:color="auto" w:fill="FFFFFF"/>
        </w:rPr>
        <w:t>bengkulu</w:t>
      </w:r>
      <w:proofErr w:type="spellEnd"/>
      <w:r w:rsidR="00114B77" w:rsidRPr="008E24D2">
        <w:rPr>
          <w:rFonts w:ascii="Tw Cen MT" w:hAnsi="Tw Cen MT"/>
          <w:i/>
          <w:color w:val="000000"/>
          <w:sz w:val="20"/>
          <w:szCs w:val="20"/>
          <w:shd w:val="clear" w:color="auto" w:fill="FFFFFF"/>
        </w:rPr>
        <w:t xml:space="preserve"> in 2024. Study used analytical descriptive design </w:t>
      </w:r>
      <w:proofErr w:type="spellStart"/>
      <w:r w:rsidR="00114B77" w:rsidRPr="008E24D2">
        <w:rPr>
          <w:rFonts w:ascii="Tw Cen MT" w:hAnsi="Tw Cen MT"/>
          <w:i/>
          <w:color w:val="000000"/>
          <w:sz w:val="20"/>
          <w:szCs w:val="20"/>
          <w:shd w:val="clear" w:color="auto" w:fill="FFFFFF"/>
        </w:rPr>
        <w:t>crossectional</w:t>
      </w:r>
      <w:proofErr w:type="spellEnd"/>
      <w:r w:rsidR="00114B77" w:rsidRPr="008E24D2">
        <w:rPr>
          <w:rFonts w:ascii="Tw Cen MT" w:hAnsi="Tw Cen MT"/>
          <w:i/>
          <w:color w:val="000000"/>
          <w:sz w:val="20"/>
          <w:szCs w:val="20"/>
          <w:shd w:val="clear" w:color="auto" w:fill="FFFFFF"/>
        </w:rPr>
        <w:t xml:space="preserve"> design. Sample of 46 people was selected random sampling technique. Data were analyzed univariately and </w:t>
      </w:r>
      <w:proofErr w:type="spellStart"/>
      <w:r w:rsidR="00114B77" w:rsidRPr="008E24D2">
        <w:rPr>
          <w:rFonts w:ascii="Tw Cen MT" w:hAnsi="Tw Cen MT"/>
          <w:i/>
          <w:color w:val="000000"/>
          <w:sz w:val="20"/>
          <w:szCs w:val="20"/>
          <w:shd w:val="clear" w:color="auto" w:fill="FFFFFF"/>
        </w:rPr>
        <w:t>bivariately</w:t>
      </w:r>
      <w:proofErr w:type="spellEnd"/>
      <w:r w:rsidR="00114B77" w:rsidRPr="008E24D2">
        <w:rPr>
          <w:rFonts w:ascii="Tw Cen MT" w:hAnsi="Tw Cen MT"/>
          <w:i/>
          <w:color w:val="000000"/>
          <w:sz w:val="20"/>
          <w:szCs w:val="20"/>
          <w:shd w:val="clear" w:color="auto" w:fill="FFFFFF"/>
        </w:rPr>
        <w:t xml:space="preserve"> using Chi-Square a significance level </w:t>
      </w:r>
      <w:r w:rsidR="00114B77" w:rsidRPr="008E24D2">
        <w:rPr>
          <w:i/>
          <w:color w:val="000000"/>
          <w:sz w:val="20"/>
          <w:szCs w:val="20"/>
          <w:shd w:val="clear" w:color="auto" w:fill="FFFFFF"/>
        </w:rPr>
        <w:t>α</w:t>
      </w:r>
      <w:r w:rsidR="00114B77" w:rsidRPr="008E24D2">
        <w:rPr>
          <w:rFonts w:ascii="Tw Cen MT" w:hAnsi="Tw Cen MT"/>
          <w:i/>
          <w:color w:val="000000"/>
          <w:sz w:val="20"/>
          <w:szCs w:val="20"/>
          <w:shd w:val="clear" w:color="auto" w:fill="FFFFFF"/>
        </w:rPr>
        <w:t>=0.05. Consumption pattern of snacks, sugary drinks and physical activity with body mass index was significant. Relationship between consumption snacks with BMI p-value 0.001, consumption sugary drinks with BMI p-value 0.004, physical activity and BMI p-value 0.002.</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5C214A7D" w:rsidR="007F4948" w:rsidRPr="00B07CD9" w:rsidRDefault="00114B77" w:rsidP="00BA7D9F">
      <w:pPr>
        <w:tabs>
          <w:tab w:val="left" w:pos="426"/>
        </w:tabs>
        <w:spacing w:after="0" w:line="240" w:lineRule="auto"/>
        <w:ind w:left="3150"/>
        <w:jc w:val="both"/>
        <w:rPr>
          <w:rFonts w:ascii="Tw Cen MT" w:eastAsia="Twentieth Century" w:hAnsi="Tw Cen MT" w:cs="Twentieth Century"/>
          <w:i/>
          <w:iCs/>
          <w:sz w:val="18"/>
          <w:szCs w:val="18"/>
        </w:rPr>
      </w:pPr>
      <w:r w:rsidRPr="008E24D2">
        <w:rPr>
          <w:rFonts w:ascii="Tw Cen MT" w:eastAsia="Twentieth Century" w:hAnsi="Tw Cen MT" w:cs="Twentieth Century"/>
          <w:i/>
          <w:sz w:val="20"/>
          <w:szCs w:val="20"/>
        </w:rPr>
        <w:t>Consumption Pattern</w:t>
      </w:r>
      <w:r>
        <w:rPr>
          <w:rFonts w:ascii="Tw Cen MT" w:eastAsia="Twentieth Century" w:hAnsi="Tw Cen MT" w:cs="Twentieth Century"/>
          <w:i/>
          <w:sz w:val="20"/>
          <w:szCs w:val="20"/>
        </w:rPr>
        <w:t>;</w:t>
      </w:r>
      <w:r w:rsidRPr="008E24D2">
        <w:rPr>
          <w:rFonts w:ascii="Tw Cen MT" w:eastAsia="Twentieth Century" w:hAnsi="Tw Cen MT" w:cs="Twentieth Century"/>
          <w:i/>
          <w:sz w:val="20"/>
          <w:szCs w:val="20"/>
        </w:rPr>
        <w:t xml:space="preserve"> Physical Activity</w:t>
      </w:r>
      <w:r>
        <w:rPr>
          <w:rFonts w:ascii="Tw Cen MT" w:eastAsia="Twentieth Century" w:hAnsi="Tw Cen MT" w:cs="Twentieth Century"/>
          <w:i/>
          <w:sz w:val="20"/>
          <w:szCs w:val="20"/>
        </w:rPr>
        <w:t>;</w:t>
      </w:r>
      <w:r w:rsidRPr="008E24D2">
        <w:rPr>
          <w:rFonts w:ascii="Tw Cen MT" w:eastAsia="Twentieth Century" w:hAnsi="Tw Cen MT" w:cs="Twentieth Century"/>
          <w:i/>
          <w:sz w:val="20"/>
          <w:szCs w:val="20"/>
        </w:rPr>
        <w:t xml:space="preserve"> Body Mass Index (BMI)</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1DAA159" w:rsidR="007F4948" w:rsidRPr="00B07CD9" w:rsidRDefault="00114B77"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8E24D2">
        <w:rPr>
          <w:rFonts w:ascii="Tw Cen MT" w:eastAsia="Twentieth Century" w:hAnsi="Tw Cen MT" w:cs="Twentieth Century"/>
          <w:iCs/>
          <w:sz w:val="20"/>
          <w:szCs w:val="20"/>
        </w:rPr>
        <w:t>Kondisi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tubuh</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dihasilkan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dari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konsumsi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makanan</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zat</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gizi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berfungsi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sebagai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sumber</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energi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pertumbuhan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perkembangan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perbaikan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jaringan</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metabolisme</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tubuh</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dikenal</w:t>
      </w:r>
      <w:proofErr w:type="spellEnd"/>
      <w:r w:rsidRPr="008E24D2">
        <w:rPr>
          <w:rFonts w:ascii="Tw Cen MT" w:eastAsia="Twentieth Century" w:hAnsi="Tw Cen MT" w:cs="Twentieth Century"/>
          <w:iCs/>
          <w:sz w:val="20"/>
          <w:szCs w:val="20"/>
        </w:rPr>
        <w:t xml:space="preserve"> status </w:t>
      </w:r>
      <w:proofErr w:type="spellStart"/>
      <w:r w:rsidRPr="008E24D2">
        <w:rPr>
          <w:rFonts w:ascii="Tw Cen MT" w:eastAsia="Twentieth Century" w:hAnsi="Tw Cen MT" w:cs="Twentieth Century"/>
          <w:iCs/>
          <w:sz w:val="20"/>
          <w:szCs w:val="20"/>
        </w:rPr>
        <w:t>gizi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Berbagai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faktor</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memengaruhi</w:t>
      </w:r>
      <w:proofErr w:type="spellEnd"/>
      <w:r w:rsidRPr="008E24D2">
        <w:rPr>
          <w:rFonts w:ascii="Tw Cen MT" w:eastAsia="Twentieth Century" w:hAnsi="Tw Cen MT" w:cs="Twentieth Century"/>
          <w:iCs/>
          <w:sz w:val="20"/>
          <w:szCs w:val="20"/>
        </w:rPr>
        <w:t xml:space="preserve"> status </w:t>
      </w:r>
      <w:proofErr w:type="spellStart"/>
      <w:r w:rsidRPr="008E24D2">
        <w:rPr>
          <w:rFonts w:ascii="Tw Cen MT" w:eastAsia="Twentieth Century" w:hAnsi="Tw Cen MT" w:cs="Twentieth Century"/>
          <w:iCs/>
          <w:sz w:val="20"/>
          <w:szCs w:val="20"/>
        </w:rPr>
        <w:t>gizi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termasuk</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pola</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makan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harian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asupan</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gaya</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hidup</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jenis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minuman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dikonsumsi</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aktivitas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fisik</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Tujuan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penelitian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mengidentifikasi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hubungan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indeks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massa</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tubuh</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pola</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konsumsi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makanan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jajanan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minuman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manis</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aktivitas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fisik</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mahasiswa</w:t>
      </w:r>
      <w:proofErr w:type="spellEnd"/>
      <w:r w:rsidRPr="008E24D2">
        <w:rPr>
          <w:rFonts w:ascii="Tw Cen MT" w:eastAsia="Twentieth Century" w:hAnsi="Tw Cen MT" w:cs="Twentieth Century"/>
          <w:iCs/>
          <w:sz w:val="20"/>
          <w:szCs w:val="20"/>
        </w:rPr>
        <w:t xml:space="preserve"> D3 </w:t>
      </w:r>
      <w:proofErr w:type="spellStart"/>
      <w:r w:rsidRPr="008E24D2">
        <w:rPr>
          <w:rFonts w:ascii="Tw Cen MT" w:eastAsia="Twentieth Century" w:hAnsi="Tw Cen MT" w:cs="Twentieth Century"/>
          <w:iCs/>
          <w:sz w:val="20"/>
          <w:szCs w:val="20"/>
        </w:rPr>
        <w:t>jurusan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gizi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Poltekkes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Kemenkes</w:t>
      </w:r>
      <w:proofErr w:type="spellEnd"/>
      <w:r w:rsidRPr="008E24D2">
        <w:rPr>
          <w:rFonts w:ascii="Tw Cen MT" w:eastAsia="Twentieth Century" w:hAnsi="Tw Cen MT" w:cs="Twentieth Century"/>
          <w:iCs/>
          <w:sz w:val="20"/>
          <w:szCs w:val="20"/>
        </w:rPr>
        <w:t xml:space="preserve"> Bengkulu pada </w:t>
      </w:r>
      <w:proofErr w:type="spellStart"/>
      <w:r w:rsidRPr="008E24D2">
        <w:rPr>
          <w:rFonts w:ascii="Tw Cen MT" w:eastAsia="Twentieth Century" w:hAnsi="Tw Cen MT" w:cs="Twentieth Century"/>
          <w:iCs/>
          <w:sz w:val="20"/>
          <w:szCs w:val="20"/>
        </w:rPr>
        <w:t>tahun</w:t>
      </w:r>
      <w:proofErr w:type="spellEnd"/>
      <w:r w:rsidRPr="008E24D2">
        <w:rPr>
          <w:rFonts w:ascii="Tw Cen MT" w:eastAsia="Twentieth Century" w:hAnsi="Tw Cen MT" w:cs="Twentieth Century"/>
          <w:iCs/>
          <w:sz w:val="20"/>
          <w:szCs w:val="20"/>
        </w:rPr>
        <w:t xml:space="preserve"> 2024. </w:t>
      </w:r>
      <w:proofErr w:type="spellStart"/>
      <w:r w:rsidRPr="008E24D2">
        <w:rPr>
          <w:rFonts w:ascii="Tw Cen MT" w:eastAsia="Twentieth Century" w:hAnsi="Tw Cen MT" w:cs="Twentieth Century"/>
          <w:iCs/>
          <w:sz w:val="20"/>
          <w:szCs w:val="20"/>
        </w:rPr>
        <w:t>Penelitian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menggunakan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desain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deskriptif</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analitis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rancangan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crossectional</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Sampel</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penelitian</w:t>
      </w:r>
      <w:proofErr w:type="spellEnd"/>
      <w:r w:rsidRPr="008E24D2">
        <w:rPr>
          <w:rFonts w:ascii="Tw Cen MT" w:eastAsia="Twentieth Century" w:hAnsi="Tw Cen MT" w:cs="Twentieth Century"/>
          <w:iCs/>
          <w:sz w:val="20"/>
          <w:szCs w:val="20"/>
        </w:rPr>
        <w:t xml:space="preserve"> 46 orang </w:t>
      </w:r>
      <w:proofErr w:type="spellStart"/>
      <w:r w:rsidRPr="008E24D2">
        <w:rPr>
          <w:rFonts w:ascii="Tw Cen MT" w:eastAsia="Twentieth Century" w:hAnsi="Tw Cen MT" w:cs="Twentieth Century"/>
          <w:iCs/>
          <w:sz w:val="20"/>
          <w:szCs w:val="20"/>
        </w:rPr>
        <w:t>dipilih</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menggunakan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teknik</w:t>
      </w:r>
      <w:proofErr w:type="spellEnd"/>
      <w:r w:rsidRPr="008E24D2">
        <w:rPr>
          <w:rFonts w:ascii="Tw Cen MT" w:eastAsia="Twentieth Century" w:hAnsi="Tw Cen MT" w:cs="Twentieth Century"/>
          <w:iCs/>
          <w:sz w:val="20"/>
          <w:szCs w:val="20"/>
        </w:rPr>
        <w:t xml:space="preserve"> simple random sampling. </w:t>
      </w:r>
      <w:proofErr w:type="spellStart"/>
      <w:r w:rsidRPr="008E24D2">
        <w:rPr>
          <w:rFonts w:ascii="Tw Cen MT" w:eastAsia="Twentieth Century" w:hAnsi="Tw Cen MT" w:cs="Twentieth Century"/>
          <w:iCs/>
          <w:sz w:val="20"/>
          <w:szCs w:val="20"/>
        </w:rPr>
        <w:t>Analisis</w:t>
      </w:r>
      <w:proofErr w:type="spellEnd"/>
      <w:r w:rsidRPr="008E24D2">
        <w:rPr>
          <w:rFonts w:ascii="Tw Cen MT" w:eastAsia="Twentieth Century" w:hAnsi="Tw Cen MT" w:cs="Twentieth Century"/>
          <w:iCs/>
          <w:sz w:val="20"/>
          <w:szCs w:val="20"/>
        </w:rPr>
        <w:t xml:space="preserve"> data </w:t>
      </w:r>
      <w:proofErr w:type="spellStart"/>
      <w:r w:rsidRPr="008E24D2">
        <w:rPr>
          <w:rFonts w:ascii="Tw Cen MT" w:eastAsia="Twentieth Century" w:hAnsi="Tw Cen MT" w:cs="Twentieth Century"/>
          <w:iCs/>
          <w:sz w:val="20"/>
          <w:szCs w:val="20"/>
        </w:rPr>
        <w:t>secara</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univariat</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bivariat</w:t>
      </w:r>
      <w:proofErr w:type="spellEnd"/>
      <w:r w:rsidRPr="008E24D2">
        <w:rPr>
          <w:rFonts w:ascii="Tw Cen MT" w:eastAsia="Twentieth Century" w:hAnsi="Tw Cen MT" w:cs="Twentieth Century"/>
          <w:iCs/>
          <w:sz w:val="20"/>
          <w:szCs w:val="20"/>
        </w:rPr>
        <w:t xml:space="preserve"> uji Chi-Square </w:t>
      </w:r>
      <w:proofErr w:type="spellStart"/>
      <w:r w:rsidRPr="008E24D2">
        <w:rPr>
          <w:rFonts w:ascii="Tw Cen MT" w:eastAsia="Twentieth Century" w:hAnsi="Tw Cen MT" w:cs="Twentieth Century"/>
          <w:iCs/>
          <w:sz w:val="20"/>
          <w:szCs w:val="20"/>
        </w:rPr>
        <w:t>tingkat</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signifikansi</w:t>
      </w:r>
      <w:proofErr w:type="spellEnd"/>
      <w:r w:rsidRPr="008E24D2">
        <w:rPr>
          <w:rFonts w:ascii="Tw Cen MT" w:eastAsia="Twentieth Century" w:hAnsi="Tw Cen MT" w:cs="Twentieth Century"/>
          <w:iCs/>
          <w:sz w:val="20"/>
          <w:szCs w:val="20"/>
        </w:rPr>
        <w:t xml:space="preserve"> </w:t>
      </w:r>
      <w:r w:rsidRPr="008E24D2">
        <w:rPr>
          <w:rFonts w:eastAsia="Twentieth Century"/>
          <w:iCs/>
          <w:sz w:val="20"/>
          <w:szCs w:val="20"/>
        </w:rPr>
        <w:t>α</w:t>
      </w:r>
      <w:r w:rsidRPr="008E24D2">
        <w:rPr>
          <w:rFonts w:ascii="Tw Cen MT" w:eastAsia="Twentieth Century" w:hAnsi="Tw Cen MT" w:cs="Twentieth Century"/>
          <w:iCs/>
          <w:sz w:val="20"/>
          <w:szCs w:val="20"/>
        </w:rPr>
        <w:t xml:space="preserve">=0,05. Pola </w:t>
      </w:r>
      <w:proofErr w:type="spellStart"/>
      <w:r w:rsidRPr="008E24D2">
        <w:rPr>
          <w:rFonts w:ascii="Tw Cen MT" w:eastAsia="Twentieth Century" w:hAnsi="Tw Cen MT" w:cs="Twentieth Century"/>
          <w:iCs/>
          <w:sz w:val="20"/>
          <w:szCs w:val="20"/>
        </w:rPr>
        <w:t>konsumsi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makanan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jajanan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minuman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manis</w:t>
      </w:r>
      <w:proofErr w:type="spellEnd"/>
      <w:r w:rsidRPr="008E24D2">
        <w:rPr>
          <w:rFonts w:ascii="Tw Cen MT" w:eastAsia="Twentieth Century" w:hAnsi="Tw Cen MT" w:cs="Twentieth Century"/>
          <w:iCs/>
          <w:sz w:val="20"/>
          <w:szCs w:val="20"/>
        </w:rPr>
        <w:t xml:space="preserve"> dan </w:t>
      </w:r>
      <w:proofErr w:type="spellStart"/>
      <w:r w:rsidRPr="008E24D2">
        <w:rPr>
          <w:rFonts w:ascii="Tw Cen MT" w:eastAsia="Twentieth Century" w:hAnsi="Tw Cen MT" w:cs="Twentieth Century"/>
          <w:iCs/>
          <w:sz w:val="20"/>
          <w:szCs w:val="20"/>
        </w:rPr>
        <w:t>aktivitas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fisik</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indeks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massa</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tubuh</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signifikan</w:t>
      </w:r>
      <w:proofErr w:type="spellEnd"/>
      <w:r w:rsidRPr="008E24D2">
        <w:rPr>
          <w:rFonts w:ascii="Tw Cen MT" w:eastAsia="Twentieth Century" w:hAnsi="Tw Cen MT" w:cs="Twentieth Century"/>
          <w:iCs/>
          <w:sz w:val="20"/>
          <w:szCs w:val="20"/>
        </w:rPr>
        <w:t xml:space="preserve">. Ada </w:t>
      </w:r>
      <w:proofErr w:type="spellStart"/>
      <w:r w:rsidRPr="008E24D2">
        <w:rPr>
          <w:rFonts w:ascii="Tw Cen MT" w:eastAsia="Twentieth Century" w:hAnsi="Tw Cen MT" w:cs="Twentieth Century"/>
          <w:iCs/>
          <w:sz w:val="20"/>
          <w:szCs w:val="20"/>
        </w:rPr>
        <w:t>hubungan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konsumsi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jajanan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dengan</w:t>
      </w:r>
      <w:proofErr w:type="spellEnd"/>
      <w:r w:rsidRPr="008E24D2">
        <w:rPr>
          <w:rFonts w:ascii="Tw Cen MT" w:eastAsia="Twentieth Century" w:hAnsi="Tw Cen MT" w:cs="Twentieth Century"/>
          <w:iCs/>
          <w:sz w:val="20"/>
          <w:szCs w:val="20"/>
        </w:rPr>
        <w:t xml:space="preserve"> IMT p-value 0,001. Ada </w:t>
      </w:r>
      <w:proofErr w:type="spellStart"/>
      <w:r w:rsidRPr="008E24D2">
        <w:rPr>
          <w:rFonts w:ascii="Tw Cen MT" w:eastAsia="Twentieth Century" w:hAnsi="Tw Cen MT" w:cs="Twentieth Century"/>
          <w:iCs/>
          <w:sz w:val="20"/>
          <w:szCs w:val="20"/>
        </w:rPr>
        <w:t>hubungan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konsumsi</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minuman</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manis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dengan</w:t>
      </w:r>
      <w:proofErr w:type="spellEnd"/>
      <w:r w:rsidRPr="008E24D2">
        <w:rPr>
          <w:rFonts w:ascii="Tw Cen MT" w:eastAsia="Twentieth Century" w:hAnsi="Tw Cen MT" w:cs="Twentieth Century"/>
          <w:iCs/>
          <w:sz w:val="20"/>
          <w:szCs w:val="20"/>
        </w:rPr>
        <w:t xml:space="preserve"> IMT p </w:t>
      </w:r>
      <w:r w:rsidRPr="008E24D2">
        <w:rPr>
          <w:rFonts w:ascii="Tw Cen MT" w:eastAsia="Twentieth Century" w:hAnsi="Tw Cen MT" w:cs="Tw Cen MT"/>
          <w:iCs/>
          <w:sz w:val="20"/>
          <w:szCs w:val="20"/>
        </w:rPr>
        <w:t>–</w:t>
      </w:r>
      <w:r w:rsidRPr="008E24D2">
        <w:rPr>
          <w:rFonts w:ascii="Tw Cen MT" w:eastAsia="Twentieth Century" w:hAnsi="Tw Cen MT" w:cs="Twentieth Century"/>
          <w:iCs/>
          <w:sz w:val="20"/>
          <w:szCs w:val="20"/>
        </w:rPr>
        <w:t xml:space="preserve"> value 0,004. </w:t>
      </w:r>
      <w:proofErr w:type="spellStart"/>
      <w:r w:rsidRPr="008E24D2">
        <w:rPr>
          <w:rFonts w:ascii="Tw Cen MT" w:eastAsia="Twentieth Century" w:hAnsi="Tw Cen MT" w:cs="Twentieth Century"/>
          <w:iCs/>
          <w:sz w:val="20"/>
          <w:szCs w:val="20"/>
        </w:rPr>
        <w:t>Aktivitas</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fisik</w:t>
      </w:r>
      <w:proofErr w:type="spellEnd"/>
      <w:r w:rsidRPr="008E24D2">
        <w:rPr>
          <w:rFonts w:ascii="Tw Cen MT" w:eastAsia="Twentieth Century" w:hAnsi="Tw Cen MT" w:cs="Twentieth Century"/>
          <w:iCs/>
          <w:sz w:val="20"/>
          <w:szCs w:val="20"/>
        </w:rPr>
        <w:t xml:space="preserve"> </w:t>
      </w:r>
      <w:proofErr w:type="spellStart"/>
      <w:r w:rsidRPr="008E24D2">
        <w:rPr>
          <w:rFonts w:ascii="Tw Cen MT" w:eastAsia="Twentieth Century" w:hAnsi="Tw Cen MT" w:cs="Twentieth Century"/>
          <w:iCs/>
          <w:sz w:val="20"/>
          <w:szCs w:val="20"/>
        </w:rPr>
        <w:t>dengan</w:t>
      </w:r>
      <w:proofErr w:type="spellEnd"/>
      <w:r w:rsidRPr="008E24D2">
        <w:rPr>
          <w:rFonts w:ascii="Tw Cen MT" w:eastAsia="Twentieth Century" w:hAnsi="Tw Cen MT" w:cs="Twentieth Century"/>
          <w:iCs/>
          <w:sz w:val="20"/>
          <w:szCs w:val="20"/>
        </w:rPr>
        <w:t xml:space="preserve"> IMT p-value 0,002.</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6090CBD7" w:rsidR="00271C36" w:rsidRPr="00B07CD9" w:rsidRDefault="00114B77" w:rsidP="004B3C37">
      <w:pPr>
        <w:tabs>
          <w:tab w:val="left" w:pos="426"/>
        </w:tabs>
        <w:spacing w:after="0" w:line="240" w:lineRule="auto"/>
        <w:ind w:left="3150"/>
        <w:jc w:val="both"/>
        <w:rPr>
          <w:rFonts w:ascii="Tw Cen MT" w:eastAsia="Twentieth Century" w:hAnsi="Tw Cen MT" w:cs="Twentieth Century"/>
          <w:b/>
          <w:i/>
          <w:sz w:val="16"/>
          <w:szCs w:val="16"/>
        </w:rPr>
      </w:pPr>
      <w:r w:rsidRPr="008E24D2">
        <w:rPr>
          <w:rFonts w:ascii="Tw Cen MT" w:eastAsia="Twentieth Century" w:hAnsi="Tw Cen MT" w:cs="Twentieth Century"/>
          <w:sz w:val="20"/>
          <w:szCs w:val="20"/>
        </w:rPr>
        <w:t xml:space="preserve">Pola </w:t>
      </w:r>
      <w:proofErr w:type="spellStart"/>
      <w:r w:rsidRPr="008E24D2">
        <w:rPr>
          <w:rFonts w:ascii="Tw Cen MT" w:eastAsia="Twentieth Century" w:hAnsi="Tw Cen MT" w:cs="Twentieth Century"/>
          <w:sz w:val="20"/>
          <w:szCs w:val="20"/>
        </w:rPr>
        <w:t>Konsumsi</w:t>
      </w:r>
      <w:proofErr w:type="spellEnd"/>
      <w:r>
        <w:rPr>
          <w:rFonts w:ascii="Tw Cen MT" w:eastAsia="Twentieth Century" w:hAnsi="Tw Cen MT" w:cs="Twentieth Century"/>
          <w:sz w:val="20"/>
          <w:szCs w:val="20"/>
        </w:rPr>
        <w:t>;</w:t>
      </w:r>
      <w:r w:rsidRPr="008E24D2">
        <w:rPr>
          <w:rFonts w:ascii="Tw Cen MT" w:eastAsia="Twentieth Century" w:hAnsi="Tw Cen MT" w:cs="Twentieth Century"/>
          <w:sz w:val="20"/>
          <w:szCs w:val="20"/>
        </w:rPr>
        <w:t xml:space="preserve"> </w:t>
      </w:r>
      <w:proofErr w:type="spellStart"/>
      <w:r w:rsidRPr="008E24D2">
        <w:rPr>
          <w:rFonts w:ascii="Tw Cen MT" w:eastAsia="Twentieth Century" w:hAnsi="Tw Cen MT" w:cs="Twentieth Century"/>
          <w:sz w:val="20"/>
          <w:szCs w:val="20"/>
        </w:rPr>
        <w:t>Aktivitas</w:t>
      </w:r>
      <w:proofErr w:type="spellEnd"/>
      <w:r w:rsidRPr="008E24D2">
        <w:rPr>
          <w:rFonts w:ascii="Tw Cen MT" w:eastAsia="Twentieth Century" w:hAnsi="Tw Cen MT" w:cs="Twentieth Century"/>
          <w:sz w:val="20"/>
          <w:szCs w:val="20"/>
        </w:rPr>
        <w:t xml:space="preserve"> </w:t>
      </w:r>
      <w:proofErr w:type="spellStart"/>
      <w:r w:rsidRPr="008E24D2">
        <w:rPr>
          <w:rFonts w:ascii="Tw Cen MT" w:eastAsia="Twentieth Century" w:hAnsi="Tw Cen MT" w:cs="Twentieth Century"/>
          <w:sz w:val="20"/>
          <w:szCs w:val="20"/>
        </w:rPr>
        <w:t>Fisik</w:t>
      </w:r>
      <w:proofErr w:type="spellEnd"/>
      <w:r>
        <w:rPr>
          <w:rFonts w:ascii="Tw Cen MT" w:eastAsia="Twentieth Century" w:hAnsi="Tw Cen MT" w:cs="Twentieth Century"/>
          <w:sz w:val="20"/>
          <w:szCs w:val="20"/>
        </w:rPr>
        <w:t>;</w:t>
      </w:r>
      <w:r w:rsidRPr="008E24D2">
        <w:rPr>
          <w:rFonts w:ascii="Tw Cen MT" w:eastAsia="Twentieth Century" w:hAnsi="Tw Cen MT" w:cs="Twentieth Century"/>
          <w:sz w:val="20"/>
          <w:szCs w:val="20"/>
        </w:rPr>
        <w:t xml:space="preserve"> </w:t>
      </w:r>
      <w:proofErr w:type="spellStart"/>
      <w:r w:rsidRPr="008E24D2">
        <w:rPr>
          <w:rFonts w:ascii="Tw Cen MT" w:eastAsia="Twentieth Century" w:hAnsi="Tw Cen MT" w:cs="Twentieth Century"/>
          <w:sz w:val="20"/>
          <w:szCs w:val="20"/>
        </w:rPr>
        <w:t>Indeks</w:t>
      </w:r>
      <w:proofErr w:type="spellEnd"/>
      <w:r w:rsidRPr="008E24D2">
        <w:rPr>
          <w:rFonts w:ascii="Tw Cen MT" w:eastAsia="Twentieth Century" w:hAnsi="Tw Cen MT" w:cs="Twentieth Century"/>
          <w:sz w:val="20"/>
          <w:szCs w:val="20"/>
        </w:rPr>
        <w:t xml:space="preserve"> Massa </w:t>
      </w:r>
      <w:proofErr w:type="spellStart"/>
      <w:r w:rsidRPr="008E24D2">
        <w:rPr>
          <w:rFonts w:ascii="Tw Cen MT" w:eastAsia="Twentieth Century" w:hAnsi="Tw Cen MT" w:cs="Twentieth Century"/>
          <w:sz w:val="20"/>
          <w:szCs w:val="20"/>
        </w:rPr>
        <w:t>Tubuh</w:t>
      </w:r>
      <w:proofErr w:type="spellEnd"/>
      <w:r>
        <w:rPr>
          <w:rFonts w:ascii="Tw Cen MT" w:eastAsia="Twentieth Century" w:hAnsi="Tw Cen MT" w:cs="Twentieth Century"/>
          <w:sz w:val="20"/>
          <w:szCs w:val="20"/>
        </w:rPr>
        <w:t xml:space="preserve"> </w:t>
      </w:r>
      <w:r w:rsidRPr="008E24D2">
        <w:rPr>
          <w:rFonts w:ascii="Tw Cen MT" w:eastAsia="Twentieth Century" w:hAnsi="Tw Cen MT" w:cs="Twentieth Century"/>
          <w:sz w:val="20"/>
          <w:szCs w:val="20"/>
        </w:rPr>
        <w:t>(IMT)</w:t>
      </w:r>
    </w:p>
    <w:p w14:paraId="57DA86FD" w14:textId="6723DEE6" w:rsidR="00997349" w:rsidRDefault="00997349" w:rsidP="00997349">
      <w:pPr>
        <w:rPr>
          <w:rFonts w:ascii="Tw Cen MT" w:eastAsia="Twentieth Century" w:hAnsi="Tw Cen MT" w:cs="Twentieth Century"/>
          <w:sz w:val="20"/>
          <w:szCs w:val="20"/>
        </w:rPr>
      </w:pPr>
    </w:p>
    <w:p w14:paraId="448ACAA7" w14:textId="02625AF6" w:rsidR="004B3C37" w:rsidRPr="0096335E" w:rsidRDefault="004B3C37" w:rsidP="00997349">
      <w:pPr>
        <w:rPr>
          <w:rFonts w:ascii="Tw Cen MT" w:eastAsia="Twentieth Century" w:hAnsi="Tw Cen MT" w:cs="Twentieth Century"/>
          <w:sz w:val="20"/>
          <w:szCs w:val="20"/>
        </w:rPr>
        <w:sectPr w:rsidR="004B3C37" w:rsidRPr="0096335E" w:rsidSect="00FB52E4">
          <w:headerReference w:type="default" r:id="rId10"/>
          <w:footerReference w:type="default" r:id="rId11"/>
          <w:pgSz w:w="12240" w:h="15840"/>
          <w:pgMar w:top="1440" w:right="1440" w:bottom="1440" w:left="1440" w:header="720" w:footer="720" w:gutter="0"/>
          <w:pgNumType w:start="141"/>
          <w:cols w:space="720"/>
        </w:sectPr>
      </w:pPr>
    </w:p>
    <w:p w14:paraId="301CF1BA"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73F36AA1"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4F0C3A53"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11E60DF9"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0400AC3B"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1941AA01"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7DE1A478"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57A16EC8"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0B773046" w14:textId="546F9484"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04F3AEDE" w14:textId="00A71583" w:rsidR="00114B77" w:rsidRDefault="00114B77" w:rsidP="00114B77">
      <w:pPr>
        <w:spacing w:after="0" w:line="240" w:lineRule="auto"/>
        <w:jc w:val="both"/>
        <w:rPr>
          <w:rFonts w:ascii="Tw Cen MT" w:eastAsia="Twentieth Century" w:hAnsi="Tw Cen MT" w:cs="Twentieth Century"/>
          <w:sz w:val="24"/>
          <w:szCs w:val="24"/>
        </w:rPr>
      </w:pPr>
      <w:proofErr w:type="spellStart"/>
      <w:r w:rsidRPr="008E24D2">
        <w:rPr>
          <w:rFonts w:ascii="Tw Cen MT" w:eastAsia="Twentieth Century" w:hAnsi="Tw Cen MT" w:cs="Twentieth Century"/>
          <w:sz w:val="24"/>
          <w:szCs w:val="24"/>
        </w:rPr>
        <w:t>Mahasiswa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merupakan</w:t>
      </w:r>
      <w:proofErr w:type="spellEnd"/>
      <w:r w:rsidRPr="008E24D2">
        <w:rPr>
          <w:rFonts w:ascii="Tw Cen MT" w:eastAsia="Twentieth Century" w:hAnsi="Tw Cen MT" w:cs="Twentieth Century"/>
          <w:sz w:val="24"/>
          <w:szCs w:val="24"/>
        </w:rPr>
        <w:t xml:space="preserve"> masa </w:t>
      </w:r>
      <w:proofErr w:type="spellStart"/>
      <w:r w:rsidRPr="008E24D2">
        <w:rPr>
          <w:rFonts w:ascii="Tw Cen MT" w:eastAsia="Twentieth Century" w:hAnsi="Tw Cen MT" w:cs="Twentieth Century"/>
          <w:sz w:val="24"/>
          <w:szCs w:val="24"/>
        </w:rPr>
        <w:t>awal</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terbentuknya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kemandirian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seseorang</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biasanya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sudah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mulai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menentukan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pilihannya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sendiri</w:t>
      </w:r>
      <w:proofErr w:type="spellEnd"/>
      <w:r w:rsidRPr="008E24D2">
        <w:rPr>
          <w:rFonts w:ascii="Tw Cen MT" w:eastAsia="Twentieth Century" w:hAnsi="Tw Cen MT" w:cs="Twentieth Century"/>
          <w:sz w:val="24"/>
          <w:szCs w:val="24"/>
        </w:rPr>
        <w:t xml:space="preserve">, yang mana </w:t>
      </w:r>
      <w:proofErr w:type="spellStart"/>
      <w:r w:rsidRPr="008E24D2">
        <w:rPr>
          <w:rFonts w:ascii="Tw Cen MT" w:eastAsia="Twentieth Century" w:hAnsi="Tw Cen MT" w:cs="Twentieth Century"/>
          <w:sz w:val="24"/>
          <w:szCs w:val="24"/>
        </w:rPr>
        <w:t>rentang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mahasiswa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dari</w:t>
      </w:r>
      <w:proofErr w:type="spellEnd"/>
      <w:r w:rsidRPr="008E24D2">
        <w:rPr>
          <w:rFonts w:ascii="Tw Cen MT" w:eastAsia="Twentieth Century" w:hAnsi="Tw Cen MT" w:cs="Twentieth Century"/>
          <w:sz w:val="24"/>
          <w:szCs w:val="24"/>
        </w:rPr>
        <w:t xml:space="preserve"> 18-25 </w:t>
      </w:r>
      <w:proofErr w:type="spellStart"/>
      <w:r w:rsidRPr="008E24D2">
        <w:rPr>
          <w:rFonts w:ascii="Tw Cen MT" w:eastAsia="Twentieth Century" w:hAnsi="Tw Cen MT" w:cs="Twentieth Century"/>
          <w:sz w:val="24"/>
          <w:szCs w:val="24"/>
        </w:rPr>
        <w:t>tahun</w:t>
      </w:r>
      <w:proofErr w:type="spellEnd"/>
      <w:r w:rsidRPr="008E24D2">
        <w:rPr>
          <w:rFonts w:ascii="Tw Cen MT" w:eastAsia="Twentieth Century" w:hAnsi="Tw Cen MT" w:cs="Twentieth Century"/>
          <w:sz w:val="24"/>
          <w:szCs w:val="24"/>
        </w:rPr>
        <w:t xml:space="preserve">, pada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beranjak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dewasa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menyebabkan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perubahan</w:t>
      </w:r>
      <w:proofErr w:type="spellEnd"/>
      <w:r w:rsidRPr="008E24D2">
        <w:rPr>
          <w:rFonts w:ascii="Tw Cen MT" w:eastAsia="Twentieth Century" w:hAnsi="Tw Cen MT" w:cs="Twentieth Century"/>
          <w:sz w:val="24"/>
          <w:szCs w:val="24"/>
        </w:rPr>
        <w:t xml:space="preserve"> </w:t>
      </w:r>
      <w:proofErr w:type="spellStart"/>
      <w:r w:rsidR="00931415">
        <w:rPr>
          <w:rFonts w:ascii="Tw Cen MT" w:eastAsia="Twentieth Century" w:hAnsi="Tw Cen MT" w:cs="Twentieth Century"/>
          <w:sz w:val="24"/>
          <w:szCs w:val="24"/>
        </w:rPr>
        <w:t>fo</w:t>
      </w:r>
      <w:r w:rsidR="001C7E0C">
        <w:rPr>
          <w:rFonts w:ascii="Tw Cen MT" w:eastAsia="Twentieth Century" w:hAnsi="Tw Cen MT" w:cs="Twentieth Century"/>
          <w:sz w:val="24"/>
          <w:szCs w:val="24"/>
        </w:rPr>
        <w:t>k</w:t>
      </w:r>
      <w:r w:rsidR="00931415">
        <w:rPr>
          <w:rFonts w:ascii="Tw Cen MT" w:eastAsia="Twentieth Century" w:hAnsi="Tw Cen MT" w:cs="Twentieth Century"/>
          <w:sz w:val="24"/>
          <w:szCs w:val="24"/>
        </w:rPr>
        <w:t>us</w:t>
      </w:r>
      <w:proofErr w:type="spellEnd"/>
      <w:r w:rsidR="00931415">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dalam</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mempertahankan</w:t>
      </w:r>
      <w:proofErr w:type="spellEnd"/>
      <w:r w:rsidRPr="008E24D2">
        <w:rPr>
          <w:rFonts w:ascii="Tw Cen MT" w:eastAsia="Twentieth Century" w:hAnsi="Tw Cen MT" w:cs="Twentieth Century"/>
          <w:sz w:val="24"/>
          <w:szCs w:val="24"/>
        </w:rPr>
        <w:t xml:space="preserve"> </w:t>
      </w:r>
      <w:proofErr w:type="spellStart"/>
      <w:r w:rsidR="00931415">
        <w:rPr>
          <w:rFonts w:ascii="Tw Cen MT" w:eastAsia="Twentieth Century" w:hAnsi="Tw Cen MT" w:cs="Twentieth Century"/>
          <w:sz w:val="24"/>
          <w:szCs w:val="24"/>
        </w:rPr>
        <w:t>k</w:t>
      </w:r>
      <w:r w:rsidRPr="008E24D2">
        <w:rPr>
          <w:rFonts w:ascii="Tw Cen MT" w:eastAsia="Twentieth Century" w:hAnsi="Tw Cen MT" w:cs="Twentieth Century"/>
          <w:sz w:val="24"/>
          <w:szCs w:val="24"/>
        </w:rPr>
        <w:t>esehatan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kebugaran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[1]. </w:t>
      </w:r>
    </w:p>
    <w:p w14:paraId="13881ED8" w14:textId="77777777" w:rsidR="00114B77" w:rsidRDefault="00114B77" w:rsidP="00114B77">
      <w:pPr>
        <w:spacing w:after="0" w:line="240" w:lineRule="auto"/>
        <w:jc w:val="both"/>
        <w:rPr>
          <w:rFonts w:ascii="Tw Cen MT" w:eastAsia="Twentieth Century" w:hAnsi="Tw Cen MT" w:cs="Twentieth Century"/>
          <w:sz w:val="24"/>
          <w:szCs w:val="24"/>
        </w:rPr>
      </w:pPr>
      <w:proofErr w:type="spellStart"/>
      <w:r w:rsidRPr="008E24D2">
        <w:rPr>
          <w:rFonts w:ascii="Tw Cen MT" w:eastAsia="Twentieth Century" w:hAnsi="Tw Cen MT" w:cs="Twentieth Century"/>
          <w:sz w:val="24"/>
          <w:szCs w:val="24"/>
        </w:rPr>
        <w:t>Kegiatan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perkuliahan</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padat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mengejar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waktu</w:t>
      </w:r>
      <w:proofErr w:type="spellEnd"/>
      <w:r w:rsidRPr="008E24D2">
        <w:rPr>
          <w:rFonts w:ascii="Tw Cen MT" w:eastAsia="Twentieth Century" w:hAnsi="Tw Cen MT" w:cs="Twentieth Century"/>
          <w:sz w:val="24"/>
          <w:szCs w:val="24"/>
        </w:rPr>
        <w:t xml:space="preserve"> </w:t>
      </w:r>
      <w:r w:rsidRPr="00931415">
        <w:rPr>
          <w:rFonts w:ascii="Tw Cen MT" w:eastAsia="Twentieth Century" w:hAnsi="Tw Cen MT" w:cs="Twentieth Century"/>
          <w:i/>
          <w:iCs/>
          <w:sz w:val="24"/>
          <w:szCs w:val="24"/>
        </w:rPr>
        <w:t>deadline</w:t>
      </w:r>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tugas</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sering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menyebabkan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mahasiswa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tidur</w:t>
      </w:r>
      <w:proofErr w:type="spellEnd"/>
      <w:r w:rsidRPr="008E24D2">
        <w:rPr>
          <w:rFonts w:ascii="Tw Cen MT" w:eastAsia="Twentieth Century" w:hAnsi="Tw Cen MT" w:cs="Twentieth Century"/>
          <w:sz w:val="24"/>
          <w:szCs w:val="24"/>
        </w:rPr>
        <w:t xml:space="preserve"> di atas jam </w:t>
      </w:r>
      <w:proofErr w:type="spellStart"/>
      <w:r w:rsidRPr="008E24D2">
        <w:rPr>
          <w:rFonts w:ascii="Tw Cen MT" w:eastAsia="Twentieth Century" w:hAnsi="Tw Cen MT" w:cs="Twentieth Century"/>
          <w:sz w:val="24"/>
          <w:szCs w:val="24"/>
        </w:rPr>
        <w:t>tidur</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sewajarnya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hal</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mempengaruhi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mahasiswa</w:t>
      </w:r>
      <w:proofErr w:type="spellEnd"/>
      <w:r w:rsidRPr="008E24D2">
        <w:rPr>
          <w:rFonts w:ascii="Tw Cen MT" w:eastAsia="Twentieth Century" w:hAnsi="Tw Cen MT" w:cs="Twentieth Century"/>
          <w:sz w:val="24"/>
          <w:szCs w:val="24"/>
        </w:rPr>
        <w:t xml:space="preserve">, yang mana </w:t>
      </w:r>
      <w:proofErr w:type="spellStart"/>
      <w:r w:rsidRPr="008E24D2">
        <w:rPr>
          <w:rFonts w:ascii="Tw Cen MT" w:eastAsia="Twentieth Century" w:hAnsi="Tw Cen MT" w:cs="Twentieth Century"/>
          <w:sz w:val="24"/>
          <w:szCs w:val="24"/>
        </w:rPr>
        <w:t>seharusnya</w:t>
      </w:r>
      <w:proofErr w:type="spellEnd"/>
      <w:r w:rsidRPr="008E24D2">
        <w:rPr>
          <w:rFonts w:ascii="Tw Cen MT" w:eastAsia="Twentieth Century" w:hAnsi="Tw Cen MT" w:cs="Twentieth Century"/>
          <w:sz w:val="24"/>
          <w:szCs w:val="24"/>
        </w:rPr>
        <w:t xml:space="preserve">, pada masa </w:t>
      </w:r>
      <w:proofErr w:type="spellStart"/>
      <w:r w:rsidRPr="008E24D2">
        <w:rPr>
          <w:rFonts w:ascii="Tw Cen MT" w:eastAsia="Twentieth Century" w:hAnsi="Tw Cen MT" w:cs="Twentieth Century"/>
          <w:sz w:val="24"/>
          <w:szCs w:val="24"/>
        </w:rPr>
        <w:t>ini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membutuhkan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asupan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zat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tidur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cukup</w:t>
      </w:r>
      <w:proofErr w:type="spellEnd"/>
      <w:r w:rsidRPr="008E24D2">
        <w:rPr>
          <w:rFonts w:ascii="Tw Cen MT" w:eastAsia="Twentieth Century" w:hAnsi="Tw Cen MT" w:cs="Twentieth Century"/>
          <w:sz w:val="24"/>
          <w:szCs w:val="24"/>
        </w:rPr>
        <w:t xml:space="preserve"> [2]. </w:t>
      </w:r>
    </w:p>
    <w:p w14:paraId="6813EDAD" w14:textId="03161D42" w:rsidR="00114B77" w:rsidRDefault="00114B77" w:rsidP="00114B77">
      <w:pPr>
        <w:spacing w:after="0" w:line="240" w:lineRule="auto"/>
        <w:jc w:val="both"/>
        <w:rPr>
          <w:rFonts w:ascii="Tw Cen MT" w:eastAsia="Twentieth Century" w:hAnsi="Tw Cen MT" w:cs="Twentieth Century"/>
          <w:sz w:val="24"/>
          <w:szCs w:val="24"/>
        </w:rPr>
      </w:pPr>
      <w:proofErr w:type="spellStart"/>
      <w:r w:rsidRPr="008E24D2">
        <w:rPr>
          <w:rFonts w:ascii="Tw Cen MT" w:eastAsia="Twentieth Century" w:hAnsi="Tw Cen MT" w:cs="Twentieth Century"/>
          <w:sz w:val="24"/>
          <w:szCs w:val="24"/>
        </w:rPr>
        <w:t>Indikator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kesehatan</w:t>
      </w:r>
      <w:proofErr w:type="spellEnd"/>
      <w:r w:rsidRPr="008E24D2">
        <w:rPr>
          <w:rFonts w:ascii="Tw Cen MT" w:eastAsia="Twentieth Century" w:hAnsi="Tw Cen MT" w:cs="Twentieth Century"/>
          <w:sz w:val="24"/>
          <w:szCs w:val="24"/>
        </w:rPr>
        <w:t xml:space="preserve"> paling </w:t>
      </w:r>
      <w:proofErr w:type="spellStart"/>
      <w:r w:rsidRPr="008E24D2">
        <w:rPr>
          <w:rFonts w:ascii="Tw Cen MT" w:eastAsia="Twentieth Century" w:hAnsi="Tw Cen MT" w:cs="Twentieth Century"/>
          <w:sz w:val="24"/>
          <w:szCs w:val="24"/>
        </w:rPr>
        <w:t>utama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seseorang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adalah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bagimana</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gizinya</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sendiri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merupakan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kondisi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bentuk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akibat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mengkosumsi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makanan</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zat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sebagai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sumber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energi</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sendiri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dapat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dipengaruhi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berbagai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fa</w:t>
      </w:r>
      <w:r w:rsidR="00414DF2">
        <w:rPr>
          <w:rFonts w:ascii="Tw Cen MT" w:eastAsia="Twentieth Century" w:hAnsi="Tw Cen MT" w:cs="Twentieth Century"/>
          <w:sz w:val="24"/>
          <w:szCs w:val="24"/>
        </w:rPr>
        <w:t>k</w:t>
      </w:r>
      <w:r w:rsidRPr="008E24D2">
        <w:rPr>
          <w:rFonts w:ascii="Tw Cen MT" w:eastAsia="Twentieth Century" w:hAnsi="Tw Cen MT" w:cs="Twentieth Century"/>
          <w:sz w:val="24"/>
          <w:szCs w:val="24"/>
        </w:rPr>
        <w:t>tor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seperti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pola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sehari-hari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minuman</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diminum</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aktifitas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[3]. </w:t>
      </w:r>
    </w:p>
    <w:p w14:paraId="5F92024D" w14:textId="725197EC" w:rsidR="00114B77" w:rsidRDefault="00114B77" w:rsidP="00114B77">
      <w:pPr>
        <w:spacing w:after="0" w:line="240" w:lineRule="auto"/>
        <w:jc w:val="both"/>
        <w:rPr>
          <w:rFonts w:ascii="Tw Cen MT" w:eastAsia="Twentieth Century" w:hAnsi="Tw Cen MT" w:cs="Twentieth Century"/>
          <w:sz w:val="24"/>
          <w:szCs w:val="24"/>
        </w:rPr>
      </w:pPr>
      <w:proofErr w:type="spellStart"/>
      <w:r w:rsidRPr="008E24D2">
        <w:rPr>
          <w:rFonts w:ascii="Tw Cen MT" w:eastAsia="Twentieth Century" w:hAnsi="Tw Cen MT" w:cs="Twentieth Century"/>
          <w:sz w:val="24"/>
          <w:szCs w:val="24"/>
        </w:rPr>
        <w:t>Kebiasaan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berdampak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negatif</w:t>
      </w:r>
      <w:proofErr w:type="spellEnd"/>
      <w:r w:rsidRPr="008E24D2">
        <w:rPr>
          <w:rFonts w:ascii="Tw Cen MT" w:eastAsia="Twentieth Century" w:hAnsi="Tw Cen MT" w:cs="Twentieth Century"/>
          <w:sz w:val="24"/>
          <w:szCs w:val="24"/>
        </w:rPr>
        <w:t xml:space="preserve"> pada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menjadi</w:t>
      </w:r>
      <w:proofErr w:type="spellEnd"/>
      <w:r w:rsidRPr="008E24D2">
        <w:rPr>
          <w:rFonts w:ascii="Tw Cen MT" w:eastAsia="Twentieth Century" w:hAnsi="Tw Cen MT" w:cs="Twentieth Century"/>
          <w:sz w:val="24"/>
          <w:szCs w:val="24"/>
        </w:rPr>
        <w:t xml:space="preserve"> salah </w:t>
      </w:r>
      <w:proofErr w:type="spellStart"/>
      <w:r w:rsidRPr="008E24D2">
        <w:rPr>
          <w:rFonts w:ascii="Tw Cen MT" w:eastAsia="Twentieth Century" w:hAnsi="Tw Cen MT" w:cs="Twentieth Century"/>
          <w:sz w:val="24"/>
          <w:szCs w:val="24"/>
        </w:rPr>
        <w:t>satu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penyebab</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kurang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obesitas</w:t>
      </w:r>
      <w:proofErr w:type="spellEnd"/>
      <w:r w:rsidRPr="008E24D2">
        <w:rPr>
          <w:rFonts w:ascii="Tw Cen MT" w:eastAsia="Twentieth Century" w:hAnsi="Tw Cen MT" w:cs="Twentieth Century"/>
          <w:sz w:val="24"/>
          <w:szCs w:val="24"/>
        </w:rPr>
        <w:t xml:space="preserve">. Pada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muda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mereka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mendominasi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tinggi</w:t>
      </w:r>
      <w:proofErr w:type="spellEnd"/>
      <w:r w:rsidRPr="008E24D2">
        <w:rPr>
          <w:rFonts w:ascii="Tw Cen MT" w:eastAsia="Twentieth Century" w:hAnsi="Tw Cen MT" w:cs="Twentieth Century"/>
          <w:sz w:val="24"/>
          <w:szCs w:val="24"/>
        </w:rPr>
        <w:t xml:space="preserve"> lemak, gula, dan garam, </w:t>
      </w:r>
      <w:proofErr w:type="spellStart"/>
      <w:r w:rsidRPr="008E24D2">
        <w:rPr>
          <w:rFonts w:ascii="Tw Cen MT" w:eastAsia="Twentieth Century" w:hAnsi="Tw Cen MT" w:cs="Twentieth Century"/>
          <w:sz w:val="24"/>
          <w:szCs w:val="24"/>
        </w:rPr>
        <w:t>namun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kurang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mengonsumsi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serat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terutama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buah</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sayur</w:t>
      </w:r>
      <w:proofErr w:type="spellEnd"/>
      <w:r w:rsidRPr="008E24D2">
        <w:rPr>
          <w:rFonts w:ascii="Tw Cen MT" w:eastAsia="Twentieth Century" w:hAnsi="Tw Cen MT" w:cs="Twentieth Century"/>
          <w:sz w:val="24"/>
          <w:szCs w:val="24"/>
        </w:rPr>
        <w:t xml:space="preserve"> [4]. Pola </w:t>
      </w:r>
      <w:proofErr w:type="spellStart"/>
      <w:r w:rsidRPr="008E24D2">
        <w:rPr>
          <w:rFonts w:ascii="Tw Cen MT" w:eastAsia="Twentieth Century" w:hAnsi="Tw Cen MT" w:cs="Twentieth Century"/>
          <w:sz w:val="24"/>
          <w:szCs w:val="24"/>
        </w:rPr>
        <w:t>makan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merupakan</w:t>
      </w:r>
      <w:proofErr w:type="spellEnd"/>
      <w:r w:rsidRPr="008E24D2">
        <w:rPr>
          <w:rFonts w:ascii="Tw Cen MT" w:eastAsia="Twentieth Century" w:hAnsi="Tw Cen MT" w:cs="Twentieth Century"/>
          <w:sz w:val="24"/>
          <w:szCs w:val="24"/>
        </w:rPr>
        <w:t xml:space="preserve"> salah </w:t>
      </w:r>
      <w:proofErr w:type="spellStart"/>
      <w:r w:rsidRPr="008E24D2">
        <w:rPr>
          <w:rFonts w:ascii="Tw Cen MT" w:eastAsia="Twentieth Century" w:hAnsi="Tw Cen MT" w:cs="Twentieth Century"/>
          <w:sz w:val="24"/>
          <w:szCs w:val="24"/>
        </w:rPr>
        <w:t>satu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penanda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gaya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hidup</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mempengaruhi</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Jika </w:t>
      </w:r>
      <w:proofErr w:type="spellStart"/>
      <w:r w:rsidRPr="008E24D2">
        <w:rPr>
          <w:rFonts w:ascii="Tw Cen MT" w:eastAsia="Twentieth Century" w:hAnsi="Tw Cen MT" w:cs="Twentieth Century"/>
          <w:sz w:val="24"/>
          <w:szCs w:val="24"/>
        </w:rPr>
        <w:t>tidak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mengikuti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pola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baik</w:t>
      </w:r>
      <w:proofErr w:type="spellEnd"/>
      <w:r w:rsidRPr="008E24D2">
        <w:rPr>
          <w:rFonts w:ascii="Tw Cen MT" w:eastAsia="Twentieth Century" w:hAnsi="Tw Cen MT" w:cs="Twentieth Century"/>
          <w:sz w:val="24"/>
          <w:szCs w:val="24"/>
        </w:rPr>
        <w:t xml:space="preserve">, </w:t>
      </w:r>
      <w:proofErr w:type="spellStart"/>
      <w:r w:rsidR="00414DF2">
        <w:rPr>
          <w:rFonts w:ascii="Tw Cen MT" w:eastAsia="Twentieth Century" w:hAnsi="Tw Cen MT" w:cs="Twentieth Century"/>
          <w:sz w:val="24"/>
          <w:szCs w:val="24"/>
        </w:rPr>
        <w:t>maka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berisiko</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mengalami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masalah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kurang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atau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kelebihan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badan [5].</w:t>
      </w:r>
      <w:r>
        <w:rPr>
          <w:rFonts w:ascii="Tw Cen MT" w:eastAsia="Twentieth Century" w:hAnsi="Tw Cen MT" w:cs="Twentieth Century"/>
          <w:sz w:val="24"/>
          <w:szCs w:val="24"/>
        </w:rPr>
        <w:t xml:space="preserve"> </w:t>
      </w:r>
    </w:p>
    <w:p w14:paraId="7F6F38DB" w14:textId="4A276B83" w:rsidR="00114B77" w:rsidRDefault="00114B77" w:rsidP="00114B77">
      <w:pPr>
        <w:spacing w:after="0" w:line="240" w:lineRule="auto"/>
        <w:jc w:val="both"/>
        <w:rPr>
          <w:rFonts w:ascii="Tw Cen MT" w:eastAsia="Twentieth Century" w:hAnsi="Tw Cen MT" w:cs="Twentieth Century"/>
          <w:sz w:val="24"/>
          <w:szCs w:val="24"/>
        </w:rPr>
      </w:pPr>
      <w:r w:rsidRPr="008E24D2">
        <w:rPr>
          <w:rFonts w:ascii="Tw Cen MT" w:eastAsia="Twentieth Century" w:hAnsi="Tw Cen MT" w:cs="Twentieth Century"/>
          <w:sz w:val="24"/>
          <w:szCs w:val="24"/>
        </w:rPr>
        <w:t xml:space="preserve">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ada</w:t>
      </w:r>
      <w:proofErr w:type="spellEnd"/>
      <w:r w:rsidRPr="008E24D2">
        <w:rPr>
          <w:rFonts w:ascii="Tw Cen MT" w:eastAsia="Twentieth Century" w:hAnsi="Tw Cen MT" w:cs="Twentieth Century"/>
          <w:sz w:val="24"/>
          <w:szCs w:val="24"/>
        </w:rPr>
        <w:t xml:space="preserve"> 4 </w:t>
      </w:r>
      <w:proofErr w:type="spellStart"/>
      <w:r w:rsidRPr="008E24D2">
        <w:rPr>
          <w:rFonts w:ascii="Tw Cen MT" w:eastAsia="Twentieth Century" w:hAnsi="Tw Cen MT" w:cs="Twentieth Century"/>
          <w:sz w:val="24"/>
          <w:szCs w:val="24"/>
        </w:rPr>
        <w:t>yaitu</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kurang</w:t>
      </w:r>
      <w:proofErr w:type="spellEnd"/>
      <w:r w:rsidRPr="008E24D2">
        <w:rPr>
          <w:rFonts w:ascii="Tw Cen MT" w:eastAsia="Twentieth Century" w:hAnsi="Tw Cen MT" w:cs="Twentieth Century"/>
          <w:sz w:val="24"/>
          <w:szCs w:val="24"/>
        </w:rPr>
        <w:t xml:space="preserve">, normal,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buruk</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normal </w:t>
      </w:r>
      <w:proofErr w:type="spellStart"/>
      <w:r w:rsidRPr="008E24D2">
        <w:rPr>
          <w:rFonts w:ascii="Tw Cen MT" w:eastAsia="Twentieth Century" w:hAnsi="Tw Cen MT" w:cs="Twentieth Century"/>
          <w:sz w:val="24"/>
          <w:szCs w:val="24"/>
        </w:rPr>
        <w:t>baik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untuk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kesehatan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buruk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menyebabkan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hipertensi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penyakit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jantung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koroner</w:t>
      </w:r>
      <w:proofErr w:type="spellEnd"/>
      <w:r w:rsidRPr="008E24D2">
        <w:rPr>
          <w:rFonts w:ascii="Tw Cen MT" w:eastAsia="Twentieth Century" w:hAnsi="Tw Cen MT" w:cs="Twentieth Century"/>
          <w:sz w:val="24"/>
          <w:szCs w:val="24"/>
        </w:rPr>
        <w:t xml:space="preserve">, stroke, dan </w:t>
      </w:r>
      <w:proofErr w:type="spellStart"/>
      <w:r w:rsidRPr="008E24D2">
        <w:rPr>
          <w:rFonts w:ascii="Tw Cen MT" w:eastAsia="Twentieth Century" w:hAnsi="Tw Cen MT" w:cs="Twentieth Century"/>
          <w:sz w:val="24"/>
          <w:szCs w:val="24"/>
        </w:rPr>
        <w:t>berisiko</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penyakit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infeksi</w:t>
      </w:r>
      <w:proofErr w:type="spellEnd"/>
      <w:r w:rsidR="00414DF2">
        <w:rPr>
          <w:rFonts w:ascii="Tw Cen MT" w:eastAsia="Twentieth Century" w:hAnsi="Tw Cen MT" w:cs="Twentieth Century"/>
          <w:sz w:val="24"/>
          <w:szCs w:val="24"/>
        </w:rPr>
        <w:t xml:space="preserve"> </w:t>
      </w:r>
      <w:r w:rsidRPr="008E24D2">
        <w:rPr>
          <w:rFonts w:ascii="Tw Cen MT" w:eastAsia="Twentieth Century" w:hAnsi="Tw Cen MT" w:cs="Twentieth Century"/>
          <w:sz w:val="24"/>
          <w:szCs w:val="24"/>
        </w:rPr>
        <w:t xml:space="preserve">[6]. </w:t>
      </w:r>
    </w:p>
    <w:p w14:paraId="68E5378C" w14:textId="4B6D383A" w:rsidR="00114B77" w:rsidRDefault="00114B77" w:rsidP="00114B77">
      <w:pPr>
        <w:spacing w:after="0" w:line="240" w:lineRule="auto"/>
        <w:jc w:val="both"/>
        <w:rPr>
          <w:rFonts w:ascii="Tw Cen MT" w:eastAsia="Twentieth Century" w:hAnsi="Tw Cen MT" w:cs="Twentieth Century"/>
          <w:sz w:val="24"/>
          <w:szCs w:val="24"/>
        </w:rPr>
      </w:pPr>
      <w:proofErr w:type="spellStart"/>
      <w:r w:rsidRPr="008E24D2">
        <w:rPr>
          <w:rFonts w:ascii="Tw Cen MT" w:eastAsia="Twentieth Century" w:hAnsi="Tw Cen MT" w:cs="Twentieth Century"/>
          <w:sz w:val="24"/>
          <w:szCs w:val="24"/>
        </w:rPr>
        <w:t>Laporan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Riskesdas</w:t>
      </w:r>
      <w:proofErr w:type="spellEnd"/>
      <w:r w:rsidRPr="008E24D2">
        <w:rPr>
          <w:rFonts w:ascii="Tw Cen MT" w:eastAsia="Twentieth Century" w:hAnsi="Tw Cen MT" w:cs="Twentieth Century"/>
          <w:sz w:val="24"/>
          <w:szCs w:val="24"/>
        </w:rPr>
        <w:t xml:space="preserve"> Nasional 2018 </w:t>
      </w:r>
      <w:proofErr w:type="spellStart"/>
      <w:r w:rsidRPr="008E24D2">
        <w:rPr>
          <w:rFonts w:ascii="Tw Cen MT" w:eastAsia="Twentieth Century" w:hAnsi="Tw Cen MT" w:cs="Twentieth Century"/>
          <w:sz w:val="24"/>
          <w:szCs w:val="24"/>
        </w:rPr>
        <w:t>menunjukkan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prevalensi</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19 </w:t>
      </w:r>
      <w:proofErr w:type="spellStart"/>
      <w:r w:rsidRPr="008E24D2">
        <w:rPr>
          <w:rFonts w:ascii="Tw Cen MT" w:eastAsia="Twentieth Century" w:hAnsi="Tw Cen MT" w:cs="Twentieth Century"/>
          <w:sz w:val="24"/>
          <w:szCs w:val="24"/>
        </w:rPr>
        <w:t>tahun</w:t>
      </w:r>
      <w:proofErr w:type="spellEnd"/>
      <w:r w:rsidRPr="008E24D2">
        <w:rPr>
          <w:rFonts w:ascii="Tw Cen MT" w:eastAsia="Twentieth Century" w:hAnsi="Tw Cen MT" w:cs="Twentieth Century"/>
          <w:sz w:val="24"/>
          <w:szCs w:val="24"/>
        </w:rPr>
        <w:t xml:space="preserve"> 20,7%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kurang</w:t>
      </w:r>
      <w:proofErr w:type="spellEnd"/>
      <w:r w:rsidRPr="008E24D2">
        <w:rPr>
          <w:rFonts w:ascii="Tw Cen MT" w:eastAsia="Twentieth Century" w:hAnsi="Tw Cen MT" w:cs="Twentieth Century"/>
          <w:sz w:val="24"/>
          <w:szCs w:val="24"/>
        </w:rPr>
        <w:t xml:space="preserve"> dan 15,5%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Antara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20</w:t>
      </w:r>
      <w:r w:rsidR="001C7E0C">
        <w:rPr>
          <w:rFonts w:ascii="Tw Cen MT" w:eastAsia="Twentieth Century" w:hAnsi="Tw Cen MT" w:cs="Twentieth Century"/>
          <w:sz w:val="24"/>
          <w:szCs w:val="24"/>
        </w:rPr>
        <w:t xml:space="preserve"> </w:t>
      </w:r>
      <w:r w:rsidRPr="008E24D2">
        <w:rPr>
          <w:rFonts w:ascii="Tw Cen MT" w:eastAsia="Twentieth Century" w:hAnsi="Tw Cen MT" w:cs="Twentieth Century"/>
          <w:sz w:val="24"/>
          <w:szCs w:val="24"/>
        </w:rPr>
        <w:t xml:space="preserve">dan 24 </w:t>
      </w:r>
      <w:proofErr w:type="spellStart"/>
      <w:r w:rsidRPr="008E24D2">
        <w:rPr>
          <w:rFonts w:ascii="Tw Cen MT" w:eastAsia="Twentieth Century" w:hAnsi="Tw Cen MT" w:cs="Twentieth Century"/>
          <w:sz w:val="24"/>
          <w:szCs w:val="24"/>
        </w:rPr>
        <w:t>tahun</w:t>
      </w:r>
      <w:proofErr w:type="spellEnd"/>
      <w:r w:rsidRPr="008E24D2">
        <w:rPr>
          <w:rFonts w:ascii="Tw Cen MT" w:eastAsia="Twentieth Century" w:hAnsi="Tw Cen MT" w:cs="Twentieth Century"/>
          <w:sz w:val="24"/>
          <w:szCs w:val="24"/>
        </w:rPr>
        <w:t xml:space="preserve"> masing-masing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rendah</w:t>
      </w:r>
      <w:proofErr w:type="spellEnd"/>
      <w:r w:rsidRPr="008E24D2">
        <w:rPr>
          <w:rFonts w:ascii="Tw Cen MT" w:eastAsia="Twentieth Century" w:hAnsi="Tw Cen MT" w:cs="Twentieth Century"/>
          <w:sz w:val="24"/>
          <w:szCs w:val="24"/>
        </w:rPr>
        <w:t xml:space="preserve"> </w:t>
      </w:r>
      <w:r w:rsidRPr="008E24D2">
        <w:rPr>
          <w:rFonts w:ascii="Tw Cen MT" w:eastAsia="Twentieth Century" w:hAnsi="Tw Cen MT" w:cs="Twentieth Century"/>
          <w:sz w:val="24"/>
          <w:szCs w:val="24"/>
        </w:rPr>
        <w:t xml:space="preserve">15,8% dan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tinggi</w:t>
      </w:r>
      <w:proofErr w:type="spellEnd"/>
      <w:r w:rsidRPr="008E24D2">
        <w:rPr>
          <w:rFonts w:ascii="Tw Cen MT" w:eastAsia="Twentieth Century" w:hAnsi="Tw Cen MT" w:cs="Twentieth Century"/>
          <w:sz w:val="24"/>
          <w:szCs w:val="24"/>
        </w:rPr>
        <w:t xml:space="preserve"> 20,5% [7]. </w:t>
      </w:r>
      <w:proofErr w:type="spellStart"/>
      <w:r w:rsidRPr="008E24D2">
        <w:rPr>
          <w:rFonts w:ascii="Tw Cen MT" w:eastAsia="Twentieth Century" w:hAnsi="Tw Cen MT" w:cs="Twentieth Century"/>
          <w:sz w:val="24"/>
          <w:szCs w:val="24"/>
        </w:rPr>
        <w:t>Individu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dapat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mempertahankan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indeks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massa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normal </w:t>
      </w:r>
      <w:proofErr w:type="spellStart"/>
      <w:r w:rsidRPr="008E24D2">
        <w:rPr>
          <w:rFonts w:ascii="Tw Cen MT" w:eastAsia="Twentieth Century" w:hAnsi="Tw Cen MT" w:cs="Twentieth Century"/>
          <w:sz w:val="24"/>
          <w:szCs w:val="24"/>
        </w:rPr>
        <w:t>dengan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melakukan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secara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teratur</w:t>
      </w:r>
      <w:proofErr w:type="spellEnd"/>
      <w:r w:rsidRPr="008E24D2">
        <w:rPr>
          <w:rFonts w:ascii="Tw Cen MT" w:eastAsia="Twentieth Century" w:hAnsi="Tw Cen MT" w:cs="Twentieth Century"/>
          <w:sz w:val="24"/>
          <w:szCs w:val="24"/>
        </w:rPr>
        <w:t xml:space="preserve"> [8]. </w:t>
      </w:r>
    </w:p>
    <w:p w14:paraId="3C90D7CB" w14:textId="77777777" w:rsidR="00114B77" w:rsidRDefault="00114B77" w:rsidP="00114B77">
      <w:pPr>
        <w:spacing w:after="0" w:line="240" w:lineRule="auto"/>
        <w:jc w:val="both"/>
        <w:rPr>
          <w:rFonts w:ascii="Tw Cen MT" w:eastAsia="Twentieth Century" w:hAnsi="Tw Cen MT" w:cs="Twentieth Century"/>
          <w:sz w:val="24"/>
          <w:szCs w:val="24"/>
        </w:rPr>
      </w:pPr>
      <w:r w:rsidRPr="008E24D2">
        <w:rPr>
          <w:rFonts w:ascii="Tw Cen MT" w:eastAsia="Twentieth Century" w:hAnsi="Tw Cen MT" w:cs="Twentieth Century"/>
          <w:sz w:val="24"/>
          <w:szCs w:val="24"/>
        </w:rPr>
        <w:t xml:space="preserve">Hasil </w:t>
      </w:r>
      <w:proofErr w:type="spellStart"/>
      <w:r w:rsidRPr="008E24D2">
        <w:rPr>
          <w:rFonts w:ascii="Tw Cen MT" w:eastAsia="Twentieth Century" w:hAnsi="Tw Cen MT" w:cs="Twentieth Century"/>
          <w:sz w:val="24"/>
          <w:szCs w:val="24"/>
        </w:rPr>
        <w:t>penelitian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menunjukkan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responden</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kurus </w:t>
      </w:r>
      <w:proofErr w:type="spellStart"/>
      <w:r w:rsidRPr="008E24D2">
        <w:rPr>
          <w:rFonts w:ascii="Tw Cen MT" w:eastAsia="Twentieth Century" w:hAnsi="Tw Cen MT" w:cs="Twentieth Century"/>
          <w:sz w:val="24"/>
          <w:szCs w:val="24"/>
        </w:rPr>
        <w:t>melakukan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(8,1%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10,5% </w:t>
      </w:r>
      <w:proofErr w:type="spellStart"/>
      <w:r w:rsidRPr="008E24D2">
        <w:rPr>
          <w:rFonts w:ascii="Tw Cen MT" w:eastAsia="Twentieth Century" w:hAnsi="Tw Cen MT" w:cs="Twentieth Century"/>
          <w:sz w:val="24"/>
          <w:szCs w:val="24"/>
        </w:rPr>
        <w:t>sedang</w:t>
      </w:r>
      <w:proofErr w:type="spellEnd"/>
      <w:r w:rsidRPr="008E24D2">
        <w:rPr>
          <w:rFonts w:ascii="Tw Cen MT" w:eastAsia="Twentieth Century" w:hAnsi="Tw Cen MT" w:cs="Twentieth Century"/>
          <w:sz w:val="24"/>
          <w:szCs w:val="24"/>
        </w:rPr>
        <w:t xml:space="preserve">, 2,4% </w:t>
      </w:r>
      <w:proofErr w:type="spellStart"/>
      <w:r w:rsidRPr="008E24D2">
        <w:rPr>
          <w:rFonts w:ascii="Tw Cen MT" w:eastAsia="Twentieth Century" w:hAnsi="Tw Cen MT" w:cs="Twentieth Century"/>
          <w:sz w:val="24"/>
          <w:szCs w:val="24"/>
        </w:rPr>
        <w:t>ringan</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normal (12,9%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26,6% </w:t>
      </w:r>
      <w:proofErr w:type="spellStart"/>
      <w:r w:rsidRPr="008E24D2">
        <w:rPr>
          <w:rFonts w:ascii="Tw Cen MT" w:eastAsia="Twentieth Century" w:hAnsi="Tw Cen MT" w:cs="Twentieth Century"/>
          <w:sz w:val="24"/>
          <w:szCs w:val="24"/>
        </w:rPr>
        <w:t>sedang</w:t>
      </w:r>
      <w:proofErr w:type="spellEnd"/>
      <w:r w:rsidRPr="008E24D2">
        <w:rPr>
          <w:rFonts w:ascii="Tw Cen MT" w:eastAsia="Twentieth Century" w:hAnsi="Tw Cen MT" w:cs="Twentieth Century"/>
          <w:sz w:val="24"/>
          <w:szCs w:val="24"/>
        </w:rPr>
        <w:t xml:space="preserve">, 9,7% </w:t>
      </w:r>
      <w:proofErr w:type="spellStart"/>
      <w:r w:rsidRPr="008E24D2">
        <w:rPr>
          <w:rFonts w:ascii="Tw Cen MT" w:eastAsia="Twentieth Century" w:hAnsi="Tw Cen MT" w:cs="Twentieth Century"/>
          <w:sz w:val="24"/>
          <w:szCs w:val="24"/>
        </w:rPr>
        <w:t>ringan</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obesitas</w:t>
      </w:r>
      <w:proofErr w:type="spellEnd"/>
      <w:r w:rsidRPr="008E24D2">
        <w:rPr>
          <w:rFonts w:ascii="Tw Cen MT" w:eastAsia="Twentieth Century" w:hAnsi="Tw Cen MT" w:cs="Twentieth Century"/>
          <w:sz w:val="24"/>
          <w:szCs w:val="24"/>
        </w:rPr>
        <w:t xml:space="preserve"> (2,4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4,0 </w:t>
      </w:r>
      <w:proofErr w:type="spellStart"/>
      <w:r w:rsidRPr="008E24D2">
        <w:rPr>
          <w:rFonts w:ascii="Tw Cen MT" w:eastAsia="Twentieth Century" w:hAnsi="Tw Cen MT" w:cs="Twentieth Century"/>
          <w:sz w:val="24"/>
          <w:szCs w:val="24"/>
        </w:rPr>
        <w:t>sedang</w:t>
      </w:r>
      <w:proofErr w:type="spellEnd"/>
      <w:r w:rsidRPr="008E24D2">
        <w:rPr>
          <w:rFonts w:ascii="Tw Cen MT" w:eastAsia="Twentieth Century" w:hAnsi="Tw Cen MT" w:cs="Twentieth Century"/>
          <w:sz w:val="24"/>
          <w:szCs w:val="24"/>
        </w:rPr>
        <w:t xml:space="preserve">, 9,7% </w:t>
      </w:r>
      <w:proofErr w:type="spellStart"/>
      <w:r w:rsidRPr="008E24D2">
        <w:rPr>
          <w:rFonts w:ascii="Tw Cen MT" w:eastAsia="Twentieth Century" w:hAnsi="Tw Cen MT" w:cs="Twentieth Century"/>
          <w:sz w:val="24"/>
          <w:szCs w:val="24"/>
        </w:rPr>
        <w:t>ringan</w:t>
      </w:r>
      <w:proofErr w:type="spellEnd"/>
      <w:r w:rsidRPr="008E24D2">
        <w:rPr>
          <w:rFonts w:ascii="Tw Cen MT" w:eastAsia="Twentieth Century" w:hAnsi="Tw Cen MT" w:cs="Twentieth Century"/>
          <w:sz w:val="24"/>
          <w:szCs w:val="24"/>
        </w:rPr>
        <w:t xml:space="preserve">), dan </w:t>
      </w:r>
      <w:r w:rsidRPr="001C7E0C">
        <w:rPr>
          <w:rFonts w:ascii="Tw Cen MT" w:eastAsia="Twentieth Century" w:hAnsi="Tw Cen MT" w:cs="Twentieth Century"/>
          <w:i/>
          <w:iCs/>
          <w:sz w:val="24"/>
          <w:szCs w:val="24"/>
        </w:rPr>
        <w:t>overweight</w:t>
      </w:r>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tidak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ada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Dapat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disimpulkan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bahwa</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dikaitkan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dengan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tingkat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aktifitas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tinggi</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sebaliknya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tingkat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aktifitas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rendah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dikaitkan</w:t>
      </w:r>
      <w:proofErr w:type="spellEnd"/>
      <w:r w:rsidRPr="008E24D2">
        <w:rPr>
          <w:rFonts w:ascii="Tw Cen MT" w:eastAsia="Twentieth Century" w:hAnsi="Tw Cen MT" w:cs="Twentieth Century"/>
          <w:sz w:val="24"/>
          <w:szCs w:val="24"/>
        </w:rPr>
        <w:t xml:space="preserve">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buruk</w:t>
      </w:r>
      <w:proofErr w:type="spellEnd"/>
      <w:r w:rsidRPr="008E24D2">
        <w:rPr>
          <w:rFonts w:ascii="Tw Cen MT" w:eastAsia="Twentieth Century" w:hAnsi="Tw Cen MT" w:cs="Twentieth Century"/>
          <w:sz w:val="24"/>
          <w:szCs w:val="24"/>
        </w:rPr>
        <w:t xml:space="preserve"> [9].</w:t>
      </w:r>
    </w:p>
    <w:p w14:paraId="1BB349BC" w14:textId="77777777" w:rsidR="00114B77" w:rsidRDefault="00114B77" w:rsidP="00114B77">
      <w:pPr>
        <w:spacing w:after="0" w:line="240" w:lineRule="auto"/>
        <w:jc w:val="both"/>
        <w:rPr>
          <w:rFonts w:ascii="Tw Cen MT" w:eastAsia="Twentieth Century" w:hAnsi="Tw Cen MT" w:cs="Twentieth Century"/>
          <w:sz w:val="24"/>
          <w:szCs w:val="24"/>
        </w:rPr>
      </w:pPr>
      <w:proofErr w:type="spellStart"/>
      <w:r w:rsidRPr="008E24D2">
        <w:rPr>
          <w:rFonts w:ascii="Tw Cen MT" w:eastAsia="Twentieth Century" w:hAnsi="Tw Cen MT" w:cs="Twentieth Century"/>
          <w:sz w:val="24"/>
          <w:szCs w:val="24"/>
        </w:rPr>
        <w:t>Dalam</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menentukan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kebiasaan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penting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untuk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mempertimbangkan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kandungan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nutrisi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makanan</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kecukupan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nutrisi</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dianjurkan</w:t>
      </w:r>
      <w:proofErr w:type="spellEnd"/>
      <w:r w:rsidRPr="008E24D2">
        <w:rPr>
          <w:rFonts w:ascii="Tw Cen MT" w:eastAsia="Twentieth Century" w:hAnsi="Tw Cen MT" w:cs="Twentieth Century"/>
          <w:sz w:val="24"/>
          <w:szCs w:val="24"/>
        </w:rPr>
        <w:t xml:space="preserve">. Pola </w:t>
      </w:r>
      <w:proofErr w:type="spellStart"/>
      <w:r w:rsidRPr="008E24D2">
        <w:rPr>
          <w:rFonts w:ascii="Tw Cen MT" w:eastAsia="Twentieth Century" w:hAnsi="Tw Cen MT" w:cs="Twentieth Century"/>
          <w:sz w:val="24"/>
          <w:szCs w:val="24"/>
        </w:rPr>
        <w:t>konsumsi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pangan</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baik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meliputi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pengaturan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jumlah</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jenis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pangan</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dikonsumsi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guna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menjaga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kesehatan</w:t>
      </w:r>
      <w:proofErr w:type="spellEnd"/>
      <w:r w:rsidRPr="008E24D2">
        <w:rPr>
          <w:rFonts w:ascii="Tw Cen MT" w:eastAsia="Twentieth Century" w:hAnsi="Tw Cen MT" w:cs="Twentieth Century"/>
          <w:sz w:val="24"/>
          <w:szCs w:val="24"/>
        </w:rPr>
        <w:t xml:space="preserve"> dan status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[10]. </w:t>
      </w:r>
    </w:p>
    <w:p w14:paraId="5894684A" w14:textId="6D53AEB2" w:rsidR="00420D35" w:rsidRPr="005613BF" w:rsidRDefault="00114B77" w:rsidP="0020194B">
      <w:pPr>
        <w:spacing w:after="0" w:line="240" w:lineRule="auto"/>
        <w:jc w:val="both"/>
        <w:rPr>
          <w:rFonts w:ascii="Tw Cen MT" w:hAnsi="Tw Cen MT" w:cs="Times New Roman"/>
          <w:b/>
          <w:bCs/>
          <w:iCs/>
          <w:sz w:val="24"/>
          <w:szCs w:val="24"/>
        </w:rPr>
      </w:pP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membantu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menyeimbangkan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nutrisi</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keluar</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masuk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dalam</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sangat </w:t>
      </w:r>
      <w:proofErr w:type="spellStart"/>
      <w:r w:rsidRPr="008E24D2">
        <w:rPr>
          <w:rFonts w:ascii="Tw Cen MT" w:eastAsia="Twentieth Century" w:hAnsi="Tw Cen MT" w:cs="Twentieth Century"/>
          <w:sz w:val="24"/>
          <w:szCs w:val="24"/>
        </w:rPr>
        <w:t>penting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bagi</w:t>
      </w:r>
      <w:proofErr w:type="spellEnd"/>
      <w:r w:rsidRPr="008E24D2">
        <w:rPr>
          <w:rFonts w:ascii="Tw Cen MT" w:eastAsia="Twentieth Century" w:hAnsi="Tw Cen MT" w:cs="Twentieth Century"/>
          <w:sz w:val="24"/>
          <w:szCs w:val="24"/>
        </w:rPr>
        <w:t xml:space="preserve"> orang </w:t>
      </w:r>
      <w:proofErr w:type="spellStart"/>
      <w:r w:rsidRPr="008E24D2">
        <w:rPr>
          <w:rFonts w:ascii="Tw Cen MT" w:eastAsia="Twentieth Century" w:hAnsi="Tw Cen MT" w:cs="Twentieth Century"/>
          <w:sz w:val="24"/>
          <w:szCs w:val="24"/>
        </w:rPr>
        <w:t>kelebihan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badan. </w:t>
      </w:r>
      <w:proofErr w:type="spellStart"/>
      <w:r w:rsidRPr="008E24D2">
        <w:rPr>
          <w:rFonts w:ascii="Tw Cen MT" w:eastAsia="Twentieth Century" w:hAnsi="Tw Cen MT" w:cs="Twentieth Century"/>
          <w:sz w:val="24"/>
          <w:szCs w:val="24"/>
        </w:rPr>
        <w:t>Olahraga</w:t>
      </w:r>
      <w:proofErr w:type="spellEnd"/>
      <w:r w:rsidRPr="008E24D2">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dapat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membakar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kalori</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semakin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banyak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berolahraga</w:t>
      </w:r>
      <w:proofErr w:type="spellEnd"/>
      <w:r w:rsidRPr="008E24D2">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maka</w:t>
      </w:r>
      <w:proofErr w:type="spellEnd"/>
      <w:r w:rsidR="008A1E26">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semakin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banyak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kalori</w:t>
      </w:r>
      <w:proofErr w:type="spellEnd"/>
      <w:r>
        <w:rPr>
          <w:rFonts w:ascii="Tw Cen MT" w:eastAsia="Twentieth Century" w:hAnsi="Tw Cen MT" w:cs="Twentieth Century"/>
          <w:sz w:val="24"/>
          <w:szCs w:val="24"/>
        </w:rPr>
        <w:t xml:space="preserve"> </w:t>
      </w:r>
      <w:r w:rsidR="008A1E26">
        <w:rPr>
          <w:rFonts w:ascii="Tw Cen MT" w:eastAsia="Twentieth Century" w:hAnsi="Tw Cen MT" w:cs="Twentieth Century"/>
          <w:sz w:val="24"/>
          <w:szCs w:val="24"/>
        </w:rPr>
        <w:t xml:space="preserve">yang </w:t>
      </w:r>
      <w:proofErr w:type="spellStart"/>
      <w:r w:rsidRPr="008E24D2">
        <w:rPr>
          <w:rFonts w:ascii="Tw Cen MT" w:eastAsia="Twentieth Century" w:hAnsi="Tw Cen MT" w:cs="Twentieth Century"/>
          <w:sz w:val="24"/>
          <w:szCs w:val="24"/>
        </w:rPr>
        <w:t>hilang</w:t>
      </w:r>
      <w:proofErr w:type="spellEnd"/>
      <w:r w:rsidRPr="008E24D2">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K</w:t>
      </w:r>
      <w:r w:rsidRPr="008E24D2">
        <w:rPr>
          <w:rFonts w:ascii="Tw Cen MT" w:eastAsia="Twentieth Century" w:hAnsi="Tw Cen MT" w:cs="Twentieth Century"/>
          <w:sz w:val="24"/>
          <w:szCs w:val="24"/>
        </w:rPr>
        <w:t>alori</w:t>
      </w:r>
      <w:proofErr w:type="spellEnd"/>
      <w:r w:rsidR="008A1E26">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mempengaruhi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metabolisme</w:t>
      </w:r>
      <w:proofErr w:type="spellEnd"/>
      <w:r w:rsidRPr="008E24D2">
        <w:rPr>
          <w:rFonts w:ascii="Tw Cen MT" w:eastAsia="Twentieth Century" w:hAnsi="Tw Cen MT" w:cs="Twentieth Century"/>
          <w:sz w:val="24"/>
          <w:szCs w:val="24"/>
        </w:rPr>
        <w:t xml:space="preserve"> basal </w:t>
      </w:r>
      <w:proofErr w:type="spellStart"/>
      <w:r w:rsidRPr="008E24D2">
        <w:rPr>
          <w:rFonts w:ascii="Tw Cen MT" w:eastAsia="Twentieth Century" w:hAnsi="Tw Cen MT" w:cs="Twentieth Century"/>
          <w:sz w:val="24"/>
          <w:szCs w:val="24"/>
        </w:rPr>
        <w:t>secara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tidak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langsung</w:t>
      </w:r>
      <w:proofErr w:type="spellEnd"/>
      <w:r w:rsidRPr="008E24D2">
        <w:rPr>
          <w:rFonts w:ascii="Tw Cen MT" w:eastAsia="Twentieth Century" w:hAnsi="Tw Cen MT" w:cs="Twentieth Century"/>
          <w:sz w:val="24"/>
          <w:szCs w:val="24"/>
        </w:rPr>
        <w:t xml:space="preserve">, orang </w:t>
      </w:r>
      <w:proofErr w:type="spellStart"/>
      <w:r w:rsidRPr="008E24D2">
        <w:rPr>
          <w:rFonts w:ascii="Tw Cen MT" w:eastAsia="Twentieth Century" w:hAnsi="Tw Cen MT" w:cs="Twentieth Century"/>
          <w:sz w:val="24"/>
          <w:szCs w:val="24"/>
        </w:rPr>
        <w:t>bekerja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sambil</w:t>
      </w:r>
      <w:proofErr w:type="spellEnd"/>
      <w:r w:rsidRPr="008E24D2">
        <w:rPr>
          <w:rFonts w:ascii="Tw Cen MT" w:eastAsia="Twentieth Century" w:hAnsi="Tw Cen MT" w:cs="Twentieth Century"/>
          <w:sz w:val="24"/>
          <w:szCs w:val="24"/>
        </w:rPr>
        <w:t xml:space="preserve"> duduk </w:t>
      </w:r>
      <w:proofErr w:type="spellStart"/>
      <w:r w:rsidRPr="008E24D2">
        <w:rPr>
          <w:rFonts w:ascii="Tw Cen MT" w:eastAsia="Twentieth Century" w:hAnsi="Tw Cen MT" w:cs="Twentieth Century"/>
          <w:sz w:val="24"/>
          <w:szCs w:val="24"/>
        </w:rPr>
        <w:t>mengalami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metabolisme</w:t>
      </w:r>
      <w:proofErr w:type="spellEnd"/>
      <w:r w:rsidRPr="008E24D2">
        <w:rPr>
          <w:rFonts w:ascii="Tw Cen MT" w:eastAsia="Twentieth Century" w:hAnsi="Tw Cen MT" w:cs="Twentieth Century"/>
          <w:sz w:val="24"/>
          <w:szCs w:val="24"/>
        </w:rPr>
        <w:t xml:space="preserve"> basal </w:t>
      </w:r>
      <w:proofErr w:type="spellStart"/>
      <w:r w:rsidRPr="008E24D2">
        <w:rPr>
          <w:rFonts w:ascii="Tw Cen MT" w:eastAsia="Twentieth Century" w:hAnsi="Tw Cen MT" w:cs="Twentieth Century"/>
          <w:sz w:val="24"/>
          <w:szCs w:val="24"/>
        </w:rPr>
        <w:t>lebih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rendah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olahraga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diperlukan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untuk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menurunkan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badan dan </w:t>
      </w:r>
      <w:proofErr w:type="spellStart"/>
      <w:r w:rsidRPr="008E24D2">
        <w:rPr>
          <w:rFonts w:ascii="Tw Cen MT" w:eastAsia="Twentieth Century" w:hAnsi="Tw Cen MT" w:cs="Twentieth Century"/>
          <w:sz w:val="24"/>
          <w:szCs w:val="24"/>
        </w:rPr>
        <w:t>mengontrol</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metabolisme</w:t>
      </w:r>
      <w:proofErr w:type="spellEnd"/>
      <w:r w:rsidRPr="008E24D2">
        <w:rPr>
          <w:rFonts w:ascii="Tw Cen MT" w:eastAsia="Twentieth Century" w:hAnsi="Tw Cen MT" w:cs="Twentieth Century"/>
          <w:sz w:val="24"/>
          <w:szCs w:val="24"/>
        </w:rPr>
        <w:t xml:space="preserve"> normal [11].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dipengaruhi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berbagai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faktor</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jenis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kelamin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penyakit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atau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masalah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budaya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atau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adat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istiadat</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kebutuhan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energi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Penelitian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sebelumnya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menunjukkan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aktivitas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fisik</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seseorang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dipengaruhi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usia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jenis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kelamin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variabel</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budaya</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jumlah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energi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dibutuhkan</w:t>
      </w:r>
      <w:proofErr w:type="spellEnd"/>
      <w:r w:rsidRPr="008E24D2">
        <w:rPr>
          <w:rFonts w:ascii="Tw Cen MT" w:eastAsia="Twentieth Century" w:hAnsi="Tw Cen MT" w:cs="Twentieth Century"/>
          <w:sz w:val="24"/>
          <w:szCs w:val="24"/>
        </w:rPr>
        <w:t xml:space="preserve"> [12]. Salah </w:t>
      </w:r>
      <w:proofErr w:type="spellStart"/>
      <w:r w:rsidRPr="008E24D2">
        <w:rPr>
          <w:rFonts w:ascii="Tw Cen MT" w:eastAsia="Twentieth Century" w:hAnsi="Tw Cen MT" w:cs="Twentieth Century"/>
          <w:sz w:val="24"/>
          <w:szCs w:val="24"/>
        </w:rPr>
        <w:t>satu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metode</w:t>
      </w:r>
      <w:proofErr w:type="spellEnd"/>
      <w:r w:rsidRPr="008E24D2">
        <w:rPr>
          <w:rFonts w:ascii="Tw Cen MT" w:eastAsia="Twentieth Century" w:hAnsi="Tw Cen MT" w:cs="Twentieth Century"/>
          <w:sz w:val="24"/>
          <w:szCs w:val="24"/>
        </w:rPr>
        <w:t xml:space="preserve"> paling </w:t>
      </w:r>
      <w:proofErr w:type="spellStart"/>
      <w:r w:rsidRPr="008E24D2">
        <w:rPr>
          <w:rFonts w:ascii="Tw Cen MT" w:eastAsia="Twentieth Century" w:hAnsi="Tw Cen MT" w:cs="Twentieth Century"/>
          <w:sz w:val="24"/>
          <w:szCs w:val="24"/>
        </w:rPr>
        <w:t>umum</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menentukan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seseorang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kelebihan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berat</w:t>
      </w:r>
      <w:proofErr w:type="spellEnd"/>
      <w:r w:rsidRPr="008E24D2">
        <w:rPr>
          <w:rFonts w:ascii="Tw Cen MT" w:eastAsia="Twentieth Century" w:hAnsi="Tw Cen MT" w:cs="Twentieth Century"/>
          <w:sz w:val="24"/>
          <w:szCs w:val="24"/>
        </w:rPr>
        <w:t xml:space="preserve"> badan </w:t>
      </w:r>
      <w:proofErr w:type="spellStart"/>
      <w:r w:rsidRPr="008E24D2">
        <w:rPr>
          <w:rFonts w:ascii="Tw Cen MT" w:eastAsia="Twentieth Century" w:hAnsi="Tw Cen MT" w:cs="Twentieth Century"/>
          <w:sz w:val="24"/>
          <w:szCs w:val="24"/>
        </w:rPr>
        <w:t>atau</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bermasalah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kesehatan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adalah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indeks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massa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tubuh</w:t>
      </w:r>
      <w:proofErr w:type="spellEnd"/>
      <w:r w:rsidRPr="008E24D2">
        <w:rPr>
          <w:rFonts w:ascii="Tw Cen MT" w:eastAsia="Twentieth Century" w:hAnsi="Tw Cen MT" w:cs="Twentieth Century"/>
          <w:sz w:val="24"/>
          <w:szCs w:val="24"/>
        </w:rPr>
        <w:t xml:space="preserve"> (BMI), </w:t>
      </w:r>
      <w:proofErr w:type="spellStart"/>
      <w:r w:rsidRPr="008E24D2">
        <w:rPr>
          <w:rFonts w:ascii="Tw Cen MT" w:eastAsia="Twentieth Century" w:hAnsi="Tw Cen MT" w:cs="Twentieth Century"/>
          <w:sz w:val="24"/>
          <w:szCs w:val="24"/>
        </w:rPr>
        <w:t>dihitung</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menggunakan</w:t>
      </w:r>
      <w:proofErr w:type="spellEnd"/>
      <w:r w:rsidRPr="008E24D2">
        <w:rPr>
          <w:rFonts w:ascii="Tw Cen MT" w:eastAsia="Twentieth Century" w:hAnsi="Tw Cen MT" w:cs="Twentieth Century"/>
          <w:sz w:val="24"/>
          <w:szCs w:val="24"/>
        </w:rPr>
        <w:t xml:space="preserve"> BB dan TB [13]</w:t>
      </w:r>
      <w:r>
        <w:rPr>
          <w:rFonts w:ascii="Tw Cen MT" w:eastAsia="Twentieth Century" w:hAnsi="Tw Cen MT" w:cs="Twentieth Century"/>
          <w:sz w:val="24"/>
          <w:szCs w:val="24"/>
        </w:rPr>
        <w:t>.</w:t>
      </w:r>
    </w:p>
    <w:p w14:paraId="399C96C8" w14:textId="77777777" w:rsidR="00420D35" w:rsidRDefault="00420D35" w:rsidP="0020194B">
      <w:pPr>
        <w:spacing w:after="0" w:line="240" w:lineRule="auto"/>
        <w:jc w:val="both"/>
        <w:rPr>
          <w:rFonts w:ascii="Tw Cen MT" w:eastAsia="Twentieth Century" w:hAnsi="Tw Cen MT" w:cs="Twentieth Century"/>
          <w:b/>
          <w:sz w:val="24"/>
          <w:szCs w:val="24"/>
        </w:rPr>
      </w:pPr>
    </w:p>
    <w:p w14:paraId="56B9F7A6" w14:textId="5071D24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 xml:space="preserve">METODE </w:t>
      </w:r>
    </w:p>
    <w:p w14:paraId="70914D0C" w14:textId="10FE24B6" w:rsidR="00785008" w:rsidRDefault="001C7E0C" w:rsidP="00717864">
      <w:pPr>
        <w:tabs>
          <w:tab w:val="left" w:pos="426"/>
        </w:tabs>
        <w:spacing w:after="0" w:line="240" w:lineRule="auto"/>
        <w:jc w:val="both"/>
        <w:rPr>
          <w:rFonts w:ascii="Tw Cen MT" w:eastAsia="Twentieth Century" w:hAnsi="Tw Cen MT" w:cs="Twentieth Century"/>
          <w:sz w:val="24"/>
          <w:szCs w:val="24"/>
          <w:lang w:val="en-ID"/>
        </w:rPr>
      </w:pPr>
      <w:r w:rsidRPr="008E24D2">
        <w:rPr>
          <w:rFonts w:ascii="Tw Cen MT" w:eastAsia="Twentieth Century" w:hAnsi="Tw Cen MT" w:cs="Twentieth Century"/>
          <w:sz w:val="24"/>
          <w:szCs w:val="24"/>
        </w:rPr>
        <w:t xml:space="preserve">Desain </w:t>
      </w:r>
      <w:proofErr w:type="spellStart"/>
      <w:r w:rsidRPr="008E24D2">
        <w:rPr>
          <w:rFonts w:ascii="Tw Cen MT" w:eastAsia="Twentieth Century" w:hAnsi="Tw Cen MT" w:cs="Twentieth Century"/>
          <w:sz w:val="24"/>
          <w:szCs w:val="24"/>
        </w:rPr>
        <w:t>penelitian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merupakan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bagian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dari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jenis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penelitian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deskriptif</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analitis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dengan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desain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pendekatan</w:t>
      </w:r>
      <w:proofErr w:type="spellEnd"/>
      <w:r w:rsidRPr="008E24D2">
        <w:rPr>
          <w:rFonts w:ascii="Tw Cen MT" w:eastAsia="Twentieth Century" w:hAnsi="Tw Cen MT" w:cs="Twentieth Century"/>
          <w:sz w:val="24"/>
          <w:szCs w:val="24"/>
        </w:rPr>
        <w:t xml:space="preserve"> </w:t>
      </w:r>
      <w:r w:rsidRPr="00F74AC8">
        <w:rPr>
          <w:rFonts w:ascii="Tw Cen MT" w:eastAsia="Twentieth Century" w:hAnsi="Tw Cen MT" w:cs="Twentieth Century"/>
          <w:i/>
          <w:iCs/>
          <w:sz w:val="24"/>
          <w:szCs w:val="24"/>
        </w:rPr>
        <w:t>cross sectional</w:t>
      </w:r>
      <w:r w:rsidRPr="008E24D2">
        <w:rPr>
          <w:rFonts w:ascii="Tw Cen MT" w:eastAsia="Twentieth Century" w:hAnsi="Tw Cen MT" w:cs="Twentieth Century"/>
          <w:sz w:val="24"/>
          <w:szCs w:val="24"/>
        </w:rPr>
        <w:t xml:space="preserve"> pa</w:t>
      </w:r>
      <w:r>
        <w:rPr>
          <w:rFonts w:ascii="Tw Cen MT" w:eastAsia="Twentieth Century" w:hAnsi="Tw Cen MT" w:cs="Twentieth Century"/>
          <w:sz w:val="24"/>
          <w:szCs w:val="24"/>
        </w:rPr>
        <w:t xml:space="preserve">da </w:t>
      </w:r>
      <w:proofErr w:type="spellStart"/>
      <w:r w:rsidRPr="008E24D2">
        <w:rPr>
          <w:rFonts w:ascii="Tw Cen MT" w:eastAsia="Twentieth Century" w:hAnsi="Tw Cen MT" w:cs="Twentieth Century"/>
          <w:sz w:val="24"/>
          <w:szCs w:val="24"/>
        </w:rPr>
        <w:t>bulan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mei</w:t>
      </w:r>
      <w:proofErr w:type="spellEnd"/>
      <w:r w:rsidRPr="008E24D2">
        <w:rPr>
          <w:rFonts w:ascii="Tw Cen MT" w:eastAsia="Twentieth Century" w:hAnsi="Tw Cen MT" w:cs="Twentieth Century"/>
          <w:sz w:val="24"/>
          <w:szCs w:val="24"/>
        </w:rPr>
        <w:t xml:space="preserve"> 2024. </w:t>
      </w:r>
      <w:proofErr w:type="spellStart"/>
      <w:r w:rsidRPr="008E24D2">
        <w:rPr>
          <w:rFonts w:ascii="Tw Cen MT" w:eastAsia="Twentieth Century" w:hAnsi="Tw Cen MT" w:cs="Twentieth Century"/>
          <w:sz w:val="24"/>
          <w:szCs w:val="24"/>
        </w:rPr>
        <w:t>Jumlah</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sempel</w:t>
      </w:r>
      <w:proofErr w:type="spellEnd"/>
      <w:r w:rsidRPr="008E24D2">
        <w:rPr>
          <w:rFonts w:ascii="Tw Cen MT" w:eastAsia="Twentieth Century" w:hAnsi="Tw Cen MT" w:cs="Twentieth Century"/>
          <w:sz w:val="24"/>
          <w:szCs w:val="24"/>
        </w:rPr>
        <w:t xml:space="preserve"> pada </w:t>
      </w:r>
      <w:proofErr w:type="spellStart"/>
      <w:r w:rsidRPr="008E24D2">
        <w:rPr>
          <w:rFonts w:ascii="Tw Cen MT" w:eastAsia="Twentieth Century" w:hAnsi="Tw Cen MT" w:cs="Twentieth Century"/>
          <w:sz w:val="24"/>
          <w:szCs w:val="24"/>
        </w:rPr>
        <w:t>penelitian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ini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sebanyak</w:t>
      </w:r>
      <w:proofErr w:type="spellEnd"/>
      <w:r w:rsidRPr="008E24D2">
        <w:rPr>
          <w:rFonts w:ascii="Tw Cen MT" w:eastAsia="Twentieth Century" w:hAnsi="Tw Cen MT" w:cs="Twentieth Century"/>
          <w:sz w:val="24"/>
          <w:szCs w:val="24"/>
        </w:rPr>
        <w:t xml:space="preserve"> 46 </w:t>
      </w:r>
      <w:proofErr w:type="spellStart"/>
      <w:r w:rsidRPr="008E24D2">
        <w:rPr>
          <w:rFonts w:ascii="Tw Cen MT" w:eastAsia="Twentieth Century" w:hAnsi="Tw Cen MT" w:cs="Twentieth Century"/>
          <w:sz w:val="24"/>
          <w:szCs w:val="24"/>
        </w:rPr>
        <w:t>responden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Mahasiswa</w:t>
      </w:r>
      <w:proofErr w:type="spellEnd"/>
      <w:r w:rsidRPr="008E24D2">
        <w:rPr>
          <w:rFonts w:ascii="Tw Cen MT" w:eastAsia="Twentieth Century" w:hAnsi="Tw Cen MT" w:cs="Twentieth Century"/>
          <w:sz w:val="24"/>
          <w:szCs w:val="24"/>
        </w:rPr>
        <w:t xml:space="preserve"> D3 </w:t>
      </w:r>
      <w:proofErr w:type="spellStart"/>
      <w:r w:rsidRPr="008E24D2">
        <w:rPr>
          <w:rFonts w:ascii="Tw Cen MT" w:eastAsia="Twentieth Century" w:hAnsi="Tw Cen MT" w:cs="Twentieth Century"/>
          <w:sz w:val="24"/>
          <w:szCs w:val="24"/>
        </w:rPr>
        <w:t>Jurusan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Gizi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Poltekkes</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Kemenkes</w:t>
      </w:r>
      <w:proofErr w:type="spellEnd"/>
      <w:r w:rsidRPr="008E24D2">
        <w:rPr>
          <w:rFonts w:ascii="Tw Cen MT" w:eastAsia="Twentieth Century" w:hAnsi="Tw Cen MT" w:cs="Twentieth Century"/>
          <w:sz w:val="24"/>
          <w:szCs w:val="24"/>
        </w:rPr>
        <w:t xml:space="preserve"> Bengkulu </w:t>
      </w:r>
      <w:proofErr w:type="spellStart"/>
      <w:r w:rsidRPr="008E24D2">
        <w:rPr>
          <w:rFonts w:ascii="Tw Cen MT" w:eastAsia="Twentieth Century" w:hAnsi="Tw Cen MT" w:cs="Twentieth Century"/>
          <w:sz w:val="24"/>
          <w:szCs w:val="24"/>
        </w:rPr>
        <w:t>tahun</w:t>
      </w:r>
      <w:proofErr w:type="spellEnd"/>
      <w:r w:rsidRPr="008E24D2">
        <w:rPr>
          <w:rFonts w:ascii="Tw Cen MT" w:eastAsia="Twentieth Century" w:hAnsi="Tw Cen MT" w:cs="Twentieth Century"/>
          <w:sz w:val="24"/>
          <w:szCs w:val="24"/>
        </w:rPr>
        <w:t xml:space="preserve"> 2024. Teknik </w:t>
      </w:r>
      <w:proofErr w:type="spellStart"/>
      <w:r w:rsidRPr="008E24D2">
        <w:rPr>
          <w:rFonts w:ascii="Tw Cen MT" w:eastAsia="Twentieth Century" w:hAnsi="Tw Cen MT" w:cs="Twentieth Century"/>
          <w:sz w:val="24"/>
          <w:szCs w:val="24"/>
        </w:rPr>
        <w:t>pengambilan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sampel</w:t>
      </w:r>
      <w:proofErr w:type="spellEnd"/>
      <w:r w:rsidRPr="008E24D2">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secara</w:t>
      </w:r>
      <w:proofErr w:type="spellEnd"/>
      <w:r w:rsidR="008A1E26">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acak</w:t>
      </w:r>
      <w:proofErr w:type="spellEnd"/>
      <w:r w:rsidRPr="008E24D2">
        <w:rPr>
          <w:rFonts w:ascii="Tw Cen MT" w:eastAsia="Twentieth Century" w:hAnsi="Tw Cen MT" w:cs="Twentieth Century"/>
          <w:sz w:val="24"/>
          <w:szCs w:val="24"/>
        </w:rPr>
        <w:t xml:space="preserve"> (</w:t>
      </w:r>
      <w:r w:rsidRPr="008A1E26">
        <w:rPr>
          <w:rFonts w:ascii="Tw Cen MT" w:eastAsia="Twentieth Century" w:hAnsi="Tw Cen MT" w:cs="Twentieth Century"/>
          <w:i/>
          <w:iCs/>
          <w:sz w:val="24"/>
          <w:szCs w:val="24"/>
        </w:rPr>
        <w:t>r</w:t>
      </w:r>
      <w:r w:rsidR="008A1E26">
        <w:rPr>
          <w:rFonts w:ascii="Tw Cen MT" w:eastAsia="Twentieth Century" w:hAnsi="Tw Cen MT" w:cs="Twentieth Century"/>
          <w:i/>
          <w:iCs/>
          <w:sz w:val="24"/>
          <w:szCs w:val="24"/>
        </w:rPr>
        <w:t>a</w:t>
      </w:r>
      <w:r w:rsidRPr="008A1E26">
        <w:rPr>
          <w:rFonts w:ascii="Tw Cen MT" w:eastAsia="Twentieth Century" w:hAnsi="Tw Cen MT" w:cs="Twentieth Century"/>
          <w:i/>
          <w:iCs/>
          <w:sz w:val="24"/>
          <w:szCs w:val="24"/>
        </w:rPr>
        <w:t>ndom sampling</w:t>
      </w:r>
      <w:r w:rsidRPr="008E24D2">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P</w:t>
      </w:r>
      <w:r w:rsidRPr="008E24D2">
        <w:rPr>
          <w:rFonts w:ascii="Tw Cen MT" w:eastAsia="Twentieth Century" w:hAnsi="Tw Cen MT" w:cs="Twentieth Century"/>
          <w:sz w:val="24"/>
          <w:szCs w:val="24"/>
        </w:rPr>
        <w:t>enelitia</w:t>
      </w:r>
      <w:r w:rsidR="008A1E26">
        <w:rPr>
          <w:rFonts w:ascii="Tw Cen MT" w:eastAsia="Twentieth Century" w:hAnsi="Tw Cen MT" w:cs="Twentieth Century"/>
          <w:sz w:val="24"/>
          <w:szCs w:val="24"/>
        </w:rPr>
        <w:t>n</w:t>
      </w:r>
      <w:proofErr w:type="spellEnd"/>
      <w:r w:rsidR="008A1E26">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ini</w:t>
      </w:r>
      <w:proofErr w:type="spellEnd"/>
      <w:r w:rsidR="008A1E26">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menggunakan</w:t>
      </w:r>
      <w:proofErr w:type="spellEnd"/>
      <w:r w:rsidR="008A1E26">
        <w:rPr>
          <w:rFonts w:ascii="Tw Cen MT" w:eastAsia="Twentieth Century" w:hAnsi="Tw Cen MT" w:cs="Twentieth Century"/>
          <w:sz w:val="24"/>
          <w:szCs w:val="24"/>
        </w:rPr>
        <w:t xml:space="preserve"> </w:t>
      </w:r>
      <w:proofErr w:type="spellStart"/>
      <w:r w:rsidR="008A1E26" w:rsidRPr="008E24D2">
        <w:rPr>
          <w:rFonts w:ascii="Tw Cen MT" w:eastAsia="Twentieth Century" w:hAnsi="Tw Cen MT" w:cs="Twentieth Century"/>
          <w:sz w:val="24"/>
          <w:szCs w:val="24"/>
        </w:rPr>
        <w:t>formulir</w:t>
      </w:r>
      <w:proofErr w:type="spellEnd"/>
      <w:r w:rsidR="008A1E26" w:rsidRPr="008E24D2">
        <w:rPr>
          <w:rFonts w:ascii="Tw Cen MT" w:eastAsia="Twentieth Century" w:hAnsi="Tw Cen MT" w:cs="Twentieth Century"/>
          <w:sz w:val="24"/>
          <w:szCs w:val="24"/>
        </w:rPr>
        <w:t xml:space="preserve"> </w:t>
      </w:r>
      <w:r w:rsidR="008A1E26" w:rsidRPr="00F74AC8">
        <w:rPr>
          <w:rFonts w:ascii="Tw Cen MT" w:eastAsia="Twentieth Century" w:hAnsi="Tw Cen MT" w:cs="Twentieth Century"/>
          <w:i/>
          <w:iCs/>
          <w:sz w:val="24"/>
          <w:szCs w:val="24"/>
        </w:rPr>
        <w:t>Semi Quantitative Food Frequency Questionnaire</w:t>
      </w:r>
      <w:r w:rsidR="008A1E26" w:rsidRPr="008E24D2">
        <w:rPr>
          <w:rFonts w:ascii="Tw Cen MT" w:eastAsia="Twentieth Century" w:hAnsi="Tw Cen MT" w:cs="Twentieth Century"/>
          <w:sz w:val="24"/>
          <w:szCs w:val="24"/>
        </w:rPr>
        <w:t xml:space="preserve"> (SQ-FFQ)</w:t>
      </w:r>
      <w:r w:rsidR="008A1E26">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dalam</w:t>
      </w:r>
      <w:proofErr w:type="spellEnd"/>
      <w:r w:rsidR="008A1E26">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menilai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jajanan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maupun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minuman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manis</w:t>
      </w:r>
      <w:proofErr w:type="spellEnd"/>
      <w:r w:rsidR="008A1E26">
        <w:rPr>
          <w:rFonts w:ascii="Tw Cen MT" w:eastAsia="Twentieth Century" w:hAnsi="Tw Cen MT" w:cs="Twentieth Century"/>
          <w:sz w:val="24"/>
          <w:szCs w:val="24"/>
        </w:rPr>
        <w:t xml:space="preserve"> yang </w:t>
      </w:r>
      <w:proofErr w:type="spellStart"/>
      <w:r w:rsidR="008A1E26">
        <w:rPr>
          <w:rFonts w:ascii="Tw Cen MT" w:eastAsia="Twentieth Century" w:hAnsi="Tw Cen MT" w:cs="Twentieth Century"/>
          <w:sz w:val="24"/>
          <w:szCs w:val="24"/>
        </w:rPr>
        <w:t>dikonsumsi</w:t>
      </w:r>
      <w:proofErr w:type="spellEnd"/>
      <w:r w:rsidR="008A1E26">
        <w:rPr>
          <w:rFonts w:ascii="Tw Cen MT" w:eastAsia="Twentieth Century" w:hAnsi="Tw Cen MT" w:cs="Twentieth Century"/>
          <w:sz w:val="24"/>
          <w:szCs w:val="24"/>
        </w:rPr>
        <w:t>.</w:t>
      </w:r>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Analisis</w:t>
      </w:r>
      <w:proofErr w:type="spellEnd"/>
      <w:r w:rsidRPr="008E24D2">
        <w:rPr>
          <w:rFonts w:ascii="Tw Cen MT" w:eastAsia="Twentieth Century" w:hAnsi="Tw Cen MT" w:cs="Twentieth Century"/>
          <w:sz w:val="24"/>
          <w:szCs w:val="24"/>
        </w:rPr>
        <w:t xml:space="preserve"> data </w:t>
      </w:r>
      <w:proofErr w:type="spellStart"/>
      <w:r w:rsidRPr="008E24D2">
        <w:rPr>
          <w:rFonts w:ascii="Tw Cen MT" w:eastAsia="Twentieth Century" w:hAnsi="Tw Cen MT" w:cs="Twentieth Century"/>
          <w:sz w:val="24"/>
          <w:szCs w:val="24"/>
        </w:rPr>
        <w:t>univariat</w:t>
      </w:r>
      <w:proofErr w:type="spellEnd"/>
      <w:r w:rsidRPr="008E24D2">
        <w:rPr>
          <w:rFonts w:ascii="Tw Cen MT" w:eastAsia="Twentieth Century" w:hAnsi="Tw Cen MT" w:cs="Twentieth Century"/>
          <w:sz w:val="24"/>
          <w:szCs w:val="24"/>
        </w:rPr>
        <w:t xml:space="preserve"> dan </w:t>
      </w:r>
      <w:proofErr w:type="spellStart"/>
      <w:r w:rsidRPr="008E24D2">
        <w:rPr>
          <w:rFonts w:ascii="Tw Cen MT" w:eastAsia="Twentieth Century" w:hAnsi="Tw Cen MT" w:cs="Twentieth Century"/>
          <w:sz w:val="24"/>
          <w:szCs w:val="24"/>
        </w:rPr>
        <w:t>bivariat</w:t>
      </w:r>
      <w:proofErr w:type="spellEnd"/>
      <w:r w:rsidRPr="008E24D2">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dilakukan</w:t>
      </w:r>
      <w:proofErr w:type="spellEnd"/>
      <w:r w:rsidR="008A1E26">
        <w:rPr>
          <w:rFonts w:ascii="Tw Cen MT" w:eastAsia="Twentieth Century" w:hAnsi="Tw Cen MT" w:cs="Twentieth Century"/>
          <w:sz w:val="24"/>
          <w:szCs w:val="24"/>
        </w:rPr>
        <w:t xml:space="preserve"> </w:t>
      </w:r>
      <w:proofErr w:type="spellStart"/>
      <w:r w:rsidR="008A1E26">
        <w:rPr>
          <w:rFonts w:ascii="Tw Cen MT" w:eastAsia="Twentieth Century" w:hAnsi="Tw Cen MT" w:cs="Twentieth Century"/>
          <w:sz w:val="24"/>
          <w:szCs w:val="24"/>
        </w:rPr>
        <w:t>menggunakan</w:t>
      </w:r>
      <w:proofErr w:type="spellEnd"/>
      <w:r w:rsidR="008A1E26">
        <w:rPr>
          <w:rFonts w:ascii="Tw Cen MT" w:eastAsia="Twentieth Century" w:hAnsi="Tw Cen MT" w:cs="Twentieth Century"/>
          <w:sz w:val="24"/>
          <w:szCs w:val="24"/>
        </w:rPr>
        <w:t xml:space="preserve"> </w:t>
      </w:r>
      <w:r w:rsidRPr="008E24D2">
        <w:rPr>
          <w:rFonts w:ascii="Tw Cen MT" w:eastAsia="Twentieth Century" w:hAnsi="Tw Cen MT" w:cs="Twentieth Century"/>
          <w:sz w:val="24"/>
          <w:szCs w:val="24"/>
        </w:rPr>
        <w:t xml:space="preserve">uji </w:t>
      </w:r>
      <w:r w:rsidRPr="00F74AC8">
        <w:rPr>
          <w:rFonts w:ascii="Tw Cen MT" w:eastAsia="Twentieth Century" w:hAnsi="Tw Cen MT" w:cs="Twentieth Century"/>
          <w:i/>
          <w:iCs/>
          <w:sz w:val="24"/>
          <w:szCs w:val="24"/>
        </w:rPr>
        <w:t>Chi-Square</w:t>
      </w:r>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tingkat</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signifikansi</w:t>
      </w:r>
      <w:proofErr w:type="spellEnd"/>
      <w:r w:rsidRPr="008E24D2">
        <w:rPr>
          <w:rFonts w:ascii="Tw Cen MT" w:eastAsia="Twentieth Century" w:hAnsi="Tw Cen MT" w:cs="Twentieth Century"/>
          <w:sz w:val="24"/>
          <w:szCs w:val="24"/>
        </w:rPr>
        <w:t xml:space="preserve"> </w:t>
      </w:r>
      <w:r w:rsidRPr="008E24D2">
        <w:rPr>
          <w:rFonts w:eastAsia="Twentieth Century"/>
          <w:sz w:val="24"/>
          <w:szCs w:val="24"/>
        </w:rPr>
        <w:t>α</w:t>
      </w:r>
      <w:r w:rsidRPr="008E24D2">
        <w:rPr>
          <w:rFonts w:ascii="Tw Cen MT" w:eastAsia="Twentieth Century" w:hAnsi="Tw Cen MT" w:cs="Twentieth Century"/>
          <w:sz w:val="24"/>
          <w:szCs w:val="24"/>
        </w:rPr>
        <w:t>=0,05.</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7AA19DD1" w14:textId="06EAFF16" w:rsidR="008A1E26" w:rsidRDefault="008A1E26" w:rsidP="008A1E26">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w:t>
      </w:r>
      <w:r w:rsidRPr="008E24D2">
        <w:rPr>
          <w:rFonts w:ascii="Tw Cen MT" w:eastAsia="Twentieth Century" w:hAnsi="Tw Cen MT" w:cs="Twentieth Century"/>
          <w:sz w:val="24"/>
          <w:szCs w:val="24"/>
        </w:rPr>
        <w:t>enelitian</w:t>
      </w:r>
      <w:proofErr w:type="spellEnd"/>
      <w:r w:rsidRPr="008E24D2">
        <w:rPr>
          <w:rFonts w:ascii="Tw Cen MT" w:eastAsia="Twentieth Century" w:hAnsi="Tw Cen MT" w:cs="Twentieth Century"/>
          <w:sz w:val="24"/>
          <w:szCs w:val="24"/>
        </w:rPr>
        <w:t xml:space="preserve"> yang </w:t>
      </w:r>
      <w:proofErr w:type="spellStart"/>
      <w:r w:rsidRPr="008E24D2">
        <w:rPr>
          <w:rFonts w:ascii="Tw Cen MT" w:eastAsia="Twentieth Century" w:hAnsi="Tw Cen MT" w:cs="Twentieth Century"/>
          <w:sz w:val="24"/>
          <w:szCs w:val="24"/>
        </w:rPr>
        <w:t>dilakukan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memperoleh</w:t>
      </w:r>
      <w:proofErr w:type="spellEnd"/>
      <w:r w:rsidRPr="008E24D2">
        <w:rPr>
          <w:rFonts w:ascii="Tw Cen MT" w:eastAsia="Twentieth Century" w:hAnsi="Tw Cen MT" w:cs="Twentieth Century"/>
          <w:sz w:val="24"/>
          <w:szCs w:val="24"/>
        </w:rPr>
        <w:t xml:space="preserve"> data </w:t>
      </w:r>
      <w:proofErr w:type="spellStart"/>
      <w:r w:rsidRPr="008E24D2">
        <w:rPr>
          <w:rFonts w:ascii="Tw Cen MT" w:eastAsia="Twentieth Century" w:hAnsi="Tw Cen MT" w:cs="Twentieth Century"/>
          <w:sz w:val="24"/>
          <w:szCs w:val="24"/>
        </w:rPr>
        <w:t>gambaran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pola</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konsumsi</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makanan</w:t>
      </w:r>
      <w:proofErr w:type="spellEnd"/>
      <w:r w:rsidRPr="008E24D2">
        <w:rPr>
          <w:rFonts w:ascii="Tw Cen MT" w:eastAsia="Twentieth Century" w:hAnsi="Tw Cen MT" w:cs="Twentieth Century"/>
          <w:sz w:val="24"/>
          <w:szCs w:val="24"/>
        </w:rPr>
        <w:t xml:space="preserve"> </w:t>
      </w:r>
      <w:proofErr w:type="spellStart"/>
      <w:r w:rsidRPr="008E24D2">
        <w:rPr>
          <w:rFonts w:ascii="Tw Cen MT" w:eastAsia="Twentieth Century" w:hAnsi="Tw Cen MT" w:cs="Twentieth Century"/>
          <w:sz w:val="24"/>
          <w:szCs w:val="24"/>
        </w:rPr>
        <w:t>jajanan</w:t>
      </w:r>
      <w:proofErr w:type="spellEnd"/>
      <w:r>
        <w:rPr>
          <w:rFonts w:ascii="Tw Cen MT" w:eastAsia="Twentieth Century" w:hAnsi="Tw Cen MT" w:cs="Twentieth Century"/>
          <w:sz w:val="24"/>
          <w:szCs w:val="24"/>
        </w:rPr>
        <w:t xml:space="preserve"> </w:t>
      </w:r>
      <w:r w:rsidR="00717864">
        <w:rPr>
          <w:rFonts w:ascii="Tw Cen MT" w:eastAsia="Twentieth Century" w:hAnsi="Tw Cen MT" w:cs="Twentieth Century"/>
          <w:sz w:val="24"/>
          <w:szCs w:val="24"/>
        </w:rPr>
        <w:t xml:space="preserve">yang </w:t>
      </w:r>
      <w:proofErr w:type="spellStart"/>
      <w:r w:rsidR="00717864">
        <w:rPr>
          <w:rFonts w:ascii="Tw Cen MT" w:eastAsia="Twentieth Century" w:hAnsi="Tw Cen MT" w:cs="Twentieth Century"/>
          <w:sz w:val="24"/>
          <w:szCs w:val="24"/>
        </w:rPr>
        <w:t>tersaji</w:t>
      </w:r>
      <w:proofErr w:type="spellEnd"/>
      <w:r w:rsidR="00717864">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w:t>
      </w:r>
      <w:r w:rsidR="00717864">
        <w:rPr>
          <w:rFonts w:ascii="Tw Cen MT" w:eastAsia="Twentieth Century" w:hAnsi="Tw Cen MT" w:cs="Twentieth Century"/>
          <w:sz w:val="24"/>
          <w:szCs w:val="24"/>
        </w:rPr>
        <w:t>1.</w:t>
      </w:r>
    </w:p>
    <w:p w14:paraId="2F43F46B" w14:textId="77777777" w:rsidR="00717864" w:rsidRPr="002E23D7" w:rsidRDefault="00717864" w:rsidP="008A1E26">
      <w:pPr>
        <w:tabs>
          <w:tab w:val="left" w:pos="426"/>
        </w:tabs>
        <w:spacing w:after="0" w:line="240" w:lineRule="auto"/>
        <w:jc w:val="both"/>
        <w:rPr>
          <w:rFonts w:ascii="Tw Cen MT" w:eastAsia="Twentieth Century" w:hAnsi="Tw Cen MT" w:cs="Twentieth Century"/>
          <w:sz w:val="24"/>
          <w:szCs w:val="24"/>
        </w:rPr>
      </w:pPr>
    </w:p>
    <w:p w14:paraId="253056DC" w14:textId="77777777" w:rsidR="008A1E26" w:rsidRPr="002E23D7" w:rsidRDefault="008A1E26" w:rsidP="008A1E26">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1. Gambaran Pola </w:t>
      </w:r>
      <w:proofErr w:type="spellStart"/>
      <w:r>
        <w:rPr>
          <w:rFonts w:ascii="Tw Cen MT" w:eastAsia="Twentieth Century" w:hAnsi="Tw Cen MT" w:cs="Twentieth Century"/>
          <w:sz w:val="20"/>
          <w:szCs w:val="20"/>
        </w:rPr>
        <w:t>Konsumsi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Makanan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Jajanan</w:t>
      </w:r>
      <w:proofErr w:type="spellEnd"/>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8A1E26" w:rsidRPr="002E23D7" w14:paraId="0AE1A804" w14:textId="77777777" w:rsidTr="00A65FFD">
        <w:trPr>
          <w:trHeight w:val="569"/>
          <w:jc w:val="center"/>
        </w:trPr>
        <w:tc>
          <w:tcPr>
            <w:tcW w:w="1590" w:type="dxa"/>
            <w:tcBorders>
              <w:top w:val="single" w:sz="4" w:space="0" w:color="000000"/>
              <w:bottom w:val="single" w:sz="4" w:space="0" w:color="000000"/>
            </w:tcBorders>
            <w:vAlign w:val="center"/>
          </w:tcPr>
          <w:p w14:paraId="4A80FA2E" w14:textId="77777777" w:rsidR="008A1E26" w:rsidRPr="002E23D7" w:rsidRDefault="008A1E26" w:rsidP="00717864">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Makanan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Jajanan</w:t>
            </w:r>
            <w:proofErr w:type="spellEnd"/>
          </w:p>
        </w:tc>
        <w:tc>
          <w:tcPr>
            <w:tcW w:w="1625" w:type="dxa"/>
            <w:tcBorders>
              <w:top w:val="single" w:sz="4" w:space="0" w:color="000000"/>
              <w:bottom w:val="single" w:sz="4" w:space="0" w:color="000000"/>
            </w:tcBorders>
            <w:vAlign w:val="center"/>
          </w:tcPr>
          <w:p w14:paraId="510AA2C2"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1321" w:type="dxa"/>
            <w:tcBorders>
              <w:top w:val="single" w:sz="4" w:space="0" w:color="000000"/>
              <w:bottom w:val="single" w:sz="4" w:space="0" w:color="000000"/>
            </w:tcBorders>
            <w:vAlign w:val="center"/>
          </w:tcPr>
          <w:p w14:paraId="2012C378"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8A1E26" w:rsidRPr="002E23D7" w14:paraId="75411B8C" w14:textId="77777777" w:rsidTr="00A65FFD">
        <w:trPr>
          <w:trHeight w:val="269"/>
          <w:jc w:val="center"/>
        </w:trPr>
        <w:tc>
          <w:tcPr>
            <w:tcW w:w="1590" w:type="dxa"/>
            <w:tcBorders>
              <w:top w:val="single" w:sz="4" w:space="0" w:color="000000"/>
            </w:tcBorders>
          </w:tcPr>
          <w:p w14:paraId="0DF757A1" w14:textId="77777777" w:rsidR="008A1E26" w:rsidRPr="002E23D7" w:rsidRDefault="008A1E26" w:rsidP="00717864">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Jarang</w:t>
            </w:r>
            <w:proofErr w:type="spellEnd"/>
          </w:p>
        </w:tc>
        <w:tc>
          <w:tcPr>
            <w:tcW w:w="1625" w:type="dxa"/>
            <w:tcBorders>
              <w:top w:val="single" w:sz="4" w:space="0" w:color="000000"/>
            </w:tcBorders>
          </w:tcPr>
          <w:p w14:paraId="64E97B7A"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35</w:t>
            </w:r>
          </w:p>
        </w:tc>
        <w:tc>
          <w:tcPr>
            <w:tcW w:w="1321" w:type="dxa"/>
            <w:tcBorders>
              <w:top w:val="single" w:sz="4" w:space="0" w:color="000000"/>
            </w:tcBorders>
          </w:tcPr>
          <w:p w14:paraId="6C32D5CD"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76,1</w:t>
            </w:r>
          </w:p>
        </w:tc>
      </w:tr>
      <w:tr w:rsidR="008A1E26" w:rsidRPr="002E23D7" w14:paraId="63EA520D" w14:textId="77777777" w:rsidTr="00A65FFD">
        <w:trPr>
          <w:trHeight w:val="284"/>
          <w:jc w:val="center"/>
        </w:trPr>
        <w:tc>
          <w:tcPr>
            <w:tcW w:w="1590" w:type="dxa"/>
          </w:tcPr>
          <w:p w14:paraId="5DCAB049" w14:textId="77777777" w:rsidR="008A1E26" w:rsidRPr="002E23D7" w:rsidRDefault="008A1E26" w:rsidP="00717864">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Sering</w:t>
            </w:r>
            <w:proofErr w:type="spellEnd"/>
          </w:p>
        </w:tc>
        <w:tc>
          <w:tcPr>
            <w:tcW w:w="1625" w:type="dxa"/>
          </w:tcPr>
          <w:p w14:paraId="43D9C60C"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11</w:t>
            </w:r>
          </w:p>
        </w:tc>
        <w:tc>
          <w:tcPr>
            <w:tcW w:w="1321" w:type="dxa"/>
          </w:tcPr>
          <w:p w14:paraId="148F98EC"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23,9</w:t>
            </w:r>
          </w:p>
        </w:tc>
      </w:tr>
      <w:tr w:rsidR="008A1E26" w:rsidRPr="002E23D7" w14:paraId="55F21353" w14:textId="77777777" w:rsidTr="00A65FFD">
        <w:trPr>
          <w:trHeight w:val="284"/>
          <w:jc w:val="center"/>
        </w:trPr>
        <w:tc>
          <w:tcPr>
            <w:tcW w:w="1590" w:type="dxa"/>
          </w:tcPr>
          <w:p w14:paraId="2F5A9F08" w14:textId="77777777" w:rsidR="008A1E26" w:rsidRPr="002E23D7" w:rsidRDefault="008A1E26" w:rsidP="00717864">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p>
        </w:tc>
        <w:tc>
          <w:tcPr>
            <w:tcW w:w="1625" w:type="dxa"/>
          </w:tcPr>
          <w:p w14:paraId="4293B55F"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1321" w:type="dxa"/>
          </w:tcPr>
          <w:p w14:paraId="37A1D195" w14:textId="77777777" w:rsidR="008A1E26" w:rsidRPr="002E23D7" w:rsidRDefault="008A1E26" w:rsidP="00717864">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42DC3AF5" w14:textId="43AA94ED" w:rsidR="008A1E26" w:rsidRPr="00F03F63"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04F468A9" w14:textId="77777777" w:rsidR="00717864" w:rsidRDefault="00717864" w:rsidP="008A1E26">
      <w:pPr>
        <w:tabs>
          <w:tab w:val="left" w:pos="426"/>
        </w:tabs>
        <w:spacing w:after="0" w:line="240" w:lineRule="auto"/>
        <w:jc w:val="both"/>
        <w:rPr>
          <w:rFonts w:ascii="Tw Cen MT" w:eastAsia="Twentieth Century" w:hAnsi="Tw Cen MT" w:cs="Twentieth Century"/>
          <w:sz w:val="24"/>
          <w:szCs w:val="24"/>
        </w:rPr>
      </w:pPr>
    </w:p>
    <w:p w14:paraId="15CEA0BF" w14:textId="44DABCBA" w:rsidR="008A1E26" w:rsidRDefault="008A1E26" w:rsidP="00717864">
      <w:pPr>
        <w:tabs>
          <w:tab w:val="left" w:pos="426"/>
        </w:tabs>
        <w:spacing w:after="0" w:line="240" w:lineRule="auto"/>
        <w:jc w:val="both"/>
        <w:rPr>
          <w:rFonts w:ascii="Tw Cen MT" w:eastAsia="Twentieth Century" w:hAnsi="Tw Cen MT" w:cs="Twentieth Century"/>
          <w:sz w:val="24"/>
          <w:szCs w:val="24"/>
        </w:rPr>
      </w:pPr>
      <w:proofErr w:type="spellStart"/>
      <w:r w:rsidRPr="00B235E1">
        <w:rPr>
          <w:rFonts w:ascii="Tw Cen MT" w:eastAsia="Twentieth Century" w:hAnsi="Tw Cen MT" w:cs="Twentieth Century"/>
          <w:sz w:val="24"/>
          <w:szCs w:val="24"/>
        </w:rPr>
        <w:t>Tab</w:t>
      </w:r>
      <w:r w:rsidR="00717864">
        <w:rPr>
          <w:rFonts w:ascii="Tw Cen MT" w:eastAsia="Twentieth Century" w:hAnsi="Tw Cen MT" w:cs="Twentieth Century"/>
          <w:sz w:val="24"/>
          <w:szCs w:val="24"/>
        </w:rPr>
        <w:t>el</w:t>
      </w:r>
      <w:proofErr w:type="spellEnd"/>
      <w:r w:rsidRPr="00B235E1">
        <w:rPr>
          <w:rFonts w:ascii="Tw Cen MT" w:eastAsia="Twentieth Century" w:hAnsi="Tw Cen MT" w:cs="Twentieth Century"/>
          <w:sz w:val="24"/>
          <w:szCs w:val="24"/>
        </w:rPr>
        <w:t xml:space="preserve"> 1 </w:t>
      </w:r>
      <w:proofErr w:type="spellStart"/>
      <w:r w:rsidRPr="00B235E1">
        <w:rPr>
          <w:rFonts w:ascii="Tw Cen MT" w:eastAsia="Twentieth Century" w:hAnsi="Tw Cen MT" w:cs="Twentieth Century"/>
          <w:sz w:val="24"/>
          <w:szCs w:val="24"/>
        </w:rPr>
        <w:t>menunjukan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sebagian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besar</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dari</w:t>
      </w:r>
      <w:proofErr w:type="spellEnd"/>
      <w:r w:rsidRPr="00B235E1">
        <w:rPr>
          <w:rFonts w:ascii="Tw Cen MT" w:eastAsia="Twentieth Century" w:hAnsi="Tw Cen MT" w:cs="Twentieth Century"/>
          <w:sz w:val="24"/>
          <w:szCs w:val="24"/>
        </w:rPr>
        <w:t xml:space="preserve"> </w:t>
      </w:r>
      <w:proofErr w:type="spellStart"/>
      <w:r w:rsidR="00A07B8A">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yaitu</w:t>
      </w:r>
      <w:proofErr w:type="spellEnd"/>
      <w:r w:rsidRPr="00B235E1">
        <w:rPr>
          <w:rFonts w:ascii="Tw Cen MT" w:eastAsia="Twentieth Century" w:hAnsi="Tw Cen MT" w:cs="Twentieth Century"/>
          <w:sz w:val="24"/>
          <w:szCs w:val="24"/>
        </w:rPr>
        <w:t xml:space="preserve"> 35 orang (76,1%) </w:t>
      </w:r>
      <w:proofErr w:type="spellStart"/>
      <w:r w:rsidRPr="00B235E1">
        <w:rPr>
          <w:rFonts w:ascii="Tw Cen MT" w:eastAsia="Twentieth Century" w:hAnsi="Tw Cen MT" w:cs="Twentieth Century"/>
          <w:sz w:val="24"/>
          <w:szCs w:val="24"/>
        </w:rPr>
        <w:t>memiliki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pola</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makanan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dengan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kategori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jarang</w:t>
      </w:r>
      <w:proofErr w:type="spellEnd"/>
      <w:r w:rsidRPr="00B235E1">
        <w:rPr>
          <w:rFonts w:ascii="Tw Cen MT" w:eastAsia="Twentieth Century" w:hAnsi="Tw Cen MT" w:cs="Twentieth Century"/>
          <w:sz w:val="24"/>
          <w:szCs w:val="24"/>
        </w:rPr>
        <w:t xml:space="preserve"> dan 11 orang (23,9%) </w:t>
      </w:r>
      <w:proofErr w:type="spellStart"/>
      <w:r w:rsidRPr="00B235E1">
        <w:rPr>
          <w:rFonts w:ascii="Tw Cen MT" w:eastAsia="Twentieth Century" w:hAnsi="Tw Cen MT" w:cs="Twentieth Century"/>
          <w:sz w:val="24"/>
          <w:szCs w:val="24"/>
        </w:rPr>
        <w:t>memiliki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pola</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dengan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kategori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sering</w:t>
      </w:r>
      <w:proofErr w:type="spellEnd"/>
      <w:r w:rsidRPr="00B235E1">
        <w:rPr>
          <w:rFonts w:ascii="Tw Cen MT" w:eastAsia="Twentieth Century" w:hAnsi="Tw Cen MT" w:cs="Twentieth Century"/>
          <w:sz w:val="24"/>
          <w:szCs w:val="24"/>
        </w:rPr>
        <w:t xml:space="preserve">. Hasil </w:t>
      </w:r>
      <w:proofErr w:type="spellStart"/>
      <w:r w:rsidRPr="00B235E1">
        <w:rPr>
          <w:rFonts w:ascii="Tw Cen MT" w:eastAsia="Twentieth Century" w:hAnsi="Tw Cen MT" w:cs="Twentieth Century"/>
          <w:sz w:val="24"/>
          <w:szCs w:val="24"/>
        </w:rPr>
        <w:t>penelitian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tabel</w:t>
      </w:r>
      <w:proofErr w:type="spellEnd"/>
      <w:r w:rsidRPr="00B235E1">
        <w:rPr>
          <w:rFonts w:ascii="Tw Cen MT" w:eastAsia="Twentieth Century" w:hAnsi="Tw Cen MT" w:cs="Twentieth Century"/>
          <w:sz w:val="24"/>
          <w:szCs w:val="24"/>
        </w:rPr>
        <w:t xml:space="preserve"> 1 </w:t>
      </w:r>
      <w:proofErr w:type="spellStart"/>
      <w:r w:rsidRPr="00B235E1">
        <w:rPr>
          <w:rFonts w:ascii="Tw Cen MT" w:eastAsia="Twentieth Century" w:hAnsi="Tw Cen MT" w:cs="Twentieth Century"/>
          <w:sz w:val="24"/>
          <w:szCs w:val="24"/>
        </w:rPr>
        <w:t>menunjukkan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sebagian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besar</w:t>
      </w:r>
      <w:proofErr w:type="spellEnd"/>
      <w:r w:rsidRPr="00B235E1">
        <w:rPr>
          <w:rFonts w:ascii="Tw Cen MT" w:eastAsia="Twentieth Century" w:hAnsi="Tw Cen MT" w:cs="Twentieth Century"/>
          <w:sz w:val="24"/>
          <w:szCs w:val="24"/>
        </w:rPr>
        <w:t xml:space="preserve"> </w:t>
      </w:r>
      <w:proofErr w:type="spellStart"/>
      <w:r w:rsidR="00A07B8A">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(79,1%) </w:t>
      </w:r>
      <w:proofErr w:type="spellStart"/>
      <w:r w:rsidRPr="00B235E1">
        <w:rPr>
          <w:rFonts w:ascii="Tw Cen MT" w:eastAsia="Twentieth Century" w:hAnsi="Tw Cen MT" w:cs="Twentieth Century"/>
          <w:sz w:val="24"/>
          <w:szCs w:val="24"/>
        </w:rPr>
        <w:t>jarang</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mengonsumsi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makanan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menyumbang</w:t>
      </w:r>
      <w:proofErr w:type="spellEnd"/>
      <w:r w:rsidRPr="00B235E1">
        <w:rPr>
          <w:rFonts w:ascii="Tw Cen MT" w:eastAsia="Twentieth Century" w:hAnsi="Tw Cen MT" w:cs="Twentieth Century"/>
          <w:sz w:val="24"/>
          <w:szCs w:val="24"/>
        </w:rPr>
        <w:t xml:space="preserve"> &lt;20% </w:t>
      </w:r>
      <w:proofErr w:type="spellStart"/>
      <w:r w:rsidRPr="00B235E1">
        <w:rPr>
          <w:rFonts w:ascii="Tw Cen MT" w:eastAsia="Twentieth Century" w:hAnsi="Tw Cen MT" w:cs="Twentieth Century"/>
          <w:sz w:val="24"/>
          <w:szCs w:val="24"/>
        </w:rPr>
        <w:t>energi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dari</w:t>
      </w:r>
      <w:proofErr w:type="spellEnd"/>
      <w:r w:rsidRPr="00B235E1">
        <w:rPr>
          <w:rFonts w:ascii="Tw Cen MT" w:eastAsia="Twentieth Century" w:hAnsi="Tw Cen MT" w:cs="Twentieth Century"/>
          <w:sz w:val="24"/>
          <w:szCs w:val="24"/>
        </w:rPr>
        <w:t xml:space="preserve"> total </w:t>
      </w:r>
      <w:proofErr w:type="spellStart"/>
      <w:r w:rsidRPr="00B235E1">
        <w:rPr>
          <w:rFonts w:ascii="Tw Cen MT" w:eastAsia="Twentieth Century" w:hAnsi="Tw Cen MT" w:cs="Twentieth Century"/>
          <w:sz w:val="24"/>
          <w:szCs w:val="24"/>
        </w:rPr>
        <w:t>kebutuhan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sehari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yaitu</w:t>
      </w:r>
      <w:proofErr w:type="spellEnd"/>
      <w:r w:rsidRPr="00B235E1">
        <w:rPr>
          <w:rFonts w:ascii="Tw Cen MT" w:eastAsia="Twentieth Century" w:hAnsi="Tw Cen MT" w:cs="Twentieth Century"/>
          <w:sz w:val="24"/>
          <w:szCs w:val="24"/>
        </w:rPr>
        <w:t xml:space="preserve"> 2.250 </w:t>
      </w:r>
      <w:proofErr w:type="spellStart"/>
      <w:r w:rsidRPr="00B235E1">
        <w:rPr>
          <w:rFonts w:ascii="Tw Cen MT" w:eastAsia="Twentieth Century" w:hAnsi="Tw Cen MT" w:cs="Twentieth Century"/>
          <w:sz w:val="24"/>
          <w:szCs w:val="24"/>
        </w:rPr>
        <w:t>kkal</w:t>
      </w:r>
      <w:proofErr w:type="spellEnd"/>
      <w:r w:rsidRPr="00B235E1">
        <w:rPr>
          <w:rFonts w:ascii="Tw Cen MT" w:eastAsia="Twentieth Century" w:hAnsi="Tw Cen MT" w:cs="Twentieth Century"/>
          <w:sz w:val="24"/>
          <w:szCs w:val="24"/>
        </w:rPr>
        <w:t xml:space="preserve"> dan &lt;10% lemak </w:t>
      </w:r>
      <w:proofErr w:type="spellStart"/>
      <w:r w:rsidRPr="00B235E1">
        <w:rPr>
          <w:rFonts w:ascii="Tw Cen MT" w:eastAsia="Twentieth Century" w:hAnsi="Tw Cen MT" w:cs="Twentieth Century"/>
          <w:sz w:val="24"/>
          <w:szCs w:val="24"/>
        </w:rPr>
        <w:t>dari</w:t>
      </w:r>
      <w:proofErr w:type="spellEnd"/>
      <w:r w:rsidRPr="00B235E1">
        <w:rPr>
          <w:rFonts w:ascii="Tw Cen MT" w:eastAsia="Twentieth Century" w:hAnsi="Tw Cen MT" w:cs="Twentieth Century"/>
          <w:sz w:val="24"/>
          <w:szCs w:val="24"/>
        </w:rPr>
        <w:t xml:space="preserve"> total </w:t>
      </w:r>
      <w:proofErr w:type="spellStart"/>
      <w:r w:rsidRPr="00B235E1">
        <w:rPr>
          <w:rFonts w:ascii="Tw Cen MT" w:eastAsia="Twentieth Century" w:hAnsi="Tw Cen MT" w:cs="Twentieth Century"/>
          <w:sz w:val="24"/>
          <w:szCs w:val="24"/>
        </w:rPr>
        <w:t>kebutuhan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sehari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yaitu</w:t>
      </w:r>
      <w:proofErr w:type="spellEnd"/>
      <w:r w:rsidRPr="00B235E1">
        <w:rPr>
          <w:rFonts w:ascii="Tw Cen MT" w:eastAsia="Twentieth Century" w:hAnsi="Tw Cen MT" w:cs="Twentieth Century"/>
          <w:sz w:val="24"/>
          <w:szCs w:val="24"/>
        </w:rPr>
        <w:t xml:space="preserve"> 65 gr/</w:t>
      </w:r>
      <w:proofErr w:type="spellStart"/>
      <w:r w:rsidRPr="00B235E1">
        <w:rPr>
          <w:rFonts w:ascii="Tw Cen MT" w:eastAsia="Twentieth Century" w:hAnsi="Tw Cen MT" w:cs="Twentieth Century"/>
          <w:sz w:val="24"/>
          <w:szCs w:val="24"/>
        </w:rPr>
        <w:t>hari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Jenis</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makanan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yang </w:t>
      </w:r>
      <w:proofErr w:type="spellStart"/>
      <w:r w:rsidRPr="00B235E1">
        <w:rPr>
          <w:rFonts w:ascii="Tw Cen MT" w:eastAsia="Twentieth Century" w:hAnsi="Tw Cen MT" w:cs="Twentieth Century"/>
          <w:sz w:val="24"/>
          <w:szCs w:val="24"/>
        </w:rPr>
        <w:t>sering</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dikonsumsi</w:t>
      </w:r>
      <w:proofErr w:type="spellEnd"/>
      <w:r w:rsidRPr="00B235E1">
        <w:rPr>
          <w:rFonts w:ascii="Tw Cen MT" w:eastAsia="Twentieth Century" w:hAnsi="Tw Cen MT" w:cs="Twentieth Century"/>
          <w:sz w:val="24"/>
          <w:szCs w:val="24"/>
        </w:rPr>
        <w:t xml:space="preserve"> oleh </w:t>
      </w:r>
      <w:proofErr w:type="spellStart"/>
      <w:r w:rsidR="00A07B8A">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adalah</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ayam</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bakar</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bakso</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bakso</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bakar</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mie</w:t>
      </w:r>
      <w:proofErr w:type="spellEnd"/>
      <w:r w:rsidRPr="00B235E1">
        <w:rPr>
          <w:rFonts w:ascii="Tw Cen MT" w:eastAsia="Twentieth Century" w:hAnsi="Tw Cen MT" w:cs="Twentieth Century"/>
          <w:sz w:val="24"/>
          <w:szCs w:val="24"/>
        </w:rPr>
        <w:t xml:space="preserve"> goreng, </w:t>
      </w:r>
      <w:proofErr w:type="spellStart"/>
      <w:r w:rsidRPr="00B235E1">
        <w:rPr>
          <w:rFonts w:ascii="Tw Cen MT" w:eastAsia="Twentieth Century" w:hAnsi="Tw Cen MT" w:cs="Twentieth Century"/>
          <w:sz w:val="24"/>
          <w:szCs w:val="24"/>
        </w:rPr>
        <w:t>gorengan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bakwan</w:t>
      </w:r>
      <w:proofErr w:type="spellEnd"/>
      <w:r w:rsidRPr="00B235E1">
        <w:rPr>
          <w:rFonts w:ascii="Tw Cen MT" w:eastAsia="Twentieth Century" w:hAnsi="Tw Cen MT" w:cs="Twentieth Century"/>
          <w:sz w:val="24"/>
          <w:szCs w:val="24"/>
        </w:rPr>
        <w:t xml:space="preserve"> dan </w:t>
      </w:r>
      <w:proofErr w:type="spellStart"/>
      <w:r w:rsidRPr="00B235E1">
        <w:rPr>
          <w:rFonts w:ascii="Tw Cen MT" w:eastAsia="Twentieth Century" w:hAnsi="Tw Cen MT" w:cs="Twentieth Century"/>
          <w:sz w:val="24"/>
          <w:szCs w:val="24"/>
        </w:rPr>
        <w:t>gorengan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tahu</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dengan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frekuensi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konsumi</w:t>
      </w:r>
      <w:proofErr w:type="spellEnd"/>
      <w:r w:rsidRPr="00B235E1">
        <w:rPr>
          <w:rFonts w:ascii="Tw Cen MT" w:eastAsia="Twentieth Century" w:hAnsi="Tw Cen MT" w:cs="Twentieth Century"/>
          <w:sz w:val="24"/>
          <w:szCs w:val="24"/>
        </w:rPr>
        <w:t xml:space="preserve"> 3-6 kali/</w:t>
      </w:r>
      <w:proofErr w:type="spellStart"/>
      <w:r w:rsidRPr="00B235E1">
        <w:rPr>
          <w:rFonts w:ascii="Tw Cen MT" w:eastAsia="Twentieth Century" w:hAnsi="Tw Cen MT" w:cs="Twentieth Century"/>
          <w:sz w:val="24"/>
          <w:szCs w:val="24"/>
        </w:rPr>
        <w:t>minggu</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Jenis</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makanan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yang </w:t>
      </w:r>
      <w:proofErr w:type="spellStart"/>
      <w:r w:rsidRPr="00B235E1">
        <w:rPr>
          <w:rFonts w:ascii="Tw Cen MT" w:eastAsia="Twentieth Century" w:hAnsi="Tw Cen MT" w:cs="Twentieth Century"/>
          <w:sz w:val="24"/>
          <w:szCs w:val="24"/>
        </w:rPr>
        <w:t>jarang</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dikonsumsi</w:t>
      </w:r>
      <w:proofErr w:type="spellEnd"/>
      <w:r w:rsidRPr="00B235E1">
        <w:rPr>
          <w:rFonts w:ascii="Tw Cen MT" w:eastAsia="Twentieth Century" w:hAnsi="Tw Cen MT" w:cs="Twentieth Century"/>
          <w:sz w:val="24"/>
          <w:szCs w:val="24"/>
        </w:rPr>
        <w:t xml:space="preserve"> oleh </w:t>
      </w:r>
      <w:proofErr w:type="spellStart"/>
      <w:r w:rsidRPr="00B235E1">
        <w:rPr>
          <w:rFonts w:ascii="Tw Cen MT" w:eastAsia="Twentieth Century" w:hAnsi="Tw Cen MT" w:cs="Twentieth Century"/>
          <w:sz w:val="24"/>
          <w:szCs w:val="24"/>
        </w:rPr>
        <w:t>adalah</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cilok</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singkong</w:t>
      </w:r>
      <w:proofErr w:type="spellEnd"/>
      <w:r w:rsidRPr="00B235E1">
        <w:rPr>
          <w:rFonts w:ascii="Tw Cen MT" w:eastAsia="Twentieth Century" w:hAnsi="Tw Cen MT" w:cs="Twentieth Century"/>
          <w:sz w:val="24"/>
          <w:szCs w:val="24"/>
        </w:rPr>
        <w:t xml:space="preserve"> goreng, dan </w:t>
      </w:r>
      <w:proofErr w:type="spellStart"/>
      <w:r w:rsidRPr="00B235E1">
        <w:rPr>
          <w:rFonts w:ascii="Tw Cen MT" w:eastAsia="Twentieth Century" w:hAnsi="Tw Cen MT" w:cs="Twentieth Century"/>
          <w:sz w:val="24"/>
          <w:szCs w:val="24"/>
        </w:rPr>
        <w:t>kentang</w:t>
      </w:r>
      <w:proofErr w:type="spellEnd"/>
      <w:r w:rsidRPr="00B235E1">
        <w:rPr>
          <w:rFonts w:ascii="Tw Cen MT" w:eastAsia="Twentieth Century" w:hAnsi="Tw Cen MT" w:cs="Twentieth Century"/>
          <w:sz w:val="24"/>
          <w:szCs w:val="24"/>
        </w:rPr>
        <w:t xml:space="preserve"> gor</w:t>
      </w:r>
      <w:r w:rsidR="00717864">
        <w:rPr>
          <w:rFonts w:ascii="Tw Cen MT" w:eastAsia="Twentieth Century" w:hAnsi="Tw Cen MT" w:cs="Twentieth Century"/>
          <w:sz w:val="24"/>
          <w:szCs w:val="24"/>
        </w:rPr>
        <w:t>e</w:t>
      </w:r>
      <w:r w:rsidRPr="00B235E1">
        <w:rPr>
          <w:rFonts w:ascii="Tw Cen MT" w:eastAsia="Twentieth Century" w:hAnsi="Tw Cen MT" w:cs="Twentieth Century"/>
          <w:sz w:val="24"/>
          <w:szCs w:val="24"/>
        </w:rPr>
        <w:t xml:space="preserve">ng </w:t>
      </w:r>
      <w:proofErr w:type="spellStart"/>
      <w:r w:rsidRPr="00B235E1">
        <w:rPr>
          <w:rFonts w:ascii="Tw Cen MT" w:eastAsia="Twentieth Century" w:hAnsi="Tw Cen MT" w:cs="Twentieth Century"/>
          <w:sz w:val="24"/>
          <w:szCs w:val="24"/>
        </w:rPr>
        <w:t>dengan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frekuensi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konsumsi</w:t>
      </w:r>
      <w:proofErr w:type="spellEnd"/>
      <w:r w:rsidRPr="00B235E1">
        <w:rPr>
          <w:rFonts w:ascii="Tw Cen MT" w:eastAsia="Twentieth Century" w:hAnsi="Tw Cen MT" w:cs="Twentieth Century"/>
          <w:sz w:val="24"/>
          <w:szCs w:val="24"/>
        </w:rPr>
        <w:t xml:space="preserve"> 1-3 kali/</w:t>
      </w:r>
      <w:proofErr w:type="spellStart"/>
      <w:r w:rsidRPr="00B235E1">
        <w:rPr>
          <w:rFonts w:ascii="Tw Cen MT" w:eastAsia="Twentieth Century" w:hAnsi="Tw Cen MT" w:cs="Twentieth Century"/>
          <w:sz w:val="24"/>
          <w:szCs w:val="24"/>
        </w:rPr>
        <w:t>bulan</w:t>
      </w:r>
      <w:proofErr w:type="spellEnd"/>
      <w:r w:rsidRPr="00B235E1">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32F98DC3" w14:textId="1A00A17F" w:rsidR="008A1E26" w:rsidRDefault="008A1E26" w:rsidP="008A1E26">
      <w:pPr>
        <w:tabs>
          <w:tab w:val="left" w:pos="426"/>
        </w:tabs>
        <w:spacing w:after="0" w:line="240" w:lineRule="auto"/>
        <w:jc w:val="both"/>
        <w:rPr>
          <w:rFonts w:ascii="Tw Cen MT" w:eastAsia="Twentieth Century" w:hAnsi="Tw Cen MT" w:cs="Twentieth Century"/>
          <w:sz w:val="24"/>
          <w:szCs w:val="24"/>
        </w:rPr>
      </w:pPr>
      <w:proofErr w:type="spellStart"/>
      <w:r w:rsidRPr="00B235E1">
        <w:rPr>
          <w:rFonts w:ascii="Tw Cen MT" w:eastAsia="Twentieth Century" w:hAnsi="Tw Cen MT" w:cs="Twentieth Century"/>
          <w:sz w:val="24"/>
          <w:szCs w:val="24"/>
        </w:rPr>
        <w:t>Tidak</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seperti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penelitian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tahun</w:t>
      </w:r>
      <w:proofErr w:type="spellEnd"/>
      <w:r w:rsidRPr="00B235E1">
        <w:rPr>
          <w:rFonts w:ascii="Tw Cen MT" w:eastAsia="Twentieth Century" w:hAnsi="Tw Cen MT" w:cs="Twentieth Century"/>
          <w:sz w:val="24"/>
          <w:szCs w:val="24"/>
        </w:rPr>
        <w:t xml:space="preserve"> 2023 di </w:t>
      </w:r>
      <w:proofErr w:type="spellStart"/>
      <w:r w:rsidRPr="00B235E1">
        <w:rPr>
          <w:rFonts w:ascii="Tw Cen MT" w:eastAsia="Twentieth Century" w:hAnsi="Tw Cen MT" w:cs="Twentieth Century"/>
          <w:sz w:val="24"/>
          <w:szCs w:val="24"/>
        </w:rPr>
        <w:t>Fakultas</w:t>
      </w:r>
      <w:proofErr w:type="spellEnd"/>
      <w:r w:rsidRPr="00B235E1">
        <w:rPr>
          <w:rFonts w:ascii="Tw Cen MT" w:eastAsia="Twentieth Century" w:hAnsi="Tw Cen MT" w:cs="Twentieth Century"/>
          <w:sz w:val="24"/>
          <w:szCs w:val="24"/>
        </w:rPr>
        <w:t xml:space="preserve"> Kesehatan Masyarakat Universitas Nusa </w:t>
      </w:r>
      <w:proofErr w:type="spellStart"/>
      <w:r w:rsidRPr="00B235E1">
        <w:rPr>
          <w:rFonts w:ascii="Tw Cen MT" w:eastAsia="Twentieth Century" w:hAnsi="Tw Cen MT" w:cs="Twentieth Century"/>
          <w:sz w:val="24"/>
          <w:szCs w:val="24"/>
        </w:rPr>
        <w:t>Cendana</w:t>
      </w:r>
      <w:proofErr w:type="spellEnd"/>
      <w:r w:rsidRPr="00B235E1">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penelitian</w:t>
      </w:r>
      <w:proofErr w:type="spellEnd"/>
      <w:r w:rsidR="00717864">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ini</w:t>
      </w:r>
      <w:proofErr w:type="spellEnd"/>
      <w:r w:rsidR="00717864">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memperoleh</w:t>
      </w:r>
      <w:proofErr w:type="spellEnd"/>
      <w:r w:rsidR="00717864">
        <w:rPr>
          <w:rFonts w:ascii="Tw Cen MT" w:eastAsia="Twentieth Century" w:hAnsi="Tw Cen MT" w:cs="Twentieth Century"/>
          <w:sz w:val="24"/>
          <w:szCs w:val="24"/>
        </w:rPr>
        <w:t xml:space="preserve"> data</w:t>
      </w:r>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sering</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mengonsumsi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00717864">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sebesar</w:t>
      </w:r>
      <w:proofErr w:type="spellEnd"/>
      <w:r w:rsidRPr="00B235E1">
        <w:rPr>
          <w:rFonts w:ascii="Tw Cen MT" w:eastAsia="Twentieth Century" w:hAnsi="Tw Cen MT" w:cs="Twentieth Century"/>
          <w:sz w:val="24"/>
          <w:szCs w:val="24"/>
        </w:rPr>
        <w:t xml:space="preserve"> 20,8%, </w:t>
      </w:r>
      <w:proofErr w:type="spellStart"/>
      <w:r w:rsidRPr="00B235E1">
        <w:rPr>
          <w:rFonts w:ascii="Tw Cen MT" w:eastAsia="Twentieth Century" w:hAnsi="Tw Cen MT" w:cs="Twentieth Century"/>
          <w:sz w:val="24"/>
          <w:szCs w:val="24"/>
        </w:rPr>
        <w:t>dibandingkan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jarang</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mengonsumsi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00717864">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sebesar</w:t>
      </w:r>
      <w:proofErr w:type="spellEnd"/>
      <w:r w:rsidRPr="00B235E1">
        <w:rPr>
          <w:rFonts w:ascii="Tw Cen MT" w:eastAsia="Twentieth Century" w:hAnsi="Tw Cen MT" w:cs="Twentieth Century"/>
          <w:sz w:val="24"/>
          <w:szCs w:val="24"/>
        </w:rPr>
        <w:t xml:space="preserve"> 76,8%. </w:t>
      </w:r>
      <w:r w:rsidR="00717864">
        <w:rPr>
          <w:rFonts w:ascii="Tw Cen MT" w:eastAsia="Twentieth Century" w:hAnsi="Tw Cen MT" w:cs="Twentieth Century"/>
          <w:sz w:val="24"/>
          <w:szCs w:val="24"/>
        </w:rPr>
        <w:t xml:space="preserve">Data </w:t>
      </w:r>
      <w:proofErr w:type="spellStart"/>
      <w:r w:rsidR="00717864">
        <w:rPr>
          <w:rFonts w:ascii="Tw Cen MT" w:eastAsia="Twentieth Century" w:hAnsi="Tw Cen MT" w:cs="Twentieth Century"/>
          <w:sz w:val="24"/>
          <w:szCs w:val="24"/>
        </w:rPr>
        <w:t>ini</w:t>
      </w:r>
      <w:proofErr w:type="spellEnd"/>
      <w:r w:rsidR="00717864">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m</w:t>
      </w:r>
      <w:r w:rsidRPr="00B235E1">
        <w:rPr>
          <w:rFonts w:ascii="Tw Cen MT" w:eastAsia="Twentieth Century" w:hAnsi="Tw Cen MT" w:cs="Twentieth Century"/>
          <w:sz w:val="24"/>
          <w:szCs w:val="24"/>
        </w:rPr>
        <w:t>enunjukkan</w:t>
      </w:r>
      <w:proofErr w:type="spellEnd"/>
      <w:r w:rsidRPr="00B235E1">
        <w:rPr>
          <w:rFonts w:ascii="Tw Cen MT" w:eastAsia="Twentieth Century" w:hAnsi="Tw Cen MT" w:cs="Twentieth Century"/>
          <w:sz w:val="24"/>
          <w:szCs w:val="24"/>
        </w:rPr>
        <w:t xml:space="preserve"> </w:t>
      </w:r>
      <w:proofErr w:type="spellStart"/>
      <w:r w:rsidR="00717864">
        <w:rPr>
          <w:rFonts w:ascii="Tw Cen MT" w:eastAsia="Twentieth Century" w:hAnsi="Tw Cen MT" w:cs="Twentieth Century"/>
          <w:sz w:val="24"/>
          <w:szCs w:val="24"/>
        </w:rPr>
        <w:t>bahwa</w:t>
      </w:r>
      <w:proofErr w:type="spellEnd"/>
      <w:r w:rsidR="00717864">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sebagian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besar</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mahasiswanya</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mengonsumsi</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jajanan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baik</w:t>
      </w:r>
      <w:proofErr w:type="spellEnd"/>
      <w:r w:rsidRPr="00B235E1">
        <w:rPr>
          <w:rFonts w:ascii="Tw Cen MT" w:eastAsia="Twentieth Century" w:hAnsi="Tw Cen MT" w:cs="Twentieth Century"/>
          <w:sz w:val="24"/>
          <w:szCs w:val="24"/>
        </w:rPr>
        <w:t xml:space="preserve"> [14].</w:t>
      </w:r>
    </w:p>
    <w:p w14:paraId="2EAB6F79" w14:textId="77777777" w:rsidR="00717864" w:rsidRDefault="00717864" w:rsidP="008A1E26">
      <w:pPr>
        <w:spacing w:after="0" w:line="240" w:lineRule="auto"/>
        <w:jc w:val="center"/>
        <w:rPr>
          <w:rFonts w:ascii="Tw Cen MT" w:eastAsia="Twentieth Century" w:hAnsi="Tw Cen MT" w:cs="Twentieth Century"/>
          <w:sz w:val="20"/>
          <w:szCs w:val="20"/>
        </w:rPr>
      </w:pPr>
    </w:p>
    <w:p w14:paraId="2AC04B88" w14:textId="25404BDF" w:rsidR="008A1E26" w:rsidRPr="002E23D7" w:rsidRDefault="008A1E26" w:rsidP="008A1E26">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2. Gambaran Pola </w:t>
      </w:r>
      <w:proofErr w:type="spellStart"/>
      <w:r>
        <w:rPr>
          <w:rFonts w:ascii="Tw Cen MT" w:eastAsia="Twentieth Century" w:hAnsi="Tw Cen MT" w:cs="Twentieth Century"/>
          <w:sz w:val="20"/>
          <w:szCs w:val="20"/>
        </w:rPr>
        <w:t>Konsumsi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Minuman</w:t>
      </w:r>
      <w:proofErr w:type="spellEnd"/>
      <w:r>
        <w:rPr>
          <w:rFonts w:ascii="Tw Cen MT" w:eastAsia="Twentieth Century" w:hAnsi="Tw Cen MT" w:cs="Twentieth Century"/>
          <w:sz w:val="20"/>
          <w:szCs w:val="20"/>
        </w:rPr>
        <w:t xml:space="preserve"> Manis</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8A1E26" w:rsidRPr="002E23D7" w14:paraId="75436B03" w14:textId="77777777" w:rsidTr="00A65FFD">
        <w:trPr>
          <w:trHeight w:val="569"/>
          <w:jc w:val="center"/>
        </w:trPr>
        <w:tc>
          <w:tcPr>
            <w:tcW w:w="1590" w:type="dxa"/>
            <w:tcBorders>
              <w:top w:val="single" w:sz="4" w:space="0" w:color="000000"/>
              <w:bottom w:val="single" w:sz="4" w:space="0" w:color="000000"/>
            </w:tcBorders>
            <w:vAlign w:val="center"/>
          </w:tcPr>
          <w:p w14:paraId="2E1E6425"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Makanan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Jajanan</w:t>
            </w:r>
            <w:proofErr w:type="spellEnd"/>
          </w:p>
        </w:tc>
        <w:tc>
          <w:tcPr>
            <w:tcW w:w="1625" w:type="dxa"/>
            <w:tcBorders>
              <w:top w:val="single" w:sz="4" w:space="0" w:color="000000"/>
              <w:bottom w:val="single" w:sz="4" w:space="0" w:color="000000"/>
            </w:tcBorders>
            <w:vAlign w:val="center"/>
          </w:tcPr>
          <w:p w14:paraId="5EF49AB5"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1321" w:type="dxa"/>
            <w:tcBorders>
              <w:top w:val="single" w:sz="4" w:space="0" w:color="000000"/>
              <w:bottom w:val="single" w:sz="4" w:space="0" w:color="000000"/>
            </w:tcBorders>
            <w:vAlign w:val="center"/>
          </w:tcPr>
          <w:p w14:paraId="68E00597"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8A1E26" w:rsidRPr="002E23D7" w14:paraId="41996142" w14:textId="77777777" w:rsidTr="00A65FFD">
        <w:trPr>
          <w:trHeight w:val="269"/>
          <w:jc w:val="center"/>
        </w:trPr>
        <w:tc>
          <w:tcPr>
            <w:tcW w:w="1590" w:type="dxa"/>
            <w:tcBorders>
              <w:top w:val="single" w:sz="4" w:space="0" w:color="000000"/>
            </w:tcBorders>
          </w:tcPr>
          <w:p w14:paraId="366D4747"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Jarang</w:t>
            </w:r>
            <w:proofErr w:type="spellEnd"/>
          </w:p>
        </w:tc>
        <w:tc>
          <w:tcPr>
            <w:tcW w:w="1625" w:type="dxa"/>
            <w:tcBorders>
              <w:top w:val="single" w:sz="4" w:space="0" w:color="000000"/>
            </w:tcBorders>
          </w:tcPr>
          <w:p w14:paraId="19544BEE"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1321" w:type="dxa"/>
            <w:tcBorders>
              <w:top w:val="single" w:sz="4" w:space="0" w:color="000000"/>
            </w:tcBorders>
          </w:tcPr>
          <w:p w14:paraId="51F1BAD5"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69,6</w:t>
            </w:r>
          </w:p>
        </w:tc>
      </w:tr>
      <w:tr w:rsidR="008A1E26" w:rsidRPr="002E23D7" w14:paraId="1BCCC704" w14:textId="77777777" w:rsidTr="00A65FFD">
        <w:trPr>
          <w:trHeight w:val="284"/>
          <w:jc w:val="center"/>
        </w:trPr>
        <w:tc>
          <w:tcPr>
            <w:tcW w:w="1590" w:type="dxa"/>
          </w:tcPr>
          <w:p w14:paraId="3434FFB0"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Sering</w:t>
            </w:r>
            <w:proofErr w:type="spellEnd"/>
          </w:p>
        </w:tc>
        <w:tc>
          <w:tcPr>
            <w:tcW w:w="1625" w:type="dxa"/>
          </w:tcPr>
          <w:p w14:paraId="7041CD30"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14</w:t>
            </w:r>
          </w:p>
        </w:tc>
        <w:tc>
          <w:tcPr>
            <w:tcW w:w="1321" w:type="dxa"/>
          </w:tcPr>
          <w:p w14:paraId="2769AADE"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30,4</w:t>
            </w:r>
          </w:p>
        </w:tc>
      </w:tr>
      <w:tr w:rsidR="008A1E26" w:rsidRPr="002E23D7" w14:paraId="796BD649" w14:textId="77777777" w:rsidTr="00A65FFD">
        <w:trPr>
          <w:trHeight w:val="284"/>
          <w:jc w:val="center"/>
        </w:trPr>
        <w:tc>
          <w:tcPr>
            <w:tcW w:w="1590" w:type="dxa"/>
          </w:tcPr>
          <w:p w14:paraId="19FB990E" w14:textId="77777777" w:rsidR="008A1E26" w:rsidRPr="002E23D7" w:rsidRDefault="008A1E26" w:rsidP="008A1E2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p>
        </w:tc>
        <w:tc>
          <w:tcPr>
            <w:tcW w:w="1625" w:type="dxa"/>
          </w:tcPr>
          <w:p w14:paraId="642B7531"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1321" w:type="dxa"/>
          </w:tcPr>
          <w:p w14:paraId="723BC119"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3908B89D" w14:textId="01E0370C" w:rsidR="008A1E26"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2221E7B6" w14:textId="77777777" w:rsidR="00717864" w:rsidRPr="00F03F63" w:rsidRDefault="00717864" w:rsidP="008A1E26">
      <w:pPr>
        <w:spacing w:after="0" w:line="240" w:lineRule="auto"/>
        <w:jc w:val="both"/>
        <w:rPr>
          <w:rFonts w:ascii="Tw Cen MT" w:eastAsia="Twentieth Century" w:hAnsi="Tw Cen MT" w:cs="Twentieth Century"/>
          <w:sz w:val="20"/>
          <w:szCs w:val="20"/>
        </w:rPr>
      </w:pPr>
    </w:p>
    <w:p w14:paraId="1E9F2FE3" w14:textId="0A1AC22E" w:rsidR="008A1E26" w:rsidRDefault="008A1E26" w:rsidP="008A1E26">
      <w:pPr>
        <w:tabs>
          <w:tab w:val="left" w:pos="426"/>
        </w:tabs>
        <w:spacing w:after="0" w:line="240" w:lineRule="auto"/>
        <w:jc w:val="both"/>
        <w:rPr>
          <w:rFonts w:ascii="Tw Cen MT" w:hAnsi="Tw Cen MT" w:cs="Times New Roman"/>
          <w:sz w:val="24"/>
          <w:szCs w:val="24"/>
        </w:rPr>
      </w:pPr>
      <w:proofErr w:type="spellStart"/>
      <w:r w:rsidRPr="00B235E1">
        <w:rPr>
          <w:rFonts w:ascii="Tw Cen MT" w:hAnsi="Tw Cen MT" w:cs="Times New Roman"/>
          <w:sz w:val="24"/>
          <w:szCs w:val="24"/>
        </w:rPr>
        <w:t>Tabel</w:t>
      </w:r>
      <w:proofErr w:type="spellEnd"/>
      <w:r w:rsidRPr="00B235E1">
        <w:rPr>
          <w:rFonts w:ascii="Tw Cen MT" w:hAnsi="Tw Cen MT" w:cs="Times New Roman"/>
          <w:sz w:val="24"/>
          <w:szCs w:val="24"/>
        </w:rPr>
        <w:t xml:space="preserve"> 2 </w:t>
      </w:r>
      <w:proofErr w:type="spellStart"/>
      <w:r w:rsidRPr="00B235E1">
        <w:rPr>
          <w:rFonts w:ascii="Tw Cen MT" w:hAnsi="Tw Cen MT" w:cs="Times New Roman"/>
          <w:sz w:val="24"/>
          <w:szCs w:val="24"/>
        </w:rPr>
        <w:t>menunjukkan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sebagian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besar</w:t>
      </w:r>
      <w:proofErr w:type="spellEnd"/>
      <w:r w:rsidRPr="00B235E1">
        <w:rPr>
          <w:rFonts w:ascii="Tw Cen MT" w:hAnsi="Tw Cen MT" w:cs="Times New Roman"/>
          <w:sz w:val="24"/>
          <w:szCs w:val="24"/>
        </w:rPr>
        <w:t xml:space="preserve"> </w:t>
      </w:r>
      <w:proofErr w:type="spellStart"/>
      <w:r w:rsidR="00A07B8A">
        <w:rPr>
          <w:rFonts w:ascii="Tw Cen MT" w:hAnsi="Tw Cen MT" w:cs="Times New Roman"/>
          <w:sz w:val="24"/>
          <w:szCs w:val="24"/>
        </w:rPr>
        <w:t>responden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yaitu</w:t>
      </w:r>
      <w:proofErr w:type="spellEnd"/>
      <w:r w:rsidRPr="00B235E1">
        <w:rPr>
          <w:rFonts w:ascii="Tw Cen MT" w:hAnsi="Tw Cen MT" w:cs="Times New Roman"/>
          <w:sz w:val="24"/>
          <w:szCs w:val="24"/>
        </w:rPr>
        <w:t xml:space="preserve"> 32 orang (69,6%) </w:t>
      </w:r>
      <w:proofErr w:type="spellStart"/>
      <w:r w:rsidRPr="00B235E1">
        <w:rPr>
          <w:rFonts w:ascii="Tw Cen MT" w:hAnsi="Tw Cen MT" w:cs="Times New Roman"/>
          <w:sz w:val="24"/>
          <w:szCs w:val="24"/>
        </w:rPr>
        <w:t>memiliki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pola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konsumsi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minuman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manis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kategori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jarang</w:t>
      </w:r>
      <w:proofErr w:type="spellEnd"/>
      <w:r w:rsidRPr="00B235E1">
        <w:rPr>
          <w:rFonts w:ascii="Tw Cen MT" w:hAnsi="Tw Cen MT" w:cs="Times New Roman"/>
          <w:sz w:val="24"/>
          <w:szCs w:val="24"/>
        </w:rPr>
        <w:t xml:space="preserve"> dan 14 orang (30,4%) </w:t>
      </w:r>
      <w:proofErr w:type="spellStart"/>
      <w:r w:rsidRPr="00B235E1">
        <w:rPr>
          <w:rFonts w:ascii="Tw Cen MT" w:hAnsi="Tw Cen MT" w:cs="Times New Roman"/>
          <w:sz w:val="24"/>
          <w:szCs w:val="24"/>
        </w:rPr>
        <w:t>pola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konsumsi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minuman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manis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kategori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sering</w:t>
      </w:r>
      <w:proofErr w:type="spellEnd"/>
      <w:r w:rsidRPr="00B235E1">
        <w:rPr>
          <w:rFonts w:ascii="Tw Cen MT" w:hAnsi="Tw Cen MT" w:cs="Times New Roman"/>
          <w:sz w:val="24"/>
          <w:szCs w:val="24"/>
        </w:rPr>
        <w:t xml:space="preserve">. Hasil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pada </w:t>
      </w:r>
      <w:proofErr w:type="spellStart"/>
      <w:r w:rsidRPr="00B235E1">
        <w:rPr>
          <w:rFonts w:ascii="Tw Cen MT" w:hAnsi="Tw Cen MT" w:cs="Times New Roman"/>
          <w:sz w:val="24"/>
          <w:szCs w:val="24"/>
        </w:rPr>
        <w:t>tabel</w:t>
      </w:r>
      <w:proofErr w:type="spellEnd"/>
      <w:r w:rsidRPr="00B235E1">
        <w:rPr>
          <w:rFonts w:ascii="Tw Cen MT" w:hAnsi="Tw Cen MT" w:cs="Times New Roman"/>
          <w:sz w:val="24"/>
          <w:szCs w:val="24"/>
        </w:rPr>
        <w:t xml:space="preserve"> 2 </w:t>
      </w:r>
      <w:proofErr w:type="spellStart"/>
      <w:r w:rsidRPr="00B235E1">
        <w:rPr>
          <w:rFonts w:ascii="Tw Cen MT" w:hAnsi="Tw Cen MT" w:cs="Times New Roman"/>
          <w:sz w:val="24"/>
          <w:szCs w:val="24"/>
        </w:rPr>
        <w:t>tidak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sejalan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Fakultas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Ilmu</w:t>
      </w:r>
      <w:proofErr w:type="spellEnd"/>
      <w:r w:rsidRPr="00B235E1">
        <w:rPr>
          <w:rFonts w:ascii="Tw Cen MT" w:hAnsi="Tw Cen MT" w:cs="Times New Roman"/>
          <w:sz w:val="24"/>
          <w:szCs w:val="24"/>
        </w:rPr>
        <w:t xml:space="preserve"> Kesehatan UIN </w:t>
      </w:r>
      <w:proofErr w:type="spellStart"/>
      <w:r w:rsidRPr="00B235E1">
        <w:rPr>
          <w:rFonts w:ascii="Tw Cen MT" w:hAnsi="Tw Cen MT" w:cs="Times New Roman"/>
          <w:sz w:val="24"/>
          <w:szCs w:val="24"/>
        </w:rPr>
        <w:t>Syarif</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Hidayatullah</w:t>
      </w:r>
      <w:proofErr w:type="spellEnd"/>
      <w:r w:rsidRPr="00B235E1">
        <w:rPr>
          <w:rFonts w:ascii="Tw Cen MT" w:hAnsi="Tw Cen MT" w:cs="Times New Roman"/>
          <w:sz w:val="24"/>
          <w:szCs w:val="24"/>
        </w:rPr>
        <w:t xml:space="preserve"> Jakarta </w:t>
      </w:r>
      <w:proofErr w:type="spellStart"/>
      <w:r w:rsidRPr="00B235E1">
        <w:rPr>
          <w:rFonts w:ascii="Tw Cen MT" w:hAnsi="Tw Cen MT" w:cs="Times New Roman"/>
          <w:sz w:val="24"/>
          <w:szCs w:val="24"/>
        </w:rPr>
        <w:t>menunjukkan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hasil</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konsumsi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minuman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manis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kategori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sering</w:t>
      </w:r>
      <w:proofErr w:type="spellEnd"/>
      <w:r w:rsidRPr="00B235E1">
        <w:rPr>
          <w:rFonts w:ascii="Tw Cen MT" w:hAnsi="Tw Cen MT" w:cs="Times New Roman"/>
          <w:sz w:val="24"/>
          <w:szCs w:val="24"/>
        </w:rPr>
        <w:t xml:space="preserve"> 72.8% [15]. </w:t>
      </w:r>
    </w:p>
    <w:p w14:paraId="5BFCCA91" w14:textId="77777777" w:rsidR="008A1E26" w:rsidRDefault="008A1E26" w:rsidP="008A1E26">
      <w:pPr>
        <w:tabs>
          <w:tab w:val="left" w:pos="426"/>
        </w:tabs>
        <w:spacing w:after="0" w:line="240" w:lineRule="auto"/>
        <w:jc w:val="both"/>
        <w:rPr>
          <w:rFonts w:ascii="Tw Cen MT" w:hAnsi="Tw Cen MT" w:cs="Times New Roman"/>
          <w:sz w:val="24"/>
          <w:szCs w:val="24"/>
        </w:rPr>
      </w:pPr>
      <w:proofErr w:type="spellStart"/>
      <w:r w:rsidRPr="00B235E1">
        <w:rPr>
          <w:rFonts w:ascii="Tw Cen MT" w:hAnsi="Tw Cen MT" w:cs="Times New Roman"/>
          <w:sz w:val="24"/>
          <w:szCs w:val="24"/>
        </w:rPr>
        <w:t>Namun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ini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sejalan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orang </w:t>
      </w:r>
      <w:proofErr w:type="spellStart"/>
      <w:r w:rsidRPr="00B235E1">
        <w:rPr>
          <w:rFonts w:ascii="Tw Cen MT" w:hAnsi="Tw Cen MT" w:cs="Times New Roman"/>
          <w:sz w:val="24"/>
          <w:szCs w:val="24"/>
        </w:rPr>
        <w:t>dewasa</w:t>
      </w:r>
      <w:proofErr w:type="spellEnd"/>
      <w:r w:rsidRPr="00B235E1">
        <w:rPr>
          <w:rFonts w:ascii="Tw Cen MT" w:hAnsi="Tw Cen MT" w:cs="Times New Roman"/>
          <w:sz w:val="24"/>
          <w:szCs w:val="24"/>
        </w:rPr>
        <w:t xml:space="preserve"> di </w:t>
      </w:r>
      <w:proofErr w:type="spellStart"/>
      <w:r w:rsidRPr="00B235E1">
        <w:rPr>
          <w:rFonts w:ascii="Tw Cen MT" w:hAnsi="Tw Cen MT" w:cs="Times New Roman"/>
          <w:sz w:val="24"/>
          <w:szCs w:val="24"/>
        </w:rPr>
        <w:t>Jawa</w:t>
      </w:r>
      <w:proofErr w:type="spellEnd"/>
      <w:r w:rsidRPr="00B235E1">
        <w:rPr>
          <w:rFonts w:ascii="Tw Cen MT" w:hAnsi="Tw Cen MT" w:cs="Times New Roman"/>
          <w:sz w:val="24"/>
          <w:szCs w:val="24"/>
        </w:rPr>
        <w:t xml:space="preserve"> Timur, </w:t>
      </w:r>
      <w:proofErr w:type="spellStart"/>
      <w:r w:rsidRPr="00B235E1">
        <w:rPr>
          <w:rFonts w:ascii="Tw Cen MT" w:hAnsi="Tw Cen MT" w:cs="Times New Roman"/>
          <w:sz w:val="24"/>
          <w:szCs w:val="24"/>
        </w:rPr>
        <w:t>bahwa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konsumsi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minuman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manis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tidak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berhubungan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dengan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tinggi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rendahnya</w:t>
      </w:r>
      <w:proofErr w:type="spellEnd"/>
      <w:r w:rsidRPr="00B235E1">
        <w:rPr>
          <w:rFonts w:ascii="Tw Cen MT" w:hAnsi="Tw Cen MT" w:cs="Times New Roman"/>
          <w:sz w:val="24"/>
          <w:szCs w:val="24"/>
        </w:rPr>
        <w:t xml:space="preserve"> status </w:t>
      </w:r>
      <w:proofErr w:type="spellStart"/>
      <w:r w:rsidRPr="00B235E1">
        <w:rPr>
          <w:rFonts w:ascii="Tw Cen MT" w:hAnsi="Tw Cen MT" w:cs="Times New Roman"/>
          <w:sz w:val="24"/>
          <w:szCs w:val="24"/>
        </w:rPr>
        <w:t>gizi</w:t>
      </w:r>
      <w:proofErr w:type="spellEnd"/>
      <w:r w:rsidRPr="00B235E1">
        <w:rPr>
          <w:rFonts w:ascii="Tw Cen MT" w:hAnsi="Tw Cen MT" w:cs="Times New Roman"/>
          <w:sz w:val="24"/>
          <w:szCs w:val="24"/>
        </w:rPr>
        <w:t xml:space="preserve"> </w:t>
      </w:r>
      <w:r w:rsidRPr="00772592">
        <w:rPr>
          <w:rFonts w:ascii="Tw Cen MT" w:hAnsi="Tw Cen MT" w:cs="Times New Roman"/>
          <w:i/>
          <w:iCs/>
          <w:sz w:val="24"/>
          <w:szCs w:val="24"/>
        </w:rPr>
        <w:t>overweight</w:t>
      </w:r>
      <w:r w:rsidRPr="00B235E1">
        <w:rPr>
          <w:rFonts w:ascii="Tw Cen MT" w:hAnsi="Tw Cen MT" w:cs="Times New Roman"/>
          <w:sz w:val="24"/>
          <w:szCs w:val="24"/>
        </w:rPr>
        <w:t xml:space="preserve"> dan </w:t>
      </w:r>
      <w:proofErr w:type="spellStart"/>
      <w:r w:rsidRPr="00B235E1">
        <w:rPr>
          <w:rFonts w:ascii="Tw Cen MT" w:hAnsi="Tw Cen MT" w:cs="Times New Roman"/>
          <w:sz w:val="24"/>
          <w:szCs w:val="24"/>
        </w:rPr>
        <w:t>obesitas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karena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dalam</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ini</w:t>
      </w:r>
      <w:proofErr w:type="spellEnd"/>
      <w:r w:rsidRPr="00B235E1">
        <w:rPr>
          <w:rFonts w:ascii="Tw Cen MT" w:hAnsi="Tw Cen MT" w:cs="Times New Roman"/>
          <w:sz w:val="24"/>
          <w:szCs w:val="24"/>
        </w:rPr>
        <w:t xml:space="preserve"> yang </w:t>
      </w:r>
      <w:proofErr w:type="spellStart"/>
      <w:r w:rsidRPr="00B235E1">
        <w:rPr>
          <w:rFonts w:ascii="Tw Cen MT" w:hAnsi="Tw Cen MT" w:cs="Times New Roman"/>
          <w:sz w:val="24"/>
          <w:szCs w:val="24"/>
        </w:rPr>
        <w:t>mempengaruhi</w:t>
      </w:r>
      <w:proofErr w:type="spellEnd"/>
      <w:r w:rsidRPr="00B235E1">
        <w:rPr>
          <w:rFonts w:ascii="Tw Cen MT" w:hAnsi="Tw Cen MT" w:cs="Times New Roman"/>
          <w:sz w:val="24"/>
          <w:szCs w:val="24"/>
        </w:rPr>
        <w:t xml:space="preserve"> status </w:t>
      </w:r>
      <w:proofErr w:type="spellStart"/>
      <w:r w:rsidRPr="00B235E1">
        <w:rPr>
          <w:rFonts w:ascii="Tw Cen MT" w:hAnsi="Tw Cen MT" w:cs="Times New Roman"/>
          <w:sz w:val="24"/>
          <w:szCs w:val="24"/>
        </w:rPr>
        <w:t>gizi</w:t>
      </w:r>
      <w:proofErr w:type="spellEnd"/>
      <w:r w:rsidRPr="00B235E1">
        <w:rPr>
          <w:rFonts w:ascii="Tw Cen MT" w:hAnsi="Tw Cen MT" w:cs="Times New Roman"/>
          <w:sz w:val="24"/>
          <w:szCs w:val="24"/>
        </w:rPr>
        <w:t xml:space="preserve"> </w:t>
      </w:r>
      <w:r w:rsidRPr="00772592">
        <w:rPr>
          <w:rFonts w:ascii="Tw Cen MT" w:hAnsi="Tw Cen MT" w:cs="Times New Roman"/>
          <w:i/>
          <w:iCs/>
          <w:sz w:val="24"/>
          <w:szCs w:val="24"/>
        </w:rPr>
        <w:t>overweight</w:t>
      </w:r>
      <w:r w:rsidRPr="00B235E1">
        <w:rPr>
          <w:rFonts w:ascii="Tw Cen MT" w:hAnsi="Tw Cen MT" w:cs="Times New Roman"/>
          <w:sz w:val="24"/>
          <w:szCs w:val="24"/>
        </w:rPr>
        <w:t xml:space="preserve"> dan </w:t>
      </w:r>
      <w:proofErr w:type="spellStart"/>
      <w:r w:rsidRPr="00B235E1">
        <w:rPr>
          <w:rFonts w:ascii="Tw Cen MT" w:hAnsi="Tw Cen MT" w:cs="Times New Roman"/>
          <w:sz w:val="24"/>
          <w:szCs w:val="24"/>
        </w:rPr>
        <w:t>obesitas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adalah</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makanan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gorengan</w:t>
      </w:r>
      <w:proofErr w:type="spellEnd"/>
      <w:r w:rsidRPr="00B235E1">
        <w:rPr>
          <w:rFonts w:ascii="Tw Cen MT" w:hAnsi="Tw Cen MT" w:cs="Times New Roman"/>
          <w:sz w:val="24"/>
          <w:szCs w:val="24"/>
        </w:rPr>
        <w:t xml:space="preserve"> [16].</w:t>
      </w:r>
    </w:p>
    <w:p w14:paraId="20CEE94C" w14:textId="77777777" w:rsidR="008A1E26" w:rsidRDefault="008A1E26" w:rsidP="008A1E26">
      <w:pPr>
        <w:tabs>
          <w:tab w:val="left" w:pos="426"/>
        </w:tabs>
        <w:spacing w:after="0" w:line="240" w:lineRule="auto"/>
        <w:jc w:val="both"/>
        <w:rPr>
          <w:rFonts w:ascii="Tw Cen MT" w:eastAsia="Twentieth Century" w:hAnsi="Tw Cen MT" w:cs="Twentieth Century"/>
          <w:sz w:val="24"/>
          <w:szCs w:val="24"/>
        </w:rPr>
      </w:pPr>
    </w:p>
    <w:p w14:paraId="3CD8BF9B" w14:textId="77777777" w:rsidR="008A1E26" w:rsidRPr="002E23D7" w:rsidRDefault="008A1E26" w:rsidP="008A1E26">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3. Gambaran </w:t>
      </w:r>
      <w:proofErr w:type="spellStart"/>
      <w:r>
        <w:rPr>
          <w:rFonts w:ascii="Tw Cen MT" w:eastAsia="Twentieth Century" w:hAnsi="Tw Cen MT" w:cs="Twentieth Century"/>
          <w:sz w:val="20"/>
          <w:szCs w:val="20"/>
        </w:rPr>
        <w:t>Aktivitas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Fisik</w:t>
      </w:r>
      <w:proofErr w:type="spellEnd"/>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8A1E26" w:rsidRPr="002E23D7" w14:paraId="563A4100" w14:textId="77777777" w:rsidTr="00A65FFD">
        <w:trPr>
          <w:trHeight w:val="569"/>
          <w:jc w:val="center"/>
        </w:trPr>
        <w:tc>
          <w:tcPr>
            <w:tcW w:w="1590" w:type="dxa"/>
            <w:tcBorders>
              <w:top w:val="single" w:sz="4" w:space="0" w:color="000000"/>
              <w:bottom w:val="single" w:sz="4" w:space="0" w:color="000000"/>
            </w:tcBorders>
            <w:vAlign w:val="center"/>
          </w:tcPr>
          <w:p w14:paraId="623B8395"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Makanan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Jajanan</w:t>
            </w:r>
            <w:proofErr w:type="spellEnd"/>
          </w:p>
        </w:tc>
        <w:tc>
          <w:tcPr>
            <w:tcW w:w="1625" w:type="dxa"/>
            <w:tcBorders>
              <w:top w:val="single" w:sz="4" w:space="0" w:color="000000"/>
              <w:bottom w:val="single" w:sz="4" w:space="0" w:color="000000"/>
            </w:tcBorders>
            <w:vAlign w:val="center"/>
          </w:tcPr>
          <w:p w14:paraId="2033E903"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1321" w:type="dxa"/>
            <w:tcBorders>
              <w:top w:val="single" w:sz="4" w:space="0" w:color="000000"/>
              <w:bottom w:val="single" w:sz="4" w:space="0" w:color="000000"/>
            </w:tcBorders>
            <w:vAlign w:val="center"/>
          </w:tcPr>
          <w:p w14:paraId="027ED190"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8A1E26" w:rsidRPr="002E23D7" w14:paraId="5630CB31" w14:textId="77777777" w:rsidTr="00A65FFD">
        <w:trPr>
          <w:trHeight w:val="269"/>
          <w:jc w:val="center"/>
        </w:trPr>
        <w:tc>
          <w:tcPr>
            <w:tcW w:w="1590" w:type="dxa"/>
            <w:tcBorders>
              <w:top w:val="single" w:sz="4" w:space="0" w:color="000000"/>
            </w:tcBorders>
          </w:tcPr>
          <w:p w14:paraId="13DC85FB"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Berat</w:t>
            </w:r>
            <w:proofErr w:type="spellEnd"/>
          </w:p>
        </w:tc>
        <w:tc>
          <w:tcPr>
            <w:tcW w:w="1625" w:type="dxa"/>
            <w:tcBorders>
              <w:top w:val="single" w:sz="4" w:space="0" w:color="000000"/>
            </w:tcBorders>
          </w:tcPr>
          <w:p w14:paraId="0E0CA4A9"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1321" w:type="dxa"/>
            <w:tcBorders>
              <w:top w:val="single" w:sz="4" w:space="0" w:color="000000"/>
            </w:tcBorders>
          </w:tcPr>
          <w:p w14:paraId="16159CE5"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8,7</w:t>
            </w:r>
          </w:p>
        </w:tc>
      </w:tr>
      <w:tr w:rsidR="008A1E26" w:rsidRPr="002E23D7" w14:paraId="327327EE" w14:textId="77777777" w:rsidTr="00A65FFD">
        <w:trPr>
          <w:trHeight w:val="284"/>
          <w:jc w:val="center"/>
        </w:trPr>
        <w:tc>
          <w:tcPr>
            <w:tcW w:w="1590" w:type="dxa"/>
          </w:tcPr>
          <w:p w14:paraId="28EFF403" w14:textId="77777777" w:rsidR="008A1E26" w:rsidRPr="002E23D7" w:rsidRDefault="008A1E26" w:rsidP="008A1E2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Sedang</w:t>
            </w:r>
          </w:p>
        </w:tc>
        <w:tc>
          <w:tcPr>
            <w:tcW w:w="1625" w:type="dxa"/>
          </w:tcPr>
          <w:p w14:paraId="1870EF6F"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1321" w:type="dxa"/>
          </w:tcPr>
          <w:p w14:paraId="3F9E2EB8"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69,6</w:t>
            </w:r>
          </w:p>
        </w:tc>
      </w:tr>
      <w:tr w:rsidR="008A1E26" w:rsidRPr="002E23D7" w14:paraId="08A2EC67" w14:textId="77777777" w:rsidTr="00A65FFD">
        <w:trPr>
          <w:trHeight w:val="284"/>
          <w:jc w:val="center"/>
        </w:trPr>
        <w:tc>
          <w:tcPr>
            <w:tcW w:w="1590" w:type="dxa"/>
          </w:tcPr>
          <w:p w14:paraId="06CF9C32" w14:textId="77777777" w:rsidR="008A1E26"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Rendah</w:t>
            </w:r>
            <w:proofErr w:type="spellEnd"/>
          </w:p>
        </w:tc>
        <w:tc>
          <w:tcPr>
            <w:tcW w:w="1625" w:type="dxa"/>
          </w:tcPr>
          <w:p w14:paraId="65A7EF9F" w14:textId="77777777" w:rsidR="008A1E26"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tc>
        <w:tc>
          <w:tcPr>
            <w:tcW w:w="1321" w:type="dxa"/>
          </w:tcPr>
          <w:p w14:paraId="76A08F35" w14:textId="77777777" w:rsidR="008A1E26"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21,7</w:t>
            </w:r>
          </w:p>
        </w:tc>
      </w:tr>
      <w:tr w:rsidR="008A1E26" w:rsidRPr="002E23D7" w14:paraId="3A416289" w14:textId="77777777" w:rsidTr="00A65FFD">
        <w:trPr>
          <w:trHeight w:val="284"/>
          <w:jc w:val="center"/>
        </w:trPr>
        <w:tc>
          <w:tcPr>
            <w:tcW w:w="1590" w:type="dxa"/>
          </w:tcPr>
          <w:p w14:paraId="6D53E08A" w14:textId="77777777" w:rsidR="008A1E26" w:rsidRPr="002E23D7" w:rsidRDefault="008A1E26" w:rsidP="008A1E2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p>
        </w:tc>
        <w:tc>
          <w:tcPr>
            <w:tcW w:w="1625" w:type="dxa"/>
          </w:tcPr>
          <w:p w14:paraId="45DA0605"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1321" w:type="dxa"/>
          </w:tcPr>
          <w:p w14:paraId="5825B945"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796DECC5" w14:textId="036137E9" w:rsidR="008A1E26" w:rsidRPr="00F03F63"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09213AF4" w14:textId="505CBF53" w:rsidR="008A1E26" w:rsidRDefault="008A1E26" w:rsidP="008A1E26">
      <w:pPr>
        <w:tabs>
          <w:tab w:val="left" w:pos="426"/>
        </w:tabs>
        <w:spacing w:after="0" w:line="240" w:lineRule="auto"/>
        <w:jc w:val="both"/>
        <w:rPr>
          <w:rFonts w:ascii="Tw Cen MT" w:hAnsi="Tw Cen MT" w:cs="Times New Roman"/>
          <w:sz w:val="24"/>
          <w:szCs w:val="24"/>
        </w:rPr>
      </w:pPr>
      <w:proofErr w:type="spellStart"/>
      <w:r w:rsidRPr="00B235E1">
        <w:rPr>
          <w:rFonts w:ascii="Tw Cen MT" w:hAnsi="Tw Cen MT" w:cs="Times New Roman"/>
          <w:sz w:val="24"/>
          <w:szCs w:val="24"/>
        </w:rPr>
        <w:lastRenderedPageBreak/>
        <w:t>Tabel</w:t>
      </w:r>
      <w:proofErr w:type="spellEnd"/>
      <w:r w:rsidRPr="00B235E1">
        <w:rPr>
          <w:rFonts w:ascii="Tw Cen MT" w:hAnsi="Tw Cen MT" w:cs="Times New Roman"/>
          <w:sz w:val="24"/>
          <w:szCs w:val="24"/>
        </w:rPr>
        <w:t xml:space="preserve"> 3 </w:t>
      </w:r>
      <w:proofErr w:type="spellStart"/>
      <w:r w:rsidRPr="00B235E1">
        <w:rPr>
          <w:rFonts w:ascii="Tw Cen MT" w:hAnsi="Tw Cen MT" w:cs="Times New Roman"/>
          <w:sz w:val="24"/>
          <w:szCs w:val="24"/>
        </w:rPr>
        <w:t>menunjukkan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sebagian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besar</w:t>
      </w:r>
      <w:proofErr w:type="spellEnd"/>
      <w:r w:rsidRPr="00B235E1">
        <w:rPr>
          <w:rFonts w:ascii="Tw Cen MT" w:hAnsi="Tw Cen MT" w:cs="Times New Roman"/>
          <w:sz w:val="24"/>
          <w:szCs w:val="24"/>
        </w:rPr>
        <w:t xml:space="preserve"> </w:t>
      </w:r>
      <w:proofErr w:type="spellStart"/>
      <w:r w:rsidR="00A07B8A">
        <w:rPr>
          <w:rFonts w:ascii="Tw Cen MT" w:hAnsi="Tw Cen MT" w:cs="Times New Roman"/>
          <w:sz w:val="24"/>
          <w:szCs w:val="24"/>
        </w:rPr>
        <w:t>responden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yaitu</w:t>
      </w:r>
      <w:proofErr w:type="spellEnd"/>
      <w:r w:rsidRPr="00B235E1">
        <w:rPr>
          <w:rFonts w:ascii="Tw Cen MT" w:hAnsi="Tw Cen MT" w:cs="Times New Roman"/>
          <w:sz w:val="24"/>
          <w:szCs w:val="24"/>
        </w:rPr>
        <w:t xml:space="preserve"> 32 orang (69,6%) </w:t>
      </w:r>
      <w:proofErr w:type="spellStart"/>
      <w:r w:rsidRPr="00B235E1">
        <w:rPr>
          <w:rFonts w:ascii="Tw Cen MT" w:hAnsi="Tw Cen MT" w:cs="Times New Roman"/>
          <w:sz w:val="24"/>
          <w:szCs w:val="24"/>
        </w:rPr>
        <w:t>memiliki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aktivitas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fisik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dengan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kategori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sedang</w:t>
      </w:r>
      <w:proofErr w:type="spellEnd"/>
      <w:r w:rsidRPr="00B235E1">
        <w:rPr>
          <w:rFonts w:ascii="Tw Cen MT" w:hAnsi="Tw Cen MT" w:cs="Times New Roman"/>
          <w:sz w:val="24"/>
          <w:szCs w:val="24"/>
        </w:rPr>
        <w:t xml:space="preserve">. Sebagian </w:t>
      </w:r>
      <w:proofErr w:type="spellStart"/>
      <w:r w:rsidRPr="00B235E1">
        <w:rPr>
          <w:rFonts w:ascii="Tw Cen MT" w:hAnsi="Tw Cen MT" w:cs="Times New Roman"/>
          <w:sz w:val="24"/>
          <w:szCs w:val="24"/>
        </w:rPr>
        <w:t>kecil</w:t>
      </w:r>
      <w:proofErr w:type="spellEnd"/>
      <w:r w:rsidRPr="00B235E1">
        <w:rPr>
          <w:rFonts w:ascii="Tw Cen MT" w:hAnsi="Tw Cen MT" w:cs="Times New Roman"/>
          <w:sz w:val="24"/>
          <w:szCs w:val="24"/>
        </w:rPr>
        <w:t xml:space="preserve"> </w:t>
      </w:r>
      <w:proofErr w:type="spellStart"/>
      <w:r w:rsidR="00A07B8A">
        <w:rPr>
          <w:rFonts w:ascii="Tw Cen MT" w:hAnsi="Tw Cen MT" w:cs="Times New Roman"/>
          <w:sz w:val="24"/>
          <w:szCs w:val="24"/>
        </w:rPr>
        <w:t>responden</w:t>
      </w:r>
      <w:proofErr w:type="spellEnd"/>
      <w:r w:rsidRPr="00B235E1">
        <w:rPr>
          <w:rFonts w:ascii="Tw Cen MT" w:hAnsi="Tw Cen MT" w:cs="Times New Roman"/>
          <w:sz w:val="24"/>
          <w:szCs w:val="24"/>
        </w:rPr>
        <w:t xml:space="preserve"> (8,7%) </w:t>
      </w:r>
      <w:proofErr w:type="spellStart"/>
      <w:r w:rsidRPr="00B235E1">
        <w:rPr>
          <w:rFonts w:ascii="Tw Cen MT" w:hAnsi="Tw Cen MT" w:cs="Times New Roman"/>
          <w:sz w:val="24"/>
          <w:szCs w:val="24"/>
        </w:rPr>
        <w:t>dengan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aktivitas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fisik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berat</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berjumlah</w:t>
      </w:r>
      <w:proofErr w:type="spellEnd"/>
      <w:r w:rsidRPr="00B235E1">
        <w:rPr>
          <w:rFonts w:ascii="Tw Cen MT" w:hAnsi="Tw Cen MT" w:cs="Times New Roman"/>
          <w:sz w:val="24"/>
          <w:szCs w:val="24"/>
        </w:rPr>
        <w:t xml:space="preserve"> 4 orang dan </w:t>
      </w:r>
      <w:proofErr w:type="spellStart"/>
      <w:r w:rsidRPr="00B235E1">
        <w:rPr>
          <w:rFonts w:ascii="Tw Cen MT" w:hAnsi="Tw Cen MT" w:cs="Times New Roman"/>
          <w:sz w:val="24"/>
          <w:szCs w:val="24"/>
        </w:rPr>
        <w:t>mahasiswa</w:t>
      </w:r>
      <w:proofErr w:type="spellEnd"/>
      <w:r w:rsidRPr="00B235E1">
        <w:rPr>
          <w:rFonts w:ascii="Tw Cen MT" w:hAnsi="Tw Cen MT" w:cs="Times New Roman"/>
          <w:sz w:val="24"/>
          <w:szCs w:val="24"/>
        </w:rPr>
        <w:t xml:space="preserve"> yang </w:t>
      </w:r>
      <w:proofErr w:type="spellStart"/>
      <w:r w:rsidRPr="00B235E1">
        <w:rPr>
          <w:rFonts w:ascii="Tw Cen MT" w:hAnsi="Tw Cen MT" w:cs="Times New Roman"/>
          <w:sz w:val="24"/>
          <w:szCs w:val="24"/>
        </w:rPr>
        <w:t>memiliki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aktivitas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fisik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rendah</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berjumlah</w:t>
      </w:r>
      <w:proofErr w:type="spellEnd"/>
      <w:r w:rsidRPr="00B235E1">
        <w:rPr>
          <w:rFonts w:ascii="Tw Cen MT" w:hAnsi="Tw Cen MT" w:cs="Times New Roman"/>
          <w:sz w:val="24"/>
          <w:szCs w:val="24"/>
        </w:rPr>
        <w:t xml:space="preserve"> 10 orang (21,7%). </w:t>
      </w:r>
    </w:p>
    <w:p w14:paraId="5ADF6001" w14:textId="77777777" w:rsidR="008A1E26" w:rsidRDefault="008A1E26" w:rsidP="008A1E26">
      <w:pPr>
        <w:tabs>
          <w:tab w:val="left" w:pos="426"/>
        </w:tabs>
        <w:spacing w:after="0" w:line="240" w:lineRule="auto"/>
        <w:jc w:val="both"/>
        <w:rPr>
          <w:rFonts w:ascii="Tw Cen MT" w:hAnsi="Tw Cen MT" w:cs="Times New Roman"/>
          <w:sz w:val="24"/>
          <w:szCs w:val="24"/>
        </w:rPr>
      </w:pPr>
      <w:r w:rsidRPr="00B235E1">
        <w:rPr>
          <w:rFonts w:ascii="Tw Cen MT" w:hAnsi="Tw Cen MT" w:cs="Times New Roman"/>
          <w:sz w:val="24"/>
          <w:szCs w:val="24"/>
        </w:rPr>
        <w:t xml:space="preserve">Hasil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tabel</w:t>
      </w:r>
      <w:proofErr w:type="spellEnd"/>
      <w:r w:rsidRPr="00B235E1">
        <w:rPr>
          <w:rFonts w:ascii="Tw Cen MT" w:hAnsi="Tw Cen MT" w:cs="Times New Roman"/>
          <w:sz w:val="24"/>
          <w:szCs w:val="24"/>
        </w:rPr>
        <w:t xml:space="preserve"> 3 </w:t>
      </w:r>
      <w:proofErr w:type="spellStart"/>
      <w:r w:rsidRPr="00B235E1">
        <w:rPr>
          <w:rFonts w:ascii="Tw Cen MT" w:hAnsi="Tw Cen MT" w:cs="Times New Roman"/>
          <w:sz w:val="24"/>
          <w:szCs w:val="24"/>
        </w:rPr>
        <w:t>sejalan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penelitian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Suradji</w:t>
      </w:r>
      <w:proofErr w:type="spellEnd"/>
      <w:r w:rsidRPr="00B235E1">
        <w:rPr>
          <w:rFonts w:ascii="Tw Cen MT" w:hAnsi="Tw Cen MT" w:cs="Times New Roman"/>
          <w:sz w:val="24"/>
          <w:szCs w:val="24"/>
        </w:rPr>
        <w:t xml:space="preserve">, 2023 </w:t>
      </w:r>
      <w:proofErr w:type="spellStart"/>
      <w:r w:rsidRPr="00B235E1">
        <w:rPr>
          <w:rFonts w:ascii="Tw Cen MT" w:hAnsi="Tw Cen MT" w:cs="Times New Roman"/>
          <w:sz w:val="24"/>
          <w:szCs w:val="24"/>
        </w:rPr>
        <w:t>menunjukkan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mahasiswa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biasanya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melakukan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aktivitas</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fisik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sedang</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dalam</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kehidupan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sehari-hari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mereka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Kesibukan</w:t>
      </w:r>
      <w:proofErr w:type="spellEnd"/>
      <w:r w:rsidRPr="00B235E1">
        <w:rPr>
          <w:rFonts w:ascii="Tw Cen MT" w:hAnsi="Tw Cen MT" w:cs="Times New Roman"/>
          <w:sz w:val="24"/>
          <w:szCs w:val="24"/>
        </w:rPr>
        <w:t xml:space="preserve"> yang </w:t>
      </w:r>
      <w:proofErr w:type="spellStart"/>
      <w:r w:rsidRPr="00B235E1">
        <w:rPr>
          <w:rFonts w:ascii="Tw Cen MT" w:hAnsi="Tw Cen MT" w:cs="Times New Roman"/>
          <w:sz w:val="24"/>
          <w:szCs w:val="24"/>
        </w:rPr>
        <w:t>meningkat</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mungkin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menjadi</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alasan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mengapa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siswa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tidak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ada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waktu</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olahraga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rutin</w:t>
      </w:r>
      <w:proofErr w:type="spellEnd"/>
      <w:r w:rsidRPr="00B235E1">
        <w:rPr>
          <w:rFonts w:ascii="Tw Cen MT" w:hAnsi="Tw Cen MT" w:cs="Times New Roman"/>
          <w:sz w:val="24"/>
          <w:szCs w:val="24"/>
        </w:rPr>
        <w:t xml:space="preserve">. Karena </w:t>
      </w:r>
      <w:proofErr w:type="spellStart"/>
      <w:r w:rsidRPr="00B235E1">
        <w:rPr>
          <w:rFonts w:ascii="Tw Cen MT" w:hAnsi="Tw Cen MT" w:cs="Times New Roman"/>
          <w:sz w:val="24"/>
          <w:szCs w:val="24"/>
        </w:rPr>
        <w:t>jadwal</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kuliah</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padat</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keterlibatan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dalam</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kegiatan</w:t>
      </w:r>
      <w:proofErr w:type="spellEnd"/>
      <w:r w:rsidRPr="00B235E1">
        <w:rPr>
          <w:rFonts w:ascii="Tw Cen MT" w:hAnsi="Tw Cen MT" w:cs="Times New Roman"/>
          <w:sz w:val="24"/>
          <w:szCs w:val="24"/>
        </w:rPr>
        <w:t xml:space="preserve"> di </w:t>
      </w:r>
      <w:proofErr w:type="spellStart"/>
      <w:r w:rsidRPr="00B235E1">
        <w:rPr>
          <w:rFonts w:ascii="Tw Cen MT" w:hAnsi="Tw Cen MT" w:cs="Times New Roman"/>
          <w:sz w:val="24"/>
          <w:szCs w:val="24"/>
        </w:rPr>
        <w:t>luar</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kampus</w:t>
      </w:r>
      <w:proofErr w:type="spellEnd"/>
      <w:r>
        <w:rPr>
          <w:rFonts w:ascii="Tw Cen MT" w:hAnsi="Tw Cen MT" w:cs="Times New Roman"/>
          <w:sz w:val="24"/>
          <w:szCs w:val="24"/>
        </w:rPr>
        <w:t xml:space="preserve"> </w:t>
      </w:r>
      <w:r w:rsidRPr="00B235E1">
        <w:rPr>
          <w:rFonts w:ascii="Tw Cen MT" w:hAnsi="Tw Cen MT" w:cs="Times New Roman"/>
          <w:sz w:val="24"/>
          <w:szCs w:val="24"/>
        </w:rPr>
        <w:t xml:space="preserve">dan di </w:t>
      </w:r>
      <w:proofErr w:type="spellStart"/>
      <w:r w:rsidRPr="00B235E1">
        <w:rPr>
          <w:rFonts w:ascii="Tw Cen MT" w:hAnsi="Tw Cen MT" w:cs="Times New Roman"/>
          <w:sz w:val="24"/>
          <w:szCs w:val="24"/>
        </w:rPr>
        <w:t>kampus</w:t>
      </w:r>
      <w:proofErr w:type="spellEnd"/>
      <w:r w:rsidRPr="00B235E1">
        <w:rPr>
          <w:rFonts w:ascii="Tw Cen MT" w:hAnsi="Tw Cen MT" w:cs="Times New Roman"/>
          <w:sz w:val="24"/>
          <w:szCs w:val="24"/>
        </w:rPr>
        <w:t xml:space="preserve">, dan </w:t>
      </w:r>
      <w:proofErr w:type="spellStart"/>
      <w:r w:rsidRPr="00B235E1">
        <w:rPr>
          <w:rFonts w:ascii="Tw Cen MT" w:hAnsi="Tw Cen MT" w:cs="Times New Roman"/>
          <w:sz w:val="24"/>
          <w:szCs w:val="24"/>
        </w:rPr>
        <w:t>tanggung</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jawab</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akademik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atau</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mungkin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karena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kurangnya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pengetahuan</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tentang</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manfaat</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olahraga</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untuk</w:t>
      </w:r>
      <w:proofErr w:type="spellEnd"/>
      <w:r w:rsidRPr="00B235E1">
        <w:rPr>
          <w:rFonts w:ascii="Tw Cen MT" w:hAnsi="Tw Cen MT" w:cs="Times New Roman"/>
          <w:sz w:val="24"/>
          <w:szCs w:val="24"/>
        </w:rPr>
        <w:t xml:space="preserve"> </w:t>
      </w:r>
      <w:proofErr w:type="spellStart"/>
      <w:r w:rsidRPr="00B235E1">
        <w:rPr>
          <w:rFonts w:ascii="Tw Cen MT" w:hAnsi="Tw Cen MT" w:cs="Times New Roman"/>
          <w:sz w:val="24"/>
          <w:szCs w:val="24"/>
        </w:rPr>
        <w:t>kesehatan</w:t>
      </w:r>
      <w:proofErr w:type="spellEnd"/>
      <w:r w:rsidRPr="00B235E1">
        <w:rPr>
          <w:rFonts w:ascii="Tw Cen MT" w:hAnsi="Tw Cen MT" w:cs="Times New Roman"/>
          <w:sz w:val="24"/>
          <w:szCs w:val="24"/>
        </w:rPr>
        <w:t xml:space="preserve"> [17].</w:t>
      </w:r>
    </w:p>
    <w:p w14:paraId="2EED22D7" w14:textId="77777777" w:rsidR="00772592" w:rsidRDefault="00772592" w:rsidP="008A1E26">
      <w:pPr>
        <w:spacing w:after="0" w:line="240" w:lineRule="auto"/>
        <w:jc w:val="center"/>
        <w:rPr>
          <w:rFonts w:ascii="Tw Cen MT" w:eastAsia="Twentieth Century" w:hAnsi="Tw Cen MT" w:cs="Twentieth Century"/>
          <w:sz w:val="20"/>
          <w:szCs w:val="20"/>
        </w:rPr>
      </w:pPr>
    </w:p>
    <w:p w14:paraId="71B3A7DA" w14:textId="77777777" w:rsidR="00772592" w:rsidRDefault="00772592" w:rsidP="008A1E26">
      <w:pPr>
        <w:spacing w:after="0" w:line="240" w:lineRule="auto"/>
        <w:jc w:val="center"/>
        <w:rPr>
          <w:rFonts w:ascii="Tw Cen MT" w:eastAsia="Twentieth Century" w:hAnsi="Tw Cen MT" w:cs="Twentieth Century"/>
          <w:sz w:val="20"/>
          <w:szCs w:val="20"/>
        </w:rPr>
      </w:pPr>
    </w:p>
    <w:p w14:paraId="18661024" w14:textId="77777777" w:rsidR="007F717D" w:rsidRDefault="007F717D" w:rsidP="008A1E26">
      <w:pPr>
        <w:spacing w:after="0" w:line="240" w:lineRule="auto"/>
        <w:jc w:val="center"/>
        <w:rPr>
          <w:rFonts w:ascii="Tw Cen MT" w:eastAsia="Twentieth Century" w:hAnsi="Tw Cen MT" w:cs="Twentieth Century"/>
          <w:sz w:val="20"/>
          <w:szCs w:val="20"/>
        </w:rPr>
      </w:pPr>
    </w:p>
    <w:p w14:paraId="1508E0CD" w14:textId="77777777" w:rsidR="007F717D" w:rsidRDefault="007F717D" w:rsidP="008A1E26">
      <w:pPr>
        <w:spacing w:after="0" w:line="240" w:lineRule="auto"/>
        <w:jc w:val="center"/>
        <w:rPr>
          <w:rFonts w:ascii="Tw Cen MT" w:eastAsia="Twentieth Century" w:hAnsi="Tw Cen MT" w:cs="Twentieth Century"/>
          <w:sz w:val="20"/>
          <w:szCs w:val="20"/>
        </w:rPr>
      </w:pPr>
    </w:p>
    <w:p w14:paraId="4672FD80" w14:textId="1E85FB5D" w:rsidR="008A1E26" w:rsidRPr="002E23D7" w:rsidRDefault="008A1E26" w:rsidP="008A1E26">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4. Gambaran </w:t>
      </w:r>
      <w:proofErr w:type="spellStart"/>
      <w:r>
        <w:rPr>
          <w:rFonts w:ascii="Tw Cen MT" w:eastAsia="Twentieth Century" w:hAnsi="Tw Cen MT" w:cs="Twentieth Century"/>
          <w:sz w:val="20"/>
          <w:szCs w:val="20"/>
        </w:rPr>
        <w:t>Indeks</w:t>
      </w:r>
      <w:proofErr w:type="spellEnd"/>
      <w:r>
        <w:rPr>
          <w:rFonts w:ascii="Tw Cen MT" w:eastAsia="Twentieth Century" w:hAnsi="Tw Cen MT" w:cs="Twentieth Century"/>
          <w:sz w:val="20"/>
          <w:szCs w:val="20"/>
        </w:rPr>
        <w:t xml:space="preserve"> Massa </w:t>
      </w:r>
      <w:proofErr w:type="spellStart"/>
      <w:r>
        <w:rPr>
          <w:rFonts w:ascii="Tw Cen MT" w:eastAsia="Twentieth Century" w:hAnsi="Tw Cen MT" w:cs="Twentieth Century"/>
          <w:sz w:val="20"/>
          <w:szCs w:val="20"/>
        </w:rPr>
        <w:t>Tubuh</w:t>
      </w:r>
      <w:proofErr w:type="spellEnd"/>
      <w:r w:rsidR="00772592">
        <w:rPr>
          <w:rFonts w:ascii="Tw Cen MT" w:eastAsia="Twentieth Century" w:hAnsi="Tw Cen MT" w:cs="Twentieth Century"/>
          <w:sz w:val="20"/>
          <w:szCs w:val="20"/>
        </w:rPr>
        <w:t xml:space="preserve"> (IMT)</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8A1E26" w:rsidRPr="002E23D7" w14:paraId="7C7B366D" w14:textId="77777777" w:rsidTr="00A65FFD">
        <w:trPr>
          <w:trHeight w:val="569"/>
          <w:jc w:val="center"/>
        </w:trPr>
        <w:tc>
          <w:tcPr>
            <w:tcW w:w="1590" w:type="dxa"/>
            <w:tcBorders>
              <w:top w:val="single" w:sz="4" w:space="0" w:color="000000"/>
              <w:bottom w:val="single" w:sz="4" w:space="0" w:color="000000"/>
            </w:tcBorders>
            <w:vAlign w:val="center"/>
          </w:tcPr>
          <w:p w14:paraId="4473E9FF"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Makanan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Jajanan</w:t>
            </w:r>
            <w:proofErr w:type="spellEnd"/>
          </w:p>
        </w:tc>
        <w:tc>
          <w:tcPr>
            <w:tcW w:w="1625" w:type="dxa"/>
            <w:tcBorders>
              <w:top w:val="single" w:sz="4" w:space="0" w:color="000000"/>
              <w:bottom w:val="single" w:sz="4" w:space="0" w:color="000000"/>
            </w:tcBorders>
            <w:vAlign w:val="center"/>
          </w:tcPr>
          <w:p w14:paraId="2DE4B4F4"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n</w:t>
            </w:r>
          </w:p>
        </w:tc>
        <w:tc>
          <w:tcPr>
            <w:tcW w:w="1321" w:type="dxa"/>
            <w:tcBorders>
              <w:top w:val="single" w:sz="4" w:space="0" w:color="000000"/>
              <w:bottom w:val="single" w:sz="4" w:space="0" w:color="000000"/>
            </w:tcBorders>
            <w:vAlign w:val="center"/>
          </w:tcPr>
          <w:p w14:paraId="39FEBBE6"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8A1E26" w:rsidRPr="002E23D7" w14:paraId="0BB309F9" w14:textId="77777777" w:rsidTr="00A65FFD">
        <w:trPr>
          <w:trHeight w:val="269"/>
          <w:jc w:val="center"/>
        </w:trPr>
        <w:tc>
          <w:tcPr>
            <w:tcW w:w="1590" w:type="dxa"/>
            <w:tcBorders>
              <w:top w:val="single" w:sz="4" w:space="0" w:color="000000"/>
            </w:tcBorders>
          </w:tcPr>
          <w:p w14:paraId="1DE3E591" w14:textId="77777777" w:rsidR="008A1E26" w:rsidRPr="002E23D7"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Berat</w:t>
            </w:r>
            <w:proofErr w:type="spellEnd"/>
          </w:p>
        </w:tc>
        <w:tc>
          <w:tcPr>
            <w:tcW w:w="1625" w:type="dxa"/>
            <w:tcBorders>
              <w:top w:val="single" w:sz="4" w:space="0" w:color="000000"/>
            </w:tcBorders>
          </w:tcPr>
          <w:p w14:paraId="4AEAA9CA"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1321" w:type="dxa"/>
            <w:tcBorders>
              <w:top w:val="single" w:sz="4" w:space="0" w:color="000000"/>
            </w:tcBorders>
          </w:tcPr>
          <w:p w14:paraId="27809A7A"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13,0</w:t>
            </w:r>
          </w:p>
        </w:tc>
      </w:tr>
      <w:tr w:rsidR="008A1E26" w:rsidRPr="002E23D7" w14:paraId="26D4B8EF" w14:textId="77777777" w:rsidTr="00A65FFD">
        <w:trPr>
          <w:trHeight w:val="284"/>
          <w:jc w:val="center"/>
        </w:trPr>
        <w:tc>
          <w:tcPr>
            <w:tcW w:w="1590" w:type="dxa"/>
          </w:tcPr>
          <w:p w14:paraId="6E924C27" w14:textId="77777777" w:rsidR="008A1E26" w:rsidRPr="002E23D7" w:rsidRDefault="008A1E26" w:rsidP="008A1E2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Sedang</w:t>
            </w:r>
          </w:p>
        </w:tc>
        <w:tc>
          <w:tcPr>
            <w:tcW w:w="1625" w:type="dxa"/>
          </w:tcPr>
          <w:p w14:paraId="7D8064EE"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34</w:t>
            </w:r>
          </w:p>
        </w:tc>
        <w:tc>
          <w:tcPr>
            <w:tcW w:w="1321" w:type="dxa"/>
          </w:tcPr>
          <w:p w14:paraId="41AD0CE6"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73,9</w:t>
            </w:r>
          </w:p>
        </w:tc>
      </w:tr>
      <w:tr w:rsidR="008A1E26" w:rsidRPr="002E23D7" w14:paraId="399B0FFB" w14:textId="77777777" w:rsidTr="00A65FFD">
        <w:trPr>
          <w:trHeight w:val="284"/>
          <w:jc w:val="center"/>
        </w:trPr>
        <w:tc>
          <w:tcPr>
            <w:tcW w:w="1590" w:type="dxa"/>
          </w:tcPr>
          <w:p w14:paraId="49C77972" w14:textId="77777777" w:rsidR="008A1E26"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Rendah</w:t>
            </w:r>
            <w:proofErr w:type="spellEnd"/>
          </w:p>
        </w:tc>
        <w:tc>
          <w:tcPr>
            <w:tcW w:w="1625" w:type="dxa"/>
          </w:tcPr>
          <w:p w14:paraId="048AF557" w14:textId="77777777" w:rsidR="008A1E26"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1321" w:type="dxa"/>
          </w:tcPr>
          <w:p w14:paraId="61F2C5CC" w14:textId="77777777" w:rsidR="008A1E26"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13,0</w:t>
            </w:r>
          </w:p>
        </w:tc>
      </w:tr>
      <w:tr w:rsidR="008A1E26" w:rsidRPr="002E23D7" w14:paraId="771845CE" w14:textId="77777777" w:rsidTr="00A65FFD">
        <w:trPr>
          <w:trHeight w:val="284"/>
          <w:jc w:val="center"/>
        </w:trPr>
        <w:tc>
          <w:tcPr>
            <w:tcW w:w="1590" w:type="dxa"/>
          </w:tcPr>
          <w:p w14:paraId="0CC0E71B" w14:textId="77777777" w:rsidR="008A1E26" w:rsidRPr="002E23D7" w:rsidRDefault="008A1E26" w:rsidP="008A1E2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p>
        </w:tc>
        <w:tc>
          <w:tcPr>
            <w:tcW w:w="1625" w:type="dxa"/>
          </w:tcPr>
          <w:p w14:paraId="5F6E9EE5"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1321" w:type="dxa"/>
          </w:tcPr>
          <w:p w14:paraId="31D297DA" w14:textId="77777777" w:rsidR="008A1E26" w:rsidRPr="002E23D7" w:rsidRDefault="008A1E26" w:rsidP="008A1E2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793AF834" w14:textId="08DE3A9A" w:rsidR="008A1E26" w:rsidRPr="00F03F63"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1549E685" w14:textId="77777777" w:rsidR="00772592" w:rsidRDefault="00772592" w:rsidP="008A1E26">
      <w:pPr>
        <w:tabs>
          <w:tab w:val="left" w:pos="426"/>
        </w:tabs>
        <w:spacing w:after="0" w:line="240" w:lineRule="auto"/>
        <w:jc w:val="both"/>
        <w:rPr>
          <w:rFonts w:ascii="Tw Cen MT" w:eastAsia="Twentieth Century" w:hAnsi="Tw Cen MT" w:cs="Twentieth Century"/>
          <w:sz w:val="24"/>
          <w:szCs w:val="24"/>
        </w:rPr>
      </w:pPr>
    </w:p>
    <w:p w14:paraId="6650D335" w14:textId="08CF1925" w:rsidR="008A1E26" w:rsidRDefault="008A1E26" w:rsidP="008A1E26">
      <w:pPr>
        <w:tabs>
          <w:tab w:val="left" w:pos="426"/>
        </w:tabs>
        <w:spacing w:after="0" w:line="240" w:lineRule="auto"/>
        <w:jc w:val="both"/>
        <w:rPr>
          <w:rFonts w:ascii="Tw Cen MT" w:eastAsia="Twentieth Century" w:hAnsi="Tw Cen MT" w:cs="Twentieth Century"/>
          <w:sz w:val="24"/>
          <w:szCs w:val="24"/>
        </w:rPr>
        <w:sectPr w:rsidR="008A1E26" w:rsidSect="008A1E26">
          <w:type w:val="continuous"/>
          <w:pgSz w:w="12240" w:h="15840"/>
          <w:pgMar w:top="1440" w:right="1440" w:bottom="1440" w:left="1440" w:header="720" w:footer="720" w:gutter="0"/>
          <w:cols w:num="2" w:space="369" w:equalWidth="0">
            <w:col w:w="4496" w:space="369"/>
            <w:col w:w="4495" w:space="0"/>
          </w:cols>
        </w:sectPr>
      </w:pPr>
      <w:proofErr w:type="spellStart"/>
      <w:r w:rsidRPr="00B235E1">
        <w:rPr>
          <w:rFonts w:ascii="Tw Cen MT" w:eastAsia="Twentieth Century" w:hAnsi="Tw Cen MT" w:cs="Twentieth Century"/>
          <w:sz w:val="24"/>
          <w:szCs w:val="24"/>
        </w:rPr>
        <w:t>Tabel</w:t>
      </w:r>
      <w:proofErr w:type="spellEnd"/>
      <w:r w:rsidRPr="00B235E1">
        <w:rPr>
          <w:rFonts w:ascii="Tw Cen MT" w:eastAsia="Twentieth Century" w:hAnsi="Tw Cen MT" w:cs="Twentieth Century"/>
          <w:sz w:val="24"/>
          <w:szCs w:val="24"/>
        </w:rPr>
        <w:t xml:space="preserve"> 4 </w:t>
      </w:r>
      <w:proofErr w:type="spellStart"/>
      <w:r w:rsidRPr="00B235E1">
        <w:rPr>
          <w:rFonts w:ascii="Tw Cen MT" w:eastAsia="Twentieth Century" w:hAnsi="Tw Cen MT" w:cs="Twentieth Century"/>
          <w:sz w:val="24"/>
          <w:szCs w:val="24"/>
        </w:rPr>
        <w:t>menunjukkan</w:t>
      </w:r>
      <w:proofErr w:type="spellEnd"/>
      <w:r w:rsidR="00772592">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sebagian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besar</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dari</w:t>
      </w:r>
      <w:proofErr w:type="spellEnd"/>
      <w:r w:rsidRPr="00B235E1">
        <w:rPr>
          <w:rFonts w:ascii="Tw Cen MT" w:eastAsia="Twentieth Century" w:hAnsi="Tw Cen MT" w:cs="Twentieth Century"/>
          <w:sz w:val="24"/>
          <w:szCs w:val="24"/>
        </w:rPr>
        <w:t xml:space="preserve"> </w:t>
      </w:r>
      <w:proofErr w:type="spellStart"/>
      <w:r w:rsidR="00A07B8A">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yaitu</w:t>
      </w:r>
      <w:proofErr w:type="spellEnd"/>
      <w:r w:rsidRPr="00B235E1">
        <w:rPr>
          <w:rFonts w:ascii="Tw Cen MT" w:eastAsia="Twentieth Century" w:hAnsi="Tw Cen MT" w:cs="Twentieth Century"/>
          <w:sz w:val="24"/>
          <w:szCs w:val="24"/>
        </w:rPr>
        <w:t xml:space="preserve"> 34 orang (73,9%) </w:t>
      </w:r>
      <w:proofErr w:type="spellStart"/>
      <w:r w:rsidRPr="00B235E1">
        <w:rPr>
          <w:rFonts w:ascii="Tw Cen MT" w:eastAsia="Twentieth Century" w:hAnsi="Tw Cen MT" w:cs="Twentieth Century"/>
          <w:sz w:val="24"/>
          <w:szCs w:val="24"/>
        </w:rPr>
        <w:t>memiliki</w:t>
      </w:r>
      <w:proofErr w:type="spellEnd"/>
      <w:r w:rsidRPr="00B235E1">
        <w:rPr>
          <w:rFonts w:ascii="Tw Cen MT" w:eastAsia="Twentieth Century" w:hAnsi="Tw Cen MT" w:cs="Twentieth Century"/>
          <w:sz w:val="24"/>
          <w:szCs w:val="24"/>
        </w:rPr>
        <w:t xml:space="preserve"> IMT normal. </w:t>
      </w:r>
      <w:proofErr w:type="spellStart"/>
      <w:r w:rsidR="00772592">
        <w:rPr>
          <w:rFonts w:ascii="Tw Cen MT" w:eastAsia="Twentieth Century" w:hAnsi="Tw Cen MT" w:cs="Twentieth Century"/>
          <w:sz w:val="24"/>
          <w:szCs w:val="24"/>
        </w:rPr>
        <w:t>Terdapat</w:t>
      </w:r>
      <w:proofErr w:type="spellEnd"/>
      <w:r w:rsidR="00772592">
        <w:rPr>
          <w:rFonts w:ascii="Tw Cen MT" w:eastAsia="Twentieth Century" w:hAnsi="Tw Cen MT" w:cs="Twentieth Century"/>
          <w:sz w:val="24"/>
          <w:szCs w:val="24"/>
        </w:rPr>
        <w:t xml:space="preserve"> 6 orang (13,0%)</w:t>
      </w:r>
      <w:r w:rsidRPr="00B235E1">
        <w:rPr>
          <w:rFonts w:ascii="Tw Cen MT" w:eastAsia="Twentieth Century" w:hAnsi="Tw Cen MT" w:cs="Twentieth Century"/>
          <w:sz w:val="24"/>
          <w:szCs w:val="24"/>
        </w:rPr>
        <w:t xml:space="preserve"> </w:t>
      </w:r>
      <w:proofErr w:type="spellStart"/>
      <w:r w:rsidR="00A07B8A">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memiliki</w:t>
      </w:r>
      <w:proofErr w:type="spellEnd"/>
      <w:r w:rsidRPr="00B235E1">
        <w:rPr>
          <w:rFonts w:ascii="Tw Cen MT" w:eastAsia="Twentieth Century" w:hAnsi="Tw Cen MT" w:cs="Twentieth Century"/>
          <w:sz w:val="24"/>
          <w:szCs w:val="24"/>
        </w:rPr>
        <w:t xml:space="preserve"> IMT </w:t>
      </w:r>
      <w:r w:rsidRPr="00772592">
        <w:rPr>
          <w:rFonts w:ascii="Tw Cen MT" w:eastAsia="Twentieth Century" w:hAnsi="Tw Cen MT" w:cs="Twentieth Century"/>
          <w:i/>
          <w:iCs/>
          <w:sz w:val="24"/>
          <w:szCs w:val="24"/>
        </w:rPr>
        <w:t>underweight</w:t>
      </w:r>
      <w:r w:rsidRPr="00B235E1">
        <w:rPr>
          <w:rFonts w:ascii="Tw Cen MT" w:eastAsia="Twentieth Century" w:hAnsi="Tw Cen MT" w:cs="Twentieth Century"/>
          <w:sz w:val="24"/>
          <w:szCs w:val="24"/>
        </w:rPr>
        <w:t xml:space="preserve"> dan </w:t>
      </w:r>
      <w:r w:rsidRPr="00772592">
        <w:rPr>
          <w:rFonts w:ascii="Tw Cen MT" w:eastAsia="Twentieth Century" w:hAnsi="Tw Cen MT" w:cs="Twentieth Century"/>
          <w:i/>
          <w:iCs/>
          <w:sz w:val="24"/>
          <w:szCs w:val="24"/>
        </w:rPr>
        <w:t>overweight</w:t>
      </w:r>
      <w:r w:rsidR="00772592">
        <w:rPr>
          <w:rFonts w:ascii="Tw Cen MT" w:eastAsia="Twentieth Century" w:hAnsi="Tw Cen MT" w:cs="Twentieth Century"/>
          <w:sz w:val="24"/>
          <w:szCs w:val="24"/>
        </w:rPr>
        <w:t xml:space="preserve">. </w:t>
      </w:r>
      <w:r w:rsidRPr="00B235E1">
        <w:rPr>
          <w:rFonts w:ascii="Tw Cen MT" w:eastAsia="Twentieth Century" w:hAnsi="Tw Cen MT" w:cs="Twentieth Century"/>
          <w:sz w:val="24"/>
          <w:szCs w:val="24"/>
        </w:rPr>
        <w:t xml:space="preserve">Hasil </w:t>
      </w:r>
      <w:proofErr w:type="spellStart"/>
      <w:r w:rsidRPr="00B235E1">
        <w:rPr>
          <w:rFonts w:ascii="Tw Cen MT" w:eastAsia="Twentieth Century" w:hAnsi="Tw Cen MT" w:cs="Twentieth Century"/>
          <w:sz w:val="24"/>
          <w:szCs w:val="24"/>
        </w:rPr>
        <w:t>penelitian</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tahun</w:t>
      </w:r>
      <w:proofErr w:type="spellEnd"/>
      <w:r w:rsidRPr="00B235E1">
        <w:rPr>
          <w:rFonts w:ascii="Tw Cen MT" w:eastAsia="Twentieth Century" w:hAnsi="Tw Cen MT" w:cs="Twentieth Century"/>
          <w:sz w:val="24"/>
          <w:szCs w:val="24"/>
        </w:rPr>
        <w:t xml:space="preserve"> 2023 di </w:t>
      </w:r>
      <w:proofErr w:type="spellStart"/>
      <w:r w:rsidRPr="00B235E1">
        <w:rPr>
          <w:rFonts w:ascii="Tw Cen MT" w:eastAsia="Twentieth Century" w:hAnsi="Tw Cen MT" w:cs="Twentieth Century"/>
          <w:sz w:val="24"/>
          <w:szCs w:val="24"/>
        </w:rPr>
        <w:t>Fakultas</w:t>
      </w:r>
      <w:proofErr w:type="spellEnd"/>
      <w:r w:rsidRPr="00B235E1">
        <w:rPr>
          <w:rFonts w:ascii="Tw Cen MT" w:eastAsia="Twentieth Century" w:hAnsi="Tw Cen MT" w:cs="Twentieth Century"/>
          <w:sz w:val="24"/>
          <w:szCs w:val="24"/>
        </w:rPr>
        <w:t xml:space="preserve"> Kesehatan Masyarakat Universitas Nusa </w:t>
      </w:r>
      <w:proofErr w:type="spellStart"/>
      <w:r w:rsidRPr="00B235E1">
        <w:rPr>
          <w:rFonts w:ascii="Tw Cen MT" w:eastAsia="Twentieth Century" w:hAnsi="Tw Cen MT" w:cs="Twentieth Century"/>
          <w:sz w:val="24"/>
          <w:szCs w:val="24"/>
        </w:rPr>
        <w:t>Cendana</w:t>
      </w:r>
      <w:proofErr w:type="spellEnd"/>
      <w:r w:rsidRPr="00B235E1">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menunjukkan</w:t>
      </w:r>
      <w:proofErr w:type="spellEnd"/>
      <w:r w:rsidRPr="00B235E1">
        <w:rPr>
          <w:rFonts w:ascii="Tw Cen MT" w:eastAsia="Twentieth Century" w:hAnsi="Tw Cen MT" w:cs="Twentieth Century"/>
          <w:sz w:val="24"/>
          <w:szCs w:val="24"/>
        </w:rPr>
        <w:t xml:space="preserve"> 47 </w:t>
      </w:r>
      <w:proofErr w:type="spellStart"/>
      <w:r w:rsidRPr="00B235E1">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(49%)</w:t>
      </w:r>
      <w:r w:rsidR="00772592">
        <w:rPr>
          <w:rFonts w:ascii="Tw Cen MT" w:eastAsia="Twentieth Century" w:hAnsi="Tw Cen MT" w:cs="Twentieth Century"/>
          <w:sz w:val="24"/>
          <w:szCs w:val="24"/>
        </w:rPr>
        <w:t xml:space="preserve"> normal</w:t>
      </w:r>
      <w:r w:rsidRPr="00B235E1">
        <w:rPr>
          <w:rFonts w:ascii="Tw Cen MT" w:eastAsia="Twentieth Century" w:hAnsi="Tw Cen MT" w:cs="Twentieth Century"/>
          <w:sz w:val="24"/>
          <w:szCs w:val="24"/>
        </w:rPr>
        <w:t xml:space="preserve"> dan 49 </w:t>
      </w:r>
      <w:proofErr w:type="spellStart"/>
      <w:r w:rsidRPr="00B235E1">
        <w:rPr>
          <w:rFonts w:ascii="Tw Cen MT" w:eastAsia="Twentieth Century" w:hAnsi="Tw Cen MT" w:cs="Twentieth Century"/>
          <w:sz w:val="24"/>
          <w:szCs w:val="24"/>
        </w:rPr>
        <w:t>responden</w:t>
      </w:r>
      <w:proofErr w:type="spellEnd"/>
      <w:r w:rsidRPr="00B235E1">
        <w:rPr>
          <w:rFonts w:ascii="Tw Cen MT" w:eastAsia="Twentieth Century" w:hAnsi="Tw Cen MT" w:cs="Twentieth Century"/>
          <w:sz w:val="24"/>
          <w:szCs w:val="24"/>
        </w:rPr>
        <w:t xml:space="preserve"> (51%) </w:t>
      </w:r>
      <w:proofErr w:type="spellStart"/>
      <w:r w:rsidRPr="00B235E1">
        <w:rPr>
          <w:rFonts w:ascii="Tw Cen MT" w:eastAsia="Twentieth Century" w:hAnsi="Tw Cen MT" w:cs="Twentieth Century"/>
          <w:sz w:val="24"/>
          <w:szCs w:val="24"/>
        </w:rPr>
        <w:t>memiliki</w:t>
      </w:r>
      <w:proofErr w:type="spellEnd"/>
      <w:r w:rsidRPr="00B235E1">
        <w:rPr>
          <w:rFonts w:ascii="Tw Cen MT" w:eastAsia="Twentieth Century" w:hAnsi="Tw Cen MT" w:cs="Twentieth Century"/>
          <w:sz w:val="24"/>
          <w:szCs w:val="24"/>
        </w:rPr>
        <w:t xml:space="preserve"> IMT</w:t>
      </w:r>
      <w:r w:rsidR="00772592">
        <w:rPr>
          <w:rFonts w:ascii="Tw Cen MT" w:eastAsia="Twentieth Century" w:hAnsi="Tw Cen MT" w:cs="Twentieth Century"/>
          <w:sz w:val="24"/>
          <w:szCs w:val="24"/>
        </w:rPr>
        <w:t xml:space="preserve"> </w:t>
      </w:r>
      <w:proofErr w:type="spellStart"/>
      <w:r w:rsidRPr="00B235E1">
        <w:rPr>
          <w:rFonts w:ascii="Tw Cen MT" w:eastAsia="Twentieth Century" w:hAnsi="Tw Cen MT" w:cs="Twentieth Century"/>
          <w:sz w:val="24"/>
          <w:szCs w:val="24"/>
        </w:rPr>
        <w:t>tidak</w:t>
      </w:r>
      <w:proofErr w:type="spellEnd"/>
      <w:r w:rsidRPr="00B235E1">
        <w:rPr>
          <w:rFonts w:ascii="Tw Cen MT" w:eastAsia="Twentieth Century" w:hAnsi="Tw Cen MT" w:cs="Twentieth Century"/>
          <w:sz w:val="24"/>
          <w:szCs w:val="24"/>
        </w:rPr>
        <w:t xml:space="preserve"> normal </w:t>
      </w:r>
      <w:proofErr w:type="spellStart"/>
      <w:r w:rsidR="00772592">
        <w:rPr>
          <w:rFonts w:ascii="Tw Cen MT" w:eastAsia="Twentieth Century" w:hAnsi="Tw Cen MT" w:cs="Twentieth Century"/>
          <w:sz w:val="24"/>
          <w:szCs w:val="24"/>
        </w:rPr>
        <w:t>dari</w:t>
      </w:r>
      <w:proofErr w:type="spellEnd"/>
      <w:r w:rsidR="00772592">
        <w:rPr>
          <w:rFonts w:ascii="Tw Cen MT" w:eastAsia="Twentieth Century" w:hAnsi="Tw Cen MT" w:cs="Twentieth Century"/>
          <w:sz w:val="24"/>
          <w:szCs w:val="24"/>
        </w:rPr>
        <w:t xml:space="preserve"> </w:t>
      </w:r>
      <w:r w:rsidRPr="00B235E1">
        <w:rPr>
          <w:rFonts w:ascii="Tw Cen MT" w:eastAsia="Twentieth Century" w:hAnsi="Tw Cen MT" w:cs="Twentieth Century"/>
          <w:sz w:val="24"/>
          <w:szCs w:val="24"/>
        </w:rPr>
        <w:t xml:space="preserve">96 </w:t>
      </w:r>
      <w:proofErr w:type="spellStart"/>
      <w:r w:rsidRPr="00B235E1">
        <w:rPr>
          <w:rFonts w:ascii="Tw Cen MT" w:eastAsia="Twentieth Century" w:hAnsi="Tw Cen MT" w:cs="Twentieth Century"/>
          <w:sz w:val="24"/>
          <w:szCs w:val="24"/>
        </w:rPr>
        <w:t>responden</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dimana</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hasil</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ini</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menunjukkan</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hanya</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terdapat</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perbedaan</w:t>
      </w:r>
      <w:proofErr w:type="spellEnd"/>
      <w:r w:rsidR="007F717D">
        <w:rPr>
          <w:rFonts w:ascii="Tw Cen MT" w:eastAsia="Twentieth Century" w:hAnsi="Tw Cen MT" w:cs="Twentieth Century"/>
          <w:sz w:val="24"/>
          <w:szCs w:val="24"/>
        </w:rPr>
        <w:t xml:space="preserve"> yang tipis </w:t>
      </w:r>
      <w:proofErr w:type="spellStart"/>
      <w:r w:rsidR="007F717D">
        <w:rPr>
          <w:rFonts w:ascii="Tw Cen MT" w:eastAsia="Twentieth Century" w:hAnsi="Tw Cen MT" w:cs="Twentieth Century"/>
          <w:sz w:val="24"/>
          <w:szCs w:val="24"/>
        </w:rPr>
        <w:t>diantara</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mahasiswa</w:t>
      </w:r>
      <w:proofErr w:type="spellEnd"/>
      <w:r w:rsidR="007F717D">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dengan</w:t>
      </w:r>
      <w:proofErr w:type="spellEnd"/>
      <w:r w:rsidR="007F717D">
        <w:rPr>
          <w:rFonts w:ascii="Tw Cen MT" w:eastAsia="Twentieth Century" w:hAnsi="Tw Cen MT" w:cs="Twentieth Century"/>
          <w:sz w:val="24"/>
          <w:szCs w:val="24"/>
        </w:rPr>
        <w:t xml:space="preserve"> IMT normal dan IMT </w:t>
      </w:r>
      <w:proofErr w:type="spellStart"/>
      <w:r w:rsidR="007F717D">
        <w:rPr>
          <w:rFonts w:ascii="Tw Cen MT" w:eastAsia="Twentieth Century" w:hAnsi="Tw Cen MT" w:cs="Twentieth Century"/>
          <w:sz w:val="24"/>
          <w:szCs w:val="24"/>
        </w:rPr>
        <w:t>tidak</w:t>
      </w:r>
      <w:proofErr w:type="spellEnd"/>
      <w:r w:rsidR="007F717D">
        <w:rPr>
          <w:rFonts w:ascii="Tw Cen MT" w:eastAsia="Twentieth Century" w:hAnsi="Tw Cen MT" w:cs="Twentieth Century"/>
          <w:sz w:val="24"/>
          <w:szCs w:val="24"/>
        </w:rPr>
        <w:t xml:space="preserve"> normal </w:t>
      </w:r>
      <w:r w:rsidR="00772592" w:rsidRPr="00B235E1">
        <w:rPr>
          <w:rFonts w:ascii="Tw Cen MT" w:eastAsia="Twentieth Century" w:hAnsi="Tw Cen MT" w:cs="Twentieth Century"/>
          <w:sz w:val="24"/>
          <w:szCs w:val="24"/>
        </w:rPr>
        <w:t>[14]</w:t>
      </w:r>
      <w:r w:rsidR="00A07B8A">
        <w:rPr>
          <w:rFonts w:ascii="Tw Cen MT" w:eastAsia="Twentieth Century" w:hAnsi="Tw Cen MT" w:cs="Twentieth Century"/>
          <w:sz w:val="24"/>
          <w:szCs w:val="24"/>
        </w:rPr>
        <w:t>.</w:t>
      </w:r>
    </w:p>
    <w:p w14:paraId="45C37CE2" w14:textId="69E4503D" w:rsidR="008A1E26" w:rsidRDefault="008A1E26" w:rsidP="008A1E26">
      <w:pPr>
        <w:tabs>
          <w:tab w:val="left" w:pos="426"/>
        </w:tabs>
        <w:spacing w:after="0" w:line="240" w:lineRule="auto"/>
        <w:jc w:val="both"/>
        <w:rPr>
          <w:rFonts w:ascii="Tw Cen MT" w:eastAsia="Twentieth Century" w:hAnsi="Tw Cen MT" w:cs="Twentieth Century"/>
          <w:sz w:val="24"/>
          <w:szCs w:val="24"/>
        </w:rPr>
      </w:pPr>
    </w:p>
    <w:p w14:paraId="779AC1C4" w14:textId="77777777" w:rsidR="008A1E26" w:rsidRPr="00F03F63" w:rsidRDefault="008A1E26" w:rsidP="008A1E26">
      <w:pPr>
        <w:spacing w:after="0" w:line="240" w:lineRule="auto"/>
        <w:jc w:val="center"/>
        <w:rPr>
          <w:rFonts w:ascii="Tw Cen MT" w:eastAsia="Twentieth Century" w:hAnsi="Tw Cen MT" w:cs="Twentieth Century"/>
          <w:sz w:val="20"/>
          <w:szCs w:val="20"/>
        </w:rPr>
      </w:pPr>
      <w:proofErr w:type="spellStart"/>
      <w:r w:rsidRPr="00F03F63">
        <w:rPr>
          <w:rFonts w:ascii="Tw Cen MT" w:eastAsia="Twentieth Century" w:hAnsi="Tw Cen MT" w:cs="Twentieth Century"/>
          <w:sz w:val="20"/>
          <w:szCs w:val="20"/>
        </w:rPr>
        <w:t>Tabel</w:t>
      </w:r>
      <w:proofErr w:type="spellEnd"/>
      <w:r w:rsidRPr="00F03F63">
        <w:rPr>
          <w:rFonts w:ascii="Tw Cen MT" w:eastAsia="Twentieth Century" w:hAnsi="Tw Cen MT" w:cs="Twentieth Century"/>
          <w:sz w:val="20"/>
          <w:szCs w:val="20"/>
        </w:rPr>
        <w:t xml:space="preserve"> 5. </w:t>
      </w:r>
      <w:proofErr w:type="spellStart"/>
      <w:r w:rsidRPr="00F03F63">
        <w:rPr>
          <w:rFonts w:ascii="Tw Cen MT" w:eastAsia="Twentieth Century" w:hAnsi="Tw Cen MT" w:cs="Twentieth Century"/>
          <w:sz w:val="20"/>
          <w:szCs w:val="20"/>
        </w:rPr>
        <w:t>Hubungan</w:t>
      </w:r>
      <w:proofErr w:type="spellEnd"/>
      <w:r w:rsidRPr="00F03F63">
        <w:rPr>
          <w:rFonts w:ascii="Tw Cen MT" w:eastAsia="Twentieth Century" w:hAnsi="Tw Cen MT" w:cs="Twentieth Century"/>
          <w:sz w:val="20"/>
          <w:szCs w:val="20"/>
        </w:rPr>
        <w:t xml:space="preserve"> Pola </w:t>
      </w:r>
      <w:proofErr w:type="spellStart"/>
      <w:r w:rsidRPr="00F03F63">
        <w:rPr>
          <w:rFonts w:ascii="Tw Cen MT" w:eastAsia="Twentieth Century" w:hAnsi="Tw Cen MT" w:cs="Twentieth Century"/>
          <w:sz w:val="20"/>
          <w:szCs w:val="20"/>
        </w:rPr>
        <w:t>Konsumsi</w:t>
      </w:r>
      <w:proofErr w:type="spellEnd"/>
      <w:r w:rsidRPr="00F03F63">
        <w:rPr>
          <w:rFonts w:ascii="Tw Cen MT" w:eastAsia="Twentieth Century" w:hAnsi="Tw Cen MT" w:cs="Twentieth Century"/>
          <w:sz w:val="20"/>
          <w:szCs w:val="20"/>
        </w:rPr>
        <w:t xml:space="preserve"> </w:t>
      </w:r>
      <w:proofErr w:type="spellStart"/>
      <w:r w:rsidRPr="00F03F63">
        <w:rPr>
          <w:rFonts w:ascii="Tw Cen MT" w:eastAsia="Twentieth Century" w:hAnsi="Tw Cen MT" w:cs="Twentieth Century"/>
          <w:sz w:val="20"/>
          <w:szCs w:val="20"/>
        </w:rPr>
        <w:t>Makanan</w:t>
      </w:r>
      <w:proofErr w:type="spellEnd"/>
      <w:r w:rsidRPr="00F03F63">
        <w:rPr>
          <w:rFonts w:ascii="Tw Cen MT" w:eastAsia="Twentieth Century" w:hAnsi="Tw Cen MT" w:cs="Twentieth Century"/>
          <w:sz w:val="20"/>
          <w:szCs w:val="20"/>
        </w:rPr>
        <w:t xml:space="preserve"> </w:t>
      </w:r>
      <w:proofErr w:type="spellStart"/>
      <w:r w:rsidRPr="00F03F63">
        <w:rPr>
          <w:rFonts w:ascii="Tw Cen MT" w:eastAsia="Twentieth Century" w:hAnsi="Tw Cen MT" w:cs="Twentieth Century"/>
          <w:sz w:val="20"/>
          <w:szCs w:val="20"/>
        </w:rPr>
        <w:t>Jajanan</w:t>
      </w:r>
      <w:proofErr w:type="spellEnd"/>
      <w:r w:rsidRPr="00F03F63">
        <w:rPr>
          <w:rFonts w:ascii="Tw Cen MT" w:eastAsia="Twentieth Century" w:hAnsi="Tw Cen MT" w:cs="Twentieth Century"/>
          <w:sz w:val="20"/>
          <w:szCs w:val="20"/>
        </w:rPr>
        <w:t xml:space="preserve"> </w:t>
      </w:r>
      <w:proofErr w:type="spellStart"/>
      <w:r w:rsidRPr="00F03F63">
        <w:rPr>
          <w:rFonts w:ascii="Tw Cen MT" w:eastAsia="Twentieth Century" w:hAnsi="Tw Cen MT" w:cs="Twentieth Century"/>
          <w:sz w:val="20"/>
          <w:szCs w:val="20"/>
        </w:rPr>
        <w:t>dengan</w:t>
      </w:r>
      <w:proofErr w:type="spellEnd"/>
      <w:r w:rsidRPr="00F03F63">
        <w:rPr>
          <w:rFonts w:ascii="Tw Cen MT" w:eastAsia="Twentieth Century" w:hAnsi="Tw Cen MT" w:cs="Twentieth Century"/>
          <w:sz w:val="20"/>
          <w:szCs w:val="20"/>
        </w:rPr>
        <w:t xml:space="preserve"> </w:t>
      </w:r>
      <w:proofErr w:type="spellStart"/>
      <w:r w:rsidRPr="00F03F63">
        <w:rPr>
          <w:rFonts w:ascii="Tw Cen MT" w:eastAsia="Twentieth Century" w:hAnsi="Tw Cen MT" w:cs="Twentieth Century"/>
          <w:sz w:val="20"/>
          <w:szCs w:val="20"/>
        </w:rPr>
        <w:t>Indeks</w:t>
      </w:r>
      <w:proofErr w:type="spellEnd"/>
      <w:r w:rsidRPr="00F03F63">
        <w:rPr>
          <w:rFonts w:ascii="Tw Cen MT" w:eastAsia="Twentieth Century" w:hAnsi="Tw Cen MT" w:cs="Twentieth Century"/>
          <w:sz w:val="20"/>
          <w:szCs w:val="20"/>
        </w:rPr>
        <w:t xml:space="preserve"> Massa </w:t>
      </w:r>
      <w:proofErr w:type="spellStart"/>
      <w:r w:rsidRPr="00F03F63">
        <w:rPr>
          <w:rFonts w:ascii="Tw Cen MT" w:eastAsia="Twentieth Century" w:hAnsi="Tw Cen MT" w:cs="Twentieth Century"/>
          <w:sz w:val="20"/>
          <w:szCs w:val="20"/>
        </w:rPr>
        <w:t>Tubuh</w:t>
      </w:r>
      <w:proofErr w:type="spellEnd"/>
    </w:p>
    <w:tbl>
      <w:tblPr>
        <w:tblStyle w:val="KisiTabel"/>
        <w:tblW w:w="9356" w:type="dxa"/>
        <w:tblLook w:val="04A0" w:firstRow="1" w:lastRow="0" w:firstColumn="1" w:lastColumn="0" w:noHBand="0" w:noVBand="1"/>
      </w:tblPr>
      <w:tblGrid>
        <w:gridCol w:w="1362"/>
        <w:gridCol w:w="913"/>
        <w:gridCol w:w="1074"/>
        <w:gridCol w:w="705"/>
        <w:gridCol w:w="954"/>
        <w:gridCol w:w="894"/>
        <w:gridCol w:w="968"/>
        <w:gridCol w:w="705"/>
        <w:gridCol w:w="885"/>
        <w:gridCol w:w="896"/>
      </w:tblGrid>
      <w:tr w:rsidR="008A1E26" w:rsidRPr="00F03F63" w14:paraId="2A261806" w14:textId="77777777" w:rsidTr="00A65FFD">
        <w:trPr>
          <w:trHeight w:val="262"/>
        </w:trPr>
        <w:tc>
          <w:tcPr>
            <w:tcW w:w="1362" w:type="dxa"/>
            <w:vMerge w:val="restart"/>
            <w:tcBorders>
              <w:top w:val="single" w:sz="4" w:space="0" w:color="auto"/>
              <w:left w:val="nil"/>
              <w:bottom w:val="single" w:sz="4" w:space="0" w:color="auto"/>
              <w:right w:val="nil"/>
            </w:tcBorders>
          </w:tcPr>
          <w:p w14:paraId="070869FA" w14:textId="77777777" w:rsidR="008A1E26" w:rsidRPr="00F03F63" w:rsidRDefault="008A1E26" w:rsidP="008A1E26">
            <w:pPr>
              <w:jc w:val="center"/>
              <w:rPr>
                <w:rFonts w:ascii="Tw Cen MT" w:eastAsia="Twentieth Century" w:hAnsi="Tw Cen MT" w:cs="Twentieth Century"/>
                <w:sz w:val="20"/>
                <w:szCs w:val="20"/>
              </w:rPr>
            </w:pPr>
            <w:proofErr w:type="spellStart"/>
            <w:r w:rsidRPr="00F03F63">
              <w:rPr>
                <w:rFonts w:ascii="Tw Cen MT" w:eastAsia="Twentieth Century" w:hAnsi="Tw Cen MT" w:cs="Twentieth Century"/>
                <w:sz w:val="20"/>
                <w:szCs w:val="20"/>
              </w:rPr>
              <w:t>Jajanan</w:t>
            </w:r>
            <w:proofErr w:type="spellEnd"/>
          </w:p>
        </w:tc>
        <w:tc>
          <w:tcPr>
            <w:tcW w:w="1987" w:type="dxa"/>
            <w:gridSpan w:val="2"/>
            <w:tcBorders>
              <w:top w:val="single" w:sz="4" w:space="0" w:color="auto"/>
              <w:left w:val="nil"/>
              <w:bottom w:val="nil"/>
              <w:right w:val="nil"/>
            </w:tcBorders>
          </w:tcPr>
          <w:p w14:paraId="68D65357"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Underweight</w:t>
            </w:r>
          </w:p>
        </w:tc>
        <w:tc>
          <w:tcPr>
            <w:tcW w:w="1659" w:type="dxa"/>
            <w:gridSpan w:val="2"/>
            <w:tcBorders>
              <w:top w:val="single" w:sz="4" w:space="0" w:color="auto"/>
              <w:left w:val="nil"/>
              <w:bottom w:val="nil"/>
              <w:right w:val="nil"/>
            </w:tcBorders>
          </w:tcPr>
          <w:p w14:paraId="0148214D"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Normal</w:t>
            </w:r>
          </w:p>
        </w:tc>
        <w:tc>
          <w:tcPr>
            <w:tcW w:w="1862" w:type="dxa"/>
            <w:gridSpan w:val="2"/>
            <w:tcBorders>
              <w:top w:val="single" w:sz="4" w:space="0" w:color="auto"/>
              <w:left w:val="nil"/>
              <w:bottom w:val="nil"/>
              <w:right w:val="nil"/>
            </w:tcBorders>
          </w:tcPr>
          <w:p w14:paraId="473241A4"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Overweight</w:t>
            </w:r>
          </w:p>
        </w:tc>
        <w:tc>
          <w:tcPr>
            <w:tcW w:w="1590" w:type="dxa"/>
            <w:gridSpan w:val="2"/>
            <w:tcBorders>
              <w:top w:val="single" w:sz="4" w:space="0" w:color="auto"/>
              <w:left w:val="nil"/>
              <w:bottom w:val="nil"/>
              <w:right w:val="nil"/>
            </w:tcBorders>
          </w:tcPr>
          <w:p w14:paraId="6E0D1308"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Total</w:t>
            </w:r>
          </w:p>
        </w:tc>
        <w:tc>
          <w:tcPr>
            <w:tcW w:w="896" w:type="dxa"/>
            <w:vMerge w:val="restart"/>
            <w:tcBorders>
              <w:top w:val="single" w:sz="4" w:space="0" w:color="auto"/>
              <w:left w:val="nil"/>
              <w:bottom w:val="single" w:sz="4" w:space="0" w:color="auto"/>
              <w:right w:val="nil"/>
            </w:tcBorders>
          </w:tcPr>
          <w:p w14:paraId="06A01923" w14:textId="77777777" w:rsidR="008A1E26" w:rsidRPr="00F03F63" w:rsidRDefault="008A1E26" w:rsidP="008A1E26">
            <w:pPr>
              <w:jc w:val="center"/>
              <w:rPr>
                <w:rFonts w:ascii="Tw Cen MT" w:eastAsia="Twentieth Century" w:hAnsi="Tw Cen MT" w:cs="Twentieth Century"/>
                <w:i/>
                <w:iCs/>
                <w:sz w:val="20"/>
                <w:szCs w:val="20"/>
              </w:rPr>
            </w:pPr>
            <w:r w:rsidRPr="00F03F63">
              <w:rPr>
                <w:rFonts w:ascii="Tw Cen MT" w:eastAsia="Twentieth Century" w:hAnsi="Tw Cen MT" w:cs="Twentieth Century"/>
                <w:i/>
                <w:iCs/>
                <w:sz w:val="20"/>
                <w:szCs w:val="20"/>
              </w:rPr>
              <w:t>P-</w:t>
            </w:r>
          </w:p>
          <w:p w14:paraId="46F117AD" w14:textId="77777777" w:rsidR="008A1E26" w:rsidRPr="00F03F63" w:rsidRDefault="008A1E26" w:rsidP="008A1E26">
            <w:pPr>
              <w:jc w:val="center"/>
              <w:rPr>
                <w:rFonts w:ascii="Tw Cen MT" w:eastAsia="Twentieth Century" w:hAnsi="Tw Cen MT" w:cs="Twentieth Century"/>
                <w:i/>
                <w:iCs/>
                <w:sz w:val="20"/>
                <w:szCs w:val="20"/>
              </w:rPr>
            </w:pPr>
            <w:r w:rsidRPr="00F03F63">
              <w:rPr>
                <w:rFonts w:ascii="Tw Cen MT" w:eastAsia="Twentieth Century" w:hAnsi="Tw Cen MT" w:cs="Twentieth Century"/>
                <w:i/>
                <w:iCs/>
                <w:sz w:val="20"/>
                <w:szCs w:val="20"/>
              </w:rPr>
              <w:t>Value</w:t>
            </w:r>
          </w:p>
        </w:tc>
      </w:tr>
      <w:tr w:rsidR="008A1E26" w:rsidRPr="00F03F63" w14:paraId="4D68D810" w14:textId="77777777" w:rsidTr="00A65FFD">
        <w:trPr>
          <w:trHeight w:val="171"/>
        </w:trPr>
        <w:tc>
          <w:tcPr>
            <w:tcW w:w="1362" w:type="dxa"/>
            <w:vMerge/>
            <w:tcBorders>
              <w:top w:val="single" w:sz="4" w:space="0" w:color="auto"/>
              <w:left w:val="nil"/>
              <w:bottom w:val="single" w:sz="4" w:space="0" w:color="auto"/>
              <w:right w:val="nil"/>
            </w:tcBorders>
          </w:tcPr>
          <w:p w14:paraId="12745F4C" w14:textId="77777777" w:rsidR="008A1E26" w:rsidRPr="00F03F63" w:rsidRDefault="008A1E26" w:rsidP="008A1E26">
            <w:pPr>
              <w:jc w:val="center"/>
              <w:rPr>
                <w:rFonts w:ascii="Tw Cen MT" w:eastAsia="Twentieth Century" w:hAnsi="Tw Cen MT" w:cs="Twentieth Century"/>
                <w:sz w:val="20"/>
                <w:szCs w:val="20"/>
              </w:rPr>
            </w:pPr>
          </w:p>
        </w:tc>
        <w:tc>
          <w:tcPr>
            <w:tcW w:w="913" w:type="dxa"/>
            <w:tcBorders>
              <w:top w:val="nil"/>
              <w:left w:val="nil"/>
              <w:bottom w:val="single" w:sz="4" w:space="0" w:color="auto"/>
              <w:right w:val="nil"/>
            </w:tcBorders>
          </w:tcPr>
          <w:p w14:paraId="1578942B"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n</w:t>
            </w:r>
          </w:p>
        </w:tc>
        <w:tc>
          <w:tcPr>
            <w:tcW w:w="1074" w:type="dxa"/>
            <w:tcBorders>
              <w:top w:val="nil"/>
              <w:left w:val="nil"/>
              <w:bottom w:val="single" w:sz="4" w:space="0" w:color="auto"/>
              <w:right w:val="nil"/>
            </w:tcBorders>
          </w:tcPr>
          <w:p w14:paraId="4DD8F9E1"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w:t>
            </w:r>
          </w:p>
        </w:tc>
        <w:tc>
          <w:tcPr>
            <w:tcW w:w="705" w:type="dxa"/>
            <w:tcBorders>
              <w:top w:val="nil"/>
              <w:left w:val="nil"/>
              <w:bottom w:val="single" w:sz="4" w:space="0" w:color="auto"/>
              <w:right w:val="nil"/>
            </w:tcBorders>
          </w:tcPr>
          <w:p w14:paraId="17F718CA"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n</w:t>
            </w:r>
          </w:p>
        </w:tc>
        <w:tc>
          <w:tcPr>
            <w:tcW w:w="954" w:type="dxa"/>
            <w:tcBorders>
              <w:top w:val="nil"/>
              <w:left w:val="nil"/>
              <w:bottom w:val="single" w:sz="4" w:space="0" w:color="auto"/>
              <w:right w:val="nil"/>
            </w:tcBorders>
          </w:tcPr>
          <w:p w14:paraId="7D7EAE02"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w:t>
            </w:r>
          </w:p>
        </w:tc>
        <w:tc>
          <w:tcPr>
            <w:tcW w:w="894" w:type="dxa"/>
            <w:tcBorders>
              <w:top w:val="nil"/>
              <w:left w:val="nil"/>
              <w:bottom w:val="single" w:sz="4" w:space="0" w:color="auto"/>
              <w:right w:val="nil"/>
            </w:tcBorders>
          </w:tcPr>
          <w:p w14:paraId="7FE67E81"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n</w:t>
            </w:r>
          </w:p>
        </w:tc>
        <w:tc>
          <w:tcPr>
            <w:tcW w:w="968" w:type="dxa"/>
            <w:tcBorders>
              <w:top w:val="nil"/>
              <w:left w:val="nil"/>
              <w:bottom w:val="single" w:sz="4" w:space="0" w:color="auto"/>
              <w:right w:val="nil"/>
            </w:tcBorders>
          </w:tcPr>
          <w:p w14:paraId="48901DC3"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w:t>
            </w:r>
          </w:p>
        </w:tc>
        <w:tc>
          <w:tcPr>
            <w:tcW w:w="705" w:type="dxa"/>
            <w:tcBorders>
              <w:top w:val="nil"/>
              <w:left w:val="nil"/>
              <w:bottom w:val="single" w:sz="4" w:space="0" w:color="auto"/>
              <w:right w:val="nil"/>
            </w:tcBorders>
          </w:tcPr>
          <w:p w14:paraId="5BD2A844"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n</w:t>
            </w:r>
          </w:p>
        </w:tc>
        <w:tc>
          <w:tcPr>
            <w:tcW w:w="885" w:type="dxa"/>
            <w:tcBorders>
              <w:top w:val="nil"/>
              <w:left w:val="nil"/>
              <w:bottom w:val="single" w:sz="4" w:space="0" w:color="auto"/>
              <w:right w:val="nil"/>
            </w:tcBorders>
          </w:tcPr>
          <w:p w14:paraId="3B8E1E28"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w:t>
            </w:r>
          </w:p>
        </w:tc>
        <w:tc>
          <w:tcPr>
            <w:tcW w:w="896" w:type="dxa"/>
            <w:vMerge/>
            <w:tcBorders>
              <w:top w:val="nil"/>
              <w:left w:val="nil"/>
              <w:bottom w:val="single" w:sz="4" w:space="0" w:color="auto"/>
              <w:right w:val="nil"/>
            </w:tcBorders>
          </w:tcPr>
          <w:p w14:paraId="5627BC1F" w14:textId="77777777" w:rsidR="008A1E26" w:rsidRPr="00F03F63" w:rsidRDefault="008A1E26" w:rsidP="008A1E26">
            <w:pPr>
              <w:jc w:val="center"/>
              <w:rPr>
                <w:rFonts w:ascii="Tw Cen MT" w:eastAsia="Twentieth Century" w:hAnsi="Tw Cen MT" w:cs="Twentieth Century"/>
                <w:sz w:val="20"/>
                <w:szCs w:val="20"/>
              </w:rPr>
            </w:pPr>
          </w:p>
        </w:tc>
      </w:tr>
      <w:tr w:rsidR="008A1E26" w:rsidRPr="00F03F63" w14:paraId="43FCA1C1" w14:textId="77777777" w:rsidTr="00A65FFD">
        <w:trPr>
          <w:trHeight w:val="250"/>
        </w:trPr>
        <w:tc>
          <w:tcPr>
            <w:tcW w:w="1362" w:type="dxa"/>
            <w:tcBorders>
              <w:top w:val="single" w:sz="4" w:space="0" w:color="auto"/>
              <w:left w:val="nil"/>
              <w:bottom w:val="nil"/>
              <w:right w:val="nil"/>
            </w:tcBorders>
          </w:tcPr>
          <w:p w14:paraId="4A35BFBE" w14:textId="77777777" w:rsidR="008A1E26" w:rsidRPr="00F03F63" w:rsidRDefault="008A1E26" w:rsidP="008A1E26">
            <w:pPr>
              <w:jc w:val="center"/>
              <w:rPr>
                <w:rFonts w:ascii="Tw Cen MT" w:eastAsia="Twentieth Century" w:hAnsi="Tw Cen MT" w:cs="Twentieth Century"/>
                <w:sz w:val="20"/>
                <w:szCs w:val="20"/>
              </w:rPr>
            </w:pPr>
            <w:proofErr w:type="spellStart"/>
            <w:r w:rsidRPr="00F03F63">
              <w:rPr>
                <w:rFonts w:ascii="Tw Cen MT" w:eastAsia="Twentieth Century" w:hAnsi="Tw Cen MT" w:cs="Twentieth Century"/>
                <w:sz w:val="20"/>
                <w:szCs w:val="20"/>
              </w:rPr>
              <w:t>Jarang</w:t>
            </w:r>
            <w:proofErr w:type="spellEnd"/>
          </w:p>
        </w:tc>
        <w:tc>
          <w:tcPr>
            <w:tcW w:w="913" w:type="dxa"/>
            <w:tcBorders>
              <w:top w:val="single" w:sz="4" w:space="0" w:color="auto"/>
              <w:left w:val="nil"/>
              <w:bottom w:val="nil"/>
              <w:right w:val="nil"/>
            </w:tcBorders>
          </w:tcPr>
          <w:p w14:paraId="0B09C560"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6</w:t>
            </w:r>
          </w:p>
        </w:tc>
        <w:tc>
          <w:tcPr>
            <w:tcW w:w="1074" w:type="dxa"/>
            <w:tcBorders>
              <w:top w:val="single" w:sz="4" w:space="0" w:color="auto"/>
              <w:left w:val="nil"/>
              <w:bottom w:val="nil"/>
              <w:right w:val="nil"/>
            </w:tcBorders>
          </w:tcPr>
          <w:p w14:paraId="10E5B631"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17,1</w:t>
            </w:r>
          </w:p>
        </w:tc>
        <w:tc>
          <w:tcPr>
            <w:tcW w:w="705" w:type="dxa"/>
            <w:tcBorders>
              <w:top w:val="single" w:sz="4" w:space="0" w:color="auto"/>
              <w:left w:val="nil"/>
              <w:bottom w:val="nil"/>
              <w:right w:val="nil"/>
            </w:tcBorders>
          </w:tcPr>
          <w:p w14:paraId="578B1FC2"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28</w:t>
            </w:r>
          </w:p>
        </w:tc>
        <w:tc>
          <w:tcPr>
            <w:tcW w:w="954" w:type="dxa"/>
            <w:tcBorders>
              <w:top w:val="single" w:sz="4" w:space="0" w:color="auto"/>
              <w:left w:val="nil"/>
              <w:bottom w:val="nil"/>
              <w:right w:val="nil"/>
            </w:tcBorders>
          </w:tcPr>
          <w:p w14:paraId="0F4E4AE4"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80,0</w:t>
            </w:r>
          </w:p>
        </w:tc>
        <w:tc>
          <w:tcPr>
            <w:tcW w:w="894" w:type="dxa"/>
            <w:tcBorders>
              <w:top w:val="single" w:sz="4" w:space="0" w:color="auto"/>
              <w:left w:val="nil"/>
              <w:bottom w:val="nil"/>
              <w:right w:val="nil"/>
            </w:tcBorders>
          </w:tcPr>
          <w:p w14:paraId="499BD881"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w:t>
            </w:r>
          </w:p>
        </w:tc>
        <w:tc>
          <w:tcPr>
            <w:tcW w:w="968" w:type="dxa"/>
            <w:tcBorders>
              <w:top w:val="single" w:sz="4" w:space="0" w:color="auto"/>
              <w:left w:val="nil"/>
              <w:bottom w:val="nil"/>
              <w:right w:val="nil"/>
            </w:tcBorders>
          </w:tcPr>
          <w:p w14:paraId="7ACDB83B"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2,9</w:t>
            </w:r>
          </w:p>
        </w:tc>
        <w:tc>
          <w:tcPr>
            <w:tcW w:w="705" w:type="dxa"/>
            <w:tcBorders>
              <w:top w:val="single" w:sz="4" w:space="0" w:color="auto"/>
              <w:left w:val="nil"/>
              <w:bottom w:val="nil"/>
              <w:right w:val="nil"/>
            </w:tcBorders>
          </w:tcPr>
          <w:p w14:paraId="4121BACD"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35</w:t>
            </w:r>
          </w:p>
        </w:tc>
        <w:tc>
          <w:tcPr>
            <w:tcW w:w="885" w:type="dxa"/>
            <w:tcBorders>
              <w:top w:val="single" w:sz="4" w:space="0" w:color="auto"/>
              <w:left w:val="nil"/>
              <w:bottom w:val="nil"/>
              <w:right w:val="nil"/>
            </w:tcBorders>
          </w:tcPr>
          <w:p w14:paraId="46081E9E"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100</w:t>
            </w:r>
          </w:p>
        </w:tc>
        <w:tc>
          <w:tcPr>
            <w:tcW w:w="896" w:type="dxa"/>
            <w:vMerge w:val="restart"/>
            <w:tcBorders>
              <w:top w:val="single" w:sz="4" w:space="0" w:color="auto"/>
              <w:left w:val="nil"/>
              <w:bottom w:val="single" w:sz="4" w:space="0" w:color="auto"/>
              <w:right w:val="nil"/>
            </w:tcBorders>
          </w:tcPr>
          <w:p w14:paraId="408B6C90" w14:textId="77777777" w:rsidR="008A1E26" w:rsidRPr="00F03F63" w:rsidRDefault="008A1E26" w:rsidP="008A1E26">
            <w:pPr>
              <w:jc w:val="center"/>
              <w:rPr>
                <w:rFonts w:ascii="Tw Cen MT" w:eastAsia="Twentieth Century" w:hAnsi="Tw Cen MT" w:cs="Twentieth Century"/>
                <w:sz w:val="20"/>
                <w:szCs w:val="20"/>
              </w:rPr>
            </w:pPr>
          </w:p>
          <w:p w14:paraId="3FD0AFFF"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0,001</w:t>
            </w:r>
          </w:p>
        </w:tc>
      </w:tr>
      <w:tr w:rsidR="008A1E26" w:rsidRPr="00F03F63" w14:paraId="21A35635" w14:textId="77777777" w:rsidTr="00A65FFD">
        <w:trPr>
          <w:trHeight w:val="262"/>
        </w:trPr>
        <w:tc>
          <w:tcPr>
            <w:tcW w:w="1362" w:type="dxa"/>
            <w:tcBorders>
              <w:top w:val="nil"/>
              <w:left w:val="nil"/>
              <w:bottom w:val="single" w:sz="4" w:space="0" w:color="auto"/>
              <w:right w:val="nil"/>
            </w:tcBorders>
          </w:tcPr>
          <w:p w14:paraId="4DD633F7" w14:textId="77777777" w:rsidR="008A1E26" w:rsidRPr="00F03F63" w:rsidRDefault="008A1E26" w:rsidP="008A1E26">
            <w:pPr>
              <w:jc w:val="center"/>
              <w:rPr>
                <w:rFonts w:ascii="Tw Cen MT" w:eastAsia="Twentieth Century" w:hAnsi="Tw Cen MT" w:cs="Twentieth Century"/>
                <w:sz w:val="20"/>
                <w:szCs w:val="20"/>
              </w:rPr>
            </w:pPr>
            <w:proofErr w:type="spellStart"/>
            <w:r w:rsidRPr="00F03F63">
              <w:rPr>
                <w:rFonts w:ascii="Tw Cen MT" w:eastAsia="Twentieth Century" w:hAnsi="Tw Cen MT" w:cs="Twentieth Century"/>
                <w:sz w:val="20"/>
                <w:szCs w:val="20"/>
              </w:rPr>
              <w:t>Sering</w:t>
            </w:r>
            <w:proofErr w:type="spellEnd"/>
          </w:p>
        </w:tc>
        <w:tc>
          <w:tcPr>
            <w:tcW w:w="913" w:type="dxa"/>
            <w:tcBorders>
              <w:top w:val="nil"/>
              <w:left w:val="nil"/>
              <w:bottom w:val="single" w:sz="4" w:space="0" w:color="auto"/>
              <w:right w:val="nil"/>
            </w:tcBorders>
          </w:tcPr>
          <w:p w14:paraId="2D94762E"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0</w:t>
            </w:r>
          </w:p>
        </w:tc>
        <w:tc>
          <w:tcPr>
            <w:tcW w:w="1074" w:type="dxa"/>
            <w:tcBorders>
              <w:top w:val="nil"/>
              <w:left w:val="nil"/>
              <w:bottom w:val="single" w:sz="4" w:space="0" w:color="auto"/>
              <w:right w:val="nil"/>
            </w:tcBorders>
          </w:tcPr>
          <w:p w14:paraId="33868852"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0</w:t>
            </w:r>
          </w:p>
        </w:tc>
        <w:tc>
          <w:tcPr>
            <w:tcW w:w="705" w:type="dxa"/>
            <w:tcBorders>
              <w:top w:val="nil"/>
              <w:left w:val="nil"/>
              <w:bottom w:val="single" w:sz="4" w:space="0" w:color="auto"/>
              <w:right w:val="nil"/>
            </w:tcBorders>
          </w:tcPr>
          <w:p w14:paraId="4B2881D0"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6</w:t>
            </w:r>
          </w:p>
        </w:tc>
        <w:tc>
          <w:tcPr>
            <w:tcW w:w="954" w:type="dxa"/>
            <w:tcBorders>
              <w:top w:val="nil"/>
              <w:left w:val="nil"/>
              <w:bottom w:val="single" w:sz="4" w:space="0" w:color="auto"/>
              <w:right w:val="nil"/>
            </w:tcBorders>
          </w:tcPr>
          <w:p w14:paraId="6C08E219"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54,5</w:t>
            </w:r>
          </w:p>
        </w:tc>
        <w:tc>
          <w:tcPr>
            <w:tcW w:w="894" w:type="dxa"/>
            <w:tcBorders>
              <w:top w:val="nil"/>
              <w:left w:val="nil"/>
              <w:bottom w:val="single" w:sz="4" w:space="0" w:color="auto"/>
              <w:right w:val="nil"/>
            </w:tcBorders>
          </w:tcPr>
          <w:p w14:paraId="2BD6DB9C"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5</w:t>
            </w:r>
          </w:p>
        </w:tc>
        <w:tc>
          <w:tcPr>
            <w:tcW w:w="968" w:type="dxa"/>
            <w:tcBorders>
              <w:top w:val="nil"/>
              <w:left w:val="nil"/>
              <w:bottom w:val="single" w:sz="4" w:space="0" w:color="auto"/>
              <w:right w:val="nil"/>
            </w:tcBorders>
          </w:tcPr>
          <w:p w14:paraId="6CB3B354"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45,5</w:t>
            </w:r>
          </w:p>
        </w:tc>
        <w:tc>
          <w:tcPr>
            <w:tcW w:w="705" w:type="dxa"/>
            <w:tcBorders>
              <w:top w:val="nil"/>
              <w:left w:val="nil"/>
              <w:bottom w:val="single" w:sz="4" w:space="0" w:color="auto"/>
              <w:right w:val="nil"/>
            </w:tcBorders>
          </w:tcPr>
          <w:p w14:paraId="44F39E8B"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11</w:t>
            </w:r>
          </w:p>
        </w:tc>
        <w:tc>
          <w:tcPr>
            <w:tcW w:w="885" w:type="dxa"/>
            <w:tcBorders>
              <w:top w:val="nil"/>
              <w:left w:val="nil"/>
              <w:bottom w:val="single" w:sz="4" w:space="0" w:color="auto"/>
              <w:right w:val="nil"/>
            </w:tcBorders>
          </w:tcPr>
          <w:p w14:paraId="51160C3E"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100</w:t>
            </w:r>
          </w:p>
        </w:tc>
        <w:tc>
          <w:tcPr>
            <w:tcW w:w="896" w:type="dxa"/>
            <w:vMerge/>
            <w:tcBorders>
              <w:top w:val="single" w:sz="4" w:space="0" w:color="auto"/>
              <w:left w:val="nil"/>
              <w:bottom w:val="single" w:sz="4" w:space="0" w:color="auto"/>
              <w:right w:val="nil"/>
            </w:tcBorders>
          </w:tcPr>
          <w:p w14:paraId="55E086E1" w14:textId="77777777" w:rsidR="008A1E26" w:rsidRPr="00F03F63" w:rsidRDefault="008A1E26" w:rsidP="008A1E26">
            <w:pPr>
              <w:jc w:val="center"/>
              <w:rPr>
                <w:rFonts w:ascii="Tw Cen MT" w:eastAsia="Twentieth Century" w:hAnsi="Tw Cen MT" w:cs="Twentieth Century"/>
                <w:sz w:val="20"/>
                <w:szCs w:val="20"/>
              </w:rPr>
            </w:pPr>
          </w:p>
        </w:tc>
      </w:tr>
      <w:tr w:rsidR="008A1E26" w:rsidRPr="00F03F63" w14:paraId="001B2D90" w14:textId="77777777" w:rsidTr="00A65FFD">
        <w:trPr>
          <w:trHeight w:val="262"/>
        </w:trPr>
        <w:tc>
          <w:tcPr>
            <w:tcW w:w="1362" w:type="dxa"/>
            <w:tcBorders>
              <w:top w:val="single" w:sz="4" w:space="0" w:color="auto"/>
              <w:left w:val="nil"/>
              <w:bottom w:val="single" w:sz="4" w:space="0" w:color="auto"/>
              <w:right w:val="nil"/>
            </w:tcBorders>
          </w:tcPr>
          <w:p w14:paraId="122EFB62"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Total</w:t>
            </w:r>
          </w:p>
        </w:tc>
        <w:tc>
          <w:tcPr>
            <w:tcW w:w="913" w:type="dxa"/>
            <w:tcBorders>
              <w:top w:val="single" w:sz="4" w:space="0" w:color="auto"/>
              <w:left w:val="nil"/>
              <w:bottom w:val="single" w:sz="4" w:space="0" w:color="auto"/>
              <w:right w:val="nil"/>
            </w:tcBorders>
          </w:tcPr>
          <w:p w14:paraId="2F6EA70F"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6</w:t>
            </w:r>
          </w:p>
        </w:tc>
        <w:tc>
          <w:tcPr>
            <w:tcW w:w="1074" w:type="dxa"/>
            <w:tcBorders>
              <w:top w:val="single" w:sz="4" w:space="0" w:color="auto"/>
              <w:left w:val="nil"/>
              <w:bottom w:val="single" w:sz="4" w:space="0" w:color="auto"/>
              <w:right w:val="nil"/>
            </w:tcBorders>
          </w:tcPr>
          <w:p w14:paraId="430BB6BA"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13,0</w:t>
            </w:r>
          </w:p>
        </w:tc>
        <w:tc>
          <w:tcPr>
            <w:tcW w:w="705" w:type="dxa"/>
            <w:tcBorders>
              <w:top w:val="single" w:sz="4" w:space="0" w:color="auto"/>
              <w:left w:val="nil"/>
              <w:bottom w:val="single" w:sz="4" w:space="0" w:color="auto"/>
              <w:right w:val="nil"/>
            </w:tcBorders>
          </w:tcPr>
          <w:p w14:paraId="336DD3F7"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34</w:t>
            </w:r>
          </w:p>
        </w:tc>
        <w:tc>
          <w:tcPr>
            <w:tcW w:w="954" w:type="dxa"/>
            <w:tcBorders>
              <w:top w:val="single" w:sz="4" w:space="0" w:color="auto"/>
              <w:left w:val="nil"/>
              <w:bottom w:val="single" w:sz="4" w:space="0" w:color="auto"/>
              <w:right w:val="nil"/>
            </w:tcBorders>
          </w:tcPr>
          <w:p w14:paraId="17696EC5"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73,9</w:t>
            </w:r>
          </w:p>
        </w:tc>
        <w:tc>
          <w:tcPr>
            <w:tcW w:w="894" w:type="dxa"/>
            <w:tcBorders>
              <w:top w:val="single" w:sz="4" w:space="0" w:color="auto"/>
              <w:left w:val="nil"/>
              <w:bottom w:val="single" w:sz="4" w:space="0" w:color="auto"/>
              <w:right w:val="nil"/>
            </w:tcBorders>
          </w:tcPr>
          <w:p w14:paraId="42CB2C58"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6</w:t>
            </w:r>
          </w:p>
        </w:tc>
        <w:tc>
          <w:tcPr>
            <w:tcW w:w="968" w:type="dxa"/>
            <w:tcBorders>
              <w:top w:val="single" w:sz="4" w:space="0" w:color="auto"/>
              <w:left w:val="nil"/>
              <w:bottom w:val="single" w:sz="4" w:space="0" w:color="auto"/>
              <w:right w:val="nil"/>
            </w:tcBorders>
          </w:tcPr>
          <w:p w14:paraId="07710F54"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13,0</w:t>
            </w:r>
          </w:p>
        </w:tc>
        <w:tc>
          <w:tcPr>
            <w:tcW w:w="705" w:type="dxa"/>
            <w:tcBorders>
              <w:top w:val="single" w:sz="4" w:space="0" w:color="auto"/>
              <w:left w:val="nil"/>
              <w:bottom w:val="single" w:sz="4" w:space="0" w:color="auto"/>
              <w:right w:val="nil"/>
            </w:tcBorders>
          </w:tcPr>
          <w:p w14:paraId="1765B773"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46</w:t>
            </w:r>
          </w:p>
        </w:tc>
        <w:tc>
          <w:tcPr>
            <w:tcW w:w="885" w:type="dxa"/>
            <w:tcBorders>
              <w:top w:val="single" w:sz="4" w:space="0" w:color="auto"/>
              <w:left w:val="nil"/>
              <w:bottom w:val="single" w:sz="4" w:space="0" w:color="auto"/>
              <w:right w:val="nil"/>
            </w:tcBorders>
          </w:tcPr>
          <w:p w14:paraId="343B7784" w14:textId="77777777" w:rsidR="008A1E26" w:rsidRPr="00F03F63" w:rsidRDefault="008A1E26" w:rsidP="008A1E26">
            <w:pPr>
              <w:jc w:val="center"/>
              <w:rPr>
                <w:rFonts w:ascii="Tw Cen MT" w:eastAsia="Twentieth Century" w:hAnsi="Tw Cen MT" w:cs="Twentieth Century"/>
                <w:sz w:val="20"/>
                <w:szCs w:val="20"/>
              </w:rPr>
            </w:pPr>
            <w:r w:rsidRPr="00F03F63">
              <w:rPr>
                <w:rFonts w:ascii="Tw Cen MT" w:eastAsia="Twentieth Century" w:hAnsi="Tw Cen MT" w:cs="Twentieth Century"/>
                <w:sz w:val="20"/>
                <w:szCs w:val="20"/>
              </w:rPr>
              <w:t>100</w:t>
            </w:r>
          </w:p>
        </w:tc>
        <w:tc>
          <w:tcPr>
            <w:tcW w:w="896" w:type="dxa"/>
            <w:vMerge/>
            <w:tcBorders>
              <w:top w:val="single" w:sz="4" w:space="0" w:color="auto"/>
              <w:left w:val="nil"/>
              <w:bottom w:val="single" w:sz="4" w:space="0" w:color="auto"/>
              <w:right w:val="nil"/>
            </w:tcBorders>
          </w:tcPr>
          <w:p w14:paraId="6864DA64" w14:textId="77777777" w:rsidR="008A1E26" w:rsidRPr="00F03F63" w:rsidRDefault="008A1E26" w:rsidP="008A1E26">
            <w:pPr>
              <w:jc w:val="center"/>
              <w:rPr>
                <w:rFonts w:ascii="Tw Cen MT" w:eastAsia="Twentieth Century" w:hAnsi="Tw Cen MT" w:cs="Twentieth Century"/>
                <w:sz w:val="20"/>
                <w:szCs w:val="20"/>
              </w:rPr>
            </w:pPr>
          </w:p>
        </w:tc>
      </w:tr>
    </w:tbl>
    <w:p w14:paraId="2DAF8AC3" w14:textId="77777777" w:rsidR="008A1E26" w:rsidRPr="00F03F63" w:rsidRDefault="008A1E26" w:rsidP="008A1E26">
      <w:pPr>
        <w:spacing w:after="0" w:line="240" w:lineRule="auto"/>
        <w:jc w:val="both"/>
        <w:rPr>
          <w:rFonts w:ascii="Tw Cen MT" w:eastAsia="Twentieth Century" w:hAnsi="Tw Cen MT" w:cs="Twentieth Century"/>
          <w:sz w:val="20"/>
          <w:szCs w:val="20"/>
        </w:rPr>
        <w:sectPr w:rsidR="008A1E26" w:rsidRPr="00F03F63" w:rsidSect="008A1E26">
          <w:type w:val="continuous"/>
          <w:pgSz w:w="12240" w:h="15840"/>
          <w:pgMar w:top="1440" w:right="1440" w:bottom="1440" w:left="1440" w:header="720" w:footer="720" w:gutter="0"/>
          <w:cols w:space="369"/>
        </w:sect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1D565945" w14:textId="77777777" w:rsidR="007F717D" w:rsidRDefault="007F717D" w:rsidP="008A1E26">
      <w:pPr>
        <w:tabs>
          <w:tab w:val="left" w:pos="426"/>
        </w:tabs>
        <w:spacing w:after="0" w:line="240" w:lineRule="auto"/>
        <w:jc w:val="both"/>
        <w:rPr>
          <w:rFonts w:ascii="Tw Cen MT" w:eastAsia="Twentieth Century" w:hAnsi="Tw Cen MT" w:cs="Twentieth Century"/>
          <w:sz w:val="24"/>
          <w:szCs w:val="24"/>
        </w:rPr>
      </w:pPr>
    </w:p>
    <w:p w14:paraId="1EA3693A" w14:textId="77777777" w:rsidR="007837DA" w:rsidRDefault="008A1E26" w:rsidP="008A1E26">
      <w:pPr>
        <w:tabs>
          <w:tab w:val="left" w:pos="426"/>
        </w:tabs>
        <w:spacing w:after="0" w:line="240" w:lineRule="auto"/>
        <w:jc w:val="both"/>
        <w:rPr>
          <w:rFonts w:ascii="Tw Cen MT" w:eastAsia="Twentieth Century" w:hAnsi="Tw Cen MT" w:cs="Twentieth Century"/>
          <w:sz w:val="24"/>
          <w:szCs w:val="24"/>
        </w:rPr>
      </w:pPr>
      <w:proofErr w:type="spellStart"/>
      <w:r w:rsidRPr="00744C29">
        <w:rPr>
          <w:rFonts w:ascii="Tw Cen MT" w:eastAsia="Twentieth Century" w:hAnsi="Tw Cen MT" w:cs="Twentieth Century"/>
          <w:sz w:val="24"/>
          <w:szCs w:val="24"/>
        </w:rPr>
        <w:t>Tabel</w:t>
      </w:r>
      <w:proofErr w:type="spellEnd"/>
      <w:r w:rsidRPr="00744C29">
        <w:rPr>
          <w:rFonts w:ascii="Tw Cen MT" w:eastAsia="Twentieth Century" w:hAnsi="Tw Cen MT" w:cs="Twentieth Century"/>
          <w:sz w:val="24"/>
          <w:szCs w:val="24"/>
        </w:rPr>
        <w:t xml:space="preserve"> 5 </w:t>
      </w:r>
      <w:proofErr w:type="spellStart"/>
      <w:r w:rsidRPr="00744C29">
        <w:rPr>
          <w:rFonts w:ascii="Tw Cen MT" w:eastAsia="Twentieth Century" w:hAnsi="Tw Cen MT" w:cs="Twentieth Century"/>
          <w:sz w:val="24"/>
          <w:szCs w:val="24"/>
        </w:rPr>
        <w:t>menunjukkan</w:t>
      </w:r>
      <w:proofErr w:type="spellEnd"/>
      <w:r w:rsidR="007F717D">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sebagian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besar</w:t>
      </w:r>
      <w:proofErr w:type="spellEnd"/>
      <w:r w:rsidRPr="00744C29">
        <w:rPr>
          <w:rFonts w:ascii="Tw Cen MT" w:eastAsia="Twentieth Century" w:hAnsi="Tw Cen MT" w:cs="Twentieth Century"/>
          <w:sz w:val="24"/>
          <w:szCs w:val="24"/>
        </w:rPr>
        <w:t xml:space="preserve"> </w:t>
      </w:r>
      <w:proofErr w:type="spellStart"/>
      <w:r w:rsidR="00A07B8A">
        <w:rPr>
          <w:rFonts w:ascii="Tw Cen MT" w:eastAsia="Twentieth Century" w:hAnsi="Tw Cen MT" w:cs="Twentieth Century"/>
          <w:sz w:val="24"/>
          <w:szCs w:val="24"/>
        </w:rPr>
        <w:t>responden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yaitu</w:t>
      </w:r>
      <w:proofErr w:type="spellEnd"/>
      <w:r w:rsidRPr="00744C29">
        <w:rPr>
          <w:rFonts w:ascii="Tw Cen MT" w:eastAsia="Twentieth Century" w:hAnsi="Tw Cen MT" w:cs="Twentieth Century"/>
          <w:sz w:val="24"/>
          <w:szCs w:val="24"/>
        </w:rPr>
        <w:t xml:space="preserve"> 28 orang (80,0%) </w:t>
      </w:r>
      <w:proofErr w:type="spellStart"/>
      <w:r w:rsidRPr="00744C29">
        <w:rPr>
          <w:rFonts w:ascii="Tw Cen MT" w:eastAsia="Twentieth Century" w:hAnsi="Tw Cen MT" w:cs="Twentieth Century"/>
          <w:sz w:val="24"/>
          <w:szCs w:val="24"/>
        </w:rPr>
        <w:t>memiliki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pola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makanan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jajanan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jarang</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IMT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normal dan 5 orang (45,5%) </w:t>
      </w:r>
      <w:proofErr w:type="spellStart"/>
      <w:r w:rsidRPr="00744C29">
        <w:rPr>
          <w:rFonts w:ascii="Tw Cen MT" w:eastAsia="Twentieth Century" w:hAnsi="Tw Cen MT" w:cs="Twentieth Century"/>
          <w:sz w:val="24"/>
          <w:szCs w:val="24"/>
        </w:rPr>
        <w:t>memiliki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pola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makanan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jajanan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sering</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IMT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w:t>
      </w:r>
      <w:r w:rsidR="007F717D" w:rsidRPr="007F717D">
        <w:rPr>
          <w:rFonts w:ascii="Tw Cen MT" w:eastAsia="Twentieth Century" w:hAnsi="Tw Cen MT" w:cs="Twentieth Century"/>
          <w:i/>
          <w:iCs/>
          <w:sz w:val="24"/>
          <w:szCs w:val="24"/>
        </w:rPr>
        <w:t>o</w:t>
      </w:r>
      <w:r w:rsidRPr="007F717D">
        <w:rPr>
          <w:rFonts w:ascii="Tw Cen MT" w:eastAsia="Twentieth Century" w:hAnsi="Tw Cen MT" w:cs="Twentieth Century"/>
          <w:i/>
          <w:iCs/>
          <w:sz w:val="24"/>
          <w:szCs w:val="24"/>
        </w:rPr>
        <w:t>verweight</w:t>
      </w:r>
      <w:r w:rsidRPr="00744C29">
        <w:rPr>
          <w:rFonts w:ascii="Tw Cen MT" w:eastAsia="Twentieth Century" w:hAnsi="Tw Cen MT" w:cs="Twentieth Century"/>
          <w:sz w:val="24"/>
          <w:szCs w:val="24"/>
        </w:rPr>
        <w:t xml:space="preserve">. Hasil uji </w:t>
      </w:r>
      <w:r w:rsidRPr="007F717D">
        <w:rPr>
          <w:rFonts w:ascii="Tw Cen MT" w:eastAsia="Twentieth Century" w:hAnsi="Tw Cen MT" w:cs="Twentieth Century"/>
          <w:i/>
          <w:iCs/>
          <w:sz w:val="24"/>
          <w:szCs w:val="24"/>
        </w:rPr>
        <w:t>Chi- Square</w:t>
      </w:r>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menunjukan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ada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hubungan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bermakna</w:t>
      </w:r>
      <w:proofErr w:type="spellEnd"/>
      <w:r>
        <w:rPr>
          <w:rFonts w:ascii="Tw Cen MT" w:eastAsia="Twentieth Century" w:hAnsi="Tw Cen MT" w:cs="Twentieth Century"/>
          <w:sz w:val="24"/>
          <w:szCs w:val="24"/>
        </w:rPr>
        <w:t xml:space="preserve"> </w:t>
      </w:r>
      <w:proofErr w:type="spellStart"/>
      <w:r w:rsidR="007F717D">
        <w:rPr>
          <w:rFonts w:ascii="Tw Cen MT" w:eastAsia="Twentieth Century" w:hAnsi="Tw Cen MT" w:cs="Twentieth Century"/>
          <w:sz w:val="24"/>
          <w:szCs w:val="24"/>
        </w:rPr>
        <w:t>antara</w:t>
      </w:r>
      <w:proofErr w:type="spellEnd"/>
      <w:r w:rsidR="007F717D">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pola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
    <w:p w14:paraId="28AE503D" w14:textId="77777777" w:rsidR="007837DA" w:rsidRDefault="007837DA" w:rsidP="008A1E26">
      <w:pPr>
        <w:tabs>
          <w:tab w:val="left" w:pos="426"/>
        </w:tabs>
        <w:spacing w:after="0" w:line="240" w:lineRule="auto"/>
        <w:jc w:val="both"/>
        <w:rPr>
          <w:rFonts w:ascii="Tw Cen MT" w:eastAsia="Twentieth Century" w:hAnsi="Tw Cen MT" w:cs="Twentieth Century"/>
          <w:sz w:val="24"/>
          <w:szCs w:val="24"/>
        </w:rPr>
      </w:pPr>
    </w:p>
    <w:p w14:paraId="072C6D5E" w14:textId="77777777" w:rsidR="007837DA" w:rsidRDefault="007837DA" w:rsidP="008A1E26">
      <w:pPr>
        <w:tabs>
          <w:tab w:val="left" w:pos="426"/>
        </w:tabs>
        <w:spacing w:after="0" w:line="240" w:lineRule="auto"/>
        <w:jc w:val="both"/>
        <w:rPr>
          <w:rFonts w:ascii="Tw Cen MT" w:eastAsia="Twentieth Century" w:hAnsi="Tw Cen MT" w:cs="Twentieth Century"/>
          <w:sz w:val="24"/>
          <w:szCs w:val="24"/>
        </w:rPr>
      </w:pPr>
    </w:p>
    <w:p w14:paraId="22476002" w14:textId="4E6C57AF" w:rsidR="008A1E26" w:rsidRDefault="008A1E26" w:rsidP="008A1E26">
      <w:pPr>
        <w:tabs>
          <w:tab w:val="left" w:pos="426"/>
        </w:tabs>
        <w:spacing w:after="0" w:line="240" w:lineRule="auto"/>
        <w:jc w:val="both"/>
        <w:rPr>
          <w:rFonts w:ascii="Tw Cen MT" w:eastAsia="Twentieth Century" w:hAnsi="Tw Cen MT" w:cs="Twentieth Century"/>
          <w:sz w:val="24"/>
          <w:szCs w:val="24"/>
        </w:rPr>
      </w:pPr>
      <w:proofErr w:type="spellStart"/>
      <w:r w:rsidRPr="00744C29">
        <w:rPr>
          <w:rFonts w:ascii="Tw Cen MT" w:eastAsia="Twentieth Century" w:hAnsi="Tw Cen MT" w:cs="Twentieth Century"/>
          <w:sz w:val="24"/>
          <w:szCs w:val="24"/>
        </w:rPr>
        <w:t>makanan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jajanan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(IMT) </w:t>
      </w:r>
      <w:r w:rsidRPr="00F74AC8">
        <w:rPr>
          <w:rFonts w:ascii="Tw Cen MT" w:eastAsia="Twentieth Century" w:hAnsi="Tw Cen MT" w:cs="Twentieth Century"/>
          <w:i/>
          <w:iCs/>
          <w:sz w:val="24"/>
          <w:szCs w:val="24"/>
        </w:rPr>
        <w:t>p-value</w:t>
      </w:r>
      <w:r w:rsidRPr="00744C29">
        <w:rPr>
          <w:rFonts w:ascii="Tw Cen MT" w:eastAsia="Twentieth Century" w:hAnsi="Tw Cen MT" w:cs="Twentieth Century"/>
          <w:sz w:val="24"/>
          <w:szCs w:val="24"/>
        </w:rPr>
        <w:t xml:space="preserve"> &lt;0,05 </w:t>
      </w:r>
      <w:proofErr w:type="spellStart"/>
      <w:r w:rsidRPr="00744C29">
        <w:rPr>
          <w:rFonts w:ascii="Tw Cen MT" w:eastAsia="Twentieth Century" w:hAnsi="Tw Cen MT" w:cs="Twentieth Century"/>
          <w:sz w:val="24"/>
          <w:szCs w:val="24"/>
        </w:rPr>
        <w:t>yaitu</w:t>
      </w:r>
      <w:proofErr w:type="spellEnd"/>
      <w:r w:rsidRPr="00744C29">
        <w:rPr>
          <w:rFonts w:ascii="Tw Cen MT" w:eastAsia="Twentieth Century" w:hAnsi="Tw Cen MT" w:cs="Twentieth Century"/>
          <w:sz w:val="24"/>
          <w:szCs w:val="24"/>
        </w:rPr>
        <w:t xml:space="preserve"> 0,001.</w:t>
      </w:r>
      <w:r>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Sejalan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penelitian</w:t>
      </w:r>
      <w:proofErr w:type="spellEnd"/>
      <w:r w:rsidRPr="00744C29">
        <w:rPr>
          <w:rFonts w:ascii="Tw Cen MT" w:eastAsia="Twentieth Century" w:hAnsi="Tw Cen MT" w:cs="Twentieth Century"/>
          <w:sz w:val="24"/>
          <w:szCs w:val="24"/>
        </w:rPr>
        <w:t xml:space="preserve"> yang </w:t>
      </w:r>
      <w:proofErr w:type="spellStart"/>
      <w:r w:rsidRPr="00744C29">
        <w:rPr>
          <w:rFonts w:ascii="Tw Cen MT" w:eastAsia="Twentieth Century" w:hAnsi="Tw Cen MT" w:cs="Twentieth Century"/>
          <w:sz w:val="24"/>
          <w:szCs w:val="24"/>
        </w:rPr>
        <w:t>dilakukan</w:t>
      </w:r>
      <w:proofErr w:type="spellEnd"/>
      <w:r w:rsidRPr="00744C29">
        <w:rPr>
          <w:rFonts w:ascii="Tw Cen MT" w:eastAsia="Twentieth Century" w:hAnsi="Tw Cen MT" w:cs="Twentieth Century"/>
          <w:sz w:val="24"/>
          <w:szCs w:val="24"/>
        </w:rPr>
        <w:t xml:space="preserve"> di FKM Universitas </w:t>
      </w:r>
      <w:proofErr w:type="spellStart"/>
      <w:r w:rsidRPr="00744C29">
        <w:rPr>
          <w:rFonts w:ascii="Tw Cen MT" w:eastAsia="Twentieth Century" w:hAnsi="Tw Cen MT" w:cs="Twentieth Century"/>
          <w:sz w:val="24"/>
          <w:szCs w:val="24"/>
        </w:rPr>
        <w:t>Airlangga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tahun</w:t>
      </w:r>
      <w:proofErr w:type="spellEnd"/>
      <w:r w:rsidRPr="00744C29">
        <w:rPr>
          <w:rFonts w:ascii="Tw Cen MT" w:eastAsia="Twentieth Century" w:hAnsi="Tw Cen MT" w:cs="Twentieth Century"/>
          <w:sz w:val="24"/>
          <w:szCs w:val="24"/>
        </w:rPr>
        <w:t xml:space="preserve"> 2020 </w:t>
      </w:r>
      <w:proofErr w:type="spellStart"/>
      <w:r w:rsidRPr="00744C29">
        <w:rPr>
          <w:rFonts w:ascii="Tw Cen MT" w:eastAsia="Twentieth Century" w:hAnsi="Tw Cen MT" w:cs="Twentieth Century"/>
          <w:sz w:val="24"/>
          <w:szCs w:val="24"/>
        </w:rPr>
        <w:t>didapatkan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hasil</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asupan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energi</w:t>
      </w:r>
      <w:proofErr w:type="spellEnd"/>
      <w:r w:rsidRPr="00744C29">
        <w:rPr>
          <w:rFonts w:ascii="Tw Cen MT" w:eastAsia="Twentieth Century" w:hAnsi="Tw Cen MT" w:cs="Twentieth Century"/>
          <w:sz w:val="24"/>
          <w:szCs w:val="24"/>
        </w:rPr>
        <w:t xml:space="preserve"> dan </w:t>
      </w:r>
      <w:proofErr w:type="spellStart"/>
      <w:r w:rsidRPr="00744C29">
        <w:rPr>
          <w:rFonts w:ascii="Tw Cen MT" w:eastAsia="Twentieth Century" w:hAnsi="Tw Cen MT" w:cs="Twentieth Century"/>
          <w:sz w:val="24"/>
          <w:szCs w:val="24"/>
        </w:rPr>
        <w:t>zat</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gizi</w:t>
      </w:r>
      <w:proofErr w:type="spellEnd"/>
      <w:r>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makro</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dari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jajanan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berhubungan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signifikan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status </w:t>
      </w:r>
      <w:proofErr w:type="spellStart"/>
      <w:r w:rsidRPr="00744C29">
        <w:rPr>
          <w:rFonts w:ascii="Tw Cen MT" w:eastAsia="Twentieth Century" w:hAnsi="Tw Cen MT" w:cs="Twentieth Century"/>
          <w:sz w:val="24"/>
          <w:szCs w:val="24"/>
        </w:rPr>
        <w:t>gizi</w:t>
      </w:r>
      <w:proofErr w:type="spellEnd"/>
      <w:r w:rsidRPr="00744C29">
        <w:rPr>
          <w:rFonts w:ascii="Tw Cen MT" w:eastAsia="Twentieth Century" w:hAnsi="Tw Cen MT" w:cs="Twentieth Century"/>
          <w:sz w:val="24"/>
          <w:szCs w:val="24"/>
        </w:rPr>
        <w:t xml:space="preserve"> pada </w:t>
      </w:r>
      <w:proofErr w:type="spellStart"/>
      <w:r w:rsidRPr="00744C29">
        <w:rPr>
          <w:rFonts w:ascii="Tw Cen MT" w:eastAsia="Twentieth Century" w:hAnsi="Tw Cen MT" w:cs="Twentieth Century"/>
          <w:sz w:val="24"/>
          <w:szCs w:val="24"/>
        </w:rPr>
        <w:t>mahasiswa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Fakultas</w:t>
      </w:r>
      <w:proofErr w:type="spellEnd"/>
      <w:r w:rsidRPr="00744C29">
        <w:rPr>
          <w:rFonts w:ascii="Tw Cen MT" w:eastAsia="Twentieth Century" w:hAnsi="Tw Cen MT" w:cs="Twentieth Century"/>
          <w:sz w:val="24"/>
          <w:szCs w:val="24"/>
        </w:rPr>
        <w:t xml:space="preserve"> Kesehatan Masyarakat Universitas </w:t>
      </w:r>
      <w:proofErr w:type="spellStart"/>
      <w:r w:rsidRPr="00744C29">
        <w:rPr>
          <w:rFonts w:ascii="Tw Cen MT" w:eastAsia="Twentieth Century" w:hAnsi="Tw Cen MT" w:cs="Twentieth Century"/>
          <w:sz w:val="24"/>
          <w:szCs w:val="24"/>
        </w:rPr>
        <w:t>Airlangga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w:t>
      </w:r>
      <w:r w:rsidRPr="00F74AC8">
        <w:rPr>
          <w:rFonts w:ascii="Tw Cen MT" w:eastAsia="Twentieth Century" w:hAnsi="Tw Cen MT" w:cs="Twentieth Century"/>
          <w:i/>
          <w:iCs/>
          <w:sz w:val="24"/>
          <w:szCs w:val="24"/>
        </w:rPr>
        <w:t>p-value</w:t>
      </w:r>
      <w:r w:rsidRPr="00744C29">
        <w:rPr>
          <w:rFonts w:ascii="Tw Cen MT" w:eastAsia="Twentieth Century" w:hAnsi="Tw Cen MT" w:cs="Twentieth Century"/>
          <w:sz w:val="24"/>
          <w:szCs w:val="24"/>
        </w:rPr>
        <w:t xml:space="preserve"> 0,000 &lt; 0,005 [18].</w:t>
      </w:r>
    </w:p>
    <w:p w14:paraId="273AFB1A" w14:textId="77777777" w:rsidR="008A1E26" w:rsidRDefault="008A1E26" w:rsidP="008A1E26">
      <w:pPr>
        <w:spacing w:after="0" w:line="240" w:lineRule="auto"/>
        <w:rPr>
          <w:rFonts w:ascii="Tw Cen MT" w:eastAsia="Twentieth Century" w:hAnsi="Tw Cen MT" w:cs="Twentieth Century"/>
          <w:sz w:val="20"/>
          <w:szCs w:val="20"/>
        </w:rPr>
        <w:sectPr w:rsidR="008A1E26" w:rsidSect="008A1E26">
          <w:type w:val="continuous"/>
          <w:pgSz w:w="12240" w:h="15840"/>
          <w:pgMar w:top="1440" w:right="1440" w:bottom="1440" w:left="1440" w:header="720" w:footer="720" w:gutter="0"/>
          <w:cols w:num="2" w:space="369" w:equalWidth="0">
            <w:col w:w="4496" w:space="369"/>
            <w:col w:w="4495" w:space="0"/>
          </w:cols>
        </w:sectPr>
      </w:pPr>
    </w:p>
    <w:p w14:paraId="1CBFEE23" w14:textId="77777777" w:rsidR="008A1E26" w:rsidRDefault="008A1E26" w:rsidP="008A1E26">
      <w:pPr>
        <w:spacing w:after="0" w:line="240" w:lineRule="auto"/>
        <w:rPr>
          <w:rFonts w:ascii="Tw Cen MT" w:eastAsia="Twentieth Century" w:hAnsi="Tw Cen MT" w:cs="Twentieth Century"/>
          <w:sz w:val="20"/>
          <w:szCs w:val="20"/>
        </w:rPr>
      </w:pPr>
    </w:p>
    <w:p w14:paraId="0A1F7874" w14:textId="77777777" w:rsidR="008A1E26" w:rsidRPr="00744C29" w:rsidRDefault="008A1E26" w:rsidP="008A1E26">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6. </w:t>
      </w:r>
      <w:proofErr w:type="spellStart"/>
      <w:r>
        <w:rPr>
          <w:rFonts w:ascii="Tw Cen MT" w:eastAsia="Twentieth Century" w:hAnsi="Tw Cen MT" w:cs="Twentieth Century"/>
          <w:sz w:val="20"/>
          <w:szCs w:val="20"/>
        </w:rPr>
        <w:t>Hubungan</w:t>
      </w:r>
      <w:proofErr w:type="spellEnd"/>
      <w:r>
        <w:rPr>
          <w:rFonts w:ascii="Tw Cen MT" w:eastAsia="Twentieth Century" w:hAnsi="Tw Cen MT" w:cs="Twentieth Century"/>
          <w:sz w:val="20"/>
          <w:szCs w:val="20"/>
        </w:rPr>
        <w:t xml:space="preserve"> Pola </w:t>
      </w:r>
      <w:proofErr w:type="spellStart"/>
      <w:r>
        <w:rPr>
          <w:rFonts w:ascii="Tw Cen MT" w:eastAsia="Twentieth Century" w:hAnsi="Tw Cen MT" w:cs="Twentieth Century"/>
          <w:sz w:val="20"/>
          <w:szCs w:val="20"/>
        </w:rPr>
        <w:t>Konsumsi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Minuman</w:t>
      </w:r>
      <w:proofErr w:type="spellEnd"/>
      <w:r>
        <w:rPr>
          <w:rFonts w:ascii="Tw Cen MT" w:eastAsia="Twentieth Century" w:hAnsi="Tw Cen MT" w:cs="Twentieth Century"/>
          <w:sz w:val="20"/>
          <w:szCs w:val="20"/>
        </w:rPr>
        <w:t xml:space="preserve"> Manis </w:t>
      </w:r>
      <w:proofErr w:type="spellStart"/>
      <w:r>
        <w:rPr>
          <w:rFonts w:ascii="Tw Cen MT" w:eastAsia="Twentieth Century" w:hAnsi="Tw Cen MT" w:cs="Twentieth Century"/>
          <w:sz w:val="20"/>
          <w:szCs w:val="20"/>
        </w:rPr>
        <w:t>dengan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Indeks</w:t>
      </w:r>
      <w:proofErr w:type="spellEnd"/>
      <w:r>
        <w:rPr>
          <w:rFonts w:ascii="Tw Cen MT" w:eastAsia="Twentieth Century" w:hAnsi="Tw Cen MT" w:cs="Twentieth Century"/>
          <w:sz w:val="20"/>
          <w:szCs w:val="20"/>
        </w:rPr>
        <w:t xml:space="preserve"> Massa </w:t>
      </w:r>
      <w:proofErr w:type="spellStart"/>
      <w:r>
        <w:rPr>
          <w:rFonts w:ascii="Tw Cen MT" w:eastAsia="Twentieth Century" w:hAnsi="Tw Cen MT" w:cs="Twentieth Century"/>
          <w:sz w:val="20"/>
          <w:szCs w:val="20"/>
        </w:rPr>
        <w:t>Tubuh</w:t>
      </w:r>
      <w:proofErr w:type="spellEnd"/>
    </w:p>
    <w:tbl>
      <w:tblPr>
        <w:tblStyle w:val="KisiTabel"/>
        <w:tblW w:w="9356" w:type="dxa"/>
        <w:tblLook w:val="04A0" w:firstRow="1" w:lastRow="0" w:firstColumn="1" w:lastColumn="0" w:noHBand="0" w:noVBand="1"/>
      </w:tblPr>
      <w:tblGrid>
        <w:gridCol w:w="1347"/>
        <w:gridCol w:w="903"/>
        <w:gridCol w:w="1062"/>
        <w:gridCol w:w="697"/>
        <w:gridCol w:w="944"/>
        <w:gridCol w:w="884"/>
        <w:gridCol w:w="958"/>
        <w:gridCol w:w="697"/>
        <w:gridCol w:w="875"/>
        <w:gridCol w:w="989"/>
      </w:tblGrid>
      <w:tr w:rsidR="008A1E26" w:rsidRPr="009750C1" w14:paraId="2B48F32F" w14:textId="77777777" w:rsidTr="00A65FFD">
        <w:trPr>
          <w:trHeight w:val="322"/>
        </w:trPr>
        <w:tc>
          <w:tcPr>
            <w:tcW w:w="1347" w:type="dxa"/>
            <w:vMerge w:val="restart"/>
            <w:tcBorders>
              <w:top w:val="single" w:sz="4" w:space="0" w:color="auto"/>
              <w:left w:val="nil"/>
              <w:bottom w:val="single" w:sz="4" w:space="0" w:color="auto"/>
              <w:right w:val="nil"/>
            </w:tcBorders>
          </w:tcPr>
          <w:p w14:paraId="745CB568" w14:textId="77777777" w:rsidR="008A1E26" w:rsidRPr="009750C1" w:rsidRDefault="008A1E26" w:rsidP="008A1E26">
            <w:pPr>
              <w:jc w:val="center"/>
              <w:rPr>
                <w:rFonts w:ascii="Tw Cen MT" w:eastAsia="Twentieth Century" w:hAnsi="Tw Cen MT" w:cs="Twentieth Century"/>
                <w:sz w:val="20"/>
                <w:szCs w:val="20"/>
              </w:rPr>
            </w:pPr>
            <w:proofErr w:type="spellStart"/>
            <w:r w:rsidRPr="009750C1">
              <w:rPr>
                <w:rFonts w:ascii="Tw Cen MT" w:eastAsia="Twentieth Century" w:hAnsi="Tw Cen MT" w:cs="Twentieth Century"/>
                <w:sz w:val="20"/>
                <w:szCs w:val="20"/>
              </w:rPr>
              <w:t>Jajanan</w:t>
            </w:r>
            <w:proofErr w:type="spellEnd"/>
          </w:p>
        </w:tc>
        <w:tc>
          <w:tcPr>
            <w:tcW w:w="1965" w:type="dxa"/>
            <w:gridSpan w:val="2"/>
            <w:tcBorders>
              <w:top w:val="single" w:sz="4" w:space="0" w:color="auto"/>
              <w:left w:val="nil"/>
              <w:bottom w:val="nil"/>
              <w:right w:val="nil"/>
            </w:tcBorders>
          </w:tcPr>
          <w:p w14:paraId="23A84A9F"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Kurus</w:t>
            </w:r>
          </w:p>
        </w:tc>
        <w:tc>
          <w:tcPr>
            <w:tcW w:w="1641" w:type="dxa"/>
            <w:gridSpan w:val="2"/>
            <w:tcBorders>
              <w:top w:val="single" w:sz="4" w:space="0" w:color="auto"/>
              <w:left w:val="nil"/>
              <w:bottom w:val="nil"/>
              <w:right w:val="nil"/>
            </w:tcBorders>
          </w:tcPr>
          <w:p w14:paraId="0A4388B6"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Normal</w:t>
            </w:r>
          </w:p>
        </w:tc>
        <w:tc>
          <w:tcPr>
            <w:tcW w:w="1842" w:type="dxa"/>
            <w:gridSpan w:val="2"/>
            <w:tcBorders>
              <w:top w:val="single" w:sz="4" w:space="0" w:color="auto"/>
              <w:left w:val="nil"/>
              <w:bottom w:val="nil"/>
              <w:right w:val="nil"/>
            </w:tcBorders>
          </w:tcPr>
          <w:p w14:paraId="5BE06484" w14:textId="77777777" w:rsidR="008A1E26" w:rsidRPr="00A07B8A" w:rsidRDefault="008A1E26" w:rsidP="008A1E26">
            <w:pPr>
              <w:jc w:val="center"/>
              <w:rPr>
                <w:rFonts w:ascii="Tw Cen MT" w:eastAsia="Twentieth Century" w:hAnsi="Tw Cen MT" w:cs="Twentieth Century"/>
                <w:i/>
                <w:iCs/>
                <w:sz w:val="20"/>
                <w:szCs w:val="20"/>
              </w:rPr>
            </w:pPr>
            <w:r w:rsidRPr="00A07B8A">
              <w:rPr>
                <w:rFonts w:ascii="Tw Cen MT" w:eastAsia="Twentieth Century" w:hAnsi="Tw Cen MT" w:cs="Twentieth Century"/>
                <w:i/>
                <w:iCs/>
                <w:sz w:val="20"/>
                <w:szCs w:val="20"/>
              </w:rPr>
              <w:t>Overweight</w:t>
            </w:r>
          </w:p>
        </w:tc>
        <w:tc>
          <w:tcPr>
            <w:tcW w:w="1572" w:type="dxa"/>
            <w:gridSpan w:val="2"/>
            <w:tcBorders>
              <w:top w:val="single" w:sz="4" w:space="0" w:color="auto"/>
              <w:left w:val="nil"/>
              <w:bottom w:val="nil"/>
              <w:right w:val="nil"/>
            </w:tcBorders>
          </w:tcPr>
          <w:p w14:paraId="4A7CF0D9"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Total</w:t>
            </w:r>
          </w:p>
        </w:tc>
        <w:tc>
          <w:tcPr>
            <w:tcW w:w="989" w:type="dxa"/>
            <w:vMerge w:val="restart"/>
            <w:tcBorders>
              <w:top w:val="single" w:sz="4" w:space="0" w:color="auto"/>
              <w:left w:val="nil"/>
              <w:bottom w:val="single" w:sz="4" w:space="0" w:color="auto"/>
              <w:right w:val="nil"/>
            </w:tcBorders>
          </w:tcPr>
          <w:p w14:paraId="363086F4" w14:textId="77777777" w:rsidR="008A1E26" w:rsidRDefault="008A1E26" w:rsidP="008A1E26">
            <w:pPr>
              <w:jc w:val="center"/>
              <w:rPr>
                <w:rFonts w:ascii="Tw Cen MT" w:eastAsia="Twentieth Century" w:hAnsi="Tw Cen MT" w:cs="Twentieth Century"/>
                <w:i/>
                <w:iCs/>
                <w:sz w:val="20"/>
                <w:szCs w:val="20"/>
              </w:rPr>
            </w:pPr>
            <w:r w:rsidRPr="009750C1">
              <w:rPr>
                <w:rFonts w:ascii="Tw Cen MT" w:eastAsia="Twentieth Century" w:hAnsi="Tw Cen MT" w:cs="Twentieth Century"/>
                <w:i/>
                <w:iCs/>
                <w:sz w:val="20"/>
                <w:szCs w:val="20"/>
              </w:rPr>
              <w:t>P-</w:t>
            </w:r>
          </w:p>
          <w:p w14:paraId="7EB61B79" w14:textId="77777777" w:rsidR="008A1E26" w:rsidRPr="009750C1" w:rsidRDefault="008A1E26" w:rsidP="008A1E26">
            <w:pPr>
              <w:jc w:val="center"/>
              <w:rPr>
                <w:rFonts w:ascii="Tw Cen MT" w:eastAsia="Twentieth Century" w:hAnsi="Tw Cen MT" w:cs="Twentieth Century"/>
                <w:i/>
                <w:iCs/>
                <w:sz w:val="20"/>
                <w:szCs w:val="20"/>
              </w:rPr>
            </w:pPr>
            <w:r w:rsidRPr="009750C1">
              <w:rPr>
                <w:rFonts w:ascii="Tw Cen MT" w:eastAsia="Twentieth Century" w:hAnsi="Tw Cen MT" w:cs="Twentieth Century"/>
                <w:i/>
                <w:iCs/>
                <w:sz w:val="20"/>
                <w:szCs w:val="20"/>
              </w:rPr>
              <w:t>Value</w:t>
            </w:r>
          </w:p>
        </w:tc>
      </w:tr>
      <w:tr w:rsidR="008A1E26" w:rsidRPr="009750C1" w14:paraId="3A202F01" w14:textId="77777777" w:rsidTr="00A65FFD">
        <w:trPr>
          <w:trHeight w:val="210"/>
        </w:trPr>
        <w:tc>
          <w:tcPr>
            <w:tcW w:w="1347" w:type="dxa"/>
            <w:vMerge/>
            <w:tcBorders>
              <w:top w:val="single" w:sz="4" w:space="0" w:color="auto"/>
              <w:left w:val="nil"/>
              <w:bottom w:val="single" w:sz="4" w:space="0" w:color="auto"/>
              <w:right w:val="nil"/>
            </w:tcBorders>
          </w:tcPr>
          <w:p w14:paraId="28A6203A" w14:textId="77777777" w:rsidR="008A1E26" w:rsidRPr="009750C1" w:rsidRDefault="008A1E26" w:rsidP="008A1E26">
            <w:pPr>
              <w:jc w:val="center"/>
              <w:rPr>
                <w:rFonts w:ascii="Tw Cen MT" w:eastAsia="Twentieth Century" w:hAnsi="Tw Cen MT" w:cs="Twentieth Century"/>
                <w:sz w:val="20"/>
                <w:szCs w:val="20"/>
              </w:rPr>
            </w:pPr>
          </w:p>
        </w:tc>
        <w:tc>
          <w:tcPr>
            <w:tcW w:w="903" w:type="dxa"/>
            <w:tcBorders>
              <w:top w:val="nil"/>
              <w:left w:val="nil"/>
              <w:bottom w:val="single" w:sz="4" w:space="0" w:color="auto"/>
              <w:right w:val="nil"/>
            </w:tcBorders>
          </w:tcPr>
          <w:p w14:paraId="082F15DC"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1062" w:type="dxa"/>
            <w:tcBorders>
              <w:top w:val="nil"/>
              <w:left w:val="nil"/>
              <w:bottom w:val="single" w:sz="4" w:space="0" w:color="auto"/>
              <w:right w:val="nil"/>
            </w:tcBorders>
          </w:tcPr>
          <w:p w14:paraId="116642A9"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697" w:type="dxa"/>
            <w:tcBorders>
              <w:top w:val="nil"/>
              <w:left w:val="nil"/>
              <w:bottom w:val="single" w:sz="4" w:space="0" w:color="auto"/>
              <w:right w:val="nil"/>
            </w:tcBorders>
          </w:tcPr>
          <w:p w14:paraId="1B18078B"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944" w:type="dxa"/>
            <w:tcBorders>
              <w:top w:val="nil"/>
              <w:left w:val="nil"/>
              <w:bottom w:val="single" w:sz="4" w:space="0" w:color="auto"/>
              <w:right w:val="nil"/>
            </w:tcBorders>
          </w:tcPr>
          <w:p w14:paraId="03E6112D"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884" w:type="dxa"/>
            <w:tcBorders>
              <w:top w:val="nil"/>
              <w:left w:val="nil"/>
              <w:bottom w:val="single" w:sz="4" w:space="0" w:color="auto"/>
              <w:right w:val="nil"/>
            </w:tcBorders>
          </w:tcPr>
          <w:p w14:paraId="2C2DAF3C"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958" w:type="dxa"/>
            <w:tcBorders>
              <w:top w:val="nil"/>
              <w:left w:val="nil"/>
              <w:bottom w:val="single" w:sz="4" w:space="0" w:color="auto"/>
              <w:right w:val="nil"/>
            </w:tcBorders>
          </w:tcPr>
          <w:p w14:paraId="6FA85A00"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697" w:type="dxa"/>
            <w:tcBorders>
              <w:top w:val="nil"/>
              <w:left w:val="nil"/>
              <w:bottom w:val="single" w:sz="4" w:space="0" w:color="auto"/>
              <w:right w:val="nil"/>
            </w:tcBorders>
          </w:tcPr>
          <w:p w14:paraId="28919D99"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875" w:type="dxa"/>
            <w:tcBorders>
              <w:top w:val="nil"/>
              <w:left w:val="nil"/>
              <w:bottom w:val="single" w:sz="4" w:space="0" w:color="auto"/>
              <w:right w:val="nil"/>
            </w:tcBorders>
          </w:tcPr>
          <w:p w14:paraId="7557CA20"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989" w:type="dxa"/>
            <w:vMerge/>
            <w:tcBorders>
              <w:top w:val="nil"/>
              <w:left w:val="nil"/>
              <w:bottom w:val="single" w:sz="4" w:space="0" w:color="auto"/>
              <w:right w:val="nil"/>
            </w:tcBorders>
          </w:tcPr>
          <w:p w14:paraId="43F21BC5" w14:textId="77777777" w:rsidR="008A1E26" w:rsidRPr="009750C1" w:rsidRDefault="008A1E26" w:rsidP="008A1E26">
            <w:pPr>
              <w:jc w:val="center"/>
              <w:rPr>
                <w:rFonts w:ascii="Tw Cen MT" w:eastAsia="Twentieth Century" w:hAnsi="Tw Cen MT" w:cs="Twentieth Century"/>
                <w:sz w:val="20"/>
                <w:szCs w:val="20"/>
              </w:rPr>
            </w:pPr>
          </w:p>
        </w:tc>
      </w:tr>
      <w:tr w:rsidR="008A1E26" w:rsidRPr="009750C1" w14:paraId="3542D76D" w14:textId="77777777" w:rsidTr="00A65FFD">
        <w:trPr>
          <w:trHeight w:val="307"/>
        </w:trPr>
        <w:tc>
          <w:tcPr>
            <w:tcW w:w="1347" w:type="dxa"/>
            <w:tcBorders>
              <w:top w:val="single" w:sz="4" w:space="0" w:color="auto"/>
              <w:left w:val="nil"/>
              <w:bottom w:val="nil"/>
              <w:right w:val="nil"/>
            </w:tcBorders>
          </w:tcPr>
          <w:p w14:paraId="7FB81C6A" w14:textId="77777777" w:rsidR="008A1E26" w:rsidRPr="009750C1" w:rsidRDefault="008A1E26" w:rsidP="008A1E26">
            <w:pPr>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Jarang</w:t>
            </w:r>
            <w:proofErr w:type="spellEnd"/>
          </w:p>
        </w:tc>
        <w:tc>
          <w:tcPr>
            <w:tcW w:w="903" w:type="dxa"/>
            <w:tcBorders>
              <w:top w:val="single" w:sz="4" w:space="0" w:color="auto"/>
              <w:left w:val="nil"/>
              <w:bottom w:val="nil"/>
              <w:right w:val="nil"/>
            </w:tcBorders>
          </w:tcPr>
          <w:p w14:paraId="552713A8"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1062" w:type="dxa"/>
            <w:tcBorders>
              <w:top w:val="single" w:sz="4" w:space="0" w:color="auto"/>
              <w:left w:val="nil"/>
              <w:bottom w:val="nil"/>
              <w:right w:val="nil"/>
            </w:tcBorders>
          </w:tcPr>
          <w:p w14:paraId="5729E554"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18,8</w:t>
            </w:r>
          </w:p>
        </w:tc>
        <w:tc>
          <w:tcPr>
            <w:tcW w:w="697" w:type="dxa"/>
            <w:tcBorders>
              <w:top w:val="single" w:sz="4" w:space="0" w:color="auto"/>
              <w:left w:val="nil"/>
              <w:bottom w:val="nil"/>
              <w:right w:val="nil"/>
            </w:tcBorders>
          </w:tcPr>
          <w:p w14:paraId="7D4FA46C"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25</w:t>
            </w:r>
          </w:p>
        </w:tc>
        <w:tc>
          <w:tcPr>
            <w:tcW w:w="944" w:type="dxa"/>
            <w:tcBorders>
              <w:top w:val="single" w:sz="4" w:space="0" w:color="auto"/>
              <w:left w:val="nil"/>
              <w:bottom w:val="nil"/>
              <w:right w:val="nil"/>
            </w:tcBorders>
          </w:tcPr>
          <w:p w14:paraId="7363CC6D"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78,1</w:t>
            </w:r>
          </w:p>
        </w:tc>
        <w:tc>
          <w:tcPr>
            <w:tcW w:w="884" w:type="dxa"/>
            <w:tcBorders>
              <w:top w:val="single" w:sz="4" w:space="0" w:color="auto"/>
              <w:left w:val="nil"/>
              <w:bottom w:val="nil"/>
              <w:right w:val="nil"/>
            </w:tcBorders>
          </w:tcPr>
          <w:p w14:paraId="56A661EA"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58" w:type="dxa"/>
            <w:tcBorders>
              <w:top w:val="single" w:sz="4" w:space="0" w:color="auto"/>
              <w:left w:val="nil"/>
              <w:bottom w:val="nil"/>
              <w:right w:val="nil"/>
            </w:tcBorders>
          </w:tcPr>
          <w:p w14:paraId="480732A3"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3,1</w:t>
            </w:r>
          </w:p>
        </w:tc>
        <w:tc>
          <w:tcPr>
            <w:tcW w:w="697" w:type="dxa"/>
            <w:tcBorders>
              <w:top w:val="single" w:sz="4" w:space="0" w:color="auto"/>
              <w:left w:val="nil"/>
              <w:bottom w:val="nil"/>
              <w:right w:val="nil"/>
            </w:tcBorders>
          </w:tcPr>
          <w:p w14:paraId="572E6EE1"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875" w:type="dxa"/>
            <w:tcBorders>
              <w:top w:val="single" w:sz="4" w:space="0" w:color="auto"/>
              <w:left w:val="nil"/>
              <w:bottom w:val="nil"/>
              <w:right w:val="nil"/>
            </w:tcBorders>
          </w:tcPr>
          <w:p w14:paraId="2B609B83"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89" w:type="dxa"/>
            <w:vMerge w:val="restart"/>
            <w:tcBorders>
              <w:top w:val="single" w:sz="4" w:space="0" w:color="auto"/>
              <w:left w:val="nil"/>
              <w:bottom w:val="single" w:sz="4" w:space="0" w:color="auto"/>
              <w:right w:val="nil"/>
            </w:tcBorders>
          </w:tcPr>
          <w:p w14:paraId="343AA80A" w14:textId="77777777" w:rsidR="008A1E26" w:rsidRDefault="008A1E26" w:rsidP="008A1E26">
            <w:pPr>
              <w:jc w:val="center"/>
              <w:rPr>
                <w:rFonts w:ascii="Tw Cen MT" w:eastAsia="Twentieth Century" w:hAnsi="Tw Cen MT" w:cs="Twentieth Century"/>
                <w:sz w:val="20"/>
                <w:szCs w:val="20"/>
              </w:rPr>
            </w:pPr>
          </w:p>
          <w:p w14:paraId="494D4AFE"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lastRenderedPageBreak/>
              <w:t>0,004</w:t>
            </w:r>
          </w:p>
        </w:tc>
      </w:tr>
      <w:tr w:rsidR="008A1E26" w:rsidRPr="009750C1" w14:paraId="3B616173" w14:textId="77777777" w:rsidTr="00A65FFD">
        <w:trPr>
          <w:trHeight w:val="322"/>
        </w:trPr>
        <w:tc>
          <w:tcPr>
            <w:tcW w:w="1347" w:type="dxa"/>
            <w:tcBorders>
              <w:top w:val="nil"/>
              <w:left w:val="nil"/>
              <w:bottom w:val="single" w:sz="4" w:space="0" w:color="auto"/>
              <w:right w:val="nil"/>
            </w:tcBorders>
          </w:tcPr>
          <w:p w14:paraId="604F52AD" w14:textId="77777777" w:rsidR="008A1E26" w:rsidRPr="009750C1" w:rsidRDefault="008A1E26" w:rsidP="008A1E26">
            <w:pPr>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lastRenderedPageBreak/>
              <w:t>Sering</w:t>
            </w:r>
            <w:proofErr w:type="spellEnd"/>
          </w:p>
        </w:tc>
        <w:tc>
          <w:tcPr>
            <w:tcW w:w="903" w:type="dxa"/>
            <w:tcBorders>
              <w:top w:val="nil"/>
              <w:left w:val="nil"/>
              <w:bottom w:val="single" w:sz="4" w:space="0" w:color="auto"/>
              <w:right w:val="nil"/>
            </w:tcBorders>
          </w:tcPr>
          <w:p w14:paraId="5E23AE22"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1062" w:type="dxa"/>
            <w:tcBorders>
              <w:top w:val="nil"/>
              <w:left w:val="nil"/>
              <w:bottom w:val="single" w:sz="4" w:space="0" w:color="auto"/>
              <w:right w:val="nil"/>
            </w:tcBorders>
          </w:tcPr>
          <w:p w14:paraId="19DC2EC9"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697" w:type="dxa"/>
            <w:tcBorders>
              <w:top w:val="nil"/>
              <w:left w:val="nil"/>
              <w:bottom w:val="single" w:sz="4" w:space="0" w:color="auto"/>
              <w:right w:val="nil"/>
            </w:tcBorders>
          </w:tcPr>
          <w:p w14:paraId="2EFBA618"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9</w:t>
            </w:r>
          </w:p>
        </w:tc>
        <w:tc>
          <w:tcPr>
            <w:tcW w:w="944" w:type="dxa"/>
            <w:tcBorders>
              <w:top w:val="nil"/>
              <w:left w:val="nil"/>
              <w:bottom w:val="single" w:sz="4" w:space="0" w:color="auto"/>
              <w:right w:val="nil"/>
            </w:tcBorders>
          </w:tcPr>
          <w:p w14:paraId="071FAEBB"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64,3</w:t>
            </w:r>
          </w:p>
        </w:tc>
        <w:tc>
          <w:tcPr>
            <w:tcW w:w="884" w:type="dxa"/>
            <w:tcBorders>
              <w:top w:val="nil"/>
              <w:left w:val="nil"/>
              <w:bottom w:val="single" w:sz="4" w:space="0" w:color="auto"/>
              <w:right w:val="nil"/>
            </w:tcBorders>
          </w:tcPr>
          <w:p w14:paraId="657EDE66"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5</w:t>
            </w:r>
          </w:p>
        </w:tc>
        <w:tc>
          <w:tcPr>
            <w:tcW w:w="958" w:type="dxa"/>
            <w:tcBorders>
              <w:top w:val="nil"/>
              <w:left w:val="nil"/>
              <w:bottom w:val="single" w:sz="4" w:space="0" w:color="auto"/>
              <w:right w:val="nil"/>
            </w:tcBorders>
          </w:tcPr>
          <w:p w14:paraId="4F26DE2C"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35,7</w:t>
            </w:r>
          </w:p>
        </w:tc>
        <w:tc>
          <w:tcPr>
            <w:tcW w:w="697" w:type="dxa"/>
            <w:tcBorders>
              <w:top w:val="nil"/>
              <w:left w:val="nil"/>
              <w:bottom w:val="single" w:sz="4" w:space="0" w:color="auto"/>
              <w:right w:val="nil"/>
            </w:tcBorders>
          </w:tcPr>
          <w:p w14:paraId="21262623"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14</w:t>
            </w:r>
          </w:p>
        </w:tc>
        <w:tc>
          <w:tcPr>
            <w:tcW w:w="875" w:type="dxa"/>
            <w:tcBorders>
              <w:top w:val="nil"/>
              <w:left w:val="nil"/>
              <w:bottom w:val="single" w:sz="4" w:space="0" w:color="auto"/>
              <w:right w:val="nil"/>
            </w:tcBorders>
          </w:tcPr>
          <w:p w14:paraId="4F91D29F"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89" w:type="dxa"/>
            <w:vMerge/>
            <w:tcBorders>
              <w:top w:val="single" w:sz="4" w:space="0" w:color="auto"/>
              <w:left w:val="nil"/>
              <w:bottom w:val="single" w:sz="4" w:space="0" w:color="auto"/>
              <w:right w:val="nil"/>
            </w:tcBorders>
          </w:tcPr>
          <w:p w14:paraId="284A09A9" w14:textId="77777777" w:rsidR="008A1E26" w:rsidRDefault="008A1E26" w:rsidP="008A1E26">
            <w:pPr>
              <w:jc w:val="center"/>
              <w:rPr>
                <w:rFonts w:ascii="Tw Cen MT" w:eastAsia="Twentieth Century" w:hAnsi="Tw Cen MT" w:cs="Twentieth Century"/>
                <w:sz w:val="20"/>
                <w:szCs w:val="20"/>
              </w:rPr>
            </w:pPr>
          </w:p>
        </w:tc>
      </w:tr>
      <w:tr w:rsidR="008A1E26" w:rsidRPr="009750C1" w14:paraId="5360BA53" w14:textId="77777777" w:rsidTr="00A65FFD">
        <w:trPr>
          <w:trHeight w:val="322"/>
        </w:trPr>
        <w:tc>
          <w:tcPr>
            <w:tcW w:w="1347" w:type="dxa"/>
            <w:tcBorders>
              <w:top w:val="single" w:sz="4" w:space="0" w:color="auto"/>
              <w:left w:val="nil"/>
              <w:bottom w:val="single" w:sz="4" w:space="0" w:color="auto"/>
              <w:right w:val="nil"/>
            </w:tcBorders>
          </w:tcPr>
          <w:p w14:paraId="21E45671"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Total</w:t>
            </w:r>
          </w:p>
        </w:tc>
        <w:tc>
          <w:tcPr>
            <w:tcW w:w="903" w:type="dxa"/>
            <w:tcBorders>
              <w:top w:val="single" w:sz="4" w:space="0" w:color="auto"/>
              <w:left w:val="nil"/>
              <w:bottom w:val="single" w:sz="4" w:space="0" w:color="auto"/>
              <w:right w:val="nil"/>
            </w:tcBorders>
          </w:tcPr>
          <w:p w14:paraId="4FD4E279"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1062" w:type="dxa"/>
            <w:tcBorders>
              <w:top w:val="single" w:sz="4" w:space="0" w:color="auto"/>
              <w:left w:val="nil"/>
              <w:bottom w:val="single" w:sz="4" w:space="0" w:color="auto"/>
              <w:right w:val="nil"/>
            </w:tcBorders>
          </w:tcPr>
          <w:p w14:paraId="3501295A"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13,0</w:t>
            </w:r>
          </w:p>
        </w:tc>
        <w:tc>
          <w:tcPr>
            <w:tcW w:w="697" w:type="dxa"/>
            <w:tcBorders>
              <w:top w:val="single" w:sz="4" w:space="0" w:color="auto"/>
              <w:left w:val="nil"/>
              <w:bottom w:val="single" w:sz="4" w:space="0" w:color="auto"/>
              <w:right w:val="nil"/>
            </w:tcBorders>
          </w:tcPr>
          <w:p w14:paraId="089C4308"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34</w:t>
            </w:r>
          </w:p>
        </w:tc>
        <w:tc>
          <w:tcPr>
            <w:tcW w:w="944" w:type="dxa"/>
            <w:tcBorders>
              <w:top w:val="single" w:sz="4" w:space="0" w:color="auto"/>
              <w:left w:val="nil"/>
              <w:bottom w:val="single" w:sz="4" w:space="0" w:color="auto"/>
              <w:right w:val="nil"/>
            </w:tcBorders>
          </w:tcPr>
          <w:p w14:paraId="6DC43B82"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73,9</w:t>
            </w:r>
          </w:p>
        </w:tc>
        <w:tc>
          <w:tcPr>
            <w:tcW w:w="884" w:type="dxa"/>
            <w:tcBorders>
              <w:top w:val="single" w:sz="4" w:space="0" w:color="auto"/>
              <w:left w:val="nil"/>
              <w:bottom w:val="single" w:sz="4" w:space="0" w:color="auto"/>
              <w:right w:val="nil"/>
            </w:tcBorders>
          </w:tcPr>
          <w:p w14:paraId="1C2BCD82"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958" w:type="dxa"/>
            <w:tcBorders>
              <w:top w:val="single" w:sz="4" w:space="0" w:color="auto"/>
              <w:left w:val="nil"/>
              <w:bottom w:val="single" w:sz="4" w:space="0" w:color="auto"/>
              <w:right w:val="nil"/>
            </w:tcBorders>
          </w:tcPr>
          <w:p w14:paraId="5777C1A0"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13,0</w:t>
            </w:r>
          </w:p>
        </w:tc>
        <w:tc>
          <w:tcPr>
            <w:tcW w:w="697" w:type="dxa"/>
            <w:tcBorders>
              <w:top w:val="single" w:sz="4" w:space="0" w:color="auto"/>
              <w:left w:val="nil"/>
              <w:bottom w:val="single" w:sz="4" w:space="0" w:color="auto"/>
              <w:right w:val="nil"/>
            </w:tcBorders>
          </w:tcPr>
          <w:p w14:paraId="284C0951"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875" w:type="dxa"/>
            <w:tcBorders>
              <w:top w:val="single" w:sz="4" w:space="0" w:color="auto"/>
              <w:left w:val="nil"/>
              <w:bottom w:val="single" w:sz="4" w:space="0" w:color="auto"/>
              <w:right w:val="nil"/>
            </w:tcBorders>
          </w:tcPr>
          <w:p w14:paraId="080E3B60"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89" w:type="dxa"/>
            <w:vMerge/>
            <w:tcBorders>
              <w:top w:val="single" w:sz="4" w:space="0" w:color="auto"/>
              <w:left w:val="nil"/>
              <w:bottom w:val="single" w:sz="4" w:space="0" w:color="auto"/>
              <w:right w:val="nil"/>
            </w:tcBorders>
          </w:tcPr>
          <w:p w14:paraId="25088846" w14:textId="77777777" w:rsidR="008A1E26" w:rsidRDefault="008A1E26" w:rsidP="008A1E26">
            <w:pPr>
              <w:jc w:val="center"/>
              <w:rPr>
                <w:rFonts w:ascii="Tw Cen MT" w:eastAsia="Twentieth Century" w:hAnsi="Tw Cen MT" w:cs="Twentieth Century"/>
                <w:sz w:val="20"/>
                <w:szCs w:val="20"/>
              </w:rPr>
            </w:pPr>
          </w:p>
        </w:tc>
      </w:tr>
    </w:tbl>
    <w:p w14:paraId="40D8D446" w14:textId="77777777" w:rsidR="008A1E26" w:rsidRPr="00F03F63" w:rsidRDefault="008A1E26" w:rsidP="008A1E26">
      <w:pPr>
        <w:spacing w:after="0" w:line="240" w:lineRule="auto"/>
        <w:jc w:val="both"/>
        <w:rPr>
          <w:rFonts w:ascii="Tw Cen MT" w:eastAsia="Twentieth Century" w:hAnsi="Tw Cen MT" w:cs="Twentieth Century"/>
          <w:sz w:val="20"/>
          <w:szCs w:val="20"/>
        </w:rPr>
        <w:sectPr w:rsidR="008A1E26" w:rsidRPr="00F03F63" w:rsidSect="008A1E26">
          <w:type w:val="continuous"/>
          <w:pgSz w:w="12240" w:h="15840"/>
          <w:pgMar w:top="1440" w:right="1440" w:bottom="1440" w:left="1440" w:header="720" w:footer="720" w:gutter="0"/>
          <w:cols w:space="369"/>
        </w:sect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3D66DE3F" w14:textId="77777777" w:rsidR="00A07B8A" w:rsidRDefault="00A07B8A" w:rsidP="008A1E26">
      <w:pPr>
        <w:tabs>
          <w:tab w:val="left" w:pos="426"/>
        </w:tabs>
        <w:spacing w:after="0" w:line="240" w:lineRule="auto"/>
        <w:jc w:val="both"/>
        <w:rPr>
          <w:rFonts w:ascii="Tw Cen MT" w:eastAsia="Twentieth Century" w:hAnsi="Tw Cen MT" w:cs="Twentieth Century"/>
          <w:sz w:val="24"/>
          <w:szCs w:val="24"/>
        </w:rPr>
      </w:pPr>
    </w:p>
    <w:p w14:paraId="59545E44" w14:textId="09DBE3C7" w:rsidR="008A1E26" w:rsidRDefault="008A1E26" w:rsidP="008A1E26">
      <w:pPr>
        <w:tabs>
          <w:tab w:val="left" w:pos="426"/>
        </w:tabs>
        <w:spacing w:after="0" w:line="240" w:lineRule="auto"/>
        <w:jc w:val="both"/>
        <w:rPr>
          <w:rFonts w:ascii="Tw Cen MT" w:eastAsia="Twentieth Century" w:hAnsi="Tw Cen MT" w:cs="Twentieth Century"/>
          <w:sz w:val="24"/>
          <w:szCs w:val="24"/>
        </w:rPr>
      </w:pPr>
      <w:proofErr w:type="spellStart"/>
      <w:r w:rsidRPr="00744C29">
        <w:rPr>
          <w:rFonts w:ascii="Tw Cen MT" w:eastAsia="Twentieth Century" w:hAnsi="Tw Cen MT" w:cs="Twentieth Century"/>
          <w:sz w:val="24"/>
          <w:szCs w:val="24"/>
        </w:rPr>
        <w:t>Tabel</w:t>
      </w:r>
      <w:proofErr w:type="spellEnd"/>
      <w:r w:rsidRPr="00744C29">
        <w:rPr>
          <w:rFonts w:ascii="Tw Cen MT" w:eastAsia="Twentieth Century" w:hAnsi="Tw Cen MT" w:cs="Twentieth Century"/>
          <w:sz w:val="24"/>
          <w:szCs w:val="24"/>
        </w:rPr>
        <w:t xml:space="preserve"> 6 </w:t>
      </w:r>
      <w:proofErr w:type="spellStart"/>
      <w:r w:rsidRPr="00744C29">
        <w:rPr>
          <w:rFonts w:ascii="Tw Cen MT" w:eastAsia="Twentieth Century" w:hAnsi="Tw Cen MT" w:cs="Twentieth Century"/>
          <w:sz w:val="24"/>
          <w:szCs w:val="24"/>
        </w:rPr>
        <w:t>menunjukan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sebagian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besar</w:t>
      </w:r>
      <w:proofErr w:type="spellEnd"/>
      <w:r w:rsidRPr="00744C29">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responden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yaitu</w:t>
      </w:r>
      <w:proofErr w:type="spellEnd"/>
      <w:r w:rsidRPr="00744C29">
        <w:rPr>
          <w:rFonts w:ascii="Tw Cen MT" w:eastAsia="Twentieth Century" w:hAnsi="Tw Cen MT" w:cs="Twentieth Century"/>
          <w:sz w:val="24"/>
          <w:szCs w:val="24"/>
        </w:rPr>
        <w:t xml:space="preserve"> 25 orang (78,1%) </w:t>
      </w:r>
      <w:proofErr w:type="spellStart"/>
      <w:r w:rsidRPr="00744C29">
        <w:rPr>
          <w:rFonts w:ascii="Tw Cen MT" w:eastAsia="Twentieth Century" w:hAnsi="Tw Cen MT" w:cs="Twentieth Century"/>
          <w:sz w:val="24"/>
          <w:szCs w:val="24"/>
        </w:rPr>
        <w:t>memiliki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pola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minuman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manis</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jarang</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(IMT)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normal dan 5 orang (35,7%) </w:t>
      </w:r>
      <w:proofErr w:type="spellStart"/>
      <w:r w:rsidRPr="00744C29">
        <w:rPr>
          <w:rFonts w:ascii="Tw Cen MT" w:eastAsia="Twentieth Century" w:hAnsi="Tw Cen MT" w:cs="Twentieth Century"/>
          <w:sz w:val="24"/>
          <w:szCs w:val="24"/>
        </w:rPr>
        <w:t>memiliki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pola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minuman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manis</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sering</w:t>
      </w:r>
      <w:proofErr w:type="spellEnd"/>
      <w:r w:rsidR="007837DA">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IMT </w:t>
      </w:r>
      <w:proofErr w:type="spellStart"/>
      <w:r w:rsidRPr="00744C29">
        <w:rPr>
          <w:rFonts w:ascii="Tw Cen MT" w:eastAsia="Twentieth Century" w:hAnsi="Tw Cen MT" w:cs="Twentieth Century"/>
          <w:sz w:val="24"/>
          <w:szCs w:val="24"/>
        </w:rPr>
        <w:t>kategori</w:t>
      </w:r>
      <w:proofErr w:type="spellEnd"/>
      <w:r w:rsidRPr="00744C29">
        <w:rPr>
          <w:rFonts w:ascii="Tw Cen MT" w:eastAsia="Twentieth Century" w:hAnsi="Tw Cen MT" w:cs="Twentieth Century"/>
          <w:sz w:val="24"/>
          <w:szCs w:val="24"/>
        </w:rPr>
        <w:t xml:space="preserve"> </w:t>
      </w:r>
      <w:r w:rsidRPr="00A07B8A">
        <w:rPr>
          <w:rFonts w:ascii="Tw Cen MT" w:eastAsia="Twentieth Century" w:hAnsi="Tw Cen MT" w:cs="Twentieth Century"/>
          <w:i/>
          <w:iCs/>
          <w:sz w:val="24"/>
          <w:szCs w:val="24"/>
        </w:rPr>
        <w:t>overweight</w:t>
      </w:r>
      <w:r w:rsidRPr="00744C29">
        <w:rPr>
          <w:rFonts w:ascii="Tw Cen MT" w:eastAsia="Twentieth Century" w:hAnsi="Tw Cen MT" w:cs="Twentieth Century"/>
          <w:sz w:val="24"/>
          <w:szCs w:val="24"/>
        </w:rPr>
        <w:t xml:space="preserve">. Hasil uji </w:t>
      </w:r>
      <w:r w:rsidRPr="00F74AC8">
        <w:rPr>
          <w:rFonts w:ascii="Tw Cen MT" w:eastAsia="Twentieth Century" w:hAnsi="Tw Cen MT" w:cs="Twentieth Century"/>
          <w:i/>
          <w:iCs/>
          <w:sz w:val="24"/>
          <w:szCs w:val="24"/>
        </w:rPr>
        <w:t>Chi-Square</w:t>
      </w:r>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menunju</w:t>
      </w:r>
      <w:r w:rsidR="00A07B8A">
        <w:rPr>
          <w:rFonts w:ascii="Tw Cen MT" w:eastAsia="Twentieth Century" w:hAnsi="Tw Cen MT" w:cs="Twentieth Century"/>
          <w:sz w:val="24"/>
          <w:szCs w:val="24"/>
        </w:rPr>
        <w:t>k</w:t>
      </w:r>
      <w:r w:rsidRPr="00744C29">
        <w:rPr>
          <w:rFonts w:ascii="Tw Cen MT" w:eastAsia="Twentieth Century" w:hAnsi="Tw Cen MT" w:cs="Twentieth Century"/>
          <w:sz w:val="24"/>
          <w:szCs w:val="24"/>
        </w:rPr>
        <w:t>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ada</w:t>
      </w:r>
      <w:r w:rsidR="007837DA">
        <w:rPr>
          <w:rFonts w:ascii="Tw Cen MT" w:eastAsia="Twentieth Century" w:hAnsi="Tw Cen MT" w:cs="Twentieth Century"/>
          <w:sz w:val="24"/>
          <w:szCs w:val="24"/>
        </w:rPr>
        <w:t>nya</w:t>
      </w:r>
      <w:proofErr w:type="spellEnd"/>
      <w:r w:rsidRPr="00744C29">
        <w:rPr>
          <w:rFonts w:ascii="Tw Cen MT" w:eastAsia="Twentieth Century" w:hAnsi="Tw Cen MT" w:cs="Twentieth Century"/>
          <w:sz w:val="24"/>
          <w:szCs w:val="24"/>
        </w:rPr>
        <w:t xml:space="preserve"> h</w:t>
      </w:r>
      <w:proofErr w:type="spellStart"/>
      <w:r w:rsidRPr="00744C29">
        <w:rPr>
          <w:rFonts w:ascii="Tw Cen MT" w:eastAsia="Twentieth Century" w:hAnsi="Tw Cen MT" w:cs="Twentieth Century"/>
          <w:sz w:val="24"/>
          <w:szCs w:val="24"/>
        </w:rPr>
        <w:t>ubungan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bermakna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pola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makanan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jajanan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IMT </w:t>
      </w:r>
      <w:r w:rsidRPr="00F74AC8">
        <w:rPr>
          <w:rFonts w:ascii="Tw Cen MT" w:eastAsia="Twentieth Century" w:hAnsi="Tw Cen MT" w:cs="Twentieth Century"/>
          <w:i/>
          <w:iCs/>
          <w:sz w:val="24"/>
          <w:szCs w:val="24"/>
        </w:rPr>
        <w:t>p-value</w:t>
      </w:r>
      <w:r w:rsidRPr="00744C29">
        <w:rPr>
          <w:rFonts w:ascii="Tw Cen MT" w:eastAsia="Twentieth Century" w:hAnsi="Tw Cen MT" w:cs="Twentieth Century"/>
          <w:sz w:val="24"/>
          <w:szCs w:val="24"/>
        </w:rPr>
        <w:t xml:space="preserve"> &lt;0,05 </w:t>
      </w:r>
      <w:proofErr w:type="spellStart"/>
      <w:r w:rsidRPr="00744C29">
        <w:rPr>
          <w:rFonts w:ascii="Tw Cen MT" w:eastAsia="Twentieth Century" w:hAnsi="Tw Cen MT" w:cs="Twentieth Century"/>
          <w:sz w:val="24"/>
          <w:szCs w:val="24"/>
        </w:rPr>
        <w:t>yaitu</w:t>
      </w:r>
      <w:proofErr w:type="spellEnd"/>
      <w:r w:rsidRPr="00744C29">
        <w:rPr>
          <w:rFonts w:ascii="Tw Cen MT" w:eastAsia="Twentieth Century" w:hAnsi="Tw Cen MT" w:cs="Twentieth Century"/>
          <w:sz w:val="24"/>
          <w:szCs w:val="24"/>
        </w:rPr>
        <w:t xml:space="preserve"> 0,004. </w:t>
      </w:r>
    </w:p>
    <w:p w14:paraId="097AD1AC" w14:textId="77777777" w:rsidR="00A07B8A" w:rsidRDefault="00A07B8A" w:rsidP="008A1E26">
      <w:pPr>
        <w:tabs>
          <w:tab w:val="left" w:pos="426"/>
        </w:tabs>
        <w:spacing w:after="0" w:line="240" w:lineRule="auto"/>
        <w:jc w:val="both"/>
        <w:rPr>
          <w:rFonts w:ascii="Tw Cen MT" w:eastAsia="Twentieth Century" w:hAnsi="Tw Cen MT" w:cs="Twentieth Century"/>
          <w:sz w:val="24"/>
          <w:szCs w:val="24"/>
        </w:rPr>
      </w:pPr>
    </w:p>
    <w:p w14:paraId="6CEDB2AC" w14:textId="2028F041" w:rsidR="008A1E26" w:rsidRPr="007837DA" w:rsidRDefault="008A1E26" w:rsidP="007837DA">
      <w:pPr>
        <w:tabs>
          <w:tab w:val="left" w:pos="426"/>
        </w:tabs>
        <w:spacing w:after="0" w:line="240" w:lineRule="auto"/>
        <w:jc w:val="both"/>
        <w:rPr>
          <w:rFonts w:ascii="Tw Cen MT" w:eastAsia="Twentieth Century" w:hAnsi="Tw Cen MT" w:cs="Twentieth Century"/>
          <w:sz w:val="24"/>
          <w:szCs w:val="24"/>
        </w:rPr>
        <w:sectPr w:rsidR="008A1E26" w:rsidRPr="007837DA" w:rsidSect="008A1E26">
          <w:type w:val="continuous"/>
          <w:pgSz w:w="12240" w:h="15840"/>
          <w:pgMar w:top="1440" w:right="1440" w:bottom="1440" w:left="1440" w:header="720" w:footer="720" w:gutter="0"/>
          <w:cols w:num="2" w:space="369" w:equalWidth="0">
            <w:col w:w="4496" w:space="369"/>
            <w:col w:w="4495" w:space="0"/>
          </w:cols>
        </w:sectPr>
      </w:pPr>
      <w:proofErr w:type="spellStart"/>
      <w:r w:rsidRPr="00744C29">
        <w:rPr>
          <w:rFonts w:ascii="Tw Cen MT" w:eastAsia="Twentieth Century" w:hAnsi="Tw Cen MT" w:cs="Twentieth Century"/>
          <w:sz w:val="24"/>
          <w:szCs w:val="24"/>
        </w:rPr>
        <w:t>Sejalan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penelitian</w:t>
      </w:r>
      <w:proofErr w:type="spellEnd"/>
      <w:r w:rsidRPr="00744C29">
        <w:rPr>
          <w:rFonts w:ascii="Tw Cen MT" w:eastAsia="Twentieth Century" w:hAnsi="Tw Cen MT" w:cs="Twentieth Century"/>
          <w:sz w:val="24"/>
          <w:szCs w:val="24"/>
        </w:rPr>
        <w:t xml:space="preserve"> yang </w:t>
      </w:r>
      <w:proofErr w:type="spellStart"/>
      <w:r w:rsidRPr="00744C29">
        <w:rPr>
          <w:rFonts w:ascii="Tw Cen MT" w:eastAsia="Twentieth Century" w:hAnsi="Tw Cen MT" w:cs="Twentieth Century"/>
          <w:sz w:val="24"/>
          <w:szCs w:val="24"/>
        </w:rPr>
        <w:t>dilakukan</w:t>
      </w:r>
      <w:proofErr w:type="spellEnd"/>
      <w:r w:rsidRPr="00744C29">
        <w:rPr>
          <w:rFonts w:ascii="Tw Cen MT" w:eastAsia="Twentieth Century" w:hAnsi="Tw Cen MT" w:cs="Twentieth Century"/>
          <w:sz w:val="24"/>
          <w:szCs w:val="24"/>
        </w:rPr>
        <w:t xml:space="preserve"> di </w:t>
      </w:r>
      <w:proofErr w:type="spellStart"/>
      <w:r w:rsidRPr="00744C29">
        <w:rPr>
          <w:rFonts w:ascii="Tw Cen MT" w:eastAsia="Twentieth Century" w:hAnsi="Tw Cen MT" w:cs="Twentieth Century"/>
          <w:sz w:val="24"/>
          <w:szCs w:val="24"/>
        </w:rPr>
        <w:t>Sekolah</w:t>
      </w:r>
      <w:proofErr w:type="spellEnd"/>
      <w:r w:rsidRPr="00744C29">
        <w:rPr>
          <w:rFonts w:ascii="Tw Cen MT" w:eastAsia="Twentieth Century" w:hAnsi="Tw Cen MT" w:cs="Twentieth Century"/>
          <w:sz w:val="24"/>
          <w:szCs w:val="24"/>
        </w:rPr>
        <w:t xml:space="preserve"> Dasar </w:t>
      </w:r>
      <w:proofErr w:type="spellStart"/>
      <w:r w:rsidRPr="00744C29">
        <w:rPr>
          <w:rFonts w:ascii="Tw Cen MT" w:eastAsia="Twentieth Century" w:hAnsi="Tw Cen MT" w:cs="Twentieth Century"/>
          <w:sz w:val="24"/>
          <w:szCs w:val="24"/>
        </w:rPr>
        <w:t>Kecamatan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Mijen</w:t>
      </w:r>
      <w:proofErr w:type="spellEnd"/>
      <w:r w:rsidRPr="00744C29">
        <w:rPr>
          <w:rFonts w:ascii="Tw Cen MT" w:eastAsia="Twentieth Century" w:hAnsi="Tw Cen MT" w:cs="Twentieth Century"/>
          <w:sz w:val="24"/>
          <w:szCs w:val="24"/>
        </w:rPr>
        <w:t xml:space="preserve"> Semarang </w:t>
      </w:r>
      <w:proofErr w:type="spellStart"/>
      <w:r w:rsidRPr="00744C29">
        <w:rPr>
          <w:rFonts w:ascii="Tw Cen MT" w:eastAsia="Twentieth Century" w:hAnsi="Tw Cen MT" w:cs="Twentieth Century"/>
          <w:sz w:val="24"/>
          <w:szCs w:val="24"/>
        </w:rPr>
        <w:t>menunjukkan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hasil</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terdapat</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hubungan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bermakna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antara</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minuman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manis</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obesitas</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dengan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arah</w:t>
      </w:r>
      <w:proofErr w:type="spellEnd"/>
      <w:r w:rsidRPr="00744C29">
        <w:rPr>
          <w:rFonts w:ascii="Tw Cen MT" w:eastAsia="Twentieth Century" w:hAnsi="Tw Cen MT" w:cs="Twentieth Century"/>
          <w:sz w:val="24"/>
          <w:szCs w:val="24"/>
        </w:rPr>
        <w:t xml:space="preserve"> dan </w:t>
      </w:r>
      <w:proofErr w:type="spellStart"/>
      <w:r w:rsidRPr="00744C29">
        <w:rPr>
          <w:rFonts w:ascii="Tw Cen MT" w:eastAsia="Twentieth Century" w:hAnsi="Tw Cen MT" w:cs="Twentieth Century"/>
          <w:sz w:val="24"/>
          <w:szCs w:val="24"/>
        </w:rPr>
        <w:t>kekuatan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hubungan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positif</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kuat</w:t>
      </w:r>
      <w:proofErr w:type="spellEnd"/>
      <w:r w:rsidRPr="00744C29">
        <w:rPr>
          <w:rFonts w:ascii="Tw Cen MT" w:eastAsia="Twentieth Century" w:hAnsi="Tw Cen MT" w:cs="Twentieth Century"/>
          <w:sz w:val="24"/>
          <w:szCs w:val="24"/>
        </w:rPr>
        <w:t xml:space="preserve"> [19]. </w:t>
      </w:r>
      <w:proofErr w:type="spellStart"/>
      <w:r w:rsidRPr="00744C29">
        <w:rPr>
          <w:rFonts w:ascii="Tw Cen MT" w:eastAsia="Twentieth Century" w:hAnsi="Tw Cen MT" w:cs="Twentieth Century"/>
          <w:sz w:val="24"/>
          <w:szCs w:val="24"/>
        </w:rPr>
        <w:t>Selain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itu</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penelitian</w:t>
      </w:r>
      <w:proofErr w:type="spellEnd"/>
      <w:r w:rsidRPr="00744C29">
        <w:rPr>
          <w:rFonts w:ascii="Tw Cen MT" w:eastAsia="Twentieth Century" w:hAnsi="Tw Cen MT" w:cs="Twentieth Century"/>
          <w:sz w:val="24"/>
          <w:szCs w:val="24"/>
        </w:rPr>
        <w:t xml:space="preserve"> yang </w:t>
      </w:r>
      <w:proofErr w:type="spellStart"/>
      <w:r w:rsidRPr="00744C29">
        <w:rPr>
          <w:rFonts w:ascii="Tw Cen MT" w:eastAsia="Twentieth Century" w:hAnsi="Tw Cen MT" w:cs="Twentieth Century"/>
          <w:sz w:val="24"/>
          <w:szCs w:val="24"/>
        </w:rPr>
        <w:t>dilakukan</w:t>
      </w:r>
      <w:proofErr w:type="spellEnd"/>
      <w:r w:rsidRPr="00744C29">
        <w:rPr>
          <w:rFonts w:ascii="Tw Cen MT" w:eastAsia="Twentieth Century" w:hAnsi="Tw Cen MT" w:cs="Twentieth Century"/>
          <w:sz w:val="24"/>
          <w:szCs w:val="24"/>
        </w:rPr>
        <w:t xml:space="preserve"> di </w:t>
      </w:r>
      <w:proofErr w:type="spellStart"/>
      <w:r w:rsidRPr="00744C29">
        <w:rPr>
          <w:rFonts w:ascii="Tw Cen MT" w:eastAsia="Twentieth Century" w:hAnsi="Tw Cen MT" w:cs="Twentieth Century"/>
          <w:sz w:val="24"/>
          <w:szCs w:val="24"/>
        </w:rPr>
        <w:t>kafe</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Kabupaten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Jember</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menunjukkan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hasil</w:t>
      </w:r>
      <w:proofErr w:type="spellEnd"/>
      <w:r w:rsidRPr="00744C29">
        <w:rPr>
          <w:rFonts w:ascii="Tw Cen MT" w:eastAsia="Twentieth Century" w:hAnsi="Tw Cen MT" w:cs="Twentieth Century"/>
          <w:sz w:val="24"/>
          <w:szCs w:val="24"/>
        </w:rPr>
        <w:t xml:space="preserve"> p-value = 0,026 (</w:t>
      </w:r>
      <w:r w:rsidRPr="00F74AC8">
        <w:rPr>
          <w:rFonts w:ascii="Tw Cen MT" w:eastAsia="Twentieth Century" w:hAnsi="Tw Cen MT" w:cs="Twentieth Century"/>
          <w:i/>
          <w:iCs/>
          <w:sz w:val="24"/>
          <w:szCs w:val="24"/>
        </w:rPr>
        <w:t>p value</w:t>
      </w:r>
      <w:r w:rsidRPr="00744C29">
        <w:rPr>
          <w:rFonts w:ascii="Tw Cen MT" w:eastAsia="Twentieth Century" w:hAnsi="Tw Cen MT" w:cs="Twentieth Century"/>
          <w:sz w:val="24"/>
          <w:szCs w:val="24"/>
        </w:rPr>
        <w:t xml:space="preserve"> &lt; </w:t>
      </w:r>
      <w:r w:rsidRPr="00744C29">
        <w:rPr>
          <w:rFonts w:eastAsia="Twentieth Century"/>
          <w:sz w:val="24"/>
          <w:szCs w:val="24"/>
        </w:rPr>
        <w:t>α</w:t>
      </w:r>
      <w:r w:rsidRPr="00744C29">
        <w:rPr>
          <w:rFonts w:ascii="Tw Cen MT" w:eastAsia="Twentieth Century" w:hAnsi="Tw Cen MT" w:cs="Twentieth Century"/>
          <w:sz w:val="24"/>
          <w:szCs w:val="24"/>
        </w:rPr>
        <w:t xml:space="preserve"> 0,05) </w:t>
      </w:r>
      <w:proofErr w:type="spellStart"/>
      <w:r w:rsidRPr="00744C29">
        <w:rPr>
          <w:rFonts w:ascii="Tw Cen MT" w:eastAsia="Twentieth Century" w:hAnsi="Tw Cen MT" w:cs="Twentieth Century"/>
          <w:sz w:val="24"/>
          <w:szCs w:val="24"/>
        </w:rPr>
        <w:t>terdapat</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hubungan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signifikan</w:t>
      </w:r>
      <w:proofErr w:type="spellEnd"/>
      <w:r w:rsidRPr="00744C29">
        <w:rPr>
          <w:rFonts w:ascii="Tw Cen MT" w:eastAsia="Twentieth Century" w:hAnsi="Tw Cen MT" w:cs="Twentieth Century"/>
          <w:sz w:val="24"/>
          <w:szCs w:val="24"/>
        </w:rPr>
        <w:t xml:space="preserve"> </w:t>
      </w:r>
      <w:proofErr w:type="spellStart"/>
      <w:r w:rsidRPr="00744C29">
        <w:rPr>
          <w:rFonts w:ascii="Tw Cen MT" w:eastAsia="Twentieth Century" w:hAnsi="Tw Cen MT" w:cs="Twentieth Century"/>
          <w:sz w:val="24"/>
          <w:szCs w:val="24"/>
        </w:rPr>
        <w:t>konsumsi</w:t>
      </w:r>
      <w:proofErr w:type="spellEnd"/>
      <w:r w:rsidR="007837DA">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minuman</w:t>
      </w:r>
      <w:proofErr w:type="spellEnd"/>
      <w:r w:rsidR="007837DA">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manis</w:t>
      </w:r>
      <w:proofErr w:type="spellEnd"/>
      <w:r w:rsidR="007837DA">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dengan</w:t>
      </w:r>
      <w:proofErr w:type="spellEnd"/>
      <w:r w:rsidR="007837DA">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obesitas</w:t>
      </w:r>
      <w:proofErr w:type="spellEnd"/>
      <w:r w:rsidR="007837DA">
        <w:rPr>
          <w:rFonts w:ascii="Tw Cen MT" w:eastAsia="Twentieth Century" w:hAnsi="Tw Cen MT" w:cs="Twentieth Century"/>
          <w:sz w:val="24"/>
          <w:szCs w:val="24"/>
        </w:rPr>
        <w:t>.</w:t>
      </w:r>
    </w:p>
    <w:p w14:paraId="38BD757B" w14:textId="77777777" w:rsidR="00A07B8A" w:rsidRDefault="00A07B8A" w:rsidP="007837DA">
      <w:pPr>
        <w:spacing w:after="0" w:line="240" w:lineRule="auto"/>
        <w:rPr>
          <w:rFonts w:ascii="Tw Cen MT" w:eastAsia="Twentieth Century" w:hAnsi="Tw Cen MT" w:cs="Twentieth Century"/>
          <w:sz w:val="20"/>
          <w:szCs w:val="20"/>
        </w:rPr>
      </w:pPr>
    </w:p>
    <w:p w14:paraId="75EC740E" w14:textId="47CA58CC" w:rsidR="008A1E26" w:rsidRPr="00744C29" w:rsidRDefault="008A1E26" w:rsidP="008A1E26">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7. </w:t>
      </w:r>
      <w:proofErr w:type="spellStart"/>
      <w:r>
        <w:rPr>
          <w:rFonts w:ascii="Tw Cen MT" w:eastAsia="Twentieth Century" w:hAnsi="Tw Cen MT" w:cs="Twentieth Century"/>
          <w:sz w:val="20"/>
          <w:szCs w:val="20"/>
        </w:rPr>
        <w:t>Hubungan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Aktivitas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Fisik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dengan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Indeks</w:t>
      </w:r>
      <w:proofErr w:type="spellEnd"/>
      <w:r>
        <w:rPr>
          <w:rFonts w:ascii="Tw Cen MT" w:eastAsia="Twentieth Century" w:hAnsi="Tw Cen MT" w:cs="Twentieth Century"/>
          <w:sz w:val="20"/>
          <w:szCs w:val="20"/>
        </w:rPr>
        <w:t xml:space="preserve"> Massa </w:t>
      </w:r>
      <w:proofErr w:type="spellStart"/>
      <w:r>
        <w:rPr>
          <w:rFonts w:ascii="Tw Cen MT" w:eastAsia="Twentieth Century" w:hAnsi="Tw Cen MT" w:cs="Twentieth Century"/>
          <w:sz w:val="20"/>
          <w:szCs w:val="20"/>
        </w:rPr>
        <w:t>Tubuh</w:t>
      </w:r>
      <w:proofErr w:type="spellEnd"/>
    </w:p>
    <w:tbl>
      <w:tblPr>
        <w:tblStyle w:val="KisiTabel"/>
        <w:tblW w:w="9356" w:type="dxa"/>
        <w:tblLook w:val="04A0" w:firstRow="1" w:lastRow="0" w:firstColumn="1" w:lastColumn="0" w:noHBand="0" w:noVBand="1"/>
      </w:tblPr>
      <w:tblGrid>
        <w:gridCol w:w="1353"/>
        <w:gridCol w:w="907"/>
        <w:gridCol w:w="1067"/>
        <w:gridCol w:w="700"/>
        <w:gridCol w:w="948"/>
        <w:gridCol w:w="888"/>
        <w:gridCol w:w="963"/>
        <w:gridCol w:w="700"/>
        <w:gridCol w:w="879"/>
        <w:gridCol w:w="951"/>
      </w:tblGrid>
      <w:tr w:rsidR="008A1E26" w:rsidRPr="009750C1" w14:paraId="576B482B" w14:textId="77777777" w:rsidTr="00A65FFD">
        <w:trPr>
          <w:trHeight w:val="258"/>
        </w:trPr>
        <w:tc>
          <w:tcPr>
            <w:tcW w:w="1353" w:type="dxa"/>
            <w:vMerge w:val="restart"/>
            <w:tcBorders>
              <w:top w:val="single" w:sz="4" w:space="0" w:color="auto"/>
              <w:left w:val="nil"/>
              <w:bottom w:val="single" w:sz="4" w:space="0" w:color="auto"/>
              <w:right w:val="nil"/>
            </w:tcBorders>
          </w:tcPr>
          <w:p w14:paraId="0B2D3BCB" w14:textId="77777777" w:rsidR="008A1E26" w:rsidRPr="009750C1" w:rsidRDefault="008A1E26" w:rsidP="008A1E26">
            <w:pPr>
              <w:jc w:val="center"/>
              <w:rPr>
                <w:rFonts w:ascii="Tw Cen MT" w:eastAsia="Twentieth Century" w:hAnsi="Tw Cen MT" w:cs="Twentieth Century"/>
                <w:sz w:val="20"/>
                <w:szCs w:val="20"/>
              </w:rPr>
            </w:pPr>
            <w:proofErr w:type="spellStart"/>
            <w:r w:rsidRPr="009750C1">
              <w:rPr>
                <w:rFonts w:ascii="Tw Cen MT" w:eastAsia="Twentieth Century" w:hAnsi="Tw Cen MT" w:cs="Twentieth Century"/>
                <w:sz w:val="20"/>
                <w:szCs w:val="20"/>
              </w:rPr>
              <w:t>Jajanan</w:t>
            </w:r>
            <w:proofErr w:type="spellEnd"/>
          </w:p>
        </w:tc>
        <w:tc>
          <w:tcPr>
            <w:tcW w:w="1974" w:type="dxa"/>
            <w:gridSpan w:val="2"/>
            <w:tcBorders>
              <w:top w:val="single" w:sz="4" w:space="0" w:color="auto"/>
              <w:left w:val="nil"/>
              <w:bottom w:val="nil"/>
              <w:right w:val="nil"/>
            </w:tcBorders>
          </w:tcPr>
          <w:p w14:paraId="615B9437"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Kurus</w:t>
            </w:r>
          </w:p>
        </w:tc>
        <w:tc>
          <w:tcPr>
            <w:tcW w:w="1648" w:type="dxa"/>
            <w:gridSpan w:val="2"/>
            <w:tcBorders>
              <w:top w:val="single" w:sz="4" w:space="0" w:color="auto"/>
              <w:left w:val="nil"/>
              <w:bottom w:val="nil"/>
              <w:right w:val="nil"/>
            </w:tcBorders>
          </w:tcPr>
          <w:p w14:paraId="1151E809"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Normal</w:t>
            </w:r>
          </w:p>
        </w:tc>
        <w:tc>
          <w:tcPr>
            <w:tcW w:w="1851" w:type="dxa"/>
            <w:gridSpan w:val="2"/>
            <w:tcBorders>
              <w:top w:val="single" w:sz="4" w:space="0" w:color="auto"/>
              <w:left w:val="nil"/>
              <w:bottom w:val="nil"/>
              <w:right w:val="nil"/>
            </w:tcBorders>
          </w:tcPr>
          <w:p w14:paraId="0E3F63E2"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Overweight</w:t>
            </w:r>
          </w:p>
        </w:tc>
        <w:tc>
          <w:tcPr>
            <w:tcW w:w="1579" w:type="dxa"/>
            <w:gridSpan w:val="2"/>
            <w:tcBorders>
              <w:top w:val="single" w:sz="4" w:space="0" w:color="auto"/>
              <w:left w:val="nil"/>
              <w:bottom w:val="nil"/>
              <w:right w:val="nil"/>
            </w:tcBorders>
          </w:tcPr>
          <w:p w14:paraId="30E79AF0"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Total</w:t>
            </w:r>
          </w:p>
        </w:tc>
        <w:tc>
          <w:tcPr>
            <w:tcW w:w="951" w:type="dxa"/>
            <w:vMerge w:val="restart"/>
            <w:tcBorders>
              <w:top w:val="single" w:sz="4" w:space="0" w:color="auto"/>
              <w:left w:val="nil"/>
              <w:bottom w:val="single" w:sz="4" w:space="0" w:color="auto"/>
              <w:right w:val="nil"/>
            </w:tcBorders>
          </w:tcPr>
          <w:p w14:paraId="402FA7C1" w14:textId="77777777" w:rsidR="008A1E26" w:rsidRDefault="008A1E26" w:rsidP="008A1E26">
            <w:pPr>
              <w:jc w:val="center"/>
              <w:rPr>
                <w:rFonts w:ascii="Tw Cen MT" w:eastAsia="Twentieth Century" w:hAnsi="Tw Cen MT" w:cs="Twentieth Century"/>
                <w:i/>
                <w:iCs/>
                <w:sz w:val="20"/>
                <w:szCs w:val="20"/>
              </w:rPr>
            </w:pPr>
            <w:r w:rsidRPr="009750C1">
              <w:rPr>
                <w:rFonts w:ascii="Tw Cen MT" w:eastAsia="Twentieth Century" w:hAnsi="Tw Cen MT" w:cs="Twentieth Century"/>
                <w:i/>
                <w:iCs/>
                <w:sz w:val="20"/>
                <w:szCs w:val="20"/>
              </w:rPr>
              <w:t>P-</w:t>
            </w:r>
          </w:p>
          <w:p w14:paraId="7F436449" w14:textId="77777777" w:rsidR="008A1E26" w:rsidRPr="009750C1" w:rsidRDefault="008A1E26" w:rsidP="008A1E26">
            <w:pPr>
              <w:jc w:val="center"/>
              <w:rPr>
                <w:rFonts w:ascii="Tw Cen MT" w:eastAsia="Twentieth Century" w:hAnsi="Tw Cen MT" w:cs="Twentieth Century"/>
                <w:i/>
                <w:iCs/>
                <w:sz w:val="20"/>
                <w:szCs w:val="20"/>
              </w:rPr>
            </w:pPr>
            <w:r w:rsidRPr="009750C1">
              <w:rPr>
                <w:rFonts w:ascii="Tw Cen MT" w:eastAsia="Twentieth Century" w:hAnsi="Tw Cen MT" w:cs="Twentieth Century"/>
                <w:i/>
                <w:iCs/>
                <w:sz w:val="20"/>
                <w:szCs w:val="20"/>
              </w:rPr>
              <w:t>Value</w:t>
            </w:r>
          </w:p>
        </w:tc>
      </w:tr>
      <w:tr w:rsidR="008A1E26" w:rsidRPr="009750C1" w14:paraId="396F62B1" w14:textId="77777777" w:rsidTr="00A65FFD">
        <w:trPr>
          <w:trHeight w:val="169"/>
        </w:trPr>
        <w:tc>
          <w:tcPr>
            <w:tcW w:w="1353" w:type="dxa"/>
            <w:vMerge/>
            <w:tcBorders>
              <w:top w:val="single" w:sz="4" w:space="0" w:color="auto"/>
              <w:left w:val="nil"/>
              <w:bottom w:val="single" w:sz="4" w:space="0" w:color="auto"/>
              <w:right w:val="nil"/>
            </w:tcBorders>
          </w:tcPr>
          <w:p w14:paraId="49BC7901" w14:textId="77777777" w:rsidR="008A1E26" w:rsidRPr="009750C1" w:rsidRDefault="008A1E26" w:rsidP="008A1E26">
            <w:pPr>
              <w:jc w:val="center"/>
              <w:rPr>
                <w:rFonts w:ascii="Tw Cen MT" w:eastAsia="Twentieth Century" w:hAnsi="Tw Cen MT" w:cs="Twentieth Century"/>
                <w:sz w:val="20"/>
                <w:szCs w:val="20"/>
              </w:rPr>
            </w:pPr>
          </w:p>
        </w:tc>
        <w:tc>
          <w:tcPr>
            <w:tcW w:w="907" w:type="dxa"/>
            <w:tcBorders>
              <w:top w:val="nil"/>
              <w:left w:val="nil"/>
              <w:bottom w:val="single" w:sz="4" w:space="0" w:color="auto"/>
              <w:right w:val="nil"/>
            </w:tcBorders>
          </w:tcPr>
          <w:p w14:paraId="5E7AFDF8"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1067" w:type="dxa"/>
            <w:tcBorders>
              <w:top w:val="nil"/>
              <w:left w:val="nil"/>
              <w:bottom w:val="single" w:sz="4" w:space="0" w:color="auto"/>
              <w:right w:val="nil"/>
            </w:tcBorders>
          </w:tcPr>
          <w:p w14:paraId="2F6DEE6F"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700" w:type="dxa"/>
            <w:tcBorders>
              <w:top w:val="nil"/>
              <w:left w:val="nil"/>
              <w:bottom w:val="single" w:sz="4" w:space="0" w:color="auto"/>
              <w:right w:val="nil"/>
            </w:tcBorders>
          </w:tcPr>
          <w:p w14:paraId="2760DBE9"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948" w:type="dxa"/>
            <w:tcBorders>
              <w:top w:val="nil"/>
              <w:left w:val="nil"/>
              <w:bottom w:val="single" w:sz="4" w:space="0" w:color="auto"/>
              <w:right w:val="nil"/>
            </w:tcBorders>
          </w:tcPr>
          <w:p w14:paraId="49E14D57"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888" w:type="dxa"/>
            <w:tcBorders>
              <w:top w:val="nil"/>
              <w:left w:val="nil"/>
              <w:bottom w:val="single" w:sz="4" w:space="0" w:color="auto"/>
              <w:right w:val="nil"/>
            </w:tcBorders>
          </w:tcPr>
          <w:p w14:paraId="6360D852"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963" w:type="dxa"/>
            <w:tcBorders>
              <w:top w:val="nil"/>
              <w:left w:val="nil"/>
              <w:bottom w:val="single" w:sz="4" w:space="0" w:color="auto"/>
              <w:right w:val="nil"/>
            </w:tcBorders>
          </w:tcPr>
          <w:p w14:paraId="1557BA34"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700" w:type="dxa"/>
            <w:tcBorders>
              <w:top w:val="nil"/>
              <w:left w:val="nil"/>
              <w:bottom w:val="single" w:sz="4" w:space="0" w:color="auto"/>
              <w:right w:val="nil"/>
            </w:tcBorders>
          </w:tcPr>
          <w:p w14:paraId="618F0C65"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n</w:t>
            </w:r>
          </w:p>
        </w:tc>
        <w:tc>
          <w:tcPr>
            <w:tcW w:w="879" w:type="dxa"/>
            <w:tcBorders>
              <w:top w:val="nil"/>
              <w:left w:val="nil"/>
              <w:bottom w:val="single" w:sz="4" w:space="0" w:color="auto"/>
              <w:right w:val="nil"/>
            </w:tcBorders>
          </w:tcPr>
          <w:p w14:paraId="47DB5EAD" w14:textId="77777777" w:rsidR="008A1E26" w:rsidRPr="009750C1" w:rsidRDefault="008A1E26" w:rsidP="008A1E26">
            <w:pPr>
              <w:jc w:val="center"/>
              <w:rPr>
                <w:rFonts w:ascii="Tw Cen MT" w:eastAsia="Twentieth Century" w:hAnsi="Tw Cen MT" w:cs="Twentieth Century"/>
                <w:sz w:val="20"/>
                <w:szCs w:val="20"/>
              </w:rPr>
            </w:pPr>
            <w:r w:rsidRPr="009750C1">
              <w:rPr>
                <w:rFonts w:ascii="Tw Cen MT" w:eastAsia="Twentieth Century" w:hAnsi="Tw Cen MT" w:cs="Twentieth Century"/>
                <w:sz w:val="20"/>
                <w:szCs w:val="20"/>
              </w:rPr>
              <w:t>%</w:t>
            </w:r>
          </w:p>
        </w:tc>
        <w:tc>
          <w:tcPr>
            <w:tcW w:w="951" w:type="dxa"/>
            <w:vMerge/>
            <w:tcBorders>
              <w:top w:val="nil"/>
              <w:left w:val="nil"/>
              <w:bottom w:val="single" w:sz="4" w:space="0" w:color="auto"/>
              <w:right w:val="nil"/>
            </w:tcBorders>
          </w:tcPr>
          <w:p w14:paraId="45CBE079" w14:textId="77777777" w:rsidR="008A1E26" w:rsidRPr="009750C1" w:rsidRDefault="008A1E26" w:rsidP="008A1E26">
            <w:pPr>
              <w:jc w:val="center"/>
              <w:rPr>
                <w:rFonts w:ascii="Tw Cen MT" w:eastAsia="Twentieth Century" w:hAnsi="Tw Cen MT" w:cs="Twentieth Century"/>
                <w:sz w:val="20"/>
                <w:szCs w:val="20"/>
              </w:rPr>
            </w:pPr>
          </w:p>
        </w:tc>
      </w:tr>
      <w:tr w:rsidR="008A1E26" w:rsidRPr="009750C1" w14:paraId="4298DB15" w14:textId="77777777" w:rsidTr="00A65FFD">
        <w:trPr>
          <w:trHeight w:val="246"/>
        </w:trPr>
        <w:tc>
          <w:tcPr>
            <w:tcW w:w="1353" w:type="dxa"/>
            <w:tcBorders>
              <w:top w:val="single" w:sz="4" w:space="0" w:color="auto"/>
              <w:left w:val="nil"/>
              <w:bottom w:val="nil"/>
              <w:right w:val="nil"/>
            </w:tcBorders>
          </w:tcPr>
          <w:p w14:paraId="0129E6E3" w14:textId="77777777" w:rsidR="008A1E26" w:rsidRPr="009750C1" w:rsidRDefault="008A1E26" w:rsidP="008A1E26">
            <w:pPr>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Berat</w:t>
            </w:r>
            <w:proofErr w:type="spellEnd"/>
          </w:p>
        </w:tc>
        <w:tc>
          <w:tcPr>
            <w:tcW w:w="907" w:type="dxa"/>
            <w:tcBorders>
              <w:top w:val="single" w:sz="4" w:space="0" w:color="auto"/>
              <w:left w:val="nil"/>
              <w:bottom w:val="nil"/>
              <w:right w:val="nil"/>
            </w:tcBorders>
          </w:tcPr>
          <w:p w14:paraId="3F8B49FD"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1067" w:type="dxa"/>
            <w:tcBorders>
              <w:top w:val="single" w:sz="4" w:space="0" w:color="auto"/>
              <w:left w:val="nil"/>
              <w:bottom w:val="nil"/>
              <w:right w:val="nil"/>
            </w:tcBorders>
          </w:tcPr>
          <w:p w14:paraId="5DA2393D"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0,0</w:t>
            </w:r>
          </w:p>
        </w:tc>
        <w:tc>
          <w:tcPr>
            <w:tcW w:w="700" w:type="dxa"/>
            <w:tcBorders>
              <w:top w:val="single" w:sz="4" w:space="0" w:color="auto"/>
              <w:left w:val="nil"/>
              <w:bottom w:val="nil"/>
              <w:right w:val="nil"/>
            </w:tcBorders>
          </w:tcPr>
          <w:p w14:paraId="337AC5A8"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948" w:type="dxa"/>
            <w:tcBorders>
              <w:top w:val="single" w:sz="4" w:space="0" w:color="auto"/>
              <w:left w:val="nil"/>
              <w:bottom w:val="nil"/>
              <w:right w:val="nil"/>
            </w:tcBorders>
          </w:tcPr>
          <w:p w14:paraId="07FD9879"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888" w:type="dxa"/>
            <w:tcBorders>
              <w:top w:val="single" w:sz="4" w:space="0" w:color="auto"/>
              <w:left w:val="nil"/>
              <w:bottom w:val="nil"/>
              <w:right w:val="nil"/>
            </w:tcBorders>
          </w:tcPr>
          <w:p w14:paraId="26CF16A7"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963" w:type="dxa"/>
            <w:tcBorders>
              <w:top w:val="single" w:sz="4" w:space="0" w:color="auto"/>
              <w:left w:val="nil"/>
              <w:bottom w:val="nil"/>
              <w:right w:val="nil"/>
            </w:tcBorders>
          </w:tcPr>
          <w:p w14:paraId="71A4BD16"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0,0</w:t>
            </w:r>
          </w:p>
        </w:tc>
        <w:tc>
          <w:tcPr>
            <w:tcW w:w="700" w:type="dxa"/>
            <w:tcBorders>
              <w:top w:val="single" w:sz="4" w:space="0" w:color="auto"/>
              <w:left w:val="nil"/>
              <w:bottom w:val="nil"/>
              <w:right w:val="nil"/>
            </w:tcBorders>
          </w:tcPr>
          <w:p w14:paraId="57F6EC94"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879" w:type="dxa"/>
            <w:tcBorders>
              <w:top w:val="single" w:sz="4" w:space="0" w:color="auto"/>
              <w:left w:val="nil"/>
              <w:bottom w:val="nil"/>
              <w:right w:val="nil"/>
            </w:tcBorders>
          </w:tcPr>
          <w:p w14:paraId="36DEBFB6"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51" w:type="dxa"/>
            <w:vMerge w:val="restart"/>
            <w:tcBorders>
              <w:top w:val="single" w:sz="4" w:space="0" w:color="auto"/>
              <w:left w:val="nil"/>
              <w:bottom w:val="single" w:sz="4" w:space="0" w:color="auto"/>
              <w:right w:val="nil"/>
            </w:tcBorders>
          </w:tcPr>
          <w:p w14:paraId="1A6D69B5" w14:textId="77777777" w:rsidR="008A1E26" w:rsidRDefault="008A1E26" w:rsidP="008A1E26">
            <w:pPr>
              <w:jc w:val="center"/>
              <w:rPr>
                <w:rFonts w:ascii="Tw Cen MT" w:eastAsia="Twentieth Century" w:hAnsi="Tw Cen MT" w:cs="Twentieth Century"/>
                <w:sz w:val="20"/>
                <w:szCs w:val="20"/>
              </w:rPr>
            </w:pPr>
          </w:p>
          <w:p w14:paraId="727D0E41"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0,002</w:t>
            </w:r>
          </w:p>
        </w:tc>
      </w:tr>
      <w:tr w:rsidR="008A1E26" w:rsidRPr="009750C1" w14:paraId="2078C1A7" w14:textId="77777777" w:rsidTr="00A65FFD">
        <w:trPr>
          <w:trHeight w:val="258"/>
        </w:trPr>
        <w:tc>
          <w:tcPr>
            <w:tcW w:w="1353" w:type="dxa"/>
            <w:tcBorders>
              <w:top w:val="nil"/>
              <w:left w:val="nil"/>
              <w:bottom w:val="nil"/>
              <w:right w:val="nil"/>
            </w:tcBorders>
          </w:tcPr>
          <w:p w14:paraId="7D199E0D"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Sedang</w:t>
            </w:r>
          </w:p>
        </w:tc>
        <w:tc>
          <w:tcPr>
            <w:tcW w:w="907" w:type="dxa"/>
            <w:tcBorders>
              <w:top w:val="nil"/>
              <w:left w:val="nil"/>
              <w:bottom w:val="nil"/>
              <w:right w:val="nil"/>
            </w:tcBorders>
          </w:tcPr>
          <w:p w14:paraId="5AD1485D"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1067" w:type="dxa"/>
            <w:tcBorders>
              <w:top w:val="nil"/>
              <w:left w:val="nil"/>
              <w:bottom w:val="nil"/>
              <w:right w:val="nil"/>
            </w:tcBorders>
          </w:tcPr>
          <w:p w14:paraId="29D20A81"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18,8</w:t>
            </w:r>
          </w:p>
        </w:tc>
        <w:tc>
          <w:tcPr>
            <w:tcW w:w="700" w:type="dxa"/>
            <w:tcBorders>
              <w:top w:val="nil"/>
              <w:left w:val="nil"/>
              <w:bottom w:val="nil"/>
              <w:right w:val="nil"/>
            </w:tcBorders>
          </w:tcPr>
          <w:p w14:paraId="79E9ADDC"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25</w:t>
            </w:r>
          </w:p>
        </w:tc>
        <w:tc>
          <w:tcPr>
            <w:tcW w:w="948" w:type="dxa"/>
            <w:tcBorders>
              <w:top w:val="nil"/>
              <w:left w:val="nil"/>
              <w:bottom w:val="nil"/>
              <w:right w:val="nil"/>
            </w:tcBorders>
          </w:tcPr>
          <w:p w14:paraId="14BFB734"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78,1</w:t>
            </w:r>
          </w:p>
        </w:tc>
        <w:tc>
          <w:tcPr>
            <w:tcW w:w="888" w:type="dxa"/>
            <w:tcBorders>
              <w:top w:val="nil"/>
              <w:left w:val="nil"/>
              <w:bottom w:val="nil"/>
              <w:right w:val="nil"/>
            </w:tcBorders>
          </w:tcPr>
          <w:p w14:paraId="19E3F71F"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63" w:type="dxa"/>
            <w:tcBorders>
              <w:top w:val="nil"/>
              <w:left w:val="nil"/>
              <w:bottom w:val="nil"/>
              <w:right w:val="nil"/>
            </w:tcBorders>
          </w:tcPr>
          <w:p w14:paraId="598C20B3"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3,1</w:t>
            </w:r>
          </w:p>
        </w:tc>
        <w:tc>
          <w:tcPr>
            <w:tcW w:w="700" w:type="dxa"/>
            <w:tcBorders>
              <w:top w:val="nil"/>
              <w:left w:val="nil"/>
              <w:bottom w:val="nil"/>
              <w:right w:val="nil"/>
            </w:tcBorders>
          </w:tcPr>
          <w:p w14:paraId="6FCF54F5"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32</w:t>
            </w:r>
          </w:p>
        </w:tc>
        <w:tc>
          <w:tcPr>
            <w:tcW w:w="879" w:type="dxa"/>
            <w:tcBorders>
              <w:top w:val="nil"/>
              <w:left w:val="nil"/>
              <w:bottom w:val="nil"/>
              <w:right w:val="nil"/>
            </w:tcBorders>
          </w:tcPr>
          <w:p w14:paraId="7FFB2459"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51" w:type="dxa"/>
            <w:vMerge/>
            <w:tcBorders>
              <w:top w:val="single" w:sz="4" w:space="0" w:color="auto"/>
              <w:left w:val="nil"/>
              <w:bottom w:val="nil"/>
              <w:right w:val="nil"/>
            </w:tcBorders>
          </w:tcPr>
          <w:p w14:paraId="60AE7985" w14:textId="77777777" w:rsidR="008A1E26" w:rsidRDefault="008A1E26" w:rsidP="008A1E26">
            <w:pPr>
              <w:jc w:val="center"/>
              <w:rPr>
                <w:rFonts w:ascii="Tw Cen MT" w:eastAsia="Twentieth Century" w:hAnsi="Tw Cen MT" w:cs="Twentieth Century"/>
                <w:sz w:val="20"/>
                <w:szCs w:val="20"/>
              </w:rPr>
            </w:pPr>
          </w:p>
        </w:tc>
      </w:tr>
      <w:tr w:rsidR="008A1E26" w:rsidRPr="009750C1" w14:paraId="54E3B12B" w14:textId="77777777" w:rsidTr="00A65FFD">
        <w:trPr>
          <w:trHeight w:val="258"/>
        </w:trPr>
        <w:tc>
          <w:tcPr>
            <w:tcW w:w="1353" w:type="dxa"/>
            <w:tcBorders>
              <w:top w:val="nil"/>
              <w:left w:val="nil"/>
              <w:bottom w:val="single" w:sz="4" w:space="0" w:color="auto"/>
              <w:right w:val="nil"/>
            </w:tcBorders>
          </w:tcPr>
          <w:p w14:paraId="53A9F171" w14:textId="77777777" w:rsidR="008A1E26" w:rsidRDefault="008A1E26" w:rsidP="008A1E26">
            <w:pPr>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Ringan</w:t>
            </w:r>
            <w:proofErr w:type="spellEnd"/>
          </w:p>
        </w:tc>
        <w:tc>
          <w:tcPr>
            <w:tcW w:w="907" w:type="dxa"/>
            <w:tcBorders>
              <w:top w:val="nil"/>
              <w:left w:val="nil"/>
              <w:bottom w:val="single" w:sz="4" w:space="0" w:color="auto"/>
              <w:right w:val="nil"/>
            </w:tcBorders>
          </w:tcPr>
          <w:p w14:paraId="39A06AB8"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1067" w:type="dxa"/>
            <w:tcBorders>
              <w:top w:val="nil"/>
              <w:left w:val="nil"/>
              <w:bottom w:val="single" w:sz="4" w:space="0" w:color="auto"/>
              <w:right w:val="nil"/>
            </w:tcBorders>
          </w:tcPr>
          <w:p w14:paraId="5A2AF98C"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0,0</w:t>
            </w:r>
          </w:p>
        </w:tc>
        <w:tc>
          <w:tcPr>
            <w:tcW w:w="700" w:type="dxa"/>
            <w:tcBorders>
              <w:top w:val="nil"/>
              <w:left w:val="nil"/>
              <w:bottom w:val="single" w:sz="4" w:space="0" w:color="auto"/>
              <w:right w:val="nil"/>
            </w:tcBorders>
          </w:tcPr>
          <w:p w14:paraId="3DB44E7F" w14:textId="77777777" w:rsidR="008A1E26" w:rsidRDefault="008A1E26" w:rsidP="00A07B8A">
            <w:pPr>
              <w:jc w:val="center"/>
              <w:rPr>
                <w:rFonts w:ascii="Tw Cen MT" w:eastAsia="Twentieth Century" w:hAnsi="Tw Cen MT" w:cs="Twentieth Century"/>
                <w:sz w:val="20"/>
                <w:szCs w:val="20"/>
              </w:rPr>
            </w:pPr>
            <w:r>
              <w:rPr>
                <w:rFonts w:ascii="Tw Cen MT" w:eastAsia="Twentieth Century" w:hAnsi="Tw Cen MT" w:cs="Twentieth Century"/>
                <w:sz w:val="20"/>
                <w:szCs w:val="20"/>
              </w:rPr>
              <w:t>5</w:t>
            </w:r>
          </w:p>
        </w:tc>
        <w:tc>
          <w:tcPr>
            <w:tcW w:w="948" w:type="dxa"/>
            <w:tcBorders>
              <w:top w:val="nil"/>
              <w:left w:val="nil"/>
              <w:bottom w:val="single" w:sz="4" w:space="0" w:color="auto"/>
              <w:right w:val="nil"/>
            </w:tcBorders>
          </w:tcPr>
          <w:p w14:paraId="4934216C"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50,0</w:t>
            </w:r>
          </w:p>
        </w:tc>
        <w:tc>
          <w:tcPr>
            <w:tcW w:w="888" w:type="dxa"/>
            <w:tcBorders>
              <w:top w:val="nil"/>
              <w:left w:val="nil"/>
              <w:bottom w:val="single" w:sz="4" w:space="0" w:color="auto"/>
              <w:right w:val="nil"/>
            </w:tcBorders>
          </w:tcPr>
          <w:p w14:paraId="6FF30A6B"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5</w:t>
            </w:r>
          </w:p>
        </w:tc>
        <w:tc>
          <w:tcPr>
            <w:tcW w:w="963" w:type="dxa"/>
            <w:tcBorders>
              <w:top w:val="nil"/>
              <w:left w:val="nil"/>
              <w:bottom w:val="single" w:sz="4" w:space="0" w:color="auto"/>
              <w:right w:val="nil"/>
            </w:tcBorders>
          </w:tcPr>
          <w:p w14:paraId="59E39112"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50,0</w:t>
            </w:r>
          </w:p>
        </w:tc>
        <w:tc>
          <w:tcPr>
            <w:tcW w:w="700" w:type="dxa"/>
            <w:tcBorders>
              <w:top w:val="nil"/>
              <w:left w:val="nil"/>
              <w:bottom w:val="single" w:sz="4" w:space="0" w:color="auto"/>
              <w:right w:val="nil"/>
            </w:tcBorders>
          </w:tcPr>
          <w:p w14:paraId="0A415674"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w:t>
            </w:r>
          </w:p>
        </w:tc>
        <w:tc>
          <w:tcPr>
            <w:tcW w:w="879" w:type="dxa"/>
            <w:tcBorders>
              <w:top w:val="nil"/>
              <w:left w:val="nil"/>
              <w:bottom w:val="single" w:sz="4" w:space="0" w:color="auto"/>
              <w:right w:val="nil"/>
            </w:tcBorders>
          </w:tcPr>
          <w:p w14:paraId="079E5DBC" w14:textId="77777777" w:rsidR="008A1E26"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51" w:type="dxa"/>
            <w:vMerge/>
            <w:tcBorders>
              <w:top w:val="nil"/>
              <w:left w:val="nil"/>
              <w:bottom w:val="single" w:sz="4" w:space="0" w:color="auto"/>
              <w:right w:val="nil"/>
            </w:tcBorders>
          </w:tcPr>
          <w:p w14:paraId="617EB49C" w14:textId="77777777" w:rsidR="008A1E26" w:rsidRDefault="008A1E26" w:rsidP="008A1E26">
            <w:pPr>
              <w:jc w:val="center"/>
              <w:rPr>
                <w:rFonts w:ascii="Tw Cen MT" w:eastAsia="Twentieth Century" w:hAnsi="Tw Cen MT" w:cs="Twentieth Century"/>
                <w:sz w:val="20"/>
                <w:szCs w:val="20"/>
              </w:rPr>
            </w:pPr>
          </w:p>
        </w:tc>
      </w:tr>
      <w:tr w:rsidR="008A1E26" w:rsidRPr="009750C1" w14:paraId="2BD49D49" w14:textId="77777777" w:rsidTr="00A65FFD">
        <w:trPr>
          <w:trHeight w:val="258"/>
        </w:trPr>
        <w:tc>
          <w:tcPr>
            <w:tcW w:w="1353" w:type="dxa"/>
            <w:tcBorders>
              <w:top w:val="single" w:sz="4" w:space="0" w:color="auto"/>
              <w:left w:val="nil"/>
              <w:bottom w:val="single" w:sz="4" w:space="0" w:color="auto"/>
              <w:right w:val="nil"/>
            </w:tcBorders>
          </w:tcPr>
          <w:p w14:paraId="3E10990F"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Total</w:t>
            </w:r>
          </w:p>
        </w:tc>
        <w:tc>
          <w:tcPr>
            <w:tcW w:w="907" w:type="dxa"/>
            <w:tcBorders>
              <w:top w:val="single" w:sz="4" w:space="0" w:color="auto"/>
              <w:left w:val="nil"/>
              <w:bottom w:val="single" w:sz="4" w:space="0" w:color="auto"/>
              <w:right w:val="nil"/>
            </w:tcBorders>
          </w:tcPr>
          <w:p w14:paraId="1DCCB782"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1067" w:type="dxa"/>
            <w:tcBorders>
              <w:top w:val="single" w:sz="4" w:space="0" w:color="auto"/>
              <w:left w:val="nil"/>
              <w:bottom w:val="single" w:sz="4" w:space="0" w:color="auto"/>
              <w:right w:val="nil"/>
            </w:tcBorders>
          </w:tcPr>
          <w:p w14:paraId="51A8AEA6"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13,0</w:t>
            </w:r>
          </w:p>
        </w:tc>
        <w:tc>
          <w:tcPr>
            <w:tcW w:w="700" w:type="dxa"/>
            <w:tcBorders>
              <w:top w:val="single" w:sz="4" w:space="0" w:color="auto"/>
              <w:left w:val="nil"/>
              <w:bottom w:val="single" w:sz="4" w:space="0" w:color="auto"/>
              <w:right w:val="nil"/>
            </w:tcBorders>
          </w:tcPr>
          <w:p w14:paraId="4F40E787"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34</w:t>
            </w:r>
          </w:p>
        </w:tc>
        <w:tc>
          <w:tcPr>
            <w:tcW w:w="948" w:type="dxa"/>
            <w:tcBorders>
              <w:top w:val="single" w:sz="4" w:space="0" w:color="auto"/>
              <w:left w:val="nil"/>
              <w:bottom w:val="single" w:sz="4" w:space="0" w:color="auto"/>
              <w:right w:val="nil"/>
            </w:tcBorders>
          </w:tcPr>
          <w:p w14:paraId="07FEFBFD"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73,9</w:t>
            </w:r>
          </w:p>
        </w:tc>
        <w:tc>
          <w:tcPr>
            <w:tcW w:w="888" w:type="dxa"/>
            <w:tcBorders>
              <w:top w:val="single" w:sz="4" w:space="0" w:color="auto"/>
              <w:left w:val="nil"/>
              <w:bottom w:val="single" w:sz="4" w:space="0" w:color="auto"/>
              <w:right w:val="nil"/>
            </w:tcBorders>
          </w:tcPr>
          <w:p w14:paraId="5C15D97F"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6</w:t>
            </w:r>
          </w:p>
        </w:tc>
        <w:tc>
          <w:tcPr>
            <w:tcW w:w="963" w:type="dxa"/>
            <w:tcBorders>
              <w:top w:val="single" w:sz="4" w:space="0" w:color="auto"/>
              <w:left w:val="nil"/>
              <w:bottom w:val="single" w:sz="4" w:space="0" w:color="auto"/>
              <w:right w:val="nil"/>
            </w:tcBorders>
          </w:tcPr>
          <w:p w14:paraId="4D45CD01"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13,0</w:t>
            </w:r>
          </w:p>
        </w:tc>
        <w:tc>
          <w:tcPr>
            <w:tcW w:w="700" w:type="dxa"/>
            <w:tcBorders>
              <w:top w:val="single" w:sz="4" w:space="0" w:color="auto"/>
              <w:left w:val="nil"/>
              <w:bottom w:val="single" w:sz="4" w:space="0" w:color="auto"/>
              <w:right w:val="nil"/>
            </w:tcBorders>
          </w:tcPr>
          <w:p w14:paraId="09D68079"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46</w:t>
            </w:r>
          </w:p>
        </w:tc>
        <w:tc>
          <w:tcPr>
            <w:tcW w:w="879" w:type="dxa"/>
            <w:tcBorders>
              <w:top w:val="single" w:sz="4" w:space="0" w:color="auto"/>
              <w:left w:val="nil"/>
              <w:bottom w:val="single" w:sz="4" w:space="0" w:color="auto"/>
              <w:right w:val="nil"/>
            </w:tcBorders>
          </w:tcPr>
          <w:p w14:paraId="050B6506" w14:textId="77777777" w:rsidR="008A1E26" w:rsidRPr="009750C1" w:rsidRDefault="008A1E26" w:rsidP="008A1E26">
            <w:pPr>
              <w:jc w:val="center"/>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951" w:type="dxa"/>
            <w:vMerge/>
            <w:tcBorders>
              <w:top w:val="single" w:sz="4" w:space="0" w:color="auto"/>
              <w:left w:val="nil"/>
              <w:bottom w:val="single" w:sz="4" w:space="0" w:color="auto"/>
              <w:right w:val="nil"/>
            </w:tcBorders>
          </w:tcPr>
          <w:p w14:paraId="212F3A19" w14:textId="77777777" w:rsidR="008A1E26" w:rsidRDefault="008A1E26" w:rsidP="008A1E26">
            <w:pPr>
              <w:jc w:val="center"/>
              <w:rPr>
                <w:rFonts w:ascii="Tw Cen MT" w:eastAsia="Twentieth Century" w:hAnsi="Tw Cen MT" w:cs="Twentieth Century"/>
                <w:sz w:val="20"/>
                <w:szCs w:val="20"/>
              </w:rPr>
            </w:pPr>
          </w:p>
        </w:tc>
      </w:tr>
    </w:tbl>
    <w:p w14:paraId="16A2C8F2" w14:textId="77777777" w:rsidR="008A1E26" w:rsidRDefault="008A1E26" w:rsidP="008A1E26">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Pr>
          <w:rFonts w:ascii="Tw Cen MT" w:eastAsia="Twentieth Century" w:hAnsi="Tw Cen MT" w:cs="Twentieth Century"/>
          <w:sz w:val="20"/>
          <w:szCs w:val="20"/>
        </w:rPr>
        <w:t xml:space="preserve">: Hasil </w:t>
      </w:r>
      <w:proofErr w:type="spellStart"/>
      <w:r>
        <w:rPr>
          <w:rFonts w:ascii="Tw Cen MT" w:eastAsia="Twentieth Century" w:hAnsi="Tw Cen MT" w:cs="Twentieth Century"/>
          <w:sz w:val="20"/>
          <w:szCs w:val="20"/>
        </w:rPr>
        <w:t>Penelitian</w:t>
      </w:r>
      <w:proofErr w:type="spellEnd"/>
      <w:r>
        <w:rPr>
          <w:rFonts w:ascii="Tw Cen MT" w:eastAsia="Twentieth Century" w:hAnsi="Tw Cen MT" w:cs="Twentieth Century"/>
          <w:sz w:val="20"/>
          <w:szCs w:val="20"/>
        </w:rPr>
        <w:t xml:space="preserve"> 2024</w:t>
      </w:r>
    </w:p>
    <w:p w14:paraId="7E03B411" w14:textId="77777777" w:rsidR="008A1E26" w:rsidRDefault="008A1E26" w:rsidP="008A1E26">
      <w:pPr>
        <w:tabs>
          <w:tab w:val="left" w:pos="426"/>
        </w:tabs>
        <w:spacing w:after="0" w:line="240" w:lineRule="auto"/>
        <w:jc w:val="both"/>
        <w:rPr>
          <w:rFonts w:ascii="Tw Cen MT" w:eastAsia="Twentieth Century" w:hAnsi="Tw Cen MT" w:cs="Twentieth Century"/>
          <w:sz w:val="24"/>
          <w:szCs w:val="24"/>
        </w:rPr>
        <w:sectPr w:rsidR="008A1E26" w:rsidSect="008A1E26">
          <w:type w:val="continuous"/>
          <w:pgSz w:w="12240" w:h="15840"/>
          <w:pgMar w:top="1440" w:right="1440" w:bottom="1440" w:left="1440" w:header="720" w:footer="720" w:gutter="0"/>
          <w:cols w:space="369"/>
        </w:sectPr>
      </w:pPr>
    </w:p>
    <w:p w14:paraId="52FC3815" w14:textId="77777777" w:rsidR="00A07B8A" w:rsidRDefault="00A07B8A" w:rsidP="008A1E26">
      <w:pPr>
        <w:tabs>
          <w:tab w:val="left" w:pos="426"/>
        </w:tabs>
        <w:spacing w:after="0" w:line="240" w:lineRule="auto"/>
        <w:jc w:val="both"/>
        <w:rPr>
          <w:rFonts w:ascii="Tw Cen MT" w:eastAsia="Twentieth Century" w:hAnsi="Tw Cen MT" w:cs="Twentieth Century"/>
          <w:sz w:val="24"/>
          <w:szCs w:val="24"/>
        </w:rPr>
      </w:pPr>
    </w:p>
    <w:p w14:paraId="72A15077" w14:textId="4927AC28" w:rsidR="00A942AF" w:rsidRPr="00FE0ED5" w:rsidRDefault="008A1E26" w:rsidP="008A1E26">
      <w:pPr>
        <w:tabs>
          <w:tab w:val="left" w:pos="426"/>
        </w:tabs>
        <w:spacing w:after="0" w:line="240" w:lineRule="auto"/>
        <w:jc w:val="both"/>
        <w:rPr>
          <w:rFonts w:ascii="Tw Cen MT" w:eastAsia="Twentieth Century" w:hAnsi="Tw Cen MT" w:cs="Twentieth Century"/>
          <w:sz w:val="24"/>
          <w:szCs w:val="24"/>
        </w:rPr>
      </w:pPr>
      <w:proofErr w:type="spellStart"/>
      <w:r w:rsidRPr="00912E50">
        <w:rPr>
          <w:rFonts w:ascii="Tw Cen MT" w:eastAsia="Twentieth Century" w:hAnsi="Tw Cen MT" w:cs="Twentieth Century"/>
          <w:sz w:val="24"/>
          <w:szCs w:val="24"/>
        </w:rPr>
        <w:t>Tabel</w:t>
      </w:r>
      <w:proofErr w:type="spellEnd"/>
      <w:r w:rsidRPr="00912E50">
        <w:rPr>
          <w:rFonts w:ascii="Tw Cen MT" w:eastAsia="Twentieth Century" w:hAnsi="Tw Cen MT" w:cs="Twentieth Century"/>
          <w:sz w:val="24"/>
          <w:szCs w:val="24"/>
        </w:rPr>
        <w:t xml:space="preserve"> 7 </w:t>
      </w:r>
      <w:proofErr w:type="spellStart"/>
      <w:r w:rsidRPr="00912E50">
        <w:rPr>
          <w:rFonts w:ascii="Tw Cen MT" w:eastAsia="Twentieth Century" w:hAnsi="Tw Cen MT" w:cs="Twentieth Century"/>
          <w:sz w:val="24"/>
          <w:szCs w:val="24"/>
        </w:rPr>
        <w:t>menunjukan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sebagian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besar</w:t>
      </w:r>
      <w:proofErr w:type="spellEnd"/>
      <w:r w:rsidRPr="00912E50">
        <w:rPr>
          <w:rFonts w:ascii="Tw Cen MT" w:eastAsia="Twentieth Century" w:hAnsi="Tw Cen MT" w:cs="Twentieth Century"/>
          <w:sz w:val="24"/>
          <w:szCs w:val="24"/>
        </w:rPr>
        <w:t xml:space="preserve"> </w:t>
      </w:r>
      <w:proofErr w:type="spellStart"/>
      <w:r w:rsidR="007837DA">
        <w:rPr>
          <w:rFonts w:ascii="Tw Cen MT" w:eastAsia="Twentieth Century" w:hAnsi="Tw Cen MT" w:cs="Twentieth Century"/>
          <w:sz w:val="24"/>
          <w:szCs w:val="24"/>
        </w:rPr>
        <w:t>responden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yaitu</w:t>
      </w:r>
      <w:proofErr w:type="spellEnd"/>
      <w:r w:rsidRPr="00912E50">
        <w:rPr>
          <w:rFonts w:ascii="Tw Cen MT" w:eastAsia="Twentieth Century" w:hAnsi="Tw Cen MT" w:cs="Twentieth Century"/>
          <w:sz w:val="24"/>
          <w:szCs w:val="24"/>
        </w:rPr>
        <w:t xml:space="preserve"> 25 orang (78,1%) </w:t>
      </w:r>
      <w:proofErr w:type="spellStart"/>
      <w:r w:rsidRPr="00912E50">
        <w:rPr>
          <w:rFonts w:ascii="Tw Cen MT" w:eastAsia="Twentieth Century" w:hAnsi="Tw Cen MT" w:cs="Twentieth Century"/>
          <w:sz w:val="24"/>
          <w:szCs w:val="24"/>
        </w:rPr>
        <w:t>memiliki</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aktivitas</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fisik</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kategori</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sedang</w:t>
      </w:r>
      <w:proofErr w:type="spellEnd"/>
      <w:r w:rsidRPr="00912E50">
        <w:rPr>
          <w:rFonts w:ascii="Tw Cen MT" w:eastAsia="Twentieth Century" w:hAnsi="Tw Cen MT" w:cs="Twentieth Century"/>
          <w:sz w:val="24"/>
          <w:szCs w:val="24"/>
        </w:rPr>
        <w:t xml:space="preserve"> dan </w:t>
      </w:r>
      <w:proofErr w:type="spellStart"/>
      <w:r w:rsidRPr="00912E50">
        <w:rPr>
          <w:rFonts w:ascii="Tw Cen MT" w:eastAsia="Twentieth Century" w:hAnsi="Tw Cen MT" w:cs="Twentieth Century"/>
          <w:sz w:val="24"/>
          <w:szCs w:val="24"/>
        </w:rPr>
        <w:t>memiliki</w:t>
      </w:r>
      <w:proofErr w:type="spellEnd"/>
      <w:r w:rsidRPr="00912E50">
        <w:rPr>
          <w:rFonts w:ascii="Tw Cen MT" w:eastAsia="Twentieth Century" w:hAnsi="Tw Cen MT" w:cs="Twentieth Century"/>
          <w:sz w:val="24"/>
          <w:szCs w:val="24"/>
        </w:rPr>
        <w:t xml:space="preserve"> IMT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kategori</w:t>
      </w:r>
      <w:proofErr w:type="spellEnd"/>
      <w:r>
        <w:rPr>
          <w:rFonts w:ascii="Tw Cen MT" w:eastAsia="Twentieth Century" w:hAnsi="Tw Cen MT" w:cs="Twentieth Century"/>
          <w:sz w:val="24"/>
          <w:szCs w:val="24"/>
        </w:rPr>
        <w:t xml:space="preserve"> normal. Hasil </w:t>
      </w:r>
      <w:r w:rsidR="007837DA">
        <w:rPr>
          <w:rFonts w:ascii="Tw Cen MT" w:eastAsia="Twentieth Century" w:hAnsi="Tw Cen MT" w:cs="Twentieth Century"/>
          <w:i/>
          <w:iCs/>
          <w:sz w:val="24"/>
          <w:szCs w:val="24"/>
        </w:rPr>
        <w:t>c</w:t>
      </w:r>
      <w:r w:rsidRPr="007837DA">
        <w:rPr>
          <w:rFonts w:ascii="Tw Cen MT" w:eastAsia="Twentieth Century" w:hAnsi="Tw Cen MT" w:cs="Twentieth Century"/>
          <w:i/>
          <w:iCs/>
          <w:sz w:val="24"/>
          <w:szCs w:val="24"/>
        </w:rPr>
        <w:t>hi-</w:t>
      </w:r>
      <w:r w:rsidR="007837DA">
        <w:rPr>
          <w:rFonts w:ascii="Tw Cen MT" w:eastAsia="Twentieth Century" w:hAnsi="Tw Cen MT" w:cs="Twentieth Century"/>
          <w:i/>
          <w:iCs/>
          <w:sz w:val="24"/>
          <w:szCs w:val="24"/>
        </w:rPr>
        <w:t>s</w:t>
      </w:r>
      <w:r w:rsidRPr="007837DA">
        <w:rPr>
          <w:rFonts w:ascii="Tw Cen MT" w:eastAsia="Twentieth Century" w:hAnsi="Tw Cen MT" w:cs="Twentieth Century"/>
          <w:i/>
          <w:iCs/>
          <w:sz w:val="24"/>
          <w:szCs w:val="24"/>
        </w:rPr>
        <w:t>quare</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w:t>
      </w:r>
      <w:r w:rsidR="007837DA">
        <w:rPr>
          <w:rFonts w:ascii="Tw Cen MT" w:eastAsia="Twentieth Century" w:hAnsi="Tw Cen MT" w:cs="Twentieth Century"/>
          <w:sz w:val="24"/>
          <w:szCs w:val="24"/>
        </w:rPr>
        <w:t>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bermakna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fisik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IMT </w:t>
      </w:r>
      <w:r>
        <w:rPr>
          <w:rFonts w:ascii="Tw Cen MT" w:eastAsia="Twentieth Century" w:hAnsi="Tw Cen MT" w:cs="Twentieth Century"/>
          <w:i/>
          <w:iCs/>
          <w:sz w:val="24"/>
          <w:szCs w:val="24"/>
        </w:rPr>
        <w:t xml:space="preserve">p-value </w:t>
      </w:r>
      <w:r>
        <w:rPr>
          <w:rFonts w:ascii="Tw Cen MT" w:eastAsia="Twentieth Century" w:hAnsi="Tw Cen MT" w:cs="Twentieth Century"/>
          <w:sz w:val="24"/>
          <w:szCs w:val="24"/>
        </w:rPr>
        <w:t xml:space="preserve">&lt;0.05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0,002.</w:t>
      </w:r>
      <w:r w:rsidR="007837DA">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Sejalan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penelitian</w:t>
      </w:r>
      <w:proofErr w:type="spellEnd"/>
      <w:r w:rsidRPr="00912E50">
        <w:rPr>
          <w:rFonts w:ascii="Tw Cen MT" w:eastAsia="Twentieth Century" w:hAnsi="Tw Cen MT" w:cs="Twentieth Century"/>
          <w:sz w:val="24"/>
          <w:szCs w:val="24"/>
        </w:rPr>
        <w:t xml:space="preserve"> yang </w:t>
      </w:r>
      <w:proofErr w:type="spellStart"/>
      <w:r w:rsidRPr="00912E50">
        <w:rPr>
          <w:rFonts w:ascii="Tw Cen MT" w:eastAsia="Twentieth Century" w:hAnsi="Tw Cen MT" w:cs="Twentieth Century"/>
          <w:sz w:val="24"/>
          <w:szCs w:val="24"/>
        </w:rPr>
        <w:t>dilakukan</w:t>
      </w:r>
      <w:proofErr w:type="spellEnd"/>
      <w:r w:rsidRPr="00912E50">
        <w:rPr>
          <w:rFonts w:ascii="Tw Cen MT" w:eastAsia="Twentieth Century" w:hAnsi="Tw Cen MT" w:cs="Twentieth Century"/>
          <w:sz w:val="24"/>
          <w:szCs w:val="24"/>
        </w:rPr>
        <w:t xml:space="preserve"> di SMA Negeri 7 dan SMA Muhammadiyah 1 Surakarta </w:t>
      </w:r>
      <w:proofErr w:type="spellStart"/>
      <w:r w:rsidRPr="00912E50">
        <w:rPr>
          <w:rFonts w:ascii="Tw Cen MT" w:eastAsia="Twentieth Century" w:hAnsi="Tw Cen MT" w:cs="Twentieth Century"/>
          <w:sz w:val="24"/>
          <w:szCs w:val="24"/>
        </w:rPr>
        <w:t>menunjukkan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hasil</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ada</w:t>
      </w:r>
      <w:r w:rsidR="007837DA">
        <w:rPr>
          <w:rFonts w:ascii="Tw Cen MT" w:eastAsia="Twentieth Century" w:hAnsi="Tw Cen MT" w:cs="Twentieth Century"/>
          <w:sz w:val="24"/>
          <w:szCs w:val="24"/>
        </w:rPr>
        <w:t>nya</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hubungan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aktivitas</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fisik</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status </w:t>
      </w:r>
      <w:proofErr w:type="spellStart"/>
      <w:r w:rsidRPr="00912E50">
        <w:rPr>
          <w:rFonts w:ascii="Tw Cen MT" w:eastAsia="Twentieth Century" w:hAnsi="Tw Cen MT" w:cs="Twentieth Century"/>
          <w:sz w:val="24"/>
          <w:szCs w:val="24"/>
        </w:rPr>
        <w:t>gizi</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remaja</w:t>
      </w:r>
      <w:proofErr w:type="spellEnd"/>
      <w:r w:rsidRPr="00912E50">
        <w:rPr>
          <w:rFonts w:ascii="Tw Cen MT" w:eastAsia="Twentieth Century" w:hAnsi="Tw Cen MT" w:cs="Twentieth Century"/>
          <w:sz w:val="24"/>
          <w:szCs w:val="24"/>
        </w:rPr>
        <w:t xml:space="preserve"> SMA </w:t>
      </w:r>
      <w:proofErr w:type="spellStart"/>
      <w:r w:rsidRPr="00912E50">
        <w:rPr>
          <w:rFonts w:ascii="Tw Cen MT" w:eastAsia="Twentieth Century" w:hAnsi="Tw Cen MT" w:cs="Twentieth Century"/>
          <w:sz w:val="24"/>
          <w:szCs w:val="24"/>
        </w:rPr>
        <w:t>kota</w:t>
      </w:r>
      <w:proofErr w:type="spellEnd"/>
      <w:r w:rsidRPr="00912E50">
        <w:rPr>
          <w:rFonts w:ascii="Tw Cen MT" w:eastAsia="Twentieth Century" w:hAnsi="Tw Cen MT" w:cs="Twentieth Century"/>
          <w:sz w:val="24"/>
          <w:szCs w:val="24"/>
        </w:rPr>
        <w:t xml:space="preserve"> Surakarta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w:t>
      </w:r>
      <w:r w:rsidRPr="00F74AC8">
        <w:rPr>
          <w:rFonts w:ascii="Tw Cen MT" w:eastAsia="Twentieth Century" w:hAnsi="Tw Cen MT" w:cs="Twentieth Century"/>
          <w:i/>
          <w:iCs/>
          <w:sz w:val="24"/>
          <w:szCs w:val="24"/>
        </w:rPr>
        <w:t>p-value</w:t>
      </w:r>
      <w:r w:rsidRPr="00912E50">
        <w:rPr>
          <w:rFonts w:ascii="Tw Cen MT" w:eastAsia="Twentieth Century" w:hAnsi="Tw Cen MT" w:cs="Twentieth Century"/>
          <w:sz w:val="24"/>
          <w:szCs w:val="24"/>
        </w:rPr>
        <w:t xml:space="preserve"> 0,0001 [20].</w:t>
      </w:r>
    </w:p>
    <w:p w14:paraId="22779769" w14:textId="77777777" w:rsidR="00047F3A" w:rsidRDefault="00047F3A" w:rsidP="0020194B">
      <w:pPr>
        <w:spacing w:after="0" w:line="240" w:lineRule="auto"/>
        <w:jc w:val="both"/>
        <w:rPr>
          <w:rFonts w:ascii="Tw Cen MT" w:eastAsia="Twentieth Century" w:hAnsi="Tw Cen MT" w:cs="Twentieth Century"/>
          <w:b/>
          <w:sz w:val="24"/>
          <w:szCs w:val="24"/>
        </w:rPr>
      </w:pPr>
    </w:p>
    <w:p w14:paraId="093D6C66" w14:textId="2F3BC169"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7BC2111" w14:textId="3F991E41" w:rsidR="00833FF3" w:rsidRPr="0000128C" w:rsidRDefault="007837DA" w:rsidP="00420D35">
      <w:pPr>
        <w:spacing w:after="0" w:line="240" w:lineRule="auto"/>
        <w:jc w:val="both"/>
        <w:rPr>
          <w:rFonts w:ascii="Tw Cen MT" w:hAnsi="Tw Cen MT"/>
          <w:sz w:val="24"/>
          <w:szCs w:val="24"/>
        </w:rPr>
      </w:pPr>
      <w:proofErr w:type="spellStart"/>
      <w:r w:rsidRPr="00912E50">
        <w:rPr>
          <w:rFonts w:ascii="Tw Cen MT" w:eastAsia="Twentieth Century" w:hAnsi="Tw Cen MT" w:cs="Twentieth Century"/>
          <w:sz w:val="24"/>
          <w:szCs w:val="24"/>
        </w:rPr>
        <w:t>Disimpulkan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berdasarkan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hasil</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penelitian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menunjukkan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ada</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hubungan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signifikan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antara</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pola</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konsumsi</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makanan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jajanan</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w:t>
      </w:r>
      <w:proofErr w:type="spellStart"/>
      <w:r w:rsidR="009D757F">
        <w:rPr>
          <w:rFonts w:ascii="Tw Cen MT" w:eastAsia="Twentieth Century" w:hAnsi="Tw Cen MT" w:cs="Twentieth Century"/>
          <w:sz w:val="24"/>
          <w:szCs w:val="24"/>
        </w:rPr>
        <w:t>I</w:t>
      </w:r>
      <w:r w:rsidRPr="00912E50">
        <w:rPr>
          <w:rFonts w:ascii="Tw Cen MT" w:eastAsia="Twentieth Century" w:hAnsi="Tw Cen MT" w:cs="Twentieth Century"/>
          <w:sz w:val="24"/>
          <w:szCs w:val="24"/>
        </w:rPr>
        <w:t>ndeks</w:t>
      </w:r>
      <w:proofErr w:type="spellEnd"/>
      <w:r w:rsidRPr="00912E50">
        <w:rPr>
          <w:rFonts w:ascii="Tw Cen MT" w:eastAsia="Twentieth Century" w:hAnsi="Tw Cen MT" w:cs="Twentieth Century"/>
          <w:sz w:val="24"/>
          <w:szCs w:val="24"/>
        </w:rPr>
        <w:t xml:space="preserve"> </w:t>
      </w:r>
      <w:r w:rsidR="009D757F">
        <w:rPr>
          <w:rFonts w:ascii="Tw Cen MT" w:eastAsia="Twentieth Century" w:hAnsi="Tw Cen MT" w:cs="Twentieth Century"/>
          <w:sz w:val="24"/>
          <w:szCs w:val="24"/>
        </w:rPr>
        <w:t>M</w:t>
      </w:r>
      <w:r w:rsidRPr="00912E50">
        <w:rPr>
          <w:rFonts w:ascii="Tw Cen MT" w:eastAsia="Twentieth Century" w:hAnsi="Tw Cen MT" w:cs="Twentieth Century"/>
          <w:sz w:val="24"/>
          <w:szCs w:val="24"/>
        </w:rPr>
        <w:t xml:space="preserve">assa </w:t>
      </w:r>
      <w:proofErr w:type="spellStart"/>
      <w:r w:rsidR="009D757F">
        <w:rPr>
          <w:rFonts w:ascii="Tw Cen MT" w:eastAsia="Twentieth Century" w:hAnsi="Tw Cen MT" w:cs="Twentieth Century"/>
          <w:sz w:val="24"/>
          <w:szCs w:val="24"/>
        </w:rPr>
        <w:t>T</w:t>
      </w:r>
      <w:r w:rsidRPr="00912E50">
        <w:rPr>
          <w:rFonts w:ascii="Tw Cen MT" w:eastAsia="Twentieth Century" w:hAnsi="Tw Cen MT" w:cs="Twentieth Century"/>
          <w:sz w:val="24"/>
          <w:szCs w:val="24"/>
        </w:rPr>
        <w:t>ubuh</w:t>
      </w:r>
      <w:proofErr w:type="spellEnd"/>
      <w:r w:rsidRPr="00912E50">
        <w:rPr>
          <w:rFonts w:ascii="Tw Cen MT" w:eastAsia="Twentieth Century" w:hAnsi="Tw Cen MT" w:cs="Twentieth Century"/>
          <w:sz w:val="24"/>
          <w:szCs w:val="24"/>
        </w:rPr>
        <w:t xml:space="preserve"> (IMT) dan </w:t>
      </w:r>
      <w:proofErr w:type="spellStart"/>
      <w:r w:rsidRPr="00912E50">
        <w:rPr>
          <w:rFonts w:ascii="Tw Cen MT" w:eastAsia="Twentieth Century" w:hAnsi="Tw Cen MT" w:cs="Twentieth Century"/>
          <w:sz w:val="24"/>
          <w:szCs w:val="24"/>
        </w:rPr>
        <w:t>aktivitas</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fisik</w:t>
      </w:r>
      <w:proofErr w:type="spellEnd"/>
      <w:r w:rsidRPr="00912E50">
        <w:rPr>
          <w:rFonts w:ascii="Tw Cen MT" w:eastAsia="Twentieth Century" w:hAnsi="Tw Cen MT" w:cs="Twentieth Century"/>
          <w:sz w:val="24"/>
          <w:szCs w:val="24"/>
        </w:rPr>
        <w:t xml:space="preserve"> </w:t>
      </w:r>
      <w:proofErr w:type="spellStart"/>
      <w:r w:rsidRPr="00912E50">
        <w:rPr>
          <w:rFonts w:ascii="Tw Cen MT" w:eastAsia="Twentieth Century" w:hAnsi="Tw Cen MT" w:cs="Twentieth Century"/>
          <w:sz w:val="24"/>
          <w:szCs w:val="24"/>
        </w:rPr>
        <w:t>dengan</w:t>
      </w:r>
      <w:proofErr w:type="spellEnd"/>
      <w:r w:rsidRPr="00912E50">
        <w:rPr>
          <w:rFonts w:ascii="Tw Cen MT" w:eastAsia="Twentieth Century" w:hAnsi="Tw Cen MT" w:cs="Twentieth Century"/>
          <w:sz w:val="24"/>
          <w:szCs w:val="24"/>
        </w:rPr>
        <w:t xml:space="preserve"> </w:t>
      </w:r>
      <w:proofErr w:type="spellStart"/>
      <w:r w:rsidR="009D757F">
        <w:rPr>
          <w:rFonts w:ascii="Tw Cen MT" w:eastAsia="Twentieth Century" w:hAnsi="Tw Cen MT" w:cs="Twentieth Century"/>
          <w:sz w:val="24"/>
          <w:szCs w:val="24"/>
        </w:rPr>
        <w:t>I</w:t>
      </w:r>
      <w:r w:rsidRPr="00912E50">
        <w:rPr>
          <w:rFonts w:ascii="Tw Cen MT" w:eastAsia="Twentieth Century" w:hAnsi="Tw Cen MT" w:cs="Twentieth Century"/>
          <w:sz w:val="24"/>
          <w:szCs w:val="24"/>
        </w:rPr>
        <w:t>ndeks</w:t>
      </w:r>
      <w:proofErr w:type="spellEnd"/>
      <w:r w:rsidRPr="00912E50">
        <w:rPr>
          <w:rFonts w:ascii="Tw Cen MT" w:eastAsia="Twentieth Century" w:hAnsi="Tw Cen MT" w:cs="Twentieth Century"/>
          <w:sz w:val="24"/>
          <w:szCs w:val="24"/>
        </w:rPr>
        <w:t xml:space="preserve"> </w:t>
      </w:r>
      <w:r w:rsidR="009D757F">
        <w:rPr>
          <w:rFonts w:ascii="Tw Cen MT" w:eastAsia="Twentieth Century" w:hAnsi="Tw Cen MT" w:cs="Twentieth Century"/>
          <w:sz w:val="24"/>
          <w:szCs w:val="24"/>
        </w:rPr>
        <w:t>M</w:t>
      </w:r>
      <w:r w:rsidRPr="00912E50">
        <w:rPr>
          <w:rFonts w:ascii="Tw Cen MT" w:eastAsia="Twentieth Century" w:hAnsi="Tw Cen MT" w:cs="Twentieth Century"/>
          <w:sz w:val="24"/>
          <w:szCs w:val="24"/>
        </w:rPr>
        <w:t xml:space="preserve">assa </w:t>
      </w:r>
      <w:proofErr w:type="spellStart"/>
      <w:r w:rsidR="009D757F">
        <w:rPr>
          <w:rFonts w:ascii="Tw Cen MT" w:eastAsia="Twentieth Century" w:hAnsi="Tw Cen MT" w:cs="Twentieth Century"/>
          <w:sz w:val="24"/>
          <w:szCs w:val="24"/>
        </w:rPr>
        <w:t>T</w:t>
      </w:r>
      <w:r w:rsidRPr="00912E50">
        <w:rPr>
          <w:rFonts w:ascii="Tw Cen MT" w:eastAsia="Twentieth Century" w:hAnsi="Tw Cen MT" w:cs="Twentieth Century"/>
          <w:sz w:val="24"/>
          <w:szCs w:val="24"/>
        </w:rPr>
        <w:t>ubuh</w:t>
      </w:r>
      <w:proofErr w:type="spellEnd"/>
      <w:r w:rsidRPr="00912E50">
        <w:rPr>
          <w:rFonts w:ascii="Tw Cen MT" w:eastAsia="Twentieth Century" w:hAnsi="Tw Cen MT" w:cs="Twentieth Century"/>
          <w:sz w:val="24"/>
          <w:szCs w:val="24"/>
        </w:rPr>
        <w:t xml:space="preserve"> (IMT).</w:t>
      </w:r>
    </w:p>
    <w:p w14:paraId="64A6B1C3" w14:textId="77777777" w:rsidR="00290DEB" w:rsidRPr="00AC3AD5" w:rsidRDefault="00290DEB" w:rsidP="009175F5">
      <w:pPr>
        <w:spacing w:after="0" w:line="240" w:lineRule="auto"/>
        <w:jc w:val="both"/>
        <w:rPr>
          <w:rFonts w:ascii="Tw Cen MT" w:eastAsia="Times New Roman" w:hAnsi="Tw Cen MT" w:cs="Times New Roman"/>
          <w:iCs/>
          <w:sz w:val="24"/>
          <w:szCs w:val="24"/>
        </w:rPr>
      </w:pPr>
    </w:p>
    <w:p w14:paraId="50A15B58"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26747C40"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3473DBF9" w14:textId="77777777" w:rsidR="00420D35" w:rsidRPr="002F472F" w:rsidRDefault="00290DEB"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00420D35" w:rsidRPr="002F472F">
        <w:rPr>
          <w:rFonts w:ascii="Tw Cen MT" w:hAnsi="Tw Cen MT" w:cs="Times New Roman"/>
          <w:noProof/>
          <w:sz w:val="24"/>
          <w:szCs w:val="24"/>
        </w:rPr>
        <w:t xml:space="preserve">S. Kocaoz, R. Cirpan, and A. Z. Degirmencioglu, “The prevalence and impacts heavy menstrual bleeding on anemia, fatigue and quality of life in women of reproductive age,” </w:t>
      </w:r>
      <w:r w:rsidR="00420D35" w:rsidRPr="002F472F">
        <w:rPr>
          <w:rFonts w:ascii="Tw Cen MT" w:hAnsi="Tw Cen MT" w:cs="Times New Roman"/>
          <w:i/>
          <w:iCs/>
          <w:noProof/>
          <w:sz w:val="24"/>
          <w:szCs w:val="24"/>
        </w:rPr>
        <w:t>Pakistan J. Med. Sci.</w:t>
      </w:r>
      <w:r w:rsidR="00420D35" w:rsidRPr="002F472F">
        <w:rPr>
          <w:rFonts w:ascii="Tw Cen MT" w:hAnsi="Tw Cen MT" w:cs="Times New Roman"/>
          <w:noProof/>
          <w:sz w:val="24"/>
          <w:szCs w:val="24"/>
        </w:rPr>
        <w:t>, vol. 35, no. 2, Mar. 2019, doi: 10.12669/pjms.35.2.644.</w:t>
      </w:r>
    </w:p>
    <w:p w14:paraId="5BCAAB6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w:t>
      </w:r>
      <w:r w:rsidRPr="002F472F">
        <w:rPr>
          <w:rFonts w:ascii="Tw Cen MT" w:hAnsi="Tw Cen MT" w:cs="Times New Roman"/>
          <w:noProof/>
          <w:sz w:val="24"/>
          <w:szCs w:val="24"/>
        </w:rPr>
        <w:tab/>
        <w:t xml:space="preserve">S. Iacovides, I. Avidon, and F. C. Baker, “What we know about primary dysmenorrhea today: a critical review,” </w:t>
      </w:r>
      <w:r w:rsidRPr="002F472F">
        <w:rPr>
          <w:rFonts w:ascii="Tw Cen MT" w:hAnsi="Tw Cen MT" w:cs="Times New Roman"/>
          <w:i/>
          <w:iCs/>
          <w:noProof/>
          <w:sz w:val="24"/>
          <w:szCs w:val="24"/>
        </w:rPr>
        <w:t>Hum. Reprod. Update</w:t>
      </w:r>
      <w:r w:rsidRPr="002F472F">
        <w:rPr>
          <w:rFonts w:ascii="Tw Cen MT" w:hAnsi="Tw Cen MT" w:cs="Times New Roman"/>
          <w:noProof/>
          <w:sz w:val="24"/>
          <w:szCs w:val="24"/>
        </w:rPr>
        <w:t>, vol. 21, no. 6, pp. 762–778, Nov. 2015, doi: 10.1093/humupd/dmv039.</w:t>
      </w:r>
    </w:p>
    <w:p w14:paraId="091FA236"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[3]</w:t>
      </w:r>
      <w:r w:rsidRPr="002F472F">
        <w:rPr>
          <w:rFonts w:ascii="Tw Cen MT" w:hAnsi="Tw Cen MT" w:cs="Times New Roman"/>
          <w:noProof/>
          <w:sz w:val="24"/>
          <w:szCs w:val="24"/>
        </w:rPr>
        <w:tab/>
        <w:t xml:space="preserve">M. E. Schoep, T. E. Nieboer, M. van der Zanden, D. D. M. Braat, and A. W. Nap, “The impact of menstrual symptoms on everyday life: a survey among 42,879 women,” </w:t>
      </w:r>
      <w:r w:rsidRPr="002F472F">
        <w:rPr>
          <w:rFonts w:ascii="Tw Cen MT" w:hAnsi="Tw Cen MT" w:cs="Times New Roman"/>
          <w:i/>
          <w:iCs/>
          <w:noProof/>
          <w:sz w:val="24"/>
          <w:szCs w:val="24"/>
        </w:rPr>
        <w:t>Am. J. Obstet. Gynecol.</w:t>
      </w:r>
      <w:r w:rsidRPr="002F472F">
        <w:rPr>
          <w:rFonts w:ascii="Tw Cen MT" w:hAnsi="Tw Cen MT" w:cs="Times New Roman"/>
          <w:noProof/>
          <w:sz w:val="24"/>
          <w:szCs w:val="24"/>
        </w:rPr>
        <w:t>, vol. 220, no. 6, pp. 569.e1-569.e7, Jun. 2019, doi: 10.1016/j.ajog.2019.02.048.</w:t>
      </w:r>
    </w:p>
    <w:p w14:paraId="1D9E9FC7"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lastRenderedPageBreak/>
        <w:t>[4]</w:t>
      </w:r>
      <w:r w:rsidRPr="002F472F">
        <w:rPr>
          <w:rFonts w:ascii="Tw Cen MT" w:hAnsi="Tw Cen MT" w:cs="Times New Roman"/>
          <w:noProof/>
          <w:sz w:val="24"/>
          <w:szCs w:val="24"/>
        </w:rPr>
        <w:tab/>
        <w:t xml:space="preserve">N. Karout, S. M. Hawai, and S. Altuwaijri, “Prevalence and pattern of menstrual disorders among Lebanese nursing students,” </w:t>
      </w:r>
      <w:r w:rsidRPr="002F472F">
        <w:rPr>
          <w:rFonts w:ascii="Tw Cen MT" w:hAnsi="Tw Cen MT" w:cs="Times New Roman"/>
          <w:i/>
          <w:iCs/>
          <w:noProof/>
          <w:sz w:val="24"/>
          <w:szCs w:val="24"/>
        </w:rPr>
        <w:t>East. Mediterr. Heal. J.</w:t>
      </w:r>
      <w:r w:rsidRPr="002F472F">
        <w:rPr>
          <w:rFonts w:ascii="Tw Cen MT" w:hAnsi="Tw Cen MT" w:cs="Times New Roman"/>
          <w:noProof/>
          <w:sz w:val="24"/>
          <w:szCs w:val="24"/>
        </w:rPr>
        <w:t>, vol. 18, no. 4, pp. 346–352, 2012, doi: 10.26719/2012.18.4.346.</w:t>
      </w:r>
    </w:p>
    <w:p w14:paraId="69644492"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[5]</w:t>
      </w:r>
      <w:r w:rsidRPr="002F472F">
        <w:rPr>
          <w:rFonts w:ascii="Tw Cen MT" w:hAnsi="Tw Cen MT" w:cs="Times New Roman"/>
          <w:noProof/>
          <w:sz w:val="24"/>
          <w:szCs w:val="24"/>
        </w:rPr>
        <w:tab/>
        <w:t xml:space="preserve">Kemenkes RI, “Laporan Riskesdas 2018 Nasional.pdf,” </w:t>
      </w:r>
      <w:r w:rsidRPr="002F472F">
        <w:rPr>
          <w:rFonts w:ascii="Tw Cen MT" w:hAnsi="Tw Cen MT" w:cs="Times New Roman"/>
          <w:i/>
          <w:iCs/>
          <w:noProof/>
          <w:sz w:val="24"/>
          <w:szCs w:val="24"/>
        </w:rPr>
        <w:t>Lembaga Penerbit Balitbangkes</w:t>
      </w:r>
      <w:r w:rsidRPr="002F472F">
        <w:rPr>
          <w:rFonts w:ascii="Tw Cen MT" w:hAnsi="Tw Cen MT" w:cs="Times New Roman"/>
          <w:noProof/>
          <w:sz w:val="24"/>
          <w:szCs w:val="24"/>
        </w:rPr>
        <w:t>. 2018.</w:t>
      </w:r>
    </w:p>
    <w:p w14:paraId="46A7867B" w14:textId="42C590CD"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[6]</w:t>
      </w:r>
      <w:r w:rsidRPr="002F472F">
        <w:rPr>
          <w:rFonts w:ascii="Tw Cen MT" w:hAnsi="Tw Cen MT" w:cs="Times New Roman"/>
          <w:noProof/>
          <w:sz w:val="24"/>
          <w:szCs w:val="24"/>
        </w:rPr>
        <w:tab/>
        <w:t xml:space="preserve">S. L. and H. A. Maida Zafar, Saleha Sadeeqa., “Pattern </w:t>
      </w:r>
      <w:r>
        <w:rPr>
          <w:rFonts w:ascii="Tw Cen MT" w:hAnsi="Tw Cen MT" w:cs="Times New Roman"/>
          <w:noProof/>
          <w:sz w:val="24"/>
          <w:szCs w:val="24"/>
        </w:rPr>
        <w:t>a</w:t>
      </w:r>
      <w:r w:rsidRPr="002F472F">
        <w:rPr>
          <w:rFonts w:ascii="Tw Cen MT" w:hAnsi="Tw Cen MT" w:cs="Times New Roman"/>
          <w:noProof/>
          <w:sz w:val="24"/>
          <w:szCs w:val="24"/>
        </w:rPr>
        <w:t xml:space="preserve">nd Prevalance </w:t>
      </w:r>
      <w:r>
        <w:rPr>
          <w:rFonts w:ascii="Tw Cen MT" w:hAnsi="Tw Cen MT" w:cs="Times New Roman"/>
          <w:noProof/>
          <w:sz w:val="24"/>
          <w:szCs w:val="24"/>
        </w:rPr>
        <w:t>o</w:t>
      </w:r>
      <w:r w:rsidRPr="002F472F">
        <w:rPr>
          <w:rFonts w:ascii="Tw Cen MT" w:hAnsi="Tw Cen MT" w:cs="Times New Roman"/>
          <w:noProof/>
          <w:sz w:val="24"/>
          <w:szCs w:val="24"/>
        </w:rPr>
        <w:t xml:space="preserve">f Menstrual Disoreders In Adolescents” </w:t>
      </w:r>
      <w:r w:rsidRPr="002F472F">
        <w:rPr>
          <w:rFonts w:ascii="Tw Cen MT" w:hAnsi="Tw Cen MT" w:cs="Times New Roman"/>
          <w:i/>
          <w:iCs/>
          <w:noProof/>
          <w:sz w:val="24"/>
          <w:szCs w:val="24"/>
        </w:rPr>
        <w:t>Int. J. Pharm. Sci. Res.</w:t>
      </w:r>
      <w:r w:rsidRPr="002F472F">
        <w:rPr>
          <w:rFonts w:ascii="Tw Cen MT" w:hAnsi="Tw Cen MT" w:cs="Times New Roman"/>
          <w:noProof/>
          <w:sz w:val="24"/>
          <w:szCs w:val="24"/>
        </w:rPr>
        <w:t>, vol. 9, no. 5, pp. 2088–2099, 2018, doi: 10.13040/IJPSR.0975</w:t>
      </w:r>
      <w:r>
        <w:rPr>
          <w:rFonts w:ascii="Tw Cen MT" w:hAnsi="Tw Cen MT" w:cs="Times New Roman"/>
          <w:noProof/>
          <w:sz w:val="24"/>
          <w:szCs w:val="24"/>
        </w:rPr>
        <w:t>-</w:t>
      </w:r>
      <w:r w:rsidRPr="002F472F">
        <w:rPr>
          <w:rFonts w:ascii="Tw Cen MT" w:hAnsi="Tw Cen MT" w:cs="Times New Roman"/>
          <w:noProof/>
          <w:sz w:val="24"/>
          <w:szCs w:val="24"/>
        </w:rPr>
        <w:t>8232.9(5).2088-99.</w:t>
      </w:r>
    </w:p>
    <w:p w14:paraId="23DEF6AD"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[7]</w:t>
      </w:r>
      <w:r w:rsidRPr="002F472F">
        <w:rPr>
          <w:rFonts w:ascii="Tw Cen MT" w:hAnsi="Tw Cen MT" w:cs="Times New Roman"/>
          <w:noProof/>
          <w:sz w:val="24"/>
          <w:szCs w:val="24"/>
        </w:rPr>
        <w:tab/>
        <w:t xml:space="preserve">M. Y. Priantika and F. Syahrul, “Analisis Hubungan Stres, Aktivitas Fisik, dan Kelelahan Dengan Gangguan Siklus Menstruasi,” </w:t>
      </w:r>
      <w:r w:rsidRPr="002F472F">
        <w:rPr>
          <w:rFonts w:ascii="Tw Cen MT" w:hAnsi="Tw Cen MT" w:cs="Times New Roman"/>
          <w:i/>
          <w:iCs/>
          <w:noProof/>
          <w:sz w:val="24"/>
          <w:szCs w:val="24"/>
        </w:rPr>
        <w:t>Psycho Aksara  J. Psikol.</w:t>
      </w:r>
      <w:r w:rsidRPr="002F472F">
        <w:rPr>
          <w:rFonts w:ascii="Tw Cen MT" w:hAnsi="Tw Cen MT" w:cs="Times New Roman"/>
          <w:noProof/>
          <w:sz w:val="24"/>
          <w:szCs w:val="24"/>
        </w:rPr>
        <w:t>, vol. 1, no. 2, pp. 139–146, 2023, doi: 10.28926/pyschoaksara.v1i2.874.</w:t>
      </w:r>
    </w:p>
    <w:p w14:paraId="3BAA0418"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[8]</w:t>
      </w:r>
      <w:r w:rsidRPr="002F472F">
        <w:rPr>
          <w:rFonts w:ascii="Tw Cen MT" w:hAnsi="Tw Cen MT" w:cs="Times New Roman"/>
          <w:noProof/>
          <w:sz w:val="24"/>
          <w:szCs w:val="24"/>
        </w:rPr>
        <w:tab/>
        <w:t xml:space="preserve">E. Ansong, S. K. Arhin, Y. Cai, X. Xu, and X. Wu, “Menstrual characteristics, disorders and associated risk factors among female international students in Zhejiang Province, China: a cross-sectional survey,” </w:t>
      </w:r>
      <w:r w:rsidRPr="002F472F">
        <w:rPr>
          <w:rFonts w:ascii="Tw Cen MT" w:hAnsi="Tw Cen MT" w:cs="Times New Roman"/>
          <w:i/>
          <w:iCs/>
          <w:noProof/>
          <w:sz w:val="24"/>
          <w:szCs w:val="24"/>
        </w:rPr>
        <w:t>BMC Womens. Health</w:t>
      </w:r>
      <w:r w:rsidRPr="002F472F">
        <w:rPr>
          <w:rFonts w:ascii="Tw Cen MT" w:hAnsi="Tw Cen MT" w:cs="Times New Roman"/>
          <w:noProof/>
          <w:sz w:val="24"/>
          <w:szCs w:val="24"/>
        </w:rPr>
        <w:t>, vol. 19, no. 1, p. 35, Dec. 2019, doi: 10.1186/s12905-019-0730-5.</w:t>
      </w:r>
    </w:p>
    <w:p w14:paraId="046BDDD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[9]</w:t>
      </w:r>
      <w:r w:rsidRPr="002F472F">
        <w:rPr>
          <w:rFonts w:ascii="Tw Cen MT" w:hAnsi="Tw Cen MT" w:cs="Times New Roman"/>
          <w:noProof/>
          <w:sz w:val="24"/>
          <w:szCs w:val="24"/>
        </w:rPr>
        <w:tab/>
        <w:t xml:space="preserve">M. Singh, O. Rajoura, and R. Honnakamble, “Menstrual patterns and problems in association with body mass index among adolescent school girls,” </w:t>
      </w:r>
      <w:r w:rsidRPr="002F472F">
        <w:rPr>
          <w:rFonts w:ascii="Tw Cen MT" w:hAnsi="Tw Cen MT" w:cs="Times New Roman"/>
          <w:i/>
          <w:iCs/>
          <w:noProof/>
          <w:sz w:val="24"/>
          <w:szCs w:val="24"/>
        </w:rPr>
        <w:t>J. Fam. Med. Prim. Care</w:t>
      </w:r>
      <w:r w:rsidRPr="002F472F">
        <w:rPr>
          <w:rFonts w:ascii="Tw Cen MT" w:hAnsi="Tw Cen MT" w:cs="Times New Roman"/>
          <w:noProof/>
          <w:sz w:val="24"/>
          <w:szCs w:val="24"/>
        </w:rPr>
        <w:t>, vol. 8, no. 9, p. 2855, 2019, doi: 10.4103/jfmpc.jfmpc_474_19.</w:t>
      </w:r>
    </w:p>
    <w:p w14:paraId="392B5CA0"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[10]</w:t>
      </w:r>
      <w:r w:rsidRPr="002F472F">
        <w:rPr>
          <w:rFonts w:ascii="Tw Cen MT" w:hAnsi="Tw Cen MT" w:cs="Times New Roman"/>
          <w:noProof/>
          <w:sz w:val="24"/>
          <w:szCs w:val="24"/>
        </w:rPr>
        <w:tab/>
        <w:t xml:space="preserve">J. Kaur Randhawa, “Effect of Dietary Habits and Socio-economic Status on Menstrual Disorders among Young Females,” </w:t>
      </w:r>
      <w:r w:rsidRPr="002F472F">
        <w:rPr>
          <w:rFonts w:ascii="Tw Cen MT" w:hAnsi="Tw Cen MT" w:cs="Times New Roman"/>
          <w:i/>
          <w:iCs/>
          <w:noProof/>
          <w:sz w:val="24"/>
          <w:szCs w:val="24"/>
        </w:rPr>
        <w:t>Am. J. Biosci.</w:t>
      </w:r>
      <w:r w:rsidRPr="002F472F">
        <w:rPr>
          <w:rFonts w:ascii="Tw Cen MT" w:hAnsi="Tw Cen MT" w:cs="Times New Roman"/>
          <w:noProof/>
          <w:sz w:val="24"/>
          <w:szCs w:val="24"/>
        </w:rPr>
        <w:t>, vol. 4, no. 3, p. 19, 2016, doi: 10.11648/j.ajbio.s.2016040301.14.</w:t>
      </w:r>
    </w:p>
    <w:p w14:paraId="4F8D2AD5"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[11]</w:t>
      </w:r>
      <w:r w:rsidRPr="002F472F">
        <w:rPr>
          <w:rFonts w:ascii="Tw Cen MT" w:hAnsi="Tw Cen MT" w:cs="Times New Roman"/>
          <w:noProof/>
          <w:sz w:val="24"/>
          <w:szCs w:val="24"/>
        </w:rPr>
        <w:tab/>
        <w:t xml:space="preserve">Widyastuti D.A &amp; Sodi M. A, “Pengaruh Kebiasaan Konsumsi Junk food Terhadap Kejadian Obesitas Remaja,” </w:t>
      </w:r>
      <w:r w:rsidRPr="002F472F">
        <w:rPr>
          <w:rFonts w:ascii="Tw Cen MT" w:hAnsi="Tw Cen MT" w:cs="Times New Roman"/>
          <w:i/>
          <w:iCs/>
          <w:noProof/>
          <w:sz w:val="24"/>
          <w:szCs w:val="24"/>
        </w:rPr>
        <w:t>J. Agroteknologi</w:t>
      </w:r>
      <w:r w:rsidRPr="002F472F">
        <w:rPr>
          <w:rFonts w:ascii="Tw Cen MT" w:hAnsi="Tw Cen MT" w:cs="Times New Roman"/>
          <w:noProof/>
          <w:sz w:val="24"/>
          <w:szCs w:val="24"/>
        </w:rPr>
        <w:t>, 2019.</w:t>
      </w:r>
    </w:p>
    <w:p w14:paraId="75B11CD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[12]</w:t>
      </w:r>
      <w:r w:rsidRPr="002F472F">
        <w:rPr>
          <w:rFonts w:ascii="Tw Cen MT" w:hAnsi="Tw Cen MT" w:cs="Times New Roman"/>
          <w:noProof/>
          <w:sz w:val="24"/>
          <w:szCs w:val="24"/>
        </w:rPr>
        <w:tab/>
        <w:t xml:space="preserve">M. O. Lwin, S. Malik, H. Ridwan, and C. S. S. Au, “Media exposure and parental mediation on fast-food consumption among children in metropolitan and suburban Indonesia.,” </w:t>
      </w:r>
      <w:r w:rsidRPr="002F472F">
        <w:rPr>
          <w:rFonts w:ascii="Tw Cen MT" w:hAnsi="Tw Cen MT" w:cs="Times New Roman"/>
          <w:i/>
          <w:iCs/>
          <w:noProof/>
          <w:sz w:val="24"/>
          <w:szCs w:val="24"/>
        </w:rPr>
        <w:t>Asia Pac. J. Clin. Nutr.</w:t>
      </w:r>
      <w:r w:rsidRPr="002F472F">
        <w:rPr>
          <w:rFonts w:ascii="Tw Cen MT" w:hAnsi="Tw Cen MT" w:cs="Times New Roman"/>
          <w:noProof/>
          <w:sz w:val="24"/>
          <w:szCs w:val="24"/>
        </w:rPr>
        <w:t>, vol. 26, no. 5, pp. 899–905, 2017, doi: 10.6133/apjcn.122016.04.</w:t>
      </w:r>
    </w:p>
    <w:p w14:paraId="26AD7BA4"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[13]</w:t>
      </w:r>
      <w:r w:rsidRPr="002F472F">
        <w:rPr>
          <w:rFonts w:ascii="Tw Cen MT" w:hAnsi="Tw Cen MT" w:cs="Times New Roman"/>
          <w:noProof/>
          <w:sz w:val="24"/>
          <w:szCs w:val="24"/>
        </w:rPr>
        <w:tab/>
        <w:t xml:space="preserve">A. Primalova and M. Stefani, “The Relationship between Nutritional Status, Junk food Consumption, and Exercise Habits of Adolescent Girls in Jakarta with the Incidence of Primary Dysmenorrhea,” </w:t>
      </w:r>
      <w:r w:rsidRPr="002F472F">
        <w:rPr>
          <w:rFonts w:ascii="Tw Cen MT" w:hAnsi="Tw Cen MT" w:cs="Times New Roman"/>
          <w:i/>
          <w:iCs/>
          <w:noProof/>
          <w:sz w:val="24"/>
          <w:szCs w:val="24"/>
        </w:rPr>
        <w:t>Amerta Nutr.</w:t>
      </w:r>
      <w:r w:rsidRPr="002F472F">
        <w:rPr>
          <w:rFonts w:ascii="Tw Cen MT" w:hAnsi="Tw Cen MT" w:cs="Times New Roman"/>
          <w:noProof/>
          <w:sz w:val="24"/>
          <w:szCs w:val="24"/>
        </w:rPr>
        <w:t>, vol. 8, no. 1, pp. 104–115, 2024, doi: 10.20473/amnt.v8i1.2024.104-115.</w:t>
      </w:r>
    </w:p>
    <w:p w14:paraId="686D1A51"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[14]</w:t>
      </w:r>
      <w:r w:rsidRPr="002F472F">
        <w:rPr>
          <w:rFonts w:ascii="Tw Cen MT" w:hAnsi="Tw Cen MT" w:cs="Times New Roman"/>
          <w:noProof/>
          <w:sz w:val="24"/>
          <w:szCs w:val="24"/>
        </w:rPr>
        <w:tab/>
        <w:t xml:space="preserve">P. Pramanik and A. Dhar, “Impact of Fast Foods on Menstrual Health of School Going Adolescent Girls in West Bengal, Eastern India,” </w:t>
      </w:r>
      <w:r w:rsidRPr="002F472F">
        <w:rPr>
          <w:rFonts w:ascii="Tw Cen MT" w:hAnsi="Tw Cen MT" w:cs="Times New Roman"/>
          <w:i/>
          <w:iCs/>
          <w:noProof/>
          <w:sz w:val="24"/>
          <w:szCs w:val="24"/>
        </w:rPr>
        <w:t>Glob. J. Biol. Agric. Heal. Sci.</w:t>
      </w:r>
      <w:r w:rsidRPr="002F472F">
        <w:rPr>
          <w:rFonts w:ascii="Tw Cen MT" w:hAnsi="Tw Cen MT" w:cs="Times New Roman"/>
          <w:noProof/>
          <w:sz w:val="24"/>
          <w:szCs w:val="24"/>
        </w:rPr>
        <w:t>, vol. 3, no. 1, pp. 61–66, 2014.</w:t>
      </w:r>
    </w:p>
    <w:p w14:paraId="3C978A2A"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[15]</w:t>
      </w:r>
      <w:r w:rsidRPr="002F472F">
        <w:rPr>
          <w:rFonts w:ascii="Tw Cen MT" w:hAnsi="Tw Cen MT" w:cs="Times New Roman"/>
          <w:noProof/>
          <w:sz w:val="24"/>
          <w:szCs w:val="24"/>
        </w:rPr>
        <w:tab/>
        <w:t xml:space="preserve">Y. Wahyuni and R. Dewi, “Gangguan siklus menstruasi kaitannya dengan asupan zat gizi pada remaja vegetarian,” </w:t>
      </w:r>
      <w:r w:rsidRPr="002F472F">
        <w:rPr>
          <w:rFonts w:ascii="Tw Cen MT" w:hAnsi="Tw Cen MT" w:cs="Times New Roman"/>
          <w:i/>
          <w:iCs/>
          <w:noProof/>
          <w:sz w:val="24"/>
          <w:szCs w:val="24"/>
        </w:rPr>
        <w:t>J. Gizi Indones. (The Indones. J. Nutr.</w:t>
      </w:r>
      <w:r w:rsidRPr="002F472F">
        <w:rPr>
          <w:rFonts w:ascii="Tw Cen MT" w:hAnsi="Tw Cen MT" w:cs="Times New Roman"/>
          <w:noProof/>
          <w:sz w:val="24"/>
          <w:szCs w:val="24"/>
        </w:rPr>
        <w:t>, vol. 6, no. 2, pp. 76–81, Aug. 2018, doi: 10.14710/jgi.6.2.76-81.</w:t>
      </w:r>
    </w:p>
    <w:p w14:paraId="1C9C46F3"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[16]</w:t>
      </w:r>
      <w:r w:rsidRPr="002F472F">
        <w:rPr>
          <w:rFonts w:ascii="Tw Cen MT" w:hAnsi="Tw Cen MT" w:cs="Times New Roman"/>
          <w:noProof/>
          <w:sz w:val="24"/>
          <w:szCs w:val="24"/>
        </w:rPr>
        <w:tab/>
        <w:t xml:space="preserve">M. Saei Ghare Naz, M. Farahmand, S. Dashti, and F. Ramezani Tehrani, “Factors Affecting Menstrual Cycle Developmental Trajectory in Adolescents: A Narrative Review,” </w:t>
      </w:r>
      <w:r w:rsidRPr="002F472F">
        <w:rPr>
          <w:rFonts w:ascii="Tw Cen MT" w:hAnsi="Tw Cen MT" w:cs="Times New Roman"/>
          <w:i/>
          <w:iCs/>
          <w:noProof/>
          <w:sz w:val="24"/>
          <w:szCs w:val="24"/>
        </w:rPr>
        <w:t>Int. J. Endocrinol. Metab.</w:t>
      </w:r>
      <w:r w:rsidRPr="002F472F">
        <w:rPr>
          <w:rFonts w:ascii="Tw Cen MT" w:hAnsi="Tw Cen MT" w:cs="Times New Roman"/>
          <w:noProof/>
          <w:sz w:val="24"/>
          <w:szCs w:val="24"/>
        </w:rPr>
        <w:t>, vol. 20, no. 1, Mar. 2022, doi: 10.5812/ijem.120438.</w:t>
      </w:r>
    </w:p>
    <w:p w14:paraId="325A9C04"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[17]</w:t>
      </w:r>
      <w:r w:rsidRPr="002F472F">
        <w:rPr>
          <w:rFonts w:ascii="Tw Cen MT" w:hAnsi="Tw Cen MT" w:cs="Times New Roman"/>
          <w:noProof/>
          <w:sz w:val="24"/>
          <w:szCs w:val="24"/>
        </w:rPr>
        <w:tab/>
        <w:t xml:space="preserve">S. Hassani </w:t>
      </w:r>
      <w:r w:rsidRPr="002F472F">
        <w:rPr>
          <w:rFonts w:ascii="Tw Cen MT" w:hAnsi="Tw Cen MT" w:cs="Times New Roman"/>
          <w:i/>
          <w:iCs/>
          <w:noProof/>
          <w:sz w:val="24"/>
          <w:szCs w:val="24"/>
        </w:rPr>
        <w:t>et al.</w:t>
      </w:r>
      <w:r w:rsidRPr="002F472F">
        <w:rPr>
          <w:rFonts w:ascii="Tw Cen MT" w:hAnsi="Tw Cen MT" w:cs="Times New Roman"/>
          <w:noProof/>
          <w:sz w:val="24"/>
          <w:szCs w:val="24"/>
        </w:rPr>
        <w:t xml:space="preserve">, “Menstrual disturbances and hormonal changes in women workers exposed to a mixture of organic solvents in a pharmaceutical company.,” </w:t>
      </w:r>
      <w:r w:rsidRPr="002F472F">
        <w:rPr>
          <w:rFonts w:ascii="Tw Cen MT" w:hAnsi="Tw Cen MT" w:cs="Times New Roman"/>
          <w:i/>
          <w:iCs/>
          <w:noProof/>
          <w:sz w:val="24"/>
          <w:szCs w:val="24"/>
        </w:rPr>
        <w:t>Med. J. Islam. Repub. Iran</w:t>
      </w:r>
      <w:r w:rsidRPr="002F472F">
        <w:rPr>
          <w:rFonts w:ascii="Tw Cen MT" w:hAnsi="Tw Cen MT" w:cs="Times New Roman"/>
          <w:noProof/>
          <w:sz w:val="24"/>
          <w:szCs w:val="24"/>
        </w:rPr>
        <w:t>, vol. 28, p. 156, 2014, [Online]. Available: http://www.ncbi.nlm.nih.gov/pubmed/25695014.</w:t>
      </w:r>
    </w:p>
    <w:p w14:paraId="592000B8"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[18]</w:t>
      </w:r>
      <w:r w:rsidRPr="002F472F">
        <w:rPr>
          <w:rFonts w:ascii="Tw Cen MT" w:hAnsi="Tw Cen MT" w:cs="Times New Roman"/>
          <w:noProof/>
          <w:sz w:val="24"/>
          <w:szCs w:val="24"/>
        </w:rPr>
        <w:tab/>
        <w:t xml:space="preserve">C. Bellieni, “The Best Age for Pregnancy and Undue Pressures.,” </w:t>
      </w:r>
      <w:r w:rsidRPr="002F472F">
        <w:rPr>
          <w:rFonts w:ascii="Tw Cen MT" w:hAnsi="Tw Cen MT" w:cs="Times New Roman"/>
          <w:i/>
          <w:iCs/>
          <w:noProof/>
          <w:sz w:val="24"/>
          <w:szCs w:val="24"/>
        </w:rPr>
        <w:t>J. Fam. Reprod. Heal.</w:t>
      </w:r>
      <w:r w:rsidRPr="002F472F">
        <w:rPr>
          <w:rFonts w:ascii="Tw Cen MT" w:hAnsi="Tw Cen MT" w:cs="Times New Roman"/>
          <w:noProof/>
          <w:sz w:val="24"/>
          <w:szCs w:val="24"/>
        </w:rPr>
        <w:t xml:space="preserve">, vol. 10, no. 3, pp. 104–107, </w:t>
      </w:r>
      <w:r w:rsidRPr="002F472F">
        <w:rPr>
          <w:rFonts w:ascii="Tw Cen MT" w:hAnsi="Tw Cen MT" w:cs="Times New Roman"/>
          <w:noProof/>
          <w:sz w:val="24"/>
          <w:szCs w:val="24"/>
        </w:rPr>
        <w:lastRenderedPageBreak/>
        <w:t>2016, [Online]. Available: http://www.ncbi.nlm.nih.gov/pubmed/28101110%0Ahttp://www.pubmedcentral.nih.gov/articlerender.fcgi?artid=PMC5241353.</w:t>
      </w:r>
    </w:p>
    <w:p w14:paraId="3BC886A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[19]</w:t>
      </w:r>
      <w:r w:rsidRPr="002F472F">
        <w:rPr>
          <w:rFonts w:ascii="Tw Cen MT" w:hAnsi="Tw Cen MT" w:cs="Times New Roman"/>
          <w:noProof/>
          <w:sz w:val="24"/>
          <w:szCs w:val="24"/>
        </w:rPr>
        <w:tab/>
        <w:t xml:space="preserve">A. E. Lacroix, H. Gondal, K. R. Shumway, and M. D. Langaker, </w:t>
      </w:r>
      <w:r w:rsidRPr="002F472F">
        <w:rPr>
          <w:rFonts w:ascii="Tw Cen MT" w:hAnsi="Tw Cen MT" w:cs="Times New Roman"/>
          <w:i/>
          <w:iCs/>
          <w:noProof/>
          <w:sz w:val="24"/>
          <w:szCs w:val="24"/>
        </w:rPr>
        <w:t>Physiology, Menarche</w:t>
      </w:r>
      <w:r w:rsidRPr="002F472F">
        <w:rPr>
          <w:rFonts w:ascii="Tw Cen MT" w:hAnsi="Tw Cen MT" w:cs="Times New Roman"/>
          <w:noProof/>
          <w:sz w:val="24"/>
          <w:szCs w:val="24"/>
        </w:rPr>
        <w:t>. 2024.</w:t>
      </w:r>
    </w:p>
    <w:p w14:paraId="16E3BA5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[20]</w:t>
      </w:r>
      <w:r w:rsidRPr="002F472F">
        <w:rPr>
          <w:rFonts w:ascii="Tw Cen MT" w:hAnsi="Tw Cen MT" w:cs="Times New Roman"/>
          <w:noProof/>
          <w:sz w:val="24"/>
          <w:szCs w:val="24"/>
        </w:rPr>
        <w:tab/>
        <w:t xml:space="preserve">R. Taheri, F. Mesbah Ardekani, H. Raeisi Shahraki, N. Heidarzadeh-Esfahani, and S. Hajiahmadi, “Nutritional Status and Anthropometric Indices in relation to Menstrual Disorders: A Cross-Sectional Study,” </w:t>
      </w:r>
      <w:r w:rsidRPr="002F472F">
        <w:rPr>
          <w:rFonts w:ascii="Tw Cen MT" w:hAnsi="Tw Cen MT" w:cs="Times New Roman"/>
          <w:i/>
          <w:iCs/>
          <w:noProof/>
          <w:sz w:val="24"/>
          <w:szCs w:val="24"/>
        </w:rPr>
        <w:t>J. Nutr. Metab.</w:t>
      </w:r>
      <w:r w:rsidRPr="002F472F">
        <w:rPr>
          <w:rFonts w:ascii="Tw Cen MT" w:hAnsi="Tw Cen MT" w:cs="Times New Roman"/>
          <w:noProof/>
          <w:sz w:val="24"/>
          <w:szCs w:val="24"/>
        </w:rPr>
        <w:t>, vol. 2020, pp. 1–7, Nov. 2020, doi: 10.1155/2020/5980685.</w:t>
      </w:r>
    </w:p>
    <w:p w14:paraId="39719D56"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[21]</w:t>
      </w:r>
      <w:r w:rsidRPr="002F472F">
        <w:rPr>
          <w:rFonts w:ascii="Tw Cen MT" w:hAnsi="Tw Cen MT" w:cs="Times New Roman"/>
          <w:noProof/>
          <w:sz w:val="24"/>
          <w:szCs w:val="24"/>
        </w:rPr>
        <w:tab/>
        <w:t xml:space="preserve">N. Mandoura </w:t>
      </w:r>
      <w:r w:rsidRPr="002F472F">
        <w:rPr>
          <w:rFonts w:ascii="Tw Cen MT" w:hAnsi="Tw Cen MT" w:cs="Times New Roman"/>
          <w:i/>
          <w:iCs/>
          <w:noProof/>
          <w:sz w:val="24"/>
          <w:szCs w:val="24"/>
        </w:rPr>
        <w:t>et al.</w:t>
      </w:r>
      <w:r w:rsidRPr="002F472F">
        <w:rPr>
          <w:rFonts w:ascii="Tw Cen MT" w:hAnsi="Tw Cen MT" w:cs="Times New Roman"/>
          <w:noProof/>
          <w:sz w:val="24"/>
          <w:szCs w:val="24"/>
        </w:rPr>
        <w:t xml:space="preserve">, “Factors Associated with Consuming Junk food among Saudi Adults in Jeddah City,” </w:t>
      </w:r>
      <w:r w:rsidRPr="002F472F">
        <w:rPr>
          <w:rFonts w:ascii="Tw Cen MT" w:hAnsi="Tw Cen MT" w:cs="Times New Roman"/>
          <w:i/>
          <w:iCs/>
          <w:noProof/>
          <w:sz w:val="24"/>
          <w:szCs w:val="24"/>
        </w:rPr>
        <w:t>Cureus</w:t>
      </w:r>
      <w:r w:rsidRPr="002F472F">
        <w:rPr>
          <w:rFonts w:ascii="Tw Cen MT" w:hAnsi="Tw Cen MT" w:cs="Times New Roman"/>
          <w:noProof/>
          <w:sz w:val="24"/>
          <w:szCs w:val="24"/>
        </w:rPr>
        <w:t>, Dec. 2017, doi: 10.7759/cureus.2008.</w:t>
      </w:r>
    </w:p>
    <w:p w14:paraId="56ADC961"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[22]</w:t>
      </w:r>
      <w:r w:rsidRPr="002F472F">
        <w:rPr>
          <w:rFonts w:ascii="Tw Cen MT" w:hAnsi="Tw Cen MT" w:cs="Times New Roman"/>
          <w:noProof/>
          <w:sz w:val="24"/>
          <w:szCs w:val="24"/>
        </w:rPr>
        <w:tab/>
        <w:t xml:space="preserve">Bestari Yuniah, Yudi Feriandi, and Fajar Awalia Yulianto, “Proporsi Konsumsi Junk food dan Status Gizi Berlebih di Mahasiswa Kedokteran,” </w:t>
      </w:r>
      <w:r w:rsidRPr="002F472F">
        <w:rPr>
          <w:rFonts w:ascii="Tw Cen MT" w:hAnsi="Tw Cen MT" w:cs="Times New Roman"/>
          <w:i/>
          <w:iCs/>
          <w:noProof/>
          <w:sz w:val="24"/>
          <w:szCs w:val="24"/>
        </w:rPr>
        <w:t>J. Ris. Kedokt.</w:t>
      </w:r>
      <w:r w:rsidRPr="002F472F">
        <w:rPr>
          <w:rFonts w:ascii="Tw Cen MT" w:hAnsi="Tw Cen MT" w:cs="Times New Roman"/>
          <w:noProof/>
          <w:sz w:val="24"/>
          <w:szCs w:val="24"/>
        </w:rPr>
        <w:t>, pp. 69–74, Dec. 2023, doi: 10.29313/jrk.v3i2.2878.</w:t>
      </w:r>
    </w:p>
    <w:p w14:paraId="64135F9C"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[23]</w:t>
      </w:r>
      <w:r w:rsidRPr="002F472F">
        <w:rPr>
          <w:rFonts w:ascii="Tw Cen MT" w:hAnsi="Tw Cen MT" w:cs="Times New Roman"/>
          <w:noProof/>
          <w:sz w:val="24"/>
          <w:szCs w:val="24"/>
        </w:rPr>
        <w:tab/>
        <w:t xml:space="preserve">A. Singh S, D. Dhanasekaran, N. Ganamurali, P. L, and S. Sabarathinam, “Junk food-induced obesity- a growing threat to youngsters during the pandemic,” </w:t>
      </w:r>
      <w:r w:rsidRPr="002F472F">
        <w:rPr>
          <w:rFonts w:ascii="Tw Cen MT" w:hAnsi="Tw Cen MT" w:cs="Times New Roman"/>
          <w:i/>
          <w:iCs/>
          <w:noProof/>
          <w:sz w:val="24"/>
          <w:szCs w:val="24"/>
        </w:rPr>
        <w:t>Obes. Med.</w:t>
      </w:r>
      <w:r w:rsidRPr="002F472F">
        <w:rPr>
          <w:rFonts w:ascii="Tw Cen MT" w:hAnsi="Tw Cen MT" w:cs="Times New Roman"/>
          <w:noProof/>
          <w:sz w:val="24"/>
          <w:szCs w:val="24"/>
        </w:rPr>
        <w:t>, vol. 26, p. 100364, Sep. 2021, doi: 10.1016/j.obmed.2021.100364.</w:t>
      </w:r>
    </w:p>
    <w:p w14:paraId="5647C78D"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[24]</w:t>
      </w:r>
      <w:r w:rsidRPr="002F472F">
        <w:rPr>
          <w:rFonts w:ascii="Tw Cen MT" w:hAnsi="Tw Cen MT" w:cs="Times New Roman"/>
          <w:noProof/>
          <w:sz w:val="24"/>
          <w:szCs w:val="24"/>
        </w:rPr>
        <w:tab/>
        <w:t xml:space="preserve">S. Latif, S. Naz, S. Ashraf, and S. Ahmed Jafri, “Junk food consumption in relation to menstrual abnormalities among adolescent girls: A comparative cross sectional study,” </w:t>
      </w:r>
      <w:r w:rsidRPr="002F472F">
        <w:rPr>
          <w:rFonts w:ascii="Tw Cen MT" w:hAnsi="Tw Cen MT" w:cs="Times New Roman"/>
          <w:i/>
          <w:iCs/>
          <w:noProof/>
          <w:sz w:val="24"/>
          <w:szCs w:val="24"/>
        </w:rPr>
        <w:t>Pakistan J. Med. Sci.</w:t>
      </w:r>
      <w:r w:rsidRPr="002F472F">
        <w:rPr>
          <w:rFonts w:ascii="Tw Cen MT" w:hAnsi="Tw Cen MT" w:cs="Times New Roman"/>
          <w:noProof/>
          <w:sz w:val="24"/>
          <w:szCs w:val="24"/>
        </w:rPr>
        <w:t>, vol. 38, no. 8, Oct. 2022, doi: 10.12669/pjms.38.8.6177.</w:t>
      </w:r>
    </w:p>
    <w:p w14:paraId="1ABF4AE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[25]</w:t>
      </w:r>
      <w:r w:rsidRPr="002F472F">
        <w:rPr>
          <w:rFonts w:ascii="Tw Cen MT" w:hAnsi="Tw Cen MT" w:cs="Times New Roman"/>
          <w:noProof/>
          <w:sz w:val="24"/>
          <w:szCs w:val="24"/>
        </w:rPr>
        <w:tab/>
        <w:t xml:space="preserve">A. Sasikala, “Assess the prevalence and factors related to menstrual disorders among adolescent girls,” </w:t>
      </w:r>
      <w:r w:rsidRPr="002F472F">
        <w:rPr>
          <w:rFonts w:ascii="Tw Cen MT" w:hAnsi="Tw Cen MT" w:cs="Times New Roman"/>
          <w:i/>
          <w:iCs/>
          <w:noProof/>
          <w:sz w:val="24"/>
          <w:szCs w:val="24"/>
        </w:rPr>
        <w:t>NNMC J. Obstet. Gynaecol. Nurs.</w:t>
      </w:r>
      <w:r w:rsidRPr="002F472F">
        <w:rPr>
          <w:rFonts w:ascii="Tw Cen MT" w:hAnsi="Tw Cen MT" w:cs="Times New Roman"/>
          <w:noProof/>
          <w:sz w:val="24"/>
          <w:szCs w:val="24"/>
        </w:rPr>
        <w:t>, vol. 9, no. 2, pp. 8–12, 2021, [Online]. Available: https://www.indianjournals.com/ijor.as</w:t>
      </w:r>
      <w:r w:rsidRPr="002F472F">
        <w:rPr>
          <w:rFonts w:ascii="Tw Cen MT" w:hAnsi="Tw Cen MT" w:cs="Times New Roman"/>
          <w:noProof/>
          <w:sz w:val="24"/>
          <w:szCs w:val="24"/>
        </w:rPr>
        <w:t>px?target=ijor:tnnmcjogn&amp;volume=9&amp;issue=2&amp;article=002.</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9448A2">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7335" w14:textId="77777777" w:rsidR="000F359D" w:rsidRDefault="000F359D">
      <w:pPr>
        <w:spacing w:after="0" w:line="240" w:lineRule="auto"/>
      </w:pPr>
      <w:r>
        <w:separator/>
      </w:r>
    </w:p>
  </w:endnote>
  <w:endnote w:type="continuationSeparator" w:id="0">
    <w:p w14:paraId="0033BAC0" w14:textId="77777777" w:rsidR="000F359D" w:rsidRDefault="000F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ECEEDD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9D757F">
              <w:rPr>
                <w:rFonts w:ascii="Tw Cen MT" w:hAnsi="Tw Cen MT"/>
                <w:color w:val="000000" w:themeColor="text1"/>
                <w:sz w:val="20"/>
                <w:szCs w:val="24"/>
                <w:lang w:val="en-ID"/>
              </w:rPr>
              <w:t>Tonny</w:t>
            </w:r>
            <w:proofErr w:type="spellEnd"/>
            <w:r w:rsidR="009D757F">
              <w:rPr>
                <w:rFonts w:ascii="Tw Cen MT" w:hAnsi="Tw Cen MT"/>
                <w:color w:val="000000" w:themeColor="text1"/>
                <w:sz w:val="20"/>
                <w:szCs w:val="24"/>
                <w:lang w:val="en-ID"/>
              </w:rPr>
              <w:t xml:space="preserve"> </w:t>
            </w:r>
            <w:proofErr w:type="spellStart"/>
            <w:r w:rsidR="009D757F">
              <w:rPr>
                <w:rFonts w:ascii="Tw Cen MT" w:hAnsi="Tw Cen MT"/>
                <w:color w:val="000000" w:themeColor="text1"/>
                <w:sz w:val="20"/>
                <w:szCs w:val="24"/>
                <w:lang w:val="en-ID"/>
              </w:rPr>
              <w:t>Cortis</w:t>
            </w:r>
            <w:proofErr w:type="spellEnd"/>
            <w:r w:rsidR="009D757F">
              <w:rPr>
                <w:rFonts w:ascii="Tw Cen MT" w:hAnsi="Tw Cen MT"/>
                <w:color w:val="000000" w:themeColor="text1"/>
                <w:sz w:val="20"/>
                <w:szCs w:val="24"/>
                <w:lang w:val="en-ID"/>
              </w:rPr>
              <w:t xml:space="preserve"> </w:t>
            </w:r>
            <w:proofErr w:type="spellStart"/>
            <w:r w:rsidR="009D757F">
              <w:rPr>
                <w:rFonts w:ascii="Tw Cen MT" w:hAnsi="Tw Cen MT"/>
                <w:color w:val="000000" w:themeColor="text1"/>
                <w:sz w:val="20"/>
                <w:szCs w:val="24"/>
                <w:lang w:val="en-ID"/>
              </w:rPr>
              <w:t>Maigoda</w:t>
            </w:r>
            <w:proofErr w:type="spellEnd"/>
            <w:r w:rsidR="009D757F">
              <w:rPr>
                <w:rFonts w:ascii="Tw Cen MT" w:hAnsi="Tw Cen MT"/>
                <w:color w:val="000000" w:themeColor="text1"/>
                <w:sz w:val="20"/>
                <w:szCs w:val="24"/>
                <w:lang w:val="en-ID"/>
              </w:rPr>
              <w:t xml:space="preserve"> and tony</w:t>
            </w:r>
            <w:r w:rsidR="00420D35">
              <w:rPr>
                <w:rFonts w:ascii="Tw Cen MT" w:hAnsi="Tw Cen MT"/>
                <w:color w:val="000000" w:themeColor="text1"/>
                <w:sz w:val="20"/>
                <w:szCs w:val="24"/>
                <w:lang w:val="en-ID"/>
              </w:rPr>
              <w:t>@</w:t>
            </w:r>
            <w:r w:rsidR="009D757F">
              <w:rPr>
                <w:rFonts w:ascii="Tw Cen MT" w:hAnsi="Tw Cen MT"/>
                <w:color w:val="000000" w:themeColor="text1"/>
                <w:sz w:val="20"/>
                <w:szCs w:val="24"/>
                <w:lang w:val="en-ID"/>
              </w:rPr>
              <w:t>poltekkesbengkulu</w:t>
            </w:r>
            <w:r w:rsidR="00420D35">
              <w:rPr>
                <w:rFonts w:ascii="Tw Cen MT" w:hAnsi="Tw Cen MT"/>
                <w:color w:val="000000" w:themeColor="text1"/>
                <w:sz w:val="20"/>
                <w:szCs w:val="24"/>
                <w:lang w:val="en-ID"/>
              </w:rPr>
              <w: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A8EA" w14:textId="77777777" w:rsidR="000F359D" w:rsidRDefault="000F359D">
      <w:pPr>
        <w:spacing w:after="0" w:line="240" w:lineRule="auto"/>
      </w:pPr>
      <w:r>
        <w:separator/>
      </w:r>
    </w:p>
  </w:footnote>
  <w:footnote w:type="continuationSeparator" w:id="0">
    <w:p w14:paraId="6CD2C71D" w14:textId="77777777" w:rsidR="000F359D" w:rsidRDefault="000F3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153149C"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FB52E4">
          <w:rPr>
            <w:rFonts w:ascii="Tw Cen MT" w:hAnsi="Tw Cen MT" w:cstheme="minorBidi"/>
            <w:sz w:val="20"/>
            <w:szCs w:val="20"/>
          </w:rPr>
          <w:t>41</w:t>
        </w:r>
        <w:r w:rsidR="00DE52A6">
          <w:rPr>
            <w:rFonts w:ascii="Tw Cen MT" w:hAnsi="Tw Cen MT" w:cstheme="minorBidi"/>
            <w:sz w:val="20"/>
            <w:szCs w:val="20"/>
          </w:rPr>
          <w:t>-</w:t>
        </w:r>
        <w:r w:rsidR="00AA5B09">
          <w:rPr>
            <w:rFonts w:ascii="Tw Cen MT" w:hAnsi="Tw Cen MT" w:cstheme="minorBidi"/>
            <w:sz w:val="20"/>
            <w:szCs w:val="20"/>
          </w:rPr>
          <w:t>1</w:t>
        </w:r>
        <w:r w:rsidR="00FB52E4">
          <w:rPr>
            <w:rFonts w:ascii="Tw Cen MT" w:hAnsi="Tw Cen MT" w:cstheme="minorBidi"/>
            <w:sz w:val="20"/>
            <w:szCs w:val="20"/>
          </w:rPr>
          <w:t>49</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6"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7"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9"/>
  </w:num>
  <w:num w:numId="2" w16cid:durableId="1719863263">
    <w:abstractNumId w:val="11"/>
  </w:num>
  <w:num w:numId="3" w16cid:durableId="635376201">
    <w:abstractNumId w:val="1"/>
  </w:num>
  <w:num w:numId="4" w16cid:durableId="1871989975">
    <w:abstractNumId w:val="0"/>
  </w:num>
  <w:num w:numId="5" w16cid:durableId="227691959">
    <w:abstractNumId w:val="4"/>
  </w:num>
  <w:num w:numId="6" w16cid:durableId="1291015453">
    <w:abstractNumId w:val="5"/>
  </w:num>
  <w:num w:numId="7" w16cid:durableId="1187019960">
    <w:abstractNumId w:val="10"/>
  </w:num>
  <w:num w:numId="8" w16cid:durableId="1224953252">
    <w:abstractNumId w:val="7"/>
  </w:num>
  <w:num w:numId="9" w16cid:durableId="1444299904">
    <w:abstractNumId w:val="6"/>
  </w:num>
  <w:num w:numId="10" w16cid:durableId="1023475932">
    <w:abstractNumId w:val="8"/>
  </w:num>
  <w:num w:numId="11" w16cid:durableId="832647287">
    <w:abstractNumId w:val="3"/>
  </w:num>
  <w:num w:numId="12" w16cid:durableId="213687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0F359D"/>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4C11"/>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A2EE5"/>
    <w:rsid w:val="005C1635"/>
    <w:rsid w:val="005C30BC"/>
    <w:rsid w:val="005C5210"/>
    <w:rsid w:val="005E0707"/>
    <w:rsid w:val="005E22BD"/>
    <w:rsid w:val="005F6E24"/>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106F6"/>
    <w:rsid w:val="00716EC8"/>
    <w:rsid w:val="00717864"/>
    <w:rsid w:val="0072661E"/>
    <w:rsid w:val="00727F5C"/>
    <w:rsid w:val="007368A2"/>
    <w:rsid w:val="00760EC8"/>
    <w:rsid w:val="007610F3"/>
    <w:rsid w:val="00762C0B"/>
    <w:rsid w:val="0076490F"/>
    <w:rsid w:val="00765F40"/>
    <w:rsid w:val="00772592"/>
    <w:rsid w:val="007837DA"/>
    <w:rsid w:val="00785008"/>
    <w:rsid w:val="007853C2"/>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55979"/>
    <w:rsid w:val="0086728C"/>
    <w:rsid w:val="008A1E26"/>
    <w:rsid w:val="008A326F"/>
    <w:rsid w:val="008D2E06"/>
    <w:rsid w:val="009175F5"/>
    <w:rsid w:val="00931415"/>
    <w:rsid w:val="00942731"/>
    <w:rsid w:val="00943EB9"/>
    <w:rsid w:val="009448A2"/>
    <w:rsid w:val="00945ED1"/>
    <w:rsid w:val="009578C8"/>
    <w:rsid w:val="0096335E"/>
    <w:rsid w:val="00997349"/>
    <w:rsid w:val="009A70E3"/>
    <w:rsid w:val="009D2B83"/>
    <w:rsid w:val="009D73CD"/>
    <w:rsid w:val="009D757F"/>
    <w:rsid w:val="009F5E84"/>
    <w:rsid w:val="009F6554"/>
    <w:rsid w:val="00A07B8A"/>
    <w:rsid w:val="00A1301E"/>
    <w:rsid w:val="00A201EE"/>
    <w:rsid w:val="00A2787A"/>
    <w:rsid w:val="00A343E3"/>
    <w:rsid w:val="00A36329"/>
    <w:rsid w:val="00A71279"/>
    <w:rsid w:val="00A942AF"/>
    <w:rsid w:val="00A975E3"/>
    <w:rsid w:val="00AA5B09"/>
    <w:rsid w:val="00AB2BCC"/>
    <w:rsid w:val="00AC3AD5"/>
    <w:rsid w:val="00AD6B5B"/>
    <w:rsid w:val="00AE2862"/>
    <w:rsid w:val="00AF5530"/>
    <w:rsid w:val="00B057E2"/>
    <w:rsid w:val="00B07CD9"/>
    <w:rsid w:val="00B241B6"/>
    <w:rsid w:val="00B25240"/>
    <w:rsid w:val="00B41001"/>
    <w:rsid w:val="00B63555"/>
    <w:rsid w:val="00B674AF"/>
    <w:rsid w:val="00B9516E"/>
    <w:rsid w:val="00BA4DCE"/>
    <w:rsid w:val="00BA7D9F"/>
    <w:rsid w:val="00BC34CC"/>
    <w:rsid w:val="00BC6861"/>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41D1"/>
    <w:rsid w:val="00F9233C"/>
    <w:rsid w:val="00F97F3E"/>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171C26"/>
    <w:rsid w:val="00253178"/>
    <w:rsid w:val="00287697"/>
    <w:rsid w:val="00342DE1"/>
    <w:rsid w:val="003D7BD9"/>
    <w:rsid w:val="00467FE0"/>
    <w:rsid w:val="004B1994"/>
    <w:rsid w:val="005455EC"/>
    <w:rsid w:val="00566E87"/>
    <w:rsid w:val="00637CD0"/>
    <w:rsid w:val="00723D72"/>
    <w:rsid w:val="00733DA2"/>
    <w:rsid w:val="00751F7D"/>
    <w:rsid w:val="007610F3"/>
    <w:rsid w:val="008B64AB"/>
    <w:rsid w:val="008F316E"/>
    <w:rsid w:val="00930F0A"/>
    <w:rsid w:val="009E5A13"/>
    <w:rsid w:val="00A85543"/>
    <w:rsid w:val="00B42C86"/>
    <w:rsid w:val="00DB1094"/>
    <w:rsid w:val="00DF2BBE"/>
    <w:rsid w:val="00EB60D4"/>
    <w:rsid w:val="00EC25AB"/>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141-149		                                                                                                        ISSN 2715-1115 (Online), ISSN 2302 – 8610 (Print)</dc:title>
  <dc:creator>Tonny Cortis Maigoda and tony@poltekkesbengkulu.ac.id</dc:creator>
  <cp:lastModifiedBy>iraoktavianirz@gmail.com</cp:lastModifiedBy>
  <cp:revision>5</cp:revision>
  <cp:lastPrinted>2024-10-04T05:30:00Z</cp:lastPrinted>
  <dcterms:created xsi:type="dcterms:W3CDTF">2025-01-05T02:09:00Z</dcterms:created>
  <dcterms:modified xsi:type="dcterms:W3CDTF">2025-01-06T07:18:00Z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